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69EF5E" w14:textId="0710E156" w:rsidR="002C00C0" w:rsidRDefault="002C00C0">
      <w:pPr>
        <w:rPr>
          <w:rFonts w:ascii="Times New Roman" w:hAnsi="Times New Roman" w:cs="Times New Roman"/>
          <w:sz w:val="28"/>
          <w:szCs w:val="28"/>
          <w:u w:val="single"/>
        </w:rPr>
      </w:pPr>
      <w:r>
        <w:rPr>
          <w:rFonts w:ascii="Times New Roman" w:hAnsi="Times New Roman" w:cs="Times New Roman"/>
          <w:sz w:val="24"/>
          <w:szCs w:val="24"/>
        </w:rPr>
        <w:t xml:space="preserve"> </w:t>
      </w:r>
      <w:r w:rsidRPr="002C00C0">
        <w:rPr>
          <w:rFonts w:ascii="Times New Roman" w:hAnsi="Times New Roman" w:cs="Times New Roman"/>
          <w:sz w:val="28"/>
          <w:szCs w:val="28"/>
          <w:u w:val="single"/>
        </w:rPr>
        <w:t xml:space="preserve">Case Study </w:t>
      </w:r>
    </w:p>
    <w:p w14:paraId="539E1174" w14:textId="1D80E76E" w:rsidR="002C00C0" w:rsidRDefault="002C00C0">
      <w:pPr>
        <w:rPr>
          <w:rFonts w:ascii="Times New Roman" w:hAnsi="Times New Roman" w:cs="Times New Roman"/>
          <w:sz w:val="28"/>
          <w:szCs w:val="28"/>
          <w:u w:val="single"/>
        </w:rPr>
      </w:pPr>
      <w:r>
        <w:rPr>
          <w:rFonts w:ascii="Times New Roman" w:hAnsi="Times New Roman" w:cs="Times New Roman"/>
          <w:sz w:val="28"/>
          <w:szCs w:val="28"/>
          <w:u w:val="single"/>
        </w:rPr>
        <w:t>A Biography of Aiesha Bint Abu Bakr.</w:t>
      </w:r>
    </w:p>
    <w:p w14:paraId="7E94A8F1" w14:textId="38A44FF5" w:rsidR="002C00C0" w:rsidRDefault="002C00C0">
      <w:pPr>
        <w:rPr>
          <w:rFonts w:ascii="Times New Roman" w:hAnsi="Times New Roman" w:cs="Times New Roman"/>
          <w:sz w:val="24"/>
          <w:szCs w:val="24"/>
        </w:rPr>
      </w:pPr>
      <w:r w:rsidRPr="002C00C0">
        <w:rPr>
          <w:rFonts w:ascii="Times New Roman" w:hAnsi="Times New Roman" w:cs="Times New Roman"/>
          <w:sz w:val="24"/>
          <w:szCs w:val="24"/>
        </w:rPr>
        <w:t xml:space="preserve">Aiesha was the daughter of </w:t>
      </w:r>
      <w:r>
        <w:rPr>
          <w:rFonts w:ascii="Times New Roman" w:hAnsi="Times New Roman" w:cs="Times New Roman"/>
          <w:sz w:val="24"/>
          <w:szCs w:val="24"/>
        </w:rPr>
        <w:t>Abu Bakr-Siddiq, who was born in Mecca in the year 573 AD. He belonged to a respectable family the Bani Tamim</w:t>
      </w:r>
      <w:r w:rsidR="00D15DD5">
        <w:rPr>
          <w:rFonts w:ascii="Times New Roman" w:hAnsi="Times New Roman" w:cs="Times New Roman"/>
          <w:sz w:val="24"/>
          <w:szCs w:val="24"/>
        </w:rPr>
        <w:t xml:space="preserve"> clan, a branch of the Quraysh tribe. Her mother was Umm Ruman who was a widow when she </w:t>
      </w:r>
      <w:r w:rsidR="00F20D8C">
        <w:rPr>
          <w:rFonts w:ascii="Times New Roman" w:hAnsi="Times New Roman" w:cs="Times New Roman"/>
          <w:sz w:val="24"/>
          <w:szCs w:val="24"/>
        </w:rPr>
        <w:t>married Abu Bakr. Umm Ruman was the second wife of Abu Bakr</w:t>
      </w:r>
      <w:r w:rsidR="00505371">
        <w:rPr>
          <w:rFonts w:ascii="Times New Roman" w:hAnsi="Times New Roman" w:cs="Times New Roman"/>
          <w:sz w:val="24"/>
          <w:szCs w:val="24"/>
        </w:rPr>
        <w:t xml:space="preserve"> of which he had four</w:t>
      </w:r>
      <w:r w:rsidR="00F20D8C">
        <w:rPr>
          <w:rFonts w:ascii="Times New Roman" w:hAnsi="Times New Roman" w:cs="Times New Roman"/>
          <w:sz w:val="24"/>
          <w:szCs w:val="24"/>
        </w:rPr>
        <w:t>. Aiesha had one brother Abdur Rehman, two stepsisters Asma and Umm Kulthum and two stepbrothers Abdullah and Muhammad.</w:t>
      </w:r>
      <w:r w:rsidR="00F20D8C">
        <w:rPr>
          <w:rStyle w:val="FootnoteReference"/>
          <w:rFonts w:ascii="Times New Roman" w:hAnsi="Times New Roman" w:cs="Times New Roman"/>
          <w:sz w:val="24"/>
          <w:szCs w:val="24"/>
        </w:rPr>
        <w:footnoteReference w:id="1"/>
      </w:r>
    </w:p>
    <w:p w14:paraId="129C3BFB" w14:textId="12A72C02" w:rsidR="009D29F1" w:rsidRDefault="009D29F1">
      <w:pPr>
        <w:rPr>
          <w:rFonts w:ascii="Times New Roman" w:hAnsi="Times New Roman" w:cs="Times New Roman"/>
          <w:sz w:val="24"/>
          <w:szCs w:val="24"/>
        </w:rPr>
      </w:pPr>
      <w:r>
        <w:rPr>
          <w:rFonts w:ascii="Times New Roman" w:hAnsi="Times New Roman" w:cs="Times New Roman"/>
          <w:sz w:val="24"/>
          <w:szCs w:val="24"/>
        </w:rPr>
        <w:t>Aiesha was born around the year 614 AD and was given out for nursing and foster-parentage to a Makhzumite family. She is believed to be</w:t>
      </w:r>
      <w:r w:rsidR="0096573B">
        <w:rPr>
          <w:rFonts w:ascii="Times New Roman" w:hAnsi="Times New Roman" w:cs="Times New Roman"/>
          <w:sz w:val="24"/>
          <w:szCs w:val="24"/>
        </w:rPr>
        <w:t xml:space="preserve"> the</w:t>
      </w:r>
      <w:r>
        <w:rPr>
          <w:rFonts w:ascii="Times New Roman" w:hAnsi="Times New Roman" w:cs="Times New Roman"/>
          <w:sz w:val="24"/>
          <w:szCs w:val="24"/>
        </w:rPr>
        <w:t xml:space="preserve"> nineteenth convert to </w:t>
      </w:r>
      <w:r w:rsidR="007974D2">
        <w:rPr>
          <w:rFonts w:ascii="Times New Roman" w:hAnsi="Times New Roman" w:cs="Times New Roman"/>
          <w:sz w:val="24"/>
          <w:szCs w:val="24"/>
        </w:rPr>
        <w:t>Islam,</w:t>
      </w:r>
      <w:r>
        <w:rPr>
          <w:rFonts w:ascii="Times New Roman" w:hAnsi="Times New Roman" w:cs="Times New Roman"/>
          <w:sz w:val="24"/>
          <w:szCs w:val="24"/>
        </w:rPr>
        <w:t xml:space="preserve"> and it is said that </w:t>
      </w:r>
      <w:r w:rsidR="007974D2">
        <w:rPr>
          <w:rFonts w:ascii="Times New Roman" w:hAnsi="Times New Roman" w:cs="Times New Roman"/>
          <w:sz w:val="24"/>
          <w:szCs w:val="24"/>
        </w:rPr>
        <w:t>A</w:t>
      </w:r>
      <w:r>
        <w:rPr>
          <w:rFonts w:ascii="Times New Roman" w:hAnsi="Times New Roman" w:cs="Times New Roman"/>
          <w:sz w:val="24"/>
          <w:szCs w:val="24"/>
        </w:rPr>
        <w:t>iesha could not remember a time</w:t>
      </w:r>
      <w:r w:rsidR="007974D2">
        <w:rPr>
          <w:rFonts w:ascii="Times New Roman" w:hAnsi="Times New Roman" w:cs="Times New Roman"/>
          <w:sz w:val="24"/>
          <w:szCs w:val="24"/>
        </w:rPr>
        <w:t xml:space="preserve"> when both her mother and father were not Muslims. She also remembers Muhammad been a frequent visitor to her parents’ house.</w:t>
      </w:r>
      <w:r w:rsidR="007974D2">
        <w:rPr>
          <w:rStyle w:val="FootnoteReference"/>
          <w:rFonts w:ascii="Times New Roman" w:hAnsi="Times New Roman" w:cs="Times New Roman"/>
          <w:sz w:val="24"/>
          <w:szCs w:val="24"/>
        </w:rPr>
        <w:footnoteReference w:id="2"/>
      </w:r>
    </w:p>
    <w:p w14:paraId="1657CABA" w14:textId="12F617D0" w:rsidR="004D18CA" w:rsidRDefault="004D18CA">
      <w:pPr>
        <w:rPr>
          <w:rFonts w:ascii="Times New Roman" w:hAnsi="Times New Roman" w:cs="Times New Roman"/>
          <w:sz w:val="24"/>
          <w:szCs w:val="24"/>
        </w:rPr>
      </w:pPr>
      <w:r>
        <w:rPr>
          <w:rFonts w:ascii="Times New Roman" w:hAnsi="Times New Roman" w:cs="Times New Roman"/>
          <w:sz w:val="24"/>
          <w:szCs w:val="24"/>
        </w:rPr>
        <w:t>After the death of Muhammad’s first wife Khadija in 619 AD,</w:t>
      </w:r>
      <w:r w:rsidR="0081123E">
        <w:rPr>
          <w:rFonts w:ascii="Times New Roman" w:hAnsi="Times New Roman" w:cs="Times New Roman"/>
          <w:sz w:val="24"/>
          <w:szCs w:val="24"/>
        </w:rPr>
        <w:t xml:space="preserve"> Muhammad had the same dream twice in which a man was carrying someone wrapped in silk, the man said to Muhammad “This is your wife, so uncover her.” Muhammad lifted the silk and it was Aiesha that he saw. The third confirmation for Muhammad that it was God’s will for him to marry Aiesha was that,</w:t>
      </w:r>
      <w:r>
        <w:rPr>
          <w:rFonts w:ascii="Times New Roman" w:hAnsi="Times New Roman" w:cs="Times New Roman"/>
          <w:sz w:val="24"/>
          <w:szCs w:val="24"/>
        </w:rPr>
        <w:t xml:space="preserve"> Muhammad’s aunt Khawlah bint Hakim, suggested to Muhammad that he should remarry.</w:t>
      </w:r>
      <w:r w:rsidR="0081123E">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She proposed it should be Aiesha bint Abu Bakr if he wished for a virgin or</w:t>
      </w:r>
      <w:r w:rsidR="00612BA3">
        <w:rPr>
          <w:rFonts w:ascii="Times New Roman" w:hAnsi="Times New Roman" w:cs="Times New Roman"/>
          <w:sz w:val="24"/>
          <w:szCs w:val="24"/>
        </w:rPr>
        <w:t xml:space="preserve"> the widow</w:t>
      </w:r>
      <w:r>
        <w:rPr>
          <w:rFonts w:ascii="Times New Roman" w:hAnsi="Times New Roman" w:cs="Times New Roman"/>
          <w:sz w:val="24"/>
          <w:szCs w:val="24"/>
        </w:rPr>
        <w:t xml:space="preserve"> Sawdah bint Za</w:t>
      </w:r>
      <w:r w:rsidR="00612BA3">
        <w:rPr>
          <w:rFonts w:ascii="Times New Roman" w:hAnsi="Times New Roman" w:cs="Times New Roman"/>
          <w:sz w:val="24"/>
          <w:szCs w:val="24"/>
        </w:rPr>
        <w:t xml:space="preserve">m’ah if he wished for a nonvirgin. Aiesha had already been promised to a relative Jubair, Abu Bakr spoke to Jubair’s father Mut’am ibn Adi and it was agreed that Abu Bakr should be released from his promise as the parents of Jubair were </w:t>
      </w:r>
      <w:r w:rsidR="00612BA3">
        <w:rPr>
          <w:rFonts w:ascii="Times New Roman" w:hAnsi="Times New Roman" w:cs="Times New Roman"/>
          <w:sz w:val="24"/>
          <w:szCs w:val="24"/>
        </w:rPr>
        <w:lastRenderedPageBreak/>
        <w:t xml:space="preserve">concerned that their son would convert to Islam. In 619 AD Muhammad married both Sawdah and Aiesha, </w:t>
      </w:r>
      <w:r w:rsidR="005331EC">
        <w:rPr>
          <w:rFonts w:ascii="Times New Roman" w:hAnsi="Times New Roman" w:cs="Times New Roman"/>
          <w:sz w:val="24"/>
          <w:szCs w:val="24"/>
        </w:rPr>
        <w:t>Aiesha was only six years old at the time and the marriage was not consummated until three years later.</w:t>
      </w:r>
      <w:r w:rsidR="005331EC">
        <w:rPr>
          <w:rStyle w:val="FootnoteReference"/>
          <w:rFonts w:ascii="Times New Roman" w:hAnsi="Times New Roman" w:cs="Times New Roman"/>
          <w:sz w:val="24"/>
          <w:szCs w:val="24"/>
        </w:rPr>
        <w:footnoteReference w:id="4"/>
      </w:r>
    </w:p>
    <w:p w14:paraId="05FC4249" w14:textId="18764143" w:rsidR="00DE6D65" w:rsidRDefault="00DE6D65">
      <w:pPr>
        <w:rPr>
          <w:rFonts w:ascii="Times New Roman" w:hAnsi="Times New Roman" w:cs="Times New Roman"/>
          <w:sz w:val="24"/>
          <w:szCs w:val="24"/>
        </w:rPr>
      </w:pPr>
      <w:r>
        <w:rPr>
          <w:rFonts w:ascii="Times New Roman" w:hAnsi="Times New Roman" w:cs="Times New Roman"/>
          <w:sz w:val="24"/>
          <w:szCs w:val="24"/>
        </w:rPr>
        <w:t xml:space="preserve">Aiesha later said that the only reason she knew of her change of status was because she was outside playing with her friends not far from her home when her mother brought her inside and told her she must not play outside and her friends must come to the house to play. Her mother never directly told her the reason was because she was now married but Aiesha had suspected it was the </w:t>
      </w:r>
      <w:r w:rsidR="00651233">
        <w:rPr>
          <w:rFonts w:ascii="Times New Roman" w:hAnsi="Times New Roman" w:cs="Times New Roman"/>
          <w:sz w:val="24"/>
          <w:szCs w:val="24"/>
        </w:rPr>
        <w:t>reason,</w:t>
      </w:r>
      <w:r>
        <w:rPr>
          <w:rFonts w:ascii="Times New Roman" w:hAnsi="Times New Roman" w:cs="Times New Roman"/>
          <w:sz w:val="24"/>
          <w:szCs w:val="24"/>
        </w:rPr>
        <w:t xml:space="preserve"> but her life had not changed other than she now had to play in the courtyard.</w:t>
      </w:r>
      <w:r>
        <w:rPr>
          <w:rStyle w:val="FootnoteReference"/>
          <w:rFonts w:ascii="Times New Roman" w:hAnsi="Times New Roman" w:cs="Times New Roman"/>
          <w:sz w:val="24"/>
          <w:szCs w:val="24"/>
        </w:rPr>
        <w:footnoteReference w:id="5"/>
      </w:r>
    </w:p>
    <w:p w14:paraId="0BB255B9" w14:textId="4D0F27BA" w:rsidR="00A65414" w:rsidRDefault="00C64C15">
      <w:pPr>
        <w:rPr>
          <w:rFonts w:ascii="Times New Roman" w:hAnsi="Times New Roman" w:cs="Times New Roman"/>
          <w:sz w:val="24"/>
          <w:szCs w:val="24"/>
        </w:rPr>
      </w:pPr>
      <w:r>
        <w:rPr>
          <w:rFonts w:ascii="Times New Roman" w:hAnsi="Times New Roman" w:cs="Times New Roman"/>
          <w:sz w:val="24"/>
          <w:szCs w:val="24"/>
        </w:rPr>
        <w:t>It was after the emigration to Medina</w:t>
      </w:r>
      <w:r w:rsidR="001C1DEE">
        <w:rPr>
          <w:rFonts w:ascii="Times New Roman" w:hAnsi="Times New Roman" w:cs="Times New Roman"/>
          <w:sz w:val="24"/>
          <w:szCs w:val="24"/>
        </w:rPr>
        <w:t xml:space="preserve"> in either the year 622 or 623 AD</w:t>
      </w:r>
      <w:r>
        <w:rPr>
          <w:rFonts w:ascii="Times New Roman" w:hAnsi="Times New Roman" w:cs="Times New Roman"/>
          <w:sz w:val="24"/>
          <w:szCs w:val="24"/>
        </w:rPr>
        <w:t xml:space="preserve"> that the marriage ceremony took place between Muhammad and Aiesha. Aiesha remembers she was outside playing on the seesaw when her mother and some other women came and brought her inside. She was dressed in a fine red-striped cloth from Bahrain which her father Abu Bakr had bought. The women washed her face and combed her hair and she was taken to the newly built house where the prophet Muhammad was waiting for her.</w:t>
      </w:r>
      <w:r w:rsidR="001C1DEE">
        <w:rPr>
          <w:rFonts w:ascii="Times New Roman" w:hAnsi="Times New Roman" w:cs="Times New Roman"/>
          <w:sz w:val="24"/>
          <w:szCs w:val="24"/>
        </w:rPr>
        <w:t xml:space="preserve"> They drank milk from a </w:t>
      </w:r>
      <w:r w:rsidR="00F34357">
        <w:rPr>
          <w:rFonts w:ascii="Times New Roman" w:hAnsi="Times New Roman" w:cs="Times New Roman"/>
          <w:sz w:val="24"/>
          <w:szCs w:val="24"/>
        </w:rPr>
        <w:t>bowl,</w:t>
      </w:r>
      <w:r w:rsidR="001C1DEE">
        <w:rPr>
          <w:rFonts w:ascii="Times New Roman" w:hAnsi="Times New Roman" w:cs="Times New Roman"/>
          <w:sz w:val="24"/>
          <w:szCs w:val="24"/>
        </w:rPr>
        <w:t xml:space="preserve"> and it was passed round to the people present.</w:t>
      </w:r>
      <w:r w:rsidR="00EB6CC2">
        <w:rPr>
          <w:rFonts w:ascii="Times New Roman" w:hAnsi="Times New Roman" w:cs="Times New Roman"/>
          <w:sz w:val="24"/>
          <w:szCs w:val="24"/>
        </w:rPr>
        <w:t xml:space="preserve"> The guests left and Aiesha and Muhammed were left alone together.</w:t>
      </w:r>
      <w:r w:rsidR="00EB6CC2">
        <w:rPr>
          <w:rStyle w:val="FootnoteReference"/>
          <w:rFonts w:ascii="Times New Roman" w:hAnsi="Times New Roman" w:cs="Times New Roman"/>
          <w:sz w:val="24"/>
          <w:szCs w:val="24"/>
        </w:rPr>
        <w:footnoteReference w:id="6"/>
      </w:r>
      <w:r w:rsidR="00573395">
        <w:rPr>
          <w:rFonts w:ascii="Times New Roman" w:hAnsi="Times New Roman" w:cs="Times New Roman"/>
          <w:sz w:val="24"/>
          <w:szCs w:val="24"/>
        </w:rPr>
        <w:t xml:space="preserve"> It is unclear what age Aiesha was at the time of her marriage to </w:t>
      </w:r>
      <w:r w:rsidR="002A64A7">
        <w:rPr>
          <w:rFonts w:ascii="Times New Roman" w:hAnsi="Times New Roman" w:cs="Times New Roman"/>
          <w:sz w:val="24"/>
          <w:szCs w:val="24"/>
        </w:rPr>
        <w:t>Muhammad,</w:t>
      </w:r>
      <w:r w:rsidR="00573395">
        <w:rPr>
          <w:rFonts w:ascii="Times New Roman" w:hAnsi="Times New Roman" w:cs="Times New Roman"/>
          <w:sz w:val="24"/>
          <w:szCs w:val="24"/>
        </w:rPr>
        <w:t xml:space="preserve"> but it is believed that she was either nine or ten years of age and Muhammad was </w:t>
      </w:r>
      <w:r w:rsidR="002A64A7">
        <w:rPr>
          <w:rFonts w:ascii="Times New Roman" w:hAnsi="Times New Roman" w:cs="Times New Roman"/>
          <w:sz w:val="24"/>
          <w:szCs w:val="24"/>
        </w:rPr>
        <w:t>fifty-three</w:t>
      </w:r>
      <w:r w:rsidR="00573395">
        <w:rPr>
          <w:rFonts w:ascii="Times New Roman" w:hAnsi="Times New Roman" w:cs="Times New Roman"/>
          <w:sz w:val="24"/>
          <w:szCs w:val="24"/>
        </w:rPr>
        <w:t>.</w:t>
      </w:r>
    </w:p>
    <w:p w14:paraId="5973EBC0" w14:textId="69BD4606" w:rsidR="00FA55DD" w:rsidRDefault="00FA55DD">
      <w:pPr>
        <w:rPr>
          <w:rFonts w:ascii="Times New Roman" w:hAnsi="Times New Roman" w:cs="Times New Roman"/>
          <w:sz w:val="24"/>
          <w:szCs w:val="24"/>
        </w:rPr>
      </w:pPr>
      <w:r>
        <w:rPr>
          <w:rFonts w:ascii="Times New Roman" w:hAnsi="Times New Roman" w:cs="Times New Roman"/>
          <w:sz w:val="24"/>
          <w:szCs w:val="24"/>
        </w:rPr>
        <w:t xml:space="preserve">At the age of fourteen, in the year 627 AD, Aiesha was the only wife to accompany Muhammad when they </w:t>
      </w:r>
      <w:r w:rsidR="00610161">
        <w:rPr>
          <w:rFonts w:ascii="Times New Roman" w:hAnsi="Times New Roman" w:cs="Times New Roman"/>
          <w:sz w:val="24"/>
          <w:szCs w:val="24"/>
        </w:rPr>
        <w:t xml:space="preserve">were to raid an Arab tribe called the Banu Mustaliq. On the return </w:t>
      </w:r>
      <w:r w:rsidR="00610161">
        <w:rPr>
          <w:rFonts w:ascii="Times New Roman" w:hAnsi="Times New Roman" w:cs="Times New Roman"/>
          <w:sz w:val="24"/>
          <w:szCs w:val="24"/>
        </w:rPr>
        <w:lastRenderedPageBreak/>
        <w:t xml:space="preserve">journey the caravan stopped close to Medina to rest part of the night. Aiesha had gone out to use the bathroom, at the time she was wearing a necklace of Za’far beads, when she had </w:t>
      </w:r>
      <w:r w:rsidR="00B41834">
        <w:rPr>
          <w:rFonts w:ascii="Times New Roman" w:hAnsi="Times New Roman" w:cs="Times New Roman"/>
          <w:sz w:val="24"/>
          <w:szCs w:val="24"/>
        </w:rPr>
        <w:t>returned,</w:t>
      </w:r>
      <w:r w:rsidR="00610161">
        <w:rPr>
          <w:rFonts w:ascii="Times New Roman" w:hAnsi="Times New Roman" w:cs="Times New Roman"/>
          <w:sz w:val="24"/>
          <w:szCs w:val="24"/>
        </w:rPr>
        <w:t xml:space="preserve"> she had noticed that the necklace was gone. As she went to look for her lost necklace the troops began to move out without her. She had found her necklace and had returned to the place where her camel should have </w:t>
      </w:r>
      <w:r w:rsidR="00B41834">
        <w:rPr>
          <w:rFonts w:ascii="Times New Roman" w:hAnsi="Times New Roman" w:cs="Times New Roman"/>
          <w:sz w:val="24"/>
          <w:szCs w:val="24"/>
        </w:rPr>
        <w:t>been,</w:t>
      </w:r>
      <w:r w:rsidR="00610161">
        <w:rPr>
          <w:rFonts w:ascii="Times New Roman" w:hAnsi="Times New Roman" w:cs="Times New Roman"/>
          <w:sz w:val="24"/>
          <w:szCs w:val="24"/>
        </w:rPr>
        <w:t xml:space="preserve"> but everyone had already gone without her</w:t>
      </w:r>
      <w:r w:rsidR="00B41834">
        <w:rPr>
          <w:rFonts w:ascii="Times New Roman" w:hAnsi="Times New Roman" w:cs="Times New Roman"/>
          <w:sz w:val="24"/>
          <w:szCs w:val="24"/>
        </w:rPr>
        <w:t xml:space="preserve">. She decided to stay and wait for them to return for her once they had realised that she was missing. While she was waiting, Safwan ibn al-Mu’attal al-Sulami came by and recognised Aishea as the Prophet Muhammad’s wife. He told her to ride his camel and he would lead it. They caught up with the caravan when it had stopped for a rest. </w:t>
      </w:r>
      <w:r w:rsidR="00A429D8">
        <w:rPr>
          <w:rFonts w:ascii="Times New Roman" w:hAnsi="Times New Roman" w:cs="Times New Roman"/>
          <w:sz w:val="24"/>
          <w:szCs w:val="24"/>
        </w:rPr>
        <w:t>The lies about Aiesha and Safwan had already began to spread, t</w:t>
      </w:r>
      <w:r w:rsidR="00B41834">
        <w:rPr>
          <w:rFonts w:ascii="Times New Roman" w:hAnsi="Times New Roman" w:cs="Times New Roman"/>
          <w:sz w:val="24"/>
          <w:szCs w:val="24"/>
        </w:rPr>
        <w:t xml:space="preserve">he army was upset but Aiesha knew nothing </w:t>
      </w:r>
      <w:r w:rsidR="00390D2B">
        <w:rPr>
          <w:rFonts w:ascii="Times New Roman" w:hAnsi="Times New Roman" w:cs="Times New Roman"/>
          <w:sz w:val="24"/>
          <w:szCs w:val="24"/>
        </w:rPr>
        <w:t>of this</w:t>
      </w:r>
      <w:r w:rsidR="00B41834">
        <w:rPr>
          <w:rFonts w:ascii="Times New Roman" w:hAnsi="Times New Roman" w:cs="Times New Roman"/>
          <w:sz w:val="24"/>
          <w:szCs w:val="24"/>
        </w:rPr>
        <w:t>.</w:t>
      </w:r>
      <w:r w:rsidR="007F7832">
        <w:rPr>
          <w:rStyle w:val="FootnoteReference"/>
          <w:rFonts w:ascii="Times New Roman" w:hAnsi="Times New Roman" w:cs="Times New Roman"/>
          <w:sz w:val="24"/>
          <w:szCs w:val="24"/>
        </w:rPr>
        <w:footnoteReference w:id="7"/>
      </w:r>
    </w:p>
    <w:p w14:paraId="21629A70" w14:textId="7C517086" w:rsidR="00F92F1B" w:rsidRDefault="00F92F1B">
      <w:pPr>
        <w:rPr>
          <w:rFonts w:ascii="Times New Roman" w:hAnsi="Times New Roman" w:cs="Times New Roman"/>
          <w:sz w:val="24"/>
          <w:szCs w:val="24"/>
        </w:rPr>
      </w:pPr>
      <w:r>
        <w:rPr>
          <w:rFonts w:ascii="Times New Roman" w:hAnsi="Times New Roman" w:cs="Times New Roman"/>
          <w:sz w:val="24"/>
          <w:szCs w:val="24"/>
        </w:rPr>
        <w:t xml:space="preserve">When they had returned to Medina Aiesha was taken ill for </w:t>
      </w:r>
      <w:r w:rsidR="00A429D8">
        <w:rPr>
          <w:rFonts w:ascii="Times New Roman" w:hAnsi="Times New Roman" w:cs="Times New Roman"/>
          <w:sz w:val="24"/>
          <w:szCs w:val="24"/>
        </w:rPr>
        <w:t xml:space="preserve">twenty days, the Prophet and Aiesha’s father had already heard the rumours but had not told Aiesha about them. Aiesha was upset because </w:t>
      </w:r>
      <w:r w:rsidR="00390D2B">
        <w:rPr>
          <w:rFonts w:ascii="Times New Roman" w:hAnsi="Times New Roman" w:cs="Times New Roman"/>
          <w:sz w:val="24"/>
          <w:szCs w:val="24"/>
        </w:rPr>
        <w:t>in</w:t>
      </w:r>
      <w:r w:rsidR="00A429D8">
        <w:rPr>
          <w:rFonts w:ascii="Times New Roman" w:hAnsi="Times New Roman" w:cs="Times New Roman"/>
          <w:sz w:val="24"/>
          <w:szCs w:val="24"/>
        </w:rPr>
        <w:t xml:space="preserve"> the past when she was ill Muhammad would be kind and show understanding towards her but this time he did not. She went to stay at her </w:t>
      </w:r>
      <w:r w:rsidR="00390D2B">
        <w:rPr>
          <w:rFonts w:ascii="Times New Roman" w:hAnsi="Times New Roman" w:cs="Times New Roman"/>
          <w:sz w:val="24"/>
          <w:szCs w:val="24"/>
        </w:rPr>
        <w:t>mother’s</w:t>
      </w:r>
      <w:r w:rsidR="00A429D8">
        <w:rPr>
          <w:rFonts w:ascii="Times New Roman" w:hAnsi="Times New Roman" w:cs="Times New Roman"/>
          <w:sz w:val="24"/>
          <w:szCs w:val="24"/>
        </w:rPr>
        <w:t xml:space="preserve"> house to recover from her illness, it was here where she learned from a female relative that </w:t>
      </w:r>
      <w:r w:rsidR="00390D2B">
        <w:rPr>
          <w:rFonts w:ascii="Times New Roman" w:hAnsi="Times New Roman" w:cs="Times New Roman"/>
          <w:sz w:val="24"/>
          <w:szCs w:val="24"/>
        </w:rPr>
        <w:t>she had been accused of adultery. Muhammad asked for advice from Usama ibn Zayd and Ali ibn Abi Talib about the lies been told about Aiesha. Usama declared that the</w:t>
      </w:r>
      <w:r w:rsidR="00C62142">
        <w:rPr>
          <w:rFonts w:ascii="Times New Roman" w:hAnsi="Times New Roman" w:cs="Times New Roman"/>
          <w:sz w:val="24"/>
          <w:szCs w:val="24"/>
        </w:rPr>
        <w:t xml:space="preserve"> accusations</w:t>
      </w:r>
      <w:r w:rsidR="00390D2B">
        <w:rPr>
          <w:rFonts w:ascii="Times New Roman" w:hAnsi="Times New Roman" w:cs="Times New Roman"/>
          <w:sz w:val="24"/>
          <w:szCs w:val="24"/>
        </w:rPr>
        <w:t xml:space="preserve"> were </w:t>
      </w:r>
      <w:r w:rsidR="00E86FBB">
        <w:rPr>
          <w:rFonts w:ascii="Times New Roman" w:hAnsi="Times New Roman" w:cs="Times New Roman"/>
          <w:sz w:val="24"/>
          <w:szCs w:val="24"/>
        </w:rPr>
        <w:t>false,</w:t>
      </w:r>
      <w:r w:rsidR="00390D2B">
        <w:rPr>
          <w:rFonts w:ascii="Times New Roman" w:hAnsi="Times New Roman" w:cs="Times New Roman"/>
          <w:sz w:val="24"/>
          <w:szCs w:val="24"/>
        </w:rPr>
        <w:t xml:space="preserve"> and Ali suggested that the lie made Aiesha a liability and that there were many w</w:t>
      </w:r>
      <w:r w:rsidR="00C62142">
        <w:rPr>
          <w:rFonts w:ascii="Times New Roman" w:hAnsi="Times New Roman" w:cs="Times New Roman"/>
          <w:sz w:val="24"/>
          <w:szCs w:val="24"/>
        </w:rPr>
        <w:t>o</w:t>
      </w:r>
      <w:r w:rsidR="00390D2B">
        <w:rPr>
          <w:rFonts w:ascii="Times New Roman" w:hAnsi="Times New Roman" w:cs="Times New Roman"/>
          <w:sz w:val="24"/>
          <w:szCs w:val="24"/>
        </w:rPr>
        <w:t>men who could replace her.</w:t>
      </w:r>
      <w:r w:rsidR="00C62142">
        <w:rPr>
          <w:rFonts w:ascii="Times New Roman" w:hAnsi="Times New Roman" w:cs="Times New Roman"/>
          <w:sz w:val="24"/>
          <w:szCs w:val="24"/>
        </w:rPr>
        <w:t xml:space="preserve"> When Muhammad did finally </w:t>
      </w:r>
      <w:r w:rsidR="006942E2">
        <w:rPr>
          <w:rFonts w:ascii="Times New Roman" w:hAnsi="Times New Roman" w:cs="Times New Roman"/>
          <w:sz w:val="24"/>
          <w:szCs w:val="24"/>
        </w:rPr>
        <w:t xml:space="preserve">approach Aiesha he asked her to repent rather than assume her innocence. Her parents did not stand up for her and Aiesha realised the only thing that could save her was divine intervention. When eventually Muhammad did have a revelation from God about the incident he said “Rejoice, Allah has sent down your </w:t>
      </w:r>
      <w:r w:rsidR="006942E2">
        <w:rPr>
          <w:rFonts w:ascii="Times New Roman" w:hAnsi="Times New Roman" w:cs="Times New Roman"/>
          <w:sz w:val="24"/>
          <w:szCs w:val="24"/>
        </w:rPr>
        <w:lastRenderedPageBreak/>
        <w:t xml:space="preserve">vindication.” </w:t>
      </w:r>
      <w:r w:rsidR="00E86FBB">
        <w:rPr>
          <w:rStyle w:val="FootnoteReference"/>
          <w:rFonts w:ascii="Times New Roman" w:hAnsi="Times New Roman" w:cs="Times New Roman"/>
          <w:sz w:val="24"/>
          <w:szCs w:val="24"/>
        </w:rPr>
        <w:footnoteReference w:id="8"/>
      </w:r>
      <w:r w:rsidR="00665453">
        <w:rPr>
          <w:rFonts w:ascii="Times New Roman" w:hAnsi="Times New Roman" w:cs="Times New Roman"/>
          <w:sz w:val="24"/>
          <w:szCs w:val="24"/>
        </w:rPr>
        <w:t xml:space="preserve"> The Surah </w:t>
      </w:r>
      <w:r w:rsidR="00665453" w:rsidRPr="00CD54C5">
        <w:rPr>
          <w:rFonts w:ascii="Times New Roman" w:hAnsi="Times New Roman" w:cs="Times New Roman"/>
          <w:i/>
          <w:iCs/>
          <w:sz w:val="24"/>
          <w:szCs w:val="24"/>
        </w:rPr>
        <w:t>Al-Nur</w:t>
      </w:r>
      <w:r w:rsidR="00665453">
        <w:rPr>
          <w:rFonts w:ascii="Times New Roman" w:hAnsi="Times New Roman" w:cs="Times New Roman"/>
          <w:sz w:val="24"/>
          <w:szCs w:val="24"/>
        </w:rPr>
        <w:t xml:space="preserve"> (light) was revealed it stated that all people who commit adultery should receive a hundred lashes and for those who accuse women of been unchaste must have four witnesses if not then the accuser must receive eighty lashes.</w:t>
      </w:r>
      <w:r w:rsidR="002958C1">
        <w:rPr>
          <w:rStyle w:val="FootnoteReference"/>
          <w:rFonts w:ascii="Times New Roman" w:hAnsi="Times New Roman" w:cs="Times New Roman"/>
          <w:sz w:val="24"/>
          <w:szCs w:val="24"/>
        </w:rPr>
        <w:footnoteReference w:id="9"/>
      </w:r>
    </w:p>
    <w:p w14:paraId="1782CCE6" w14:textId="77AAE8CF" w:rsidR="00044B0C" w:rsidRDefault="00044B0C">
      <w:pPr>
        <w:rPr>
          <w:rFonts w:ascii="Times New Roman" w:hAnsi="Times New Roman" w:cs="Times New Roman"/>
          <w:sz w:val="24"/>
          <w:szCs w:val="24"/>
        </w:rPr>
      </w:pPr>
      <w:r>
        <w:rPr>
          <w:rFonts w:ascii="Times New Roman" w:hAnsi="Times New Roman" w:cs="Times New Roman"/>
          <w:sz w:val="24"/>
          <w:szCs w:val="24"/>
        </w:rPr>
        <w:t>This event was an attempt to undermine Muhammad’s leadership of the Islamic community in Medina and Aiesha was</w:t>
      </w:r>
      <w:r w:rsidR="00E86FBB">
        <w:rPr>
          <w:rFonts w:ascii="Times New Roman" w:hAnsi="Times New Roman" w:cs="Times New Roman"/>
          <w:sz w:val="24"/>
          <w:szCs w:val="24"/>
        </w:rPr>
        <w:t xml:space="preserve"> purified by God of any wrongdoing.</w:t>
      </w:r>
    </w:p>
    <w:p w14:paraId="72B24AA0" w14:textId="3C971D5D" w:rsidR="00F8346C" w:rsidRDefault="00F8346C">
      <w:pPr>
        <w:rPr>
          <w:rFonts w:ascii="Times New Roman" w:hAnsi="Times New Roman" w:cs="Times New Roman"/>
          <w:sz w:val="24"/>
          <w:szCs w:val="24"/>
        </w:rPr>
      </w:pPr>
      <w:r>
        <w:rPr>
          <w:rFonts w:ascii="Times New Roman" w:hAnsi="Times New Roman" w:cs="Times New Roman"/>
          <w:sz w:val="24"/>
          <w:szCs w:val="24"/>
        </w:rPr>
        <w:t xml:space="preserve">In 632 AD when Muhammad was taken ill it was Aiesha who he </w:t>
      </w:r>
      <w:r w:rsidR="00755703">
        <w:rPr>
          <w:rFonts w:ascii="Times New Roman" w:hAnsi="Times New Roman" w:cs="Times New Roman"/>
          <w:sz w:val="24"/>
          <w:szCs w:val="24"/>
        </w:rPr>
        <w:t>chooses</w:t>
      </w:r>
      <w:r>
        <w:rPr>
          <w:rFonts w:ascii="Times New Roman" w:hAnsi="Times New Roman" w:cs="Times New Roman"/>
          <w:sz w:val="24"/>
          <w:szCs w:val="24"/>
        </w:rPr>
        <w:t xml:space="preserve"> to spend his last moments with</w:t>
      </w:r>
      <w:r w:rsidR="00641A1D">
        <w:rPr>
          <w:rFonts w:ascii="Times New Roman" w:hAnsi="Times New Roman" w:cs="Times New Roman"/>
          <w:sz w:val="24"/>
          <w:szCs w:val="24"/>
        </w:rPr>
        <w:t>. It is said that his preference for Aiesha was linked to religious inspiration. Umm Salama one of Muhammad’s other wives complained that Aisha was his favourite and he said to her “ Do not trouble me about Aiesha, for by God, divine inspiration never came to me when I was under the blanket of any of you other than her.”</w:t>
      </w:r>
      <w:r w:rsidR="00755703">
        <w:rPr>
          <w:rStyle w:val="FootnoteReference"/>
          <w:rFonts w:ascii="Times New Roman" w:hAnsi="Times New Roman" w:cs="Times New Roman"/>
          <w:sz w:val="24"/>
          <w:szCs w:val="24"/>
        </w:rPr>
        <w:footnoteReference w:id="10"/>
      </w:r>
      <w:r w:rsidR="00755703">
        <w:rPr>
          <w:rFonts w:ascii="Times New Roman" w:hAnsi="Times New Roman" w:cs="Times New Roman"/>
          <w:sz w:val="24"/>
          <w:szCs w:val="24"/>
        </w:rPr>
        <w:t xml:space="preserve"> Aiesha was eighteen years old when Muhammad died, she was widowed with no children. Muhammad was buried in the floor of Aiesha’s apartment.</w:t>
      </w:r>
    </w:p>
    <w:p w14:paraId="0C4E4D62" w14:textId="2AD898F8" w:rsidR="00E81BC6" w:rsidRDefault="00E81BC6">
      <w:pPr>
        <w:rPr>
          <w:rFonts w:ascii="Times New Roman" w:hAnsi="Times New Roman" w:cs="Times New Roman"/>
          <w:sz w:val="24"/>
          <w:szCs w:val="24"/>
        </w:rPr>
      </w:pPr>
      <w:r>
        <w:rPr>
          <w:rFonts w:ascii="Times New Roman" w:hAnsi="Times New Roman" w:cs="Times New Roman"/>
          <w:sz w:val="24"/>
          <w:szCs w:val="24"/>
        </w:rPr>
        <w:t xml:space="preserve">After Muhammad’s death it was Aiesha’s father Abu Bakr </w:t>
      </w:r>
      <w:r w:rsidR="009A1941">
        <w:rPr>
          <w:rFonts w:ascii="Times New Roman" w:hAnsi="Times New Roman" w:cs="Times New Roman"/>
          <w:sz w:val="24"/>
          <w:szCs w:val="24"/>
        </w:rPr>
        <w:t xml:space="preserve">that became the first political leader of the Islamic community. Muhammad had left no male heir and he had not announced who he had wanted to lead the community. Abu Bakr became the first caliph (khalifah), he ruled for two years from 632 -634 AD. His official title was Khalifat Rasul Allah (the Successor to the Messenger of God). When </w:t>
      </w:r>
      <w:r w:rsidR="00173E43">
        <w:rPr>
          <w:rFonts w:ascii="Times New Roman" w:hAnsi="Times New Roman" w:cs="Times New Roman"/>
          <w:sz w:val="24"/>
          <w:szCs w:val="24"/>
        </w:rPr>
        <w:t>Abu Bakr was taken ill in 634 AD it was Aiesha who looked after him and he was laid to rest close to Muhammad in Aiesha’s apartment.</w:t>
      </w:r>
      <w:r w:rsidR="00173E43">
        <w:rPr>
          <w:rStyle w:val="FootnoteReference"/>
          <w:rFonts w:ascii="Times New Roman" w:hAnsi="Times New Roman" w:cs="Times New Roman"/>
          <w:sz w:val="24"/>
          <w:szCs w:val="24"/>
        </w:rPr>
        <w:footnoteReference w:id="11"/>
      </w:r>
    </w:p>
    <w:p w14:paraId="52711D5C" w14:textId="46157B04" w:rsidR="00B97BD7" w:rsidRDefault="00B97BD7">
      <w:pPr>
        <w:rPr>
          <w:rFonts w:ascii="Times New Roman" w:hAnsi="Times New Roman" w:cs="Times New Roman"/>
          <w:sz w:val="24"/>
          <w:szCs w:val="24"/>
        </w:rPr>
      </w:pPr>
      <w:r>
        <w:rPr>
          <w:rFonts w:ascii="Times New Roman" w:hAnsi="Times New Roman" w:cs="Times New Roman"/>
          <w:sz w:val="24"/>
          <w:szCs w:val="24"/>
        </w:rPr>
        <w:t xml:space="preserve">Aiesha had </w:t>
      </w:r>
      <w:r w:rsidR="00B03318">
        <w:rPr>
          <w:rFonts w:ascii="Times New Roman" w:hAnsi="Times New Roman" w:cs="Times New Roman"/>
          <w:sz w:val="24"/>
          <w:szCs w:val="24"/>
        </w:rPr>
        <w:t>honourable</w:t>
      </w:r>
      <w:r>
        <w:rPr>
          <w:rFonts w:ascii="Times New Roman" w:hAnsi="Times New Roman" w:cs="Times New Roman"/>
          <w:sz w:val="24"/>
          <w:szCs w:val="24"/>
        </w:rPr>
        <w:t xml:space="preserve"> titles, she was known as Aiesha al-siddiqa the truthful women and Aiesha ‘the most beloved’. These titles were closely linked to and replicated the titles of her </w:t>
      </w:r>
      <w:r>
        <w:rPr>
          <w:rFonts w:ascii="Times New Roman" w:hAnsi="Times New Roman" w:cs="Times New Roman"/>
          <w:sz w:val="24"/>
          <w:szCs w:val="24"/>
        </w:rPr>
        <w:lastRenderedPageBreak/>
        <w:t>father Abu Bakr. Abu Bakr was known as Abu Bakr al-siddiq</w:t>
      </w:r>
      <w:r w:rsidR="00B03318">
        <w:rPr>
          <w:rFonts w:ascii="Times New Roman" w:hAnsi="Times New Roman" w:cs="Times New Roman"/>
          <w:sz w:val="24"/>
          <w:szCs w:val="24"/>
        </w:rPr>
        <w:t xml:space="preserve"> ‘the truthful man’ he received this title after supporting Muhammad’s account of his night journey where he travelled from Mecca to Jerusalem in one night, Aiesha told the truth when she was accused of adultery. Abu Bakr was also known as ‘the most beloved’ of Muhammad’s male companions and Aiesha ‘the most beloved’ of Muhammad’s wives.</w:t>
      </w:r>
      <w:r w:rsidR="00B03318">
        <w:rPr>
          <w:rStyle w:val="FootnoteReference"/>
          <w:rFonts w:ascii="Times New Roman" w:hAnsi="Times New Roman" w:cs="Times New Roman"/>
          <w:sz w:val="24"/>
          <w:szCs w:val="24"/>
        </w:rPr>
        <w:footnoteReference w:id="12"/>
      </w:r>
      <w:r w:rsidR="000852E8">
        <w:rPr>
          <w:rFonts w:ascii="Times New Roman" w:hAnsi="Times New Roman" w:cs="Times New Roman"/>
          <w:sz w:val="24"/>
          <w:szCs w:val="24"/>
        </w:rPr>
        <w:t xml:space="preserve"> Aiesha was also known as ‘mother of the believers’ and Hamera (fair).</w:t>
      </w:r>
    </w:p>
    <w:p w14:paraId="411D2537" w14:textId="0C9B2D4A" w:rsidR="00523631" w:rsidRDefault="00523631">
      <w:pPr>
        <w:rPr>
          <w:rFonts w:ascii="Times New Roman" w:hAnsi="Times New Roman" w:cs="Times New Roman"/>
          <w:sz w:val="24"/>
          <w:szCs w:val="24"/>
        </w:rPr>
      </w:pPr>
      <w:r>
        <w:rPr>
          <w:rFonts w:ascii="Times New Roman" w:hAnsi="Times New Roman" w:cs="Times New Roman"/>
          <w:sz w:val="24"/>
          <w:szCs w:val="24"/>
        </w:rPr>
        <w:t>When Abu Bakr had died it was Aiesha who he intrusted with the disposal of public funds and property it was also her role to look after her brothers and sisters as she was the most dependable of his children. Her older and only full brother Abd al-Rahman had at first opposed Islam he had fought against them in the battles of B</w:t>
      </w:r>
      <w:r w:rsidR="00542AE0">
        <w:rPr>
          <w:rFonts w:ascii="Times New Roman" w:hAnsi="Times New Roman" w:cs="Times New Roman"/>
          <w:sz w:val="24"/>
          <w:szCs w:val="24"/>
        </w:rPr>
        <w:t>adr and Uhud it was only after the Treaty of Hudaibiyah that he converted to Islam.</w:t>
      </w:r>
      <w:r w:rsidR="00542AE0">
        <w:rPr>
          <w:rStyle w:val="FootnoteReference"/>
          <w:rFonts w:ascii="Times New Roman" w:hAnsi="Times New Roman" w:cs="Times New Roman"/>
          <w:sz w:val="24"/>
          <w:szCs w:val="24"/>
        </w:rPr>
        <w:footnoteReference w:id="13"/>
      </w:r>
    </w:p>
    <w:p w14:paraId="38252575" w14:textId="2D711358" w:rsidR="009629E2" w:rsidRDefault="009629E2">
      <w:pPr>
        <w:rPr>
          <w:rFonts w:ascii="Times New Roman" w:hAnsi="Times New Roman" w:cs="Times New Roman"/>
          <w:sz w:val="24"/>
          <w:szCs w:val="24"/>
        </w:rPr>
      </w:pPr>
      <w:r>
        <w:rPr>
          <w:rFonts w:ascii="Times New Roman" w:hAnsi="Times New Roman" w:cs="Times New Roman"/>
          <w:sz w:val="24"/>
          <w:szCs w:val="24"/>
        </w:rPr>
        <w:t xml:space="preserve">Umar </w:t>
      </w:r>
      <w:r w:rsidR="00012199">
        <w:rPr>
          <w:rFonts w:ascii="Times New Roman" w:hAnsi="Times New Roman" w:cs="Times New Roman"/>
          <w:sz w:val="24"/>
          <w:szCs w:val="24"/>
        </w:rPr>
        <w:t xml:space="preserve">ibn Khattab became the second caliph after the death of Abu Bakr. </w:t>
      </w:r>
      <w:r w:rsidR="00313E21">
        <w:rPr>
          <w:rFonts w:ascii="Times New Roman" w:hAnsi="Times New Roman" w:cs="Times New Roman"/>
          <w:sz w:val="24"/>
          <w:szCs w:val="24"/>
        </w:rPr>
        <w:t xml:space="preserve">Aiesha and Umar relationship was cooperative she had praised him for the provisions he made for the Prophet Muhammad’s widows. In 641 AD Umar initiated state pensions and </w:t>
      </w:r>
      <w:r w:rsidR="000E42E8">
        <w:rPr>
          <w:rFonts w:ascii="Times New Roman" w:hAnsi="Times New Roman" w:cs="Times New Roman"/>
          <w:sz w:val="24"/>
          <w:szCs w:val="24"/>
        </w:rPr>
        <w:t>all</w:t>
      </w:r>
      <w:r w:rsidR="00313E21">
        <w:rPr>
          <w:rFonts w:ascii="Times New Roman" w:hAnsi="Times New Roman" w:cs="Times New Roman"/>
          <w:sz w:val="24"/>
          <w:szCs w:val="24"/>
        </w:rPr>
        <w:t xml:space="preserve"> the Prophets widows received an annual payment. Aiesha had begun to be consulted on the prophet’s sunnah and</w:t>
      </w:r>
      <w:r w:rsidR="00AC586A">
        <w:rPr>
          <w:rFonts w:ascii="Times New Roman" w:hAnsi="Times New Roman" w:cs="Times New Roman"/>
          <w:sz w:val="24"/>
          <w:szCs w:val="24"/>
        </w:rPr>
        <w:t xml:space="preserve"> asked to give fatwa’s and decisions on custom and sacred law. Aiesha did not hold any power in political or public affairs in the reign of Abu Bakr or Umar but she did have personal prestige. Umar was buried in Aiesha’s apartment alongside Muhammad and Abu Bakr.</w:t>
      </w:r>
      <w:r w:rsidR="000E42E8">
        <w:rPr>
          <w:rStyle w:val="FootnoteReference"/>
          <w:rFonts w:ascii="Times New Roman" w:hAnsi="Times New Roman" w:cs="Times New Roman"/>
          <w:sz w:val="24"/>
          <w:szCs w:val="24"/>
        </w:rPr>
        <w:footnoteReference w:id="14"/>
      </w:r>
    </w:p>
    <w:p w14:paraId="65FFDFA6" w14:textId="2BAAC08F" w:rsidR="005B0147" w:rsidRDefault="005B0147">
      <w:pPr>
        <w:rPr>
          <w:rFonts w:ascii="Times New Roman" w:hAnsi="Times New Roman" w:cs="Times New Roman"/>
          <w:sz w:val="24"/>
          <w:szCs w:val="24"/>
        </w:rPr>
      </w:pPr>
      <w:r>
        <w:rPr>
          <w:rFonts w:ascii="Times New Roman" w:hAnsi="Times New Roman" w:cs="Times New Roman"/>
          <w:sz w:val="24"/>
          <w:szCs w:val="24"/>
        </w:rPr>
        <w:t>Uthman ibn Affan was elected to be the third caliph.</w:t>
      </w:r>
      <w:r w:rsidR="00D90FBF">
        <w:rPr>
          <w:rFonts w:ascii="Times New Roman" w:hAnsi="Times New Roman" w:cs="Times New Roman"/>
          <w:sz w:val="24"/>
          <w:szCs w:val="24"/>
        </w:rPr>
        <w:t xml:space="preserve"> Aiesha became aware of Uthman’s weaknesses and she was often outspoken towards her opposition to his administration.</w:t>
      </w:r>
      <w:r w:rsidR="00405D1E">
        <w:rPr>
          <w:rFonts w:ascii="Times New Roman" w:hAnsi="Times New Roman" w:cs="Times New Roman"/>
          <w:sz w:val="24"/>
          <w:szCs w:val="24"/>
        </w:rPr>
        <w:t xml:space="preserve"> Uthman was </w:t>
      </w:r>
      <w:r w:rsidR="000C1967">
        <w:rPr>
          <w:rFonts w:ascii="Times New Roman" w:hAnsi="Times New Roman" w:cs="Times New Roman"/>
          <w:sz w:val="24"/>
          <w:szCs w:val="24"/>
        </w:rPr>
        <w:t>assassinated in 656 AD while Aiesha was in Mecca performing the annual Hajj</w:t>
      </w:r>
      <w:r w:rsidR="005F1405">
        <w:rPr>
          <w:rFonts w:ascii="Times New Roman" w:hAnsi="Times New Roman" w:cs="Times New Roman"/>
          <w:sz w:val="24"/>
          <w:szCs w:val="24"/>
        </w:rPr>
        <w:t xml:space="preserve">. It was announced that Ali ibn Abi Talib had become the fourth caliph. Aiesha </w:t>
      </w:r>
      <w:r w:rsidR="00AC1381">
        <w:rPr>
          <w:rFonts w:ascii="Times New Roman" w:hAnsi="Times New Roman" w:cs="Times New Roman"/>
          <w:sz w:val="24"/>
          <w:szCs w:val="24"/>
        </w:rPr>
        <w:t xml:space="preserve">did not have a </w:t>
      </w:r>
      <w:r w:rsidR="00AC1381">
        <w:rPr>
          <w:rFonts w:ascii="Times New Roman" w:hAnsi="Times New Roman" w:cs="Times New Roman"/>
          <w:sz w:val="24"/>
          <w:szCs w:val="24"/>
        </w:rPr>
        <w:lastRenderedPageBreak/>
        <w:t>good relationship with Uthman but she was now demanding blood vengeance for Uthman’s murder. The demand for blood vengeance was for political reasons rather than a sincere attempt to get revenge for Uthman’s death. It was well known that Aiesha took a great di</w:t>
      </w:r>
      <w:r w:rsidR="008454F4">
        <w:rPr>
          <w:rFonts w:ascii="Times New Roman" w:hAnsi="Times New Roman" w:cs="Times New Roman"/>
          <w:sz w:val="24"/>
          <w:szCs w:val="24"/>
        </w:rPr>
        <w:t>slike to Ali</w:t>
      </w:r>
      <w:r w:rsidR="008417E5">
        <w:rPr>
          <w:rFonts w:ascii="Times New Roman" w:hAnsi="Times New Roman" w:cs="Times New Roman"/>
          <w:sz w:val="24"/>
          <w:szCs w:val="24"/>
        </w:rPr>
        <w:t>, it is believed that she had not forgiven him for his comments to Muhammad when she had been accused of adultery. Ali claimed that he could not do anything to bring to justice the people who assassinated Uthman.</w:t>
      </w:r>
    </w:p>
    <w:p w14:paraId="50A9F55B" w14:textId="25DC4492" w:rsidR="008417E5" w:rsidRDefault="00EE0031">
      <w:pPr>
        <w:rPr>
          <w:rFonts w:ascii="Times New Roman" w:hAnsi="Times New Roman" w:cs="Times New Roman"/>
          <w:sz w:val="24"/>
          <w:szCs w:val="24"/>
        </w:rPr>
      </w:pPr>
      <w:r>
        <w:rPr>
          <w:rFonts w:ascii="Times New Roman" w:hAnsi="Times New Roman" w:cs="Times New Roman"/>
          <w:sz w:val="24"/>
          <w:szCs w:val="24"/>
        </w:rPr>
        <w:t>Aiesha managed to raise an army of three thousand people with the help of two of her brothers in laws Talha and Zubayr and Uthman’s governor in Mecca Abdullah bin Aamir Hadhrami and Marwan a member of the Manu Umayya tribe</w:t>
      </w:r>
      <w:r w:rsidR="00B4426B">
        <w:rPr>
          <w:rFonts w:ascii="Times New Roman" w:hAnsi="Times New Roman" w:cs="Times New Roman"/>
          <w:sz w:val="24"/>
          <w:szCs w:val="24"/>
        </w:rPr>
        <w:t>, they began their journey to Basra. Ali sent a letter to Aiesha asking to stop and think about her actions</w:t>
      </w:r>
      <w:r w:rsidR="00ED7BC8">
        <w:rPr>
          <w:rFonts w:ascii="Times New Roman" w:hAnsi="Times New Roman" w:cs="Times New Roman"/>
          <w:sz w:val="24"/>
          <w:szCs w:val="24"/>
        </w:rPr>
        <w:t xml:space="preserve"> and that she was sowing seeds of civil war among her own people. God had commanded that she should stay at home so she must obey him.</w:t>
      </w:r>
      <w:r w:rsidR="00933533">
        <w:rPr>
          <w:rFonts w:ascii="Times New Roman" w:hAnsi="Times New Roman" w:cs="Times New Roman"/>
          <w:sz w:val="24"/>
          <w:szCs w:val="24"/>
        </w:rPr>
        <w:t xml:space="preserve"> On the 4</w:t>
      </w:r>
      <w:r w:rsidR="00933533" w:rsidRPr="00933533">
        <w:rPr>
          <w:rFonts w:ascii="Times New Roman" w:hAnsi="Times New Roman" w:cs="Times New Roman"/>
          <w:sz w:val="24"/>
          <w:szCs w:val="24"/>
          <w:vertAlign w:val="superscript"/>
        </w:rPr>
        <w:t>th</w:t>
      </w:r>
      <w:r w:rsidR="00933533">
        <w:rPr>
          <w:rFonts w:ascii="Times New Roman" w:hAnsi="Times New Roman" w:cs="Times New Roman"/>
          <w:sz w:val="24"/>
          <w:szCs w:val="24"/>
        </w:rPr>
        <w:t xml:space="preserve"> December, 656 AD </w:t>
      </w:r>
      <w:r w:rsidR="0067756F">
        <w:rPr>
          <w:rFonts w:ascii="Times New Roman" w:hAnsi="Times New Roman" w:cs="Times New Roman"/>
          <w:sz w:val="24"/>
          <w:szCs w:val="24"/>
        </w:rPr>
        <w:t>the</w:t>
      </w:r>
      <w:r w:rsidR="00933533">
        <w:rPr>
          <w:rFonts w:ascii="Times New Roman" w:hAnsi="Times New Roman" w:cs="Times New Roman"/>
          <w:sz w:val="24"/>
          <w:szCs w:val="24"/>
        </w:rPr>
        <w:t xml:space="preserve"> Battle of Basra began, this battle was also known as the battle of </w:t>
      </w:r>
      <w:r w:rsidR="0067756F">
        <w:rPr>
          <w:rFonts w:ascii="Times New Roman" w:hAnsi="Times New Roman" w:cs="Times New Roman"/>
          <w:sz w:val="24"/>
          <w:szCs w:val="24"/>
        </w:rPr>
        <w:t>the camel, because of the camel Askar, that Aiesha rode into battle on</w:t>
      </w:r>
      <w:r w:rsidR="0089690B">
        <w:rPr>
          <w:rFonts w:ascii="Times New Roman" w:hAnsi="Times New Roman" w:cs="Times New Roman"/>
          <w:sz w:val="24"/>
          <w:szCs w:val="24"/>
        </w:rPr>
        <w:t xml:space="preserve"> and t</w:t>
      </w:r>
      <w:r w:rsidR="0067756F">
        <w:rPr>
          <w:rFonts w:ascii="Times New Roman" w:hAnsi="Times New Roman" w:cs="Times New Roman"/>
          <w:sz w:val="24"/>
          <w:szCs w:val="24"/>
        </w:rPr>
        <w:t>he fighting was said to take place around Aiesha, and her camel</w:t>
      </w:r>
      <w:r w:rsidR="0089690B">
        <w:rPr>
          <w:rFonts w:ascii="Times New Roman" w:hAnsi="Times New Roman" w:cs="Times New Roman"/>
          <w:sz w:val="24"/>
          <w:szCs w:val="24"/>
        </w:rPr>
        <w:t>.</w:t>
      </w:r>
      <w:r w:rsidR="0067756F">
        <w:rPr>
          <w:rFonts w:ascii="Times New Roman" w:hAnsi="Times New Roman" w:cs="Times New Roman"/>
          <w:sz w:val="24"/>
          <w:szCs w:val="24"/>
        </w:rPr>
        <w:t xml:space="preserve"> Ali gave orders to hamstring the animal</w:t>
      </w:r>
      <w:r w:rsidR="0089690B">
        <w:rPr>
          <w:rFonts w:ascii="Times New Roman" w:hAnsi="Times New Roman" w:cs="Times New Roman"/>
          <w:sz w:val="24"/>
          <w:szCs w:val="24"/>
        </w:rPr>
        <w:t>, w</w:t>
      </w:r>
      <w:r w:rsidR="0067756F">
        <w:rPr>
          <w:rFonts w:ascii="Times New Roman" w:hAnsi="Times New Roman" w:cs="Times New Roman"/>
          <w:sz w:val="24"/>
          <w:szCs w:val="24"/>
        </w:rPr>
        <w:t>hen the camel fell with Aiesha the battle was lost and Aiesha escaped with only a few scratches.</w:t>
      </w:r>
      <w:r w:rsidR="0067756F">
        <w:rPr>
          <w:rStyle w:val="FootnoteReference"/>
          <w:rFonts w:ascii="Times New Roman" w:hAnsi="Times New Roman" w:cs="Times New Roman"/>
          <w:sz w:val="24"/>
          <w:szCs w:val="24"/>
        </w:rPr>
        <w:footnoteReference w:id="15"/>
      </w:r>
    </w:p>
    <w:p w14:paraId="0E3F68D0" w14:textId="4DB51493" w:rsidR="00D82F95" w:rsidRDefault="00F15CDC">
      <w:pPr>
        <w:rPr>
          <w:rFonts w:ascii="Times New Roman" w:hAnsi="Times New Roman" w:cs="Times New Roman"/>
          <w:sz w:val="24"/>
          <w:szCs w:val="24"/>
        </w:rPr>
      </w:pPr>
      <w:r>
        <w:rPr>
          <w:rFonts w:ascii="Times New Roman" w:hAnsi="Times New Roman" w:cs="Times New Roman"/>
          <w:sz w:val="24"/>
          <w:szCs w:val="24"/>
        </w:rPr>
        <w:t>Aiesha had taken part in the first civil war, her prestige and power in the Muslim community had men follow</w:t>
      </w:r>
      <w:r w:rsidR="00EC4FE4">
        <w:rPr>
          <w:rFonts w:ascii="Times New Roman" w:hAnsi="Times New Roman" w:cs="Times New Roman"/>
          <w:sz w:val="24"/>
          <w:szCs w:val="24"/>
        </w:rPr>
        <w:t xml:space="preserve"> her into battle. The people who fought for Ali in the battle against Aiesha identify themselves as Shi’a</w:t>
      </w:r>
      <w:r w:rsidR="00453ED7">
        <w:rPr>
          <w:rFonts w:ascii="Times New Roman" w:hAnsi="Times New Roman" w:cs="Times New Roman"/>
          <w:sz w:val="24"/>
          <w:szCs w:val="24"/>
        </w:rPr>
        <w:t>, they believed that Ali should have been the first caliph and Sunni believe that Abu Bakr was the rightful first caliph. This split of the Muslim community was never to be reconciled.</w:t>
      </w:r>
    </w:p>
    <w:p w14:paraId="00D9143C" w14:textId="2AD4E41E" w:rsidR="00CD54C5" w:rsidRDefault="002D4BD4">
      <w:pPr>
        <w:rPr>
          <w:rFonts w:ascii="Times New Roman" w:hAnsi="Times New Roman" w:cs="Times New Roman"/>
          <w:sz w:val="24"/>
          <w:szCs w:val="24"/>
        </w:rPr>
      </w:pPr>
      <w:r>
        <w:rPr>
          <w:rFonts w:ascii="Times New Roman" w:hAnsi="Times New Roman" w:cs="Times New Roman"/>
          <w:sz w:val="24"/>
          <w:szCs w:val="24"/>
        </w:rPr>
        <w:t xml:space="preserve">Sunni Muslims believe that Aiesha was coerced into participating in the battle of Basra and </w:t>
      </w:r>
      <w:r w:rsidR="00D71443">
        <w:rPr>
          <w:rFonts w:ascii="Times New Roman" w:hAnsi="Times New Roman" w:cs="Times New Roman"/>
          <w:sz w:val="24"/>
          <w:szCs w:val="24"/>
        </w:rPr>
        <w:t>she should</w:t>
      </w:r>
      <w:r>
        <w:rPr>
          <w:rFonts w:ascii="Times New Roman" w:hAnsi="Times New Roman" w:cs="Times New Roman"/>
          <w:sz w:val="24"/>
          <w:szCs w:val="24"/>
        </w:rPr>
        <w:t xml:space="preserve"> not have interfered in the politics </w:t>
      </w:r>
      <w:r w:rsidR="0085183D">
        <w:rPr>
          <w:rFonts w:ascii="Times New Roman" w:hAnsi="Times New Roman" w:cs="Times New Roman"/>
          <w:sz w:val="24"/>
          <w:szCs w:val="24"/>
        </w:rPr>
        <w:t xml:space="preserve">of the Islamic community. She was excused of </w:t>
      </w:r>
      <w:r w:rsidR="0085183D">
        <w:rPr>
          <w:rFonts w:ascii="Times New Roman" w:hAnsi="Times New Roman" w:cs="Times New Roman"/>
          <w:sz w:val="24"/>
          <w:szCs w:val="24"/>
        </w:rPr>
        <w:lastRenderedPageBreak/>
        <w:t xml:space="preserve">her behaviour because she had </w:t>
      </w:r>
      <w:r w:rsidR="00D71443">
        <w:rPr>
          <w:rFonts w:ascii="Times New Roman" w:hAnsi="Times New Roman" w:cs="Times New Roman"/>
          <w:sz w:val="24"/>
          <w:szCs w:val="24"/>
        </w:rPr>
        <w:t>repented,</w:t>
      </w:r>
      <w:r w:rsidR="0085183D">
        <w:rPr>
          <w:rFonts w:ascii="Times New Roman" w:hAnsi="Times New Roman" w:cs="Times New Roman"/>
          <w:sz w:val="24"/>
          <w:szCs w:val="24"/>
        </w:rPr>
        <w:t xml:space="preserve"> and men had encouraged her to behave this way. Shi Muslims believe that Aiesha </w:t>
      </w:r>
      <w:r w:rsidR="00D71443">
        <w:rPr>
          <w:rFonts w:ascii="Times New Roman" w:hAnsi="Times New Roman" w:cs="Times New Roman"/>
          <w:sz w:val="24"/>
          <w:szCs w:val="24"/>
        </w:rPr>
        <w:t>was a fully responsible for her participation in the battle.</w:t>
      </w:r>
      <w:r w:rsidR="001549C2">
        <w:rPr>
          <w:rFonts w:ascii="Times New Roman" w:hAnsi="Times New Roman" w:cs="Times New Roman"/>
          <w:sz w:val="24"/>
          <w:szCs w:val="24"/>
        </w:rPr>
        <w:t xml:space="preserve"> Shi Muslims </w:t>
      </w:r>
      <w:r w:rsidR="00D9005D">
        <w:rPr>
          <w:rFonts w:ascii="Times New Roman" w:hAnsi="Times New Roman" w:cs="Times New Roman"/>
          <w:sz w:val="24"/>
          <w:szCs w:val="24"/>
        </w:rPr>
        <w:t>believe that Aiesha’s weakness in character was due to her been the daughter of Abu Bakr. She is seen as a negative female figure that used her sexuality as a weapon in the politics of succession. Aiesha was never exonerated of the accusation of adultery</w:t>
      </w:r>
      <w:r w:rsidR="00357B67">
        <w:rPr>
          <w:rFonts w:ascii="Times New Roman" w:hAnsi="Times New Roman" w:cs="Times New Roman"/>
          <w:sz w:val="24"/>
          <w:szCs w:val="24"/>
        </w:rPr>
        <w:t xml:space="preserve"> in Shi </w:t>
      </w:r>
      <w:r w:rsidR="004F00C6">
        <w:rPr>
          <w:rFonts w:ascii="Times New Roman" w:hAnsi="Times New Roman" w:cs="Times New Roman"/>
          <w:sz w:val="24"/>
          <w:szCs w:val="24"/>
        </w:rPr>
        <w:t>interpretations</w:t>
      </w:r>
      <w:r w:rsidR="00357B67">
        <w:rPr>
          <w:rFonts w:ascii="Times New Roman" w:hAnsi="Times New Roman" w:cs="Times New Roman"/>
          <w:sz w:val="24"/>
          <w:szCs w:val="24"/>
        </w:rPr>
        <w:t xml:space="preserve"> of the Qur’an verses. The role she played in the battle of Basra for Shi Muslims is one of the reasons they believe that women should not hold a powerful position in politics. Aiesha could never be a role model for women</w:t>
      </w:r>
      <w:r w:rsidR="004F00C6">
        <w:rPr>
          <w:rFonts w:ascii="Times New Roman" w:hAnsi="Times New Roman" w:cs="Times New Roman"/>
          <w:sz w:val="24"/>
          <w:szCs w:val="24"/>
        </w:rPr>
        <w:t>,</w:t>
      </w:r>
      <w:r w:rsidR="00357B67">
        <w:rPr>
          <w:rFonts w:ascii="Times New Roman" w:hAnsi="Times New Roman" w:cs="Times New Roman"/>
          <w:sz w:val="24"/>
          <w:szCs w:val="24"/>
        </w:rPr>
        <w:t xml:space="preserve"> but she is a warning to other women</w:t>
      </w:r>
      <w:r w:rsidR="004F00C6">
        <w:rPr>
          <w:rFonts w:ascii="Times New Roman" w:hAnsi="Times New Roman" w:cs="Times New Roman"/>
          <w:sz w:val="24"/>
          <w:szCs w:val="24"/>
        </w:rPr>
        <w:t xml:space="preserve">, </w:t>
      </w:r>
      <w:r w:rsidR="00357B67">
        <w:rPr>
          <w:rFonts w:ascii="Times New Roman" w:hAnsi="Times New Roman" w:cs="Times New Roman"/>
          <w:sz w:val="24"/>
          <w:szCs w:val="24"/>
        </w:rPr>
        <w:t xml:space="preserve">what could happen when uncontrolled females </w:t>
      </w:r>
      <w:r w:rsidR="004F00C6">
        <w:rPr>
          <w:rFonts w:ascii="Times New Roman" w:hAnsi="Times New Roman" w:cs="Times New Roman"/>
          <w:sz w:val="24"/>
          <w:szCs w:val="24"/>
        </w:rPr>
        <w:t>intervene in Muslim society.</w:t>
      </w:r>
      <w:r w:rsidR="004F00C6">
        <w:rPr>
          <w:rStyle w:val="FootnoteReference"/>
          <w:rFonts w:ascii="Times New Roman" w:hAnsi="Times New Roman" w:cs="Times New Roman"/>
          <w:sz w:val="24"/>
          <w:szCs w:val="24"/>
        </w:rPr>
        <w:footnoteReference w:id="16"/>
      </w:r>
    </w:p>
    <w:p w14:paraId="17FB00D2" w14:textId="70AB53DA" w:rsidR="00F66BDE" w:rsidRDefault="00A13A93">
      <w:pPr>
        <w:rPr>
          <w:rFonts w:ascii="Times New Roman" w:hAnsi="Times New Roman" w:cs="Times New Roman"/>
          <w:sz w:val="24"/>
          <w:szCs w:val="24"/>
        </w:rPr>
      </w:pPr>
      <w:r>
        <w:rPr>
          <w:rFonts w:ascii="Times New Roman" w:hAnsi="Times New Roman" w:cs="Times New Roman"/>
          <w:sz w:val="24"/>
          <w:szCs w:val="24"/>
        </w:rPr>
        <w:t xml:space="preserve">Aiesha had a </w:t>
      </w:r>
      <w:r w:rsidR="00605D4F">
        <w:rPr>
          <w:rFonts w:ascii="Times New Roman" w:hAnsi="Times New Roman" w:cs="Times New Roman"/>
          <w:sz w:val="24"/>
          <w:szCs w:val="24"/>
        </w:rPr>
        <w:t xml:space="preserve">good memory, she was </w:t>
      </w:r>
      <w:r w:rsidR="00E13504">
        <w:rPr>
          <w:rFonts w:ascii="Times New Roman" w:hAnsi="Times New Roman" w:cs="Times New Roman"/>
          <w:sz w:val="24"/>
          <w:szCs w:val="24"/>
        </w:rPr>
        <w:t>knowledgeable</w:t>
      </w:r>
      <w:r w:rsidR="00605D4F">
        <w:rPr>
          <w:rFonts w:ascii="Times New Roman" w:hAnsi="Times New Roman" w:cs="Times New Roman"/>
          <w:sz w:val="24"/>
          <w:szCs w:val="24"/>
        </w:rPr>
        <w:t xml:space="preserve"> in poetry, pre- Islamic lore and medicine. She had mastered the Arabic language and her authority as a source </w:t>
      </w:r>
      <w:r w:rsidR="00E13504">
        <w:rPr>
          <w:rFonts w:ascii="Times New Roman" w:hAnsi="Times New Roman" w:cs="Times New Roman"/>
          <w:sz w:val="24"/>
          <w:szCs w:val="24"/>
        </w:rPr>
        <w:t>of hadith</w:t>
      </w:r>
      <w:r w:rsidR="00605D4F">
        <w:rPr>
          <w:rFonts w:ascii="Times New Roman" w:hAnsi="Times New Roman" w:cs="Times New Roman"/>
          <w:sz w:val="24"/>
          <w:szCs w:val="24"/>
        </w:rPr>
        <w:t xml:space="preserve"> gave her a reputation that was unchallenged by Sunni Muslims.</w:t>
      </w:r>
      <w:r w:rsidR="00E13504">
        <w:rPr>
          <w:rFonts w:ascii="Times New Roman" w:hAnsi="Times New Roman" w:cs="Times New Roman"/>
          <w:sz w:val="24"/>
          <w:szCs w:val="24"/>
        </w:rPr>
        <w:t xml:space="preserve"> Her nephew Urwa ibn al-Zubayr is reported to have testified that there was no greater scholar than Aiesha when learning the Qur’an and she is said to have related 1210 hadiths.</w:t>
      </w:r>
      <w:r w:rsidR="00E13504">
        <w:rPr>
          <w:rStyle w:val="FootnoteReference"/>
          <w:rFonts w:ascii="Times New Roman" w:hAnsi="Times New Roman" w:cs="Times New Roman"/>
          <w:sz w:val="24"/>
          <w:szCs w:val="24"/>
        </w:rPr>
        <w:footnoteReference w:id="17"/>
      </w:r>
      <w:r w:rsidR="00F66BDE">
        <w:rPr>
          <w:rFonts w:ascii="Times New Roman" w:hAnsi="Times New Roman" w:cs="Times New Roman"/>
          <w:sz w:val="24"/>
          <w:szCs w:val="24"/>
        </w:rPr>
        <w:t>For Shi Muslims, Aiesha would never be a reputable source that would be used for the transmission of their past. She was an object of censure and a negative example of their faith.</w:t>
      </w:r>
    </w:p>
    <w:p w14:paraId="77BCC881" w14:textId="56844257" w:rsidR="00ED3BD1" w:rsidRDefault="00ED3BD1">
      <w:pPr>
        <w:rPr>
          <w:rFonts w:ascii="Times New Roman" w:hAnsi="Times New Roman" w:cs="Times New Roman"/>
          <w:sz w:val="24"/>
          <w:szCs w:val="24"/>
        </w:rPr>
      </w:pPr>
      <w:r>
        <w:rPr>
          <w:rFonts w:ascii="Times New Roman" w:hAnsi="Times New Roman" w:cs="Times New Roman"/>
          <w:sz w:val="24"/>
          <w:szCs w:val="24"/>
        </w:rPr>
        <w:t>Aiesha died on July the 13</w:t>
      </w:r>
      <w:r w:rsidRPr="00ED3BD1">
        <w:rPr>
          <w:rFonts w:ascii="Times New Roman" w:hAnsi="Times New Roman" w:cs="Times New Roman"/>
          <w:sz w:val="24"/>
          <w:szCs w:val="24"/>
          <w:vertAlign w:val="superscript"/>
        </w:rPr>
        <w:t>th</w:t>
      </w:r>
      <w:r>
        <w:rPr>
          <w:rFonts w:ascii="Times New Roman" w:hAnsi="Times New Roman" w:cs="Times New Roman"/>
          <w:sz w:val="24"/>
          <w:szCs w:val="24"/>
        </w:rPr>
        <w:t xml:space="preserve"> 678 AD, she was 64 years old</w:t>
      </w:r>
      <w:r w:rsidR="00FE2FA2">
        <w:rPr>
          <w:rFonts w:ascii="Times New Roman" w:hAnsi="Times New Roman" w:cs="Times New Roman"/>
          <w:sz w:val="24"/>
          <w:szCs w:val="24"/>
        </w:rPr>
        <w:t>. Her wishes were to not be buried next to Muhammad as she felt she had lost the purities or righteousness since his death. She was buried alongside Muhammad’s other wives in the Janat-ul-Baqi. Abu Hurairah the acting governor of Medina pronounced the last prayers.</w:t>
      </w:r>
      <w:r w:rsidR="00FE2FA2">
        <w:rPr>
          <w:rStyle w:val="FootnoteReference"/>
          <w:rFonts w:ascii="Times New Roman" w:hAnsi="Times New Roman" w:cs="Times New Roman"/>
          <w:sz w:val="24"/>
          <w:szCs w:val="24"/>
        </w:rPr>
        <w:footnoteReference w:id="18"/>
      </w:r>
    </w:p>
    <w:p w14:paraId="1F0A02E3" w14:textId="3F576427" w:rsidR="00490825" w:rsidRDefault="00490825">
      <w:pPr>
        <w:rPr>
          <w:rFonts w:ascii="Times New Roman" w:hAnsi="Times New Roman" w:cs="Times New Roman"/>
          <w:sz w:val="24"/>
          <w:szCs w:val="24"/>
        </w:rPr>
      </w:pPr>
      <w:r>
        <w:rPr>
          <w:rFonts w:ascii="Times New Roman" w:hAnsi="Times New Roman" w:cs="Times New Roman"/>
          <w:sz w:val="24"/>
          <w:szCs w:val="24"/>
        </w:rPr>
        <w:lastRenderedPageBreak/>
        <w:t xml:space="preserve">Contemporary issues surrounding Aiesha and Muhammad which can be found on websites and you tube, which are not classed as an academic source but are influential, is the issue surrounding the age of Aiesha when Muhammad </w:t>
      </w:r>
      <w:r w:rsidR="00460343">
        <w:rPr>
          <w:rFonts w:ascii="Times New Roman" w:hAnsi="Times New Roman" w:cs="Times New Roman"/>
          <w:sz w:val="24"/>
          <w:szCs w:val="24"/>
        </w:rPr>
        <w:t>consummated</w:t>
      </w:r>
      <w:r>
        <w:rPr>
          <w:rFonts w:ascii="Times New Roman" w:hAnsi="Times New Roman" w:cs="Times New Roman"/>
          <w:sz w:val="24"/>
          <w:szCs w:val="24"/>
        </w:rPr>
        <w:t xml:space="preserve"> the marriage. The question asked Was Muhammad a </w:t>
      </w:r>
      <w:r w:rsidR="00460343">
        <w:rPr>
          <w:rFonts w:ascii="Times New Roman" w:hAnsi="Times New Roman" w:cs="Times New Roman"/>
          <w:sz w:val="24"/>
          <w:szCs w:val="24"/>
        </w:rPr>
        <w:t>Paedophile</w:t>
      </w:r>
      <w:r>
        <w:rPr>
          <w:rFonts w:ascii="Times New Roman" w:hAnsi="Times New Roman" w:cs="Times New Roman"/>
          <w:sz w:val="24"/>
          <w:szCs w:val="24"/>
        </w:rPr>
        <w:t xml:space="preserve">? This material is offensive to Muslims as Muhammad </w:t>
      </w:r>
      <w:r w:rsidR="00460343">
        <w:rPr>
          <w:rFonts w:ascii="Times New Roman" w:hAnsi="Times New Roman" w:cs="Times New Roman"/>
          <w:sz w:val="24"/>
          <w:szCs w:val="24"/>
        </w:rPr>
        <w:t>is the servant of God and an example of what every man should strive to be.</w:t>
      </w:r>
      <w:r w:rsidR="00CA7FD2">
        <w:rPr>
          <w:rFonts w:ascii="Times New Roman" w:hAnsi="Times New Roman" w:cs="Times New Roman"/>
          <w:sz w:val="24"/>
          <w:szCs w:val="24"/>
        </w:rPr>
        <w:t xml:space="preserve"> In the defence of Muslims, in the time that Muhammad was born and lived, Arabs practised polygamy. Aiesha was the only wife of Muhammad that was young and a virgin. He could have easily married lots of young virgins if he had so wished but he did not. It was part of the Arabian culture to marry young girls when they reached puberty.</w:t>
      </w:r>
      <w:r w:rsidR="00C06051">
        <w:rPr>
          <w:rStyle w:val="FootnoteReference"/>
          <w:rFonts w:ascii="Times New Roman" w:hAnsi="Times New Roman" w:cs="Times New Roman"/>
          <w:sz w:val="24"/>
          <w:szCs w:val="24"/>
        </w:rPr>
        <w:footnoteReference w:id="19"/>
      </w:r>
    </w:p>
    <w:p w14:paraId="0F247C4D" w14:textId="550B26A0" w:rsidR="00026AD5" w:rsidRDefault="00026AD5">
      <w:pPr>
        <w:rPr>
          <w:rFonts w:ascii="Times New Roman" w:hAnsi="Times New Roman" w:cs="Times New Roman"/>
          <w:sz w:val="24"/>
          <w:szCs w:val="24"/>
        </w:rPr>
      </w:pPr>
      <w:r>
        <w:rPr>
          <w:rFonts w:ascii="Times New Roman" w:hAnsi="Times New Roman" w:cs="Times New Roman"/>
          <w:sz w:val="24"/>
          <w:szCs w:val="24"/>
        </w:rPr>
        <w:t xml:space="preserve">Aiesha was a role model to the early Muslim community. She was the beloved wife of the Prophet Muhammad and the daughter of Abu Bakr (the Successor to the Messenger of God). A Surah </w:t>
      </w:r>
      <w:r w:rsidRPr="00026AD5">
        <w:rPr>
          <w:rFonts w:ascii="Times New Roman" w:hAnsi="Times New Roman" w:cs="Times New Roman"/>
          <w:i/>
          <w:iCs/>
          <w:sz w:val="24"/>
          <w:szCs w:val="24"/>
        </w:rPr>
        <w:t>Al-Nur</w:t>
      </w:r>
      <w:r>
        <w:rPr>
          <w:rFonts w:ascii="Times New Roman" w:hAnsi="Times New Roman" w:cs="Times New Roman"/>
          <w:i/>
          <w:iCs/>
          <w:sz w:val="24"/>
          <w:szCs w:val="24"/>
        </w:rPr>
        <w:t xml:space="preserve"> (</w:t>
      </w:r>
      <w:r w:rsidRPr="00026AD5">
        <w:rPr>
          <w:rFonts w:ascii="Times New Roman" w:hAnsi="Times New Roman" w:cs="Times New Roman"/>
          <w:sz w:val="24"/>
          <w:szCs w:val="24"/>
        </w:rPr>
        <w:t>light</w:t>
      </w:r>
      <w:r>
        <w:rPr>
          <w:rFonts w:ascii="Times New Roman" w:hAnsi="Times New Roman" w:cs="Times New Roman"/>
          <w:sz w:val="24"/>
          <w:szCs w:val="24"/>
        </w:rPr>
        <w:t>) was revealed to Muhammad after Aiesha was accused of adultery, but she was purified of any wrongdoing by God with the sending down of the Surah. Both Muhammad and Abu Bakr chose to be with Aiesha on their death beds and were buried in her apartment. Aiesha had prestige and power in the community as many men followed her into battle at Basra. Sunni Muslims revere her contribution to the hadiths; Shi Muslims consider her to be a negative example of their faith and he could never be a role model to women.</w:t>
      </w:r>
    </w:p>
    <w:p w14:paraId="27D5AFFA" w14:textId="4BCCDA38" w:rsidR="000958CF" w:rsidRDefault="000958CF">
      <w:pPr>
        <w:rPr>
          <w:rFonts w:ascii="Times New Roman" w:hAnsi="Times New Roman" w:cs="Times New Roman"/>
          <w:sz w:val="24"/>
          <w:szCs w:val="24"/>
        </w:rPr>
      </w:pPr>
    </w:p>
    <w:p w14:paraId="0CDC6C5D" w14:textId="7F35F357" w:rsidR="000958CF" w:rsidRDefault="000958CF">
      <w:pPr>
        <w:rPr>
          <w:rFonts w:ascii="Times New Roman" w:hAnsi="Times New Roman" w:cs="Times New Roman"/>
          <w:sz w:val="24"/>
          <w:szCs w:val="24"/>
        </w:rPr>
      </w:pPr>
    </w:p>
    <w:p w14:paraId="53C53C5A" w14:textId="77777777" w:rsidR="000958CF" w:rsidRDefault="000958CF">
      <w:pPr>
        <w:rPr>
          <w:rFonts w:ascii="Times New Roman" w:hAnsi="Times New Roman" w:cs="Times New Roman"/>
          <w:sz w:val="24"/>
          <w:szCs w:val="24"/>
        </w:rPr>
      </w:pPr>
    </w:p>
    <w:p w14:paraId="1C489090" w14:textId="77777777" w:rsidR="00746F9C" w:rsidRDefault="00746F9C">
      <w:pPr>
        <w:rPr>
          <w:rFonts w:ascii="Times New Roman" w:hAnsi="Times New Roman" w:cs="Times New Roman"/>
          <w:sz w:val="24"/>
          <w:szCs w:val="24"/>
        </w:rPr>
      </w:pPr>
    </w:p>
    <w:p w14:paraId="7D95A36C" w14:textId="2C1F7EBD" w:rsidR="00ED3BD1" w:rsidRDefault="000958CF">
      <w:pPr>
        <w:rPr>
          <w:rFonts w:ascii="Times New Roman" w:hAnsi="Times New Roman" w:cs="Times New Roman"/>
          <w:sz w:val="24"/>
          <w:szCs w:val="24"/>
          <w:u w:val="single"/>
        </w:rPr>
      </w:pPr>
      <w:r w:rsidRPr="000958CF">
        <w:rPr>
          <w:rFonts w:ascii="Times New Roman" w:hAnsi="Times New Roman" w:cs="Times New Roman"/>
          <w:sz w:val="24"/>
          <w:szCs w:val="24"/>
          <w:u w:val="single"/>
        </w:rPr>
        <w:lastRenderedPageBreak/>
        <w:t>Bibliography</w:t>
      </w:r>
    </w:p>
    <w:p w14:paraId="181AE8B2" w14:textId="77777777" w:rsidR="00EC3568" w:rsidRDefault="00EC3568">
      <w:pPr>
        <w:rPr>
          <w:rFonts w:ascii="Arial" w:hAnsi="Arial" w:cs="Arial"/>
          <w:color w:val="000000"/>
          <w:sz w:val="19"/>
          <w:szCs w:val="19"/>
        </w:rPr>
      </w:pPr>
      <w:r>
        <w:rPr>
          <w:rFonts w:ascii="Arial" w:hAnsi="Arial" w:cs="Arial"/>
          <w:color w:val="000000"/>
          <w:sz w:val="19"/>
          <w:szCs w:val="19"/>
        </w:rPr>
        <w:t xml:space="preserve">, </w:t>
      </w:r>
      <w:r>
        <w:rPr>
          <w:rFonts w:ascii="Arial" w:hAnsi="Arial" w:cs="Arial"/>
          <w:i/>
          <w:iCs/>
          <w:color w:val="000000"/>
          <w:sz w:val="19"/>
          <w:szCs w:val="19"/>
        </w:rPr>
        <w:t>The Qur'an</w:t>
      </w:r>
      <w:r>
        <w:rPr>
          <w:rFonts w:ascii="Arial" w:hAnsi="Arial" w:cs="Arial"/>
          <w:color w:val="000000"/>
          <w:sz w:val="19"/>
          <w:szCs w:val="19"/>
        </w:rPr>
        <w:t>, trans. by A new translation by M.A.S. Abdel Haleem (Oxford: Oxford University Press, 2004).</w:t>
      </w:r>
    </w:p>
    <w:p w14:paraId="5B5DC0DD" w14:textId="77777777" w:rsidR="00EC3568" w:rsidRDefault="00EC3568">
      <w:pPr>
        <w:rPr>
          <w:rFonts w:ascii="Arial" w:eastAsia="Times New Roman" w:hAnsi="Arial" w:cs="Arial"/>
          <w:color w:val="000000"/>
          <w:sz w:val="19"/>
          <w:szCs w:val="19"/>
          <w:lang w:eastAsia="en-GB"/>
        </w:rPr>
      </w:pPr>
      <w:r w:rsidRPr="004D18CA">
        <w:rPr>
          <w:rFonts w:ascii="Arial" w:eastAsia="Times New Roman" w:hAnsi="Arial" w:cs="Arial"/>
          <w:color w:val="000000"/>
          <w:sz w:val="19"/>
          <w:szCs w:val="19"/>
          <w:lang w:eastAsia="en-GB"/>
        </w:rPr>
        <w:t xml:space="preserve"> Abbott</w:t>
      </w:r>
      <w:r>
        <w:rPr>
          <w:rFonts w:ascii="Arial" w:eastAsia="Times New Roman" w:hAnsi="Arial" w:cs="Arial"/>
          <w:color w:val="000000"/>
          <w:sz w:val="19"/>
          <w:szCs w:val="19"/>
          <w:lang w:eastAsia="en-GB"/>
        </w:rPr>
        <w:t xml:space="preserve"> Nabia</w:t>
      </w:r>
      <w:r w:rsidRPr="004D18CA">
        <w:rPr>
          <w:rFonts w:ascii="Arial" w:eastAsia="Times New Roman" w:hAnsi="Arial" w:cs="Arial"/>
          <w:color w:val="000000"/>
          <w:sz w:val="19"/>
          <w:szCs w:val="19"/>
          <w:lang w:eastAsia="en-GB"/>
        </w:rPr>
        <w:t xml:space="preserve">, </w:t>
      </w:r>
      <w:r w:rsidRPr="004D18CA">
        <w:rPr>
          <w:rFonts w:ascii="Arial" w:eastAsia="Times New Roman" w:hAnsi="Arial" w:cs="Arial"/>
          <w:i/>
          <w:iCs/>
          <w:color w:val="000000"/>
          <w:sz w:val="19"/>
          <w:szCs w:val="19"/>
          <w:lang w:eastAsia="en-GB"/>
        </w:rPr>
        <w:t>Aishah</w:t>
      </w:r>
      <w:r>
        <w:rPr>
          <w:rFonts w:ascii="Arial" w:eastAsia="Times New Roman" w:hAnsi="Arial" w:cs="Arial"/>
          <w:i/>
          <w:iCs/>
          <w:color w:val="000000"/>
          <w:sz w:val="19"/>
          <w:szCs w:val="19"/>
          <w:lang w:eastAsia="en-GB"/>
        </w:rPr>
        <w:t xml:space="preserve">: </w:t>
      </w:r>
      <w:r w:rsidRPr="004D18CA">
        <w:rPr>
          <w:rFonts w:ascii="Arial" w:eastAsia="Times New Roman" w:hAnsi="Arial" w:cs="Arial"/>
          <w:i/>
          <w:iCs/>
          <w:color w:val="000000"/>
          <w:sz w:val="19"/>
          <w:szCs w:val="19"/>
          <w:lang w:eastAsia="en-GB"/>
        </w:rPr>
        <w:t>The Beloved of Mohammed</w:t>
      </w:r>
      <w:r w:rsidRPr="004D18CA">
        <w:rPr>
          <w:rFonts w:ascii="Arial" w:eastAsia="Times New Roman" w:hAnsi="Arial" w:cs="Arial"/>
          <w:color w:val="000000"/>
          <w:sz w:val="19"/>
          <w:szCs w:val="19"/>
          <w:lang w:eastAsia="en-GB"/>
        </w:rPr>
        <w:t xml:space="preserve"> (London: Al Saqi Books, 1985)</w:t>
      </w:r>
      <w:r>
        <w:rPr>
          <w:rFonts w:ascii="Arial" w:eastAsia="Times New Roman" w:hAnsi="Arial" w:cs="Arial"/>
          <w:color w:val="000000"/>
          <w:sz w:val="19"/>
          <w:szCs w:val="19"/>
          <w:lang w:eastAsia="en-GB"/>
        </w:rPr>
        <w:t>.</w:t>
      </w:r>
    </w:p>
    <w:p w14:paraId="36BCD413" w14:textId="77777777" w:rsidR="00EC3568" w:rsidRDefault="00EC3568">
      <w:pPr>
        <w:rPr>
          <w:rFonts w:ascii="Arial" w:hAnsi="Arial" w:cs="Arial"/>
          <w:color w:val="000000"/>
          <w:sz w:val="19"/>
          <w:szCs w:val="19"/>
        </w:rPr>
      </w:pPr>
      <w:r>
        <w:rPr>
          <w:rFonts w:ascii="Arial" w:hAnsi="Arial" w:cs="Arial"/>
          <w:color w:val="000000"/>
          <w:sz w:val="19"/>
          <w:szCs w:val="19"/>
        </w:rPr>
        <w:t xml:space="preserve"> Afsaruddin</w:t>
      </w:r>
      <w:r>
        <w:rPr>
          <w:rFonts w:ascii="Arial" w:hAnsi="Arial" w:cs="Arial"/>
          <w:color w:val="000000"/>
          <w:sz w:val="19"/>
          <w:szCs w:val="19"/>
        </w:rPr>
        <w:t xml:space="preserve"> Asma</w:t>
      </w:r>
      <w:r>
        <w:rPr>
          <w:rFonts w:ascii="Arial" w:hAnsi="Arial" w:cs="Arial"/>
          <w:color w:val="000000"/>
          <w:sz w:val="19"/>
          <w:szCs w:val="19"/>
        </w:rPr>
        <w:t xml:space="preserve">, </w:t>
      </w:r>
      <w:r>
        <w:rPr>
          <w:rFonts w:ascii="Arial" w:hAnsi="Arial" w:cs="Arial"/>
          <w:i/>
          <w:iCs/>
          <w:color w:val="000000"/>
          <w:sz w:val="19"/>
          <w:szCs w:val="19"/>
        </w:rPr>
        <w:t>Abu Bakr</w:t>
      </w:r>
      <w:r>
        <w:rPr>
          <w:rFonts w:ascii="Arial" w:hAnsi="Arial" w:cs="Arial"/>
          <w:color w:val="000000"/>
          <w:sz w:val="19"/>
          <w:szCs w:val="19"/>
        </w:rPr>
        <w:t xml:space="preserve"> (2019) &lt;http://www.oxfordislamicstudies.com.ezproxy.uwtsd.ac.uk/article/opr/t236/e1006?_hi=0&amp;_pos=1&gt; [accessed 5 June 2019].</w:t>
      </w:r>
    </w:p>
    <w:p w14:paraId="0520A510" w14:textId="77777777" w:rsidR="00EC3568" w:rsidRDefault="00EC3568">
      <w:pPr>
        <w:rPr>
          <w:rFonts w:ascii="Arial" w:eastAsia="Times New Roman" w:hAnsi="Arial" w:cs="Arial"/>
          <w:color w:val="000000"/>
          <w:sz w:val="19"/>
          <w:szCs w:val="19"/>
          <w:lang w:eastAsia="en-GB"/>
        </w:rPr>
      </w:pPr>
      <w:r>
        <w:rPr>
          <w:rFonts w:ascii="Arial" w:hAnsi="Arial" w:cs="Arial"/>
          <w:color w:val="000000"/>
          <w:sz w:val="19"/>
          <w:szCs w:val="19"/>
        </w:rPr>
        <w:t xml:space="preserve"> Gilani</w:t>
      </w:r>
      <w:r>
        <w:rPr>
          <w:rFonts w:ascii="Arial" w:hAnsi="Arial" w:cs="Arial"/>
          <w:color w:val="000000"/>
          <w:sz w:val="19"/>
          <w:szCs w:val="19"/>
        </w:rPr>
        <w:t xml:space="preserve"> Sadi</w:t>
      </w:r>
      <w:r>
        <w:rPr>
          <w:rFonts w:ascii="Arial" w:hAnsi="Arial" w:cs="Arial"/>
          <w:color w:val="000000"/>
          <w:sz w:val="19"/>
          <w:szCs w:val="19"/>
        </w:rPr>
        <w:t xml:space="preserve">, 'Aiesha Bint Abu Bakr', </w:t>
      </w:r>
      <w:r>
        <w:rPr>
          <w:rFonts w:ascii="Arial" w:hAnsi="Arial" w:cs="Arial"/>
          <w:i/>
          <w:iCs/>
          <w:color w:val="000000"/>
          <w:sz w:val="19"/>
          <w:szCs w:val="19"/>
        </w:rPr>
        <w:t>Defence Journal</w:t>
      </w:r>
      <w:r>
        <w:rPr>
          <w:rFonts w:ascii="Arial" w:hAnsi="Arial" w:cs="Arial"/>
          <w:color w:val="000000"/>
          <w:sz w:val="19"/>
          <w:szCs w:val="19"/>
        </w:rPr>
        <w:t>, 16.7, (2013), 50-56.</w:t>
      </w:r>
    </w:p>
    <w:p w14:paraId="50690737" w14:textId="77777777" w:rsidR="00EC3568" w:rsidRDefault="00EC3568">
      <w:pPr>
        <w:rPr>
          <w:rFonts w:ascii="Arial" w:hAnsi="Arial" w:cs="Arial"/>
          <w:color w:val="000000"/>
          <w:sz w:val="19"/>
          <w:szCs w:val="19"/>
        </w:rPr>
      </w:pPr>
      <w:r>
        <w:rPr>
          <w:rFonts w:ascii="Arial" w:hAnsi="Arial" w:cs="Arial"/>
          <w:color w:val="000000"/>
          <w:sz w:val="19"/>
          <w:szCs w:val="19"/>
        </w:rPr>
        <w:t xml:space="preserve"> Lings</w:t>
      </w:r>
      <w:r>
        <w:rPr>
          <w:rFonts w:ascii="Arial" w:hAnsi="Arial" w:cs="Arial"/>
          <w:color w:val="000000"/>
          <w:sz w:val="19"/>
          <w:szCs w:val="19"/>
        </w:rPr>
        <w:t xml:space="preserve"> Martin</w:t>
      </w:r>
      <w:r>
        <w:rPr>
          <w:rFonts w:ascii="Arial" w:hAnsi="Arial" w:cs="Arial"/>
          <w:color w:val="000000"/>
          <w:sz w:val="19"/>
          <w:szCs w:val="19"/>
        </w:rPr>
        <w:t xml:space="preserve">, </w:t>
      </w:r>
      <w:r>
        <w:rPr>
          <w:rFonts w:ascii="Arial" w:hAnsi="Arial" w:cs="Arial"/>
          <w:i/>
          <w:iCs/>
          <w:color w:val="000000"/>
          <w:sz w:val="19"/>
          <w:szCs w:val="19"/>
        </w:rPr>
        <w:t>Muhammad; his life based on the earliest sources</w:t>
      </w:r>
      <w:r>
        <w:rPr>
          <w:rFonts w:ascii="Arial" w:hAnsi="Arial" w:cs="Arial"/>
          <w:color w:val="000000"/>
          <w:sz w:val="19"/>
          <w:szCs w:val="19"/>
        </w:rPr>
        <w:t>, Rev, (London: The Islamic Texts Society, 1991)</w:t>
      </w:r>
      <w:r>
        <w:rPr>
          <w:rFonts w:ascii="Arial" w:hAnsi="Arial" w:cs="Arial"/>
          <w:color w:val="000000"/>
          <w:sz w:val="19"/>
          <w:szCs w:val="19"/>
        </w:rPr>
        <w:t>.</w:t>
      </w:r>
    </w:p>
    <w:p w14:paraId="6846AFDB" w14:textId="77777777" w:rsidR="00EC3568" w:rsidRDefault="00EC3568">
      <w:pPr>
        <w:rPr>
          <w:rFonts w:ascii="Arial" w:hAnsi="Arial" w:cs="Arial"/>
          <w:color w:val="000000"/>
          <w:sz w:val="19"/>
          <w:szCs w:val="19"/>
        </w:rPr>
      </w:pPr>
      <w:r>
        <w:rPr>
          <w:rFonts w:ascii="Arial" w:hAnsi="Arial" w:cs="Arial"/>
          <w:color w:val="000000"/>
          <w:sz w:val="19"/>
          <w:szCs w:val="19"/>
        </w:rPr>
        <w:t xml:space="preserve"> Spellberg</w:t>
      </w:r>
      <w:r>
        <w:rPr>
          <w:rFonts w:ascii="Arial" w:hAnsi="Arial" w:cs="Arial"/>
          <w:color w:val="000000"/>
          <w:sz w:val="19"/>
          <w:szCs w:val="19"/>
        </w:rPr>
        <w:t xml:space="preserve"> D.A</w:t>
      </w:r>
      <w:r>
        <w:rPr>
          <w:rFonts w:ascii="Arial" w:hAnsi="Arial" w:cs="Arial"/>
          <w:color w:val="000000"/>
          <w:sz w:val="19"/>
          <w:szCs w:val="19"/>
        </w:rPr>
        <w:t xml:space="preserve">, </w:t>
      </w:r>
      <w:r>
        <w:rPr>
          <w:rFonts w:ascii="Arial" w:hAnsi="Arial" w:cs="Arial"/>
          <w:i/>
          <w:iCs/>
          <w:color w:val="000000"/>
          <w:sz w:val="19"/>
          <w:szCs w:val="19"/>
        </w:rPr>
        <w:t>Politics, Gender, and the Islamic Past: The Legacy of Aisha Bint Abi Bakr</w:t>
      </w:r>
      <w:r>
        <w:rPr>
          <w:rFonts w:ascii="Arial" w:hAnsi="Arial" w:cs="Arial"/>
          <w:color w:val="000000"/>
          <w:sz w:val="19"/>
          <w:szCs w:val="19"/>
        </w:rPr>
        <w:t xml:space="preserve"> (New York: Columbia University Press, 1994)</w:t>
      </w:r>
      <w:r>
        <w:rPr>
          <w:rFonts w:ascii="Arial" w:hAnsi="Arial" w:cs="Arial"/>
          <w:color w:val="000000"/>
          <w:sz w:val="19"/>
          <w:szCs w:val="19"/>
        </w:rPr>
        <w:t>.</w:t>
      </w:r>
    </w:p>
    <w:p w14:paraId="7AD54D74" w14:textId="77777777" w:rsidR="00EC3568" w:rsidRDefault="00EC3568">
      <w:pPr>
        <w:rPr>
          <w:rFonts w:ascii="Arial" w:hAnsi="Arial" w:cs="Arial"/>
          <w:color w:val="000000"/>
          <w:sz w:val="19"/>
          <w:szCs w:val="19"/>
        </w:rPr>
      </w:pPr>
      <w:r>
        <w:rPr>
          <w:rFonts w:ascii="Arial" w:hAnsi="Arial" w:cs="Arial"/>
          <w:color w:val="000000"/>
          <w:sz w:val="19"/>
          <w:szCs w:val="19"/>
        </w:rPr>
        <w:t xml:space="preserve"> Walker </w:t>
      </w:r>
      <w:r>
        <w:rPr>
          <w:rFonts w:ascii="Arial" w:hAnsi="Arial" w:cs="Arial"/>
          <w:color w:val="000000"/>
          <w:sz w:val="19"/>
          <w:szCs w:val="19"/>
        </w:rPr>
        <w:t>Ashley Manjarezz</w:t>
      </w:r>
      <w:r>
        <w:rPr>
          <w:rFonts w:ascii="Arial" w:hAnsi="Arial" w:cs="Arial"/>
          <w:color w:val="000000"/>
          <w:sz w:val="19"/>
          <w:szCs w:val="19"/>
        </w:rPr>
        <w:t>,</w:t>
      </w:r>
      <w:r>
        <w:rPr>
          <w:rFonts w:ascii="Arial" w:hAnsi="Arial" w:cs="Arial"/>
          <w:color w:val="000000"/>
          <w:sz w:val="19"/>
          <w:szCs w:val="19"/>
        </w:rPr>
        <w:t xml:space="preserve"> &amp; Sells</w:t>
      </w:r>
      <w:r>
        <w:rPr>
          <w:rFonts w:ascii="Arial" w:hAnsi="Arial" w:cs="Arial"/>
          <w:color w:val="000000"/>
          <w:sz w:val="19"/>
          <w:szCs w:val="19"/>
        </w:rPr>
        <w:t xml:space="preserve"> Michael A</w:t>
      </w:r>
      <w:r>
        <w:rPr>
          <w:rFonts w:ascii="Arial" w:hAnsi="Arial" w:cs="Arial"/>
          <w:color w:val="000000"/>
          <w:sz w:val="19"/>
          <w:szCs w:val="19"/>
        </w:rPr>
        <w:t xml:space="preserve">, 'THE WILES OF WOMEN AND PERFORMATIVE INTERTEXTUALITY: 'A'ISHA, THE HADITH OF THE SLANDER, AND THE SURA OF YUSUF ', </w:t>
      </w:r>
      <w:r>
        <w:rPr>
          <w:rFonts w:ascii="Arial" w:hAnsi="Arial" w:cs="Arial"/>
          <w:i/>
          <w:iCs/>
          <w:color w:val="000000"/>
          <w:sz w:val="19"/>
          <w:szCs w:val="19"/>
        </w:rPr>
        <w:t>Journal of Arabic Literature</w:t>
      </w:r>
      <w:r>
        <w:rPr>
          <w:rFonts w:ascii="Arial" w:hAnsi="Arial" w:cs="Arial"/>
          <w:color w:val="000000"/>
          <w:sz w:val="19"/>
          <w:szCs w:val="19"/>
        </w:rPr>
        <w:t>, 30.1, (1999), 55-77</w:t>
      </w:r>
      <w:r>
        <w:rPr>
          <w:rFonts w:ascii="Arial" w:hAnsi="Arial" w:cs="Arial"/>
          <w:color w:val="000000"/>
          <w:sz w:val="19"/>
          <w:szCs w:val="19"/>
        </w:rPr>
        <w:t>.</w:t>
      </w:r>
    </w:p>
    <w:p w14:paraId="640966BB" w14:textId="77777777" w:rsidR="00EC3568" w:rsidRDefault="00EC3568">
      <w:pPr>
        <w:rPr>
          <w:rFonts w:ascii="Arial" w:hAnsi="Arial" w:cs="Arial"/>
          <w:color w:val="000000"/>
          <w:sz w:val="19"/>
          <w:szCs w:val="19"/>
        </w:rPr>
      </w:pPr>
      <w:r>
        <w:rPr>
          <w:rFonts w:ascii="Arial" w:hAnsi="Arial" w:cs="Arial"/>
          <w:color w:val="000000"/>
          <w:sz w:val="19"/>
          <w:szCs w:val="19"/>
        </w:rPr>
        <w:t xml:space="preserve"> Wood</w:t>
      </w:r>
      <w:r>
        <w:rPr>
          <w:rFonts w:ascii="Arial" w:hAnsi="Arial" w:cs="Arial"/>
          <w:color w:val="000000"/>
          <w:sz w:val="19"/>
          <w:szCs w:val="19"/>
        </w:rPr>
        <w:t xml:space="preserve"> David</w:t>
      </w:r>
      <w:r>
        <w:rPr>
          <w:rFonts w:ascii="Arial" w:hAnsi="Arial" w:cs="Arial"/>
          <w:color w:val="000000"/>
          <w:sz w:val="19"/>
          <w:szCs w:val="19"/>
        </w:rPr>
        <w:t xml:space="preserve">, </w:t>
      </w:r>
      <w:r>
        <w:rPr>
          <w:rFonts w:ascii="Arial" w:hAnsi="Arial" w:cs="Arial"/>
          <w:i/>
          <w:iCs/>
          <w:color w:val="000000"/>
          <w:sz w:val="19"/>
          <w:szCs w:val="19"/>
        </w:rPr>
        <w:t>Was Muhammad a Pedophile?</w:t>
      </w:r>
      <w:r>
        <w:rPr>
          <w:rFonts w:ascii="Arial" w:hAnsi="Arial" w:cs="Arial"/>
          <w:color w:val="000000"/>
          <w:sz w:val="19"/>
          <w:szCs w:val="19"/>
        </w:rPr>
        <w:t xml:space="preserve"> (2019) &lt;https://myislam.dk/articles/en/wood%20was-</w:t>
      </w:r>
      <w:bookmarkStart w:id="5" w:name="_GoBack"/>
      <w:bookmarkEnd w:id="5"/>
      <w:r>
        <w:rPr>
          <w:rFonts w:ascii="Arial" w:hAnsi="Arial" w:cs="Arial"/>
          <w:color w:val="000000"/>
          <w:sz w:val="19"/>
          <w:szCs w:val="19"/>
        </w:rPr>
        <w:t>muhammad-a-pedophile.php&gt; [accessed 6 June 2019].</w:t>
      </w:r>
    </w:p>
    <w:p w14:paraId="104D4D0D" w14:textId="77777777" w:rsidR="000958CF" w:rsidRDefault="000958CF">
      <w:pPr>
        <w:rPr>
          <w:rFonts w:ascii="Times New Roman" w:hAnsi="Times New Roman" w:cs="Times New Roman"/>
          <w:sz w:val="24"/>
          <w:szCs w:val="24"/>
          <w:u w:val="single"/>
        </w:rPr>
      </w:pPr>
    </w:p>
    <w:p w14:paraId="08908A8A" w14:textId="77777777" w:rsidR="000958CF" w:rsidRDefault="000958CF">
      <w:pPr>
        <w:rPr>
          <w:rFonts w:ascii="Times New Roman" w:hAnsi="Times New Roman" w:cs="Times New Roman"/>
          <w:sz w:val="24"/>
          <w:szCs w:val="24"/>
          <w:u w:val="single"/>
        </w:rPr>
      </w:pPr>
    </w:p>
    <w:p w14:paraId="6834F0FD" w14:textId="77777777" w:rsidR="000958CF" w:rsidRPr="000958CF" w:rsidRDefault="000958CF">
      <w:pPr>
        <w:rPr>
          <w:rFonts w:ascii="Times New Roman" w:hAnsi="Times New Roman" w:cs="Times New Roman"/>
          <w:sz w:val="24"/>
          <w:szCs w:val="24"/>
          <w:u w:val="single"/>
        </w:rPr>
      </w:pPr>
    </w:p>
    <w:p w14:paraId="3AFFE607" w14:textId="77777777" w:rsidR="004F00C6" w:rsidRDefault="004F00C6">
      <w:pPr>
        <w:rPr>
          <w:rFonts w:ascii="Times New Roman" w:hAnsi="Times New Roman" w:cs="Times New Roman"/>
          <w:sz w:val="24"/>
          <w:szCs w:val="24"/>
        </w:rPr>
      </w:pPr>
    </w:p>
    <w:p w14:paraId="4D7C53E2" w14:textId="77777777" w:rsidR="00BC3C2E" w:rsidRDefault="00BC3C2E">
      <w:pPr>
        <w:rPr>
          <w:rFonts w:ascii="Times New Roman" w:hAnsi="Times New Roman" w:cs="Times New Roman"/>
          <w:sz w:val="24"/>
          <w:szCs w:val="24"/>
        </w:rPr>
      </w:pPr>
    </w:p>
    <w:p w14:paraId="5DD60C83" w14:textId="77777777" w:rsidR="00F8346C" w:rsidRDefault="00F8346C">
      <w:pPr>
        <w:rPr>
          <w:rFonts w:ascii="Times New Roman" w:hAnsi="Times New Roman" w:cs="Times New Roman"/>
          <w:sz w:val="24"/>
          <w:szCs w:val="24"/>
        </w:rPr>
      </w:pPr>
    </w:p>
    <w:p w14:paraId="5856BFCD" w14:textId="77777777" w:rsidR="00B41834" w:rsidRDefault="00B41834">
      <w:pPr>
        <w:rPr>
          <w:rFonts w:ascii="Times New Roman" w:hAnsi="Times New Roman" w:cs="Times New Roman"/>
          <w:sz w:val="24"/>
          <w:szCs w:val="24"/>
        </w:rPr>
      </w:pPr>
    </w:p>
    <w:p w14:paraId="3BE9EEAD" w14:textId="77777777" w:rsidR="00A65414" w:rsidRDefault="00A65414">
      <w:pPr>
        <w:rPr>
          <w:rFonts w:ascii="Times New Roman" w:hAnsi="Times New Roman" w:cs="Times New Roman"/>
          <w:sz w:val="24"/>
          <w:szCs w:val="24"/>
        </w:rPr>
      </w:pPr>
    </w:p>
    <w:p w14:paraId="2F740FD3" w14:textId="77777777" w:rsidR="00E27B58" w:rsidRPr="002C00C0" w:rsidRDefault="00E27B58">
      <w:pPr>
        <w:rPr>
          <w:rFonts w:ascii="Times New Roman" w:hAnsi="Times New Roman" w:cs="Times New Roman"/>
          <w:sz w:val="24"/>
          <w:szCs w:val="24"/>
        </w:rPr>
      </w:pPr>
    </w:p>
    <w:p w14:paraId="40B83B7F" w14:textId="77777777" w:rsidR="002C00C0" w:rsidRPr="002C00C0" w:rsidRDefault="002C00C0">
      <w:pPr>
        <w:rPr>
          <w:rFonts w:ascii="Times New Roman" w:hAnsi="Times New Roman" w:cs="Times New Roman"/>
          <w:sz w:val="24"/>
          <w:szCs w:val="24"/>
        </w:rPr>
      </w:pPr>
    </w:p>
    <w:sectPr w:rsidR="002C00C0" w:rsidRPr="002C00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86CE50" w14:textId="77777777" w:rsidR="00AC1381" w:rsidRDefault="00AC1381" w:rsidP="00F20D8C">
      <w:pPr>
        <w:spacing w:after="0" w:line="240" w:lineRule="auto"/>
      </w:pPr>
      <w:r>
        <w:separator/>
      </w:r>
    </w:p>
  </w:endnote>
  <w:endnote w:type="continuationSeparator" w:id="0">
    <w:p w14:paraId="6719D372" w14:textId="77777777" w:rsidR="00AC1381" w:rsidRDefault="00AC1381" w:rsidP="00F20D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FC3869" w14:textId="77777777" w:rsidR="00AC1381" w:rsidRDefault="00AC1381" w:rsidP="00F20D8C">
      <w:pPr>
        <w:spacing w:after="0" w:line="240" w:lineRule="auto"/>
      </w:pPr>
      <w:r>
        <w:separator/>
      </w:r>
    </w:p>
  </w:footnote>
  <w:footnote w:type="continuationSeparator" w:id="0">
    <w:p w14:paraId="788DE1F6" w14:textId="77777777" w:rsidR="00AC1381" w:rsidRDefault="00AC1381" w:rsidP="00F20D8C">
      <w:pPr>
        <w:spacing w:after="0" w:line="240" w:lineRule="auto"/>
      </w:pPr>
      <w:r>
        <w:continuationSeparator/>
      </w:r>
    </w:p>
  </w:footnote>
  <w:footnote w:id="1">
    <w:p w14:paraId="700D18F6" w14:textId="36CCD36F" w:rsidR="00AC1381" w:rsidRDefault="00AC1381">
      <w:pPr>
        <w:pStyle w:val="FootnoteText"/>
      </w:pPr>
      <w:r>
        <w:rPr>
          <w:rStyle w:val="FootnoteReference"/>
        </w:rPr>
        <w:footnoteRef/>
      </w:r>
      <w:r>
        <w:t xml:space="preserve"> </w:t>
      </w:r>
      <w:bookmarkStart w:id="0" w:name="_Hlk10738763"/>
      <w:r>
        <w:rPr>
          <w:rFonts w:ascii="Arial" w:hAnsi="Arial" w:cs="Arial"/>
          <w:color w:val="000000"/>
          <w:sz w:val="19"/>
          <w:szCs w:val="19"/>
        </w:rPr>
        <w:t xml:space="preserve">Sadi Gilani, 'Aiesha Bint Abu Bakr', </w:t>
      </w:r>
      <w:r>
        <w:rPr>
          <w:rFonts w:ascii="Arial" w:hAnsi="Arial" w:cs="Arial"/>
          <w:i/>
          <w:iCs/>
          <w:color w:val="000000"/>
          <w:sz w:val="19"/>
          <w:szCs w:val="19"/>
        </w:rPr>
        <w:t>Defence Journal</w:t>
      </w:r>
      <w:r>
        <w:rPr>
          <w:rFonts w:ascii="Arial" w:hAnsi="Arial" w:cs="Arial"/>
          <w:color w:val="000000"/>
          <w:sz w:val="19"/>
          <w:szCs w:val="19"/>
        </w:rPr>
        <w:t>, 16.7, (2013), 50-56.</w:t>
      </w:r>
      <w:bookmarkEnd w:id="0"/>
    </w:p>
  </w:footnote>
  <w:footnote w:id="2">
    <w:p w14:paraId="10D7C0B8" w14:textId="74B3C160" w:rsidR="00AC1381" w:rsidRPr="005331EC" w:rsidRDefault="00AC1381" w:rsidP="005331EC">
      <w:pPr>
        <w:rPr>
          <w:rFonts w:ascii="Arial" w:eastAsia="Times New Roman" w:hAnsi="Arial" w:cs="Arial"/>
          <w:color w:val="000000"/>
          <w:sz w:val="19"/>
          <w:szCs w:val="19"/>
          <w:lang w:eastAsia="en-GB"/>
        </w:rPr>
      </w:pPr>
      <w:r>
        <w:rPr>
          <w:rStyle w:val="FootnoteReference"/>
        </w:rPr>
        <w:footnoteRef/>
      </w:r>
      <w:r w:rsidRPr="004D18CA">
        <w:rPr>
          <w:rFonts w:ascii="Arial" w:eastAsia="Times New Roman" w:hAnsi="Arial" w:cs="Arial"/>
          <w:color w:val="000000"/>
          <w:sz w:val="19"/>
          <w:szCs w:val="19"/>
          <w:lang w:eastAsia="en-GB"/>
        </w:rPr>
        <w:t xml:space="preserve">Nabia Abbott, </w:t>
      </w:r>
      <w:r w:rsidRPr="004D18CA">
        <w:rPr>
          <w:rFonts w:ascii="Arial" w:eastAsia="Times New Roman" w:hAnsi="Arial" w:cs="Arial"/>
          <w:i/>
          <w:iCs/>
          <w:color w:val="000000"/>
          <w:sz w:val="19"/>
          <w:szCs w:val="19"/>
          <w:lang w:eastAsia="en-GB"/>
        </w:rPr>
        <w:t>Aishah</w:t>
      </w:r>
      <w:r>
        <w:rPr>
          <w:rFonts w:ascii="Arial" w:eastAsia="Times New Roman" w:hAnsi="Arial" w:cs="Arial"/>
          <w:i/>
          <w:iCs/>
          <w:color w:val="000000"/>
          <w:sz w:val="19"/>
          <w:szCs w:val="19"/>
          <w:lang w:eastAsia="en-GB"/>
        </w:rPr>
        <w:t xml:space="preserve">: </w:t>
      </w:r>
      <w:r w:rsidRPr="004D18CA">
        <w:rPr>
          <w:rFonts w:ascii="Arial" w:eastAsia="Times New Roman" w:hAnsi="Arial" w:cs="Arial"/>
          <w:i/>
          <w:iCs/>
          <w:color w:val="000000"/>
          <w:sz w:val="19"/>
          <w:szCs w:val="19"/>
          <w:lang w:eastAsia="en-GB"/>
        </w:rPr>
        <w:t>The Beloved of Mohammed</w:t>
      </w:r>
      <w:r w:rsidRPr="004D18CA">
        <w:rPr>
          <w:rFonts w:ascii="Arial" w:eastAsia="Times New Roman" w:hAnsi="Arial" w:cs="Arial"/>
          <w:color w:val="000000"/>
          <w:sz w:val="19"/>
          <w:szCs w:val="19"/>
          <w:lang w:eastAsia="en-GB"/>
        </w:rPr>
        <w:t xml:space="preserve"> (London: Al Saqi Books, 1985), p.1-2</w:t>
      </w:r>
    </w:p>
  </w:footnote>
  <w:footnote w:id="3">
    <w:p w14:paraId="0F515244" w14:textId="10318022" w:rsidR="00AC1381" w:rsidRDefault="00AC1381">
      <w:pPr>
        <w:pStyle w:val="FootnoteText"/>
      </w:pPr>
      <w:r>
        <w:rPr>
          <w:rStyle w:val="FootnoteReference"/>
        </w:rPr>
        <w:footnoteRef/>
      </w:r>
      <w:r>
        <w:t xml:space="preserve"> </w:t>
      </w:r>
      <w:r>
        <w:rPr>
          <w:rFonts w:ascii="Arial" w:hAnsi="Arial" w:cs="Arial"/>
          <w:color w:val="000000"/>
          <w:sz w:val="19"/>
          <w:szCs w:val="19"/>
        </w:rPr>
        <w:t xml:space="preserve">Martin Lings, </w:t>
      </w:r>
      <w:r>
        <w:rPr>
          <w:rFonts w:ascii="Arial" w:hAnsi="Arial" w:cs="Arial"/>
          <w:i/>
          <w:iCs/>
          <w:color w:val="000000"/>
          <w:sz w:val="19"/>
          <w:szCs w:val="19"/>
        </w:rPr>
        <w:t>Muhammad; his life based on the earliest sources</w:t>
      </w:r>
      <w:r>
        <w:rPr>
          <w:rFonts w:ascii="Arial" w:hAnsi="Arial" w:cs="Arial"/>
          <w:color w:val="000000"/>
          <w:sz w:val="19"/>
          <w:szCs w:val="19"/>
        </w:rPr>
        <w:t>, Rev, (London: The Islamic Texts Society, 1991), p. 1-3.</w:t>
      </w:r>
    </w:p>
  </w:footnote>
  <w:footnote w:id="4">
    <w:p w14:paraId="0972FAC6" w14:textId="4018063A" w:rsidR="00AC1381" w:rsidRDefault="00AC1381">
      <w:pPr>
        <w:pStyle w:val="FootnoteText"/>
      </w:pPr>
      <w:r>
        <w:rPr>
          <w:rStyle w:val="FootnoteReference"/>
        </w:rPr>
        <w:footnoteRef/>
      </w:r>
      <w:r>
        <w:t xml:space="preserve"> </w:t>
      </w:r>
      <w:r w:rsidRPr="004D18CA">
        <w:rPr>
          <w:rFonts w:ascii="Arial" w:eastAsia="Times New Roman" w:hAnsi="Arial" w:cs="Arial"/>
          <w:color w:val="000000"/>
          <w:sz w:val="19"/>
          <w:szCs w:val="19"/>
          <w:lang w:eastAsia="en-GB"/>
        </w:rPr>
        <w:t xml:space="preserve">Nabia Abbott, </w:t>
      </w:r>
      <w:r w:rsidRPr="004D18CA">
        <w:rPr>
          <w:rFonts w:ascii="Arial" w:eastAsia="Times New Roman" w:hAnsi="Arial" w:cs="Arial"/>
          <w:i/>
          <w:iCs/>
          <w:color w:val="000000"/>
          <w:sz w:val="19"/>
          <w:szCs w:val="19"/>
          <w:lang w:eastAsia="en-GB"/>
        </w:rPr>
        <w:t>Aishah</w:t>
      </w:r>
      <w:r>
        <w:rPr>
          <w:rFonts w:ascii="Arial" w:eastAsia="Times New Roman" w:hAnsi="Arial" w:cs="Arial"/>
          <w:i/>
          <w:iCs/>
          <w:color w:val="000000"/>
          <w:sz w:val="19"/>
          <w:szCs w:val="19"/>
          <w:lang w:eastAsia="en-GB"/>
        </w:rPr>
        <w:t xml:space="preserve">: </w:t>
      </w:r>
      <w:r w:rsidRPr="004D18CA">
        <w:rPr>
          <w:rFonts w:ascii="Arial" w:eastAsia="Times New Roman" w:hAnsi="Arial" w:cs="Arial"/>
          <w:i/>
          <w:iCs/>
          <w:color w:val="000000"/>
          <w:sz w:val="19"/>
          <w:szCs w:val="19"/>
          <w:lang w:eastAsia="en-GB"/>
        </w:rPr>
        <w:t>The Beloved of Mohammed</w:t>
      </w:r>
      <w:r w:rsidRPr="004D18CA">
        <w:rPr>
          <w:rFonts w:ascii="Arial" w:eastAsia="Times New Roman" w:hAnsi="Arial" w:cs="Arial"/>
          <w:color w:val="000000"/>
          <w:sz w:val="19"/>
          <w:szCs w:val="19"/>
          <w:lang w:eastAsia="en-GB"/>
        </w:rPr>
        <w:t xml:space="preserve"> (London: Al Saqi Books, 1985), p</w:t>
      </w:r>
      <w:r>
        <w:rPr>
          <w:rFonts w:ascii="Arial" w:eastAsia="Times New Roman" w:hAnsi="Arial" w:cs="Arial"/>
          <w:color w:val="000000"/>
          <w:sz w:val="19"/>
          <w:szCs w:val="19"/>
          <w:lang w:eastAsia="en-GB"/>
        </w:rPr>
        <w:t>. 3-4</w:t>
      </w:r>
    </w:p>
  </w:footnote>
  <w:footnote w:id="5">
    <w:p w14:paraId="3C6A1997" w14:textId="73430252" w:rsidR="00AC1381" w:rsidRDefault="00AC1381">
      <w:pPr>
        <w:pStyle w:val="FootnoteText"/>
      </w:pPr>
      <w:r>
        <w:rPr>
          <w:rStyle w:val="FootnoteReference"/>
        </w:rPr>
        <w:footnoteRef/>
      </w:r>
      <w:r>
        <w:t xml:space="preserve"> </w:t>
      </w:r>
      <w:r>
        <w:rPr>
          <w:rFonts w:ascii="Arial" w:hAnsi="Arial" w:cs="Arial"/>
          <w:color w:val="000000"/>
          <w:sz w:val="19"/>
          <w:szCs w:val="19"/>
        </w:rPr>
        <w:t xml:space="preserve">Martin Lings, </w:t>
      </w:r>
      <w:r>
        <w:rPr>
          <w:rFonts w:ascii="Arial" w:hAnsi="Arial" w:cs="Arial"/>
          <w:i/>
          <w:iCs/>
          <w:color w:val="000000"/>
          <w:sz w:val="19"/>
          <w:szCs w:val="19"/>
        </w:rPr>
        <w:t>Muhammad; his life based on the earliest sources</w:t>
      </w:r>
      <w:r>
        <w:rPr>
          <w:rFonts w:ascii="Arial" w:hAnsi="Arial" w:cs="Arial"/>
          <w:color w:val="000000"/>
          <w:sz w:val="19"/>
          <w:szCs w:val="19"/>
        </w:rPr>
        <w:t>, Rev, (London: The Islamic Texts Society, 1991), p.106.</w:t>
      </w:r>
    </w:p>
  </w:footnote>
  <w:footnote w:id="6">
    <w:p w14:paraId="0C6D6EC7" w14:textId="266EAF92" w:rsidR="00AC1381" w:rsidRDefault="00AC1381">
      <w:pPr>
        <w:pStyle w:val="FootnoteText"/>
      </w:pPr>
      <w:r>
        <w:rPr>
          <w:rStyle w:val="FootnoteReference"/>
        </w:rPr>
        <w:footnoteRef/>
      </w:r>
      <w:r>
        <w:t xml:space="preserve"> </w:t>
      </w:r>
      <w:r>
        <w:rPr>
          <w:rFonts w:ascii="Arial" w:hAnsi="Arial" w:cs="Arial"/>
          <w:color w:val="000000"/>
          <w:sz w:val="19"/>
          <w:szCs w:val="19"/>
        </w:rPr>
        <w:t xml:space="preserve">Martin Lings, </w:t>
      </w:r>
      <w:r>
        <w:rPr>
          <w:rFonts w:ascii="Arial" w:hAnsi="Arial" w:cs="Arial"/>
          <w:i/>
          <w:iCs/>
          <w:color w:val="000000"/>
          <w:sz w:val="19"/>
          <w:szCs w:val="19"/>
        </w:rPr>
        <w:t>Muhammad; his life based on the earliest sources</w:t>
      </w:r>
      <w:r>
        <w:rPr>
          <w:rFonts w:ascii="Arial" w:hAnsi="Arial" w:cs="Arial"/>
          <w:color w:val="000000"/>
          <w:sz w:val="19"/>
          <w:szCs w:val="19"/>
        </w:rPr>
        <w:t>, Rev, (London: The Islamic Texts Society, 1991), p.133</w:t>
      </w:r>
    </w:p>
  </w:footnote>
  <w:footnote w:id="7">
    <w:p w14:paraId="2B36EF27" w14:textId="6A9F7819" w:rsidR="00AC1381" w:rsidRDefault="00AC1381">
      <w:pPr>
        <w:pStyle w:val="FootnoteText"/>
      </w:pPr>
      <w:r>
        <w:rPr>
          <w:rStyle w:val="FootnoteReference"/>
        </w:rPr>
        <w:footnoteRef/>
      </w:r>
      <w:r>
        <w:t xml:space="preserve"> </w:t>
      </w:r>
      <w:r>
        <w:rPr>
          <w:rFonts w:ascii="Arial" w:hAnsi="Arial" w:cs="Arial"/>
          <w:color w:val="000000"/>
          <w:sz w:val="19"/>
          <w:szCs w:val="19"/>
        </w:rPr>
        <w:t xml:space="preserve">D.A. Spellberg, </w:t>
      </w:r>
      <w:r>
        <w:rPr>
          <w:rFonts w:ascii="Arial" w:hAnsi="Arial" w:cs="Arial"/>
          <w:i/>
          <w:iCs/>
          <w:color w:val="000000"/>
          <w:sz w:val="19"/>
          <w:szCs w:val="19"/>
        </w:rPr>
        <w:t>Politics, Gender, and the Islamic Past: The Legacy of Aisha Bint Abi Bakr</w:t>
      </w:r>
      <w:r>
        <w:rPr>
          <w:rFonts w:ascii="Arial" w:hAnsi="Arial" w:cs="Arial"/>
          <w:color w:val="000000"/>
          <w:sz w:val="19"/>
          <w:szCs w:val="19"/>
        </w:rPr>
        <w:t xml:space="preserve"> (New York: Columbia University Press, 1994), p. 68.</w:t>
      </w:r>
    </w:p>
  </w:footnote>
  <w:footnote w:id="8">
    <w:p w14:paraId="5B56CBA0" w14:textId="6B5D7081" w:rsidR="00AC1381" w:rsidRDefault="00AC1381">
      <w:pPr>
        <w:pStyle w:val="FootnoteText"/>
      </w:pPr>
      <w:r>
        <w:rPr>
          <w:rStyle w:val="FootnoteReference"/>
        </w:rPr>
        <w:footnoteRef/>
      </w:r>
      <w:r>
        <w:t xml:space="preserve"> </w:t>
      </w:r>
      <w:r>
        <w:rPr>
          <w:rFonts w:ascii="Arial" w:hAnsi="Arial" w:cs="Arial"/>
          <w:color w:val="000000"/>
          <w:sz w:val="19"/>
          <w:szCs w:val="19"/>
        </w:rPr>
        <w:t xml:space="preserve">D.A. Spellberg, </w:t>
      </w:r>
      <w:r>
        <w:rPr>
          <w:rFonts w:ascii="Arial" w:hAnsi="Arial" w:cs="Arial"/>
          <w:i/>
          <w:iCs/>
          <w:color w:val="000000"/>
          <w:sz w:val="19"/>
          <w:szCs w:val="19"/>
        </w:rPr>
        <w:t>Politics, Gender, and the Islamic Past: The Legacy of Aisha Bint Abi Bakr</w:t>
      </w:r>
      <w:r>
        <w:rPr>
          <w:rFonts w:ascii="Arial" w:hAnsi="Arial" w:cs="Arial"/>
          <w:color w:val="000000"/>
          <w:sz w:val="19"/>
          <w:szCs w:val="19"/>
        </w:rPr>
        <w:t xml:space="preserve"> (New York: Columbia University Press, 1994), p 68-73.</w:t>
      </w:r>
    </w:p>
  </w:footnote>
  <w:footnote w:id="9">
    <w:p w14:paraId="7C1E8DEE" w14:textId="5DD9EB97" w:rsidR="00AC1381" w:rsidRDefault="00AC1381">
      <w:pPr>
        <w:pStyle w:val="FootnoteText"/>
      </w:pPr>
      <w:r>
        <w:rPr>
          <w:rStyle w:val="FootnoteReference"/>
        </w:rPr>
        <w:footnoteRef/>
      </w:r>
      <w:r>
        <w:t xml:space="preserve"> </w:t>
      </w:r>
      <w:r>
        <w:rPr>
          <w:rFonts w:ascii="Arial" w:hAnsi="Arial" w:cs="Arial"/>
          <w:color w:val="000000"/>
          <w:sz w:val="19"/>
          <w:szCs w:val="19"/>
        </w:rPr>
        <w:t xml:space="preserve">, </w:t>
      </w:r>
      <w:r>
        <w:rPr>
          <w:rFonts w:ascii="Arial" w:hAnsi="Arial" w:cs="Arial"/>
          <w:i/>
          <w:iCs/>
          <w:color w:val="000000"/>
          <w:sz w:val="19"/>
          <w:szCs w:val="19"/>
        </w:rPr>
        <w:t>The Qur'an 21:1-40</w:t>
      </w:r>
      <w:r>
        <w:rPr>
          <w:rFonts w:ascii="Arial" w:hAnsi="Arial" w:cs="Arial"/>
          <w:color w:val="000000"/>
          <w:sz w:val="19"/>
          <w:szCs w:val="19"/>
        </w:rPr>
        <w:t>, trans. by A new translation by M.A.S. Abdel Haleem (Oxford: Oxford University Press, 2004).</w:t>
      </w:r>
    </w:p>
  </w:footnote>
  <w:footnote w:id="10">
    <w:p w14:paraId="3C62F48C" w14:textId="6FE3C817" w:rsidR="00AC1381" w:rsidRDefault="00AC1381">
      <w:pPr>
        <w:pStyle w:val="FootnoteText"/>
      </w:pPr>
      <w:r>
        <w:rPr>
          <w:rStyle w:val="FootnoteReference"/>
        </w:rPr>
        <w:footnoteRef/>
      </w:r>
      <w:r>
        <w:t xml:space="preserve"> Bukhari 5.57.119</w:t>
      </w:r>
    </w:p>
  </w:footnote>
  <w:footnote w:id="11">
    <w:p w14:paraId="338110CA" w14:textId="3A5424D2" w:rsidR="00AC1381" w:rsidRDefault="00AC1381">
      <w:pPr>
        <w:pStyle w:val="FootnoteText"/>
      </w:pPr>
      <w:r>
        <w:rPr>
          <w:rStyle w:val="FootnoteReference"/>
        </w:rPr>
        <w:footnoteRef/>
      </w:r>
      <w:r>
        <w:t xml:space="preserve"> </w:t>
      </w:r>
      <w:bookmarkStart w:id="1" w:name="_Hlk10738585"/>
      <w:r>
        <w:rPr>
          <w:rFonts w:ascii="Arial" w:hAnsi="Arial" w:cs="Arial"/>
          <w:color w:val="000000"/>
          <w:sz w:val="19"/>
          <w:szCs w:val="19"/>
        </w:rPr>
        <w:t xml:space="preserve">Asma Afsaruddin, </w:t>
      </w:r>
      <w:r>
        <w:rPr>
          <w:rFonts w:ascii="Arial" w:hAnsi="Arial" w:cs="Arial"/>
          <w:i/>
          <w:iCs/>
          <w:color w:val="000000"/>
          <w:sz w:val="19"/>
          <w:szCs w:val="19"/>
        </w:rPr>
        <w:t>Abu Bakr</w:t>
      </w:r>
      <w:r>
        <w:rPr>
          <w:rFonts w:ascii="Arial" w:hAnsi="Arial" w:cs="Arial"/>
          <w:color w:val="000000"/>
          <w:sz w:val="19"/>
          <w:szCs w:val="19"/>
        </w:rPr>
        <w:t xml:space="preserve"> (2019) &lt;http://www.oxfordislamicstudies.com.ezproxy.uwtsd.ac.uk/article/opr/t236/e1006?_hi=0&amp;_pos=1&gt; [accessed 5 June 2019].</w:t>
      </w:r>
      <w:bookmarkEnd w:id="1"/>
    </w:p>
  </w:footnote>
  <w:footnote w:id="12">
    <w:p w14:paraId="31FE685E" w14:textId="00470417" w:rsidR="00AC1381" w:rsidRDefault="00AC1381">
      <w:pPr>
        <w:pStyle w:val="FootnoteText"/>
      </w:pPr>
      <w:r>
        <w:rPr>
          <w:rStyle w:val="FootnoteReference"/>
        </w:rPr>
        <w:footnoteRef/>
      </w:r>
      <w:r>
        <w:t xml:space="preserve"> </w:t>
      </w:r>
      <w:r>
        <w:rPr>
          <w:rFonts w:ascii="Arial" w:hAnsi="Arial" w:cs="Arial"/>
          <w:color w:val="000000"/>
          <w:sz w:val="19"/>
          <w:szCs w:val="19"/>
        </w:rPr>
        <w:t xml:space="preserve">D.A. Spellberg, </w:t>
      </w:r>
      <w:r>
        <w:rPr>
          <w:rFonts w:ascii="Arial" w:hAnsi="Arial" w:cs="Arial"/>
          <w:i/>
          <w:iCs/>
          <w:color w:val="000000"/>
          <w:sz w:val="19"/>
          <w:szCs w:val="19"/>
        </w:rPr>
        <w:t>Politics, Gender, and the Islamic Past: The Legacy of Aisha Bint Abi Bakr</w:t>
      </w:r>
      <w:r>
        <w:rPr>
          <w:rFonts w:ascii="Arial" w:hAnsi="Arial" w:cs="Arial"/>
          <w:color w:val="000000"/>
          <w:sz w:val="19"/>
          <w:szCs w:val="19"/>
        </w:rPr>
        <w:t xml:space="preserve"> (New York: Columbia University Press, 1994), p 33.</w:t>
      </w:r>
    </w:p>
  </w:footnote>
  <w:footnote w:id="13">
    <w:p w14:paraId="4A1CCD00" w14:textId="3FD6634A" w:rsidR="00AC1381" w:rsidRDefault="00AC1381">
      <w:pPr>
        <w:pStyle w:val="FootnoteText"/>
      </w:pPr>
      <w:r>
        <w:rPr>
          <w:rStyle w:val="FootnoteReference"/>
        </w:rPr>
        <w:footnoteRef/>
      </w:r>
      <w:r>
        <w:t xml:space="preserve"> </w:t>
      </w:r>
      <w:r w:rsidRPr="004D18CA">
        <w:rPr>
          <w:rFonts w:ascii="Arial" w:eastAsia="Times New Roman" w:hAnsi="Arial" w:cs="Arial"/>
          <w:color w:val="000000"/>
          <w:sz w:val="19"/>
          <w:szCs w:val="19"/>
          <w:lang w:eastAsia="en-GB"/>
        </w:rPr>
        <w:t xml:space="preserve">Nabia Abbott, </w:t>
      </w:r>
      <w:r w:rsidRPr="004D18CA">
        <w:rPr>
          <w:rFonts w:ascii="Arial" w:eastAsia="Times New Roman" w:hAnsi="Arial" w:cs="Arial"/>
          <w:i/>
          <w:iCs/>
          <w:color w:val="000000"/>
          <w:sz w:val="19"/>
          <w:szCs w:val="19"/>
          <w:lang w:eastAsia="en-GB"/>
        </w:rPr>
        <w:t>Aishah</w:t>
      </w:r>
      <w:r>
        <w:rPr>
          <w:rFonts w:ascii="Arial" w:eastAsia="Times New Roman" w:hAnsi="Arial" w:cs="Arial"/>
          <w:i/>
          <w:iCs/>
          <w:color w:val="000000"/>
          <w:sz w:val="19"/>
          <w:szCs w:val="19"/>
          <w:lang w:eastAsia="en-GB"/>
        </w:rPr>
        <w:t xml:space="preserve">: </w:t>
      </w:r>
      <w:r w:rsidRPr="004D18CA">
        <w:rPr>
          <w:rFonts w:ascii="Arial" w:eastAsia="Times New Roman" w:hAnsi="Arial" w:cs="Arial"/>
          <w:i/>
          <w:iCs/>
          <w:color w:val="000000"/>
          <w:sz w:val="19"/>
          <w:szCs w:val="19"/>
          <w:lang w:eastAsia="en-GB"/>
        </w:rPr>
        <w:t>The Beloved of Mohammed</w:t>
      </w:r>
      <w:r w:rsidRPr="004D18CA">
        <w:rPr>
          <w:rFonts w:ascii="Arial" w:eastAsia="Times New Roman" w:hAnsi="Arial" w:cs="Arial"/>
          <w:color w:val="000000"/>
          <w:sz w:val="19"/>
          <w:szCs w:val="19"/>
          <w:lang w:eastAsia="en-GB"/>
        </w:rPr>
        <w:t xml:space="preserve"> (London: Al Saqi Books, 1985), p</w:t>
      </w:r>
      <w:r>
        <w:rPr>
          <w:rFonts w:ascii="Arial" w:eastAsia="Times New Roman" w:hAnsi="Arial" w:cs="Arial"/>
          <w:color w:val="000000"/>
          <w:sz w:val="19"/>
          <w:szCs w:val="19"/>
          <w:lang w:eastAsia="en-GB"/>
        </w:rPr>
        <w:t xml:space="preserve"> 85.</w:t>
      </w:r>
    </w:p>
  </w:footnote>
  <w:footnote w:id="14">
    <w:p w14:paraId="3EFE33FD" w14:textId="0B7383C3" w:rsidR="00AC1381" w:rsidRDefault="00AC1381">
      <w:pPr>
        <w:pStyle w:val="FootnoteText"/>
      </w:pPr>
      <w:r>
        <w:rPr>
          <w:rStyle w:val="FootnoteReference"/>
        </w:rPr>
        <w:footnoteRef/>
      </w:r>
      <w:r>
        <w:t xml:space="preserve"> </w:t>
      </w:r>
      <w:r w:rsidRPr="004D18CA">
        <w:rPr>
          <w:rFonts w:ascii="Arial" w:eastAsia="Times New Roman" w:hAnsi="Arial" w:cs="Arial"/>
          <w:color w:val="000000"/>
          <w:sz w:val="19"/>
          <w:szCs w:val="19"/>
          <w:lang w:eastAsia="en-GB"/>
        </w:rPr>
        <w:t xml:space="preserve">Nabia Abbott, </w:t>
      </w:r>
      <w:r w:rsidRPr="004D18CA">
        <w:rPr>
          <w:rFonts w:ascii="Arial" w:eastAsia="Times New Roman" w:hAnsi="Arial" w:cs="Arial"/>
          <w:i/>
          <w:iCs/>
          <w:color w:val="000000"/>
          <w:sz w:val="19"/>
          <w:szCs w:val="19"/>
          <w:lang w:eastAsia="en-GB"/>
        </w:rPr>
        <w:t>Aishah</w:t>
      </w:r>
      <w:r>
        <w:rPr>
          <w:rFonts w:ascii="Arial" w:eastAsia="Times New Roman" w:hAnsi="Arial" w:cs="Arial"/>
          <w:i/>
          <w:iCs/>
          <w:color w:val="000000"/>
          <w:sz w:val="19"/>
          <w:szCs w:val="19"/>
          <w:lang w:eastAsia="en-GB"/>
        </w:rPr>
        <w:t xml:space="preserve">: </w:t>
      </w:r>
      <w:r w:rsidRPr="004D18CA">
        <w:rPr>
          <w:rFonts w:ascii="Arial" w:eastAsia="Times New Roman" w:hAnsi="Arial" w:cs="Arial"/>
          <w:i/>
          <w:iCs/>
          <w:color w:val="000000"/>
          <w:sz w:val="19"/>
          <w:szCs w:val="19"/>
          <w:lang w:eastAsia="en-GB"/>
        </w:rPr>
        <w:t>The Beloved of Mohammed</w:t>
      </w:r>
      <w:r w:rsidRPr="004D18CA">
        <w:rPr>
          <w:rFonts w:ascii="Arial" w:eastAsia="Times New Roman" w:hAnsi="Arial" w:cs="Arial"/>
          <w:color w:val="000000"/>
          <w:sz w:val="19"/>
          <w:szCs w:val="19"/>
          <w:lang w:eastAsia="en-GB"/>
        </w:rPr>
        <w:t xml:space="preserve"> (London: Al Saqi Books, 1985), p</w:t>
      </w:r>
      <w:r>
        <w:rPr>
          <w:rFonts w:ascii="Arial" w:eastAsia="Times New Roman" w:hAnsi="Arial" w:cs="Arial"/>
          <w:color w:val="000000"/>
          <w:sz w:val="19"/>
          <w:szCs w:val="19"/>
          <w:lang w:eastAsia="en-GB"/>
        </w:rPr>
        <w:t xml:space="preserve"> 95-100.</w:t>
      </w:r>
    </w:p>
  </w:footnote>
  <w:footnote w:id="15">
    <w:p w14:paraId="2A44BD5F" w14:textId="75E0D6C5" w:rsidR="0067756F" w:rsidRDefault="0067756F">
      <w:pPr>
        <w:pStyle w:val="FootnoteText"/>
      </w:pPr>
      <w:r>
        <w:rPr>
          <w:rStyle w:val="FootnoteReference"/>
        </w:rPr>
        <w:footnoteRef/>
      </w:r>
      <w:r>
        <w:t xml:space="preserve"> </w:t>
      </w:r>
      <w:bookmarkStart w:id="2" w:name="_Hlk10736335"/>
      <w:r w:rsidRPr="004D18CA">
        <w:rPr>
          <w:rFonts w:ascii="Arial" w:eastAsia="Times New Roman" w:hAnsi="Arial" w:cs="Arial"/>
          <w:color w:val="000000"/>
          <w:sz w:val="19"/>
          <w:szCs w:val="19"/>
          <w:lang w:eastAsia="en-GB"/>
        </w:rPr>
        <w:t xml:space="preserve">Nabia Abbott, </w:t>
      </w:r>
      <w:r w:rsidRPr="004D18CA">
        <w:rPr>
          <w:rFonts w:ascii="Arial" w:eastAsia="Times New Roman" w:hAnsi="Arial" w:cs="Arial"/>
          <w:i/>
          <w:iCs/>
          <w:color w:val="000000"/>
          <w:sz w:val="19"/>
          <w:szCs w:val="19"/>
          <w:lang w:eastAsia="en-GB"/>
        </w:rPr>
        <w:t>Aishah</w:t>
      </w:r>
      <w:r>
        <w:rPr>
          <w:rFonts w:ascii="Arial" w:eastAsia="Times New Roman" w:hAnsi="Arial" w:cs="Arial"/>
          <w:i/>
          <w:iCs/>
          <w:color w:val="000000"/>
          <w:sz w:val="19"/>
          <w:szCs w:val="19"/>
          <w:lang w:eastAsia="en-GB"/>
        </w:rPr>
        <w:t xml:space="preserve">: </w:t>
      </w:r>
      <w:r w:rsidRPr="004D18CA">
        <w:rPr>
          <w:rFonts w:ascii="Arial" w:eastAsia="Times New Roman" w:hAnsi="Arial" w:cs="Arial"/>
          <w:i/>
          <w:iCs/>
          <w:color w:val="000000"/>
          <w:sz w:val="19"/>
          <w:szCs w:val="19"/>
          <w:lang w:eastAsia="en-GB"/>
        </w:rPr>
        <w:t>The Beloved of Mohammed</w:t>
      </w:r>
      <w:r w:rsidRPr="004D18CA">
        <w:rPr>
          <w:rFonts w:ascii="Arial" w:eastAsia="Times New Roman" w:hAnsi="Arial" w:cs="Arial"/>
          <w:color w:val="000000"/>
          <w:sz w:val="19"/>
          <w:szCs w:val="19"/>
          <w:lang w:eastAsia="en-GB"/>
        </w:rPr>
        <w:t xml:space="preserve"> (London: Al Saqi Books, 1985), p</w:t>
      </w:r>
      <w:r>
        <w:rPr>
          <w:rFonts w:ascii="Arial" w:eastAsia="Times New Roman" w:hAnsi="Arial" w:cs="Arial"/>
          <w:color w:val="000000"/>
          <w:sz w:val="19"/>
          <w:szCs w:val="19"/>
          <w:lang w:eastAsia="en-GB"/>
        </w:rPr>
        <w:t xml:space="preserve"> </w:t>
      </w:r>
      <w:bookmarkEnd w:id="2"/>
      <w:r>
        <w:rPr>
          <w:rFonts w:ascii="Arial" w:eastAsia="Times New Roman" w:hAnsi="Arial" w:cs="Arial"/>
          <w:color w:val="000000"/>
          <w:sz w:val="19"/>
          <w:szCs w:val="19"/>
          <w:lang w:eastAsia="en-GB"/>
        </w:rPr>
        <w:t>158-162.</w:t>
      </w:r>
    </w:p>
  </w:footnote>
  <w:footnote w:id="16">
    <w:p w14:paraId="4BC9B4C8" w14:textId="7C40AEE9" w:rsidR="004F00C6" w:rsidRDefault="004F00C6">
      <w:pPr>
        <w:pStyle w:val="FootnoteText"/>
      </w:pPr>
      <w:r>
        <w:rPr>
          <w:rStyle w:val="FootnoteReference"/>
        </w:rPr>
        <w:footnoteRef/>
      </w:r>
      <w:r>
        <w:t xml:space="preserve"> </w:t>
      </w:r>
      <w:r>
        <w:rPr>
          <w:rFonts w:ascii="Arial" w:hAnsi="Arial" w:cs="Arial"/>
          <w:color w:val="000000"/>
          <w:sz w:val="19"/>
          <w:szCs w:val="19"/>
        </w:rPr>
        <w:t xml:space="preserve">D.A. Spellberg, </w:t>
      </w:r>
      <w:r>
        <w:rPr>
          <w:rFonts w:ascii="Arial" w:hAnsi="Arial" w:cs="Arial"/>
          <w:i/>
          <w:iCs/>
          <w:color w:val="000000"/>
          <w:sz w:val="19"/>
          <w:szCs w:val="19"/>
        </w:rPr>
        <w:t>Politics, Gender, and the Islamic Past: The Legacy of Aisha Bint Abi Bakr</w:t>
      </w:r>
      <w:r>
        <w:rPr>
          <w:rFonts w:ascii="Arial" w:hAnsi="Arial" w:cs="Arial"/>
          <w:color w:val="000000"/>
          <w:sz w:val="19"/>
          <w:szCs w:val="19"/>
        </w:rPr>
        <w:t xml:space="preserve"> (New York: Columbia University Press, 1994), p</w:t>
      </w:r>
      <w:r>
        <w:rPr>
          <w:rFonts w:ascii="Arial" w:hAnsi="Arial" w:cs="Arial"/>
          <w:color w:val="000000"/>
          <w:sz w:val="19"/>
          <w:szCs w:val="19"/>
        </w:rPr>
        <w:t xml:space="preserve"> 192.</w:t>
      </w:r>
    </w:p>
  </w:footnote>
  <w:footnote w:id="17">
    <w:p w14:paraId="652DB7C8" w14:textId="0700A4CB" w:rsidR="00E13504" w:rsidRDefault="00E13504">
      <w:pPr>
        <w:pStyle w:val="FootnoteText"/>
      </w:pPr>
      <w:r>
        <w:rPr>
          <w:rStyle w:val="FootnoteReference"/>
        </w:rPr>
        <w:footnoteRef/>
      </w:r>
      <w:r>
        <w:t xml:space="preserve"> </w:t>
      </w:r>
      <w:bookmarkStart w:id="3" w:name="_Hlk10738420"/>
      <w:r>
        <w:rPr>
          <w:rFonts w:ascii="Arial" w:hAnsi="Arial" w:cs="Arial"/>
          <w:color w:val="000000"/>
          <w:sz w:val="19"/>
          <w:szCs w:val="19"/>
        </w:rPr>
        <w:t xml:space="preserve">Ashley Manjarezz Walker &amp; Michael A. Sells, 'THE WILES OF WOMEN AND PERFORMATIVE INTERTEXTUALITY: 'A'ISHA, THE HADITH OF THE SLANDER, AND THE SURA OF YUSUF ', </w:t>
      </w:r>
      <w:r>
        <w:rPr>
          <w:rFonts w:ascii="Arial" w:hAnsi="Arial" w:cs="Arial"/>
          <w:i/>
          <w:iCs/>
          <w:color w:val="000000"/>
          <w:sz w:val="19"/>
          <w:szCs w:val="19"/>
        </w:rPr>
        <w:t>Journal of Arabic Literature</w:t>
      </w:r>
      <w:r>
        <w:rPr>
          <w:rFonts w:ascii="Arial" w:hAnsi="Arial" w:cs="Arial"/>
          <w:color w:val="000000"/>
          <w:sz w:val="19"/>
          <w:szCs w:val="19"/>
        </w:rPr>
        <w:t xml:space="preserve">, 30.1, (1999), 55-77 </w:t>
      </w:r>
      <w:bookmarkEnd w:id="3"/>
      <w:r>
        <w:rPr>
          <w:rFonts w:ascii="Arial" w:hAnsi="Arial" w:cs="Arial"/>
          <w:color w:val="000000"/>
          <w:sz w:val="19"/>
          <w:szCs w:val="19"/>
        </w:rPr>
        <w:t>(p. 58).</w:t>
      </w:r>
    </w:p>
  </w:footnote>
  <w:footnote w:id="18">
    <w:p w14:paraId="2AF1DC52" w14:textId="4C1B55C6" w:rsidR="00FE2FA2" w:rsidRDefault="00FE2FA2">
      <w:pPr>
        <w:pStyle w:val="FootnoteText"/>
      </w:pPr>
      <w:r>
        <w:rPr>
          <w:rStyle w:val="FootnoteReference"/>
        </w:rPr>
        <w:footnoteRef/>
      </w:r>
      <w:r>
        <w:t xml:space="preserve"> </w:t>
      </w:r>
      <w:bookmarkStart w:id="4" w:name="_Hlk10738373"/>
      <w:r w:rsidRPr="004D18CA">
        <w:rPr>
          <w:rFonts w:ascii="Arial" w:eastAsia="Times New Roman" w:hAnsi="Arial" w:cs="Arial"/>
          <w:color w:val="000000"/>
          <w:sz w:val="19"/>
          <w:szCs w:val="19"/>
          <w:lang w:eastAsia="en-GB"/>
        </w:rPr>
        <w:t xml:space="preserve">Nabia Abbott, </w:t>
      </w:r>
      <w:r w:rsidRPr="004D18CA">
        <w:rPr>
          <w:rFonts w:ascii="Arial" w:eastAsia="Times New Roman" w:hAnsi="Arial" w:cs="Arial"/>
          <w:i/>
          <w:iCs/>
          <w:color w:val="000000"/>
          <w:sz w:val="19"/>
          <w:szCs w:val="19"/>
          <w:lang w:eastAsia="en-GB"/>
        </w:rPr>
        <w:t>Aishah</w:t>
      </w:r>
      <w:r>
        <w:rPr>
          <w:rFonts w:ascii="Arial" w:eastAsia="Times New Roman" w:hAnsi="Arial" w:cs="Arial"/>
          <w:i/>
          <w:iCs/>
          <w:color w:val="000000"/>
          <w:sz w:val="19"/>
          <w:szCs w:val="19"/>
          <w:lang w:eastAsia="en-GB"/>
        </w:rPr>
        <w:t xml:space="preserve">: </w:t>
      </w:r>
      <w:r w:rsidRPr="004D18CA">
        <w:rPr>
          <w:rFonts w:ascii="Arial" w:eastAsia="Times New Roman" w:hAnsi="Arial" w:cs="Arial"/>
          <w:i/>
          <w:iCs/>
          <w:color w:val="000000"/>
          <w:sz w:val="19"/>
          <w:szCs w:val="19"/>
          <w:lang w:eastAsia="en-GB"/>
        </w:rPr>
        <w:t>The Beloved of Mohammed</w:t>
      </w:r>
      <w:r w:rsidRPr="004D18CA">
        <w:rPr>
          <w:rFonts w:ascii="Arial" w:eastAsia="Times New Roman" w:hAnsi="Arial" w:cs="Arial"/>
          <w:color w:val="000000"/>
          <w:sz w:val="19"/>
          <w:szCs w:val="19"/>
          <w:lang w:eastAsia="en-GB"/>
        </w:rPr>
        <w:t xml:space="preserve"> (London: Al Saqi Books, 1985), </w:t>
      </w:r>
      <w:bookmarkEnd w:id="4"/>
      <w:r w:rsidRPr="004D18CA">
        <w:rPr>
          <w:rFonts w:ascii="Arial" w:eastAsia="Times New Roman" w:hAnsi="Arial" w:cs="Arial"/>
          <w:color w:val="000000"/>
          <w:sz w:val="19"/>
          <w:szCs w:val="19"/>
          <w:lang w:eastAsia="en-GB"/>
        </w:rPr>
        <w:t>p</w:t>
      </w:r>
      <w:r>
        <w:rPr>
          <w:rFonts w:ascii="Arial" w:eastAsia="Times New Roman" w:hAnsi="Arial" w:cs="Arial"/>
          <w:color w:val="000000"/>
          <w:sz w:val="19"/>
          <w:szCs w:val="19"/>
          <w:lang w:eastAsia="en-GB"/>
        </w:rPr>
        <w:t xml:space="preserve"> 216-218</w:t>
      </w:r>
      <w:r w:rsidR="007572B1">
        <w:rPr>
          <w:rFonts w:ascii="Arial" w:eastAsia="Times New Roman" w:hAnsi="Arial" w:cs="Arial"/>
          <w:color w:val="000000"/>
          <w:sz w:val="19"/>
          <w:szCs w:val="19"/>
          <w:lang w:eastAsia="en-GB"/>
        </w:rPr>
        <w:t>.</w:t>
      </w:r>
    </w:p>
  </w:footnote>
  <w:footnote w:id="19">
    <w:p w14:paraId="382EEED1" w14:textId="452821D8" w:rsidR="00C06051" w:rsidRDefault="00C06051">
      <w:pPr>
        <w:pStyle w:val="FootnoteText"/>
      </w:pPr>
      <w:r>
        <w:rPr>
          <w:rStyle w:val="FootnoteReference"/>
        </w:rPr>
        <w:footnoteRef/>
      </w:r>
      <w:r>
        <w:t xml:space="preserve"> </w:t>
      </w:r>
      <w:r>
        <w:rPr>
          <w:rFonts w:ascii="Arial" w:hAnsi="Arial" w:cs="Arial"/>
          <w:color w:val="000000"/>
          <w:sz w:val="19"/>
          <w:szCs w:val="19"/>
        </w:rPr>
        <w:t xml:space="preserve">David Wood, </w:t>
      </w:r>
      <w:r>
        <w:rPr>
          <w:rFonts w:ascii="Arial" w:hAnsi="Arial" w:cs="Arial"/>
          <w:i/>
          <w:iCs/>
          <w:color w:val="000000"/>
          <w:sz w:val="19"/>
          <w:szCs w:val="19"/>
        </w:rPr>
        <w:t>Was Muhammad a Pedophile?</w:t>
      </w:r>
      <w:r>
        <w:rPr>
          <w:rFonts w:ascii="Arial" w:hAnsi="Arial" w:cs="Arial"/>
          <w:color w:val="000000"/>
          <w:sz w:val="19"/>
          <w:szCs w:val="19"/>
        </w:rPr>
        <w:t xml:space="preserve"> (2019) &lt;https://myislam.dk/articles/en/wood%20was-muhammad-a-pedophile.php&gt; [accessed 6 June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C50874"/>
    <w:multiLevelType w:val="multilevel"/>
    <w:tmpl w:val="117C3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0C0"/>
    <w:rsid w:val="00012199"/>
    <w:rsid w:val="00026AD5"/>
    <w:rsid w:val="00044B0C"/>
    <w:rsid w:val="000852E8"/>
    <w:rsid w:val="000958CF"/>
    <w:rsid w:val="000C1967"/>
    <w:rsid w:val="000E42E8"/>
    <w:rsid w:val="001549C2"/>
    <w:rsid w:val="00173E43"/>
    <w:rsid w:val="001C1DEE"/>
    <w:rsid w:val="002958C1"/>
    <w:rsid w:val="002A64A7"/>
    <w:rsid w:val="002C00C0"/>
    <w:rsid w:val="002D4BD4"/>
    <w:rsid w:val="00313E21"/>
    <w:rsid w:val="00357B67"/>
    <w:rsid w:val="00390D2B"/>
    <w:rsid w:val="00405D1E"/>
    <w:rsid w:val="00453ED7"/>
    <w:rsid w:val="00460343"/>
    <w:rsid w:val="00490825"/>
    <w:rsid w:val="004D18CA"/>
    <w:rsid w:val="004F00C6"/>
    <w:rsid w:val="00505371"/>
    <w:rsid w:val="00523631"/>
    <w:rsid w:val="005331EC"/>
    <w:rsid w:val="00542AE0"/>
    <w:rsid w:val="00573395"/>
    <w:rsid w:val="005B0147"/>
    <w:rsid w:val="005F1405"/>
    <w:rsid w:val="00605D4F"/>
    <w:rsid w:val="00610161"/>
    <w:rsid w:val="00612BA3"/>
    <w:rsid w:val="00641A1D"/>
    <w:rsid w:val="00651233"/>
    <w:rsid w:val="00665453"/>
    <w:rsid w:val="0067756F"/>
    <w:rsid w:val="006942E2"/>
    <w:rsid w:val="00746F9C"/>
    <w:rsid w:val="00755703"/>
    <w:rsid w:val="007572B1"/>
    <w:rsid w:val="007974D2"/>
    <w:rsid w:val="007F7832"/>
    <w:rsid w:val="0081123E"/>
    <w:rsid w:val="00832510"/>
    <w:rsid w:val="008417E5"/>
    <w:rsid w:val="008454F4"/>
    <w:rsid w:val="0085183D"/>
    <w:rsid w:val="0089690B"/>
    <w:rsid w:val="00933533"/>
    <w:rsid w:val="009629E2"/>
    <w:rsid w:val="0096573B"/>
    <w:rsid w:val="009A1941"/>
    <w:rsid w:val="009D29F1"/>
    <w:rsid w:val="00A13A93"/>
    <w:rsid w:val="00A429D8"/>
    <w:rsid w:val="00A65414"/>
    <w:rsid w:val="00AC1381"/>
    <w:rsid w:val="00AC586A"/>
    <w:rsid w:val="00AF040E"/>
    <w:rsid w:val="00B03318"/>
    <w:rsid w:val="00B41834"/>
    <w:rsid w:val="00B4426B"/>
    <w:rsid w:val="00B97BD7"/>
    <w:rsid w:val="00BC3C2E"/>
    <w:rsid w:val="00C06051"/>
    <w:rsid w:val="00C62142"/>
    <w:rsid w:val="00C64C15"/>
    <w:rsid w:val="00CA7FD2"/>
    <w:rsid w:val="00CD54C5"/>
    <w:rsid w:val="00D15DD5"/>
    <w:rsid w:val="00D71443"/>
    <w:rsid w:val="00D82F95"/>
    <w:rsid w:val="00D9005D"/>
    <w:rsid w:val="00D90FBF"/>
    <w:rsid w:val="00DE6D65"/>
    <w:rsid w:val="00E13504"/>
    <w:rsid w:val="00E27B58"/>
    <w:rsid w:val="00E81BC6"/>
    <w:rsid w:val="00E86FBB"/>
    <w:rsid w:val="00EB6CC2"/>
    <w:rsid w:val="00EC3568"/>
    <w:rsid w:val="00EC4FE4"/>
    <w:rsid w:val="00ED3BD1"/>
    <w:rsid w:val="00ED7BC8"/>
    <w:rsid w:val="00EE0031"/>
    <w:rsid w:val="00F15CDC"/>
    <w:rsid w:val="00F20D8C"/>
    <w:rsid w:val="00F34357"/>
    <w:rsid w:val="00F66BDE"/>
    <w:rsid w:val="00F825BF"/>
    <w:rsid w:val="00F8346C"/>
    <w:rsid w:val="00F92F1B"/>
    <w:rsid w:val="00FA55DD"/>
    <w:rsid w:val="00FE2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42FA20"/>
  <w15:chartTrackingRefBased/>
  <w15:docId w15:val="{1761E985-DCA5-47BC-B620-D28D5FEC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20D8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0D8C"/>
    <w:rPr>
      <w:sz w:val="20"/>
      <w:szCs w:val="20"/>
    </w:rPr>
  </w:style>
  <w:style w:type="character" w:styleId="FootnoteReference">
    <w:name w:val="footnote reference"/>
    <w:basedOn w:val="DefaultParagraphFont"/>
    <w:uiPriority w:val="99"/>
    <w:semiHidden/>
    <w:unhideWhenUsed/>
    <w:rsid w:val="00F20D8C"/>
    <w:rPr>
      <w:vertAlign w:val="superscript"/>
    </w:rPr>
  </w:style>
  <w:style w:type="paragraph" w:customStyle="1" w:styleId="reflistitem">
    <w:name w:val="reflistitem"/>
    <w:basedOn w:val="Normal"/>
    <w:rsid w:val="004D18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i-button-text">
    <w:name w:val="ui-button-text"/>
    <w:basedOn w:val="DefaultParagraphFont"/>
    <w:rsid w:val="004D18CA"/>
  </w:style>
  <w:style w:type="paragraph" w:styleId="Header">
    <w:name w:val="header"/>
    <w:basedOn w:val="Normal"/>
    <w:link w:val="HeaderChar"/>
    <w:uiPriority w:val="99"/>
    <w:unhideWhenUsed/>
    <w:rsid w:val="000958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58CF"/>
  </w:style>
  <w:style w:type="paragraph" w:styleId="Footer">
    <w:name w:val="footer"/>
    <w:basedOn w:val="Normal"/>
    <w:link w:val="FooterChar"/>
    <w:uiPriority w:val="99"/>
    <w:unhideWhenUsed/>
    <w:rsid w:val="000958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58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603269">
      <w:bodyDiv w:val="1"/>
      <w:marLeft w:val="0"/>
      <w:marRight w:val="0"/>
      <w:marTop w:val="0"/>
      <w:marBottom w:val="0"/>
      <w:divBdr>
        <w:top w:val="none" w:sz="0" w:space="0" w:color="auto"/>
        <w:left w:val="none" w:sz="0" w:space="0" w:color="auto"/>
        <w:bottom w:val="none" w:sz="0" w:space="0" w:color="auto"/>
        <w:right w:val="none" w:sz="0" w:space="0" w:color="auto"/>
      </w:divBdr>
    </w:div>
    <w:div w:id="1247114803">
      <w:bodyDiv w:val="1"/>
      <w:marLeft w:val="0"/>
      <w:marRight w:val="0"/>
      <w:marTop w:val="0"/>
      <w:marBottom w:val="0"/>
      <w:divBdr>
        <w:top w:val="none" w:sz="0" w:space="0" w:color="auto"/>
        <w:left w:val="none" w:sz="0" w:space="0" w:color="auto"/>
        <w:bottom w:val="none" w:sz="0" w:space="0" w:color="auto"/>
        <w:right w:val="none" w:sz="0" w:space="0" w:color="auto"/>
      </w:divBdr>
      <w:divsChild>
        <w:div w:id="677276184">
          <w:marLeft w:val="0"/>
          <w:marRight w:val="0"/>
          <w:marTop w:val="0"/>
          <w:marBottom w:val="0"/>
          <w:divBdr>
            <w:top w:val="none" w:sz="0" w:space="0" w:color="auto"/>
            <w:left w:val="none" w:sz="0" w:space="0" w:color="auto"/>
            <w:bottom w:val="none" w:sz="0" w:space="0" w:color="auto"/>
            <w:right w:val="none" w:sz="0" w:space="0" w:color="auto"/>
          </w:divBdr>
        </w:div>
        <w:div w:id="13975115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9CB91-7840-49D3-A5B6-E4D50DE32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2618</Words>
  <Characters>12243</Characters>
  <Application>Microsoft Office Word</Application>
  <DocSecurity>0</DocSecurity>
  <Lines>191</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illingworth</dc:creator>
  <cp:keywords/>
  <dc:description/>
  <cp:lastModifiedBy>vicky illingworth</cp:lastModifiedBy>
  <cp:revision>2</cp:revision>
  <dcterms:created xsi:type="dcterms:W3CDTF">2019-06-06T17:41:00Z</dcterms:created>
  <dcterms:modified xsi:type="dcterms:W3CDTF">2019-06-06T17:41:00Z</dcterms:modified>
</cp:coreProperties>
</file>