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1F7D3E" w14:textId="41643A91" w:rsidR="002B7B01" w:rsidRPr="008C6476" w:rsidRDefault="002B7B01" w:rsidP="002B7B01">
      <w:pPr>
        <w:rPr>
          <w:rFonts w:cstheme="minorHAnsi"/>
          <w:sz w:val="24"/>
          <w:u w:val="single"/>
        </w:rPr>
      </w:pPr>
      <w:r w:rsidRPr="008C6476">
        <w:rPr>
          <w:rFonts w:cstheme="minorHAnsi"/>
          <w:sz w:val="24"/>
          <w:u w:val="single"/>
        </w:rPr>
        <w:t>Critically discuss whether recent ancient DNA analyses can provide reliable information on the identity, origin and spread of ‘Celtic’ populations in the 5th – 1st century BC.</w:t>
      </w:r>
    </w:p>
    <w:p w14:paraId="3D279116" w14:textId="31F5CC9D" w:rsidR="0010219A" w:rsidRDefault="0010219A" w:rsidP="002B7B01">
      <w:pPr>
        <w:rPr>
          <w:rFonts w:cstheme="minorHAnsi"/>
          <w:sz w:val="24"/>
        </w:rPr>
      </w:pPr>
    </w:p>
    <w:p w14:paraId="63A4BF1D" w14:textId="6472041D" w:rsidR="00CD769E" w:rsidRPr="00FB3EBA" w:rsidRDefault="0010219A">
      <w:pPr>
        <w:rPr>
          <w:rFonts w:cstheme="minorHAnsi"/>
        </w:rPr>
      </w:pPr>
      <w:r>
        <w:rPr>
          <w:rFonts w:cstheme="minorHAnsi"/>
        </w:rPr>
        <w:t xml:space="preserve">In the </w:t>
      </w:r>
      <w:r w:rsidR="008B088C">
        <w:rPr>
          <w:rFonts w:cstheme="minorHAnsi"/>
        </w:rPr>
        <w:t>E</w:t>
      </w:r>
      <w:r>
        <w:rPr>
          <w:rFonts w:cstheme="minorHAnsi"/>
        </w:rPr>
        <w:t xml:space="preserve">rotica </w:t>
      </w:r>
      <w:r w:rsidR="008B088C">
        <w:rPr>
          <w:rFonts w:cstheme="minorHAnsi"/>
        </w:rPr>
        <w:t>P</w:t>
      </w:r>
      <w:r>
        <w:rPr>
          <w:rFonts w:cstheme="minorHAnsi"/>
        </w:rPr>
        <w:t xml:space="preserve">athemata by Parthenius, one of the myths of the origin of the Celts is presented, </w:t>
      </w:r>
      <w:r w:rsidR="00D55959">
        <w:rPr>
          <w:rFonts w:cstheme="minorHAnsi"/>
        </w:rPr>
        <w:t>it is within this myth that the hero Hercules had an affair with Celtine, the daughter of the house of Bretannus, this union resulted in a son named Celtus “from whom the Celtic race derived their name”</w:t>
      </w:r>
      <w:r w:rsidR="00D55959">
        <w:rPr>
          <w:rStyle w:val="FootnoteReference"/>
          <w:rFonts w:cstheme="minorHAnsi"/>
        </w:rPr>
        <w:footnoteReference w:id="1"/>
      </w:r>
      <w:r w:rsidR="008B088C">
        <w:rPr>
          <w:rFonts w:cstheme="minorHAnsi"/>
        </w:rPr>
        <w:t xml:space="preserve">,This myth shows the birth of the Celtic lands. </w:t>
      </w:r>
      <w:r w:rsidR="00B95BDF">
        <w:rPr>
          <w:rFonts w:cstheme="minorHAnsi"/>
        </w:rPr>
        <w:t>It has been of continued debate what it means in a society to be described as ‘</w:t>
      </w:r>
      <w:r w:rsidR="0081780A">
        <w:rPr>
          <w:rFonts w:cstheme="minorHAnsi"/>
        </w:rPr>
        <w:t>C</w:t>
      </w:r>
      <w:r w:rsidR="00B95BDF">
        <w:rPr>
          <w:rFonts w:cstheme="minorHAnsi"/>
        </w:rPr>
        <w:t xml:space="preserve">eltic’ and </w:t>
      </w:r>
      <w:r w:rsidR="00FB3EBA">
        <w:rPr>
          <w:rFonts w:cstheme="minorHAnsi"/>
        </w:rPr>
        <w:t xml:space="preserve">whether there are any links between these societies, both in genetics and in culture. </w:t>
      </w:r>
      <w:r w:rsidR="0043510B">
        <w:t>Ancient DNA analysis is a modern development in the study of archaeology which has gained more and more attention in recent years.</w:t>
      </w:r>
      <w:r w:rsidR="005A7CC5">
        <w:t xml:space="preserve"> This is the study of both Y-chromosome of the paternal line of genes and the maternal mitochondrial line are separated and analysed to trace the similarities and differences between </w:t>
      </w:r>
      <w:r w:rsidR="00CD769E">
        <w:t>ancient societies to possibly conclude where societies originated</w:t>
      </w:r>
      <w:r w:rsidR="005830A0">
        <w:t>, as well as possible genetic characteristics they would show</w:t>
      </w:r>
      <w:r w:rsidR="00CD769E">
        <w:t>.</w:t>
      </w:r>
      <w:r w:rsidR="005A7CC5">
        <w:t xml:space="preserve"> </w:t>
      </w:r>
      <w:r w:rsidR="0043510B">
        <w:t xml:space="preserve"> In the terms of ‘Celtic’ peoples of the later Iron Age</w:t>
      </w:r>
      <w:r w:rsidR="00CD769E">
        <w:t>, this mode of analysis could potentially be an indication as to whether there are in fact links between the so-called ‘Celtic’ Iron Age societies on continental Europe and possibly even those within Britain.</w:t>
      </w:r>
      <w:r w:rsidR="000546F2">
        <w:t xml:space="preserve"> Th</w:t>
      </w:r>
      <w:r w:rsidR="00C90C7B">
        <w:t>e focus of this report is to examine this idea and whether it can support the idea that there was in fact a spread of ‘</w:t>
      </w:r>
      <w:r w:rsidR="000A73C2">
        <w:t>C</w:t>
      </w:r>
      <w:r w:rsidR="00C90C7B">
        <w:t>eltic’ cultures did take place in the later Iron Age and in addition to this, show that the cultures originate from the same entity.</w:t>
      </w:r>
    </w:p>
    <w:p w14:paraId="3154D93C" w14:textId="06A09B55" w:rsidR="00B64F99" w:rsidRDefault="00894B06">
      <w:r>
        <w:t>One of the primary ways in which historians evidence the theorised spread of culture throughout Iron Age Europe is through the mode of the language comparison</w:t>
      </w:r>
      <w:r w:rsidR="00582F58">
        <w:t xml:space="preserve"> of the different Celtic languages. </w:t>
      </w:r>
      <w:r w:rsidR="00AD453A">
        <w:t xml:space="preserve">In the terms of linguistic studies, </w:t>
      </w:r>
      <w:r w:rsidR="00E625D4">
        <w:t>tend to map out the spread of language by identifying Celtic language inscriptions as is shown by examples like the ‘Javier de Hoz’s map of ancient inscriptions’</w:t>
      </w:r>
      <w:r w:rsidR="00E625D4">
        <w:rPr>
          <w:rStyle w:val="FootnoteReference"/>
        </w:rPr>
        <w:footnoteReference w:id="2"/>
      </w:r>
      <w:r w:rsidR="00E625D4">
        <w:t xml:space="preserve"> </w:t>
      </w:r>
      <w:r w:rsidR="00AD6398">
        <w:t xml:space="preserve">in which it shows </w:t>
      </w:r>
      <w:r w:rsidR="00731CD8">
        <w:t xml:space="preserve">that the </w:t>
      </w:r>
      <w:r w:rsidR="00582640">
        <w:t>majority of such Indo-European inscriptions is “</w:t>
      </w:r>
      <w:r w:rsidR="00731CD8">
        <w:t xml:space="preserve">concentrated north east of centre, while in central west there are some inscriptions in </w:t>
      </w:r>
      <w:r w:rsidR="00120F58">
        <w:t>Lusitanian</w:t>
      </w:r>
      <w:r w:rsidR="00731CD8">
        <w:t>”</w:t>
      </w:r>
      <w:r w:rsidR="00731CD8">
        <w:rPr>
          <w:rStyle w:val="FootnoteReference"/>
        </w:rPr>
        <w:footnoteReference w:id="3"/>
      </w:r>
      <w:r w:rsidR="00582640">
        <w:t xml:space="preserve"> </w:t>
      </w:r>
      <w:r w:rsidR="009B50CB">
        <w:t xml:space="preserve">and </w:t>
      </w:r>
      <w:r w:rsidR="00A93C2D">
        <w:t xml:space="preserve">is also shown in the language split of the </w:t>
      </w:r>
      <w:r w:rsidR="00745EE1">
        <w:t>‘</w:t>
      </w:r>
      <w:r w:rsidR="00A93C2D">
        <w:t>continental Celtic</w:t>
      </w:r>
      <w:r w:rsidR="00745EE1">
        <w:t>’</w:t>
      </w:r>
      <w:r w:rsidR="00A93C2D">
        <w:t xml:space="preserve"> and the </w:t>
      </w:r>
      <w:r w:rsidR="00745EE1">
        <w:t>‘</w:t>
      </w:r>
      <w:r w:rsidR="00A93C2D">
        <w:t>insular Celtic</w:t>
      </w:r>
      <w:r w:rsidR="00745EE1">
        <w:t>’</w:t>
      </w:r>
      <w:r w:rsidR="00A93C2D">
        <w:rPr>
          <w:rStyle w:val="FootnoteReference"/>
        </w:rPr>
        <w:footnoteReference w:id="4"/>
      </w:r>
      <w:r w:rsidR="005B7BF3">
        <w:t xml:space="preserve">. This brings forward the idea that </w:t>
      </w:r>
      <w:r w:rsidR="00621B8C">
        <w:t>though there is a spilt in the language, there is similarities there</w:t>
      </w:r>
      <w:r w:rsidR="00F347E4">
        <w:t xml:space="preserve"> enough that it can be recorded. This is evidenced somewhat by the ancient account by Tacitus in which he states “you would find </w:t>
      </w:r>
      <w:r w:rsidR="003E017A">
        <w:t>their</w:t>
      </w:r>
      <w:r w:rsidR="00F347E4">
        <w:t xml:space="preserve"> Gallic ceremonies and Gallic religious beliefs; the language is not very different”</w:t>
      </w:r>
      <w:r w:rsidR="00F347E4">
        <w:rPr>
          <w:rStyle w:val="FootnoteReference"/>
        </w:rPr>
        <w:footnoteReference w:id="5"/>
      </w:r>
      <w:r w:rsidR="002277C3">
        <w:t xml:space="preserve"> as well as in Strabo’s account in which it is said that “not all speak the same language but some make variations in their language”</w:t>
      </w:r>
      <w:r w:rsidR="002277C3">
        <w:rPr>
          <w:rStyle w:val="FootnoteReference"/>
        </w:rPr>
        <w:footnoteReference w:id="6"/>
      </w:r>
      <w:r w:rsidR="004E65F5">
        <w:t xml:space="preserve">. This shows that </w:t>
      </w:r>
      <w:r w:rsidR="00036379">
        <w:t>such similarities in the languages were noticed in ancient times, before the inscriptions were mapped</w:t>
      </w:r>
      <w:r w:rsidR="00781973">
        <w:t>, along with other cultural factors</w:t>
      </w:r>
      <w:r w:rsidR="00036379">
        <w:t>.</w:t>
      </w:r>
      <w:r w:rsidR="00CE4148">
        <w:t xml:space="preserve"> </w:t>
      </w:r>
      <w:r w:rsidR="00781973">
        <w:t xml:space="preserve">When linking this to Genetic studies, it is shown that there are genetic similarities between places with similar surnames and place names do appear to show some form of genetic link. </w:t>
      </w:r>
      <w:r w:rsidR="004E5668">
        <w:t xml:space="preserve">For example, </w:t>
      </w:r>
      <w:r w:rsidR="003B35B0">
        <w:t>when examining Gaelic surnames in Places like Ireland which show a regional Y-chromosome carrying which is “typical in Ireland but relatively common in continental Europe”</w:t>
      </w:r>
      <w:r w:rsidR="003B35B0">
        <w:rPr>
          <w:rStyle w:val="FootnoteReference"/>
        </w:rPr>
        <w:footnoteReference w:id="7"/>
      </w:r>
      <w:r w:rsidR="00F83F07">
        <w:t>, which shows in modern terms at least</w:t>
      </w:r>
      <w:r w:rsidR="00D57DBD">
        <w:t xml:space="preserve">, there is links between both genetic and linguistic evidence which can be theorised to have taken place </w:t>
      </w:r>
      <w:r w:rsidR="0013102B">
        <w:t xml:space="preserve">throughout the Iron Age, as is written about by </w:t>
      </w:r>
      <w:r w:rsidR="00114161">
        <w:t xml:space="preserve">ancient writers. In addition to this, another modern Genetic link that appears to show in ‘Celtic’ is that of inherited genetic illnesses. An example of this is again from Ireland in which there is evidence of genetic variants which cause illness such as cystic </w:t>
      </w:r>
      <w:r w:rsidR="00114161">
        <w:lastRenderedPageBreak/>
        <w:t xml:space="preserve">fibrosis and phenylketonuria, and such variant is only shown predominantly in other </w:t>
      </w:r>
      <w:r w:rsidR="007C4C62">
        <w:t>‘</w:t>
      </w:r>
      <w:r w:rsidR="000079EA">
        <w:t>C</w:t>
      </w:r>
      <w:r w:rsidR="007C4C62">
        <w:t>eltic regions like Scotland and Brittany.</w:t>
      </w:r>
      <w:r w:rsidR="007C4C62">
        <w:rPr>
          <w:rStyle w:val="FootnoteReference"/>
        </w:rPr>
        <w:footnoteReference w:id="8"/>
      </w:r>
      <w:r w:rsidR="00F36955">
        <w:t xml:space="preserve"> Despite this again not being specific to the Ancient genetic testing, it could be taken into account </w:t>
      </w:r>
      <w:r w:rsidR="005F22A5">
        <w:t xml:space="preserve">because it does show the separation between the </w:t>
      </w:r>
      <w:r w:rsidR="00BF6815">
        <w:t>regions within Britain and continental Europe</w:t>
      </w:r>
      <w:r w:rsidR="00D325E1">
        <w:t xml:space="preserve"> which are either ‘Celtic’ or ‘non-Celtic’.</w:t>
      </w:r>
    </w:p>
    <w:p w14:paraId="44245614" w14:textId="48B28786" w:rsidR="00410303" w:rsidRDefault="00FF0194">
      <w:r>
        <w:t>DNA analysis in general is separated into two sections, that of the Y-chromosome, which follows the male genetic pattern and the mitochondrial which follows the female path. Separate studies have been carried out over the years</w:t>
      </w:r>
      <w:r w:rsidR="005D65D4">
        <w:t xml:space="preserve"> such as </w:t>
      </w:r>
      <w:r w:rsidR="00083E6B">
        <w:t>S</w:t>
      </w:r>
      <w:r w:rsidR="005D65D4">
        <w:t xml:space="preserve">ykes and </w:t>
      </w:r>
      <w:r w:rsidR="00083E6B">
        <w:t>O</w:t>
      </w:r>
      <w:r w:rsidR="005D65D4">
        <w:t xml:space="preserve">ppenheimer, as well as </w:t>
      </w:r>
      <w:r w:rsidR="00083E6B">
        <w:t xml:space="preserve">McEvoy et al, which both show that the Insular Celts from around Britain have more connection with </w:t>
      </w:r>
      <w:r w:rsidR="00BB458A">
        <w:t>the regions in the ‘Atlantic zone’ rather than the ‘central European Iron Age’</w:t>
      </w:r>
      <w:r w:rsidR="00BB458A">
        <w:rPr>
          <w:rStyle w:val="FootnoteReference"/>
        </w:rPr>
        <w:footnoteReference w:id="9"/>
      </w:r>
      <w:r w:rsidR="006820FB">
        <w:t xml:space="preserve"> which was shown </w:t>
      </w:r>
      <w:r w:rsidR="000437A1">
        <w:t xml:space="preserve">mostly by the Y-chromosome DNA. This means that at least on the paternal line shows a particularly strong link between the Atlantic </w:t>
      </w:r>
      <w:r w:rsidR="00003533">
        <w:t xml:space="preserve">(this area including places such as Iberia) </w:t>
      </w:r>
      <w:r w:rsidR="000437A1">
        <w:t xml:space="preserve">and the Britannic Iron Age societies. It is also shown in the investigations </w:t>
      </w:r>
      <w:r w:rsidR="002D14B3">
        <w:t>of Sykes and Oppenheimer and McEvoy et al, that there is a different conclusion when looking into the mitochondrial</w:t>
      </w:r>
      <w:r w:rsidR="00CD6F44">
        <w:t xml:space="preserve"> (maternal)</w:t>
      </w:r>
      <w:r w:rsidR="002D14B3">
        <w:t xml:space="preserve"> DNA pattern. </w:t>
      </w:r>
      <w:r w:rsidR="000079EA">
        <w:t>It appears to be that it has a connection with the more central area of Europe, separate to that of the paternal DNA.</w:t>
      </w:r>
      <w:r w:rsidR="000079EA">
        <w:rPr>
          <w:rStyle w:val="FootnoteReference"/>
        </w:rPr>
        <w:footnoteReference w:id="10"/>
      </w:r>
      <w:r w:rsidR="000079EA">
        <w:t xml:space="preserve">  There is an example of this shown the Iron Age society of Urville-Nacqu</w:t>
      </w:r>
      <w:r w:rsidR="006C6D51">
        <w:t>e</w:t>
      </w:r>
      <w:r w:rsidR="000079EA">
        <w:t xml:space="preserve">ville in the Normandy area. </w:t>
      </w:r>
      <w:r w:rsidR="00B42C72">
        <w:t>This site was occupied around 120-80BC and was a known for trade during this period</w:t>
      </w:r>
      <w:r w:rsidR="00BE2B52">
        <w:t>. There is both archaeological and genetic evidence for a distinct link between this area of southern Dorset in Britain.</w:t>
      </w:r>
      <w:r w:rsidR="00BE2B52">
        <w:rPr>
          <w:rStyle w:val="FootnoteReference"/>
        </w:rPr>
        <w:footnoteReference w:id="11"/>
      </w:r>
      <w:r w:rsidR="00BE2B52">
        <w:t xml:space="preserve">  </w:t>
      </w:r>
      <w:r w:rsidR="00410303">
        <w:t>From the genetic survey, where DNA was tested from about forty-five individuals, it is shown that Urville-Nacqu</w:t>
      </w:r>
      <w:r w:rsidR="006C6D51">
        <w:t>e</w:t>
      </w:r>
      <w:r w:rsidR="00410303">
        <w:t>ville seems to have a mitochondrial genetic connection with Germany, Great Britain and Spain.</w:t>
      </w:r>
      <w:r w:rsidR="00410303">
        <w:rPr>
          <w:rStyle w:val="FootnoteReference"/>
        </w:rPr>
        <w:footnoteReference w:id="12"/>
      </w:r>
      <w:r w:rsidR="00B16789">
        <w:t xml:space="preserve"> This shows that there was a strong movement of female DNA across both continental Europe and Britain. An interpretation of this is that </w:t>
      </w:r>
      <w:r w:rsidR="00070169">
        <w:t>there were marriages between women from places like Dorset with the men in Urville-Nacquville, thus explaining the strong maternal genetic connection. Such actions could have taken place to strengthen the trading relationships between the areas</w:t>
      </w:r>
      <w:r w:rsidR="00DA4AB6">
        <w:t xml:space="preserve"> which was shown through some archaeological and funerary evidence.</w:t>
      </w:r>
      <w:r w:rsidR="00FA37D1">
        <w:t xml:space="preserve"> Another example is that of </w:t>
      </w:r>
      <w:r w:rsidR="00E41C21">
        <w:t>the peoples of the village site of La Hoya, which is in the Iberian Peninsula</w:t>
      </w:r>
      <w:r w:rsidR="00240444">
        <w:t xml:space="preserve"> which is also seen to be a trade centre during the Iron Age. The study on this site analysed the La Hoya DNA along with that of the people of the modern day</w:t>
      </w:r>
      <w:r w:rsidR="00044BCC">
        <w:t xml:space="preserve"> and the results of this showed </w:t>
      </w:r>
      <w:r w:rsidR="003E63F3">
        <w:t>that “</w:t>
      </w:r>
      <w:r w:rsidR="00044BCC">
        <w:t>mitoch</w:t>
      </w:r>
      <w:r w:rsidR="00967A3F">
        <w:t>ondrial DNA haplogroups of La Hoya inhabitants are contained in the contemporary European genetic pool</w:t>
      </w:r>
      <w:r w:rsidR="00DE5C30">
        <w:t>….</w:t>
      </w:r>
      <w:r w:rsidR="00967A3F">
        <w:t xml:space="preserve"> a distinctive pattern in the autochthonous populations of the north of the Iberian Peninsula”.</w:t>
      </w:r>
      <w:r w:rsidR="00967A3F">
        <w:rPr>
          <w:rStyle w:val="FootnoteReference"/>
        </w:rPr>
        <w:footnoteReference w:id="13"/>
      </w:r>
      <w:r w:rsidR="00DE5C30">
        <w:t xml:space="preserve"> </w:t>
      </w:r>
      <w:r w:rsidR="00C91B15">
        <w:t xml:space="preserve">This shows that </w:t>
      </w:r>
      <w:r w:rsidR="003B2081">
        <w:t xml:space="preserve">the genetic imprint of this specific area is </w:t>
      </w:r>
      <w:r w:rsidR="00F97A75">
        <w:t xml:space="preserve">traceable from the iron age to the modern day around the same area and do have similarities with others around northern Europe. results such as this could possibly show that </w:t>
      </w:r>
      <w:r w:rsidR="004B6B66">
        <w:t>to</w:t>
      </w:r>
      <w:r w:rsidR="00F97A75">
        <w:t xml:space="preserve"> get clear results on the over spread of ‘Celtic’ identities by </w:t>
      </w:r>
      <w:r w:rsidR="001D58DE">
        <w:t xml:space="preserve">studying </w:t>
      </w:r>
      <w:r w:rsidR="004B6B66">
        <w:t xml:space="preserve">DNA, is to study both the ancient and the modern genetic line. The reasoning behind this is that if there was a spread of the peoples and culture to different areas </w:t>
      </w:r>
      <w:r w:rsidR="007978EC">
        <w:t xml:space="preserve">during the Iron Age then the genetic evidence would </w:t>
      </w:r>
      <w:r w:rsidR="00C0139F">
        <w:t xml:space="preserve">continue into the modern age and therefore the Ancient and modern </w:t>
      </w:r>
      <w:r w:rsidR="008A6C25">
        <w:t>DNA can be used to evidence the theory.</w:t>
      </w:r>
    </w:p>
    <w:p w14:paraId="2CF47496" w14:textId="51B0BA12" w:rsidR="00415200" w:rsidRDefault="00F07D26">
      <w:r>
        <w:t xml:space="preserve">However, </w:t>
      </w:r>
      <w:r w:rsidR="00DA43B5">
        <w:t xml:space="preserve">alongside </w:t>
      </w:r>
      <w:r w:rsidR="00065096">
        <w:t>DNA evidence, archaeological findings along with literature to an extent is needed to show definitively whether the spread of a single ‘Celtic’ culture did in fact spread throughout Europe.</w:t>
      </w:r>
      <w:r w:rsidR="00497651">
        <w:t xml:space="preserve"> It can be said to have been indicated by</w:t>
      </w:r>
      <w:r w:rsidR="00065096">
        <w:t xml:space="preserve"> </w:t>
      </w:r>
      <w:r w:rsidR="00497651">
        <w:t xml:space="preserve">the Iron Age trade centre of </w:t>
      </w:r>
      <w:r w:rsidR="006C6D51">
        <w:t>Urville Nacqueville, where there is evidence of British pottery shards as well as funerary evidence. For example</w:t>
      </w:r>
      <w:r w:rsidR="00807328">
        <w:t>,</w:t>
      </w:r>
      <w:r w:rsidR="006C6D51">
        <w:t xml:space="preserve"> there was some skeletons with “a more or less pronounced flexion of the lower limbs” </w:t>
      </w:r>
      <w:r w:rsidR="006C6D51">
        <w:lastRenderedPageBreak/>
        <w:t>which is also shown in the Durotrigan burials from the sites in Dorset from around the same time.</w:t>
      </w:r>
      <w:r w:rsidR="006C6D51">
        <w:rPr>
          <w:rStyle w:val="FootnoteReference"/>
        </w:rPr>
        <w:footnoteReference w:id="14"/>
      </w:r>
      <w:r w:rsidR="006C6D51">
        <w:t xml:space="preserve"> </w:t>
      </w:r>
      <w:r w:rsidR="006705E9">
        <w:t xml:space="preserve"> </w:t>
      </w:r>
      <w:r w:rsidR="00CD6F44">
        <w:t xml:space="preserve"> This does show at least some indication of cultural exchange</w:t>
      </w:r>
      <w:r w:rsidR="00874533">
        <w:t xml:space="preserve"> because it is mostly shown in continental Europe, that cremation was more regularly used.</w:t>
      </w:r>
      <w:r w:rsidR="00003533">
        <w:t xml:space="preserve"> </w:t>
      </w:r>
      <w:r w:rsidR="00CD6F44">
        <w:t xml:space="preserve"> </w:t>
      </w:r>
      <w:r w:rsidR="00956C0D">
        <w:t xml:space="preserve">Because these areas are known to be areas of trade that are located on the coast, it is not unreasonable to assume that the spread of cultural ideas and possibly DNA through possible migration through means like marriage. Another form of archaeological evidence is that of the trading of material using the </w:t>
      </w:r>
      <w:r w:rsidR="00807328">
        <w:t>English Channel</w:t>
      </w:r>
      <w:r w:rsidR="00956C0D">
        <w:t xml:space="preserve"> between areas like </w:t>
      </w:r>
      <w:r w:rsidR="00807328">
        <w:t xml:space="preserve">the Atlantic zone of southwestern area of </w:t>
      </w:r>
      <w:r w:rsidR="00956C0D">
        <w:t xml:space="preserve">Iberia </w:t>
      </w:r>
      <w:r w:rsidR="00807328">
        <w:t>along with North-west France and Britain and Ireland during the latter Bronze age.</w:t>
      </w:r>
      <w:r w:rsidR="00807328">
        <w:rPr>
          <w:rStyle w:val="FootnoteReference"/>
        </w:rPr>
        <w:footnoteReference w:id="15"/>
      </w:r>
      <w:r w:rsidR="00807328">
        <w:t xml:space="preserve"> These materials included objects made of metal, like very similar weaponry and bronze cauldrons have been found throughout the </w:t>
      </w:r>
      <w:r w:rsidR="00846933">
        <w:t>A</w:t>
      </w:r>
      <w:r w:rsidR="00807328">
        <w:t>tlantic zone</w:t>
      </w:r>
      <w:r w:rsidR="00846933">
        <w:t>, although these archaeological links do seem to weaken around 800-500BC</w:t>
      </w:r>
      <w:r w:rsidR="00807328">
        <w:t>.</w:t>
      </w:r>
      <w:r w:rsidR="00807328">
        <w:rPr>
          <w:rStyle w:val="FootnoteReference"/>
        </w:rPr>
        <w:footnoteReference w:id="16"/>
      </w:r>
      <w:r w:rsidR="00423D5C">
        <w:t xml:space="preserve"> Despite the majority of this trading taking place </w:t>
      </w:r>
      <w:r w:rsidR="00331D78">
        <w:t>in the earlier bronze age, the probability is that the sharing of the ideas did resonate and it is also likely that there was at least limited migration between these areas as well which would then mean that there would have been some shared genetic lineage</w:t>
      </w:r>
      <w:r w:rsidR="00EC39A9">
        <w:t xml:space="preserve"> into the Iron Age and beyond</w:t>
      </w:r>
      <w:r w:rsidR="00331D78">
        <w:t>.</w:t>
      </w:r>
    </w:p>
    <w:p w14:paraId="31B8DA38" w14:textId="393B6D3D" w:rsidR="00543F73" w:rsidRDefault="00543F73">
      <w:r>
        <w:t>In conclusion,</w:t>
      </w:r>
      <w:r w:rsidR="00C73062">
        <w:t xml:space="preserve"> investigations involving ancient ‘Celtic’ DNA can be said to show some spread of culture and identity throughout Europe, and this paper has identified examples of DNA that has been somewhat backed up by archaeological evidence. Although, </w:t>
      </w:r>
      <w:r w:rsidR="004A2CAC">
        <w:t xml:space="preserve">the evidence that has been analysed have been mainly from the </w:t>
      </w:r>
      <w:r w:rsidR="00AD2A75">
        <w:t>Atlantic zone rather than Central Europe which means that only a small number of societies have been included.</w:t>
      </w:r>
      <w:r w:rsidR="0066548C">
        <w:t xml:space="preserve"> It also has to be stated that </w:t>
      </w:r>
      <w:r w:rsidR="00270614">
        <w:t>the number of the human remains that have been tested to see the genetic line, is also very small, both because of there not being a huge amount of human remains to study because there was a large number of cremations and that there would have been a high likelihood of contamination of the bone that are recovered.</w:t>
      </w:r>
      <w:r w:rsidR="0079510D">
        <w:t xml:space="preserve"> This means that the results from the </w:t>
      </w:r>
      <w:r w:rsidR="00C772B8">
        <w:t>genetic studies cannot be deemed as completely accurate or reliable.</w:t>
      </w:r>
      <w:r w:rsidR="00F16F1D">
        <w:t xml:space="preserve"> </w:t>
      </w:r>
      <w:r w:rsidR="00C23CAE">
        <w:t xml:space="preserve">As well as this, </w:t>
      </w:r>
      <w:r w:rsidR="008C6476">
        <w:t>for</w:t>
      </w:r>
      <w:r w:rsidR="00C23CAE">
        <w:t xml:space="preserve"> the spread of the so-called Celtic identity to be proven in any kind of way</w:t>
      </w:r>
      <w:r w:rsidR="008C6476">
        <w:t>, both archaeological</w:t>
      </w:r>
      <w:r w:rsidR="00165632">
        <w:t>, linguistic,</w:t>
      </w:r>
      <w:r w:rsidR="008C6476">
        <w:t xml:space="preserve"> and to an extent literary evidence is also needed to coincide with the genetic evidence because as a stand-alone analysis, it cannot completely show any cultural spread, because genetic spread is not exclusive to the ‘Celtic’ society. </w:t>
      </w:r>
      <w:r w:rsidR="005E01EE">
        <w:t xml:space="preserve">One of the main things that are shown in the genetic studies mentioned in this paper is that the maternal and paternal genetic lines appear to originate from different directions, this could potentially mean that </w:t>
      </w:r>
      <w:r w:rsidR="00EC39A9">
        <w:t>there may have been a physical migration of peoples, possibly through marriage with different areas of Iron Age Europe.</w:t>
      </w:r>
      <w:r w:rsidR="00165632">
        <w:t xml:space="preserve"> </w:t>
      </w:r>
      <w:r w:rsidR="00D675CF">
        <w:t>O</w:t>
      </w:r>
      <w:r w:rsidR="00702518">
        <w:t>verall,</w:t>
      </w:r>
      <w:r w:rsidR="00D675CF">
        <w:t xml:space="preserve"> </w:t>
      </w:r>
      <w:r w:rsidR="0095176D">
        <w:t>the ancient DNA analyses can only provide reliable information on the origin and spread of ‘Celticity’ when evidenced alongside other means of</w:t>
      </w:r>
      <w:r w:rsidR="00492119">
        <w:t xml:space="preserve"> ancient physical</w:t>
      </w:r>
      <w:r w:rsidR="0095176D">
        <w:t xml:space="preserve"> evidence and it can be argued</w:t>
      </w:r>
      <w:r w:rsidR="00492119">
        <w:t>, when it is shown alongside modern DNA studies as they are both more accurate and they show the continuity of ‘Celtic’ genes in specific areas of Europe.</w:t>
      </w:r>
    </w:p>
    <w:p w14:paraId="24035A99" w14:textId="2FB75F33" w:rsidR="00702518" w:rsidRDefault="00702518"/>
    <w:p w14:paraId="28CBE32C" w14:textId="30D6D8F1" w:rsidR="00702518" w:rsidRDefault="00702518"/>
    <w:p w14:paraId="3D4D53BE" w14:textId="5A9270B8" w:rsidR="00702518" w:rsidRDefault="00702518"/>
    <w:p w14:paraId="3EFB34BC" w14:textId="4622EDBB" w:rsidR="00702518" w:rsidRDefault="00702518"/>
    <w:p w14:paraId="45070C2E" w14:textId="3A6B141B" w:rsidR="00702518" w:rsidRDefault="00702518"/>
    <w:p w14:paraId="2E821D70" w14:textId="77777777" w:rsidR="00712EEF" w:rsidRDefault="00712EEF" w:rsidP="00702518"/>
    <w:p w14:paraId="43E93D4A" w14:textId="7C85A7C5" w:rsidR="00702518" w:rsidRPr="00014363" w:rsidRDefault="00702518" w:rsidP="00702518">
      <w:pPr>
        <w:rPr>
          <w:rFonts w:cstheme="minorHAnsi"/>
          <w:sz w:val="24"/>
          <w:u w:val="single"/>
        </w:rPr>
      </w:pPr>
      <w:r w:rsidRPr="00014363">
        <w:rPr>
          <w:rFonts w:cstheme="minorHAnsi"/>
          <w:sz w:val="24"/>
          <w:u w:val="single"/>
        </w:rPr>
        <w:lastRenderedPageBreak/>
        <w:t>Bibliography:</w:t>
      </w:r>
    </w:p>
    <w:p w14:paraId="65E109AF" w14:textId="77777777" w:rsidR="00702518" w:rsidRDefault="00702518" w:rsidP="00702518">
      <w:pPr>
        <w:rPr>
          <w:rFonts w:cstheme="minorHAnsi"/>
          <w:sz w:val="24"/>
          <w:u w:val="single"/>
        </w:rPr>
      </w:pPr>
    </w:p>
    <w:p w14:paraId="053D7B8F" w14:textId="77777777" w:rsidR="00702518" w:rsidRPr="00C509AE" w:rsidRDefault="00702518" w:rsidP="00702518">
      <w:pPr>
        <w:rPr>
          <w:rFonts w:cstheme="minorHAnsi"/>
          <w:sz w:val="24"/>
          <w:u w:val="single"/>
        </w:rPr>
      </w:pPr>
      <w:r w:rsidRPr="00C509AE">
        <w:rPr>
          <w:rFonts w:cstheme="minorHAnsi"/>
          <w:sz w:val="24"/>
          <w:u w:val="single"/>
        </w:rPr>
        <w:t>Ancient sources:</w:t>
      </w:r>
    </w:p>
    <w:p w14:paraId="22B9CF87" w14:textId="40959CA3" w:rsidR="00702518" w:rsidRPr="00C667F8" w:rsidRDefault="00702518" w:rsidP="00702518">
      <w:pPr>
        <w:rPr>
          <w:rFonts w:cstheme="minorHAnsi"/>
        </w:rPr>
      </w:pPr>
      <w:r w:rsidRPr="00C667F8">
        <w:rPr>
          <w:rFonts w:cstheme="minorHAnsi"/>
        </w:rPr>
        <w:t>Tacitus</w:t>
      </w:r>
      <w:r>
        <w:rPr>
          <w:rFonts w:cstheme="minorHAnsi"/>
        </w:rPr>
        <w:t>,</w:t>
      </w:r>
      <w:r w:rsidRPr="00C667F8">
        <w:rPr>
          <w:rFonts w:cstheme="minorHAnsi"/>
        </w:rPr>
        <w:t xml:space="preserve"> Agricola</w:t>
      </w:r>
      <w:r>
        <w:rPr>
          <w:rFonts w:cstheme="minorHAnsi"/>
        </w:rPr>
        <w:t xml:space="preserve">. M. Hutton and W. Peterson (trans.) 1914. Loeb. Available at: </w:t>
      </w:r>
      <w:hyperlink r:id="rId7" w:history="1">
        <w:r w:rsidR="009A020A" w:rsidRPr="00844D7C">
          <w:rPr>
            <w:rStyle w:val="Hyperlink"/>
            <w:rFonts w:cstheme="minorHAnsi"/>
          </w:rPr>
          <w:t>https://www-loebclassics-com.ezproxy.uwtsd.ac.uk/view/tacitus-agricola/1914/pb_LCL035.47.xml?rskey=UDek83&amp;result=13</w:t>
        </w:r>
      </w:hyperlink>
      <w:r w:rsidR="009A020A">
        <w:rPr>
          <w:rFonts w:cstheme="minorHAnsi"/>
        </w:rPr>
        <w:t xml:space="preserve"> (Accessed: 29/02/2019)</w:t>
      </w:r>
    </w:p>
    <w:p w14:paraId="4D5B38D2" w14:textId="3D94287E" w:rsidR="00702518" w:rsidRPr="00C667F8" w:rsidRDefault="00702518" w:rsidP="00702518">
      <w:pPr>
        <w:rPr>
          <w:rFonts w:cstheme="minorHAnsi"/>
        </w:rPr>
      </w:pPr>
      <w:r w:rsidRPr="00C667F8">
        <w:rPr>
          <w:rFonts w:cstheme="minorHAnsi"/>
        </w:rPr>
        <w:t>Strabo</w:t>
      </w:r>
      <w:r>
        <w:rPr>
          <w:rFonts w:cstheme="minorHAnsi"/>
        </w:rPr>
        <w:t xml:space="preserve">, Geography. H, L. Jones (trans.). 1917. Loeb. Available at: </w:t>
      </w:r>
      <w:hyperlink r:id="rId8" w:history="1">
        <w:r w:rsidR="009A020A" w:rsidRPr="00844D7C">
          <w:rPr>
            <w:rStyle w:val="Hyperlink"/>
            <w:rFonts w:cstheme="minorHAnsi"/>
          </w:rPr>
          <w:t>https://www-loebclassics-com.ezproxy.uwtsd.ac.uk/view/strabo-geography/1917/pb_LCL050.161.xml?rskey=s4tS3O&amp;result=10&amp;mainRsKey=fAIBTx</w:t>
        </w:r>
      </w:hyperlink>
      <w:r w:rsidR="009A020A">
        <w:rPr>
          <w:rFonts w:cstheme="minorHAnsi"/>
        </w:rPr>
        <w:t xml:space="preserve"> (Accessed:29/02/2019)</w:t>
      </w:r>
    </w:p>
    <w:p w14:paraId="3F9FB4C5" w14:textId="73911868" w:rsidR="00702518" w:rsidRPr="00C667F8" w:rsidRDefault="00702518" w:rsidP="00702518">
      <w:pPr>
        <w:rPr>
          <w:rFonts w:cstheme="minorHAnsi"/>
        </w:rPr>
      </w:pPr>
      <w:r w:rsidRPr="00C667F8">
        <w:rPr>
          <w:rFonts w:cstheme="minorHAnsi"/>
        </w:rPr>
        <w:t>Parthenius of Apanea</w:t>
      </w:r>
      <w:r>
        <w:rPr>
          <w:rFonts w:cstheme="minorHAnsi"/>
        </w:rPr>
        <w:t>,</w:t>
      </w:r>
      <w:r w:rsidRPr="00C667F8">
        <w:rPr>
          <w:rFonts w:cstheme="minorHAnsi"/>
        </w:rPr>
        <w:t xml:space="preserve"> Erotica </w:t>
      </w:r>
      <w:r>
        <w:rPr>
          <w:rFonts w:cstheme="minorHAnsi"/>
        </w:rPr>
        <w:t xml:space="preserve">Pathemata. S. Gaselee (trans.). Unknown. Online. Available at: </w:t>
      </w:r>
      <w:hyperlink r:id="rId9" w:history="1">
        <w:r w:rsidR="009A020A" w:rsidRPr="00844D7C">
          <w:rPr>
            <w:rStyle w:val="Hyperlink"/>
            <w:rFonts w:cstheme="minorHAnsi"/>
          </w:rPr>
          <w:t>https://www.theoi.com/Text/Parthenius2.html#30</w:t>
        </w:r>
      </w:hyperlink>
      <w:r w:rsidR="009A020A">
        <w:rPr>
          <w:rFonts w:cstheme="minorHAnsi"/>
        </w:rPr>
        <w:t xml:space="preserve"> (Accessed: 31/01/2019)</w:t>
      </w:r>
    </w:p>
    <w:p w14:paraId="6CE6B34B" w14:textId="77777777" w:rsidR="00702518" w:rsidRDefault="00702518" w:rsidP="00702518">
      <w:pPr>
        <w:rPr>
          <w:rFonts w:cstheme="minorHAnsi"/>
          <w:sz w:val="24"/>
          <w:u w:val="single"/>
        </w:rPr>
      </w:pPr>
    </w:p>
    <w:p w14:paraId="69793A42" w14:textId="77777777" w:rsidR="00702518" w:rsidRDefault="00702518" w:rsidP="00702518">
      <w:pPr>
        <w:rPr>
          <w:rFonts w:cstheme="minorHAnsi"/>
          <w:sz w:val="24"/>
          <w:u w:val="single"/>
        </w:rPr>
      </w:pPr>
      <w:r w:rsidRPr="00C667F8">
        <w:rPr>
          <w:rFonts w:cstheme="minorHAnsi"/>
          <w:sz w:val="24"/>
          <w:u w:val="single"/>
        </w:rPr>
        <w:t>Modern:</w:t>
      </w:r>
    </w:p>
    <w:p w14:paraId="6ABCD31C" w14:textId="77777777" w:rsidR="00702518" w:rsidRDefault="00702518" w:rsidP="00702518">
      <w:pPr>
        <w:rPr>
          <w:rFonts w:cstheme="minorHAnsi"/>
          <w:u w:val="single"/>
        </w:rPr>
      </w:pPr>
      <w:r>
        <w:rPr>
          <w:rFonts w:cstheme="minorHAnsi"/>
          <w:u w:val="single"/>
        </w:rPr>
        <w:t>Textbooks:</w:t>
      </w:r>
    </w:p>
    <w:p w14:paraId="68FBD0E8" w14:textId="77777777" w:rsidR="00702518" w:rsidRDefault="00702518" w:rsidP="00702518">
      <w:pPr>
        <w:rPr>
          <w:rFonts w:cstheme="minorHAnsi"/>
        </w:rPr>
      </w:pPr>
      <w:r>
        <w:rPr>
          <w:rFonts w:cstheme="minorHAnsi"/>
        </w:rPr>
        <w:t xml:space="preserve">Cunliffe, B. (2010) ‘Celticization From the West: The Contribution of Archaeology’, in Cunliffe, B and Koch, J T. (ed.) </w:t>
      </w:r>
      <w:r>
        <w:rPr>
          <w:rFonts w:cstheme="minorHAnsi"/>
          <w:i/>
        </w:rPr>
        <w:t xml:space="preserve">Celtic From the West: Alternative Perspectives from Archaeology, Genetics, Language and Literature. </w:t>
      </w:r>
      <w:r>
        <w:rPr>
          <w:rFonts w:cstheme="minorHAnsi"/>
        </w:rPr>
        <w:t>Oxford: Oxbow Books.</w:t>
      </w:r>
    </w:p>
    <w:p w14:paraId="1F8A382A" w14:textId="77777777" w:rsidR="00702518" w:rsidRDefault="00702518" w:rsidP="00702518">
      <w:pPr>
        <w:rPr>
          <w:rFonts w:cstheme="minorHAnsi"/>
        </w:rPr>
      </w:pPr>
      <w:r>
        <w:rPr>
          <w:rFonts w:cstheme="minorHAnsi"/>
        </w:rPr>
        <w:t xml:space="preserve">McEvoy, B and Bradley, D, G. (2010) ‘Irish Genetics and Celts’, in Cunliffe, B and Koch, J T. (ed.) </w:t>
      </w:r>
      <w:r>
        <w:rPr>
          <w:rFonts w:cstheme="minorHAnsi"/>
          <w:i/>
        </w:rPr>
        <w:t xml:space="preserve">Celtic From the West: Alternative Perspectives from Archaeology, Genetics, Language and Literature. </w:t>
      </w:r>
      <w:r>
        <w:rPr>
          <w:rFonts w:cstheme="minorHAnsi"/>
        </w:rPr>
        <w:t>Oxford: Oxbow Books.</w:t>
      </w:r>
    </w:p>
    <w:p w14:paraId="14995B9B" w14:textId="77777777" w:rsidR="00702518" w:rsidRDefault="00702518" w:rsidP="00702518">
      <w:pPr>
        <w:rPr>
          <w:rFonts w:cstheme="minorHAnsi"/>
        </w:rPr>
      </w:pPr>
      <w:r>
        <w:rPr>
          <w:rFonts w:cstheme="minorHAnsi"/>
        </w:rPr>
        <w:t>Oppenheimer, S. (2010) ‘</w:t>
      </w:r>
      <w:r w:rsidRPr="00C667F8">
        <w:rPr>
          <w:rFonts w:cstheme="minorHAnsi"/>
        </w:rPr>
        <w:t xml:space="preserve">A reanalysis of multiple prehistoric immigrants to Britain and Ireland aimed at identifying the </w:t>
      </w:r>
      <w:r>
        <w:rPr>
          <w:rFonts w:cstheme="minorHAnsi"/>
        </w:rPr>
        <w:t>C</w:t>
      </w:r>
      <w:r w:rsidRPr="00C667F8">
        <w:rPr>
          <w:rFonts w:cstheme="minorHAnsi"/>
        </w:rPr>
        <w:t>eltic contributions</w:t>
      </w:r>
      <w:r>
        <w:rPr>
          <w:rFonts w:cstheme="minorHAnsi"/>
        </w:rPr>
        <w:t xml:space="preserve">’, in Cunliffe, B and Koch, J T. (ed.) </w:t>
      </w:r>
      <w:r>
        <w:rPr>
          <w:rFonts w:cstheme="minorHAnsi"/>
          <w:i/>
        </w:rPr>
        <w:t xml:space="preserve">Celtic From the West: Alternative Perspectives from Archaeology, Genetics, Language and Literature. </w:t>
      </w:r>
      <w:r>
        <w:rPr>
          <w:rFonts w:cstheme="minorHAnsi"/>
        </w:rPr>
        <w:t>Oxford: Oxbow Books.</w:t>
      </w:r>
    </w:p>
    <w:p w14:paraId="5A5C1390" w14:textId="77777777" w:rsidR="00702518" w:rsidRDefault="00702518" w:rsidP="00702518">
      <w:pPr>
        <w:rPr>
          <w:rFonts w:cstheme="minorHAnsi"/>
        </w:rPr>
      </w:pPr>
      <w:r>
        <w:rPr>
          <w:rFonts w:cstheme="minorHAnsi"/>
        </w:rPr>
        <w:t xml:space="preserve">Royrick, E C. (2010) ‘Western Celts? A Genetic Impression of Britain in Atlantic Europe’, in Cunliffe, B and Koch, J T. (ed.) </w:t>
      </w:r>
      <w:r>
        <w:rPr>
          <w:rFonts w:cstheme="minorHAnsi"/>
          <w:i/>
        </w:rPr>
        <w:t xml:space="preserve">Celtic From the West: Alternative Perspectives from Archaeology, Genetics, Language and Literature. </w:t>
      </w:r>
      <w:r>
        <w:rPr>
          <w:rFonts w:cstheme="minorHAnsi"/>
        </w:rPr>
        <w:t>Oxford: Oxbow Books.</w:t>
      </w:r>
    </w:p>
    <w:p w14:paraId="19675561" w14:textId="77777777" w:rsidR="00702518" w:rsidRDefault="00702518" w:rsidP="00702518">
      <w:pPr>
        <w:rPr>
          <w:rFonts w:cstheme="minorHAnsi"/>
          <w:u w:val="single"/>
        </w:rPr>
      </w:pPr>
    </w:p>
    <w:p w14:paraId="2C432A74" w14:textId="77777777" w:rsidR="00702518" w:rsidRPr="00D356A9" w:rsidRDefault="00702518" w:rsidP="00702518">
      <w:pPr>
        <w:rPr>
          <w:rFonts w:cstheme="minorHAnsi"/>
          <w:u w:val="single"/>
        </w:rPr>
      </w:pPr>
      <w:r w:rsidRPr="00D356A9">
        <w:rPr>
          <w:rFonts w:cstheme="minorHAnsi"/>
          <w:u w:val="single"/>
        </w:rPr>
        <w:t>Journals:</w:t>
      </w:r>
    </w:p>
    <w:p w14:paraId="27C0712B" w14:textId="118AC17A" w:rsidR="00702518" w:rsidRDefault="00702518" w:rsidP="00702518">
      <w:pPr>
        <w:rPr>
          <w:rFonts w:eastAsia="Times New Roman" w:cstheme="minorHAnsi"/>
          <w:lang w:eastAsia="en-GB"/>
        </w:rPr>
      </w:pPr>
      <w:r>
        <w:rPr>
          <w:rFonts w:cstheme="minorHAnsi"/>
        </w:rPr>
        <w:t xml:space="preserve">Fischer, C et al. (2018) ‘The Multiple Maternal Legacy of the Late Iron Age Group of Urville-Nacquville (France, Normandy) Documents a Long-Standing Genetic Contact Zone in North-western France’ </w:t>
      </w:r>
      <w:r>
        <w:rPr>
          <w:rFonts w:cstheme="minorHAnsi"/>
          <w:i/>
        </w:rPr>
        <w:t>PLoS One</w:t>
      </w:r>
      <w:r>
        <w:rPr>
          <w:rFonts w:cstheme="minorHAnsi"/>
        </w:rPr>
        <w:t xml:space="preserve">, 13(12), pp.1-19. </w:t>
      </w:r>
      <w:r w:rsidR="001F1439" w:rsidRPr="008B34FF">
        <w:rPr>
          <w:rFonts w:eastAsia="Times New Roman" w:cstheme="minorHAnsi"/>
          <w:lang w:eastAsia="en-GB"/>
        </w:rPr>
        <w:t>DOI: 10.1371/journal.pone</w:t>
      </w:r>
      <w:r w:rsidRPr="008B34FF">
        <w:rPr>
          <w:rFonts w:eastAsia="Times New Roman" w:cstheme="minorHAnsi"/>
          <w:lang w:eastAsia="en-GB"/>
        </w:rPr>
        <w:t>.0207459</w:t>
      </w:r>
    </w:p>
    <w:p w14:paraId="1CC24DF9" w14:textId="47B4F266" w:rsidR="00702518" w:rsidRDefault="00702518" w:rsidP="00702518">
      <w:pPr>
        <w:rPr>
          <w:rStyle w:val="highwire-cite-metadata-doi"/>
          <w:rFonts w:cstheme="minorHAnsi"/>
          <w:color w:val="333333"/>
          <w:szCs w:val="18"/>
        </w:rPr>
      </w:pPr>
      <w:r>
        <w:rPr>
          <w:rFonts w:cstheme="minorHAnsi"/>
        </w:rPr>
        <w:t xml:space="preserve">Foster, P and Toth, A. (2003) ‘Toward a Phylogenetic Chronology of Ancient Gaulish, Celtic, and Indo-European’ </w:t>
      </w:r>
      <w:r>
        <w:rPr>
          <w:rFonts w:cstheme="minorHAnsi"/>
          <w:i/>
        </w:rPr>
        <w:t xml:space="preserve">McDonald Institute </w:t>
      </w:r>
      <w:r w:rsidR="001F1439">
        <w:rPr>
          <w:rFonts w:cstheme="minorHAnsi"/>
          <w:i/>
        </w:rPr>
        <w:t>for</w:t>
      </w:r>
      <w:r>
        <w:rPr>
          <w:rFonts w:cstheme="minorHAnsi"/>
          <w:i/>
        </w:rPr>
        <w:t xml:space="preserve"> Archaeological Research, </w:t>
      </w:r>
      <w:r w:rsidRPr="006E6E71">
        <w:rPr>
          <w:rStyle w:val="highwire-cite-metadata-volume"/>
          <w:rFonts w:cstheme="minorHAnsi"/>
          <w:color w:val="333333"/>
          <w:szCs w:val="18"/>
        </w:rPr>
        <w:t>100</w:t>
      </w:r>
      <w:r w:rsidRPr="006E6E71">
        <w:rPr>
          <w:rStyle w:val="highwire-cite-metadata-issue"/>
          <w:rFonts w:cstheme="minorHAnsi"/>
          <w:color w:val="333333"/>
          <w:szCs w:val="18"/>
        </w:rPr>
        <w:t>(15)</w:t>
      </w:r>
      <w:r>
        <w:rPr>
          <w:rStyle w:val="highwire-cite-metadata-issue"/>
          <w:rFonts w:cstheme="minorHAnsi"/>
          <w:color w:val="333333"/>
          <w:szCs w:val="18"/>
        </w:rPr>
        <w:t>, pp.</w:t>
      </w:r>
      <w:r w:rsidRPr="006E6E71">
        <w:rPr>
          <w:rStyle w:val="highwire-cite-metadata-issue"/>
          <w:rFonts w:cstheme="minorHAnsi"/>
          <w:color w:val="333333"/>
          <w:szCs w:val="18"/>
        </w:rPr>
        <w:t xml:space="preserve"> </w:t>
      </w:r>
      <w:r w:rsidRPr="006E6E71">
        <w:rPr>
          <w:rStyle w:val="highwire-cite-metadata-pages"/>
          <w:rFonts w:cstheme="minorHAnsi"/>
          <w:color w:val="333333"/>
          <w:szCs w:val="18"/>
        </w:rPr>
        <w:t>9079-9084</w:t>
      </w:r>
      <w:r>
        <w:rPr>
          <w:rStyle w:val="highwire-cite-metadata-pages"/>
          <w:rFonts w:cstheme="minorHAnsi"/>
          <w:color w:val="333333"/>
          <w:szCs w:val="18"/>
        </w:rPr>
        <w:t>. URL:</w:t>
      </w:r>
      <w:hyperlink r:id="rId10" w:history="1">
        <w:r w:rsidRPr="00844D7C">
          <w:rPr>
            <w:rStyle w:val="Hyperlink"/>
            <w:rFonts w:cstheme="minorHAnsi"/>
            <w:szCs w:val="18"/>
          </w:rPr>
          <w:t>https://doi.org/10.1073/pnas.1331158100</w:t>
        </w:r>
      </w:hyperlink>
    </w:p>
    <w:p w14:paraId="65360AA5" w14:textId="62CD5BEC" w:rsidR="00702518" w:rsidRPr="00C667F8" w:rsidRDefault="00702518" w:rsidP="00702518">
      <w:pPr>
        <w:rPr>
          <w:rFonts w:cstheme="minorHAnsi"/>
        </w:rPr>
      </w:pPr>
      <w:r>
        <w:rPr>
          <w:rFonts w:cstheme="minorHAnsi"/>
        </w:rPr>
        <w:lastRenderedPageBreak/>
        <w:t xml:space="preserve">Nunez, C et al. (2016) ‘Mitochondrial DNA Reveals the Trace of the Ancient Settlers of a Violently Devastated Late Bronze and Iron Ages Village’ </w:t>
      </w:r>
      <w:r>
        <w:rPr>
          <w:rFonts w:cstheme="minorHAnsi"/>
          <w:i/>
        </w:rPr>
        <w:t xml:space="preserve">PLoS One, 11(50), PP.1-17. </w:t>
      </w:r>
      <w:r w:rsidR="001F1439" w:rsidRPr="00505761">
        <w:rPr>
          <w:rFonts w:eastAsia="Times New Roman" w:cstheme="minorHAnsi"/>
          <w:lang w:eastAsia="en-GB"/>
        </w:rPr>
        <w:t>DOI: 10.1371/journal.pone</w:t>
      </w:r>
      <w:r w:rsidRPr="00505761">
        <w:rPr>
          <w:rFonts w:eastAsia="Times New Roman" w:cstheme="minorHAnsi"/>
          <w:lang w:eastAsia="en-GB"/>
        </w:rPr>
        <w:t>.</w:t>
      </w:r>
      <w:bookmarkStart w:id="0" w:name="_GoBack"/>
      <w:bookmarkEnd w:id="0"/>
      <w:r w:rsidRPr="00505761">
        <w:rPr>
          <w:rFonts w:eastAsia="Times New Roman" w:cstheme="minorHAnsi"/>
          <w:lang w:eastAsia="en-GB"/>
        </w:rPr>
        <w:t>0155342</w:t>
      </w:r>
    </w:p>
    <w:p w14:paraId="654336D4" w14:textId="77777777" w:rsidR="00702518" w:rsidRDefault="00702518" w:rsidP="00702518">
      <w:pPr>
        <w:rPr>
          <w:rFonts w:cstheme="minorHAnsi"/>
        </w:rPr>
      </w:pPr>
      <w:r>
        <w:rPr>
          <w:rFonts w:eastAsia="Times New Roman" w:cstheme="minorHAnsi"/>
          <w:lang w:eastAsia="en-GB"/>
        </w:rPr>
        <w:t xml:space="preserve">Sims-Williams, P. (2012) ‘Bronze and Iron Age Celtic Speakers: What Don’t We Know, What Can’t We Know, and What Could We Know? Language, Genetics and Archaeology in the Twenty-First Century’ </w:t>
      </w:r>
      <w:r>
        <w:rPr>
          <w:rFonts w:eastAsia="Times New Roman" w:cstheme="minorHAnsi"/>
          <w:i/>
          <w:lang w:eastAsia="en-GB"/>
        </w:rPr>
        <w:t>The Antiquaries Journal</w:t>
      </w:r>
      <w:r>
        <w:rPr>
          <w:rFonts w:eastAsia="Times New Roman" w:cstheme="minorHAnsi"/>
          <w:lang w:eastAsia="en-GB"/>
        </w:rPr>
        <w:t xml:space="preserve">, 92, pp.427-449. </w:t>
      </w:r>
      <w:r>
        <w:rPr>
          <w:rFonts w:cstheme="minorHAnsi"/>
        </w:rPr>
        <w:t>DOI</w:t>
      </w:r>
      <w:r w:rsidRPr="00C667F8">
        <w:rPr>
          <w:rFonts w:cstheme="minorHAnsi"/>
        </w:rPr>
        <w:t>:10.1017⁄s000358151200011x</w:t>
      </w:r>
    </w:p>
    <w:p w14:paraId="5E9B4984" w14:textId="77777777" w:rsidR="00702518" w:rsidRDefault="00702518" w:rsidP="00702518">
      <w:pPr>
        <w:rPr>
          <w:rFonts w:cstheme="minorHAnsi"/>
          <w:u w:val="single"/>
        </w:rPr>
      </w:pPr>
    </w:p>
    <w:p w14:paraId="06603961" w14:textId="77777777" w:rsidR="00702518" w:rsidRPr="001204F6" w:rsidRDefault="00702518" w:rsidP="00702518">
      <w:pPr>
        <w:rPr>
          <w:rFonts w:cstheme="minorHAnsi"/>
          <w:u w:val="single"/>
        </w:rPr>
      </w:pPr>
      <w:r w:rsidRPr="001204F6">
        <w:rPr>
          <w:rFonts w:cstheme="minorHAnsi"/>
          <w:u w:val="single"/>
        </w:rPr>
        <w:t>Thesis:</w:t>
      </w:r>
    </w:p>
    <w:p w14:paraId="3485EB59" w14:textId="77777777" w:rsidR="00702518" w:rsidRPr="00B14596" w:rsidRDefault="00702518" w:rsidP="00702518">
      <w:pPr>
        <w:rPr>
          <w:rFonts w:cstheme="minorHAnsi"/>
        </w:rPr>
      </w:pPr>
      <w:r>
        <w:rPr>
          <w:rFonts w:cstheme="minorHAnsi"/>
        </w:rPr>
        <w:t xml:space="preserve">Donnelly, H. (2013) </w:t>
      </w:r>
      <w:r>
        <w:rPr>
          <w:rFonts w:cstheme="minorHAnsi"/>
          <w:i/>
        </w:rPr>
        <w:t xml:space="preserve">The Celtic Question. </w:t>
      </w:r>
      <w:r>
        <w:rPr>
          <w:rFonts w:cstheme="minorHAnsi"/>
        </w:rPr>
        <w:t xml:space="preserve">Unpublished Thesis. University of Sydney. Available at: </w:t>
      </w:r>
      <w:hyperlink r:id="rId11" w:history="1">
        <w:r w:rsidRPr="00844D7C">
          <w:rPr>
            <w:rStyle w:val="Hyperlink"/>
            <w:rFonts w:cstheme="minorHAnsi"/>
          </w:rPr>
          <w:t>http://hdl.handle.net/2123/10175</w:t>
        </w:r>
      </w:hyperlink>
      <w:r>
        <w:rPr>
          <w:rFonts w:cstheme="minorHAnsi"/>
        </w:rPr>
        <w:t xml:space="preserve"> (Accessed: 1/02/2019).</w:t>
      </w:r>
    </w:p>
    <w:p w14:paraId="10A27626" w14:textId="77777777" w:rsidR="00702518" w:rsidRPr="00505761" w:rsidRDefault="00702518" w:rsidP="00702518">
      <w:pPr>
        <w:rPr>
          <w:rFonts w:cstheme="minorHAnsi"/>
          <w:i/>
        </w:rPr>
      </w:pPr>
    </w:p>
    <w:p w14:paraId="439B47DA" w14:textId="77777777" w:rsidR="00702518" w:rsidRPr="00C667F8" w:rsidRDefault="00702518" w:rsidP="00702518">
      <w:pPr>
        <w:rPr>
          <w:rFonts w:cstheme="minorHAnsi"/>
        </w:rPr>
      </w:pPr>
    </w:p>
    <w:p w14:paraId="5626C696" w14:textId="77777777" w:rsidR="00702518" w:rsidRDefault="00702518"/>
    <w:p w14:paraId="3874E834" w14:textId="77777777" w:rsidR="00B64F99" w:rsidRDefault="00B64F99"/>
    <w:p w14:paraId="59647889" w14:textId="77777777" w:rsidR="00B95BB6" w:rsidRDefault="00B95BB6"/>
    <w:p w14:paraId="251303D2" w14:textId="77777777" w:rsidR="00C90C7B" w:rsidRDefault="00C90C7B"/>
    <w:sectPr w:rsidR="00C90C7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3BB6AC" w14:textId="77777777" w:rsidR="00FB6716" w:rsidRDefault="00FB6716" w:rsidP="00894B06">
      <w:pPr>
        <w:spacing w:after="0" w:line="240" w:lineRule="auto"/>
      </w:pPr>
      <w:r>
        <w:separator/>
      </w:r>
    </w:p>
  </w:endnote>
  <w:endnote w:type="continuationSeparator" w:id="0">
    <w:p w14:paraId="7185E34C" w14:textId="77777777" w:rsidR="00FB6716" w:rsidRDefault="00FB6716" w:rsidP="00894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275949"/>
      <w:docPartObj>
        <w:docPartGallery w:val="Page Numbers (Bottom of Page)"/>
        <w:docPartUnique/>
      </w:docPartObj>
    </w:sdtPr>
    <w:sdtEndPr>
      <w:rPr>
        <w:noProof/>
      </w:rPr>
    </w:sdtEndPr>
    <w:sdtContent>
      <w:p w14:paraId="554C95AD" w14:textId="6AB9FA77" w:rsidR="0095176D" w:rsidRDefault="009517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5BB093" w14:textId="77777777" w:rsidR="0095176D" w:rsidRDefault="00951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8B1C8D" w14:textId="77777777" w:rsidR="00FB6716" w:rsidRDefault="00FB6716" w:rsidP="00894B06">
      <w:pPr>
        <w:spacing w:after="0" w:line="240" w:lineRule="auto"/>
      </w:pPr>
      <w:r>
        <w:separator/>
      </w:r>
    </w:p>
  </w:footnote>
  <w:footnote w:type="continuationSeparator" w:id="0">
    <w:p w14:paraId="10E5CF2E" w14:textId="77777777" w:rsidR="00FB6716" w:rsidRDefault="00FB6716" w:rsidP="00894B06">
      <w:pPr>
        <w:spacing w:after="0" w:line="240" w:lineRule="auto"/>
      </w:pPr>
      <w:r>
        <w:continuationSeparator/>
      </w:r>
    </w:p>
  </w:footnote>
  <w:footnote w:id="1">
    <w:p w14:paraId="48694A40" w14:textId="237BF7F1" w:rsidR="0095176D" w:rsidRDefault="0095176D">
      <w:pPr>
        <w:pStyle w:val="FootnoteText"/>
      </w:pPr>
      <w:r>
        <w:rPr>
          <w:rStyle w:val="FootnoteReference"/>
        </w:rPr>
        <w:footnoteRef/>
      </w:r>
      <w:r>
        <w:t xml:space="preserve"> </w:t>
      </w:r>
      <w:r w:rsidR="008D186C">
        <w:t>(</w:t>
      </w:r>
      <w:r w:rsidR="004B117D">
        <w:t>Apanea.</w:t>
      </w:r>
      <w:r>
        <w:t xml:space="preserve"> Erotica Pathemata (trans. Gaselee.) </w:t>
      </w:r>
    </w:p>
  </w:footnote>
  <w:footnote w:id="2">
    <w:p w14:paraId="22DC5F76" w14:textId="16741911" w:rsidR="0095176D" w:rsidRDefault="0095176D">
      <w:pPr>
        <w:pStyle w:val="FootnoteText"/>
      </w:pPr>
      <w:r>
        <w:rPr>
          <w:rStyle w:val="FootnoteReference"/>
        </w:rPr>
        <w:footnoteRef/>
      </w:r>
      <w:r>
        <w:t xml:space="preserve"> </w:t>
      </w:r>
      <w:r w:rsidR="00EA69C7">
        <w:t>(</w:t>
      </w:r>
      <w:r>
        <w:t>Sims-Williams</w:t>
      </w:r>
      <w:r w:rsidR="00EA69C7">
        <w:t>,</w:t>
      </w:r>
      <w:r w:rsidR="00712EEF">
        <w:t xml:space="preserve"> 2012)</w:t>
      </w:r>
    </w:p>
  </w:footnote>
  <w:footnote w:id="3">
    <w:p w14:paraId="56EF5F06" w14:textId="5815EE3D" w:rsidR="0095176D" w:rsidRDefault="0095176D">
      <w:pPr>
        <w:pStyle w:val="FootnoteText"/>
      </w:pPr>
      <w:r>
        <w:rPr>
          <w:rStyle w:val="FootnoteReference"/>
        </w:rPr>
        <w:footnoteRef/>
      </w:r>
      <w:r>
        <w:t xml:space="preserve"> </w:t>
      </w:r>
      <w:r w:rsidR="00EA69C7">
        <w:t>(</w:t>
      </w:r>
      <w:r>
        <w:t>Sims-Williams</w:t>
      </w:r>
      <w:r w:rsidR="00EA69C7">
        <w:t xml:space="preserve">, </w:t>
      </w:r>
      <w:r w:rsidR="00712EEF">
        <w:t>2012)</w:t>
      </w:r>
    </w:p>
  </w:footnote>
  <w:footnote w:id="4">
    <w:p w14:paraId="3284EE87" w14:textId="4CAD7A66" w:rsidR="0095176D" w:rsidRDefault="0095176D">
      <w:pPr>
        <w:pStyle w:val="FootnoteText"/>
      </w:pPr>
      <w:r>
        <w:rPr>
          <w:rStyle w:val="FootnoteReference"/>
        </w:rPr>
        <w:footnoteRef/>
      </w:r>
      <w:r>
        <w:t xml:space="preserve"> </w:t>
      </w:r>
      <w:r w:rsidR="00EA69C7">
        <w:t>(</w:t>
      </w:r>
      <w:r>
        <w:t>Foster, P and Toth, A</w:t>
      </w:r>
      <w:r w:rsidR="00EA69C7">
        <w:t>,</w:t>
      </w:r>
      <w:r w:rsidR="00732E88">
        <w:t xml:space="preserve"> 2003)</w:t>
      </w:r>
    </w:p>
  </w:footnote>
  <w:footnote w:id="5">
    <w:p w14:paraId="45F41A8A" w14:textId="363D8BD3" w:rsidR="0095176D" w:rsidRDefault="0095176D">
      <w:pPr>
        <w:pStyle w:val="FootnoteText"/>
      </w:pPr>
      <w:r>
        <w:rPr>
          <w:rStyle w:val="FootnoteReference"/>
        </w:rPr>
        <w:footnoteRef/>
      </w:r>
      <w:r>
        <w:t xml:space="preserve"> </w:t>
      </w:r>
      <w:r w:rsidR="00EA69C7">
        <w:t>(</w:t>
      </w:r>
      <w:r>
        <w:t>Tac</w:t>
      </w:r>
      <w:r w:rsidR="006277D1">
        <w:t>.</w:t>
      </w:r>
      <w:r>
        <w:t xml:space="preserve"> Agr</w:t>
      </w:r>
      <w:r w:rsidR="006277D1">
        <w:t>.</w:t>
      </w:r>
      <w:r>
        <w:t xml:space="preserve"> (trans. Hutton and Peterson) </w:t>
      </w:r>
    </w:p>
  </w:footnote>
  <w:footnote w:id="6">
    <w:p w14:paraId="0A404FC1" w14:textId="0F1FCC88" w:rsidR="0095176D" w:rsidRDefault="0095176D">
      <w:pPr>
        <w:pStyle w:val="FootnoteText"/>
      </w:pPr>
      <w:r>
        <w:rPr>
          <w:rStyle w:val="FootnoteReference"/>
        </w:rPr>
        <w:footnoteRef/>
      </w:r>
      <w:r>
        <w:t xml:space="preserve"> </w:t>
      </w:r>
      <w:r w:rsidR="00EA69C7">
        <w:t>(</w:t>
      </w:r>
      <w:r>
        <w:t>Strab</w:t>
      </w:r>
      <w:r w:rsidR="004B117D">
        <w:t>.</w:t>
      </w:r>
      <w:r>
        <w:t xml:space="preserve"> Geog</w:t>
      </w:r>
      <w:r w:rsidR="008D186C">
        <w:t>.</w:t>
      </w:r>
      <w:r>
        <w:t xml:space="preserve"> (Trans. Jones.)</w:t>
      </w:r>
    </w:p>
  </w:footnote>
  <w:footnote w:id="7">
    <w:p w14:paraId="68DCEDB2" w14:textId="5F0C2933" w:rsidR="0095176D" w:rsidRDefault="0095176D">
      <w:pPr>
        <w:pStyle w:val="FootnoteText"/>
      </w:pPr>
      <w:r>
        <w:rPr>
          <w:rStyle w:val="FootnoteReference"/>
        </w:rPr>
        <w:footnoteRef/>
      </w:r>
      <w:r>
        <w:t xml:space="preserve"> </w:t>
      </w:r>
      <w:r w:rsidR="008D186C">
        <w:t>(</w:t>
      </w:r>
      <w:r>
        <w:t>McEvoy and Bradley</w:t>
      </w:r>
      <w:r w:rsidR="00732E88">
        <w:t xml:space="preserve"> 2010</w:t>
      </w:r>
      <w:r w:rsidR="008D186C">
        <w:t xml:space="preserve">, </w:t>
      </w:r>
      <w:r>
        <w:t>p</w:t>
      </w:r>
      <w:r w:rsidR="008D186C">
        <w:t>.</w:t>
      </w:r>
      <w:r>
        <w:t>117)</w:t>
      </w:r>
    </w:p>
  </w:footnote>
  <w:footnote w:id="8">
    <w:p w14:paraId="2433616A" w14:textId="0EE8C699" w:rsidR="0095176D" w:rsidRDefault="0095176D">
      <w:pPr>
        <w:pStyle w:val="FootnoteText"/>
      </w:pPr>
      <w:r>
        <w:rPr>
          <w:rStyle w:val="FootnoteReference"/>
        </w:rPr>
        <w:footnoteRef/>
      </w:r>
      <w:r>
        <w:t xml:space="preserve"> </w:t>
      </w:r>
      <w:r w:rsidR="008D186C">
        <w:t>(</w:t>
      </w:r>
      <w:r>
        <w:t>McEvoy and Bradley</w:t>
      </w:r>
      <w:r w:rsidR="008D186C">
        <w:t xml:space="preserve">, </w:t>
      </w:r>
      <w:r w:rsidR="00732E88">
        <w:t>2010)</w:t>
      </w:r>
    </w:p>
  </w:footnote>
  <w:footnote w:id="9">
    <w:p w14:paraId="31EA18E9" w14:textId="775E6025" w:rsidR="0095176D" w:rsidRDefault="0095176D">
      <w:pPr>
        <w:pStyle w:val="FootnoteText"/>
      </w:pPr>
      <w:r>
        <w:rPr>
          <w:rStyle w:val="FootnoteReference"/>
        </w:rPr>
        <w:footnoteRef/>
      </w:r>
      <w:r>
        <w:t xml:space="preserve"> </w:t>
      </w:r>
      <w:r w:rsidR="00976D8A">
        <w:t>(</w:t>
      </w:r>
      <w:r>
        <w:t>Donnelly</w:t>
      </w:r>
      <w:r w:rsidR="00976D8A">
        <w:t xml:space="preserve">, </w:t>
      </w:r>
      <w:r w:rsidR="00E22D0F">
        <w:t>2013)</w:t>
      </w:r>
    </w:p>
  </w:footnote>
  <w:footnote w:id="10">
    <w:p w14:paraId="6671141C" w14:textId="6BE54C82" w:rsidR="0095176D" w:rsidRDefault="0095176D">
      <w:pPr>
        <w:pStyle w:val="FootnoteText"/>
      </w:pPr>
      <w:r>
        <w:rPr>
          <w:rStyle w:val="FootnoteReference"/>
        </w:rPr>
        <w:footnoteRef/>
      </w:r>
      <w:r>
        <w:t xml:space="preserve"> </w:t>
      </w:r>
      <w:r w:rsidR="00976D8A">
        <w:t>(</w:t>
      </w:r>
      <w:r>
        <w:t>Donnelly</w:t>
      </w:r>
      <w:r w:rsidR="00976D8A">
        <w:t xml:space="preserve">, </w:t>
      </w:r>
      <w:r w:rsidR="00E22D0F">
        <w:t>2013)</w:t>
      </w:r>
    </w:p>
  </w:footnote>
  <w:footnote w:id="11">
    <w:p w14:paraId="6B7CA5E0" w14:textId="03D7E6FB" w:rsidR="0095176D" w:rsidRDefault="0095176D">
      <w:pPr>
        <w:pStyle w:val="FootnoteText"/>
      </w:pPr>
      <w:r>
        <w:rPr>
          <w:rStyle w:val="FootnoteReference"/>
        </w:rPr>
        <w:footnoteRef/>
      </w:r>
      <w:r>
        <w:t xml:space="preserve"> </w:t>
      </w:r>
      <w:r w:rsidR="00976D8A">
        <w:t>(</w:t>
      </w:r>
      <w:r>
        <w:t>Fischer et al</w:t>
      </w:r>
      <w:r w:rsidR="00976D8A">
        <w:t xml:space="preserve">, </w:t>
      </w:r>
      <w:r w:rsidR="00E22D0F">
        <w:t>2018)</w:t>
      </w:r>
    </w:p>
  </w:footnote>
  <w:footnote w:id="12">
    <w:p w14:paraId="368B167B" w14:textId="45E34E55" w:rsidR="0095176D" w:rsidRDefault="0095176D">
      <w:pPr>
        <w:pStyle w:val="FootnoteText"/>
      </w:pPr>
      <w:r>
        <w:rPr>
          <w:rStyle w:val="FootnoteReference"/>
        </w:rPr>
        <w:footnoteRef/>
      </w:r>
      <w:r>
        <w:t xml:space="preserve"> </w:t>
      </w:r>
      <w:r w:rsidR="00976D8A">
        <w:t>(</w:t>
      </w:r>
      <w:r>
        <w:t>Fischer et al</w:t>
      </w:r>
      <w:r w:rsidR="00976D8A">
        <w:t xml:space="preserve">, </w:t>
      </w:r>
      <w:r w:rsidR="00E22D0F">
        <w:t>2018)</w:t>
      </w:r>
    </w:p>
  </w:footnote>
  <w:footnote w:id="13">
    <w:p w14:paraId="36F42FA4" w14:textId="3AC63EE5" w:rsidR="0095176D" w:rsidRDefault="0095176D">
      <w:pPr>
        <w:pStyle w:val="FootnoteText"/>
      </w:pPr>
      <w:r>
        <w:rPr>
          <w:rStyle w:val="FootnoteReference"/>
        </w:rPr>
        <w:footnoteRef/>
      </w:r>
      <w:r>
        <w:t xml:space="preserve"> </w:t>
      </w:r>
      <w:r w:rsidR="00976D8A">
        <w:t>(</w:t>
      </w:r>
      <w:r>
        <w:t>Nunez et al</w:t>
      </w:r>
      <w:r w:rsidR="00976D8A">
        <w:t>,</w:t>
      </w:r>
      <w:r>
        <w:t xml:space="preserve"> </w:t>
      </w:r>
      <w:r w:rsidR="00E22D0F">
        <w:t>2016</w:t>
      </w:r>
      <w:r w:rsidR="00976D8A">
        <w:t xml:space="preserve">, </w:t>
      </w:r>
      <w:r>
        <w:t>p</w:t>
      </w:r>
      <w:r w:rsidR="00976D8A">
        <w:t>.</w:t>
      </w:r>
      <w:r>
        <w:t>12)</w:t>
      </w:r>
    </w:p>
  </w:footnote>
  <w:footnote w:id="14">
    <w:p w14:paraId="6B0AB43D" w14:textId="3F5D80A3" w:rsidR="0095176D" w:rsidRDefault="0095176D">
      <w:pPr>
        <w:pStyle w:val="FootnoteText"/>
      </w:pPr>
      <w:r>
        <w:rPr>
          <w:rStyle w:val="FootnoteReference"/>
        </w:rPr>
        <w:footnoteRef/>
      </w:r>
      <w:r>
        <w:t xml:space="preserve"> </w:t>
      </w:r>
      <w:r w:rsidR="00976D8A">
        <w:t>(</w:t>
      </w:r>
      <w:r>
        <w:t>Fischer et al</w:t>
      </w:r>
      <w:r w:rsidR="00976D8A">
        <w:t xml:space="preserve">, </w:t>
      </w:r>
      <w:r w:rsidR="00A55157">
        <w:t>2018)</w:t>
      </w:r>
    </w:p>
  </w:footnote>
  <w:footnote w:id="15">
    <w:p w14:paraId="56842B40" w14:textId="7F190C2F" w:rsidR="0095176D" w:rsidRDefault="0095176D">
      <w:pPr>
        <w:pStyle w:val="FootnoteText"/>
      </w:pPr>
      <w:r>
        <w:rPr>
          <w:rStyle w:val="FootnoteReference"/>
        </w:rPr>
        <w:footnoteRef/>
      </w:r>
      <w:r>
        <w:t xml:space="preserve"> </w:t>
      </w:r>
      <w:r w:rsidR="008D186C">
        <w:t>(</w:t>
      </w:r>
      <w:r>
        <w:t>Cunliffe</w:t>
      </w:r>
      <w:r w:rsidR="008D186C">
        <w:t xml:space="preserve">, </w:t>
      </w:r>
      <w:r w:rsidR="00E22D0F">
        <w:t>2010)</w:t>
      </w:r>
    </w:p>
  </w:footnote>
  <w:footnote w:id="16">
    <w:p w14:paraId="202D3E83" w14:textId="2DB686B3" w:rsidR="0095176D" w:rsidRDefault="0095176D">
      <w:pPr>
        <w:pStyle w:val="FootnoteText"/>
      </w:pPr>
      <w:r>
        <w:rPr>
          <w:rStyle w:val="FootnoteReference"/>
        </w:rPr>
        <w:footnoteRef/>
      </w:r>
      <w:r>
        <w:t xml:space="preserve"> </w:t>
      </w:r>
      <w:r w:rsidR="008D186C">
        <w:t>(</w:t>
      </w:r>
      <w:r>
        <w:t>Cunliffe</w:t>
      </w:r>
      <w:r w:rsidR="008D186C">
        <w:t xml:space="preserve">, </w:t>
      </w:r>
      <w:r w:rsidR="00E22D0F">
        <w:t>2010)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1B4"/>
    <w:rsid w:val="00003533"/>
    <w:rsid w:val="000079EA"/>
    <w:rsid w:val="00036379"/>
    <w:rsid w:val="000437A1"/>
    <w:rsid w:val="00044BCC"/>
    <w:rsid w:val="000546F2"/>
    <w:rsid w:val="00065096"/>
    <w:rsid w:val="00070169"/>
    <w:rsid w:val="00083E6B"/>
    <w:rsid w:val="000A73C2"/>
    <w:rsid w:val="0010219A"/>
    <w:rsid w:val="00114161"/>
    <w:rsid w:val="00120F58"/>
    <w:rsid w:val="00130975"/>
    <w:rsid w:val="0013102B"/>
    <w:rsid w:val="00165632"/>
    <w:rsid w:val="001A7B17"/>
    <w:rsid w:val="001D58DE"/>
    <w:rsid w:val="001F1439"/>
    <w:rsid w:val="002277C3"/>
    <w:rsid w:val="00240444"/>
    <w:rsid w:val="002670DE"/>
    <w:rsid w:val="00270614"/>
    <w:rsid w:val="002B7B01"/>
    <w:rsid w:val="002D14B3"/>
    <w:rsid w:val="003241B4"/>
    <w:rsid w:val="00331D78"/>
    <w:rsid w:val="003B2081"/>
    <w:rsid w:val="003B35B0"/>
    <w:rsid w:val="003E017A"/>
    <w:rsid w:val="003E63F3"/>
    <w:rsid w:val="00410303"/>
    <w:rsid w:val="00415200"/>
    <w:rsid w:val="00423D5C"/>
    <w:rsid w:val="0043510B"/>
    <w:rsid w:val="00492119"/>
    <w:rsid w:val="00497651"/>
    <w:rsid w:val="004A2CAC"/>
    <w:rsid w:val="004B117D"/>
    <w:rsid w:val="004B4414"/>
    <w:rsid w:val="004B6B66"/>
    <w:rsid w:val="004E5668"/>
    <w:rsid w:val="004E65F5"/>
    <w:rsid w:val="00543F73"/>
    <w:rsid w:val="0057094B"/>
    <w:rsid w:val="00582640"/>
    <w:rsid w:val="00582F58"/>
    <w:rsid w:val="005830A0"/>
    <w:rsid w:val="005A7CC5"/>
    <w:rsid w:val="005B7BF3"/>
    <w:rsid w:val="005D65D4"/>
    <w:rsid w:val="005E01EE"/>
    <w:rsid w:val="005F1C3A"/>
    <w:rsid w:val="005F22A5"/>
    <w:rsid w:val="00613BFA"/>
    <w:rsid w:val="00621B8C"/>
    <w:rsid w:val="00623ABE"/>
    <w:rsid w:val="006277D1"/>
    <w:rsid w:val="00644EEC"/>
    <w:rsid w:val="0066548C"/>
    <w:rsid w:val="006705E9"/>
    <w:rsid w:val="006820FB"/>
    <w:rsid w:val="006A5E6B"/>
    <w:rsid w:val="006C6D51"/>
    <w:rsid w:val="00702518"/>
    <w:rsid w:val="00712EEF"/>
    <w:rsid w:val="00731CD8"/>
    <w:rsid w:val="00732E88"/>
    <w:rsid w:val="00745EE1"/>
    <w:rsid w:val="00781973"/>
    <w:rsid w:val="0079510D"/>
    <w:rsid w:val="007978EC"/>
    <w:rsid w:val="007A0638"/>
    <w:rsid w:val="007C4C62"/>
    <w:rsid w:val="007F7343"/>
    <w:rsid w:val="00807328"/>
    <w:rsid w:val="0081780A"/>
    <w:rsid w:val="00846933"/>
    <w:rsid w:val="00874533"/>
    <w:rsid w:val="00894B06"/>
    <w:rsid w:val="008A6C25"/>
    <w:rsid w:val="008B0872"/>
    <w:rsid w:val="008B088C"/>
    <w:rsid w:val="008C3C49"/>
    <w:rsid w:val="008C6476"/>
    <w:rsid w:val="008D186C"/>
    <w:rsid w:val="00941B44"/>
    <w:rsid w:val="0095176D"/>
    <w:rsid w:val="00956C0D"/>
    <w:rsid w:val="00967A3F"/>
    <w:rsid w:val="00976D8A"/>
    <w:rsid w:val="009A020A"/>
    <w:rsid w:val="009B50CB"/>
    <w:rsid w:val="00A05C96"/>
    <w:rsid w:val="00A55157"/>
    <w:rsid w:val="00A81813"/>
    <w:rsid w:val="00A84D3C"/>
    <w:rsid w:val="00A93C2D"/>
    <w:rsid w:val="00AD2A75"/>
    <w:rsid w:val="00AD453A"/>
    <w:rsid w:val="00AD6398"/>
    <w:rsid w:val="00AE7C85"/>
    <w:rsid w:val="00AF1952"/>
    <w:rsid w:val="00B16789"/>
    <w:rsid w:val="00B42C72"/>
    <w:rsid w:val="00B64F99"/>
    <w:rsid w:val="00B95BB6"/>
    <w:rsid w:val="00B95BDF"/>
    <w:rsid w:val="00BB458A"/>
    <w:rsid w:val="00BE2B52"/>
    <w:rsid w:val="00BF6815"/>
    <w:rsid w:val="00C0139F"/>
    <w:rsid w:val="00C23CAE"/>
    <w:rsid w:val="00C73062"/>
    <w:rsid w:val="00C772B8"/>
    <w:rsid w:val="00C90C7B"/>
    <w:rsid w:val="00C91B15"/>
    <w:rsid w:val="00CD6F44"/>
    <w:rsid w:val="00CD769E"/>
    <w:rsid w:val="00CE4148"/>
    <w:rsid w:val="00D325E1"/>
    <w:rsid w:val="00D55959"/>
    <w:rsid w:val="00D57DBD"/>
    <w:rsid w:val="00D675CF"/>
    <w:rsid w:val="00DA43B5"/>
    <w:rsid w:val="00DA4AB6"/>
    <w:rsid w:val="00DE5C30"/>
    <w:rsid w:val="00E22D0F"/>
    <w:rsid w:val="00E41C21"/>
    <w:rsid w:val="00E625D4"/>
    <w:rsid w:val="00EA69C7"/>
    <w:rsid w:val="00EC39A9"/>
    <w:rsid w:val="00F07D26"/>
    <w:rsid w:val="00F16F1D"/>
    <w:rsid w:val="00F347E4"/>
    <w:rsid w:val="00F36955"/>
    <w:rsid w:val="00F83F07"/>
    <w:rsid w:val="00F97A75"/>
    <w:rsid w:val="00FA37D1"/>
    <w:rsid w:val="00FB3EBA"/>
    <w:rsid w:val="00FB6716"/>
    <w:rsid w:val="00FF0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A0744"/>
  <w15:chartTrackingRefBased/>
  <w15:docId w15:val="{E679CF1B-D637-4E41-B879-3535B16C3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B7B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4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B06"/>
  </w:style>
  <w:style w:type="paragraph" w:styleId="Footer">
    <w:name w:val="footer"/>
    <w:basedOn w:val="Normal"/>
    <w:link w:val="FooterChar"/>
    <w:uiPriority w:val="99"/>
    <w:unhideWhenUsed/>
    <w:rsid w:val="00894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B06"/>
  </w:style>
  <w:style w:type="paragraph" w:styleId="FootnoteText">
    <w:name w:val="footnote text"/>
    <w:basedOn w:val="Normal"/>
    <w:link w:val="FootnoteTextChar"/>
    <w:uiPriority w:val="99"/>
    <w:semiHidden/>
    <w:unhideWhenUsed/>
    <w:rsid w:val="00E625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25D4"/>
    <w:rPr>
      <w:sz w:val="20"/>
      <w:szCs w:val="20"/>
    </w:rPr>
  </w:style>
  <w:style w:type="character" w:styleId="FootnoteReference">
    <w:name w:val="footnote reference"/>
    <w:basedOn w:val="DefaultParagraphFont"/>
    <w:uiPriority w:val="99"/>
    <w:semiHidden/>
    <w:unhideWhenUsed/>
    <w:rsid w:val="00E625D4"/>
    <w:rPr>
      <w:vertAlign w:val="superscript"/>
    </w:rPr>
  </w:style>
  <w:style w:type="character" w:styleId="Hyperlink">
    <w:name w:val="Hyperlink"/>
    <w:basedOn w:val="DefaultParagraphFont"/>
    <w:uiPriority w:val="99"/>
    <w:unhideWhenUsed/>
    <w:rsid w:val="00702518"/>
    <w:rPr>
      <w:color w:val="0000FF"/>
      <w:u w:val="single"/>
    </w:rPr>
  </w:style>
  <w:style w:type="character" w:customStyle="1" w:styleId="highwire-cite-metadata-volume">
    <w:name w:val="highwire-cite-metadata-volume"/>
    <w:basedOn w:val="DefaultParagraphFont"/>
    <w:rsid w:val="00702518"/>
  </w:style>
  <w:style w:type="character" w:customStyle="1" w:styleId="highwire-cite-metadata-issue">
    <w:name w:val="highwire-cite-metadata-issue"/>
    <w:basedOn w:val="DefaultParagraphFont"/>
    <w:rsid w:val="00702518"/>
  </w:style>
  <w:style w:type="character" w:customStyle="1" w:styleId="highwire-cite-metadata-pages">
    <w:name w:val="highwire-cite-metadata-pages"/>
    <w:basedOn w:val="DefaultParagraphFont"/>
    <w:rsid w:val="00702518"/>
  </w:style>
  <w:style w:type="character" w:customStyle="1" w:styleId="highwire-cite-metadata-doi">
    <w:name w:val="highwire-cite-metadata-doi"/>
    <w:basedOn w:val="DefaultParagraphFont"/>
    <w:rsid w:val="00702518"/>
  </w:style>
  <w:style w:type="character" w:styleId="UnresolvedMention">
    <w:name w:val="Unresolved Mention"/>
    <w:basedOn w:val="DefaultParagraphFont"/>
    <w:uiPriority w:val="99"/>
    <w:semiHidden/>
    <w:unhideWhenUsed/>
    <w:rsid w:val="009A02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ezproxy.uwtsd.ac.uk/view/strabo-geography/1917/pb_LCL050.161.xml?rskey=s4tS3O&amp;result=10&amp;mainRsKey=fAIBT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oebclassics-com.ezproxy.uwtsd.ac.uk/view/tacitus-agricola/1914/pb_LCL035.47.xml?rskey=UDek83&amp;result=13"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hdl.handle.net/2123/10175" TargetMode="External"/><Relationship Id="rId5" Type="http://schemas.openxmlformats.org/officeDocument/2006/relationships/footnotes" Target="footnotes.xml"/><Relationship Id="rId10" Type="http://schemas.openxmlformats.org/officeDocument/2006/relationships/hyperlink" Target="https://doi.org/10.1073/pnas.1331158100" TargetMode="External"/><Relationship Id="rId4" Type="http://schemas.openxmlformats.org/officeDocument/2006/relationships/webSettings" Target="webSettings.xml"/><Relationship Id="rId9" Type="http://schemas.openxmlformats.org/officeDocument/2006/relationships/hyperlink" Target="https://www.theoi.com/Text/Parthenius2.html#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C59B68-36FE-46D2-9587-6977C9A1C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TotalTime>
  <Pages>5</Pages>
  <Words>2111</Words>
  <Characters>12035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Sofie</dc:creator>
  <cp:keywords/>
  <dc:description/>
  <cp:lastModifiedBy>Sofie</cp:lastModifiedBy>
  <cp:revision>83</cp:revision>
  <dcterms:created xsi:type="dcterms:W3CDTF">2019-02-09T13:38:00Z</dcterms:created>
  <dcterms:modified xsi:type="dcterms:W3CDTF">2019-02-10T12:38:00Z</dcterms:modified>
</cp:coreProperties>
</file>