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DF58D6" w14:textId="77777777" w:rsidR="009E1D59" w:rsidRPr="00C70A8E" w:rsidRDefault="009E1D59" w:rsidP="009E1D59">
      <w:pPr>
        <w:spacing w:line="360" w:lineRule="auto"/>
        <w:jc w:val="center"/>
        <w:rPr>
          <w:rFonts w:ascii="Times New Roman" w:hAnsi="Times New Roman" w:cs="Times New Roman"/>
          <w:b/>
          <w:sz w:val="24"/>
          <w:szCs w:val="24"/>
        </w:rPr>
      </w:pPr>
      <w:r>
        <w:rPr>
          <w:rFonts w:ascii="Times New Roman" w:eastAsia="Times New Roman" w:hAnsi="Times New Roman"/>
          <w:b/>
          <w:sz w:val="24"/>
        </w:rPr>
        <w:t>Critical Literature Review</w:t>
      </w:r>
      <w:r w:rsidRPr="00176D66">
        <w:rPr>
          <w:rFonts w:ascii="Times New Roman" w:eastAsia="Times New Roman" w:hAnsi="Times New Roman"/>
          <w:b/>
          <w:sz w:val="24"/>
        </w:rPr>
        <w:t>:</w:t>
      </w:r>
      <w:r>
        <w:rPr>
          <w:rFonts w:ascii="Times New Roman" w:eastAsia="Times New Roman" w:hAnsi="Times New Roman"/>
          <w:sz w:val="24"/>
        </w:rPr>
        <w:t xml:space="preserve"> </w:t>
      </w:r>
      <w:r w:rsidRPr="009B78B6">
        <w:rPr>
          <w:rFonts w:ascii="Times New Roman" w:eastAsia="Times New Roman" w:hAnsi="Times New Roman"/>
          <w:b/>
          <w:sz w:val="24"/>
        </w:rPr>
        <w:t>Sustainable Supply Chain Resilience in the Face of Global Disruptions</w:t>
      </w:r>
      <w:r>
        <w:rPr>
          <w:rFonts w:ascii="Times New Roman" w:hAnsi="Times New Roman" w:hint="eastAsia"/>
          <w:b/>
          <w:sz w:val="24"/>
          <w:lang w:eastAsia="zh-CN"/>
        </w:rPr>
        <w:t xml:space="preserve"> -- </w:t>
      </w:r>
      <w:r w:rsidRPr="009B78B6">
        <w:rPr>
          <w:rFonts w:ascii="Times New Roman" w:eastAsia="Times New Roman" w:hAnsi="Times New Roman"/>
          <w:b/>
          <w:sz w:val="24"/>
        </w:rPr>
        <w:t>Integrating Circular Economy Principles</w:t>
      </w:r>
    </w:p>
    <w:p w14:paraId="735FEAD9" w14:textId="77777777" w:rsidR="009E1D59" w:rsidRPr="00D80315" w:rsidRDefault="009E1D59" w:rsidP="009E1D59">
      <w:pPr>
        <w:spacing w:line="360" w:lineRule="auto"/>
        <w:rPr>
          <w:rFonts w:ascii="Times New Roman" w:hAnsi="Times New Roman" w:cs="Times New Roman"/>
          <w:b/>
          <w:sz w:val="24"/>
          <w:szCs w:val="24"/>
        </w:rPr>
      </w:pPr>
      <w:r w:rsidRPr="00D80315">
        <w:rPr>
          <w:rFonts w:ascii="Times New Roman" w:eastAsia="Times New Roman" w:hAnsi="Times New Roman" w:cs="Times New Roman"/>
          <w:b/>
          <w:sz w:val="24"/>
          <w:szCs w:val="24"/>
        </w:rPr>
        <w:t xml:space="preserve">Research </w:t>
      </w:r>
      <w:r w:rsidRPr="00D80315">
        <w:rPr>
          <w:rFonts w:ascii="Times New Roman" w:hAnsi="Times New Roman" w:cs="Times New Roman"/>
          <w:b/>
          <w:sz w:val="24"/>
          <w:szCs w:val="24"/>
        </w:rPr>
        <w:t xml:space="preserve">Question </w:t>
      </w:r>
    </w:p>
    <w:p w14:paraId="41C17042" w14:textId="77777777" w:rsidR="009E1D59" w:rsidRPr="00D80315" w:rsidRDefault="009E1D59" w:rsidP="009E1D59">
      <w:pPr>
        <w:spacing w:line="360" w:lineRule="auto"/>
        <w:rPr>
          <w:rFonts w:ascii="Times New Roman" w:hAnsi="Times New Roman" w:cs="Times New Roman"/>
          <w:sz w:val="24"/>
          <w:szCs w:val="24"/>
        </w:rPr>
      </w:pPr>
      <w:r w:rsidRPr="00D80315">
        <w:rPr>
          <w:rFonts w:ascii="Times New Roman" w:eastAsia="Times New Roman" w:hAnsi="Times New Roman" w:cs="Times New Roman"/>
          <w:sz w:val="24"/>
          <w:szCs w:val="24"/>
        </w:rPr>
        <w:t>How does top-managerial incorporation of circular economy principles improve firm supply chain robustness amid global disruptions?</w:t>
      </w:r>
    </w:p>
    <w:p w14:paraId="34FC5D55" w14:textId="77777777" w:rsidR="009E1D59" w:rsidRPr="00D80315" w:rsidRDefault="009E1D59" w:rsidP="009E1D59">
      <w:pPr>
        <w:spacing w:line="360" w:lineRule="auto"/>
        <w:rPr>
          <w:rFonts w:ascii="Times New Roman" w:hAnsi="Times New Roman" w:cs="Times New Roman"/>
          <w:b/>
          <w:sz w:val="24"/>
          <w:szCs w:val="24"/>
        </w:rPr>
      </w:pPr>
      <w:r w:rsidRPr="00D80315">
        <w:rPr>
          <w:rFonts w:ascii="Times New Roman" w:eastAsia="Times New Roman" w:hAnsi="Times New Roman" w:cs="Times New Roman"/>
          <w:b/>
          <w:sz w:val="24"/>
          <w:szCs w:val="24"/>
        </w:rPr>
        <w:t xml:space="preserve">Aim and </w:t>
      </w:r>
      <w:r w:rsidRPr="00D80315">
        <w:rPr>
          <w:rFonts w:ascii="Times New Roman" w:hAnsi="Times New Roman" w:cs="Times New Roman"/>
          <w:b/>
          <w:sz w:val="24"/>
          <w:szCs w:val="24"/>
        </w:rPr>
        <w:t>Objectives</w:t>
      </w:r>
    </w:p>
    <w:p w14:paraId="5095590C" w14:textId="77777777" w:rsidR="009E1D59" w:rsidRPr="00D80315" w:rsidRDefault="009E1D59" w:rsidP="009E1D59">
      <w:pPr>
        <w:spacing w:line="360" w:lineRule="auto"/>
        <w:rPr>
          <w:rFonts w:ascii="Times New Roman" w:hAnsi="Times New Roman" w:cs="Times New Roman"/>
          <w:sz w:val="24"/>
          <w:szCs w:val="24"/>
        </w:rPr>
      </w:pPr>
      <w:r w:rsidRPr="00D80315">
        <w:rPr>
          <w:rFonts w:ascii="Times New Roman" w:eastAsia="Times New Roman" w:hAnsi="Times New Roman" w:cs="Times New Roman"/>
          <w:sz w:val="24"/>
          <w:szCs w:val="24"/>
        </w:rPr>
        <w:t xml:space="preserve">The research objective is to conduct a systematic literature review to facilitate the understanding of how the circular economy concept can be applied to strengthen MNC supply chains in the face of disruptions. The specific goals are: </w:t>
      </w:r>
    </w:p>
    <w:p w14:paraId="0C861307" w14:textId="77777777" w:rsidR="009E1D59" w:rsidRPr="00D80315" w:rsidRDefault="009E1D59" w:rsidP="009E1D59">
      <w:pPr>
        <w:pStyle w:val="a3"/>
        <w:numPr>
          <w:ilvl w:val="0"/>
          <w:numId w:val="1"/>
        </w:numPr>
        <w:spacing w:line="360" w:lineRule="auto"/>
        <w:rPr>
          <w:rFonts w:ascii="Times New Roman" w:hAnsi="Times New Roman" w:cs="Times New Roman"/>
          <w:sz w:val="24"/>
          <w:szCs w:val="24"/>
        </w:rPr>
      </w:pPr>
      <w:r w:rsidRPr="00D80315">
        <w:rPr>
          <w:rFonts w:ascii="Times New Roman" w:eastAsia="Times New Roman" w:hAnsi="Times New Roman" w:cs="Times New Roman"/>
          <w:sz w:val="24"/>
          <w:szCs w:val="24"/>
        </w:rPr>
        <w:t>Discuss the effects of global disruptions on existing supply chain management paradigms and key weaknesses</w:t>
      </w:r>
    </w:p>
    <w:p w14:paraId="0E94BC14" w14:textId="77777777" w:rsidR="009E1D59" w:rsidRPr="00D80315" w:rsidRDefault="009E1D59" w:rsidP="009E1D59">
      <w:pPr>
        <w:pStyle w:val="a3"/>
        <w:numPr>
          <w:ilvl w:val="0"/>
          <w:numId w:val="1"/>
        </w:numPr>
        <w:spacing w:line="360" w:lineRule="auto"/>
        <w:rPr>
          <w:rFonts w:ascii="Times New Roman" w:hAnsi="Times New Roman" w:cs="Times New Roman"/>
          <w:sz w:val="24"/>
          <w:szCs w:val="24"/>
        </w:rPr>
      </w:pPr>
      <w:r w:rsidRPr="00D80315">
        <w:rPr>
          <w:rFonts w:ascii="Times New Roman" w:eastAsia="Times New Roman" w:hAnsi="Times New Roman" w:cs="Times New Roman"/>
          <w:sz w:val="24"/>
          <w:szCs w:val="24"/>
        </w:rPr>
        <w:t>Assess the impacts of circular economy strategies on the vulnerability of supply chains.</w:t>
      </w:r>
    </w:p>
    <w:p w14:paraId="7AFFF825" w14:textId="77777777" w:rsidR="009E1D59" w:rsidRPr="00D80315" w:rsidRDefault="009E1D59" w:rsidP="009E1D59">
      <w:pPr>
        <w:pStyle w:val="a3"/>
        <w:numPr>
          <w:ilvl w:val="0"/>
          <w:numId w:val="1"/>
        </w:numPr>
        <w:spacing w:line="360" w:lineRule="auto"/>
        <w:rPr>
          <w:rFonts w:ascii="Times New Roman" w:hAnsi="Times New Roman" w:cs="Times New Roman"/>
          <w:sz w:val="24"/>
          <w:szCs w:val="24"/>
        </w:rPr>
      </w:pPr>
      <w:r w:rsidRPr="00D80315">
        <w:rPr>
          <w:rFonts w:ascii="Times New Roman" w:eastAsia="Times New Roman" w:hAnsi="Times New Roman" w:cs="Times New Roman"/>
          <w:sz w:val="24"/>
          <w:szCs w:val="24"/>
        </w:rPr>
        <w:t>Assess ways for integrating circular economy principles in supply chain resilience.</w:t>
      </w:r>
    </w:p>
    <w:p w14:paraId="48DF9C13" w14:textId="77777777" w:rsidR="009E1D59" w:rsidRPr="00D80315" w:rsidRDefault="009E1D59" w:rsidP="009E1D59">
      <w:pPr>
        <w:spacing w:line="360" w:lineRule="auto"/>
        <w:rPr>
          <w:rFonts w:ascii="Times New Roman" w:eastAsia="Times New Roman" w:hAnsi="Times New Roman" w:cs="Times New Roman"/>
          <w:b/>
          <w:sz w:val="24"/>
          <w:szCs w:val="24"/>
        </w:rPr>
      </w:pPr>
      <w:r w:rsidRPr="00D80315">
        <w:rPr>
          <w:rFonts w:ascii="Times New Roman" w:eastAsia="Times New Roman" w:hAnsi="Times New Roman" w:cs="Times New Roman"/>
          <w:b/>
          <w:sz w:val="24"/>
          <w:szCs w:val="24"/>
        </w:rPr>
        <w:t>Part 1- Different Types of Literature Review</w:t>
      </w:r>
    </w:p>
    <w:p w14:paraId="45736FD3" w14:textId="77777777" w:rsidR="009E1D59" w:rsidRPr="00D80315" w:rsidRDefault="009E1D59" w:rsidP="009E1D59">
      <w:pPr>
        <w:spacing w:line="360" w:lineRule="auto"/>
        <w:rPr>
          <w:rFonts w:ascii="Times New Roman" w:eastAsia="Times New Roman" w:hAnsi="Times New Roman" w:cs="Times New Roman"/>
          <w:sz w:val="24"/>
          <w:szCs w:val="24"/>
        </w:rPr>
      </w:pPr>
      <w:r w:rsidRPr="00D80315">
        <w:rPr>
          <w:rFonts w:ascii="Times New Roman" w:eastAsia="Times New Roman" w:hAnsi="Times New Roman" w:cs="Times New Roman"/>
          <w:sz w:val="24"/>
          <w:szCs w:val="24"/>
        </w:rPr>
        <w:t>There are different kinds of literature reviews depending on the nature of the research question and the research method. Descriptive reviews focus on the presentation of the findings and reporting of the state of knowledge without statistical aggregation</w:t>
      </w:r>
      <w:r w:rsidRPr="00D80315">
        <w:rPr>
          <w:rFonts w:ascii="Times New Roman" w:hAnsi="Times New Roman" w:cs="Times New Roman"/>
          <w:sz w:val="24"/>
          <w:szCs w:val="24"/>
        </w:rPr>
        <w:t xml:space="preserve"> (</w:t>
      </w:r>
      <w:r w:rsidRPr="00D80315">
        <w:rPr>
          <w:rFonts w:ascii="Times New Roman" w:eastAsia="Times New Roman" w:hAnsi="Times New Roman" w:cs="Times New Roman"/>
          <w:sz w:val="24"/>
          <w:szCs w:val="24"/>
        </w:rPr>
        <w:t>Nassaji, 2015). Examples of this kind include the narrative review that only presents a qualitative synthesis of the literature, and the textual narrative synthesis that organizes the findings into a story while linking the themes together (Xiao and Watson, 2019). The technique of meta-synthesis provides strategies to summarize and quantify themes (Lachal et al., 2017), while the method of meta-narrative review aims at charting the development of different schools of research</w:t>
      </w:r>
      <w:r w:rsidRPr="00D80315">
        <w:rPr>
          <w:rFonts w:ascii="Times New Roman" w:hAnsi="Times New Roman" w:cs="Times New Roman"/>
          <w:sz w:val="24"/>
          <w:szCs w:val="24"/>
        </w:rPr>
        <w:t xml:space="preserve"> (</w:t>
      </w:r>
      <w:r w:rsidRPr="00D80315">
        <w:rPr>
          <w:rFonts w:ascii="Times New Roman" w:eastAsia="Times New Roman" w:hAnsi="Times New Roman" w:cs="Times New Roman"/>
          <w:sz w:val="24"/>
          <w:szCs w:val="24"/>
        </w:rPr>
        <w:t>Siddaway, Wood, and Hedges, 2019). Lastly, the scoping review provides an overview of a broad research area and highlights important ideas and knowledge gaps without quality of the studies.</w:t>
      </w:r>
    </w:p>
    <w:p w14:paraId="7895D335" w14:textId="77777777" w:rsidR="009E1D59" w:rsidRPr="00D80315" w:rsidRDefault="009E1D59" w:rsidP="009E1D59">
      <w:pPr>
        <w:spacing w:line="360" w:lineRule="auto"/>
        <w:rPr>
          <w:rFonts w:ascii="Times New Roman" w:eastAsia="Times New Roman" w:hAnsi="Times New Roman" w:cs="Times New Roman"/>
          <w:sz w:val="24"/>
          <w:szCs w:val="24"/>
        </w:rPr>
      </w:pPr>
      <w:r w:rsidRPr="00D80315">
        <w:rPr>
          <w:rFonts w:ascii="Times New Roman" w:eastAsia="Times New Roman" w:hAnsi="Times New Roman" w:cs="Times New Roman"/>
          <w:sz w:val="24"/>
          <w:szCs w:val="24"/>
        </w:rPr>
        <w:t>Secondly, meta-analysis reviews involve the process of examining and utilizing data to test a hypothesis or determine an effect magnitude. As a type of research synthesis, the meta-analysis integrates results from several studies and provides an overall effect size</w:t>
      </w:r>
      <w:r w:rsidRPr="00D80315">
        <w:rPr>
          <w:rFonts w:ascii="Times New Roman" w:hAnsi="Times New Roman" w:cs="Times New Roman"/>
          <w:sz w:val="24"/>
          <w:szCs w:val="24"/>
        </w:rPr>
        <w:t xml:space="preserve"> (</w:t>
      </w:r>
      <w:r w:rsidRPr="00D80315">
        <w:rPr>
          <w:rFonts w:ascii="Times New Roman" w:eastAsia="Times New Roman" w:hAnsi="Times New Roman" w:cs="Times New Roman"/>
          <w:sz w:val="24"/>
          <w:szCs w:val="24"/>
        </w:rPr>
        <w:t xml:space="preserve">Pigott and Polanin, 2020). </w:t>
      </w:r>
      <w:r w:rsidRPr="008631EE">
        <w:rPr>
          <w:rFonts w:ascii="Times New Roman" w:eastAsia="Times New Roman" w:hAnsi="Times New Roman" w:cs="Times New Roman"/>
          <w:sz w:val="24"/>
          <w:szCs w:val="24"/>
        </w:rPr>
        <w:t>Third</w:t>
      </w:r>
      <w:r>
        <w:rPr>
          <w:rFonts w:ascii="Times New Roman" w:eastAsia="Times New Roman" w:hAnsi="Times New Roman" w:cs="Times New Roman"/>
          <w:sz w:val="24"/>
          <w:szCs w:val="24"/>
        </w:rPr>
        <w:t>ly</w:t>
      </w:r>
      <w:r w:rsidRPr="008631EE">
        <w:rPr>
          <w:rFonts w:ascii="Times New Roman" w:eastAsia="Times New Roman" w:hAnsi="Times New Roman" w:cs="Times New Roman"/>
          <w:sz w:val="24"/>
          <w:szCs w:val="24"/>
        </w:rPr>
        <w:t xml:space="preserve">, mapping reviews systematically categorize and visualize research within a field, </w:t>
      </w:r>
      <w:r w:rsidRPr="008631EE">
        <w:rPr>
          <w:rFonts w:ascii="Times New Roman" w:eastAsia="Times New Roman" w:hAnsi="Times New Roman" w:cs="Times New Roman"/>
          <w:sz w:val="24"/>
          <w:szCs w:val="24"/>
        </w:rPr>
        <w:lastRenderedPageBreak/>
        <w:t>helping to identify key trends, methodologies, and gaps. By organizing studies based on themes, populations, or interventions, they provide researchers with a clear overview of the existing body of work (Campbell et al., 2023). Unlike systematic reviews, which focus on in-depth synthesis and quality assessment, mapping reviews prioritize structur</w:t>
      </w:r>
      <w:r>
        <w:rPr>
          <w:rFonts w:ascii="Times New Roman" w:eastAsia="Times New Roman" w:hAnsi="Times New Roman" w:cs="Times New Roman"/>
          <w:sz w:val="24"/>
          <w:szCs w:val="24"/>
        </w:rPr>
        <w:t xml:space="preserve">e and distribution of research. </w:t>
      </w:r>
      <w:r w:rsidRPr="008631EE">
        <w:rPr>
          <w:rFonts w:ascii="Times New Roman" w:eastAsia="Times New Roman" w:hAnsi="Times New Roman" w:cs="Times New Roman"/>
          <w:sz w:val="24"/>
          <w:szCs w:val="24"/>
        </w:rPr>
        <w:t>Similarly, scoping reviews take a broad, exploratory approach to reviewing literature. They aim to map out key concepts, summarize available evidence, and highlight research gaps within a particular topic (Tricco et al., 2016). These reviews help clarify definitions, categorize different types of studies, and gu</w:t>
      </w:r>
      <w:r>
        <w:rPr>
          <w:rFonts w:ascii="Times New Roman" w:eastAsia="Times New Roman" w:hAnsi="Times New Roman" w:cs="Times New Roman"/>
          <w:sz w:val="24"/>
          <w:szCs w:val="24"/>
        </w:rPr>
        <w:t>ide future research directions.</w:t>
      </w:r>
    </w:p>
    <w:p w14:paraId="26D48520" w14:textId="77777777" w:rsidR="009E1D59" w:rsidRPr="00D80315" w:rsidRDefault="009E1D59" w:rsidP="009E1D59">
      <w:pPr>
        <w:spacing w:line="360" w:lineRule="auto"/>
        <w:rPr>
          <w:rFonts w:ascii="Times New Roman" w:eastAsia="Times New Roman" w:hAnsi="Times New Roman" w:cs="Times New Roman"/>
          <w:sz w:val="24"/>
          <w:szCs w:val="24"/>
        </w:rPr>
      </w:pPr>
      <w:r w:rsidRPr="00D80315">
        <w:rPr>
          <w:rFonts w:ascii="Times New Roman" w:eastAsia="Times New Roman" w:hAnsi="Times New Roman" w:cs="Times New Roman"/>
          <w:sz w:val="24"/>
          <w:szCs w:val="24"/>
        </w:rPr>
        <w:t>The last type is a hybrid method, which uses elements from the other methods when the research questions involve both qualitative and quantitative data. These reviews allow the researchers to build on the strong points but avoid the weaknesses of either approach, thereby providing a multi-method approach that is methodologically diverse and contextually sensitive.</w:t>
      </w:r>
    </w:p>
    <w:p w14:paraId="4203F39E" w14:textId="77777777" w:rsidR="009E1D59" w:rsidRPr="00D80315" w:rsidRDefault="009E1D59" w:rsidP="009E1D59">
      <w:pPr>
        <w:spacing w:line="360" w:lineRule="auto"/>
        <w:rPr>
          <w:rFonts w:ascii="Times New Roman" w:eastAsia="Times New Roman" w:hAnsi="Times New Roman" w:cs="Times New Roman"/>
          <w:b/>
          <w:sz w:val="24"/>
          <w:szCs w:val="24"/>
        </w:rPr>
      </w:pPr>
      <w:r w:rsidRPr="00D80315">
        <w:rPr>
          <w:rFonts w:ascii="Times New Roman" w:eastAsia="Times New Roman" w:hAnsi="Times New Roman" w:cs="Times New Roman"/>
          <w:b/>
          <w:sz w:val="24"/>
          <w:szCs w:val="24"/>
        </w:rPr>
        <w:t>Part 2- Excel Template</w:t>
      </w:r>
    </w:p>
    <w:p w14:paraId="2CA5C9D1" w14:textId="77777777" w:rsidR="009E1D59" w:rsidRPr="00D80315" w:rsidRDefault="009E1D59" w:rsidP="009E1D59">
      <w:pPr>
        <w:spacing w:line="360" w:lineRule="auto"/>
        <w:rPr>
          <w:rFonts w:ascii="Times New Roman" w:eastAsia="Times New Roman" w:hAnsi="Times New Roman" w:cs="Times New Roman"/>
          <w:sz w:val="24"/>
          <w:szCs w:val="24"/>
        </w:rPr>
      </w:pPr>
      <w:r w:rsidRPr="00D80315">
        <w:rPr>
          <w:rFonts w:ascii="Times New Roman" w:eastAsia="Times New Roman" w:hAnsi="Times New Roman" w:cs="Times New Roman"/>
          <w:sz w:val="24"/>
          <w:szCs w:val="24"/>
        </w:rPr>
        <w:t xml:space="preserve">Global disruptions represent a threat to the established paradigms of supply chain management. According to Canwat (2024), COVID-19, as supplemented by exposed the vulnerability of the supply chain and MSME business continuity (Harapko, 2023; World Economic Forum, 2022). These disrupts forced change throughout the industry and prompted reconsideration of the old paradigms.  Moreover, Bednarski et al., (2025) underscore that geopolitical shifts have become increasingly essential in supply chain management, thus contributing to its complexity. Regulated from this source, there is need to shift from a pandemic scope-centered approach to embrace systemic risk considerations.   </w:t>
      </w:r>
    </w:p>
    <w:p w14:paraId="6F3C3376" w14:textId="77777777" w:rsidR="009E1D59" w:rsidRPr="00D80315" w:rsidRDefault="009E1D59" w:rsidP="009E1D59">
      <w:pPr>
        <w:spacing w:line="360" w:lineRule="auto"/>
        <w:rPr>
          <w:rFonts w:ascii="Times New Roman" w:eastAsia="Times New Roman" w:hAnsi="Times New Roman" w:cs="Times New Roman"/>
          <w:sz w:val="24"/>
          <w:szCs w:val="24"/>
        </w:rPr>
      </w:pPr>
      <w:r w:rsidRPr="00D80315">
        <w:rPr>
          <w:rFonts w:ascii="Times New Roman" w:eastAsia="Times New Roman" w:hAnsi="Times New Roman" w:cs="Times New Roman"/>
          <w:sz w:val="24"/>
          <w:szCs w:val="24"/>
        </w:rPr>
        <w:t>Drawing from the above sources, the research thesis is, global disruptions including those fueled by a pandemic or of a geopolitical nature have clearly exposed the inefficiencies of existing supply chain systems. Some of the main areas of concern that have emerged consist of lack of risk resiliency especially among the MSMEs and insufficient consideration of various risk considerations that mandates a transition towards better and stronger risk management frameworks.</w:t>
      </w:r>
    </w:p>
    <w:p w14:paraId="738F1C37" w14:textId="77777777" w:rsidR="009E1D59" w:rsidRPr="00D80315" w:rsidRDefault="009E1D59" w:rsidP="009E1D59">
      <w:pPr>
        <w:spacing w:line="360" w:lineRule="auto"/>
        <w:rPr>
          <w:rFonts w:ascii="Times New Roman" w:eastAsia="Times New Roman" w:hAnsi="Times New Roman" w:cs="Times New Roman"/>
          <w:b/>
          <w:sz w:val="24"/>
          <w:szCs w:val="24"/>
        </w:rPr>
      </w:pPr>
      <w:r w:rsidRPr="00D80315">
        <w:rPr>
          <w:rFonts w:ascii="Times New Roman" w:eastAsia="Times New Roman" w:hAnsi="Times New Roman" w:cs="Times New Roman"/>
          <w:b/>
          <w:sz w:val="24"/>
          <w:szCs w:val="24"/>
        </w:rPr>
        <w:t>Part 3- Structure of the Literature Review</w:t>
      </w:r>
    </w:p>
    <w:p w14:paraId="543A6EFA" w14:textId="77777777" w:rsidR="009E1D59" w:rsidRPr="00E11597" w:rsidRDefault="009E1D59" w:rsidP="009E1D59">
      <w:pPr>
        <w:spacing w:line="360" w:lineRule="auto"/>
        <w:rPr>
          <w:rFonts w:ascii="Times New Roman" w:hAnsi="Times New Roman" w:cs="Times New Roman"/>
          <w:sz w:val="24"/>
          <w:szCs w:val="24"/>
        </w:rPr>
      </w:pPr>
      <w:r w:rsidRPr="00D80315">
        <w:rPr>
          <w:rFonts w:ascii="Times New Roman" w:hAnsi="Times New Roman" w:cs="Times New Roman"/>
          <w:sz w:val="24"/>
          <w:szCs w:val="24"/>
        </w:rPr>
        <w:lastRenderedPageBreak/>
        <w:t xml:space="preserve">In light of this, this research adopts the systematic critical literature review (SCLR) approach to review articles that address sustainable supply chain resilience within the lens of circular economy. </w:t>
      </w:r>
      <w:r w:rsidRPr="00E11597">
        <w:rPr>
          <w:rFonts w:ascii="Times New Roman" w:hAnsi="Times New Roman" w:cs="Times New Roman"/>
          <w:sz w:val="24"/>
          <w:szCs w:val="24"/>
        </w:rPr>
        <w:t>This critical literature review explores sustainable supply chain resilience and circular economy principles using a structured and transparent approach</w:t>
      </w:r>
      <w:r>
        <w:rPr>
          <w:rFonts w:ascii="Times New Roman" w:hAnsi="Times New Roman" w:cs="Times New Roman"/>
          <w:sz w:val="24"/>
          <w:szCs w:val="24"/>
        </w:rPr>
        <w:t xml:space="preserve"> based on the PRISMA framework.</w:t>
      </w:r>
    </w:p>
    <w:p w14:paraId="60C0568B" w14:textId="77777777" w:rsidR="009E1D59" w:rsidRPr="00E11597" w:rsidRDefault="009E1D59" w:rsidP="009E1D59">
      <w:pPr>
        <w:spacing w:line="360" w:lineRule="auto"/>
        <w:rPr>
          <w:rFonts w:ascii="Times New Roman" w:hAnsi="Times New Roman" w:cs="Times New Roman"/>
          <w:sz w:val="24"/>
          <w:szCs w:val="24"/>
        </w:rPr>
      </w:pPr>
      <w:r w:rsidRPr="00E11597">
        <w:rPr>
          <w:rFonts w:ascii="Times New Roman" w:hAnsi="Times New Roman" w:cs="Times New Roman"/>
          <w:sz w:val="24"/>
          <w:szCs w:val="24"/>
        </w:rPr>
        <w:t xml:space="preserve">The process </w:t>
      </w:r>
      <w:r>
        <w:rPr>
          <w:rFonts w:ascii="Times New Roman" w:hAnsi="Times New Roman" w:cs="Times New Roman"/>
          <w:sz w:val="24"/>
          <w:szCs w:val="24"/>
        </w:rPr>
        <w:t>will begin</w:t>
      </w:r>
      <w:r w:rsidRPr="00E11597">
        <w:rPr>
          <w:rFonts w:ascii="Times New Roman" w:hAnsi="Times New Roman" w:cs="Times New Roman"/>
          <w:sz w:val="24"/>
          <w:szCs w:val="24"/>
        </w:rPr>
        <w:t xml:space="preserve"> with identification, where clear inclusion and exclusion criteria will be established to select relevant studies. To gather a comprehensive dataset, academic databases such as Scopus, Web of Science, Google Scholar, and ScienceDirect will be searched using targeted keywords like “circular economy,” “supply chain resilience,” “global disruptions,” “MNCs,” and “risk management.” Boolean operators (AND, OR) will help refine search queries, ensuring precision. All retrieved studies will be documented, and duplicate entries will be</w:t>
      </w:r>
      <w:r>
        <w:rPr>
          <w:rFonts w:ascii="Times New Roman" w:hAnsi="Times New Roman" w:cs="Times New Roman"/>
          <w:sz w:val="24"/>
          <w:szCs w:val="24"/>
        </w:rPr>
        <w:t xml:space="preserve"> removed before moving forward.</w:t>
      </w:r>
    </w:p>
    <w:p w14:paraId="4DC4F7A6" w14:textId="77777777" w:rsidR="009E1D59" w:rsidRPr="00E11597" w:rsidRDefault="009E1D59" w:rsidP="009E1D59">
      <w:pPr>
        <w:spacing w:line="360" w:lineRule="auto"/>
        <w:rPr>
          <w:rFonts w:ascii="Times New Roman" w:hAnsi="Times New Roman" w:cs="Times New Roman"/>
          <w:sz w:val="24"/>
          <w:szCs w:val="24"/>
        </w:rPr>
      </w:pPr>
      <w:r w:rsidRPr="00E11597">
        <w:rPr>
          <w:rFonts w:ascii="Times New Roman" w:hAnsi="Times New Roman" w:cs="Times New Roman"/>
          <w:sz w:val="24"/>
          <w:szCs w:val="24"/>
        </w:rPr>
        <w:t>Next is the screening phase, where study titles and abstracts will be carefully reviewed to filter out any irrelevant research. This process</w:t>
      </w:r>
      <w:r>
        <w:rPr>
          <w:rFonts w:ascii="Times New Roman" w:hAnsi="Times New Roman" w:cs="Times New Roman"/>
          <w:sz w:val="24"/>
          <w:szCs w:val="24"/>
        </w:rPr>
        <w:t xml:space="preserve"> will be managed using Excel </w:t>
      </w:r>
      <w:r w:rsidRPr="00E11597">
        <w:rPr>
          <w:rFonts w:ascii="Times New Roman" w:hAnsi="Times New Roman" w:cs="Times New Roman"/>
          <w:sz w:val="24"/>
          <w:szCs w:val="24"/>
        </w:rPr>
        <w:t>to maintain consistency. Studies that do not explicitly address both circular economy principles and supply chain resilience in the context of globa</w:t>
      </w:r>
      <w:r>
        <w:rPr>
          <w:rFonts w:ascii="Times New Roman" w:hAnsi="Times New Roman" w:cs="Times New Roman"/>
          <w:sz w:val="24"/>
          <w:szCs w:val="24"/>
        </w:rPr>
        <w:t>l disruptions will be excluded.</w:t>
      </w:r>
    </w:p>
    <w:p w14:paraId="185D7D63" w14:textId="77777777" w:rsidR="009E1D59" w:rsidRPr="00E11597" w:rsidRDefault="009E1D59" w:rsidP="009E1D59">
      <w:pPr>
        <w:spacing w:line="360" w:lineRule="auto"/>
        <w:rPr>
          <w:rFonts w:ascii="Times New Roman" w:hAnsi="Times New Roman" w:cs="Times New Roman"/>
          <w:sz w:val="24"/>
          <w:szCs w:val="24"/>
        </w:rPr>
      </w:pPr>
      <w:r w:rsidRPr="00E11597">
        <w:rPr>
          <w:rFonts w:ascii="Times New Roman" w:hAnsi="Times New Roman" w:cs="Times New Roman"/>
          <w:sz w:val="24"/>
          <w:szCs w:val="24"/>
        </w:rPr>
        <w:t>Following this, the eligibility phase will involve a thorough full-text review of the remaining studies. Any research lacking empirical or conceptual insights into managerial decision-making, risk management frameworks, or the real-world application of circular economy strategies will be set aside. Only peer-reviewed journal articles, conference papers, and authoritative reports will be co</w:t>
      </w:r>
      <w:r>
        <w:rPr>
          <w:rFonts w:ascii="Times New Roman" w:hAnsi="Times New Roman" w:cs="Times New Roman"/>
          <w:sz w:val="24"/>
          <w:szCs w:val="24"/>
        </w:rPr>
        <w:t>nsidered to ensure credibility.</w:t>
      </w:r>
    </w:p>
    <w:p w14:paraId="55A00FE3" w14:textId="77777777" w:rsidR="009E1D59" w:rsidRPr="00E11597" w:rsidRDefault="009E1D59" w:rsidP="009E1D59">
      <w:pPr>
        <w:spacing w:line="360" w:lineRule="auto"/>
        <w:rPr>
          <w:rFonts w:ascii="Times New Roman" w:hAnsi="Times New Roman" w:cs="Times New Roman"/>
          <w:sz w:val="24"/>
          <w:szCs w:val="24"/>
        </w:rPr>
      </w:pPr>
      <w:r w:rsidRPr="00E11597">
        <w:rPr>
          <w:rFonts w:ascii="Times New Roman" w:hAnsi="Times New Roman" w:cs="Times New Roman"/>
          <w:sz w:val="24"/>
          <w:szCs w:val="24"/>
        </w:rPr>
        <w:t>In the data extraction and analysis phase, key details such as research focus, methodology, findings, and thematic contributions will be systematically recorded. A thematic analysis will be conducted to categorize findings based on the impact of global disruptions, circular economy strategies, and integration approaches that enhance supply chain resilience. The results will be presented using conceptual frame</w:t>
      </w:r>
      <w:r>
        <w:rPr>
          <w:rFonts w:ascii="Times New Roman" w:hAnsi="Times New Roman" w:cs="Times New Roman"/>
          <w:sz w:val="24"/>
          <w:szCs w:val="24"/>
        </w:rPr>
        <w:t>works and structured summaries.</w:t>
      </w:r>
    </w:p>
    <w:p w14:paraId="788E57E5" w14:textId="77777777" w:rsidR="009E1D59" w:rsidRPr="00D80315" w:rsidRDefault="009E1D59" w:rsidP="009E1D59">
      <w:pPr>
        <w:spacing w:line="360" w:lineRule="auto"/>
        <w:rPr>
          <w:rFonts w:ascii="Times New Roman" w:hAnsi="Times New Roman" w:cs="Times New Roman"/>
          <w:sz w:val="24"/>
          <w:szCs w:val="24"/>
        </w:rPr>
      </w:pPr>
      <w:r w:rsidRPr="00E11597">
        <w:rPr>
          <w:rFonts w:ascii="Times New Roman" w:hAnsi="Times New Roman" w:cs="Times New Roman"/>
          <w:sz w:val="24"/>
          <w:szCs w:val="24"/>
        </w:rPr>
        <w:t>Finally, the findings will be synthesized to highlight key insights, existing gaps, and potential areas for future research. A PRISMA flow diagram will visually outline the study selection process, ensuring transparency and clarity in the review.</w:t>
      </w:r>
    </w:p>
    <w:p w14:paraId="07CEE3A2" w14:textId="77777777" w:rsidR="009E1D59" w:rsidRPr="00615087" w:rsidRDefault="009E1D59" w:rsidP="009E1D59">
      <w:pPr>
        <w:spacing w:line="480" w:lineRule="auto"/>
        <w:rPr>
          <w:rFonts w:ascii="Times New Roman" w:hAnsi="Times New Roman" w:cs="Times New Roman"/>
          <w:b/>
          <w:sz w:val="24"/>
          <w:szCs w:val="24"/>
        </w:rPr>
      </w:pPr>
      <w:r w:rsidRPr="00615087">
        <w:rPr>
          <w:rFonts w:ascii="Times New Roman" w:hAnsi="Times New Roman" w:cs="Times New Roman"/>
          <w:b/>
          <w:sz w:val="24"/>
          <w:szCs w:val="24"/>
        </w:rPr>
        <w:lastRenderedPageBreak/>
        <w:t>References</w:t>
      </w:r>
    </w:p>
    <w:p w14:paraId="26FF5FA5" w14:textId="77777777" w:rsidR="009E1D59" w:rsidRDefault="009E1D59" w:rsidP="009E1D59">
      <w:pPr>
        <w:spacing w:line="480" w:lineRule="auto"/>
        <w:ind w:left="720" w:hanging="720"/>
        <w:rPr>
          <w:rFonts w:ascii="Times New Roman" w:hAnsi="Times New Roman" w:cs="Times New Roman"/>
          <w:sz w:val="24"/>
          <w:szCs w:val="24"/>
        </w:rPr>
      </w:pPr>
      <w:r w:rsidRPr="00555620">
        <w:rPr>
          <w:rFonts w:ascii="Times New Roman" w:hAnsi="Times New Roman" w:cs="Times New Roman"/>
          <w:sz w:val="24"/>
          <w:szCs w:val="24"/>
        </w:rPr>
        <w:t>Bednarski, L., Roscoe, S., Blome, C. and Schleper, M.C., 2025. Geopolitical disruptions in global supply chains: a state-of-the-art literature review. </w:t>
      </w:r>
      <w:r w:rsidRPr="00555620">
        <w:rPr>
          <w:rFonts w:ascii="Times New Roman" w:hAnsi="Times New Roman" w:cs="Times New Roman"/>
          <w:i/>
          <w:iCs/>
          <w:sz w:val="24"/>
          <w:szCs w:val="24"/>
        </w:rPr>
        <w:t>Production planning &amp; control</w:t>
      </w:r>
      <w:r w:rsidRPr="00555620">
        <w:rPr>
          <w:rFonts w:ascii="Times New Roman" w:hAnsi="Times New Roman" w:cs="Times New Roman"/>
          <w:sz w:val="24"/>
          <w:szCs w:val="24"/>
        </w:rPr>
        <w:t>, </w:t>
      </w:r>
      <w:r w:rsidRPr="00555620">
        <w:rPr>
          <w:rFonts w:ascii="Times New Roman" w:hAnsi="Times New Roman" w:cs="Times New Roman"/>
          <w:i/>
          <w:iCs/>
          <w:sz w:val="24"/>
          <w:szCs w:val="24"/>
        </w:rPr>
        <w:t>36</w:t>
      </w:r>
      <w:r w:rsidRPr="00555620">
        <w:rPr>
          <w:rFonts w:ascii="Times New Roman" w:hAnsi="Times New Roman" w:cs="Times New Roman"/>
          <w:sz w:val="24"/>
          <w:szCs w:val="24"/>
        </w:rPr>
        <w:t>(4), pp.536-562.</w:t>
      </w:r>
    </w:p>
    <w:p w14:paraId="2E0513B6" w14:textId="77777777" w:rsidR="009E1D59" w:rsidRDefault="009E1D59" w:rsidP="009E1D59">
      <w:pPr>
        <w:spacing w:line="480" w:lineRule="auto"/>
        <w:ind w:left="720" w:hanging="720"/>
        <w:rPr>
          <w:rFonts w:ascii="Times New Roman" w:hAnsi="Times New Roman" w:cs="Times New Roman"/>
          <w:sz w:val="24"/>
          <w:szCs w:val="24"/>
        </w:rPr>
      </w:pPr>
      <w:r w:rsidRPr="00FB6095">
        <w:rPr>
          <w:rFonts w:ascii="Times New Roman" w:hAnsi="Times New Roman" w:cs="Times New Roman"/>
          <w:sz w:val="24"/>
          <w:szCs w:val="24"/>
        </w:rPr>
        <w:t>Campbell, F., Tricco, A.C., Munn, Z., Pollock, D., Saran, A., Sutton, A., White, H. and Khalil, H., 2023. Mapping reviews, scoping reviews, and evidence and gap maps (EGMs): the same but different—the “Big Picture” review family. </w:t>
      </w:r>
      <w:r w:rsidRPr="00FB6095">
        <w:rPr>
          <w:rFonts w:ascii="Times New Roman" w:hAnsi="Times New Roman" w:cs="Times New Roman"/>
          <w:i/>
          <w:iCs/>
          <w:sz w:val="24"/>
          <w:szCs w:val="24"/>
        </w:rPr>
        <w:t>Systematic reviews</w:t>
      </w:r>
      <w:r w:rsidRPr="00FB6095">
        <w:rPr>
          <w:rFonts w:ascii="Times New Roman" w:hAnsi="Times New Roman" w:cs="Times New Roman"/>
          <w:sz w:val="24"/>
          <w:szCs w:val="24"/>
        </w:rPr>
        <w:t>, </w:t>
      </w:r>
      <w:r w:rsidRPr="00FB6095">
        <w:rPr>
          <w:rFonts w:ascii="Times New Roman" w:hAnsi="Times New Roman" w:cs="Times New Roman"/>
          <w:i/>
          <w:iCs/>
          <w:sz w:val="24"/>
          <w:szCs w:val="24"/>
        </w:rPr>
        <w:t>12</w:t>
      </w:r>
      <w:r w:rsidRPr="00FB6095">
        <w:rPr>
          <w:rFonts w:ascii="Times New Roman" w:hAnsi="Times New Roman" w:cs="Times New Roman"/>
          <w:sz w:val="24"/>
          <w:szCs w:val="24"/>
        </w:rPr>
        <w:t>(1), p.45.</w:t>
      </w:r>
    </w:p>
    <w:p w14:paraId="13D1EDA2" w14:textId="77777777" w:rsidR="009E1D59" w:rsidRDefault="009E1D59" w:rsidP="009E1D59">
      <w:pPr>
        <w:spacing w:line="480" w:lineRule="auto"/>
        <w:ind w:left="720" w:hanging="720"/>
        <w:rPr>
          <w:rFonts w:ascii="Times New Roman" w:hAnsi="Times New Roman" w:cs="Times New Roman"/>
          <w:sz w:val="24"/>
          <w:szCs w:val="24"/>
        </w:rPr>
      </w:pPr>
      <w:r w:rsidRPr="00D27BDF">
        <w:rPr>
          <w:rFonts w:ascii="Times New Roman" w:hAnsi="Times New Roman" w:cs="Times New Roman"/>
          <w:sz w:val="24"/>
          <w:szCs w:val="24"/>
        </w:rPr>
        <w:t>Canwat, V., 2024. COVID-19-related supply chain disruptions: resilience and vulnerability of micro, small and medium enterprises. </w:t>
      </w:r>
      <w:r w:rsidRPr="00D27BDF">
        <w:rPr>
          <w:rFonts w:ascii="Times New Roman" w:hAnsi="Times New Roman" w:cs="Times New Roman"/>
          <w:i/>
          <w:iCs/>
          <w:sz w:val="24"/>
          <w:szCs w:val="24"/>
        </w:rPr>
        <w:t>Cogent Business &amp; Management</w:t>
      </w:r>
      <w:r w:rsidRPr="00D27BDF">
        <w:rPr>
          <w:rFonts w:ascii="Times New Roman" w:hAnsi="Times New Roman" w:cs="Times New Roman"/>
          <w:sz w:val="24"/>
          <w:szCs w:val="24"/>
        </w:rPr>
        <w:t>, </w:t>
      </w:r>
      <w:r w:rsidRPr="00D27BDF">
        <w:rPr>
          <w:rFonts w:ascii="Times New Roman" w:hAnsi="Times New Roman" w:cs="Times New Roman"/>
          <w:i/>
          <w:iCs/>
          <w:sz w:val="24"/>
          <w:szCs w:val="24"/>
        </w:rPr>
        <w:t>11</w:t>
      </w:r>
      <w:r w:rsidRPr="00D27BDF">
        <w:rPr>
          <w:rFonts w:ascii="Times New Roman" w:hAnsi="Times New Roman" w:cs="Times New Roman"/>
          <w:sz w:val="24"/>
          <w:szCs w:val="24"/>
        </w:rPr>
        <w:t>(1), p.2315691.</w:t>
      </w:r>
    </w:p>
    <w:p w14:paraId="77962263" w14:textId="77777777" w:rsidR="009E1D59" w:rsidRDefault="009E1D59" w:rsidP="009E1D5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Harapko, S. (2023). </w:t>
      </w:r>
      <w:r w:rsidRPr="002E5AD7">
        <w:rPr>
          <w:rFonts w:ascii="Times New Roman" w:hAnsi="Times New Roman" w:cs="Times New Roman"/>
          <w:i/>
          <w:sz w:val="24"/>
          <w:szCs w:val="24"/>
        </w:rPr>
        <w:t>How COVID-19 impacted supply chains and what comes next</w:t>
      </w:r>
      <w:r>
        <w:rPr>
          <w:rFonts w:ascii="Times New Roman" w:hAnsi="Times New Roman" w:cs="Times New Roman"/>
          <w:sz w:val="24"/>
          <w:szCs w:val="24"/>
        </w:rPr>
        <w:t xml:space="preserve">. EY. Available at: </w:t>
      </w:r>
      <w:hyperlink r:id="rId5" w:history="1">
        <w:r w:rsidRPr="005013A1">
          <w:rPr>
            <w:rStyle w:val="a4"/>
            <w:rFonts w:ascii="Times New Roman" w:hAnsi="Times New Roman" w:cs="Times New Roman"/>
            <w:sz w:val="24"/>
            <w:szCs w:val="24"/>
          </w:rPr>
          <w:t>https://www.ey.com/en_us/insights/supply-chain/how-covid-19-impacted-supply-chains-and-what-comes-next</w:t>
        </w:r>
      </w:hyperlink>
      <w:r>
        <w:rPr>
          <w:rFonts w:ascii="Times New Roman" w:hAnsi="Times New Roman" w:cs="Times New Roman"/>
          <w:sz w:val="24"/>
          <w:szCs w:val="24"/>
        </w:rPr>
        <w:t xml:space="preserve"> </w:t>
      </w:r>
    </w:p>
    <w:p w14:paraId="55B21531" w14:textId="77777777" w:rsidR="009E1D59" w:rsidRDefault="009E1D59" w:rsidP="009E1D59">
      <w:pPr>
        <w:spacing w:line="480" w:lineRule="auto"/>
        <w:ind w:left="720" w:hanging="720"/>
        <w:rPr>
          <w:rFonts w:ascii="Times New Roman" w:hAnsi="Times New Roman" w:cs="Times New Roman"/>
          <w:sz w:val="24"/>
          <w:szCs w:val="24"/>
        </w:rPr>
      </w:pPr>
      <w:r w:rsidRPr="0084367E">
        <w:rPr>
          <w:rFonts w:ascii="Times New Roman" w:hAnsi="Times New Roman" w:cs="Times New Roman"/>
          <w:sz w:val="24"/>
          <w:szCs w:val="24"/>
        </w:rPr>
        <w:t>Lachal, J., Revah-Levy, A., Orri, M. and Moro, M.R., 2017. Metasynthesis: an original method to synthesize qualitative literature in psychiatry. </w:t>
      </w:r>
      <w:r w:rsidRPr="0084367E">
        <w:rPr>
          <w:rFonts w:ascii="Times New Roman" w:hAnsi="Times New Roman" w:cs="Times New Roman"/>
          <w:i/>
          <w:iCs/>
          <w:sz w:val="24"/>
          <w:szCs w:val="24"/>
        </w:rPr>
        <w:t>Frontiers in psychiatry</w:t>
      </w:r>
      <w:r w:rsidRPr="0084367E">
        <w:rPr>
          <w:rFonts w:ascii="Times New Roman" w:hAnsi="Times New Roman" w:cs="Times New Roman"/>
          <w:sz w:val="24"/>
          <w:szCs w:val="24"/>
        </w:rPr>
        <w:t>, </w:t>
      </w:r>
      <w:r w:rsidRPr="0084367E">
        <w:rPr>
          <w:rFonts w:ascii="Times New Roman" w:hAnsi="Times New Roman" w:cs="Times New Roman"/>
          <w:i/>
          <w:iCs/>
          <w:sz w:val="24"/>
          <w:szCs w:val="24"/>
        </w:rPr>
        <w:t>8</w:t>
      </w:r>
      <w:r w:rsidRPr="0084367E">
        <w:rPr>
          <w:rFonts w:ascii="Times New Roman" w:hAnsi="Times New Roman" w:cs="Times New Roman"/>
          <w:sz w:val="24"/>
          <w:szCs w:val="24"/>
        </w:rPr>
        <w:t>, p.269.</w:t>
      </w:r>
    </w:p>
    <w:p w14:paraId="2BE3E1ED" w14:textId="77777777" w:rsidR="009E1D59" w:rsidRDefault="009E1D59" w:rsidP="009E1D59">
      <w:pPr>
        <w:spacing w:line="480" w:lineRule="auto"/>
        <w:ind w:left="720" w:hanging="720"/>
        <w:rPr>
          <w:rFonts w:ascii="Times New Roman" w:hAnsi="Times New Roman" w:cs="Times New Roman"/>
          <w:sz w:val="24"/>
          <w:szCs w:val="24"/>
        </w:rPr>
      </w:pPr>
      <w:r w:rsidRPr="009541CE">
        <w:rPr>
          <w:rFonts w:ascii="Times New Roman" w:hAnsi="Times New Roman" w:cs="Times New Roman"/>
          <w:sz w:val="24"/>
          <w:szCs w:val="24"/>
        </w:rPr>
        <w:t>Nassaji, H., 2015. Qualitative and descriptive research: Data type versus data analysis. </w:t>
      </w:r>
      <w:r w:rsidRPr="009541CE">
        <w:rPr>
          <w:rFonts w:ascii="Times New Roman" w:hAnsi="Times New Roman" w:cs="Times New Roman"/>
          <w:i/>
          <w:iCs/>
          <w:sz w:val="24"/>
          <w:szCs w:val="24"/>
        </w:rPr>
        <w:t>Language teaching research</w:t>
      </w:r>
      <w:r w:rsidRPr="009541CE">
        <w:rPr>
          <w:rFonts w:ascii="Times New Roman" w:hAnsi="Times New Roman" w:cs="Times New Roman"/>
          <w:sz w:val="24"/>
          <w:szCs w:val="24"/>
        </w:rPr>
        <w:t>, </w:t>
      </w:r>
      <w:r w:rsidRPr="009541CE">
        <w:rPr>
          <w:rFonts w:ascii="Times New Roman" w:hAnsi="Times New Roman" w:cs="Times New Roman"/>
          <w:i/>
          <w:iCs/>
          <w:sz w:val="24"/>
          <w:szCs w:val="24"/>
        </w:rPr>
        <w:t>19</w:t>
      </w:r>
      <w:r w:rsidRPr="009541CE">
        <w:rPr>
          <w:rFonts w:ascii="Times New Roman" w:hAnsi="Times New Roman" w:cs="Times New Roman"/>
          <w:sz w:val="24"/>
          <w:szCs w:val="24"/>
        </w:rPr>
        <w:t>(2), pp.129-132.</w:t>
      </w:r>
    </w:p>
    <w:p w14:paraId="605F14DE" w14:textId="77777777" w:rsidR="009E1D59" w:rsidRDefault="009E1D59" w:rsidP="009E1D59">
      <w:pPr>
        <w:spacing w:line="480" w:lineRule="auto"/>
        <w:ind w:left="720" w:hanging="720"/>
        <w:rPr>
          <w:rFonts w:ascii="Times New Roman" w:hAnsi="Times New Roman" w:cs="Times New Roman"/>
          <w:sz w:val="24"/>
          <w:szCs w:val="24"/>
        </w:rPr>
      </w:pPr>
      <w:r w:rsidRPr="000046F0">
        <w:rPr>
          <w:rFonts w:ascii="Times New Roman" w:hAnsi="Times New Roman" w:cs="Times New Roman"/>
          <w:sz w:val="24"/>
          <w:szCs w:val="24"/>
        </w:rPr>
        <w:t>Pigott, T.D. and Polanin, J.R., 2020. Methodological guidance paper: High-quality meta-analysis in a systematic review. </w:t>
      </w:r>
      <w:r w:rsidRPr="000046F0">
        <w:rPr>
          <w:rFonts w:ascii="Times New Roman" w:hAnsi="Times New Roman" w:cs="Times New Roman"/>
          <w:i/>
          <w:iCs/>
          <w:sz w:val="24"/>
          <w:szCs w:val="24"/>
        </w:rPr>
        <w:t>Review of Educational Research</w:t>
      </w:r>
      <w:r w:rsidRPr="000046F0">
        <w:rPr>
          <w:rFonts w:ascii="Times New Roman" w:hAnsi="Times New Roman" w:cs="Times New Roman"/>
          <w:sz w:val="24"/>
          <w:szCs w:val="24"/>
        </w:rPr>
        <w:t>, </w:t>
      </w:r>
      <w:r w:rsidRPr="000046F0">
        <w:rPr>
          <w:rFonts w:ascii="Times New Roman" w:hAnsi="Times New Roman" w:cs="Times New Roman"/>
          <w:i/>
          <w:iCs/>
          <w:sz w:val="24"/>
          <w:szCs w:val="24"/>
        </w:rPr>
        <w:t>90</w:t>
      </w:r>
      <w:r w:rsidRPr="000046F0">
        <w:rPr>
          <w:rFonts w:ascii="Times New Roman" w:hAnsi="Times New Roman" w:cs="Times New Roman"/>
          <w:sz w:val="24"/>
          <w:szCs w:val="24"/>
        </w:rPr>
        <w:t>(1), pp.24-46.</w:t>
      </w:r>
    </w:p>
    <w:p w14:paraId="3AB06556" w14:textId="77777777" w:rsidR="009E1D59" w:rsidRDefault="009E1D59" w:rsidP="009E1D59">
      <w:pPr>
        <w:spacing w:line="480" w:lineRule="auto"/>
        <w:ind w:left="720" w:hanging="720"/>
        <w:rPr>
          <w:rFonts w:ascii="Times New Roman" w:hAnsi="Times New Roman" w:cs="Times New Roman"/>
          <w:sz w:val="24"/>
          <w:szCs w:val="24"/>
        </w:rPr>
      </w:pPr>
      <w:r w:rsidRPr="000046F0">
        <w:rPr>
          <w:rFonts w:ascii="Times New Roman" w:hAnsi="Times New Roman" w:cs="Times New Roman"/>
          <w:sz w:val="24"/>
          <w:szCs w:val="24"/>
        </w:rPr>
        <w:lastRenderedPageBreak/>
        <w:t>Siddaway, A.P., Wood, A.M. and Hedges, L.V., 2019. How to do a systematic review: a best practice guide for conducting and reporting narrative reviews, meta-analyses, and meta-syntheses. </w:t>
      </w:r>
      <w:r w:rsidRPr="000046F0">
        <w:rPr>
          <w:rFonts w:ascii="Times New Roman" w:hAnsi="Times New Roman" w:cs="Times New Roman"/>
          <w:i/>
          <w:iCs/>
          <w:sz w:val="24"/>
          <w:szCs w:val="24"/>
        </w:rPr>
        <w:t>Annual review of psychology</w:t>
      </w:r>
      <w:r w:rsidRPr="000046F0">
        <w:rPr>
          <w:rFonts w:ascii="Times New Roman" w:hAnsi="Times New Roman" w:cs="Times New Roman"/>
          <w:sz w:val="24"/>
          <w:szCs w:val="24"/>
        </w:rPr>
        <w:t>, </w:t>
      </w:r>
      <w:r w:rsidRPr="000046F0">
        <w:rPr>
          <w:rFonts w:ascii="Times New Roman" w:hAnsi="Times New Roman" w:cs="Times New Roman"/>
          <w:i/>
          <w:iCs/>
          <w:sz w:val="24"/>
          <w:szCs w:val="24"/>
        </w:rPr>
        <w:t>70</w:t>
      </w:r>
      <w:r w:rsidRPr="000046F0">
        <w:rPr>
          <w:rFonts w:ascii="Times New Roman" w:hAnsi="Times New Roman" w:cs="Times New Roman"/>
          <w:sz w:val="24"/>
          <w:szCs w:val="24"/>
        </w:rPr>
        <w:t>(1), pp.747-770.</w:t>
      </w:r>
    </w:p>
    <w:p w14:paraId="1C2C622C" w14:textId="77777777" w:rsidR="009E1D59" w:rsidRDefault="009E1D59" w:rsidP="009E1D59">
      <w:pPr>
        <w:spacing w:line="480" w:lineRule="auto"/>
        <w:ind w:left="720" w:hanging="720"/>
        <w:rPr>
          <w:rFonts w:ascii="Times New Roman" w:hAnsi="Times New Roman" w:cs="Times New Roman"/>
          <w:sz w:val="24"/>
          <w:szCs w:val="24"/>
        </w:rPr>
      </w:pPr>
      <w:r w:rsidRPr="00E57A66">
        <w:rPr>
          <w:rFonts w:ascii="Times New Roman" w:hAnsi="Times New Roman" w:cs="Times New Roman"/>
          <w:sz w:val="24"/>
          <w:szCs w:val="24"/>
        </w:rPr>
        <w:t>Tricco, A.C., Lillie, E., Zarin, W., O’brien, K., Colquhoun, H., Kastner, M., Levac, D., Ng, C., Sharpe, J.P., Wilson, K. and Kenny, M., 2016. A scoping review on the conduct and reporting of scoping reviews. BMC medical research methodology, 16, pp.1-10.</w:t>
      </w:r>
    </w:p>
    <w:p w14:paraId="6DBEE1DC" w14:textId="77777777" w:rsidR="009E1D59" w:rsidRPr="00E9615A" w:rsidRDefault="009E1D59" w:rsidP="009E1D59">
      <w:pPr>
        <w:spacing w:line="480" w:lineRule="auto"/>
        <w:ind w:left="720" w:hanging="720"/>
        <w:rPr>
          <w:rFonts w:ascii="Times New Roman" w:hAnsi="Times New Roman" w:cs="Times New Roman"/>
          <w:sz w:val="24"/>
          <w:szCs w:val="24"/>
        </w:rPr>
      </w:pPr>
      <w:r w:rsidRPr="00E9615A">
        <w:rPr>
          <w:rFonts w:ascii="Times New Roman" w:hAnsi="Times New Roman" w:cs="Times New Roman"/>
          <w:sz w:val="24"/>
          <w:szCs w:val="24"/>
        </w:rPr>
        <w:t xml:space="preserve">World Economic Forum (2022). </w:t>
      </w:r>
      <w:r w:rsidRPr="00E9615A">
        <w:rPr>
          <w:rFonts w:ascii="Times New Roman" w:hAnsi="Times New Roman" w:cs="Times New Roman"/>
          <w:i/>
          <w:sz w:val="24"/>
          <w:szCs w:val="24"/>
        </w:rPr>
        <w:t>5 ways the COVID-19 pandemic has changed the supply chain</w:t>
      </w:r>
      <w:r w:rsidRPr="00E9615A">
        <w:rPr>
          <w:rFonts w:ascii="Times New Roman" w:hAnsi="Times New Roman" w:cs="Times New Roman"/>
          <w:sz w:val="24"/>
          <w:szCs w:val="24"/>
        </w:rPr>
        <w:t xml:space="preserve">. Available at: </w:t>
      </w:r>
      <w:hyperlink r:id="rId6" w:history="1">
        <w:r w:rsidRPr="00E9615A">
          <w:rPr>
            <w:rStyle w:val="a4"/>
            <w:rFonts w:ascii="Times New Roman" w:hAnsi="Times New Roman" w:cs="Times New Roman"/>
            <w:sz w:val="24"/>
            <w:szCs w:val="24"/>
          </w:rPr>
          <w:t>https://www.weforum.org/stories/2022/01/5-ways-the-covid-19-pandemic-has-changed-the-supply-chain/</w:t>
        </w:r>
      </w:hyperlink>
      <w:r w:rsidRPr="00E9615A">
        <w:rPr>
          <w:rFonts w:ascii="Times New Roman" w:hAnsi="Times New Roman" w:cs="Times New Roman"/>
          <w:sz w:val="24"/>
          <w:szCs w:val="24"/>
        </w:rPr>
        <w:t xml:space="preserve"> </w:t>
      </w:r>
    </w:p>
    <w:p w14:paraId="4EEBB7BF" w14:textId="77777777" w:rsidR="009E1D59" w:rsidRDefault="009E1D59" w:rsidP="009E1D59">
      <w:pPr>
        <w:spacing w:line="480" w:lineRule="auto"/>
        <w:ind w:left="720" w:hanging="720"/>
        <w:rPr>
          <w:rFonts w:ascii="Times New Roman" w:hAnsi="Times New Roman" w:cs="Times New Roman"/>
          <w:sz w:val="24"/>
          <w:szCs w:val="24"/>
        </w:rPr>
      </w:pPr>
      <w:r w:rsidRPr="00116D17">
        <w:rPr>
          <w:rFonts w:ascii="Times New Roman" w:hAnsi="Times New Roman" w:cs="Times New Roman"/>
          <w:sz w:val="24"/>
          <w:szCs w:val="24"/>
        </w:rPr>
        <w:t>Xiao, Y. and Watson, M., 2019. Guidance on conducting a systematic literature review. </w:t>
      </w:r>
      <w:r w:rsidRPr="00116D17">
        <w:rPr>
          <w:rFonts w:ascii="Times New Roman" w:hAnsi="Times New Roman" w:cs="Times New Roman"/>
          <w:i/>
          <w:iCs/>
          <w:sz w:val="24"/>
          <w:szCs w:val="24"/>
        </w:rPr>
        <w:t>Journal of planning education and research</w:t>
      </w:r>
      <w:r w:rsidRPr="00116D17">
        <w:rPr>
          <w:rFonts w:ascii="Times New Roman" w:hAnsi="Times New Roman" w:cs="Times New Roman"/>
          <w:sz w:val="24"/>
          <w:szCs w:val="24"/>
        </w:rPr>
        <w:t>, </w:t>
      </w:r>
      <w:r w:rsidRPr="00116D17">
        <w:rPr>
          <w:rFonts w:ascii="Times New Roman" w:hAnsi="Times New Roman" w:cs="Times New Roman"/>
          <w:i/>
          <w:iCs/>
          <w:sz w:val="24"/>
          <w:szCs w:val="24"/>
        </w:rPr>
        <w:t>39</w:t>
      </w:r>
      <w:r w:rsidRPr="00116D17">
        <w:rPr>
          <w:rFonts w:ascii="Times New Roman" w:hAnsi="Times New Roman" w:cs="Times New Roman"/>
          <w:sz w:val="24"/>
          <w:szCs w:val="24"/>
        </w:rPr>
        <w:t>(1), pp.93-112.</w:t>
      </w:r>
    </w:p>
    <w:p w14:paraId="43F4F9EC" w14:textId="77777777" w:rsidR="009E1D59" w:rsidRPr="002E5AD7" w:rsidRDefault="009E1D59" w:rsidP="009E1D59">
      <w:pPr>
        <w:spacing w:line="480" w:lineRule="auto"/>
        <w:rPr>
          <w:rFonts w:ascii="Times New Roman" w:hAnsi="Times New Roman" w:cs="Times New Roman"/>
          <w:sz w:val="24"/>
          <w:szCs w:val="24"/>
        </w:rPr>
      </w:pPr>
    </w:p>
    <w:p w14:paraId="28249CEA" w14:textId="77777777" w:rsidR="009E1D59" w:rsidRPr="00615087" w:rsidRDefault="009E1D59" w:rsidP="009E1D59">
      <w:pPr>
        <w:spacing w:line="480" w:lineRule="auto"/>
        <w:rPr>
          <w:rFonts w:ascii="Times New Roman" w:hAnsi="Times New Roman" w:cs="Times New Roman"/>
          <w:sz w:val="24"/>
          <w:szCs w:val="24"/>
        </w:rPr>
      </w:pPr>
    </w:p>
    <w:p w14:paraId="1FA4901B" w14:textId="77777777" w:rsidR="009E1D59" w:rsidRPr="007C077A" w:rsidRDefault="009E1D59" w:rsidP="009E1D59">
      <w:pPr>
        <w:spacing w:line="480" w:lineRule="auto"/>
        <w:rPr>
          <w:rFonts w:ascii="Times New Roman" w:hAnsi="Times New Roman" w:cs="Times New Roman"/>
          <w:sz w:val="24"/>
          <w:szCs w:val="24"/>
        </w:rPr>
      </w:pPr>
    </w:p>
    <w:p w14:paraId="07392026" w14:textId="77777777" w:rsidR="009E1D59" w:rsidRDefault="009E1D59" w:rsidP="009E1D59">
      <w:pPr>
        <w:spacing w:line="480" w:lineRule="auto"/>
        <w:rPr>
          <w:rFonts w:ascii="Times New Roman" w:eastAsia="Times New Roman" w:hAnsi="Times New Roman"/>
          <w:sz w:val="24"/>
        </w:rPr>
      </w:pPr>
    </w:p>
    <w:p w14:paraId="3592F818" w14:textId="77777777" w:rsidR="009E1D59" w:rsidRPr="00B969C1" w:rsidRDefault="009E1D59" w:rsidP="009E1D59">
      <w:pPr>
        <w:spacing w:line="480" w:lineRule="auto"/>
        <w:rPr>
          <w:rFonts w:ascii="Times New Roman" w:hAnsi="Times New Roman" w:cs="Times New Roman"/>
          <w:sz w:val="24"/>
          <w:szCs w:val="24"/>
        </w:rPr>
      </w:pPr>
    </w:p>
    <w:p w14:paraId="62448396" w14:textId="77777777" w:rsidR="009E1D59" w:rsidRPr="00C70A8E" w:rsidRDefault="009E1D59" w:rsidP="009E1D59">
      <w:pPr>
        <w:spacing w:line="480" w:lineRule="auto"/>
        <w:rPr>
          <w:rFonts w:ascii="Times New Roman" w:hAnsi="Times New Roman" w:cs="Times New Roman"/>
          <w:sz w:val="24"/>
          <w:szCs w:val="24"/>
        </w:rPr>
      </w:pPr>
    </w:p>
    <w:p w14:paraId="79790DA5" w14:textId="77777777" w:rsidR="009E1D59" w:rsidRDefault="009E1D59" w:rsidP="009E1D59">
      <w:pPr>
        <w:sectPr w:rsidR="009E1D59">
          <w:pgSz w:w="12240" w:h="15840"/>
          <w:pgMar w:top="1440" w:right="1440" w:bottom="1440" w:left="1440" w:header="720" w:footer="720" w:gutter="0"/>
          <w:cols w:space="720"/>
          <w:docGrid w:linePitch="360"/>
        </w:sectPr>
      </w:pPr>
    </w:p>
    <w:p w14:paraId="340D7252" w14:textId="77777777" w:rsidR="009E1D59" w:rsidRPr="002B610D" w:rsidRDefault="009E1D59" w:rsidP="009E1D59">
      <w:pPr>
        <w:spacing w:afterLines="100" w:after="240" w:line="240" w:lineRule="atLeast"/>
        <w:rPr>
          <w:rFonts w:ascii="Arial" w:hAnsi="Arial" w:cs="Arial"/>
          <w:b/>
          <w:bCs/>
          <w:lang w:eastAsia="zh-CN"/>
        </w:rPr>
      </w:pPr>
      <w:r w:rsidRPr="002B610D">
        <w:rPr>
          <w:rFonts w:ascii="Arial" w:hAnsi="Arial" w:cs="Arial"/>
          <w:b/>
          <w:bCs/>
          <w:lang w:eastAsia="zh-CN"/>
        </w:rPr>
        <w:lastRenderedPageBreak/>
        <w:t xml:space="preserve">Excel </w:t>
      </w:r>
    </w:p>
    <w:tbl>
      <w:tblPr>
        <w:tblStyle w:val="a5"/>
        <w:tblW w:w="13603" w:type="dxa"/>
        <w:tblLayout w:type="fixed"/>
        <w:tblLook w:val="04A0" w:firstRow="1" w:lastRow="0" w:firstColumn="1" w:lastColumn="0" w:noHBand="0" w:noVBand="1"/>
      </w:tblPr>
      <w:tblGrid>
        <w:gridCol w:w="624"/>
        <w:gridCol w:w="680"/>
        <w:gridCol w:w="1134"/>
        <w:gridCol w:w="1649"/>
        <w:gridCol w:w="1713"/>
        <w:gridCol w:w="3106"/>
        <w:gridCol w:w="2288"/>
        <w:gridCol w:w="2409"/>
      </w:tblGrid>
      <w:tr w:rsidR="009E1D59" w:rsidRPr="002B610D" w14:paraId="0B52498F" w14:textId="77777777" w:rsidTr="00C24CA9">
        <w:trPr>
          <w:trHeight w:val="280"/>
        </w:trPr>
        <w:tc>
          <w:tcPr>
            <w:tcW w:w="624" w:type="dxa"/>
            <w:vAlign w:val="center"/>
          </w:tcPr>
          <w:p w14:paraId="02E7858A" w14:textId="77777777" w:rsidR="009E1D59" w:rsidRPr="002B610D" w:rsidRDefault="009E1D59" w:rsidP="00C24CA9">
            <w:pPr>
              <w:spacing w:after="0" w:line="200" w:lineRule="atLeast"/>
              <w:jc w:val="center"/>
              <w:rPr>
                <w:rFonts w:ascii="Arial" w:eastAsia="DengXian" w:hAnsi="Arial" w:cs="Arial"/>
                <w:sz w:val="20"/>
                <w:szCs w:val="20"/>
                <w:lang w:eastAsia="zh-CN"/>
              </w:rPr>
            </w:pPr>
            <w:r w:rsidRPr="002B610D">
              <w:rPr>
                <w:rFonts w:ascii="Arial" w:eastAsia="DengXian" w:hAnsi="Arial" w:cs="Arial"/>
                <w:sz w:val="20"/>
                <w:szCs w:val="20"/>
                <w:lang w:eastAsia="zh-CN"/>
              </w:rPr>
              <w:t>No.</w:t>
            </w:r>
          </w:p>
        </w:tc>
        <w:tc>
          <w:tcPr>
            <w:tcW w:w="680" w:type="dxa"/>
            <w:vAlign w:val="center"/>
          </w:tcPr>
          <w:p w14:paraId="06FAB922" w14:textId="77777777" w:rsidR="009E1D59" w:rsidRPr="002B610D" w:rsidRDefault="009E1D59" w:rsidP="00C24CA9">
            <w:pPr>
              <w:spacing w:after="0" w:line="200" w:lineRule="atLeast"/>
              <w:jc w:val="center"/>
              <w:rPr>
                <w:rFonts w:ascii="Arial" w:eastAsia="DengXian" w:hAnsi="Arial" w:cs="Arial"/>
                <w:sz w:val="20"/>
                <w:szCs w:val="20"/>
                <w:lang w:eastAsia="zh-CN"/>
              </w:rPr>
            </w:pPr>
            <w:r w:rsidRPr="002B610D">
              <w:rPr>
                <w:rFonts w:ascii="Arial" w:eastAsia="DengXian" w:hAnsi="Arial" w:cs="Arial"/>
                <w:sz w:val="20"/>
                <w:szCs w:val="20"/>
                <w:lang w:eastAsia="zh-CN"/>
              </w:rPr>
              <w:t>Year</w:t>
            </w:r>
          </w:p>
        </w:tc>
        <w:tc>
          <w:tcPr>
            <w:tcW w:w="1134" w:type="dxa"/>
            <w:noWrap/>
            <w:vAlign w:val="center"/>
            <w:hideMark/>
          </w:tcPr>
          <w:p w14:paraId="5B9CF118" w14:textId="77777777" w:rsidR="009E1D59" w:rsidRPr="002B610D" w:rsidRDefault="009E1D59" w:rsidP="00C24CA9">
            <w:pPr>
              <w:spacing w:after="0" w:line="200" w:lineRule="atLeast"/>
              <w:jc w:val="center"/>
              <w:rPr>
                <w:rFonts w:ascii="Arial" w:eastAsia="DengXian" w:hAnsi="Arial" w:cs="Arial"/>
                <w:sz w:val="20"/>
                <w:szCs w:val="20"/>
                <w:lang w:eastAsia="zh-CN"/>
              </w:rPr>
            </w:pPr>
            <w:r w:rsidRPr="002B610D">
              <w:rPr>
                <w:rFonts w:ascii="Arial" w:eastAsia="DengXian" w:hAnsi="Arial" w:cs="Arial"/>
                <w:sz w:val="20"/>
                <w:szCs w:val="20"/>
                <w:lang w:eastAsia="zh-CN"/>
              </w:rPr>
              <w:t>Author</w:t>
            </w:r>
          </w:p>
        </w:tc>
        <w:tc>
          <w:tcPr>
            <w:tcW w:w="1649" w:type="dxa"/>
            <w:noWrap/>
            <w:vAlign w:val="center"/>
          </w:tcPr>
          <w:p w14:paraId="2EDA08D7" w14:textId="77777777" w:rsidR="009E1D59" w:rsidRPr="00F90E3A" w:rsidRDefault="009E1D59" w:rsidP="00C24CA9">
            <w:pPr>
              <w:spacing w:after="0" w:line="200" w:lineRule="atLeast"/>
              <w:jc w:val="center"/>
              <w:rPr>
                <w:rFonts w:ascii="Arial" w:eastAsia="DengXian" w:hAnsi="Arial" w:cs="Arial"/>
                <w:sz w:val="20"/>
                <w:szCs w:val="20"/>
                <w:lang w:eastAsia="zh-CN"/>
              </w:rPr>
            </w:pPr>
            <w:r w:rsidRPr="00F90E3A">
              <w:rPr>
                <w:rFonts w:ascii="Arial" w:eastAsia="DengXian" w:hAnsi="Arial" w:cs="Arial" w:hint="eastAsia"/>
                <w:sz w:val="20"/>
                <w:szCs w:val="20"/>
                <w:lang w:eastAsia="zh-CN"/>
              </w:rPr>
              <w:t>Research question/ topic/problem</w:t>
            </w:r>
          </w:p>
        </w:tc>
        <w:tc>
          <w:tcPr>
            <w:tcW w:w="1713" w:type="dxa"/>
            <w:noWrap/>
            <w:vAlign w:val="center"/>
          </w:tcPr>
          <w:p w14:paraId="7D91F692" w14:textId="77777777" w:rsidR="009E1D59" w:rsidRPr="00F90E3A" w:rsidRDefault="009E1D59" w:rsidP="00C24CA9">
            <w:pPr>
              <w:spacing w:after="0" w:line="200" w:lineRule="atLeast"/>
              <w:jc w:val="center"/>
              <w:rPr>
                <w:rFonts w:ascii="Arial" w:eastAsia="DengXian" w:hAnsi="Arial" w:cs="Arial"/>
                <w:sz w:val="20"/>
                <w:szCs w:val="20"/>
                <w:lang w:eastAsia="zh-CN"/>
              </w:rPr>
            </w:pPr>
            <w:r w:rsidRPr="00F90E3A">
              <w:rPr>
                <w:rFonts w:ascii="Arial" w:eastAsia="DengXian" w:hAnsi="Arial" w:cs="Arial" w:hint="eastAsia"/>
                <w:sz w:val="20"/>
                <w:szCs w:val="20"/>
                <w:lang w:eastAsia="zh-CN"/>
              </w:rPr>
              <w:t>Contribution(s)</w:t>
            </w:r>
          </w:p>
        </w:tc>
        <w:tc>
          <w:tcPr>
            <w:tcW w:w="3106" w:type="dxa"/>
            <w:noWrap/>
            <w:vAlign w:val="center"/>
          </w:tcPr>
          <w:p w14:paraId="63AD3067" w14:textId="77777777" w:rsidR="009E1D59" w:rsidRPr="00F90E3A" w:rsidRDefault="009E1D59" w:rsidP="00C24CA9">
            <w:pPr>
              <w:spacing w:after="0" w:line="200" w:lineRule="atLeast"/>
              <w:jc w:val="center"/>
              <w:rPr>
                <w:rFonts w:ascii="Arial" w:eastAsia="DengXian" w:hAnsi="Arial" w:cs="Arial"/>
                <w:sz w:val="20"/>
                <w:szCs w:val="20"/>
                <w:lang w:eastAsia="zh-CN"/>
              </w:rPr>
            </w:pPr>
            <w:r w:rsidRPr="00F90E3A">
              <w:rPr>
                <w:rFonts w:ascii="Arial" w:eastAsia="DengXian" w:hAnsi="Arial" w:cs="Arial" w:hint="eastAsia"/>
                <w:sz w:val="20"/>
                <w:szCs w:val="20"/>
                <w:lang w:eastAsia="zh-CN"/>
              </w:rPr>
              <w:t>Method</w:t>
            </w:r>
          </w:p>
        </w:tc>
        <w:tc>
          <w:tcPr>
            <w:tcW w:w="2288" w:type="dxa"/>
            <w:noWrap/>
            <w:vAlign w:val="center"/>
          </w:tcPr>
          <w:p w14:paraId="0626D8E1" w14:textId="77777777" w:rsidR="009E1D59" w:rsidRPr="00F90E3A" w:rsidRDefault="009E1D59" w:rsidP="00C24CA9">
            <w:pPr>
              <w:spacing w:after="0" w:line="200" w:lineRule="atLeast"/>
              <w:jc w:val="center"/>
              <w:rPr>
                <w:rFonts w:ascii="Arial" w:eastAsia="DengXian" w:hAnsi="Arial" w:cs="Arial"/>
                <w:sz w:val="20"/>
                <w:szCs w:val="20"/>
                <w:lang w:eastAsia="zh-CN"/>
              </w:rPr>
            </w:pPr>
            <w:r w:rsidRPr="00F90E3A">
              <w:rPr>
                <w:rFonts w:ascii="Arial" w:eastAsia="DengXian" w:hAnsi="Arial" w:cs="Arial" w:hint="eastAsia"/>
                <w:sz w:val="20"/>
                <w:szCs w:val="20"/>
                <w:lang w:eastAsia="zh-CN"/>
              </w:rPr>
              <w:t>Why relevant/ problematic</w:t>
            </w:r>
          </w:p>
        </w:tc>
        <w:tc>
          <w:tcPr>
            <w:tcW w:w="2409" w:type="dxa"/>
            <w:noWrap/>
            <w:vAlign w:val="center"/>
          </w:tcPr>
          <w:p w14:paraId="1B5AF413" w14:textId="77777777" w:rsidR="009E1D59" w:rsidRPr="00F90E3A" w:rsidRDefault="009E1D59" w:rsidP="00C24CA9">
            <w:pPr>
              <w:spacing w:after="0" w:line="200" w:lineRule="atLeast"/>
              <w:jc w:val="center"/>
              <w:rPr>
                <w:rFonts w:ascii="Arial" w:eastAsia="DengXian" w:hAnsi="Arial" w:cs="Arial"/>
                <w:sz w:val="20"/>
                <w:szCs w:val="20"/>
                <w:lang w:eastAsia="zh-CN"/>
              </w:rPr>
            </w:pPr>
            <w:r w:rsidRPr="00F90E3A">
              <w:rPr>
                <w:rFonts w:ascii="Arial" w:eastAsia="DengXian" w:hAnsi="Arial" w:cs="Arial" w:hint="eastAsia"/>
                <w:sz w:val="20"/>
                <w:szCs w:val="20"/>
                <w:lang w:eastAsia="zh-CN"/>
              </w:rPr>
              <w:t>Notes</w:t>
            </w:r>
          </w:p>
        </w:tc>
      </w:tr>
      <w:tr w:rsidR="009E1D59" w:rsidRPr="002B610D" w14:paraId="06C1FC23" w14:textId="77777777" w:rsidTr="00C24CA9">
        <w:trPr>
          <w:trHeight w:val="280"/>
        </w:trPr>
        <w:tc>
          <w:tcPr>
            <w:tcW w:w="624" w:type="dxa"/>
            <w:vAlign w:val="center"/>
          </w:tcPr>
          <w:p w14:paraId="6EDC9F74"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1</w:t>
            </w:r>
          </w:p>
        </w:tc>
        <w:tc>
          <w:tcPr>
            <w:tcW w:w="680" w:type="dxa"/>
            <w:vAlign w:val="center"/>
          </w:tcPr>
          <w:p w14:paraId="20DE214D"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2025</w:t>
            </w:r>
          </w:p>
        </w:tc>
        <w:tc>
          <w:tcPr>
            <w:tcW w:w="1134" w:type="dxa"/>
            <w:noWrap/>
            <w:vAlign w:val="center"/>
            <w:hideMark/>
          </w:tcPr>
          <w:p w14:paraId="04B039B4"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 xml:space="preserve">Bednarski et al. </w:t>
            </w:r>
          </w:p>
        </w:tc>
        <w:tc>
          <w:tcPr>
            <w:tcW w:w="1649" w:type="dxa"/>
            <w:noWrap/>
            <w:vAlign w:val="center"/>
          </w:tcPr>
          <w:p w14:paraId="77A260BD"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To what extent does the geopolitics impact the supply chain design, implementation and control?</w:t>
            </w:r>
          </w:p>
        </w:tc>
        <w:tc>
          <w:tcPr>
            <w:tcW w:w="1713" w:type="dxa"/>
            <w:noWrap/>
            <w:vAlign w:val="center"/>
          </w:tcPr>
          <w:p w14:paraId="2B663543"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Provides a comprehensive review of the existing literature on geopolitical disruptions in supply chains.</w:t>
            </w:r>
          </w:p>
        </w:tc>
        <w:tc>
          <w:tcPr>
            <w:tcW w:w="3106" w:type="dxa"/>
            <w:noWrap/>
            <w:vAlign w:val="center"/>
          </w:tcPr>
          <w:p w14:paraId="0B1615E6"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Systematic literature review, analysis of academic journals in operations, production, and supply chain management. Key concepts: geopolitical disruptions, supply chain resilience, risk management.</w:t>
            </w:r>
          </w:p>
        </w:tc>
        <w:tc>
          <w:tcPr>
            <w:tcW w:w="2288" w:type="dxa"/>
            <w:noWrap/>
            <w:vAlign w:val="center"/>
          </w:tcPr>
          <w:p w14:paraId="6952C1C3"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Addresses a critical and increasingly important issue in global supply chain management.</w:t>
            </w:r>
          </w:p>
        </w:tc>
        <w:tc>
          <w:tcPr>
            <w:tcW w:w="2409" w:type="dxa"/>
            <w:noWrap/>
            <w:vAlign w:val="center"/>
          </w:tcPr>
          <w:p w14:paraId="26E0524C"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Focuses on academic research, providing a theoretical foundation. highlights the need for supply chain redesign, including regionalization and the adoption of new technologies.</w:t>
            </w:r>
          </w:p>
        </w:tc>
      </w:tr>
      <w:tr w:rsidR="009E1D59" w:rsidRPr="002B610D" w14:paraId="0BD3A40B" w14:textId="77777777" w:rsidTr="00C24CA9">
        <w:trPr>
          <w:trHeight w:val="280"/>
        </w:trPr>
        <w:tc>
          <w:tcPr>
            <w:tcW w:w="624" w:type="dxa"/>
            <w:vAlign w:val="center"/>
          </w:tcPr>
          <w:p w14:paraId="5AF28BFA"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2</w:t>
            </w:r>
          </w:p>
        </w:tc>
        <w:tc>
          <w:tcPr>
            <w:tcW w:w="680" w:type="dxa"/>
            <w:vAlign w:val="center"/>
          </w:tcPr>
          <w:p w14:paraId="25F0D7AE"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2024</w:t>
            </w:r>
          </w:p>
        </w:tc>
        <w:tc>
          <w:tcPr>
            <w:tcW w:w="1134" w:type="dxa"/>
            <w:noWrap/>
            <w:vAlign w:val="center"/>
            <w:hideMark/>
          </w:tcPr>
          <w:p w14:paraId="238EEA3B"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 xml:space="preserve">Canwat </w:t>
            </w:r>
          </w:p>
        </w:tc>
        <w:tc>
          <w:tcPr>
            <w:tcW w:w="1649" w:type="dxa"/>
            <w:noWrap/>
            <w:vAlign w:val="center"/>
          </w:tcPr>
          <w:p w14:paraId="3CBC9FDE"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How did COVID-19-related disruptions affect the resilience and vulnerability of MSMEs?</w:t>
            </w:r>
          </w:p>
        </w:tc>
        <w:tc>
          <w:tcPr>
            <w:tcW w:w="1713" w:type="dxa"/>
            <w:noWrap/>
            <w:vAlign w:val="center"/>
          </w:tcPr>
          <w:p w14:paraId="2B4DD799"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Examines the resilience and vulnerabilities of this crucial sector</w:t>
            </w:r>
          </w:p>
        </w:tc>
        <w:tc>
          <w:tcPr>
            <w:tcW w:w="3106" w:type="dxa"/>
            <w:noWrap/>
            <w:vAlign w:val="center"/>
          </w:tcPr>
          <w:p w14:paraId="6454DB27"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Involves qualitative and quantitative analysis of MSME responses to the pandemic, Key concepts: supply chain resilience, MSME vulnerability, COVID-19 impact.</w:t>
            </w:r>
          </w:p>
        </w:tc>
        <w:tc>
          <w:tcPr>
            <w:tcW w:w="2288" w:type="dxa"/>
            <w:noWrap/>
            <w:vAlign w:val="center"/>
          </w:tcPr>
          <w:p w14:paraId="26684774"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MSMEs are a vital part of the global economy, and their resilience is crucial</w:t>
            </w:r>
          </w:p>
        </w:tc>
        <w:tc>
          <w:tcPr>
            <w:tcW w:w="2409" w:type="dxa"/>
            <w:noWrap/>
            <w:vAlign w:val="center"/>
          </w:tcPr>
          <w:p w14:paraId="0989F048"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Concentrates on the practical impact of the pandemic on a specific sector.</w:t>
            </w:r>
          </w:p>
        </w:tc>
      </w:tr>
      <w:tr w:rsidR="009E1D59" w:rsidRPr="002B610D" w14:paraId="7DC2E74A" w14:textId="77777777" w:rsidTr="00C24CA9">
        <w:trPr>
          <w:trHeight w:val="280"/>
        </w:trPr>
        <w:tc>
          <w:tcPr>
            <w:tcW w:w="624" w:type="dxa"/>
            <w:vAlign w:val="center"/>
          </w:tcPr>
          <w:p w14:paraId="51490214"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3</w:t>
            </w:r>
          </w:p>
        </w:tc>
        <w:tc>
          <w:tcPr>
            <w:tcW w:w="680" w:type="dxa"/>
            <w:vAlign w:val="center"/>
          </w:tcPr>
          <w:p w14:paraId="78E18910"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2023</w:t>
            </w:r>
          </w:p>
        </w:tc>
        <w:tc>
          <w:tcPr>
            <w:tcW w:w="1134" w:type="dxa"/>
            <w:noWrap/>
            <w:vAlign w:val="center"/>
            <w:hideMark/>
          </w:tcPr>
          <w:p w14:paraId="7F5415CE"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 xml:space="preserve">Harapko </w:t>
            </w:r>
          </w:p>
        </w:tc>
        <w:tc>
          <w:tcPr>
            <w:tcW w:w="1649" w:type="dxa"/>
            <w:noWrap/>
            <w:vAlign w:val="center"/>
          </w:tcPr>
          <w:p w14:paraId="57D58EB9"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What were the key impacts of COVID-19 on supply chains, and what are the future implications?</w:t>
            </w:r>
          </w:p>
        </w:tc>
        <w:tc>
          <w:tcPr>
            <w:tcW w:w="1713" w:type="dxa"/>
            <w:noWrap/>
            <w:vAlign w:val="center"/>
          </w:tcPr>
          <w:p w14:paraId="36D13808"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rovides practical, industry-focused insights from a major consulting firm.</w:t>
            </w:r>
          </w:p>
        </w:tc>
        <w:tc>
          <w:tcPr>
            <w:tcW w:w="3106" w:type="dxa"/>
            <w:noWrap/>
            <w:vAlign w:val="center"/>
          </w:tcPr>
          <w:p w14:paraId="135F692B"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Survey, Key concepts: supply chain disruption, pandemic impact, future supply chain trends.</w:t>
            </w:r>
          </w:p>
        </w:tc>
        <w:tc>
          <w:tcPr>
            <w:tcW w:w="2288" w:type="dxa"/>
            <w:noWrap/>
            <w:vAlign w:val="center"/>
          </w:tcPr>
          <w:p w14:paraId="4E525D6E"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Offers real-world, actionable insights.</w:t>
            </w:r>
          </w:p>
        </w:tc>
        <w:tc>
          <w:tcPr>
            <w:tcW w:w="2409" w:type="dxa"/>
            <w:noWrap/>
            <w:vAlign w:val="center"/>
          </w:tcPr>
          <w:p w14:paraId="48D71163"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Offers a practioner perspective</w:t>
            </w:r>
          </w:p>
        </w:tc>
      </w:tr>
      <w:tr w:rsidR="009E1D59" w:rsidRPr="002B610D" w14:paraId="4C033138" w14:textId="77777777" w:rsidTr="00C24CA9">
        <w:trPr>
          <w:trHeight w:val="280"/>
        </w:trPr>
        <w:tc>
          <w:tcPr>
            <w:tcW w:w="624" w:type="dxa"/>
            <w:vAlign w:val="center"/>
          </w:tcPr>
          <w:p w14:paraId="39300A67"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4</w:t>
            </w:r>
          </w:p>
        </w:tc>
        <w:tc>
          <w:tcPr>
            <w:tcW w:w="680" w:type="dxa"/>
            <w:vAlign w:val="center"/>
          </w:tcPr>
          <w:p w14:paraId="030BE976"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2022</w:t>
            </w:r>
          </w:p>
        </w:tc>
        <w:tc>
          <w:tcPr>
            <w:tcW w:w="1134" w:type="dxa"/>
            <w:noWrap/>
            <w:vAlign w:val="center"/>
            <w:hideMark/>
          </w:tcPr>
          <w:p w14:paraId="7B0817C0" w14:textId="77777777" w:rsidR="009E1D59" w:rsidRPr="002B610D" w:rsidRDefault="009E1D59" w:rsidP="00C24CA9">
            <w:pPr>
              <w:spacing w:after="0" w:line="200" w:lineRule="atLeast"/>
              <w:jc w:val="both"/>
              <w:rPr>
                <w:rFonts w:ascii="Arial" w:eastAsia="DengXian" w:hAnsi="Arial" w:cs="Arial"/>
                <w:sz w:val="20"/>
                <w:szCs w:val="20"/>
                <w:lang w:eastAsia="zh-CN"/>
              </w:rPr>
            </w:pPr>
            <w:r w:rsidRPr="002B610D">
              <w:rPr>
                <w:rFonts w:ascii="Arial" w:eastAsia="DengXian" w:hAnsi="Arial" w:cs="Arial"/>
                <w:sz w:val="20"/>
                <w:szCs w:val="20"/>
                <w:lang w:eastAsia="zh-CN"/>
              </w:rPr>
              <w:t xml:space="preserve">World Economic Forum </w:t>
            </w:r>
          </w:p>
        </w:tc>
        <w:tc>
          <w:tcPr>
            <w:tcW w:w="1649" w:type="dxa"/>
            <w:noWrap/>
            <w:vAlign w:val="center"/>
          </w:tcPr>
          <w:p w14:paraId="00841053"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What are the major ways in which the COVID-19 pandemic has reshaped supply chains?</w:t>
            </w:r>
          </w:p>
        </w:tc>
        <w:tc>
          <w:tcPr>
            <w:tcW w:w="1713" w:type="dxa"/>
            <w:noWrap/>
            <w:vAlign w:val="center"/>
          </w:tcPr>
          <w:p w14:paraId="6572F606"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Offers accessible insights from a global perspective.</w:t>
            </w:r>
          </w:p>
        </w:tc>
        <w:tc>
          <w:tcPr>
            <w:tcW w:w="3106" w:type="dxa"/>
            <w:noWrap/>
            <w:vAlign w:val="center"/>
          </w:tcPr>
          <w:p w14:paraId="06553507"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Analysis of global trends, expert opinions, and summaries of key developments.Key concepts: supply chain transformation, pandemic impact, global supply chains.</w:t>
            </w:r>
          </w:p>
        </w:tc>
        <w:tc>
          <w:tcPr>
            <w:tcW w:w="2288" w:type="dxa"/>
            <w:noWrap/>
            <w:vAlign w:val="center"/>
          </w:tcPr>
          <w:p w14:paraId="0DDFFB41"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due to it's nature, it is a very high level view, and lacks deep dive analysis.</w:t>
            </w:r>
          </w:p>
        </w:tc>
        <w:tc>
          <w:tcPr>
            <w:tcW w:w="2409" w:type="dxa"/>
            <w:noWrap/>
            <w:vAlign w:val="center"/>
          </w:tcPr>
          <w:p w14:paraId="64B69872" w14:textId="77777777" w:rsidR="009E1D59" w:rsidRPr="00F90E3A" w:rsidRDefault="009E1D59" w:rsidP="00C24CA9">
            <w:pPr>
              <w:spacing w:after="0" w:line="200" w:lineRule="atLeast"/>
              <w:jc w:val="both"/>
              <w:rPr>
                <w:rFonts w:ascii="Arial" w:eastAsia="DengXian" w:hAnsi="Arial" w:cs="Arial"/>
                <w:sz w:val="20"/>
                <w:szCs w:val="20"/>
                <w:lang w:eastAsia="zh-CN"/>
              </w:rPr>
            </w:pPr>
            <w:r w:rsidRPr="00F90E3A">
              <w:rPr>
                <w:rFonts w:ascii="DengXian" w:eastAsia="DengXian" w:hAnsi="DengXian" w:hint="eastAsia"/>
              </w:rPr>
              <w:t>Provides a broad, global perspective</w:t>
            </w:r>
          </w:p>
        </w:tc>
      </w:tr>
    </w:tbl>
    <w:p w14:paraId="31840916" w14:textId="77777777" w:rsidR="009E1D59" w:rsidRPr="00AB786F" w:rsidRDefault="009E1D59" w:rsidP="009E1D59"/>
    <w:p w14:paraId="52899ABA" w14:textId="77777777" w:rsidR="0058536D" w:rsidRPr="009E1D59" w:rsidRDefault="0058536D" w:rsidP="009E1D59"/>
    <w:sectPr w:rsidR="0058536D" w:rsidRPr="009E1D59" w:rsidSect="005C2528">
      <w:pgSz w:w="15840" w:h="12240" w:orient="landscape"/>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A30F2C"/>
    <w:multiLevelType w:val="hybridMultilevel"/>
    <w:tmpl w:val="760C46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oNotDisplayPageBoundaries/>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36D"/>
    <w:rsid w:val="0058536D"/>
    <w:rsid w:val="009E1D59"/>
    <w:rsid w:val="00AB786F"/>
    <w:rsid w:val="00DE7D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D7E9F4F"/>
  <w15:chartTrackingRefBased/>
  <w15:docId w15:val="{2C559DDE-68A4-0F4D-8CAE-B396889A6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8536D"/>
    <w:pPr>
      <w:spacing w:after="160" w:line="259" w:lineRule="auto"/>
    </w:pPr>
    <w:rPr>
      <w:kern w:val="0"/>
      <w:sz w:val="22"/>
      <w:szCs w:val="22"/>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8536D"/>
    <w:pPr>
      <w:ind w:left="720"/>
      <w:contextualSpacing/>
    </w:pPr>
  </w:style>
  <w:style w:type="character" w:styleId="a4">
    <w:name w:val="Hyperlink"/>
    <w:basedOn w:val="a0"/>
    <w:uiPriority w:val="99"/>
    <w:unhideWhenUsed/>
    <w:rsid w:val="00AB786F"/>
    <w:rPr>
      <w:color w:val="0563C1" w:themeColor="hyperlink"/>
      <w:u w:val="single"/>
    </w:rPr>
  </w:style>
  <w:style w:type="table" w:styleId="a5">
    <w:name w:val="Grid Table Light"/>
    <w:basedOn w:val="a1"/>
    <w:uiPriority w:val="40"/>
    <w:rsid w:val="009E1D5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eforum.org/stories/2022/01/5-ways-the-covid-19-pandemic-has-changed-the-supply-chain/" TargetMode="External"/><Relationship Id="rId5" Type="http://schemas.openxmlformats.org/officeDocument/2006/relationships/hyperlink" Target="https://www.ey.com/en_us/insights/supply-chain/how-covid-19-impacted-supply-chains-and-what-comes-next"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1706</Words>
  <Characters>9728</Characters>
  <Application>Microsoft Office Word</Application>
  <DocSecurity>0</DocSecurity>
  <Lines>81</Lines>
  <Paragraphs>22</Paragraphs>
  <ScaleCrop>false</ScaleCrop>
  <Company/>
  <LinksUpToDate>false</LinksUpToDate>
  <CharactersWithSpaces>11412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Xianghan Zhou (2408612)</dc:creator>
  <cp:keywords/>
  <dc:description/>
  <cp:lastModifiedBy>Xianghan Zhou (2408612)</cp:lastModifiedBy>
  <cp:revision>4</cp:revision>
  <dcterms:created xsi:type="dcterms:W3CDTF">2025-03-07T10:43:00Z</dcterms:created>
  <dcterms:modified xsi:type="dcterms:W3CDTF">2025-03-19T20:06:00Z</dcterms:modified>
</cp:coreProperties>
</file>