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2AB4E" w14:textId="14972447" w:rsidR="00260D19" w:rsidRDefault="00314AA3">
      <w:r>
        <w:rPr>
          <w:noProof/>
        </w:rPr>
        <w:drawing>
          <wp:inline distT="0" distB="0" distL="0" distR="0" wp14:anchorId="0557802D" wp14:editId="34355352">
            <wp:extent cx="2811780" cy="1428750"/>
            <wp:effectExtent l="0" t="0" r="7620" b="0"/>
            <wp:docPr id="744666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666" name="Picture 1" descr="A close-up of a sign&#10;&#10;AI-generated content may be incorrect."/>
                    <pic:cNvPicPr/>
                  </pic:nvPicPr>
                  <pic:blipFill rotWithShape="1">
                    <a:blip r:embed="rId11">
                      <a:extLst>
                        <a:ext uri="{28A0092B-C50C-407E-A947-70E740481C1C}">
                          <a14:useLocalDpi xmlns:a14="http://schemas.microsoft.com/office/drawing/2010/main" val="0"/>
                        </a:ext>
                      </a:extLst>
                    </a:blip>
                    <a:srcRect l="-1" r="1862"/>
                    <a:stretch>
                      <a:fillRect/>
                    </a:stretch>
                  </pic:blipFill>
                  <pic:spPr bwMode="auto">
                    <a:xfrm>
                      <a:off x="0" y="0"/>
                      <a:ext cx="2812172" cy="1428949"/>
                    </a:xfrm>
                    <a:prstGeom prst="rect">
                      <a:avLst/>
                    </a:prstGeom>
                    <a:ln>
                      <a:noFill/>
                    </a:ln>
                    <a:extLst>
                      <a:ext uri="{53640926-AAD7-44D8-BBD7-CCE9431645EC}">
                        <a14:shadowObscured xmlns:a14="http://schemas.microsoft.com/office/drawing/2010/main"/>
                      </a:ext>
                    </a:extLst>
                  </pic:spPr>
                </pic:pic>
              </a:graphicData>
            </a:graphic>
          </wp:inline>
        </w:drawing>
      </w:r>
    </w:p>
    <w:p w14:paraId="75285ECE" w14:textId="77777777" w:rsidR="0071464C" w:rsidRDefault="0071464C" w:rsidP="0094230E">
      <w:pPr>
        <w:rPr>
          <w:rFonts w:ascii="Arial" w:hAnsi="Arial" w:cs="Arial"/>
          <w:sz w:val="24"/>
          <w:szCs w:val="24"/>
        </w:rPr>
      </w:pPr>
    </w:p>
    <w:p w14:paraId="69E53A4E" w14:textId="77777777" w:rsidR="0071464C" w:rsidRDefault="0071464C" w:rsidP="0094230E">
      <w:pPr>
        <w:rPr>
          <w:rFonts w:ascii="Arial" w:hAnsi="Arial" w:cs="Arial"/>
          <w:sz w:val="24"/>
          <w:szCs w:val="24"/>
        </w:rPr>
      </w:pPr>
    </w:p>
    <w:p w14:paraId="2A3DAF4B" w14:textId="075FAD08" w:rsidR="0094230E" w:rsidRDefault="0094230E" w:rsidP="0094230E">
      <w:pPr>
        <w:rPr>
          <w:rFonts w:ascii="Arial" w:hAnsi="Arial" w:cs="Arial"/>
          <w:sz w:val="24"/>
          <w:szCs w:val="24"/>
        </w:rPr>
      </w:pPr>
      <w:r w:rsidRPr="00197F4D">
        <w:rPr>
          <w:rFonts w:ascii="Arial" w:hAnsi="Arial" w:cs="Arial"/>
          <w:sz w:val="24"/>
          <w:szCs w:val="24"/>
        </w:rPr>
        <w:t>M</w:t>
      </w:r>
      <w:r>
        <w:rPr>
          <w:rFonts w:ascii="Arial" w:hAnsi="Arial" w:cs="Arial"/>
          <w:sz w:val="24"/>
          <w:szCs w:val="24"/>
        </w:rPr>
        <w:t xml:space="preserve">odule name: </w:t>
      </w:r>
      <w:r w:rsidR="00CB7232" w:rsidRPr="00CB7232">
        <w:rPr>
          <w:rFonts w:ascii="Arial" w:hAnsi="Arial" w:cs="Arial"/>
          <w:sz w:val="24"/>
          <w:szCs w:val="24"/>
        </w:rPr>
        <w:t>Understanding and Engaging Stakeholders</w:t>
      </w:r>
    </w:p>
    <w:p w14:paraId="7CA5A338" w14:textId="76A7620C" w:rsidR="004879F5" w:rsidRDefault="004879F5" w:rsidP="0094230E">
      <w:pPr>
        <w:rPr>
          <w:rFonts w:ascii="Arial" w:hAnsi="Arial" w:cs="Arial"/>
          <w:sz w:val="24"/>
          <w:szCs w:val="24"/>
        </w:rPr>
      </w:pPr>
      <w:r>
        <w:rPr>
          <w:rFonts w:ascii="Arial" w:hAnsi="Arial" w:cs="Arial"/>
          <w:sz w:val="24"/>
          <w:szCs w:val="24"/>
        </w:rPr>
        <w:t xml:space="preserve">Module </w:t>
      </w:r>
      <w:r w:rsidR="00497388">
        <w:rPr>
          <w:rFonts w:ascii="Arial" w:hAnsi="Arial" w:cs="Arial"/>
          <w:sz w:val="24"/>
          <w:szCs w:val="24"/>
        </w:rPr>
        <w:t>code: LCLM500</w:t>
      </w:r>
      <w:r w:rsidR="00D119CF">
        <w:rPr>
          <w:rFonts w:ascii="Arial" w:hAnsi="Arial" w:cs="Arial"/>
          <w:sz w:val="24"/>
          <w:szCs w:val="24"/>
        </w:rPr>
        <w:t>1</w:t>
      </w:r>
    </w:p>
    <w:p w14:paraId="1B7A96E8" w14:textId="699E656B" w:rsidR="0094230E" w:rsidRDefault="0094230E" w:rsidP="0094230E">
      <w:pPr>
        <w:rPr>
          <w:rFonts w:ascii="Arial" w:hAnsi="Arial" w:cs="Arial"/>
          <w:sz w:val="24"/>
          <w:szCs w:val="24"/>
        </w:rPr>
      </w:pPr>
      <w:r>
        <w:rPr>
          <w:rFonts w:ascii="Arial" w:hAnsi="Arial" w:cs="Arial"/>
          <w:sz w:val="24"/>
          <w:szCs w:val="24"/>
        </w:rPr>
        <w:t>Student name: Alexandru Florin Paun</w:t>
      </w:r>
    </w:p>
    <w:p w14:paraId="48FC00C5" w14:textId="77777777" w:rsidR="0094230E" w:rsidRDefault="0094230E" w:rsidP="0094230E">
      <w:pPr>
        <w:rPr>
          <w:rFonts w:ascii="Arial" w:hAnsi="Arial" w:cs="Arial"/>
          <w:sz w:val="24"/>
          <w:szCs w:val="24"/>
        </w:rPr>
      </w:pPr>
      <w:r>
        <w:rPr>
          <w:rFonts w:ascii="Arial" w:hAnsi="Arial" w:cs="Arial"/>
          <w:sz w:val="24"/>
          <w:szCs w:val="24"/>
        </w:rPr>
        <w:t>Student ID: 2411677</w:t>
      </w:r>
    </w:p>
    <w:p w14:paraId="27456C2E" w14:textId="0A857FB9" w:rsidR="00314AA3" w:rsidRDefault="0094230E" w:rsidP="0094230E">
      <w:r>
        <w:rPr>
          <w:rFonts w:ascii="Arial" w:hAnsi="Arial" w:cs="Arial"/>
          <w:sz w:val="24"/>
          <w:szCs w:val="24"/>
        </w:rPr>
        <w:t>Lecturer name:</w:t>
      </w:r>
      <w:r w:rsidR="0071464C" w:rsidRPr="0071464C">
        <w:rPr>
          <w:rFonts w:ascii="Source Sans Pro" w:hAnsi="Source Sans Pro"/>
          <w:color w:val="242130"/>
          <w:sz w:val="21"/>
          <w:szCs w:val="21"/>
          <w:shd w:val="clear" w:color="auto" w:fill="FFFFFF"/>
        </w:rPr>
        <w:t xml:space="preserve"> </w:t>
      </w:r>
      <w:r w:rsidR="0071464C" w:rsidRPr="0071464C">
        <w:rPr>
          <w:rFonts w:ascii="Arial" w:hAnsi="Arial" w:cs="Arial"/>
          <w:sz w:val="24"/>
          <w:szCs w:val="24"/>
        </w:rPr>
        <w:t>Nadeem Mirza</w:t>
      </w:r>
    </w:p>
    <w:p w14:paraId="0698093D" w14:textId="77777777" w:rsidR="00314AA3" w:rsidRDefault="00314AA3"/>
    <w:p w14:paraId="54023F60" w14:textId="77777777" w:rsidR="00314AA3" w:rsidRDefault="00314AA3"/>
    <w:p w14:paraId="2E19F7FB" w14:textId="77777777" w:rsidR="001E118E" w:rsidRDefault="001E118E"/>
    <w:p w14:paraId="2085E4F5" w14:textId="77777777" w:rsidR="001E118E" w:rsidRDefault="001E118E"/>
    <w:p w14:paraId="538460DA" w14:textId="77777777" w:rsidR="001E118E" w:rsidRDefault="001E118E"/>
    <w:p w14:paraId="293366CE" w14:textId="77777777" w:rsidR="001E118E" w:rsidRDefault="001E118E"/>
    <w:sdt>
      <w:sdtPr>
        <w:id w:val="-15190805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AABFED" w14:textId="5F36C1EC" w:rsidR="009654E1" w:rsidRDefault="009654E1">
          <w:pPr>
            <w:pStyle w:val="TOCHeading"/>
          </w:pPr>
          <w:r>
            <w:t>Contents</w:t>
          </w:r>
        </w:p>
        <w:p w14:paraId="59068C14" w14:textId="18BDA461" w:rsidR="009654E1" w:rsidRDefault="009654E1">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7020545" w:history="1">
            <w:r w:rsidRPr="003D6A3C">
              <w:rPr>
                <w:rStyle w:val="Hyperlink"/>
                <w:noProof/>
              </w:rPr>
              <w:t>Introduction</w:t>
            </w:r>
            <w:r>
              <w:rPr>
                <w:noProof/>
                <w:webHidden/>
              </w:rPr>
              <w:tab/>
            </w:r>
            <w:r>
              <w:rPr>
                <w:noProof/>
                <w:webHidden/>
              </w:rPr>
              <w:fldChar w:fldCharType="begin"/>
            </w:r>
            <w:r>
              <w:rPr>
                <w:noProof/>
                <w:webHidden/>
              </w:rPr>
              <w:instrText xml:space="preserve"> PAGEREF _Toc217020545 \h </w:instrText>
            </w:r>
            <w:r>
              <w:rPr>
                <w:noProof/>
                <w:webHidden/>
              </w:rPr>
            </w:r>
            <w:r>
              <w:rPr>
                <w:noProof/>
                <w:webHidden/>
              </w:rPr>
              <w:fldChar w:fldCharType="separate"/>
            </w:r>
            <w:r>
              <w:rPr>
                <w:noProof/>
                <w:webHidden/>
              </w:rPr>
              <w:t>2</w:t>
            </w:r>
            <w:r>
              <w:rPr>
                <w:noProof/>
                <w:webHidden/>
              </w:rPr>
              <w:fldChar w:fldCharType="end"/>
            </w:r>
          </w:hyperlink>
        </w:p>
        <w:p w14:paraId="6B38D1CD" w14:textId="4E1EFDEA"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46" w:history="1">
            <w:r w:rsidRPr="003D6A3C">
              <w:rPr>
                <w:rStyle w:val="Hyperlink"/>
                <w:noProof/>
              </w:rPr>
              <w:t>Company appraisal using strategic planning tools</w:t>
            </w:r>
            <w:r>
              <w:rPr>
                <w:noProof/>
                <w:webHidden/>
              </w:rPr>
              <w:tab/>
            </w:r>
            <w:r>
              <w:rPr>
                <w:noProof/>
                <w:webHidden/>
              </w:rPr>
              <w:fldChar w:fldCharType="begin"/>
            </w:r>
            <w:r>
              <w:rPr>
                <w:noProof/>
                <w:webHidden/>
              </w:rPr>
              <w:instrText xml:space="preserve"> PAGEREF _Toc217020546 \h </w:instrText>
            </w:r>
            <w:r>
              <w:rPr>
                <w:noProof/>
                <w:webHidden/>
              </w:rPr>
            </w:r>
            <w:r>
              <w:rPr>
                <w:noProof/>
                <w:webHidden/>
              </w:rPr>
              <w:fldChar w:fldCharType="separate"/>
            </w:r>
            <w:r>
              <w:rPr>
                <w:noProof/>
                <w:webHidden/>
              </w:rPr>
              <w:t>3</w:t>
            </w:r>
            <w:r>
              <w:rPr>
                <w:noProof/>
                <w:webHidden/>
              </w:rPr>
              <w:fldChar w:fldCharType="end"/>
            </w:r>
          </w:hyperlink>
        </w:p>
        <w:p w14:paraId="7DD58CF2" w14:textId="11F922CF"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47" w:history="1">
            <w:r w:rsidRPr="003D6A3C">
              <w:rPr>
                <w:rStyle w:val="Hyperlink"/>
                <w:noProof/>
              </w:rPr>
              <w:t>PESTLE Analysis</w:t>
            </w:r>
            <w:r>
              <w:rPr>
                <w:noProof/>
                <w:webHidden/>
              </w:rPr>
              <w:tab/>
            </w:r>
            <w:r>
              <w:rPr>
                <w:noProof/>
                <w:webHidden/>
              </w:rPr>
              <w:fldChar w:fldCharType="begin"/>
            </w:r>
            <w:r>
              <w:rPr>
                <w:noProof/>
                <w:webHidden/>
              </w:rPr>
              <w:instrText xml:space="preserve"> PAGEREF _Toc217020547 \h </w:instrText>
            </w:r>
            <w:r>
              <w:rPr>
                <w:noProof/>
                <w:webHidden/>
              </w:rPr>
            </w:r>
            <w:r>
              <w:rPr>
                <w:noProof/>
                <w:webHidden/>
              </w:rPr>
              <w:fldChar w:fldCharType="separate"/>
            </w:r>
            <w:r>
              <w:rPr>
                <w:noProof/>
                <w:webHidden/>
              </w:rPr>
              <w:t>4</w:t>
            </w:r>
            <w:r>
              <w:rPr>
                <w:noProof/>
                <w:webHidden/>
              </w:rPr>
              <w:fldChar w:fldCharType="end"/>
            </w:r>
          </w:hyperlink>
        </w:p>
        <w:p w14:paraId="048D1A47" w14:textId="62500E86"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48" w:history="1">
            <w:r w:rsidRPr="003D6A3C">
              <w:rPr>
                <w:rStyle w:val="Hyperlink"/>
                <w:noProof/>
              </w:rPr>
              <w:t>Smart Objectives</w:t>
            </w:r>
            <w:r>
              <w:rPr>
                <w:noProof/>
                <w:webHidden/>
              </w:rPr>
              <w:tab/>
            </w:r>
            <w:r>
              <w:rPr>
                <w:noProof/>
                <w:webHidden/>
              </w:rPr>
              <w:fldChar w:fldCharType="begin"/>
            </w:r>
            <w:r>
              <w:rPr>
                <w:noProof/>
                <w:webHidden/>
              </w:rPr>
              <w:instrText xml:space="preserve"> PAGEREF _Toc217020548 \h </w:instrText>
            </w:r>
            <w:r>
              <w:rPr>
                <w:noProof/>
                <w:webHidden/>
              </w:rPr>
            </w:r>
            <w:r>
              <w:rPr>
                <w:noProof/>
                <w:webHidden/>
              </w:rPr>
              <w:fldChar w:fldCharType="separate"/>
            </w:r>
            <w:r>
              <w:rPr>
                <w:noProof/>
                <w:webHidden/>
              </w:rPr>
              <w:t>5</w:t>
            </w:r>
            <w:r>
              <w:rPr>
                <w:noProof/>
                <w:webHidden/>
              </w:rPr>
              <w:fldChar w:fldCharType="end"/>
            </w:r>
          </w:hyperlink>
        </w:p>
        <w:p w14:paraId="3435BABC" w14:textId="18E3B9BD"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49" w:history="1">
            <w:r w:rsidRPr="003D6A3C">
              <w:rPr>
                <w:rStyle w:val="Hyperlink"/>
                <w:noProof/>
              </w:rPr>
              <w:t>Key Internal and External Stakeholders</w:t>
            </w:r>
            <w:r>
              <w:rPr>
                <w:noProof/>
                <w:webHidden/>
              </w:rPr>
              <w:tab/>
            </w:r>
            <w:r>
              <w:rPr>
                <w:noProof/>
                <w:webHidden/>
              </w:rPr>
              <w:fldChar w:fldCharType="begin"/>
            </w:r>
            <w:r>
              <w:rPr>
                <w:noProof/>
                <w:webHidden/>
              </w:rPr>
              <w:instrText xml:space="preserve"> PAGEREF _Toc217020549 \h </w:instrText>
            </w:r>
            <w:r>
              <w:rPr>
                <w:noProof/>
                <w:webHidden/>
              </w:rPr>
            </w:r>
            <w:r>
              <w:rPr>
                <w:noProof/>
                <w:webHidden/>
              </w:rPr>
              <w:fldChar w:fldCharType="separate"/>
            </w:r>
            <w:r>
              <w:rPr>
                <w:noProof/>
                <w:webHidden/>
              </w:rPr>
              <w:t>5</w:t>
            </w:r>
            <w:r>
              <w:rPr>
                <w:noProof/>
                <w:webHidden/>
              </w:rPr>
              <w:fldChar w:fldCharType="end"/>
            </w:r>
          </w:hyperlink>
        </w:p>
        <w:p w14:paraId="0C4986D5" w14:textId="4249D35C"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50" w:history="1">
            <w:r w:rsidRPr="003D6A3C">
              <w:rPr>
                <w:rStyle w:val="Hyperlink"/>
                <w:noProof/>
              </w:rPr>
              <w:t>Roles, Responsibilities, Benefits and Challenges</w:t>
            </w:r>
            <w:r>
              <w:rPr>
                <w:noProof/>
                <w:webHidden/>
              </w:rPr>
              <w:tab/>
            </w:r>
            <w:r>
              <w:rPr>
                <w:noProof/>
                <w:webHidden/>
              </w:rPr>
              <w:fldChar w:fldCharType="begin"/>
            </w:r>
            <w:r>
              <w:rPr>
                <w:noProof/>
                <w:webHidden/>
              </w:rPr>
              <w:instrText xml:space="preserve"> PAGEREF _Toc217020550 \h </w:instrText>
            </w:r>
            <w:r>
              <w:rPr>
                <w:noProof/>
                <w:webHidden/>
              </w:rPr>
            </w:r>
            <w:r>
              <w:rPr>
                <w:noProof/>
                <w:webHidden/>
              </w:rPr>
              <w:fldChar w:fldCharType="separate"/>
            </w:r>
            <w:r>
              <w:rPr>
                <w:noProof/>
                <w:webHidden/>
              </w:rPr>
              <w:t>7</w:t>
            </w:r>
            <w:r>
              <w:rPr>
                <w:noProof/>
                <w:webHidden/>
              </w:rPr>
              <w:fldChar w:fldCharType="end"/>
            </w:r>
          </w:hyperlink>
        </w:p>
        <w:p w14:paraId="7BC64642" w14:textId="61B3BE03"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51" w:history="1">
            <w:r w:rsidRPr="003D6A3C">
              <w:rPr>
                <w:rStyle w:val="Hyperlink"/>
                <w:noProof/>
              </w:rPr>
              <w:t>Frameworks for Stakeholder Engagement</w:t>
            </w:r>
            <w:r>
              <w:rPr>
                <w:noProof/>
                <w:webHidden/>
              </w:rPr>
              <w:tab/>
            </w:r>
            <w:r>
              <w:rPr>
                <w:noProof/>
                <w:webHidden/>
              </w:rPr>
              <w:fldChar w:fldCharType="begin"/>
            </w:r>
            <w:r>
              <w:rPr>
                <w:noProof/>
                <w:webHidden/>
              </w:rPr>
              <w:instrText xml:space="preserve"> PAGEREF _Toc217020551 \h </w:instrText>
            </w:r>
            <w:r>
              <w:rPr>
                <w:noProof/>
                <w:webHidden/>
              </w:rPr>
            </w:r>
            <w:r>
              <w:rPr>
                <w:noProof/>
                <w:webHidden/>
              </w:rPr>
              <w:fldChar w:fldCharType="separate"/>
            </w:r>
            <w:r>
              <w:rPr>
                <w:noProof/>
                <w:webHidden/>
              </w:rPr>
              <w:t>8</w:t>
            </w:r>
            <w:r>
              <w:rPr>
                <w:noProof/>
                <w:webHidden/>
              </w:rPr>
              <w:fldChar w:fldCharType="end"/>
            </w:r>
          </w:hyperlink>
        </w:p>
        <w:p w14:paraId="00824A9E" w14:textId="13A206E9"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52" w:history="1">
            <w:r w:rsidRPr="003D6A3C">
              <w:rPr>
                <w:rStyle w:val="Hyperlink"/>
                <w:noProof/>
              </w:rPr>
              <w:t>Stakeholder Engagement Process and Conflict Management using the 4C’s Model</w:t>
            </w:r>
            <w:r>
              <w:rPr>
                <w:noProof/>
                <w:webHidden/>
              </w:rPr>
              <w:tab/>
            </w:r>
            <w:r>
              <w:rPr>
                <w:noProof/>
                <w:webHidden/>
              </w:rPr>
              <w:fldChar w:fldCharType="begin"/>
            </w:r>
            <w:r>
              <w:rPr>
                <w:noProof/>
                <w:webHidden/>
              </w:rPr>
              <w:instrText xml:space="preserve"> PAGEREF _Toc217020552 \h </w:instrText>
            </w:r>
            <w:r>
              <w:rPr>
                <w:noProof/>
                <w:webHidden/>
              </w:rPr>
            </w:r>
            <w:r>
              <w:rPr>
                <w:noProof/>
                <w:webHidden/>
              </w:rPr>
              <w:fldChar w:fldCharType="separate"/>
            </w:r>
            <w:r>
              <w:rPr>
                <w:noProof/>
                <w:webHidden/>
              </w:rPr>
              <w:t>10</w:t>
            </w:r>
            <w:r>
              <w:rPr>
                <w:noProof/>
                <w:webHidden/>
              </w:rPr>
              <w:fldChar w:fldCharType="end"/>
            </w:r>
          </w:hyperlink>
        </w:p>
        <w:p w14:paraId="21752D99" w14:textId="1319E909"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53" w:history="1">
            <w:r w:rsidRPr="003D6A3C">
              <w:rPr>
                <w:rStyle w:val="Hyperlink"/>
                <w:rFonts w:ascii="Arial" w:hAnsi="Arial" w:cs="Arial"/>
                <w:noProof/>
              </w:rPr>
              <w:t>Impact of Stakeholder Engagement on Business Performance and Recommendations</w:t>
            </w:r>
            <w:r>
              <w:rPr>
                <w:noProof/>
                <w:webHidden/>
              </w:rPr>
              <w:tab/>
            </w:r>
            <w:r>
              <w:rPr>
                <w:noProof/>
                <w:webHidden/>
              </w:rPr>
              <w:fldChar w:fldCharType="begin"/>
            </w:r>
            <w:r>
              <w:rPr>
                <w:noProof/>
                <w:webHidden/>
              </w:rPr>
              <w:instrText xml:space="preserve"> PAGEREF _Toc217020553 \h </w:instrText>
            </w:r>
            <w:r>
              <w:rPr>
                <w:noProof/>
                <w:webHidden/>
              </w:rPr>
            </w:r>
            <w:r>
              <w:rPr>
                <w:noProof/>
                <w:webHidden/>
              </w:rPr>
              <w:fldChar w:fldCharType="separate"/>
            </w:r>
            <w:r>
              <w:rPr>
                <w:noProof/>
                <w:webHidden/>
              </w:rPr>
              <w:t>13</w:t>
            </w:r>
            <w:r>
              <w:rPr>
                <w:noProof/>
                <w:webHidden/>
              </w:rPr>
              <w:fldChar w:fldCharType="end"/>
            </w:r>
          </w:hyperlink>
        </w:p>
        <w:p w14:paraId="276301C7" w14:textId="7D76F1E6"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54" w:history="1">
            <w:r w:rsidRPr="003D6A3C">
              <w:rPr>
                <w:rStyle w:val="Hyperlink"/>
                <w:noProof/>
              </w:rPr>
              <w:t>Conclusion</w:t>
            </w:r>
            <w:r>
              <w:rPr>
                <w:noProof/>
                <w:webHidden/>
              </w:rPr>
              <w:tab/>
            </w:r>
            <w:r>
              <w:rPr>
                <w:noProof/>
                <w:webHidden/>
              </w:rPr>
              <w:fldChar w:fldCharType="begin"/>
            </w:r>
            <w:r>
              <w:rPr>
                <w:noProof/>
                <w:webHidden/>
              </w:rPr>
              <w:instrText xml:space="preserve"> PAGEREF _Toc217020554 \h </w:instrText>
            </w:r>
            <w:r>
              <w:rPr>
                <w:noProof/>
                <w:webHidden/>
              </w:rPr>
            </w:r>
            <w:r>
              <w:rPr>
                <w:noProof/>
                <w:webHidden/>
              </w:rPr>
              <w:fldChar w:fldCharType="separate"/>
            </w:r>
            <w:r>
              <w:rPr>
                <w:noProof/>
                <w:webHidden/>
              </w:rPr>
              <w:t>17</w:t>
            </w:r>
            <w:r>
              <w:rPr>
                <w:noProof/>
                <w:webHidden/>
              </w:rPr>
              <w:fldChar w:fldCharType="end"/>
            </w:r>
          </w:hyperlink>
        </w:p>
        <w:p w14:paraId="1C48014E" w14:textId="27C15F78" w:rsidR="009654E1" w:rsidRDefault="009654E1">
          <w:pPr>
            <w:pStyle w:val="TOC1"/>
            <w:tabs>
              <w:tab w:val="right" w:leader="dot" w:pos="9016"/>
            </w:tabs>
            <w:rPr>
              <w:rFonts w:cstheme="minorBidi"/>
              <w:noProof/>
              <w:kern w:val="2"/>
              <w:sz w:val="24"/>
              <w:szCs w:val="24"/>
              <w:lang w:val="en-GB" w:eastAsia="en-GB"/>
              <w14:ligatures w14:val="standardContextual"/>
            </w:rPr>
          </w:pPr>
          <w:hyperlink w:anchor="_Toc217020555" w:history="1">
            <w:r w:rsidRPr="003D6A3C">
              <w:rPr>
                <w:rStyle w:val="Hyperlink"/>
                <w:noProof/>
              </w:rPr>
              <w:t>Reference List</w:t>
            </w:r>
            <w:r>
              <w:rPr>
                <w:noProof/>
                <w:webHidden/>
              </w:rPr>
              <w:tab/>
            </w:r>
            <w:r>
              <w:rPr>
                <w:noProof/>
                <w:webHidden/>
              </w:rPr>
              <w:fldChar w:fldCharType="begin"/>
            </w:r>
            <w:r>
              <w:rPr>
                <w:noProof/>
                <w:webHidden/>
              </w:rPr>
              <w:instrText xml:space="preserve"> PAGEREF _Toc217020555 \h </w:instrText>
            </w:r>
            <w:r>
              <w:rPr>
                <w:noProof/>
                <w:webHidden/>
              </w:rPr>
            </w:r>
            <w:r>
              <w:rPr>
                <w:noProof/>
                <w:webHidden/>
              </w:rPr>
              <w:fldChar w:fldCharType="separate"/>
            </w:r>
            <w:r>
              <w:rPr>
                <w:noProof/>
                <w:webHidden/>
              </w:rPr>
              <w:t>18</w:t>
            </w:r>
            <w:r>
              <w:rPr>
                <w:noProof/>
                <w:webHidden/>
              </w:rPr>
              <w:fldChar w:fldCharType="end"/>
            </w:r>
          </w:hyperlink>
        </w:p>
        <w:p w14:paraId="6591C129" w14:textId="40783930" w:rsidR="009654E1" w:rsidRDefault="009654E1">
          <w:r>
            <w:rPr>
              <w:b/>
              <w:bCs/>
              <w:noProof/>
            </w:rPr>
            <w:fldChar w:fldCharType="end"/>
          </w:r>
        </w:p>
      </w:sdtContent>
    </w:sdt>
    <w:p w14:paraId="5D12EBBE" w14:textId="77777777" w:rsidR="001E118E" w:rsidRDefault="001E118E"/>
    <w:p w14:paraId="7DB02631" w14:textId="77777777" w:rsidR="001E118E" w:rsidRDefault="001E118E"/>
    <w:p w14:paraId="0C5580AF" w14:textId="77777777" w:rsidR="001E118E" w:rsidRDefault="001E118E"/>
    <w:p w14:paraId="7EA28A17" w14:textId="77777777" w:rsidR="00497388" w:rsidRDefault="00497388" w:rsidP="00EB6ADF">
      <w:pPr>
        <w:pStyle w:val="Heading1"/>
      </w:pPr>
    </w:p>
    <w:p w14:paraId="43854F56" w14:textId="77777777" w:rsidR="00497388" w:rsidRDefault="00497388" w:rsidP="00EB6ADF">
      <w:pPr>
        <w:pStyle w:val="Heading1"/>
      </w:pPr>
    </w:p>
    <w:p w14:paraId="24871209" w14:textId="77777777" w:rsidR="00497388" w:rsidRDefault="00497388" w:rsidP="00EB6ADF">
      <w:pPr>
        <w:pStyle w:val="Heading1"/>
      </w:pPr>
    </w:p>
    <w:p w14:paraId="592D6214" w14:textId="77777777" w:rsidR="003653FE" w:rsidRDefault="003653FE" w:rsidP="00EB6ADF">
      <w:pPr>
        <w:pStyle w:val="Heading1"/>
      </w:pPr>
    </w:p>
    <w:p w14:paraId="7BFBB15E" w14:textId="2C8DDB93" w:rsidR="001E118E" w:rsidRPr="00EB6ADF" w:rsidRDefault="005D38FC" w:rsidP="00EB6ADF">
      <w:pPr>
        <w:pStyle w:val="Heading1"/>
      </w:pPr>
      <w:bookmarkStart w:id="0" w:name="_Toc217020545"/>
      <w:r w:rsidRPr="00EB6ADF">
        <w:t>Introduction</w:t>
      </w:r>
      <w:bookmarkEnd w:id="0"/>
    </w:p>
    <w:p w14:paraId="0786FE90" w14:textId="77777777" w:rsidR="004278B4" w:rsidRDefault="004278B4" w:rsidP="001E118E">
      <w:pPr>
        <w:rPr>
          <w:rFonts w:ascii="Arial" w:hAnsi="Arial" w:cs="Arial"/>
        </w:rPr>
      </w:pPr>
    </w:p>
    <w:p w14:paraId="3EEB1411" w14:textId="1B0A74CF" w:rsidR="001E118E" w:rsidRPr="001E118E" w:rsidRDefault="001E118E" w:rsidP="001E118E">
      <w:pPr>
        <w:rPr>
          <w:rFonts w:ascii="Arial" w:hAnsi="Arial" w:cs="Arial"/>
        </w:rPr>
      </w:pPr>
      <w:r w:rsidRPr="001E118E">
        <w:rPr>
          <w:rFonts w:ascii="Arial" w:hAnsi="Arial" w:cs="Arial"/>
        </w:rPr>
        <w:t>Huma Therapeutics, founded in London in 2011, is a global digital health company recognised for its remote patient monitoring (RPM) and digital biomarker technologies. The company operates in the UK, Europe, the Middle East and the United States, collaborating with national healthcare systems such as the NHS, as well as pharmaceutical companies and research organisations, to deliver advanced digital health solutions (Huma Therapeutics, 2023). With over 300 employees specialising in AI, data science, digital epidemiology and clinical research, Huma develops platforms that transform smartphones and wearables into clinical-grade monitoring tools.</w:t>
      </w:r>
    </w:p>
    <w:p w14:paraId="5B6DB4CE" w14:textId="77777777" w:rsidR="001E118E" w:rsidRPr="001E118E" w:rsidRDefault="001E118E" w:rsidP="001E118E">
      <w:pPr>
        <w:rPr>
          <w:rFonts w:ascii="Arial" w:hAnsi="Arial" w:cs="Arial"/>
        </w:rPr>
      </w:pPr>
      <w:r w:rsidRPr="001E118E">
        <w:rPr>
          <w:rFonts w:ascii="Arial" w:hAnsi="Arial" w:cs="Arial"/>
        </w:rPr>
        <w:t>To expand its consumer health division and complement its regulated medical platforms, Huma will launch a new wearable device that measures heart rate, oxygen saturation (SpO2) and sleep patterns. The device will integrate with the Huma Health App and remote monitoring ecosystem, offering consumer wellness insights and optional clinical-grade monitoring through regulated modules.</w:t>
      </w:r>
    </w:p>
    <w:p w14:paraId="7C4F4706" w14:textId="77777777" w:rsidR="00E408BB" w:rsidRDefault="001E118E" w:rsidP="00E408BB">
      <w:pPr>
        <w:rPr>
          <w:rFonts w:ascii="Arial" w:hAnsi="Arial" w:cs="Arial"/>
        </w:rPr>
      </w:pPr>
      <w:r w:rsidRPr="001E118E">
        <w:rPr>
          <w:rFonts w:ascii="Arial" w:hAnsi="Arial" w:cs="Arial"/>
        </w:rPr>
        <w:t>As project manager, I am responsible for preparing the product for commercial launch within six months. Project success depends on effective engagement with internal teams, including engineering, clinical, regulatory and commercial departments, as well as external stakeholders such as device suppliers, NHS partners, regulators, investors and end users. This report applies stakeholder engagement mechanisms, strategic frameworks and conflict-management models to support a successful and compliant launch.</w:t>
      </w:r>
    </w:p>
    <w:p w14:paraId="1A2359DE" w14:textId="77777777" w:rsidR="003653FE" w:rsidRDefault="003653FE" w:rsidP="00E408BB">
      <w:pPr>
        <w:pStyle w:val="Heading1"/>
      </w:pPr>
    </w:p>
    <w:p w14:paraId="53C28E05" w14:textId="77777777" w:rsidR="003653FE" w:rsidRDefault="003653FE" w:rsidP="00E408BB">
      <w:pPr>
        <w:pStyle w:val="Heading1"/>
      </w:pPr>
    </w:p>
    <w:p w14:paraId="5B366D8F" w14:textId="77777777" w:rsidR="00EF72D8" w:rsidRDefault="00EF72D8" w:rsidP="00E408BB">
      <w:pPr>
        <w:pStyle w:val="Heading1"/>
      </w:pPr>
    </w:p>
    <w:p w14:paraId="16BD05E4" w14:textId="11E36215" w:rsidR="00A02691" w:rsidRPr="00E408BB" w:rsidRDefault="00A02691" w:rsidP="00E408BB">
      <w:pPr>
        <w:pStyle w:val="Heading1"/>
      </w:pPr>
      <w:bookmarkStart w:id="1" w:name="_Toc217020546"/>
      <w:r w:rsidRPr="00E408BB">
        <w:t xml:space="preserve">Company </w:t>
      </w:r>
      <w:r w:rsidR="00980D3E" w:rsidRPr="00E408BB">
        <w:t>a</w:t>
      </w:r>
      <w:r w:rsidRPr="00E408BB">
        <w:t>ppraisal</w:t>
      </w:r>
      <w:r w:rsidR="00980D3E" w:rsidRPr="00E408BB">
        <w:t xml:space="preserve"> using strategic planning tools</w:t>
      </w:r>
      <w:bookmarkEnd w:id="1"/>
    </w:p>
    <w:p w14:paraId="5AD4A4DD" w14:textId="77777777" w:rsidR="001A3A8B" w:rsidRDefault="001A3A8B" w:rsidP="00814ED3">
      <w:pPr>
        <w:rPr>
          <w:rFonts w:ascii="Arial" w:hAnsi="Arial" w:cs="Arial"/>
        </w:rPr>
      </w:pPr>
    </w:p>
    <w:tbl>
      <w:tblPr>
        <w:tblStyle w:val="TableGrid"/>
        <w:tblW w:w="0" w:type="auto"/>
        <w:tblLook w:val="04A0" w:firstRow="1" w:lastRow="0" w:firstColumn="1" w:lastColumn="0" w:noHBand="0" w:noVBand="1"/>
      </w:tblPr>
      <w:tblGrid>
        <w:gridCol w:w="4508"/>
        <w:gridCol w:w="4508"/>
      </w:tblGrid>
      <w:tr w:rsidR="00570643" w14:paraId="5B152BA6" w14:textId="77777777" w:rsidTr="00570643">
        <w:tc>
          <w:tcPr>
            <w:tcW w:w="4508" w:type="dxa"/>
          </w:tcPr>
          <w:p w14:paraId="2D2F2A3E" w14:textId="3489722F" w:rsidR="00570643" w:rsidRDefault="007C703D" w:rsidP="00814ED3">
            <w:pPr>
              <w:rPr>
                <w:rFonts w:ascii="Arial" w:hAnsi="Arial" w:cs="Arial"/>
              </w:rPr>
            </w:pPr>
            <w:r w:rsidRPr="00EF72D8">
              <w:rPr>
                <w:rFonts w:ascii="Arial" w:hAnsi="Arial" w:cs="Arial"/>
                <w:sz w:val="28"/>
                <w:szCs w:val="28"/>
              </w:rPr>
              <w:t>S</w:t>
            </w:r>
            <w:r>
              <w:rPr>
                <w:rFonts w:ascii="Arial" w:hAnsi="Arial" w:cs="Arial"/>
              </w:rPr>
              <w:t xml:space="preserve">trengths </w:t>
            </w:r>
          </w:p>
        </w:tc>
        <w:tc>
          <w:tcPr>
            <w:tcW w:w="4508" w:type="dxa"/>
          </w:tcPr>
          <w:p w14:paraId="05745608" w14:textId="3CA5B204" w:rsidR="00570643" w:rsidRDefault="007C703D" w:rsidP="00814ED3">
            <w:pPr>
              <w:rPr>
                <w:rFonts w:ascii="Arial" w:hAnsi="Arial" w:cs="Arial"/>
              </w:rPr>
            </w:pPr>
            <w:r w:rsidRPr="00EF72D8">
              <w:rPr>
                <w:rFonts w:ascii="Arial" w:hAnsi="Arial" w:cs="Arial"/>
                <w:sz w:val="28"/>
                <w:szCs w:val="28"/>
              </w:rPr>
              <w:t>W</w:t>
            </w:r>
            <w:r>
              <w:rPr>
                <w:rFonts w:ascii="Arial" w:hAnsi="Arial" w:cs="Arial"/>
              </w:rPr>
              <w:t xml:space="preserve">eaknesses </w:t>
            </w:r>
          </w:p>
        </w:tc>
      </w:tr>
      <w:tr w:rsidR="00570643" w14:paraId="76B3E52E" w14:textId="77777777" w:rsidTr="00570643">
        <w:tc>
          <w:tcPr>
            <w:tcW w:w="4508" w:type="dxa"/>
          </w:tcPr>
          <w:p w14:paraId="563868BA" w14:textId="7A5817C5" w:rsidR="00570643" w:rsidRDefault="003E52CE" w:rsidP="00814ED3">
            <w:pPr>
              <w:rPr>
                <w:rFonts w:ascii="Arial" w:hAnsi="Arial" w:cs="Arial"/>
              </w:rPr>
            </w:pPr>
            <w:r>
              <w:rPr>
                <w:rFonts w:ascii="Arial" w:hAnsi="Arial" w:cs="Arial"/>
              </w:rPr>
              <w:t>One of the key strengths of Huma Therapeutics is its demonstrated credibility in the digital health space and its associations with leading organisations, including the NHS, AstraZeneca, Bayer, and educational medical centres (Huma, 2023). Huma’s digital biomarkers and remote monitoring platforms are supported by published clinical studies demonstrating improvements in patient outcomes and operational efficiencies (Pang et al., 2022). The company’s technical infrastructure, especially its health-grade data platform, offers seamless integration with wearable devices. Additionally, Huma’s ISO-certified security and GDPR-compliant architecture provide strong foundations for managing sensitive health data, a crucial differentiator in the digital health market (ICO, 2023).</w:t>
            </w:r>
          </w:p>
        </w:tc>
        <w:tc>
          <w:tcPr>
            <w:tcW w:w="4508" w:type="dxa"/>
          </w:tcPr>
          <w:p w14:paraId="4D169737" w14:textId="636B8D10" w:rsidR="00570643" w:rsidRDefault="003E52CE" w:rsidP="00814ED3">
            <w:pPr>
              <w:rPr>
                <w:rFonts w:ascii="Arial" w:hAnsi="Arial" w:cs="Arial"/>
              </w:rPr>
            </w:pPr>
            <w:r>
              <w:rPr>
                <w:rFonts w:ascii="Arial" w:hAnsi="Arial" w:cs="Arial"/>
              </w:rPr>
              <w:t>Huma, unlike global competitors such as Apple or Fitbit, lacks mass-market brand recognition among general consumers.</w:t>
            </w:r>
            <w:r w:rsidR="001B2DEB">
              <w:rPr>
                <w:rFonts w:ascii="Arial" w:hAnsi="Arial" w:cs="Arial"/>
              </w:rPr>
              <w:t xml:space="preserve"> </w:t>
            </w:r>
            <w:r w:rsidR="001B2DEB" w:rsidRPr="001B2DEB">
              <w:rPr>
                <w:rFonts w:ascii="Arial" w:hAnsi="Arial" w:cs="Arial"/>
              </w:rPr>
              <w:t xml:space="preserve">Its strengths lie </w:t>
            </w:r>
            <w:r w:rsidR="001B2DEB">
              <w:rPr>
                <w:rFonts w:ascii="Arial" w:hAnsi="Arial" w:cs="Arial"/>
              </w:rPr>
              <w:t>primarily</w:t>
            </w:r>
            <w:r w:rsidR="001B2DEB" w:rsidRPr="001B2DEB">
              <w:rPr>
                <w:rFonts w:ascii="Arial" w:hAnsi="Arial" w:cs="Arial"/>
              </w:rPr>
              <w:t xml:space="preserve"> in the clinical and pharmaceutical sectors, which means the company must invest heavily in consumer marketing for this product launch. Another weakness is dependence on external device manufacturers for hardware development, which may introduce supply-chain risks (McKinsey, 2022). The company is also expanding rapidly, which creates potential internal communication gaps and coordination challenges during scale-up (Burke &amp; Barron, 2020).</w:t>
            </w:r>
          </w:p>
        </w:tc>
      </w:tr>
      <w:tr w:rsidR="00570643" w14:paraId="603A04DF" w14:textId="77777777" w:rsidTr="00570643">
        <w:tc>
          <w:tcPr>
            <w:tcW w:w="4508" w:type="dxa"/>
          </w:tcPr>
          <w:p w14:paraId="6E6C0B7F" w14:textId="7080E954" w:rsidR="00570643" w:rsidRDefault="00882FF5" w:rsidP="00814ED3">
            <w:pPr>
              <w:rPr>
                <w:rFonts w:ascii="Arial" w:hAnsi="Arial" w:cs="Arial"/>
              </w:rPr>
            </w:pPr>
            <w:r w:rsidRPr="00EF72D8">
              <w:rPr>
                <w:rFonts w:ascii="Arial" w:hAnsi="Arial" w:cs="Arial"/>
                <w:sz w:val="28"/>
                <w:szCs w:val="28"/>
              </w:rPr>
              <w:t>O</w:t>
            </w:r>
            <w:r>
              <w:rPr>
                <w:rFonts w:ascii="Arial" w:hAnsi="Arial" w:cs="Arial"/>
              </w:rPr>
              <w:t xml:space="preserve">pportunities </w:t>
            </w:r>
          </w:p>
        </w:tc>
        <w:tc>
          <w:tcPr>
            <w:tcW w:w="4508" w:type="dxa"/>
          </w:tcPr>
          <w:p w14:paraId="4201F5A8" w14:textId="41B96F85" w:rsidR="00570643" w:rsidRDefault="00882FF5" w:rsidP="00814ED3">
            <w:pPr>
              <w:rPr>
                <w:rFonts w:ascii="Arial" w:hAnsi="Arial" w:cs="Arial"/>
              </w:rPr>
            </w:pPr>
            <w:r w:rsidRPr="00EF72D8">
              <w:rPr>
                <w:rFonts w:ascii="Arial" w:hAnsi="Arial" w:cs="Arial"/>
                <w:sz w:val="28"/>
                <w:szCs w:val="28"/>
              </w:rPr>
              <w:t>T</w:t>
            </w:r>
            <w:r>
              <w:rPr>
                <w:rFonts w:ascii="Arial" w:hAnsi="Arial" w:cs="Arial"/>
              </w:rPr>
              <w:t xml:space="preserve">hreats </w:t>
            </w:r>
          </w:p>
        </w:tc>
      </w:tr>
      <w:tr w:rsidR="00570643" w14:paraId="7A5612D7" w14:textId="77777777" w:rsidTr="00570643">
        <w:tc>
          <w:tcPr>
            <w:tcW w:w="4508" w:type="dxa"/>
          </w:tcPr>
          <w:p w14:paraId="038861B4" w14:textId="77777777" w:rsidR="00D773D8" w:rsidRPr="00D773D8" w:rsidRDefault="00D773D8" w:rsidP="00D773D8">
            <w:pPr>
              <w:rPr>
                <w:rFonts w:ascii="Arial" w:hAnsi="Arial" w:cs="Arial"/>
              </w:rPr>
            </w:pPr>
            <w:r w:rsidRPr="00D773D8">
              <w:rPr>
                <w:rFonts w:ascii="Arial" w:hAnsi="Arial" w:cs="Arial"/>
              </w:rPr>
              <w:t>The global digital health and wearables market is experiencing rapid growth due to rising demand for real-time health monitoring, ageing populations and increased emphasis on preventive medicine (Deloitte, 2022). Huma’s ability to integrate consumer wearables into regulated clinical pathways presents an opportunity to differentiate the product from typical fitness-focused devices. Partnerships with insurers, corporate wellbeing programmes and the NHS provide significant expansion opportunities. Advances in AI, predictive analytics and digital biomarkers also offer opportunities to deliver superior insights compared with standard consumer wearables (Accenture, 2023).</w:t>
            </w:r>
          </w:p>
          <w:p w14:paraId="2CD9CCDC" w14:textId="77777777" w:rsidR="00570643" w:rsidRDefault="00570643" w:rsidP="00814ED3">
            <w:pPr>
              <w:rPr>
                <w:rFonts w:ascii="Arial" w:hAnsi="Arial" w:cs="Arial"/>
              </w:rPr>
            </w:pPr>
          </w:p>
        </w:tc>
        <w:tc>
          <w:tcPr>
            <w:tcW w:w="4508" w:type="dxa"/>
          </w:tcPr>
          <w:p w14:paraId="0B727E40" w14:textId="77777777" w:rsidR="00CE0F6E" w:rsidRPr="00CE0F6E" w:rsidRDefault="00CE0F6E" w:rsidP="00CE0F6E">
            <w:pPr>
              <w:rPr>
                <w:rFonts w:ascii="Arial" w:hAnsi="Arial" w:cs="Arial"/>
              </w:rPr>
            </w:pPr>
            <w:r w:rsidRPr="00CE0F6E">
              <w:rPr>
                <w:rFonts w:ascii="Arial" w:hAnsi="Arial" w:cs="Arial"/>
              </w:rPr>
              <w:t>Intense competition exists from established wearable brands such as Garmin, Fitbit, Apple, and Samsung, all of which invest heavily in innovation. Supply-chain volatility, semiconductor shortages, and rising manufacturing costs threaten timelines and profitability (McKinsey, 2022). Regulatory risks are significant because health-monitoring features must align with UKCA and MDR regulations. Data privacy threats also loom large, as biometric data requires strict compliance with GDPR (ICO, 2023). Finally, economic pressures may reduce consumer spending on wellness devices.</w:t>
            </w:r>
          </w:p>
          <w:p w14:paraId="3A94D256" w14:textId="77777777" w:rsidR="00570643" w:rsidRDefault="00570643" w:rsidP="00814ED3">
            <w:pPr>
              <w:rPr>
                <w:rFonts w:ascii="Arial" w:hAnsi="Arial" w:cs="Arial"/>
              </w:rPr>
            </w:pPr>
          </w:p>
        </w:tc>
      </w:tr>
    </w:tbl>
    <w:p w14:paraId="43219B12" w14:textId="77777777" w:rsidR="00234823" w:rsidRDefault="00FB683B" w:rsidP="00EB6ADF">
      <w:pPr>
        <w:rPr>
          <w:rFonts w:ascii="Arial" w:hAnsi="Arial" w:cs="Arial"/>
          <w:b/>
          <w:bCs/>
        </w:rPr>
      </w:pPr>
      <w:r w:rsidRPr="00234823">
        <w:rPr>
          <w:rFonts w:ascii="Arial" w:hAnsi="Arial" w:cs="Arial"/>
          <w:b/>
          <w:bCs/>
        </w:rPr>
        <w:lastRenderedPageBreak/>
        <w:t xml:space="preserve"> </w:t>
      </w:r>
    </w:p>
    <w:p w14:paraId="6843EAF1" w14:textId="77777777" w:rsidR="00234823" w:rsidRDefault="00234823" w:rsidP="00EB6ADF">
      <w:pPr>
        <w:rPr>
          <w:rFonts w:ascii="Arial" w:hAnsi="Arial" w:cs="Arial"/>
          <w:b/>
          <w:bCs/>
        </w:rPr>
      </w:pPr>
    </w:p>
    <w:p w14:paraId="5C898A9D" w14:textId="77777777" w:rsidR="00234823" w:rsidRDefault="00234823" w:rsidP="00EB6ADF">
      <w:pPr>
        <w:rPr>
          <w:rFonts w:ascii="Arial" w:hAnsi="Arial" w:cs="Arial"/>
          <w:b/>
          <w:bCs/>
        </w:rPr>
      </w:pPr>
    </w:p>
    <w:p w14:paraId="2772DA97" w14:textId="425EFA47" w:rsidR="001101B0" w:rsidRDefault="005A6891" w:rsidP="003653FE">
      <w:pPr>
        <w:pStyle w:val="Heading1"/>
      </w:pPr>
      <w:bookmarkStart w:id="2" w:name="_Toc217020547"/>
      <w:r w:rsidRPr="00234823">
        <w:t xml:space="preserve">PESTLE </w:t>
      </w:r>
      <w:r w:rsidR="00234823" w:rsidRPr="00234823">
        <w:t>Analysis</w:t>
      </w:r>
      <w:bookmarkEnd w:id="2"/>
    </w:p>
    <w:p w14:paraId="5FCA7106" w14:textId="77777777" w:rsidR="003653FE" w:rsidRDefault="003653FE" w:rsidP="003653FE"/>
    <w:tbl>
      <w:tblPr>
        <w:tblStyle w:val="TableGrid"/>
        <w:tblW w:w="10979" w:type="dxa"/>
        <w:tblInd w:w="-982" w:type="dxa"/>
        <w:tblLayout w:type="fixed"/>
        <w:tblLook w:val="04A0" w:firstRow="1" w:lastRow="0" w:firstColumn="1" w:lastColumn="0" w:noHBand="0" w:noVBand="1"/>
      </w:tblPr>
      <w:tblGrid>
        <w:gridCol w:w="1427"/>
        <w:gridCol w:w="1871"/>
        <w:gridCol w:w="1452"/>
        <w:gridCol w:w="2191"/>
        <w:gridCol w:w="1691"/>
        <w:gridCol w:w="2347"/>
      </w:tblGrid>
      <w:tr w:rsidR="00476451" w14:paraId="5CF84187" w14:textId="77777777" w:rsidTr="00263518">
        <w:trPr>
          <w:trHeight w:val="500"/>
        </w:trPr>
        <w:tc>
          <w:tcPr>
            <w:tcW w:w="1427" w:type="dxa"/>
            <w:shd w:val="clear" w:color="auto" w:fill="A5C9EB" w:themeFill="text2" w:themeFillTint="40"/>
          </w:tcPr>
          <w:p w14:paraId="28D5C016" w14:textId="769DBDF9" w:rsidR="004A6DFB" w:rsidRPr="00476451" w:rsidRDefault="004A6DFB" w:rsidP="004A6DFB">
            <w:pPr>
              <w:rPr>
                <w:rFonts w:ascii="Arial" w:hAnsi="Arial" w:cs="Arial"/>
                <w:sz w:val="32"/>
                <w:szCs w:val="32"/>
              </w:rPr>
            </w:pPr>
            <w:r w:rsidRPr="00476451">
              <w:rPr>
                <w:rFonts w:ascii="Arial" w:hAnsi="Arial" w:cs="Arial"/>
                <w:sz w:val="32"/>
                <w:szCs w:val="32"/>
              </w:rPr>
              <w:t>Political</w:t>
            </w:r>
          </w:p>
        </w:tc>
        <w:tc>
          <w:tcPr>
            <w:tcW w:w="1871" w:type="dxa"/>
            <w:shd w:val="clear" w:color="auto" w:fill="FFFF00"/>
          </w:tcPr>
          <w:p w14:paraId="2B36E190" w14:textId="4D48FF78" w:rsidR="004A6DFB" w:rsidRPr="00476451" w:rsidRDefault="004A6DFB" w:rsidP="004A6DFB">
            <w:pPr>
              <w:rPr>
                <w:rFonts w:ascii="Arial" w:hAnsi="Arial" w:cs="Arial"/>
                <w:color w:val="000000" w:themeColor="text1"/>
                <w:sz w:val="32"/>
                <w:szCs w:val="32"/>
              </w:rPr>
            </w:pPr>
            <w:r w:rsidRPr="00476451">
              <w:rPr>
                <w:rFonts w:ascii="Arial" w:hAnsi="Arial" w:cs="Arial"/>
                <w:color w:val="000000" w:themeColor="text1"/>
                <w:sz w:val="32"/>
                <w:szCs w:val="32"/>
              </w:rPr>
              <w:t>Economical</w:t>
            </w:r>
          </w:p>
        </w:tc>
        <w:tc>
          <w:tcPr>
            <w:tcW w:w="1452" w:type="dxa"/>
            <w:shd w:val="clear" w:color="auto" w:fill="FF0066"/>
          </w:tcPr>
          <w:p w14:paraId="7378156B" w14:textId="4C191E03" w:rsidR="004A6DFB" w:rsidRPr="00413FFB" w:rsidRDefault="004A6DFB" w:rsidP="004A6DFB">
            <w:pPr>
              <w:rPr>
                <w:sz w:val="32"/>
                <w:szCs w:val="32"/>
              </w:rPr>
            </w:pPr>
            <w:r w:rsidRPr="00476451">
              <w:rPr>
                <w:color w:val="FFFFFF" w:themeColor="background1"/>
                <w:sz w:val="32"/>
                <w:szCs w:val="32"/>
              </w:rPr>
              <w:t>Social</w:t>
            </w:r>
          </w:p>
        </w:tc>
        <w:tc>
          <w:tcPr>
            <w:tcW w:w="2191" w:type="dxa"/>
            <w:shd w:val="clear" w:color="auto" w:fill="84E290" w:themeFill="accent3" w:themeFillTint="66"/>
          </w:tcPr>
          <w:p w14:paraId="60DAAE58" w14:textId="01912450" w:rsidR="004A6DFB" w:rsidRPr="00476451" w:rsidRDefault="004A6DFB" w:rsidP="004A6DFB">
            <w:pPr>
              <w:rPr>
                <w:rFonts w:ascii="Arial" w:hAnsi="Arial" w:cs="Arial"/>
                <w:sz w:val="32"/>
                <w:szCs w:val="32"/>
              </w:rPr>
            </w:pPr>
            <w:r w:rsidRPr="00476451">
              <w:rPr>
                <w:rFonts w:ascii="Arial" w:hAnsi="Arial" w:cs="Arial"/>
                <w:sz w:val="32"/>
                <w:szCs w:val="32"/>
              </w:rPr>
              <w:t>Technological</w:t>
            </w:r>
          </w:p>
        </w:tc>
        <w:tc>
          <w:tcPr>
            <w:tcW w:w="1691" w:type="dxa"/>
            <w:shd w:val="clear" w:color="auto" w:fill="F6C5AC" w:themeFill="accent2" w:themeFillTint="66"/>
          </w:tcPr>
          <w:p w14:paraId="405F4534" w14:textId="64DE843F" w:rsidR="004A6DFB" w:rsidRPr="00476451" w:rsidRDefault="004A6DFB" w:rsidP="004A6DFB">
            <w:pPr>
              <w:rPr>
                <w:sz w:val="32"/>
                <w:szCs w:val="32"/>
              </w:rPr>
            </w:pPr>
            <w:r w:rsidRPr="00476451">
              <w:rPr>
                <w:sz w:val="32"/>
                <w:szCs w:val="32"/>
              </w:rPr>
              <w:t>Legal</w:t>
            </w:r>
          </w:p>
        </w:tc>
        <w:tc>
          <w:tcPr>
            <w:tcW w:w="2347" w:type="dxa"/>
            <w:shd w:val="clear" w:color="auto" w:fill="F6F4AE"/>
          </w:tcPr>
          <w:p w14:paraId="21EEB090" w14:textId="36A679C7" w:rsidR="004A6DFB" w:rsidRPr="00D24806" w:rsidRDefault="004A6DFB" w:rsidP="004A6DFB">
            <w:pPr>
              <w:rPr>
                <w:rFonts w:ascii="Arial" w:hAnsi="Arial" w:cs="Arial"/>
                <w:sz w:val="32"/>
                <w:szCs w:val="32"/>
              </w:rPr>
            </w:pPr>
            <w:r w:rsidRPr="00D24806">
              <w:rPr>
                <w:rFonts w:ascii="Arial" w:hAnsi="Arial" w:cs="Arial"/>
                <w:sz w:val="32"/>
                <w:szCs w:val="32"/>
              </w:rPr>
              <w:t>Environmental</w:t>
            </w:r>
          </w:p>
        </w:tc>
      </w:tr>
      <w:tr w:rsidR="009D460E" w14:paraId="7079E6FA" w14:textId="77777777" w:rsidTr="00263518">
        <w:tc>
          <w:tcPr>
            <w:tcW w:w="1427" w:type="dxa"/>
            <w:shd w:val="clear" w:color="auto" w:fill="A5C9EB" w:themeFill="text2" w:themeFillTint="40"/>
          </w:tcPr>
          <w:p w14:paraId="46AD33A8" w14:textId="77777777" w:rsidR="00477164" w:rsidRPr="00477164" w:rsidRDefault="00477164" w:rsidP="00477164">
            <w:pPr>
              <w:rPr>
                <w:rFonts w:ascii="Arial" w:hAnsi="Arial" w:cs="Arial"/>
              </w:rPr>
            </w:pPr>
            <w:r w:rsidRPr="00477164">
              <w:rPr>
                <w:rFonts w:ascii="Arial" w:hAnsi="Arial" w:cs="Arial"/>
              </w:rPr>
              <w:t>The UK government increasingly supports digital health and remote monitoring initiatives, especially following the NHS Long Term Plan. This political environment benefits Huma’s launch (NHS England, 2022).</w:t>
            </w:r>
          </w:p>
          <w:p w14:paraId="3AF6C13E" w14:textId="77777777" w:rsidR="004A6DFB" w:rsidRPr="00477164" w:rsidRDefault="004A6DFB" w:rsidP="004A6DFB">
            <w:pPr>
              <w:rPr>
                <w:rFonts w:ascii="Arial" w:hAnsi="Arial" w:cs="Arial"/>
              </w:rPr>
            </w:pPr>
          </w:p>
        </w:tc>
        <w:tc>
          <w:tcPr>
            <w:tcW w:w="1871" w:type="dxa"/>
            <w:shd w:val="clear" w:color="auto" w:fill="FFFF00"/>
          </w:tcPr>
          <w:p w14:paraId="27604243" w14:textId="5FAA9E4C" w:rsidR="004A6DFB" w:rsidRPr="00BB559B" w:rsidRDefault="00BB559B" w:rsidP="004A6DFB">
            <w:pPr>
              <w:rPr>
                <w:rFonts w:ascii="Arial" w:hAnsi="Arial" w:cs="Arial"/>
              </w:rPr>
            </w:pPr>
            <w:r w:rsidRPr="00BB559B">
              <w:rPr>
                <w:rFonts w:ascii="Arial" w:hAnsi="Arial" w:cs="Arial"/>
              </w:rPr>
              <w:t>Inflation and global supply-chain instability may drive higher component and manufacturing costs (McKinsey, 2022). However, consumer demand for digital health tools remains strong (Deloitte, 2022).</w:t>
            </w:r>
          </w:p>
        </w:tc>
        <w:tc>
          <w:tcPr>
            <w:tcW w:w="1452" w:type="dxa"/>
            <w:shd w:val="clear" w:color="auto" w:fill="FF0066"/>
          </w:tcPr>
          <w:p w14:paraId="32DADCE8" w14:textId="2994C59C" w:rsidR="004A6DFB" w:rsidRPr="00BB559B" w:rsidRDefault="00413FFB" w:rsidP="004A6DFB">
            <w:pPr>
              <w:rPr>
                <w:rFonts w:ascii="Arial" w:hAnsi="Arial" w:cs="Arial"/>
              </w:rPr>
            </w:pPr>
            <w:r w:rsidRPr="009D460E">
              <w:rPr>
                <w:rFonts w:ascii="Arial" w:hAnsi="Arial" w:cs="Arial"/>
                <w:color w:val="FFFFFF" w:themeColor="background1"/>
              </w:rPr>
              <w:t>Societal awareness of health has increased significantly post-COVID-19, with greater interest in early detection and continuous monitoring (WHO, 2021). Sleep-tracking and SpO2 monitoring are now mainstream expectations for users.</w:t>
            </w:r>
          </w:p>
        </w:tc>
        <w:tc>
          <w:tcPr>
            <w:tcW w:w="2191" w:type="dxa"/>
            <w:shd w:val="clear" w:color="auto" w:fill="84E290" w:themeFill="accent3" w:themeFillTint="66"/>
          </w:tcPr>
          <w:p w14:paraId="11597E96" w14:textId="29B10227" w:rsidR="004A6DFB" w:rsidRPr="00476451" w:rsidRDefault="00E96724" w:rsidP="004A6DFB">
            <w:pPr>
              <w:rPr>
                <w:rFonts w:ascii="Arial" w:hAnsi="Arial" w:cs="Arial"/>
              </w:rPr>
            </w:pPr>
            <w:r w:rsidRPr="00E96724">
              <w:rPr>
                <w:rFonts w:ascii="Arial" w:hAnsi="Arial" w:cs="Arial"/>
              </w:rPr>
              <w:t>Rapid advancements in AI-driven health analytics, photoplethysmography (PPG) sensors</w:t>
            </w:r>
            <w:r>
              <w:rPr>
                <w:rFonts w:ascii="Arial" w:hAnsi="Arial" w:cs="Arial"/>
              </w:rPr>
              <w:t>, and mobile health</w:t>
            </w:r>
            <w:r w:rsidRPr="00E96724">
              <w:rPr>
                <w:rFonts w:ascii="Arial" w:hAnsi="Arial" w:cs="Arial"/>
              </w:rPr>
              <w:t xml:space="preserve"> platforms present opportunities for innovation (Accenture, 2023).</w:t>
            </w:r>
          </w:p>
        </w:tc>
        <w:tc>
          <w:tcPr>
            <w:tcW w:w="1691" w:type="dxa"/>
            <w:shd w:val="clear" w:color="auto" w:fill="F6C5AC" w:themeFill="accent2" w:themeFillTint="66"/>
          </w:tcPr>
          <w:p w14:paraId="3159ECDA" w14:textId="3B591E67" w:rsidR="004A6DFB" w:rsidRDefault="00225A48" w:rsidP="004A6DFB">
            <w:r w:rsidRPr="00225A48">
              <w:t xml:space="preserve">Huma must meet stringent </w:t>
            </w:r>
            <w:r w:rsidR="00263518">
              <w:t>health device regulations, data protection laws,</w:t>
            </w:r>
            <w:r w:rsidRPr="00225A48">
              <w:t xml:space="preserve"> and cybersecurity requirements. UK GDPR and UK Medical Device Regulations are especially critical (ICO, 2023).</w:t>
            </w:r>
          </w:p>
        </w:tc>
        <w:tc>
          <w:tcPr>
            <w:tcW w:w="2347" w:type="dxa"/>
            <w:shd w:val="clear" w:color="auto" w:fill="F6F4AE"/>
          </w:tcPr>
          <w:p w14:paraId="61E02F0D" w14:textId="11A5D68B" w:rsidR="004A6DFB" w:rsidRPr="00D24806" w:rsidRDefault="00263518" w:rsidP="004A6DFB">
            <w:pPr>
              <w:rPr>
                <w:rFonts w:ascii="Arial" w:hAnsi="Arial" w:cs="Arial"/>
              </w:rPr>
            </w:pPr>
            <w:r>
              <w:rPr>
                <w:rFonts w:ascii="Arial" w:hAnsi="Arial" w:cs="Arial"/>
              </w:rPr>
              <w:t xml:space="preserve">There is increasing pressure to use sustainable </w:t>
            </w:r>
            <w:r w:rsidR="0065473D">
              <w:rPr>
                <w:rFonts w:ascii="Arial" w:hAnsi="Arial" w:cs="Arial"/>
              </w:rPr>
              <w:t xml:space="preserve">materials </w:t>
            </w:r>
            <w:r w:rsidR="00DD3583">
              <w:rPr>
                <w:rFonts w:ascii="Arial" w:hAnsi="Arial" w:cs="Arial"/>
              </w:rPr>
              <w:t>in devices, reduce energy consumption, and adopt ethical supply chain</w:t>
            </w:r>
            <w:r w:rsidR="00D24806" w:rsidRPr="00D24806">
              <w:rPr>
                <w:rFonts w:ascii="Arial" w:hAnsi="Arial" w:cs="Arial"/>
              </w:rPr>
              <w:t xml:space="preserve"> practices.</w:t>
            </w:r>
          </w:p>
        </w:tc>
      </w:tr>
    </w:tbl>
    <w:p w14:paraId="772AC51C" w14:textId="77777777" w:rsidR="003653FE" w:rsidRDefault="003653FE" w:rsidP="003653FE"/>
    <w:p w14:paraId="132A479C" w14:textId="77777777" w:rsidR="0065473D" w:rsidRDefault="0065473D" w:rsidP="003653FE"/>
    <w:p w14:paraId="10494962" w14:textId="77777777" w:rsidR="0065473D" w:rsidRDefault="0065473D" w:rsidP="003653FE"/>
    <w:p w14:paraId="5F18C4F7" w14:textId="77777777" w:rsidR="0065473D" w:rsidRDefault="0065473D" w:rsidP="003653FE"/>
    <w:p w14:paraId="12144123" w14:textId="77777777" w:rsidR="0065473D" w:rsidRDefault="0065473D" w:rsidP="003653FE"/>
    <w:p w14:paraId="5C475800" w14:textId="77777777" w:rsidR="00566B70" w:rsidRDefault="00566B70" w:rsidP="00E9075E">
      <w:pPr>
        <w:pStyle w:val="Heading1"/>
      </w:pPr>
    </w:p>
    <w:p w14:paraId="22A4AD44" w14:textId="77777777" w:rsidR="00566B70" w:rsidRDefault="00566B70" w:rsidP="00E9075E">
      <w:pPr>
        <w:pStyle w:val="Heading1"/>
      </w:pPr>
    </w:p>
    <w:p w14:paraId="40633139" w14:textId="3807E9E4" w:rsidR="0065473D" w:rsidRDefault="0065473D" w:rsidP="00E9075E">
      <w:pPr>
        <w:pStyle w:val="Heading1"/>
      </w:pPr>
      <w:bookmarkStart w:id="3" w:name="_Toc217020548"/>
      <w:r>
        <w:t>Smart</w:t>
      </w:r>
      <w:r w:rsidR="00E9075E">
        <w:t xml:space="preserve"> Objectives</w:t>
      </w:r>
      <w:bookmarkEnd w:id="3"/>
    </w:p>
    <w:p w14:paraId="5668FE29" w14:textId="77777777" w:rsidR="00EF72D8" w:rsidRDefault="00EF72D8" w:rsidP="00EF72D8"/>
    <w:tbl>
      <w:tblPr>
        <w:tblStyle w:val="TableGrid"/>
        <w:tblW w:w="0" w:type="auto"/>
        <w:tblLook w:val="04A0" w:firstRow="1" w:lastRow="0" w:firstColumn="1" w:lastColumn="0" w:noHBand="0" w:noVBand="1"/>
      </w:tblPr>
      <w:tblGrid>
        <w:gridCol w:w="2254"/>
        <w:gridCol w:w="2254"/>
        <w:gridCol w:w="2254"/>
        <w:gridCol w:w="2254"/>
      </w:tblGrid>
      <w:tr w:rsidR="003C6391" w14:paraId="79B3098E" w14:textId="77777777" w:rsidTr="003C6391">
        <w:tc>
          <w:tcPr>
            <w:tcW w:w="2254" w:type="dxa"/>
          </w:tcPr>
          <w:p w14:paraId="2951D480" w14:textId="7DFA09FB" w:rsidR="003C6391" w:rsidRPr="00DC4335" w:rsidRDefault="003C6391" w:rsidP="00EF72D8">
            <w:pPr>
              <w:rPr>
                <w:rFonts w:ascii="Arial" w:hAnsi="Arial" w:cs="Arial"/>
              </w:rPr>
            </w:pPr>
            <w:r w:rsidRPr="00DC4335">
              <w:rPr>
                <w:rFonts w:ascii="Arial" w:hAnsi="Arial" w:cs="Arial"/>
                <w:sz w:val="28"/>
                <w:szCs w:val="28"/>
              </w:rPr>
              <w:t>S</w:t>
            </w:r>
            <w:r w:rsidR="0048198F" w:rsidRPr="00DC4335">
              <w:rPr>
                <w:rFonts w:ascii="Arial" w:hAnsi="Arial" w:cs="Arial"/>
              </w:rPr>
              <w:t>pecific</w:t>
            </w:r>
          </w:p>
        </w:tc>
        <w:tc>
          <w:tcPr>
            <w:tcW w:w="2254" w:type="dxa"/>
          </w:tcPr>
          <w:p w14:paraId="4351FDA7" w14:textId="15D39104" w:rsidR="003C6391" w:rsidRPr="00DC4335" w:rsidRDefault="00DC4335" w:rsidP="00EF72D8">
            <w:pPr>
              <w:rPr>
                <w:rFonts w:ascii="Arial" w:hAnsi="Arial" w:cs="Arial"/>
              </w:rPr>
            </w:pPr>
            <w:r w:rsidRPr="00DC4335">
              <w:rPr>
                <w:rFonts w:ascii="Arial" w:hAnsi="Arial" w:cs="Arial"/>
                <w:sz w:val="28"/>
                <w:szCs w:val="28"/>
              </w:rPr>
              <w:t>M</w:t>
            </w:r>
            <w:r w:rsidRPr="00DC4335">
              <w:rPr>
                <w:rFonts w:ascii="Arial" w:hAnsi="Arial" w:cs="Arial"/>
              </w:rPr>
              <w:t>easurable</w:t>
            </w:r>
          </w:p>
        </w:tc>
        <w:tc>
          <w:tcPr>
            <w:tcW w:w="2254" w:type="dxa"/>
          </w:tcPr>
          <w:p w14:paraId="3B7CD0A0" w14:textId="44BFE23C" w:rsidR="003C6391" w:rsidRPr="00DC4335" w:rsidRDefault="00532251" w:rsidP="00EF72D8">
            <w:pPr>
              <w:rPr>
                <w:rFonts w:ascii="Arial" w:hAnsi="Arial" w:cs="Arial"/>
              </w:rPr>
            </w:pPr>
            <w:r w:rsidRPr="00461497">
              <w:rPr>
                <w:rFonts w:ascii="Arial" w:hAnsi="Arial" w:cs="Arial"/>
                <w:sz w:val="28"/>
                <w:szCs w:val="28"/>
              </w:rPr>
              <w:t>A</w:t>
            </w:r>
            <w:r>
              <w:rPr>
                <w:rFonts w:ascii="Arial" w:hAnsi="Arial" w:cs="Arial"/>
              </w:rPr>
              <w:t>chievable</w:t>
            </w:r>
          </w:p>
        </w:tc>
        <w:tc>
          <w:tcPr>
            <w:tcW w:w="2254" w:type="dxa"/>
          </w:tcPr>
          <w:p w14:paraId="3E5C659D" w14:textId="2EF1899E" w:rsidR="003C6391" w:rsidRPr="00CE0E53" w:rsidRDefault="00E5496A" w:rsidP="00EF72D8">
            <w:pPr>
              <w:rPr>
                <w:rFonts w:ascii="Arial" w:hAnsi="Arial" w:cs="Arial"/>
                <w:sz w:val="28"/>
                <w:szCs w:val="28"/>
              </w:rPr>
            </w:pPr>
            <w:r w:rsidRPr="00CE0E53">
              <w:rPr>
                <w:rFonts w:ascii="Arial" w:hAnsi="Arial" w:cs="Arial"/>
                <w:sz w:val="28"/>
                <w:szCs w:val="28"/>
              </w:rPr>
              <w:t>T</w:t>
            </w:r>
            <w:r w:rsidR="00461497" w:rsidRPr="00461497">
              <w:rPr>
                <w:rFonts w:ascii="Arial" w:hAnsi="Arial" w:cs="Arial"/>
              </w:rPr>
              <w:t>ime-bound</w:t>
            </w:r>
          </w:p>
        </w:tc>
      </w:tr>
      <w:tr w:rsidR="003C6391" w14:paraId="2E7F0EB6" w14:textId="77777777" w:rsidTr="003C6391">
        <w:tc>
          <w:tcPr>
            <w:tcW w:w="2254" w:type="dxa"/>
          </w:tcPr>
          <w:p w14:paraId="64827E66" w14:textId="15BE3E01" w:rsidR="003C6391" w:rsidRPr="00DC4335" w:rsidRDefault="00566B70" w:rsidP="00EF72D8">
            <w:pPr>
              <w:rPr>
                <w:rFonts w:ascii="Arial" w:hAnsi="Arial" w:cs="Arial"/>
              </w:rPr>
            </w:pPr>
            <w:r w:rsidRPr="00566B70">
              <w:rPr>
                <w:rFonts w:ascii="Arial" w:hAnsi="Arial" w:cs="Arial"/>
              </w:rPr>
              <w:t>Deliver a wearable device measuring HR, SpO2 and sleep data, fully integrated with Huma’s ecosystem.</w:t>
            </w:r>
          </w:p>
        </w:tc>
        <w:tc>
          <w:tcPr>
            <w:tcW w:w="2254" w:type="dxa"/>
          </w:tcPr>
          <w:p w14:paraId="7D380BF5" w14:textId="1061D22D" w:rsidR="003C6391" w:rsidRPr="00DC4335" w:rsidRDefault="002C3AAA" w:rsidP="00EF72D8">
            <w:pPr>
              <w:rPr>
                <w:rFonts w:ascii="Arial" w:hAnsi="Arial" w:cs="Arial"/>
              </w:rPr>
            </w:pPr>
            <w:r w:rsidRPr="002C3AAA">
              <w:rPr>
                <w:rFonts w:ascii="Arial" w:hAnsi="Arial" w:cs="Arial"/>
              </w:rPr>
              <w:t>Complete 95% of technical and regulatory milestones by month 5</w:t>
            </w:r>
            <w:r>
              <w:rPr>
                <w:rFonts w:ascii="Arial" w:hAnsi="Arial" w:cs="Arial"/>
              </w:rPr>
              <w:t xml:space="preserve"> and</w:t>
            </w:r>
            <w:r w:rsidRPr="002C3AAA">
              <w:rPr>
                <w:rFonts w:ascii="Arial" w:hAnsi="Arial" w:cs="Arial"/>
              </w:rPr>
              <w:t xml:space="preserve"> secure NHS partner readiness by month 6.</w:t>
            </w:r>
          </w:p>
        </w:tc>
        <w:tc>
          <w:tcPr>
            <w:tcW w:w="2254" w:type="dxa"/>
          </w:tcPr>
          <w:p w14:paraId="6A2FAE56" w14:textId="5D2073A5" w:rsidR="003C6391" w:rsidRPr="00DC4335" w:rsidRDefault="00511CCF" w:rsidP="00EF72D8">
            <w:pPr>
              <w:rPr>
                <w:rFonts w:ascii="Arial" w:hAnsi="Arial" w:cs="Arial"/>
              </w:rPr>
            </w:pPr>
            <w:r w:rsidRPr="00511CCF">
              <w:rPr>
                <w:rFonts w:ascii="Arial" w:hAnsi="Arial" w:cs="Arial"/>
              </w:rPr>
              <w:t>Expands Huma’s consumer-health line and supports its mission to “transform healthcare globally.”</w:t>
            </w:r>
          </w:p>
        </w:tc>
        <w:tc>
          <w:tcPr>
            <w:tcW w:w="2254" w:type="dxa"/>
          </w:tcPr>
          <w:p w14:paraId="42400EA8" w14:textId="254AD03B" w:rsidR="003C6391" w:rsidRPr="00DC4335" w:rsidRDefault="00362FF2" w:rsidP="00EF72D8">
            <w:pPr>
              <w:rPr>
                <w:rFonts w:ascii="Arial" w:hAnsi="Arial" w:cs="Arial"/>
              </w:rPr>
            </w:pPr>
            <w:r w:rsidRPr="00362FF2">
              <w:rPr>
                <w:rFonts w:ascii="Arial" w:hAnsi="Arial" w:cs="Arial"/>
              </w:rPr>
              <w:t>Commercial launch scheduled for six months from project initiation.</w:t>
            </w:r>
          </w:p>
        </w:tc>
      </w:tr>
    </w:tbl>
    <w:p w14:paraId="23D7CE05" w14:textId="77777777" w:rsidR="00EF72D8" w:rsidRPr="00EF72D8" w:rsidRDefault="00EF72D8" w:rsidP="00EF72D8"/>
    <w:p w14:paraId="4CEB7E7B" w14:textId="77777777" w:rsidR="00E9075E" w:rsidRDefault="00E9075E" w:rsidP="00E9075E"/>
    <w:p w14:paraId="7CE84C72" w14:textId="77777777" w:rsidR="00362FF2" w:rsidRDefault="00362FF2" w:rsidP="00E9075E"/>
    <w:p w14:paraId="322B9218" w14:textId="77777777" w:rsidR="00362FF2" w:rsidRDefault="00362FF2" w:rsidP="00E9075E"/>
    <w:p w14:paraId="5EAE041E" w14:textId="53768E27" w:rsidR="00362FF2" w:rsidRDefault="00362FF2" w:rsidP="00E9075E"/>
    <w:p w14:paraId="1DB1BEAC" w14:textId="77777777" w:rsidR="00BA633E" w:rsidRDefault="00BA633E" w:rsidP="00BA633E">
      <w:pPr>
        <w:pStyle w:val="Heading1"/>
      </w:pPr>
    </w:p>
    <w:p w14:paraId="39F571F7" w14:textId="348998A5" w:rsidR="00362FF2" w:rsidRDefault="00362FF2" w:rsidP="00BA633E">
      <w:pPr>
        <w:pStyle w:val="Heading1"/>
      </w:pPr>
      <w:bookmarkStart w:id="4" w:name="_Toc217020549"/>
      <w:r>
        <w:t xml:space="preserve">Key </w:t>
      </w:r>
      <w:r w:rsidR="00BA633E">
        <w:t>Internal and External Stakeholders</w:t>
      </w:r>
      <w:bookmarkEnd w:id="4"/>
    </w:p>
    <w:p w14:paraId="4DDDF4D1" w14:textId="77777777" w:rsidR="00EA32CA" w:rsidRDefault="00EA32CA" w:rsidP="00EA32CA"/>
    <w:p w14:paraId="6F4A4ECA" w14:textId="5832752C" w:rsidR="00EA32CA" w:rsidRPr="00EA32CA" w:rsidRDefault="00314433" w:rsidP="00EA32CA">
      <w:pPr>
        <w:rPr>
          <w:rFonts w:ascii="Arial" w:hAnsi="Arial" w:cs="Arial"/>
          <w:b/>
          <w:bCs/>
        </w:rPr>
      </w:pPr>
      <w:r w:rsidRPr="00314433">
        <w:rPr>
          <w:rFonts w:ascii="Arial" w:hAnsi="Arial" w:cs="Arial"/>
          <w:b/>
          <w:bCs/>
        </w:rPr>
        <w:t>Internal Stakeholders</w:t>
      </w:r>
    </w:p>
    <w:p w14:paraId="10BD90CC" w14:textId="77777777" w:rsidR="00EA32CA" w:rsidRPr="00EA32CA" w:rsidRDefault="00EA32CA" w:rsidP="00EA32CA">
      <w:pPr>
        <w:rPr>
          <w:rFonts w:ascii="Arial" w:hAnsi="Arial" w:cs="Arial"/>
          <w:b/>
          <w:bCs/>
        </w:rPr>
      </w:pPr>
      <w:r w:rsidRPr="00EA32CA">
        <w:rPr>
          <w:rFonts w:ascii="Arial" w:hAnsi="Arial" w:cs="Arial"/>
          <w:b/>
          <w:bCs/>
        </w:rPr>
        <w:t>Project Manager</w:t>
      </w:r>
    </w:p>
    <w:p w14:paraId="5368ADDC" w14:textId="77777777" w:rsidR="00EA32CA" w:rsidRPr="00EA32CA" w:rsidRDefault="00EA32CA" w:rsidP="00EA32CA">
      <w:pPr>
        <w:rPr>
          <w:rFonts w:ascii="Arial" w:hAnsi="Arial" w:cs="Arial"/>
        </w:rPr>
      </w:pPr>
      <w:r w:rsidRPr="00EA32CA">
        <w:rPr>
          <w:rFonts w:ascii="Arial" w:hAnsi="Arial" w:cs="Arial"/>
        </w:rPr>
        <w:t>Responsible for coordinating the end-to-end delivery of the device, managing timelines, budgets and risks (PMI, 2021).</w:t>
      </w:r>
    </w:p>
    <w:p w14:paraId="71E2C342" w14:textId="77777777" w:rsidR="00EA32CA" w:rsidRPr="00EA32CA" w:rsidRDefault="00EA32CA" w:rsidP="00EA32CA">
      <w:pPr>
        <w:rPr>
          <w:rFonts w:ascii="Arial" w:hAnsi="Arial" w:cs="Arial"/>
          <w:b/>
          <w:bCs/>
        </w:rPr>
      </w:pPr>
      <w:r w:rsidRPr="00EA32CA">
        <w:rPr>
          <w:rFonts w:ascii="Arial" w:hAnsi="Arial" w:cs="Arial"/>
          <w:b/>
          <w:bCs/>
        </w:rPr>
        <w:t>Engineering &amp; Software Teams</w:t>
      </w:r>
    </w:p>
    <w:p w14:paraId="2369C239" w14:textId="156715E8" w:rsidR="00EA32CA" w:rsidRPr="00EA32CA" w:rsidRDefault="00EA32CA" w:rsidP="00EA32CA">
      <w:pPr>
        <w:rPr>
          <w:rFonts w:ascii="Arial" w:hAnsi="Arial" w:cs="Arial"/>
        </w:rPr>
      </w:pPr>
      <w:r w:rsidRPr="00EA32CA">
        <w:rPr>
          <w:rFonts w:ascii="Arial" w:hAnsi="Arial" w:cs="Arial"/>
        </w:rPr>
        <w:t>Develop the wearable firmware, app integration</w:t>
      </w:r>
      <w:r w:rsidR="00C67AE8">
        <w:rPr>
          <w:rFonts w:ascii="Arial" w:hAnsi="Arial" w:cs="Arial"/>
        </w:rPr>
        <w:t>, and cloud data</w:t>
      </w:r>
      <w:r w:rsidRPr="00EA32CA">
        <w:rPr>
          <w:rFonts w:ascii="Arial" w:hAnsi="Arial" w:cs="Arial"/>
        </w:rPr>
        <w:t xml:space="preserve"> pipelines.</w:t>
      </w:r>
    </w:p>
    <w:p w14:paraId="2B4CD94D" w14:textId="77777777" w:rsidR="00EA32CA" w:rsidRPr="00EA32CA" w:rsidRDefault="00EA32CA" w:rsidP="00EA32CA">
      <w:pPr>
        <w:rPr>
          <w:rFonts w:ascii="Arial" w:hAnsi="Arial" w:cs="Arial"/>
          <w:b/>
          <w:bCs/>
        </w:rPr>
      </w:pPr>
      <w:r w:rsidRPr="00EA32CA">
        <w:rPr>
          <w:rFonts w:ascii="Arial" w:hAnsi="Arial" w:cs="Arial"/>
          <w:b/>
          <w:bCs/>
        </w:rPr>
        <w:t>Clinical &amp; Regulatory Affairs Teams</w:t>
      </w:r>
    </w:p>
    <w:p w14:paraId="3E393B96" w14:textId="66C57BB4" w:rsidR="00EA32CA" w:rsidRPr="00EA32CA" w:rsidRDefault="00EA32CA" w:rsidP="00EA32CA">
      <w:pPr>
        <w:rPr>
          <w:rFonts w:ascii="Arial" w:hAnsi="Arial" w:cs="Arial"/>
        </w:rPr>
      </w:pPr>
      <w:r w:rsidRPr="00EA32CA">
        <w:rPr>
          <w:rFonts w:ascii="Arial" w:hAnsi="Arial" w:cs="Arial"/>
        </w:rPr>
        <w:t>Ensure the device and app meet medical device regulatory frameworks, quality standards</w:t>
      </w:r>
      <w:r w:rsidR="00C67AE8">
        <w:rPr>
          <w:rFonts w:ascii="Arial" w:hAnsi="Arial" w:cs="Arial"/>
        </w:rPr>
        <w:t>, and clinical-grade accuracy requirements</w:t>
      </w:r>
      <w:r w:rsidRPr="00EA32CA">
        <w:rPr>
          <w:rFonts w:ascii="Arial" w:hAnsi="Arial" w:cs="Arial"/>
        </w:rPr>
        <w:t>.</w:t>
      </w:r>
    </w:p>
    <w:p w14:paraId="34AFB073" w14:textId="77777777" w:rsidR="00EA32CA" w:rsidRPr="00EA32CA" w:rsidRDefault="00EA32CA" w:rsidP="00EA32CA">
      <w:pPr>
        <w:rPr>
          <w:rFonts w:ascii="Arial" w:hAnsi="Arial" w:cs="Arial"/>
          <w:b/>
          <w:bCs/>
        </w:rPr>
      </w:pPr>
      <w:r w:rsidRPr="00EA32CA">
        <w:rPr>
          <w:rFonts w:ascii="Arial" w:hAnsi="Arial" w:cs="Arial"/>
          <w:b/>
          <w:bCs/>
        </w:rPr>
        <w:t>Data Science / Digital Biomarker Team</w:t>
      </w:r>
    </w:p>
    <w:p w14:paraId="53110624" w14:textId="26C9BFEE" w:rsidR="00EA32CA" w:rsidRPr="00EA32CA" w:rsidRDefault="00EA32CA" w:rsidP="00EA32CA">
      <w:pPr>
        <w:rPr>
          <w:rFonts w:ascii="Arial" w:hAnsi="Arial" w:cs="Arial"/>
        </w:rPr>
      </w:pPr>
      <w:r w:rsidRPr="00EA32CA">
        <w:rPr>
          <w:rFonts w:ascii="Arial" w:hAnsi="Arial" w:cs="Arial"/>
        </w:rPr>
        <w:t xml:space="preserve">Develop algorithms for </w:t>
      </w:r>
      <w:r w:rsidR="00C67AE8">
        <w:rPr>
          <w:rFonts w:ascii="Arial" w:hAnsi="Arial" w:cs="Arial"/>
        </w:rPr>
        <w:t>heart rate trend analysis, sleep analysis,</w:t>
      </w:r>
      <w:r w:rsidRPr="00EA32CA">
        <w:rPr>
          <w:rFonts w:ascii="Arial" w:hAnsi="Arial" w:cs="Arial"/>
        </w:rPr>
        <w:t xml:space="preserve"> and oxygen variation detection (Pang et al., 2022).</w:t>
      </w:r>
    </w:p>
    <w:p w14:paraId="4F256F2A" w14:textId="77777777" w:rsidR="00EA32CA" w:rsidRPr="00EA32CA" w:rsidRDefault="00EA32CA" w:rsidP="00EA32CA">
      <w:pPr>
        <w:rPr>
          <w:rFonts w:ascii="Arial" w:hAnsi="Arial" w:cs="Arial"/>
          <w:b/>
          <w:bCs/>
        </w:rPr>
      </w:pPr>
      <w:r w:rsidRPr="00EA32CA">
        <w:rPr>
          <w:rFonts w:ascii="Arial" w:hAnsi="Arial" w:cs="Arial"/>
          <w:b/>
          <w:bCs/>
        </w:rPr>
        <w:lastRenderedPageBreak/>
        <w:t>Marketing &amp; Communications</w:t>
      </w:r>
    </w:p>
    <w:p w14:paraId="6A268129" w14:textId="77777777" w:rsidR="00EA32CA" w:rsidRPr="00EA32CA" w:rsidRDefault="00EA32CA" w:rsidP="00EA32CA">
      <w:pPr>
        <w:rPr>
          <w:rFonts w:ascii="Arial" w:hAnsi="Arial" w:cs="Arial"/>
        </w:rPr>
      </w:pPr>
      <w:r w:rsidRPr="00EA32CA">
        <w:rPr>
          <w:rFonts w:ascii="Arial" w:hAnsi="Arial" w:cs="Arial"/>
        </w:rPr>
        <w:t>Develop the go-to-market strategy, branding and consumer messaging.</w:t>
      </w:r>
    </w:p>
    <w:p w14:paraId="6235F91B" w14:textId="77777777" w:rsidR="00EA32CA" w:rsidRPr="00EA32CA" w:rsidRDefault="00EA32CA" w:rsidP="00EA32CA">
      <w:pPr>
        <w:rPr>
          <w:rFonts w:ascii="Arial" w:hAnsi="Arial" w:cs="Arial"/>
          <w:b/>
          <w:bCs/>
        </w:rPr>
      </w:pPr>
      <w:r w:rsidRPr="00EA32CA">
        <w:rPr>
          <w:rFonts w:ascii="Arial" w:hAnsi="Arial" w:cs="Arial"/>
          <w:b/>
          <w:bCs/>
        </w:rPr>
        <w:t>Commercial &amp; Partnerships Team</w:t>
      </w:r>
    </w:p>
    <w:p w14:paraId="4BA25A46" w14:textId="77777777" w:rsidR="00EA32CA" w:rsidRPr="00EA32CA" w:rsidRDefault="00EA32CA" w:rsidP="00EA32CA">
      <w:pPr>
        <w:rPr>
          <w:rFonts w:ascii="Arial" w:hAnsi="Arial" w:cs="Arial"/>
        </w:rPr>
      </w:pPr>
      <w:r w:rsidRPr="00EA32CA">
        <w:rPr>
          <w:rFonts w:ascii="Arial" w:hAnsi="Arial" w:cs="Arial"/>
        </w:rPr>
        <w:t>Establish retailer agreements, NHS collaborations and insurer partnerships.</w:t>
      </w:r>
    </w:p>
    <w:p w14:paraId="2E6E04A0" w14:textId="77777777" w:rsidR="00EA32CA" w:rsidRPr="00EA32CA" w:rsidRDefault="00EA32CA" w:rsidP="00EA32CA">
      <w:pPr>
        <w:rPr>
          <w:rFonts w:ascii="Arial" w:hAnsi="Arial" w:cs="Arial"/>
          <w:b/>
          <w:bCs/>
        </w:rPr>
      </w:pPr>
      <w:r w:rsidRPr="00EA32CA">
        <w:rPr>
          <w:rFonts w:ascii="Arial" w:hAnsi="Arial" w:cs="Arial"/>
          <w:b/>
          <w:bCs/>
        </w:rPr>
        <w:t>Procurement &amp; Supply Chain</w:t>
      </w:r>
    </w:p>
    <w:p w14:paraId="4DB435C2" w14:textId="77777777" w:rsidR="00EA32CA" w:rsidRPr="00EA32CA" w:rsidRDefault="00EA32CA" w:rsidP="00EA32CA">
      <w:pPr>
        <w:rPr>
          <w:rFonts w:ascii="Arial" w:hAnsi="Arial" w:cs="Arial"/>
        </w:rPr>
      </w:pPr>
      <w:r w:rsidRPr="00EA32CA">
        <w:rPr>
          <w:rFonts w:ascii="Arial" w:hAnsi="Arial" w:cs="Arial"/>
        </w:rPr>
        <w:t>Coordinate with device manufacturers, negotiate component sourcing and oversee logistics.</w:t>
      </w:r>
    </w:p>
    <w:p w14:paraId="157F1FD5" w14:textId="77777777" w:rsidR="00EA32CA" w:rsidRPr="00EA32CA" w:rsidRDefault="00EA32CA" w:rsidP="00EA32CA">
      <w:pPr>
        <w:rPr>
          <w:rFonts w:ascii="Arial" w:hAnsi="Arial" w:cs="Arial"/>
          <w:b/>
          <w:bCs/>
        </w:rPr>
      </w:pPr>
      <w:r w:rsidRPr="00EA32CA">
        <w:rPr>
          <w:rFonts w:ascii="Arial" w:hAnsi="Arial" w:cs="Arial"/>
          <w:b/>
          <w:bCs/>
        </w:rPr>
        <w:t>Finance Team</w:t>
      </w:r>
    </w:p>
    <w:p w14:paraId="48F4E560" w14:textId="77777777" w:rsidR="00EA32CA" w:rsidRDefault="00EA32CA" w:rsidP="00EA32CA">
      <w:pPr>
        <w:rPr>
          <w:rFonts w:ascii="Arial" w:hAnsi="Arial" w:cs="Arial"/>
        </w:rPr>
      </w:pPr>
      <w:r w:rsidRPr="00EA32CA">
        <w:rPr>
          <w:rFonts w:ascii="Arial" w:hAnsi="Arial" w:cs="Arial"/>
        </w:rPr>
        <w:t>Manage budgets, financial forecasting and investment planning.</w:t>
      </w:r>
    </w:p>
    <w:p w14:paraId="6915E921" w14:textId="77777777" w:rsidR="00FA3034" w:rsidRDefault="00FA3034" w:rsidP="00EA32CA">
      <w:pPr>
        <w:rPr>
          <w:rFonts w:ascii="Arial" w:hAnsi="Arial" w:cs="Arial"/>
        </w:rPr>
      </w:pPr>
    </w:p>
    <w:p w14:paraId="1C03DAEC" w14:textId="77777777" w:rsidR="00FA3034" w:rsidRDefault="00FA3034" w:rsidP="00EA32CA">
      <w:pPr>
        <w:rPr>
          <w:rFonts w:ascii="Arial" w:hAnsi="Arial" w:cs="Arial"/>
        </w:rPr>
      </w:pPr>
    </w:p>
    <w:p w14:paraId="1C429232" w14:textId="0D16DC93" w:rsidR="00FA3034" w:rsidRDefault="00FA3034" w:rsidP="00EA32CA">
      <w:pPr>
        <w:rPr>
          <w:rFonts w:ascii="Arial" w:hAnsi="Arial" w:cs="Arial"/>
          <w:b/>
          <w:bCs/>
        </w:rPr>
      </w:pPr>
      <w:r w:rsidRPr="00B76CCD">
        <w:rPr>
          <w:rFonts w:ascii="Arial" w:hAnsi="Arial" w:cs="Arial"/>
          <w:b/>
          <w:bCs/>
        </w:rPr>
        <w:t>External Stakeholders</w:t>
      </w:r>
    </w:p>
    <w:p w14:paraId="12C8DBCD" w14:textId="77777777" w:rsidR="00B76CCD" w:rsidRDefault="00B76CCD" w:rsidP="00EA32CA">
      <w:pPr>
        <w:rPr>
          <w:rFonts w:ascii="Arial" w:hAnsi="Arial" w:cs="Arial"/>
          <w:b/>
          <w:bCs/>
        </w:rPr>
      </w:pPr>
    </w:p>
    <w:p w14:paraId="1681E25F" w14:textId="77777777" w:rsidR="006C6C92" w:rsidRPr="006C6C92" w:rsidRDefault="006C6C92" w:rsidP="006C6C92">
      <w:pPr>
        <w:rPr>
          <w:rFonts w:ascii="Arial" w:hAnsi="Arial" w:cs="Arial"/>
          <w:b/>
          <w:bCs/>
        </w:rPr>
      </w:pPr>
      <w:r w:rsidRPr="006C6C92">
        <w:rPr>
          <w:rFonts w:ascii="Arial" w:hAnsi="Arial" w:cs="Arial"/>
          <w:b/>
          <w:bCs/>
        </w:rPr>
        <w:t>NHS and Healthcare Partners</w:t>
      </w:r>
    </w:p>
    <w:p w14:paraId="0FD6112F" w14:textId="77777777" w:rsidR="006C6C92" w:rsidRPr="006C6C92" w:rsidRDefault="006C6C92" w:rsidP="006C6C92">
      <w:pPr>
        <w:rPr>
          <w:rFonts w:ascii="Arial" w:hAnsi="Arial" w:cs="Arial"/>
        </w:rPr>
      </w:pPr>
      <w:r w:rsidRPr="006C6C92">
        <w:rPr>
          <w:rFonts w:ascii="Arial" w:hAnsi="Arial" w:cs="Arial"/>
        </w:rPr>
        <w:t>Critical for validation, clinical pathway integration and credibility (NHS England, 2022).</w:t>
      </w:r>
    </w:p>
    <w:p w14:paraId="225DF42B" w14:textId="77777777" w:rsidR="006C6C92" w:rsidRPr="006C6C92" w:rsidRDefault="006C6C92" w:rsidP="006C6C92">
      <w:pPr>
        <w:rPr>
          <w:rFonts w:ascii="Arial" w:hAnsi="Arial" w:cs="Arial"/>
          <w:b/>
          <w:bCs/>
        </w:rPr>
      </w:pPr>
      <w:r w:rsidRPr="006C6C92">
        <w:rPr>
          <w:rFonts w:ascii="Arial" w:hAnsi="Arial" w:cs="Arial"/>
          <w:b/>
          <w:bCs/>
        </w:rPr>
        <w:t>Device Manufacturers &amp; Suppliers</w:t>
      </w:r>
    </w:p>
    <w:p w14:paraId="096CE307" w14:textId="14ED7AFB" w:rsidR="006C6C92" w:rsidRPr="006C6C92" w:rsidRDefault="006C6C92" w:rsidP="006C6C92">
      <w:pPr>
        <w:rPr>
          <w:rFonts w:ascii="Arial" w:hAnsi="Arial" w:cs="Arial"/>
        </w:rPr>
      </w:pPr>
      <w:r>
        <w:rPr>
          <w:rFonts w:ascii="Arial" w:hAnsi="Arial" w:cs="Arial"/>
        </w:rPr>
        <w:t>They p</w:t>
      </w:r>
      <w:r w:rsidRPr="006C6C92">
        <w:rPr>
          <w:rFonts w:ascii="Arial" w:hAnsi="Arial" w:cs="Arial"/>
        </w:rPr>
        <w:t>rovide hardware components and final assembly.</w:t>
      </w:r>
    </w:p>
    <w:p w14:paraId="314E2902" w14:textId="77777777" w:rsidR="006C6C92" w:rsidRPr="006C6C92" w:rsidRDefault="006C6C92" w:rsidP="006C6C92">
      <w:pPr>
        <w:rPr>
          <w:rFonts w:ascii="Arial" w:hAnsi="Arial" w:cs="Arial"/>
          <w:b/>
          <w:bCs/>
        </w:rPr>
      </w:pPr>
      <w:r w:rsidRPr="006C6C92">
        <w:rPr>
          <w:rFonts w:ascii="Arial" w:hAnsi="Arial" w:cs="Arial"/>
          <w:b/>
          <w:bCs/>
        </w:rPr>
        <w:t>Regulators</w:t>
      </w:r>
    </w:p>
    <w:p w14:paraId="1E8804AD" w14:textId="77777777" w:rsidR="006C6C92" w:rsidRPr="006C6C92" w:rsidRDefault="006C6C92" w:rsidP="006C6C92">
      <w:pPr>
        <w:rPr>
          <w:rFonts w:ascii="Arial" w:hAnsi="Arial" w:cs="Arial"/>
        </w:rPr>
      </w:pPr>
      <w:r w:rsidRPr="006C6C92">
        <w:rPr>
          <w:rFonts w:ascii="Arial" w:hAnsi="Arial" w:cs="Arial"/>
        </w:rPr>
        <w:t>UK MHRA, ICO and other relevant authorities ensure safety, compliance and data protection.</w:t>
      </w:r>
    </w:p>
    <w:p w14:paraId="6328173E" w14:textId="77777777" w:rsidR="006C6C92" w:rsidRPr="006C6C92" w:rsidRDefault="006C6C92" w:rsidP="006C6C92">
      <w:pPr>
        <w:rPr>
          <w:rFonts w:ascii="Arial" w:hAnsi="Arial" w:cs="Arial"/>
          <w:b/>
          <w:bCs/>
        </w:rPr>
      </w:pPr>
      <w:r w:rsidRPr="006C6C92">
        <w:rPr>
          <w:rFonts w:ascii="Arial" w:hAnsi="Arial" w:cs="Arial"/>
          <w:b/>
          <w:bCs/>
        </w:rPr>
        <w:t>Consumers</w:t>
      </w:r>
    </w:p>
    <w:p w14:paraId="1410A0C9" w14:textId="77777777" w:rsidR="006C6C92" w:rsidRPr="006C6C92" w:rsidRDefault="006C6C92" w:rsidP="006C6C92">
      <w:pPr>
        <w:rPr>
          <w:rFonts w:ascii="Arial" w:hAnsi="Arial" w:cs="Arial"/>
        </w:rPr>
      </w:pPr>
      <w:r w:rsidRPr="006C6C92">
        <w:rPr>
          <w:rFonts w:ascii="Arial" w:hAnsi="Arial" w:cs="Arial"/>
        </w:rPr>
        <w:t>End-users provide usability feedback, feature expectations and long-term product adoption.</w:t>
      </w:r>
    </w:p>
    <w:p w14:paraId="5CF4EAC7" w14:textId="77777777" w:rsidR="006C6C92" w:rsidRPr="006C6C92" w:rsidRDefault="006C6C92" w:rsidP="006C6C92">
      <w:pPr>
        <w:rPr>
          <w:rFonts w:ascii="Arial" w:hAnsi="Arial" w:cs="Arial"/>
          <w:b/>
          <w:bCs/>
        </w:rPr>
      </w:pPr>
      <w:r w:rsidRPr="006C6C92">
        <w:rPr>
          <w:rFonts w:ascii="Arial" w:hAnsi="Arial" w:cs="Arial"/>
          <w:b/>
          <w:bCs/>
        </w:rPr>
        <w:t>Insurers &amp; Corporate Wellbeing Programmes</w:t>
      </w:r>
    </w:p>
    <w:p w14:paraId="3ADFB121" w14:textId="77777777" w:rsidR="006C6C92" w:rsidRPr="006C6C92" w:rsidRDefault="006C6C92" w:rsidP="006C6C92">
      <w:pPr>
        <w:rPr>
          <w:rFonts w:ascii="Arial" w:hAnsi="Arial" w:cs="Arial"/>
        </w:rPr>
      </w:pPr>
      <w:r w:rsidRPr="006C6C92">
        <w:rPr>
          <w:rFonts w:ascii="Arial" w:hAnsi="Arial" w:cs="Arial"/>
        </w:rPr>
        <w:t>Potential partners to incentivise health-tracking among employees or beneficiaries.</w:t>
      </w:r>
    </w:p>
    <w:p w14:paraId="329B1ADA" w14:textId="77777777" w:rsidR="006C6C92" w:rsidRPr="006C6C92" w:rsidRDefault="006C6C92" w:rsidP="006C6C92">
      <w:pPr>
        <w:rPr>
          <w:rFonts w:ascii="Arial" w:hAnsi="Arial" w:cs="Arial"/>
          <w:b/>
          <w:bCs/>
        </w:rPr>
      </w:pPr>
      <w:r w:rsidRPr="006C6C92">
        <w:rPr>
          <w:rFonts w:ascii="Arial" w:hAnsi="Arial" w:cs="Arial"/>
          <w:b/>
          <w:bCs/>
        </w:rPr>
        <w:t>Investors</w:t>
      </w:r>
    </w:p>
    <w:p w14:paraId="0361EB33" w14:textId="77777777" w:rsidR="006C6C92" w:rsidRPr="006C6C92" w:rsidRDefault="006C6C92" w:rsidP="006C6C92">
      <w:pPr>
        <w:rPr>
          <w:rFonts w:ascii="Arial" w:hAnsi="Arial" w:cs="Arial"/>
        </w:rPr>
      </w:pPr>
      <w:r w:rsidRPr="006C6C92">
        <w:rPr>
          <w:rFonts w:ascii="Arial" w:hAnsi="Arial" w:cs="Arial"/>
        </w:rPr>
        <w:t>Expect commercial scalability and timely delivery.</w:t>
      </w:r>
    </w:p>
    <w:p w14:paraId="5E88BA60" w14:textId="77777777" w:rsidR="006C6C92" w:rsidRPr="006C6C92" w:rsidRDefault="006C6C92" w:rsidP="006C6C92">
      <w:pPr>
        <w:rPr>
          <w:rFonts w:ascii="Arial" w:hAnsi="Arial" w:cs="Arial"/>
          <w:b/>
          <w:bCs/>
        </w:rPr>
      </w:pPr>
      <w:r w:rsidRPr="006C6C92">
        <w:rPr>
          <w:rFonts w:ascii="Arial" w:hAnsi="Arial" w:cs="Arial"/>
          <w:b/>
          <w:bCs/>
        </w:rPr>
        <w:t>Retailers &amp; E-commerce Platforms</w:t>
      </w:r>
    </w:p>
    <w:p w14:paraId="3E62CD37" w14:textId="77777777" w:rsidR="006C6C92" w:rsidRPr="006C6C92" w:rsidRDefault="006C6C92" w:rsidP="006C6C92">
      <w:pPr>
        <w:rPr>
          <w:rFonts w:ascii="Arial" w:hAnsi="Arial" w:cs="Arial"/>
        </w:rPr>
      </w:pPr>
      <w:r w:rsidRPr="006C6C92">
        <w:rPr>
          <w:rFonts w:ascii="Arial" w:hAnsi="Arial" w:cs="Arial"/>
        </w:rPr>
        <w:t>Responsible for product distribution and visibility.</w:t>
      </w:r>
    </w:p>
    <w:p w14:paraId="5D91C78A" w14:textId="77777777" w:rsidR="00B76CCD" w:rsidRPr="00EA32CA" w:rsidRDefault="00B76CCD" w:rsidP="00EA32CA">
      <w:pPr>
        <w:rPr>
          <w:rFonts w:ascii="Arial" w:hAnsi="Arial" w:cs="Arial"/>
          <w:b/>
          <w:bCs/>
        </w:rPr>
      </w:pPr>
    </w:p>
    <w:p w14:paraId="1841FE60" w14:textId="77777777" w:rsidR="00EA32CA" w:rsidRPr="00EA32CA" w:rsidRDefault="00EA32CA" w:rsidP="00EA32CA"/>
    <w:p w14:paraId="6847B3AD" w14:textId="77777777" w:rsidR="00362FF2" w:rsidRDefault="00362FF2" w:rsidP="00E9075E"/>
    <w:p w14:paraId="16D16214" w14:textId="77777777" w:rsidR="00362FF2" w:rsidRDefault="00362FF2" w:rsidP="00E9075E"/>
    <w:p w14:paraId="61736D6B" w14:textId="77777777" w:rsidR="00362FF2" w:rsidRDefault="00362FF2" w:rsidP="00E9075E"/>
    <w:p w14:paraId="4F9EA082" w14:textId="1AE504C0" w:rsidR="00362FF2" w:rsidRDefault="000B1B27" w:rsidP="00505681">
      <w:pPr>
        <w:pStyle w:val="Heading1"/>
      </w:pPr>
      <w:bookmarkStart w:id="5" w:name="_Toc217020550"/>
      <w:r w:rsidRPr="00505681">
        <w:lastRenderedPageBreak/>
        <w:t>Roles,</w:t>
      </w:r>
      <w:r w:rsidR="00B9745A" w:rsidRPr="00505681">
        <w:t xml:space="preserve"> </w:t>
      </w:r>
      <w:r w:rsidRPr="00505681">
        <w:t>Respon</w:t>
      </w:r>
      <w:r w:rsidR="00B9745A" w:rsidRPr="00505681">
        <w:t xml:space="preserve">sibilities, </w:t>
      </w:r>
      <w:r w:rsidR="00505681" w:rsidRPr="00505681">
        <w:t xml:space="preserve">Benefits and </w:t>
      </w:r>
      <w:r w:rsidR="00E26052">
        <w:t>Challenges</w:t>
      </w:r>
      <w:bookmarkEnd w:id="5"/>
    </w:p>
    <w:p w14:paraId="05EFFDCE" w14:textId="77777777" w:rsidR="002B29A4" w:rsidRDefault="002B29A4" w:rsidP="002B29A4"/>
    <w:p w14:paraId="1F066E98" w14:textId="33C353D6" w:rsidR="00764BCA" w:rsidRPr="008A41B1" w:rsidRDefault="00764BCA" w:rsidP="002B29A4">
      <w:pPr>
        <w:rPr>
          <w:rFonts w:ascii="Arial" w:hAnsi="Arial" w:cs="Arial"/>
          <w:b/>
          <w:bCs/>
        </w:rPr>
      </w:pPr>
      <w:r w:rsidRPr="008A41B1">
        <w:rPr>
          <w:rFonts w:ascii="Arial" w:hAnsi="Arial" w:cs="Arial"/>
          <w:b/>
          <w:bCs/>
        </w:rPr>
        <w:t>Inter</w:t>
      </w:r>
      <w:r w:rsidR="008A41B1" w:rsidRPr="008A41B1">
        <w:rPr>
          <w:rFonts w:ascii="Arial" w:hAnsi="Arial" w:cs="Arial"/>
          <w:b/>
          <w:bCs/>
        </w:rPr>
        <w:t>nal Stakeholders</w:t>
      </w:r>
    </w:p>
    <w:p w14:paraId="66A141D9" w14:textId="77777777" w:rsidR="008A41B1" w:rsidRDefault="008A41B1" w:rsidP="005C23A7">
      <w:pPr>
        <w:rPr>
          <w:rFonts w:ascii="Arial" w:hAnsi="Arial" w:cs="Arial"/>
          <w:b/>
          <w:bCs/>
        </w:rPr>
      </w:pPr>
    </w:p>
    <w:p w14:paraId="783F0DC6" w14:textId="6773F595" w:rsidR="005C23A7" w:rsidRPr="005C23A7" w:rsidRDefault="005C23A7" w:rsidP="005C23A7">
      <w:pPr>
        <w:rPr>
          <w:rFonts w:ascii="Arial" w:hAnsi="Arial" w:cs="Arial"/>
          <w:b/>
          <w:bCs/>
        </w:rPr>
      </w:pPr>
      <w:r w:rsidRPr="005C23A7">
        <w:rPr>
          <w:rFonts w:ascii="Arial" w:hAnsi="Arial" w:cs="Arial"/>
          <w:b/>
          <w:bCs/>
        </w:rPr>
        <w:t>Project Manager</w:t>
      </w:r>
    </w:p>
    <w:p w14:paraId="26004B5C" w14:textId="77777777" w:rsidR="005C23A7" w:rsidRPr="005C23A7" w:rsidRDefault="005C23A7" w:rsidP="005C23A7">
      <w:pPr>
        <w:numPr>
          <w:ilvl w:val="0"/>
          <w:numId w:val="1"/>
        </w:numPr>
        <w:rPr>
          <w:rFonts w:ascii="Arial" w:hAnsi="Arial" w:cs="Arial"/>
        </w:rPr>
      </w:pPr>
      <w:r w:rsidRPr="005C23A7">
        <w:rPr>
          <w:rFonts w:ascii="Arial" w:hAnsi="Arial" w:cs="Arial"/>
          <w:b/>
          <w:bCs/>
        </w:rPr>
        <w:t>Roles:</w:t>
      </w:r>
      <w:r w:rsidRPr="005C23A7">
        <w:rPr>
          <w:rFonts w:ascii="Arial" w:hAnsi="Arial" w:cs="Arial"/>
        </w:rPr>
        <w:t xml:space="preserve"> Oversees project governance, risk mitigation, stakeholder engagement and reporting (PMI, 2021).</w:t>
      </w:r>
    </w:p>
    <w:p w14:paraId="7457C795" w14:textId="77777777" w:rsidR="005C23A7" w:rsidRPr="005C23A7" w:rsidRDefault="005C23A7" w:rsidP="005C23A7">
      <w:pPr>
        <w:numPr>
          <w:ilvl w:val="0"/>
          <w:numId w:val="1"/>
        </w:numPr>
        <w:rPr>
          <w:rFonts w:ascii="Arial" w:hAnsi="Arial" w:cs="Arial"/>
        </w:rPr>
      </w:pPr>
      <w:r w:rsidRPr="005C23A7">
        <w:rPr>
          <w:rFonts w:ascii="Arial" w:hAnsi="Arial" w:cs="Arial"/>
          <w:b/>
          <w:bCs/>
        </w:rPr>
        <w:t>Benefits:</w:t>
      </w:r>
      <w:r w:rsidRPr="005C23A7">
        <w:rPr>
          <w:rFonts w:ascii="Arial" w:hAnsi="Arial" w:cs="Arial"/>
        </w:rPr>
        <w:t xml:space="preserve"> Ensures coordination across departments to maintain timelines and quality.</w:t>
      </w:r>
    </w:p>
    <w:p w14:paraId="6690A40D" w14:textId="77777777" w:rsidR="005C23A7" w:rsidRPr="005C23A7" w:rsidRDefault="005C23A7" w:rsidP="005C23A7">
      <w:pPr>
        <w:numPr>
          <w:ilvl w:val="0"/>
          <w:numId w:val="1"/>
        </w:numPr>
        <w:rPr>
          <w:rFonts w:ascii="Arial" w:hAnsi="Arial" w:cs="Arial"/>
        </w:rPr>
      </w:pPr>
      <w:r w:rsidRPr="005C23A7">
        <w:rPr>
          <w:rFonts w:ascii="Arial" w:hAnsi="Arial" w:cs="Arial"/>
          <w:b/>
          <w:bCs/>
        </w:rPr>
        <w:t>Challenges:</w:t>
      </w:r>
      <w:r w:rsidRPr="005C23A7">
        <w:rPr>
          <w:rFonts w:ascii="Arial" w:hAnsi="Arial" w:cs="Arial"/>
        </w:rPr>
        <w:t xml:space="preserve"> Must balance regulatory complexity, technical risks and timeline pressures.</w:t>
      </w:r>
    </w:p>
    <w:p w14:paraId="55F2698D" w14:textId="77777777" w:rsidR="005C23A7" w:rsidRPr="005C23A7" w:rsidRDefault="005C23A7" w:rsidP="005C23A7">
      <w:pPr>
        <w:rPr>
          <w:rFonts w:ascii="Arial" w:hAnsi="Arial" w:cs="Arial"/>
          <w:b/>
          <w:bCs/>
        </w:rPr>
      </w:pPr>
      <w:r w:rsidRPr="005C23A7">
        <w:rPr>
          <w:rFonts w:ascii="Arial" w:hAnsi="Arial" w:cs="Arial"/>
          <w:b/>
          <w:bCs/>
        </w:rPr>
        <w:t>Engineering Teams</w:t>
      </w:r>
    </w:p>
    <w:p w14:paraId="4FC83677" w14:textId="77777777" w:rsidR="005C23A7" w:rsidRPr="005C23A7" w:rsidRDefault="005C23A7" w:rsidP="005C23A7">
      <w:pPr>
        <w:numPr>
          <w:ilvl w:val="0"/>
          <w:numId w:val="2"/>
        </w:numPr>
        <w:rPr>
          <w:rFonts w:ascii="Arial" w:hAnsi="Arial" w:cs="Arial"/>
        </w:rPr>
      </w:pPr>
      <w:r w:rsidRPr="005C23A7">
        <w:rPr>
          <w:rFonts w:ascii="Arial" w:hAnsi="Arial" w:cs="Arial"/>
          <w:b/>
          <w:bCs/>
        </w:rPr>
        <w:t>Roles:</w:t>
      </w:r>
      <w:r w:rsidRPr="005C23A7">
        <w:rPr>
          <w:rFonts w:ascii="Arial" w:hAnsi="Arial" w:cs="Arial"/>
        </w:rPr>
        <w:t xml:space="preserve"> Develop sensor firmware, mobile features and data infrastructure.</w:t>
      </w:r>
    </w:p>
    <w:p w14:paraId="4EDE50D1" w14:textId="77777777" w:rsidR="005C23A7" w:rsidRPr="005C23A7" w:rsidRDefault="005C23A7" w:rsidP="005C23A7">
      <w:pPr>
        <w:numPr>
          <w:ilvl w:val="0"/>
          <w:numId w:val="2"/>
        </w:numPr>
        <w:rPr>
          <w:rFonts w:ascii="Arial" w:hAnsi="Arial" w:cs="Arial"/>
        </w:rPr>
      </w:pPr>
      <w:r w:rsidRPr="005C23A7">
        <w:rPr>
          <w:rFonts w:ascii="Arial" w:hAnsi="Arial" w:cs="Arial"/>
          <w:b/>
          <w:bCs/>
        </w:rPr>
        <w:t>Benefits:</w:t>
      </w:r>
      <w:r w:rsidRPr="005C23A7">
        <w:rPr>
          <w:rFonts w:ascii="Arial" w:hAnsi="Arial" w:cs="Arial"/>
        </w:rPr>
        <w:t xml:space="preserve"> Drive innovation and ensure device accuracy.</w:t>
      </w:r>
    </w:p>
    <w:p w14:paraId="41CF36BF" w14:textId="77777777" w:rsidR="005C23A7" w:rsidRPr="005C23A7" w:rsidRDefault="005C23A7" w:rsidP="005C23A7">
      <w:pPr>
        <w:numPr>
          <w:ilvl w:val="0"/>
          <w:numId w:val="2"/>
        </w:numPr>
        <w:rPr>
          <w:rFonts w:ascii="Arial" w:hAnsi="Arial" w:cs="Arial"/>
        </w:rPr>
      </w:pPr>
      <w:r w:rsidRPr="005C23A7">
        <w:rPr>
          <w:rFonts w:ascii="Arial" w:hAnsi="Arial" w:cs="Arial"/>
          <w:b/>
          <w:bCs/>
        </w:rPr>
        <w:t>Challenges:</w:t>
      </w:r>
      <w:r w:rsidRPr="005C23A7">
        <w:rPr>
          <w:rFonts w:ascii="Arial" w:hAnsi="Arial" w:cs="Arial"/>
        </w:rPr>
        <w:t xml:space="preserve"> Must meet clinical-grade accuracy and pass regulatory tests.</w:t>
      </w:r>
    </w:p>
    <w:p w14:paraId="4574088A" w14:textId="77777777" w:rsidR="005C23A7" w:rsidRPr="005C23A7" w:rsidRDefault="005C23A7" w:rsidP="005C23A7">
      <w:pPr>
        <w:rPr>
          <w:rFonts w:ascii="Arial" w:hAnsi="Arial" w:cs="Arial"/>
          <w:b/>
          <w:bCs/>
        </w:rPr>
      </w:pPr>
      <w:r w:rsidRPr="005C23A7">
        <w:rPr>
          <w:rFonts w:ascii="Arial" w:hAnsi="Arial" w:cs="Arial"/>
          <w:b/>
          <w:bCs/>
        </w:rPr>
        <w:t>Clinical &amp; Regulatory Affairs</w:t>
      </w:r>
    </w:p>
    <w:p w14:paraId="0F787718" w14:textId="77777777" w:rsidR="005C23A7" w:rsidRPr="005C23A7" w:rsidRDefault="005C23A7" w:rsidP="005C23A7">
      <w:pPr>
        <w:numPr>
          <w:ilvl w:val="0"/>
          <w:numId w:val="3"/>
        </w:numPr>
        <w:rPr>
          <w:rFonts w:ascii="Arial" w:hAnsi="Arial" w:cs="Arial"/>
        </w:rPr>
      </w:pPr>
      <w:r w:rsidRPr="005C23A7">
        <w:rPr>
          <w:rFonts w:ascii="Arial" w:hAnsi="Arial" w:cs="Arial"/>
          <w:b/>
          <w:bCs/>
        </w:rPr>
        <w:t>Roles:</w:t>
      </w:r>
      <w:r w:rsidRPr="005C23A7">
        <w:rPr>
          <w:rFonts w:ascii="Arial" w:hAnsi="Arial" w:cs="Arial"/>
        </w:rPr>
        <w:t xml:space="preserve"> Interpret regulations, prepare submissions, oversee clinical validation.</w:t>
      </w:r>
    </w:p>
    <w:p w14:paraId="1B7D88D8" w14:textId="77777777" w:rsidR="005C23A7" w:rsidRPr="005C23A7" w:rsidRDefault="005C23A7" w:rsidP="005C23A7">
      <w:pPr>
        <w:numPr>
          <w:ilvl w:val="0"/>
          <w:numId w:val="3"/>
        </w:numPr>
        <w:rPr>
          <w:rFonts w:ascii="Arial" w:hAnsi="Arial" w:cs="Arial"/>
        </w:rPr>
      </w:pPr>
      <w:r w:rsidRPr="005C23A7">
        <w:rPr>
          <w:rFonts w:ascii="Arial" w:hAnsi="Arial" w:cs="Arial"/>
          <w:b/>
          <w:bCs/>
        </w:rPr>
        <w:t>Benefits:</w:t>
      </w:r>
      <w:r w:rsidRPr="005C23A7">
        <w:rPr>
          <w:rFonts w:ascii="Arial" w:hAnsi="Arial" w:cs="Arial"/>
        </w:rPr>
        <w:t xml:space="preserve"> Ensure device is safe, compliant and fit for UKCA marking.</w:t>
      </w:r>
    </w:p>
    <w:p w14:paraId="39F797FE" w14:textId="77777777" w:rsidR="005C23A7" w:rsidRPr="005C23A7" w:rsidRDefault="005C23A7" w:rsidP="005C23A7">
      <w:pPr>
        <w:numPr>
          <w:ilvl w:val="0"/>
          <w:numId w:val="3"/>
        </w:numPr>
        <w:rPr>
          <w:rFonts w:ascii="Arial" w:hAnsi="Arial" w:cs="Arial"/>
        </w:rPr>
      </w:pPr>
      <w:r w:rsidRPr="005C23A7">
        <w:rPr>
          <w:rFonts w:ascii="Arial" w:hAnsi="Arial" w:cs="Arial"/>
          <w:b/>
          <w:bCs/>
        </w:rPr>
        <w:t>Challenges:</w:t>
      </w:r>
      <w:r w:rsidRPr="005C23A7">
        <w:rPr>
          <w:rFonts w:ascii="Arial" w:hAnsi="Arial" w:cs="Arial"/>
        </w:rPr>
        <w:t xml:space="preserve"> Regulatory delays may threaten launch timelines.</w:t>
      </w:r>
    </w:p>
    <w:p w14:paraId="6A8EB6B9" w14:textId="77777777" w:rsidR="005C23A7" w:rsidRPr="005C23A7" w:rsidRDefault="005C23A7" w:rsidP="005C23A7">
      <w:pPr>
        <w:rPr>
          <w:rFonts w:ascii="Arial" w:hAnsi="Arial" w:cs="Arial"/>
          <w:b/>
          <w:bCs/>
        </w:rPr>
      </w:pPr>
      <w:r w:rsidRPr="005C23A7">
        <w:rPr>
          <w:rFonts w:ascii="Arial" w:hAnsi="Arial" w:cs="Arial"/>
          <w:b/>
          <w:bCs/>
        </w:rPr>
        <w:t>Marketing</w:t>
      </w:r>
    </w:p>
    <w:p w14:paraId="0004D40B" w14:textId="77777777" w:rsidR="005C23A7" w:rsidRPr="005C23A7" w:rsidRDefault="005C23A7" w:rsidP="005C23A7">
      <w:pPr>
        <w:numPr>
          <w:ilvl w:val="0"/>
          <w:numId w:val="4"/>
        </w:numPr>
        <w:rPr>
          <w:rFonts w:ascii="Arial" w:hAnsi="Arial" w:cs="Arial"/>
        </w:rPr>
      </w:pPr>
      <w:r w:rsidRPr="005C23A7">
        <w:rPr>
          <w:rFonts w:ascii="Arial" w:hAnsi="Arial" w:cs="Arial"/>
          <w:b/>
          <w:bCs/>
        </w:rPr>
        <w:t>Roles:</w:t>
      </w:r>
      <w:r w:rsidRPr="005C23A7">
        <w:rPr>
          <w:rFonts w:ascii="Arial" w:hAnsi="Arial" w:cs="Arial"/>
        </w:rPr>
        <w:t xml:space="preserve"> Conduct competitor analysis, develop messaging, coordinate campaigns.</w:t>
      </w:r>
    </w:p>
    <w:p w14:paraId="54474EA3" w14:textId="77777777" w:rsidR="005C23A7" w:rsidRPr="005C23A7" w:rsidRDefault="005C23A7" w:rsidP="005C23A7">
      <w:pPr>
        <w:numPr>
          <w:ilvl w:val="0"/>
          <w:numId w:val="4"/>
        </w:numPr>
        <w:rPr>
          <w:rFonts w:ascii="Arial" w:hAnsi="Arial" w:cs="Arial"/>
        </w:rPr>
      </w:pPr>
      <w:r w:rsidRPr="005C23A7">
        <w:rPr>
          <w:rFonts w:ascii="Arial" w:hAnsi="Arial" w:cs="Arial"/>
          <w:b/>
          <w:bCs/>
        </w:rPr>
        <w:t>Benefits:</w:t>
      </w:r>
      <w:r w:rsidRPr="005C23A7">
        <w:rPr>
          <w:rFonts w:ascii="Arial" w:hAnsi="Arial" w:cs="Arial"/>
        </w:rPr>
        <w:t xml:space="preserve"> Generate demand and shape public perception.</w:t>
      </w:r>
    </w:p>
    <w:p w14:paraId="4EA0963C" w14:textId="77777777" w:rsidR="005C23A7" w:rsidRPr="005C23A7" w:rsidRDefault="005C23A7" w:rsidP="005C23A7">
      <w:pPr>
        <w:numPr>
          <w:ilvl w:val="0"/>
          <w:numId w:val="4"/>
        </w:numPr>
        <w:rPr>
          <w:rFonts w:ascii="Arial" w:hAnsi="Arial" w:cs="Arial"/>
        </w:rPr>
      </w:pPr>
      <w:r w:rsidRPr="005C23A7">
        <w:rPr>
          <w:rFonts w:ascii="Arial" w:hAnsi="Arial" w:cs="Arial"/>
          <w:b/>
          <w:bCs/>
        </w:rPr>
        <w:t>Challenges:</w:t>
      </w:r>
      <w:r w:rsidRPr="005C23A7">
        <w:rPr>
          <w:rFonts w:ascii="Arial" w:hAnsi="Arial" w:cs="Arial"/>
        </w:rPr>
        <w:t xml:space="preserve"> Must balance innovation claims with regulatory restrictions.</w:t>
      </w:r>
    </w:p>
    <w:p w14:paraId="01B06D64" w14:textId="77777777" w:rsidR="005C23A7" w:rsidRPr="005C23A7" w:rsidRDefault="005C23A7" w:rsidP="005C23A7">
      <w:pPr>
        <w:rPr>
          <w:rFonts w:ascii="Arial" w:hAnsi="Arial" w:cs="Arial"/>
          <w:b/>
          <w:bCs/>
        </w:rPr>
      </w:pPr>
      <w:r w:rsidRPr="005C23A7">
        <w:rPr>
          <w:rFonts w:ascii="Arial" w:hAnsi="Arial" w:cs="Arial"/>
          <w:b/>
          <w:bCs/>
        </w:rPr>
        <w:t>Supply Chain</w:t>
      </w:r>
    </w:p>
    <w:p w14:paraId="686156E3" w14:textId="77777777" w:rsidR="005C23A7" w:rsidRPr="005C23A7" w:rsidRDefault="005C23A7" w:rsidP="005C23A7">
      <w:pPr>
        <w:numPr>
          <w:ilvl w:val="0"/>
          <w:numId w:val="5"/>
        </w:numPr>
        <w:rPr>
          <w:rFonts w:ascii="Arial" w:hAnsi="Arial" w:cs="Arial"/>
        </w:rPr>
      </w:pPr>
      <w:r w:rsidRPr="005C23A7">
        <w:rPr>
          <w:rFonts w:ascii="Arial" w:hAnsi="Arial" w:cs="Arial"/>
          <w:b/>
          <w:bCs/>
        </w:rPr>
        <w:t>Roles:</w:t>
      </w:r>
      <w:r w:rsidRPr="005C23A7">
        <w:rPr>
          <w:rFonts w:ascii="Arial" w:hAnsi="Arial" w:cs="Arial"/>
        </w:rPr>
        <w:t xml:space="preserve"> Manage the flow of components and manufacturing operations.</w:t>
      </w:r>
    </w:p>
    <w:p w14:paraId="794F4032" w14:textId="77777777" w:rsidR="005C23A7" w:rsidRPr="005C23A7" w:rsidRDefault="005C23A7" w:rsidP="005C23A7">
      <w:pPr>
        <w:numPr>
          <w:ilvl w:val="0"/>
          <w:numId w:val="5"/>
        </w:numPr>
        <w:rPr>
          <w:rFonts w:ascii="Arial" w:hAnsi="Arial" w:cs="Arial"/>
        </w:rPr>
      </w:pPr>
      <w:r w:rsidRPr="005C23A7">
        <w:rPr>
          <w:rFonts w:ascii="Arial" w:hAnsi="Arial" w:cs="Arial"/>
          <w:b/>
          <w:bCs/>
        </w:rPr>
        <w:t>Benefits:</w:t>
      </w:r>
      <w:r w:rsidRPr="005C23A7">
        <w:rPr>
          <w:rFonts w:ascii="Arial" w:hAnsi="Arial" w:cs="Arial"/>
        </w:rPr>
        <w:t xml:space="preserve"> Ensure production stability.</w:t>
      </w:r>
    </w:p>
    <w:p w14:paraId="705EA710" w14:textId="77777777" w:rsidR="005C23A7" w:rsidRPr="005C23A7" w:rsidRDefault="005C23A7" w:rsidP="005C23A7">
      <w:pPr>
        <w:numPr>
          <w:ilvl w:val="0"/>
          <w:numId w:val="5"/>
        </w:numPr>
      </w:pPr>
      <w:r w:rsidRPr="005C23A7">
        <w:rPr>
          <w:rFonts w:ascii="Arial" w:hAnsi="Arial" w:cs="Arial"/>
          <w:b/>
          <w:bCs/>
        </w:rPr>
        <w:t>Challenges:</w:t>
      </w:r>
      <w:r w:rsidRPr="005C23A7">
        <w:rPr>
          <w:rFonts w:ascii="Arial" w:hAnsi="Arial" w:cs="Arial"/>
        </w:rPr>
        <w:t xml:space="preserve"> Vulnerable to global supply disruptions (McKinsey, 2022).</w:t>
      </w:r>
    </w:p>
    <w:p w14:paraId="09C45546" w14:textId="77777777" w:rsidR="002B29A4" w:rsidRPr="002B29A4" w:rsidRDefault="002B29A4" w:rsidP="002B29A4"/>
    <w:p w14:paraId="14E771F2" w14:textId="6B536F49" w:rsidR="00343FA0" w:rsidRPr="00434BC2" w:rsidRDefault="00434BC2" w:rsidP="00343FA0">
      <w:pPr>
        <w:rPr>
          <w:rFonts w:ascii="Arial" w:hAnsi="Arial" w:cs="Arial"/>
          <w:b/>
          <w:bCs/>
        </w:rPr>
      </w:pPr>
      <w:r w:rsidRPr="00434BC2">
        <w:rPr>
          <w:rFonts w:ascii="Arial" w:hAnsi="Arial" w:cs="Arial"/>
          <w:b/>
          <w:bCs/>
        </w:rPr>
        <w:t>External Stakeholders</w:t>
      </w:r>
    </w:p>
    <w:p w14:paraId="5A382508" w14:textId="77777777" w:rsidR="00343FA0" w:rsidRDefault="00343FA0" w:rsidP="00343FA0"/>
    <w:p w14:paraId="03D54E82" w14:textId="77777777" w:rsidR="00412F35" w:rsidRPr="00412F35" w:rsidRDefault="00412F35" w:rsidP="00412F35">
      <w:pPr>
        <w:rPr>
          <w:rFonts w:ascii="Arial" w:hAnsi="Arial" w:cs="Arial"/>
          <w:b/>
          <w:bCs/>
        </w:rPr>
      </w:pPr>
      <w:r w:rsidRPr="00412F35">
        <w:rPr>
          <w:rFonts w:ascii="Arial" w:hAnsi="Arial" w:cs="Arial"/>
          <w:b/>
          <w:bCs/>
        </w:rPr>
        <w:t>Healthcare Partners (NHS)</w:t>
      </w:r>
    </w:p>
    <w:p w14:paraId="29318B13" w14:textId="77777777" w:rsidR="00412F35" w:rsidRPr="00412F35" w:rsidRDefault="00412F35" w:rsidP="00412F35">
      <w:pPr>
        <w:numPr>
          <w:ilvl w:val="0"/>
          <w:numId w:val="6"/>
        </w:numPr>
        <w:rPr>
          <w:rFonts w:ascii="Arial" w:hAnsi="Arial" w:cs="Arial"/>
        </w:rPr>
      </w:pPr>
      <w:r w:rsidRPr="00412F35">
        <w:rPr>
          <w:rFonts w:ascii="Arial" w:hAnsi="Arial" w:cs="Arial"/>
          <w:b/>
          <w:bCs/>
        </w:rPr>
        <w:t>Benefits:</w:t>
      </w:r>
      <w:r w:rsidRPr="00412F35">
        <w:rPr>
          <w:rFonts w:ascii="Arial" w:hAnsi="Arial" w:cs="Arial"/>
        </w:rPr>
        <w:t xml:space="preserve"> Provide legitimacy and access to clinical pathways.</w:t>
      </w:r>
    </w:p>
    <w:p w14:paraId="6CB11411" w14:textId="77777777" w:rsidR="00412F35" w:rsidRPr="00412F35" w:rsidRDefault="00412F35" w:rsidP="00412F35">
      <w:pPr>
        <w:numPr>
          <w:ilvl w:val="0"/>
          <w:numId w:val="6"/>
        </w:numPr>
        <w:rPr>
          <w:rFonts w:ascii="Arial" w:hAnsi="Arial" w:cs="Arial"/>
        </w:rPr>
      </w:pPr>
      <w:r w:rsidRPr="00412F35">
        <w:rPr>
          <w:rFonts w:ascii="Arial" w:hAnsi="Arial" w:cs="Arial"/>
          <w:b/>
          <w:bCs/>
        </w:rPr>
        <w:t>Challenges:</w:t>
      </w:r>
      <w:r w:rsidRPr="00412F35">
        <w:rPr>
          <w:rFonts w:ascii="Arial" w:hAnsi="Arial" w:cs="Arial"/>
        </w:rPr>
        <w:t xml:space="preserve"> Require high accuracy and robust safety evidence.</w:t>
      </w:r>
    </w:p>
    <w:p w14:paraId="605BCAE8" w14:textId="77777777" w:rsidR="00412F35" w:rsidRPr="00412F35" w:rsidRDefault="00412F35" w:rsidP="00412F35">
      <w:pPr>
        <w:rPr>
          <w:rFonts w:ascii="Arial" w:hAnsi="Arial" w:cs="Arial"/>
          <w:b/>
          <w:bCs/>
        </w:rPr>
      </w:pPr>
      <w:r w:rsidRPr="00412F35">
        <w:rPr>
          <w:rFonts w:ascii="Arial" w:hAnsi="Arial" w:cs="Arial"/>
          <w:b/>
          <w:bCs/>
        </w:rPr>
        <w:lastRenderedPageBreak/>
        <w:t>Manufacturers</w:t>
      </w:r>
    </w:p>
    <w:p w14:paraId="3C841480" w14:textId="77777777" w:rsidR="00412F35" w:rsidRPr="00412F35" w:rsidRDefault="00412F35" w:rsidP="00412F35">
      <w:pPr>
        <w:numPr>
          <w:ilvl w:val="0"/>
          <w:numId w:val="7"/>
        </w:numPr>
        <w:rPr>
          <w:rFonts w:ascii="Arial" w:hAnsi="Arial" w:cs="Arial"/>
        </w:rPr>
      </w:pPr>
      <w:r w:rsidRPr="00412F35">
        <w:rPr>
          <w:rFonts w:ascii="Arial" w:hAnsi="Arial" w:cs="Arial"/>
          <w:b/>
          <w:bCs/>
        </w:rPr>
        <w:t>Benefits:</w:t>
      </w:r>
      <w:r w:rsidRPr="00412F35">
        <w:rPr>
          <w:rFonts w:ascii="Arial" w:hAnsi="Arial" w:cs="Arial"/>
        </w:rPr>
        <w:t xml:space="preserve"> Deliver essential hardware expertise.</w:t>
      </w:r>
    </w:p>
    <w:p w14:paraId="321353C2" w14:textId="77777777" w:rsidR="00412F35" w:rsidRPr="00412F35" w:rsidRDefault="00412F35" w:rsidP="00412F35">
      <w:pPr>
        <w:numPr>
          <w:ilvl w:val="0"/>
          <w:numId w:val="7"/>
        </w:numPr>
        <w:rPr>
          <w:rFonts w:ascii="Arial" w:hAnsi="Arial" w:cs="Arial"/>
        </w:rPr>
      </w:pPr>
      <w:r w:rsidRPr="00412F35">
        <w:rPr>
          <w:rFonts w:ascii="Arial" w:hAnsi="Arial" w:cs="Arial"/>
          <w:b/>
          <w:bCs/>
        </w:rPr>
        <w:t>Challenges:</w:t>
      </w:r>
      <w:r w:rsidRPr="00412F35">
        <w:rPr>
          <w:rFonts w:ascii="Arial" w:hAnsi="Arial" w:cs="Arial"/>
        </w:rPr>
        <w:t xml:space="preserve"> Quality issues or delays may occur.</w:t>
      </w:r>
    </w:p>
    <w:p w14:paraId="2A810A7A" w14:textId="77777777" w:rsidR="00412F35" w:rsidRPr="00412F35" w:rsidRDefault="00412F35" w:rsidP="00412F35">
      <w:pPr>
        <w:rPr>
          <w:rFonts w:ascii="Arial" w:hAnsi="Arial" w:cs="Arial"/>
          <w:b/>
          <w:bCs/>
        </w:rPr>
      </w:pPr>
      <w:r w:rsidRPr="00412F35">
        <w:rPr>
          <w:rFonts w:ascii="Arial" w:hAnsi="Arial" w:cs="Arial"/>
          <w:b/>
          <w:bCs/>
        </w:rPr>
        <w:t>Regulators</w:t>
      </w:r>
    </w:p>
    <w:p w14:paraId="337BAB5C" w14:textId="77777777" w:rsidR="00412F35" w:rsidRPr="00412F35" w:rsidRDefault="00412F35" w:rsidP="00412F35">
      <w:pPr>
        <w:numPr>
          <w:ilvl w:val="0"/>
          <w:numId w:val="8"/>
        </w:numPr>
        <w:rPr>
          <w:rFonts w:ascii="Arial" w:hAnsi="Arial" w:cs="Arial"/>
        </w:rPr>
      </w:pPr>
      <w:r w:rsidRPr="00412F35">
        <w:rPr>
          <w:rFonts w:ascii="Arial" w:hAnsi="Arial" w:cs="Arial"/>
          <w:b/>
          <w:bCs/>
        </w:rPr>
        <w:t>Benefits:</w:t>
      </w:r>
      <w:r w:rsidRPr="00412F35">
        <w:rPr>
          <w:rFonts w:ascii="Arial" w:hAnsi="Arial" w:cs="Arial"/>
        </w:rPr>
        <w:t xml:space="preserve"> Ensure product trustworthiness.</w:t>
      </w:r>
    </w:p>
    <w:p w14:paraId="2A69B560" w14:textId="77777777" w:rsidR="00412F35" w:rsidRPr="00412F35" w:rsidRDefault="00412F35" w:rsidP="00412F35">
      <w:pPr>
        <w:numPr>
          <w:ilvl w:val="0"/>
          <w:numId w:val="8"/>
        </w:numPr>
        <w:rPr>
          <w:rFonts w:ascii="Arial" w:hAnsi="Arial" w:cs="Arial"/>
        </w:rPr>
      </w:pPr>
      <w:r w:rsidRPr="00412F35">
        <w:rPr>
          <w:rFonts w:ascii="Arial" w:hAnsi="Arial" w:cs="Arial"/>
          <w:b/>
          <w:bCs/>
        </w:rPr>
        <w:t>Challenges:</w:t>
      </w:r>
      <w:r w:rsidRPr="00412F35">
        <w:rPr>
          <w:rFonts w:ascii="Arial" w:hAnsi="Arial" w:cs="Arial"/>
        </w:rPr>
        <w:t xml:space="preserve"> Documentation and compliance can be slow and demanding.</w:t>
      </w:r>
    </w:p>
    <w:p w14:paraId="345FEC42" w14:textId="77777777" w:rsidR="00412F35" w:rsidRPr="00412F35" w:rsidRDefault="00412F35" w:rsidP="00412F35">
      <w:pPr>
        <w:rPr>
          <w:rFonts w:ascii="Arial" w:hAnsi="Arial" w:cs="Arial"/>
          <w:b/>
          <w:bCs/>
        </w:rPr>
      </w:pPr>
      <w:r w:rsidRPr="00412F35">
        <w:rPr>
          <w:rFonts w:ascii="Arial" w:hAnsi="Arial" w:cs="Arial"/>
          <w:b/>
          <w:bCs/>
        </w:rPr>
        <w:t>Consumers</w:t>
      </w:r>
    </w:p>
    <w:p w14:paraId="5EF76549" w14:textId="77777777" w:rsidR="00412F35" w:rsidRPr="00412F35" w:rsidRDefault="00412F35" w:rsidP="00412F35">
      <w:pPr>
        <w:numPr>
          <w:ilvl w:val="0"/>
          <w:numId w:val="9"/>
        </w:numPr>
        <w:rPr>
          <w:rFonts w:ascii="Arial" w:hAnsi="Arial" w:cs="Arial"/>
        </w:rPr>
      </w:pPr>
      <w:r w:rsidRPr="00412F35">
        <w:rPr>
          <w:rFonts w:ascii="Arial" w:hAnsi="Arial" w:cs="Arial"/>
          <w:b/>
          <w:bCs/>
        </w:rPr>
        <w:t>Benefits:</w:t>
      </w:r>
      <w:r w:rsidRPr="00412F35">
        <w:rPr>
          <w:rFonts w:ascii="Arial" w:hAnsi="Arial" w:cs="Arial"/>
        </w:rPr>
        <w:t xml:space="preserve"> Offer critical usability and feature insights.</w:t>
      </w:r>
    </w:p>
    <w:p w14:paraId="53F57C08" w14:textId="77777777" w:rsidR="00412F35" w:rsidRDefault="00412F35" w:rsidP="00412F35">
      <w:pPr>
        <w:numPr>
          <w:ilvl w:val="0"/>
          <w:numId w:val="9"/>
        </w:numPr>
        <w:rPr>
          <w:rFonts w:ascii="Arial" w:hAnsi="Arial" w:cs="Arial"/>
        </w:rPr>
      </w:pPr>
      <w:r w:rsidRPr="00412F35">
        <w:rPr>
          <w:rFonts w:ascii="Arial" w:hAnsi="Arial" w:cs="Arial"/>
          <w:b/>
          <w:bCs/>
        </w:rPr>
        <w:t>Challenges:</w:t>
      </w:r>
      <w:r w:rsidRPr="00412F35">
        <w:rPr>
          <w:rFonts w:ascii="Arial" w:hAnsi="Arial" w:cs="Arial"/>
        </w:rPr>
        <w:t xml:space="preserve"> Expect high accuracy, intuitive design and strong data privacy (ICO, 2023).</w:t>
      </w:r>
    </w:p>
    <w:p w14:paraId="7D8868D9" w14:textId="77777777" w:rsidR="00C00522" w:rsidRPr="00412F35" w:rsidRDefault="00C00522" w:rsidP="00C00522">
      <w:pPr>
        <w:ind w:left="360"/>
        <w:rPr>
          <w:rFonts w:ascii="Arial" w:hAnsi="Arial" w:cs="Arial"/>
        </w:rPr>
      </w:pPr>
    </w:p>
    <w:p w14:paraId="69049EF9" w14:textId="77777777" w:rsidR="00343FA0" w:rsidRPr="00343FA0" w:rsidRDefault="00343FA0" w:rsidP="00343FA0"/>
    <w:p w14:paraId="4331922C" w14:textId="7A900781" w:rsidR="00362FF2" w:rsidRDefault="008E06F8" w:rsidP="0011357F">
      <w:pPr>
        <w:pStyle w:val="Heading1"/>
      </w:pPr>
      <w:bookmarkStart w:id="6" w:name="_Toc217020551"/>
      <w:r>
        <w:t>F</w:t>
      </w:r>
      <w:r w:rsidR="006C074D">
        <w:t>rame</w:t>
      </w:r>
      <w:r w:rsidR="00E26281">
        <w:t xml:space="preserve">works </w:t>
      </w:r>
      <w:r w:rsidR="002351B8">
        <w:t xml:space="preserve">for </w:t>
      </w:r>
      <w:r w:rsidR="007D016A">
        <w:t>Stakeholder</w:t>
      </w:r>
      <w:r w:rsidR="00E4065B">
        <w:t xml:space="preserve"> </w:t>
      </w:r>
      <w:r w:rsidR="0011357F">
        <w:t>Engagement</w:t>
      </w:r>
      <w:bookmarkEnd w:id="6"/>
    </w:p>
    <w:p w14:paraId="1F5E80CE" w14:textId="47F1C0A7" w:rsidR="00362FF2" w:rsidRDefault="00362FF2" w:rsidP="00E9075E"/>
    <w:p w14:paraId="715BAC23" w14:textId="1172ABA7" w:rsidR="00BB574F" w:rsidRPr="00BE4F50" w:rsidRDefault="00BB574F" w:rsidP="00E9075E">
      <w:pPr>
        <w:rPr>
          <w:rFonts w:ascii="Arial" w:hAnsi="Arial" w:cs="Arial"/>
          <w:b/>
          <w:bCs/>
        </w:rPr>
      </w:pPr>
      <w:r w:rsidRPr="00BE4F50">
        <w:rPr>
          <w:rFonts w:ascii="Arial" w:hAnsi="Arial" w:cs="Arial"/>
          <w:b/>
          <w:bCs/>
        </w:rPr>
        <w:t>Stakeholder Matrix</w:t>
      </w:r>
    </w:p>
    <w:p w14:paraId="3CE7F606" w14:textId="56FE359D" w:rsidR="007C0215" w:rsidRPr="00BE4F50" w:rsidRDefault="00BB574F" w:rsidP="00E9075E">
      <w:pPr>
        <w:rPr>
          <w:rFonts w:ascii="Arial" w:hAnsi="Arial" w:cs="Arial"/>
          <w:i/>
          <w:iCs/>
        </w:rPr>
      </w:pPr>
      <w:r w:rsidRPr="00BE4F50">
        <w:rPr>
          <w:rFonts w:ascii="Arial" w:hAnsi="Arial" w:cs="Arial"/>
          <w:i/>
          <w:iCs/>
        </w:rPr>
        <w:t>Following Freeman et al. (2021):</w:t>
      </w:r>
    </w:p>
    <w:p w14:paraId="5F8A4822" w14:textId="77777777" w:rsidR="00BB574F" w:rsidRDefault="00BB574F" w:rsidP="00E9075E"/>
    <w:p w14:paraId="5AF46E93" w14:textId="20788FBA" w:rsidR="00362FF2" w:rsidRDefault="00911429" w:rsidP="00E9075E">
      <w:r>
        <w:rPr>
          <w:noProof/>
        </w:rPr>
        <mc:AlternateContent>
          <mc:Choice Requires="wps">
            <w:drawing>
              <wp:anchor distT="0" distB="0" distL="114300" distR="114300" simplePos="0" relativeHeight="251654144" behindDoc="0" locked="0" layoutInCell="1" allowOverlap="1" wp14:anchorId="61D21808" wp14:editId="760A28D3">
                <wp:simplePos x="0" y="0"/>
                <wp:positionH relativeFrom="leftMargin">
                  <wp:align>right</wp:align>
                </wp:positionH>
                <wp:positionV relativeFrom="paragraph">
                  <wp:posOffset>290087</wp:posOffset>
                </wp:positionV>
                <wp:extent cx="550126" cy="274181"/>
                <wp:effectExtent l="0" t="0" r="21590" b="12065"/>
                <wp:wrapNone/>
                <wp:docPr id="1011302061" name="Text Box 3"/>
                <wp:cNvGraphicFramePr/>
                <a:graphic xmlns:a="http://schemas.openxmlformats.org/drawingml/2006/main">
                  <a:graphicData uri="http://schemas.microsoft.com/office/word/2010/wordprocessingShape">
                    <wps:wsp>
                      <wps:cNvSpPr txBox="1"/>
                      <wps:spPr>
                        <a:xfrm>
                          <a:off x="0" y="0"/>
                          <a:ext cx="550126" cy="274181"/>
                        </a:xfrm>
                        <a:prstGeom prst="rect">
                          <a:avLst/>
                        </a:prstGeom>
                        <a:solidFill>
                          <a:schemeClr val="lt1"/>
                        </a:solidFill>
                        <a:ln w="6350">
                          <a:solidFill>
                            <a:prstClr val="black"/>
                          </a:solidFill>
                        </a:ln>
                      </wps:spPr>
                      <wps:txbx>
                        <w:txbxContent>
                          <w:p w14:paraId="3358F24D" w14:textId="03489562" w:rsidR="00911429" w:rsidRPr="00911429" w:rsidRDefault="00911429">
                            <w:pPr>
                              <w:rPr>
                                <w:lang w:val="en-US"/>
                              </w:rPr>
                            </w:pPr>
                            <w:r>
                              <w:rPr>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D21808" id="_x0000_t202" coordsize="21600,21600" o:spt="202" path="m,l,21600r21600,l21600,xe">
                <v:stroke joinstyle="miter"/>
                <v:path gradientshapeok="t" o:connecttype="rect"/>
              </v:shapetype>
              <v:shape id="Text Box 3" o:spid="_x0000_s1026" type="#_x0000_t202" style="position:absolute;margin-left:-7.9pt;margin-top:22.85pt;width:43.3pt;height:21.6pt;z-index:25165414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" fillcolor="white [3201]" strokeweight=".5pt">
                <v:textbox>
                  <w:txbxContent>
                    <w:p w14:paraId="3358F24D" w14:textId="03489562" w:rsidR="00911429" w:rsidRPr="00911429" w:rsidRDefault="00911429">
                      <w:pPr>
                        <w:rPr>
                          <w:lang w:val="en-US"/>
                        </w:rPr>
                      </w:pPr>
                      <w:r>
                        <w:rPr>
                          <w:lang w:val="en-US"/>
                        </w:rPr>
                        <w:t>HIGH</w:t>
                      </w:r>
                    </w:p>
                  </w:txbxContent>
                </v:textbox>
                <w10:wrap anchorx="margin"/>
              </v:shape>
            </w:pict>
          </mc:Fallback>
        </mc:AlternateContent>
      </w:r>
    </w:p>
    <w:p w14:paraId="151A3944" w14:textId="6EE6EFEA" w:rsidR="00362FF2" w:rsidRDefault="00A96DC9" w:rsidP="00E9075E">
      <w:r>
        <w:rPr>
          <w:noProof/>
        </w:rPr>
        <mc:AlternateContent>
          <mc:Choice Requires="wps">
            <w:drawing>
              <wp:anchor distT="0" distB="0" distL="114300" distR="114300" simplePos="0" relativeHeight="251662336" behindDoc="0" locked="0" layoutInCell="1" allowOverlap="1" wp14:anchorId="2E1F8024" wp14:editId="52ABE6A2">
                <wp:simplePos x="0" y="0"/>
                <wp:positionH relativeFrom="page">
                  <wp:posOffset>88711</wp:posOffset>
                </wp:positionH>
                <wp:positionV relativeFrom="paragraph">
                  <wp:posOffset>1338087</wp:posOffset>
                </wp:positionV>
                <wp:extent cx="587298" cy="259793"/>
                <wp:effectExtent l="0" t="0" r="22860" b="26035"/>
                <wp:wrapNone/>
                <wp:docPr id="1140071716" name="Text Box 7"/>
                <wp:cNvGraphicFramePr/>
                <a:graphic xmlns:a="http://schemas.openxmlformats.org/drawingml/2006/main">
                  <a:graphicData uri="http://schemas.microsoft.com/office/word/2010/wordprocessingShape">
                    <wps:wsp>
                      <wps:cNvSpPr txBox="1"/>
                      <wps:spPr>
                        <a:xfrm>
                          <a:off x="0" y="0"/>
                          <a:ext cx="587298" cy="259793"/>
                        </a:xfrm>
                        <a:prstGeom prst="rect">
                          <a:avLst/>
                        </a:prstGeom>
                        <a:solidFill>
                          <a:schemeClr val="lt1"/>
                        </a:solidFill>
                        <a:ln w="6350">
                          <a:solidFill>
                            <a:prstClr val="black"/>
                          </a:solidFill>
                        </a:ln>
                      </wps:spPr>
                      <wps:txbx>
                        <w:txbxContent>
                          <w:p w14:paraId="716619F9" w14:textId="7CD52204" w:rsidR="00F56A4C" w:rsidRPr="007928F2" w:rsidRDefault="007928F2">
                            <w:pPr>
                              <w:rPr>
                                <w:lang w:val="en-US"/>
                              </w:rPr>
                            </w:pPr>
                            <w:r>
                              <w:rPr>
                                <w:lang w:val="en-US"/>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1F8024" id="Text Box 7" o:spid="_x0000_s1027" type="#_x0000_t202" style="position:absolute;margin-left:7pt;margin-top:105.35pt;width:46.25pt;height:20.4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" fillcolor="white [3201]" strokeweight=".5pt">
                <v:textbox>
                  <w:txbxContent>
                    <w:p w14:paraId="716619F9" w14:textId="7CD52204" w:rsidR="00F56A4C" w:rsidRPr="007928F2" w:rsidRDefault="007928F2">
                      <w:pPr>
                        <w:rPr>
                          <w:lang w:val="en-US"/>
                        </w:rPr>
                      </w:pPr>
                      <w:r>
                        <w:rPr>
                          <w:lang w:val="en-US"/>
                        </w:rPr>
                        <w:t>Power</w:t>
                      </w:r>
                    </w:p>
                  </w:txbxContent>
                </v:textbox>
                <w10:wrap anchorx="page"/>
              </v:shape>
            </w:pict>
          </mc:Fallback>
        </mc:AlternateContent>
      </w:r>
      <w:r w:rsidR="007928F2">
        <w:rPr>
          <w:noProof/>
        </w:rPr>
        <mc:AlternateContent>
          <mc:Choice Requires="wps">
            <w:drawing>
              <wp:anchor distT="0" distB="0" distL="114300" distR="114300" simplePos="0" relativeHeight="251659264" behindDoc="0" locked="0" layoutInCell="1" allowOverlap="1" wp14:anchorId="2A05B8DB" wp14:editId="2266A938">
                <wp:simplePos x="0" y="0"/>
                <wp:positionH relativeFrom="column">
                  <wp:posOffset>-803275</wp:posOffset>
                </wp:positionH>
                <wp:positionV relativeFrom="paragraph">
                  <wp:posOffset>2391240</wp:posOffset>
                </wp:positionV>
                <wp:extent cx="542693" cy="268109"/>
                <wp:effectExtent l="0" t="0" r="10160" b="17780"/>
                <wp:wrapNone/>
                <wp:docPr id="1673000698" name="Text Box 6"/>
                <wp:cNvGraphicFramePr/>
                <a:graphic xmlns:a="http://schemas.openxmlformats.org/drawingml/2006/main">
                  <a:graphicData uri="http://schemas.microsoft.com/office/word/2010/wordprocessingShape">
                    <wps:wsp>
                      <wps:cNvSpPr txBox="1"/>
                      <wps:spPr>
                        <a:xfrm>
                          <a:off x="0" y="0"/>
                          <a:ext cx="542693" cy="268109"/>
                        </a:xfrm>
                        <a:prstGeom prst="rect">
                          <a:avLst/>
                        </a:prstGeom>
                        <a:solidFill>
                          <a:schemeClr val="lt1"/>
                        </a:solidFill>
                        <a:ln w="6350">
                          <a:solidFill>
                            <a:prstClr val="black"/>
                          </a:solidFill>
                        </a:ln>
                      </wps:spPr>
                      <wps:txbx>
                        <w:txbxContent>
                          <w:p w14:paraId="1BBCC27E" w14:textId="61C04E20" w:rsidR="00F56A4C" w:rsidRPr="007928F2" w:rsidRDefault="007928F2">
                            <w:pPr>
                              <w:rPr>
                                <w:lang w:val="en-US"/>
                              </w:rPr>
                            </w:pPr>
                            <w:r>
                              <w:rPr>
                                <w:lang w:val="en-U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5B8DB" id="Text Box 6" o:spid="_x0000_s1028" type="#_x0000_t202" style="position:absolute;margin-left:-63.25pt;margin-top:188.3pt;width:42.75pt;height:2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" fillcolor="white [3201]" strokeweight=".5pt">
                <v:textbox>
                  <w:txbxContent>
                    <w:p w14:paraId="1BBCC27E" w14:textId="61C04E20" w:rsidR="00F56A4C" w:rsidRPr="007928F2" w:rsidRDefault="007928F2">
                      <w:pPr>
                        <w:rPr>
                          <w:lang w:val="en-US"/>
                        </w:rPr>
                      </w:pPr>
                      <w:r>
                        <w:rPr>
                          <w:lang w:val="en-US"/>
                        </w:rPr>
                        <w:t>Low</w:t>
                      </w:r>
                    </w:p>
                  </w:txbxContent>
                </v:textbox>
              </v:shape>
            </w:pict>
          </mc:Fallback>
        </mc:AlternateContent>
      </w:r>
      <w:r w:rsidR="00911429">
        <w:rPr>
          <w:noProof/>
        </w:rPr>
        <mc:AlternateContent>
          <mc:Choice Requires="wps">
            <w:drawing>
              <wp:anchor distT="0" distB="0" distL="114300" distR="114300" simplePos="0" relativeHeight="251653120" behindDoc="0" locked="0" layoutInCell="1" allowOverlap="1" wp14:anchorId="6AB9DA0A" wp14:editId="747D9905">
                <wp:simplePos x="0" y="0"/>
                <wp:positionH relativeFrom="leftMargin">
                  <wp:posOffset>685800</wp:posOffset>
                </wp:positionH>
                <wp:positionV relativeFrom="paragraph">
                  <wp:posOffset>288398</wp:posOffset>
                </wp:positionV>
                <wp:extent cx="45719" cy="2392866"/>
                <wp:effectExtent l="76200" t="38100" r="50165" b="26670"/>
                <wp:wrapNone/>
                <wp:docPr id="1512216117" name="Straight Arrow Connector 2"/>
                <wp:cNvGraphicFramePr/>
                <a:graphic xmlns:a="http://schemas.openxmlformats.org/drawingml/2006/main">
                  <a:graphicData uri="http://schemas.microsoft.com/office/word/2010/wordprocessingShape">
                    <wps:wsp>
                      <wps:cNvCnPr/>
                      <wps:spPr>
                        <a:xfrm flipH="1" flipV="1">
                          <a:off x="0" y="0"/>
                          <a:ext cx="45719" cy="239286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A903F6" id="_x0000_t32" coordsize="21600,21600" o:spt="32" o:oned="t" path="m,l21600,21600e" filled="f">
                <v:path arrowok="t" fillok="f" o:connecttype="none"/>
                <o:lock v:ext="edit" shapetype="t"/>
              </v:shapetype>
              <v:shape id="Straight Arrow Connector 2" o:spid="_x0000_s1026" type="#_x0000_t32" style="position:absolute;margin-left:54pt;margin-top:22.7pt;width:3.6pt;height:188.4pt;flip:x y;z-index:2516531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" strokecolor="black [3213]" strokeweight=".5pt">
                <v:stroke endarrow="block" joinstyle="miter"/>
                <w10:wrap anchorx="margin"/>
              </v:shape>
            </w:pict>
          </mc:Fallback>
        </mc:AlternateContent>
      </w:r>
    </w:p>
    <w:tbl>
      <w:tblPr>
        <w:tblStyle w:val="TableGrid"/>
        <w:tblW w:w="0" w:type="auto"/>
        <w:tblLook w:val="04A0" w:firstRow="1" w:lastRow="0" w:firstColumn="1" w:lastColumn="0" w:noHBand="0" w:noVBand="1"/>
      </w:tblPr>
      <w:tblGrid>
        <w:gridCol w:w="4478"/>
        <w:gridCol w:w="4478"/>
      </w:tblGrid>
      <w:tr w:rsidR="008620F4" w14:paraId="11827190" w14:textId="77777777" w:rsidTr="00E55D0A">
        <w:trPr>
          <w:trHeight w:val="1932"/>
        </w:trPr>
        <w:tc>
          <w:tcPr>
            <w:tcW w:w="4478" w:type="dxa"/>
          </w:tcPr>
          <w:p w14:paraId="4C38EDCB" w14:textId="7E93670D" w:rsidR="00D003C0" w:rsidRPr="00BE4F50" w:rsidRDefault="00D003C0" w:rsidP="00FE3A4A">
            <w:pPr>
              <w:pStyle w:val="ListParagraph"/>
              <w:numPr>
                <w:ilvl w:val="0"/>
                <w:numId w:val="11"/>
              </w:numPr>
              <w:rPr>
                <w:rFonts w:ascii="Arial" w:hAnsi="Arial" w:cs="Arial"/>
              </w:rPr>
            </w:pPr>
            <w:r w:rsidRPr="00BE4F50">
              <w:rPr>
                <w:rFonts w:ascii="Arial" w:hAnsi="Arial" w:cs="Arial"/>
              </w:rPr>
              <w:t>Clinical &amp; Regulatory Affairs</w:t>
            </w:r>
          </w:p>
          <w:p w14:paraId="3F075EF6" w14:textId="323C1DC3" w:rsidR="00D003C0" w:rsidRPr="00BE4F50" w:rsidRDefault="00D003C0" w:rsidP="00FE3A4A">
            <w:pPr>
              <w:pStyle w:val="ListParagraph"/>
              <w:numPr>
                <w:ilvl w:val="0"/>
                <w:numId w:val="11"/>
              </w:numPr>
              <w:rPr>
                <w:rFonts w:ascii="Arial" w:hAnsi="Arial" w:cs="Arial"/>
              </w:rPr>
            </w:pPr>
            <w:r w:rsidRPr="00BE4F50">
              <w:rPr>
                <w:rFonts w:ascii="Arial" w:hAnsi="Arial" w:cs="Arial"/>
              </w:rPr>
              <w:t>Engineering Team</w:t>
            </w:r>
          </w:p>
          <w:p w14:paraId="46A892D3" w14:textId="4C158F14" w:rsidR="00D003C0" w:rsidRPr="00BE4F50" w:rsidRDefault="00D003C0" w:rsidP="00FE3A4A">
            <w:pPr>
              <w:pStyle w:val="ListParagraph"/>
              <w:numPr>
                <w:ilvl w:val="0"/>
                <w:numId w:val="11"/>
              </w:numPr>
              <w:rPr>
                <w:rFonts w:ascii="Arial" w:hAnsi="Arial" w:cs="Arial"/>
              </w:rPr>
            </w:pPr>
            <w:r w:rsidRPr="00BE4F50">
              <w:rPr>
                <w:rFonts w:ascii="Arial" w:hAnsi="Arial" w:cs="Arial"/>
              </w:rPr>
              <w:t>Senior Leadership</w:t>
            </w:r>
          </w:p>
          <w:p w14:paraId="6ABCA019" w14:textId="721EE32E" w:rsidR="00D003C0" w:rsidRPr="00BE4F50" w:rsidRDefault="00D003C0" w:rsidP="00FE3A4A">
            <w:pPr>
              <w:pStyle w:val="ListParagraph"/>
              <w:numPr>
                <w:ilvl w:val="0"/>
                <w:numId w:val="11"/>
              </w:numPr>
              <w:rPr>
                <w:rFonts w:ascii="Arial" w:hAnsi="Arial" w:cs="Arial"/>
              </w:rPr>
            </w:pPr>
            <w:r w:rsidRPr="00BE4F50">
              <w:rPr>
                <w:rFonts w:ascii="Arial" w:hAnsi="Arial" w:cs="Arial"/>
              </w:rPr>
              <w:t>MHRA / ICO regulators</w:t>
            </w:r>
          </w:p>
          <w:p w14:paraId="341393F1" w14:textId="77777777" w:rsidR="00880BDF" w:rsidRPr="00BE4F50" w:rsidRDefault="00880BDF" w:rsidP="00D003C0">
            <w:pPr>
              <w:rPr>
                <w:rFonts w:ascii="Arial" w:hAnsi="Arial" w:cs="Arial"/>
                <w:b/>
                <w:bCs/>
              </w:rPr>
            </w:pPr>
          </w:p>
          <w:p w14:paraId="4BE8E15A" w14:textId="27BA6078" w:rsidR="00880BDF" w:rsidRPr="00BE4F50" w:rsidRDefault="00880BDF" w:rsidP="00D003C0">
            <w:pPr>
              <w:rPr>
                <w:rFonts w:ascii="Arial" w:hAnsi="Arial" w:cs="Arial"/>
              </w:rPr>
            </w:pPr>
            <w:r w:rsidRPr="00BE4F50">
              <w:rPr>
                <w:rFonts w:ascii="Arial" w:hAnsi="Arial" w:cs="Arial"/>
                <w:b/>
                <w:bCs/>
              </w:rPr>
              <w:t>Strategy:</w:t>
            </w:r>
            <w:r w:rsidRPr="00BE4F50">
              <w:rPr>
                <w:rFonts w:ascii="Arial" w:hAnsi="Arial" w:cs="Arial"/>
              </w:rPr>
              <w:t xml:space="preserve"> Manage closely.</w:t>
            </w:r>
          </w:p>
          <w:p w14:paraId="5563F495" w14:textId="77777777" w:rsidR="008620F4" w:rsidRPr="00BE4F50" w:rsidRDefault="008620F4" w:rsidP="00E9075E">
            <w:pPr>
              <w:rPr>
                <w:rFonts w:ascii="Arial" w:hAnsi="Arial" w:cs="Arial"/>
              </w:rPr>
            </w:pPr>
          </w:p>
        </w:tc>
        <w:tc>
          <w:tcPr>
            <w:tcW w:w="4478" w:type="dxa"/>
          </w:tcPr>
          <w:p w14:paraId="06F304D4" w14:textId="77777777" w:rsidR="00FE3A4A" w:rsidRPr="00BE4F50" w:rsidRDefault="00FE3A4A" w:rsidP="00FE3A4A">
            <w:pPr>
              <w:numPr>
                <w:ilvl w:val="0"/>
                <w:numId w:val="10"/>
              </w:numPr>
              <w:rPr>
                <w:rFonts w:ascii="Arial" w:hAnsi="Arial" w:cs="Arial"/>
              </w:rPr>
            </w:pPr>
            <w:r w:rsidRPr="00BE4F50">
              <w:rPr>
                <w:rFonts w:ascii="Arial" w:hAnsi="Arial" w:cs="Arial"/>
              </w:rPr>
              <w:t>Investors</w:t>
            </w:r>
          </w:p>
          <w:p w14:paraId="340CED3E" w14:textId="77777777" w:rsidR="00FE3A4A" w:rsidRPr="00BE4F50" w:rsidRDefault="00FE3A4A" w:rsidP="00FE3A4A">
            <w:pPr>
              <w:numPr>
                <w:ilvl w:val="0"/>
                <w:numId w:val="10"/>
              </w:numPr>
              <w:rPr>
                <w:rFonts w:ascii="Arial" w:hAnsi="Arial" w:cs="Arial"/>
              </w:rPr>
            </w:pPr>
            <w:r w:rsidRPr="00BE4F50">
              <w:rPr>
                <w:rFonts w:ascii="Arial" w:hAnsi="Arial" w:cs="Arial"/>
              </w:rPr>
              <w:t>Retail partners</w:t>
            </w:r>
          </w:p>
          <w:p w14:paraId="4DA31CA7" w14:textId="77777777" w:rsidR="00FE3A4A" w:rsidRPr="00BE4F50" w:rsidRDefault="00FE3A4A" w:rsidP="00FE3A4A">
            <w:pPr>
              <w:rPr>
                <w:rFonts w:ascii="Arial" w:hAnsi="Arial" w:cs="Arial"/>
                <w:b/>
                <w:bCs/>
              </w:rPr>
            </w:pPr>
          </w:p>
          <w:p w14:paraId="5A7E18CE" w14:textId="77777777" w:rsidR="00FE3A4A" w:rsidRPr="00BE4F50" w:rsidRDefault="00FE3A4A" w:rsidP="00FE3A4A">
            <w:pPr>
              <w:rPr>
                <w:rFonts w:ascii="Arial" w:hAnsi="Arial" w:cs="Arial"/>
                <w:b/>
                <w:bCs/>
              </w:rPr>
            </w:pPr>
          </w:p>
          <w:p w14:paraId="05398134" w14:textId="77777777" w:rsidR="00FE3A4A" w:rsidRPr="00BE4F50" w:rsidRDefault="00FE3A4A" w:rsidP="00FE3A4A">
            <w:pPr>
              <w:rPr>
                <w:rFonts w:ascii="Arial" w:hAnsi="Arial" w:cs="Arial"/>
                <w:b/>
                <w:bCs/>
              </w:rPr>
            </w:pPr>
          </w:p>
          <w:p w14:paraId="6EF62E26" w14:textId="328A7865" w:rsidR="00FE3A4A" w:rsidRPr="00BE4F50" w:rsidRDefault="00FE3A4A" w:rsidP="00FE3A4A">
            <w:pPr>
              <w:rPr>
                <w:rFonts w:ascii="Arial" w:hAnsi="Arial" w:cs="Arial"/>
              </w:rPr>
            </w:pPr>
            <w:r w:rsidRPr="00BE4F50">
              <w:rPr>
                <w:rFonts w:ascii="Arial" w:hAnsi="Arial" w:cs="Arial"/>
                <w:b/>
                <w:bCs/>
              </w:rPr>
              <w:t>Strategy:</w:t>
            </w:r>
            <w:r w:rsidRPr="00BE4F50">
              <w:rPr>
                <w:rFonts w:ascii="Arial" w:hAnsi="Arial" w:cs="Arial"/>
              </w:rPr>
              <w:t xml:space="preserve"> Keep satisfied</w:t>
            </w:r>
          </w:p>
          <w:p w14:paraId="76AACCDF" w14:textId="77777777" w:rsidR="008620F4" w:rsidRPr="00BE4F50" w:rsidRDefault="008620F4" w:rsidP="00E9075E">
            <w:pPr>
              <w:rPr>
                <w:rFonts w:ascii="Arial" w:hAnsi="Arial" w:cs="Arial"/>
              </w:rPr>
            </w:pPr>
          </w:p>
        </w:tc>
      </w:tr>
      <w:tr w:rsidR="008620F4" w14:paraId="511820DB" w14:textId="77777777" w:rsidTr="00E55D0A">
        <w:trPr>
          <w:trHeight w:val="1616"/>
        </w:trPr>
        <w:tc>
          <w:tcPr>
            <w:tcW w:w="4478" w:type="dxa"/>
          </w:tcPr>
          <w:p w14:paraId="15FD7839" w14:textId="77777777" w:rsidR="001F1856" w:rsidRPr="00BE4F50" w:rsidRDefault="001F1856" w:rsidP="001F1856">
            <w:pPr>
              <w:numPr>
                <w:ilvl w:val="0"/>
                <w:numId w:val="12"/>
              </w:numPr>
              <w:rPr>
                <w:rFonts w:ascii="Arial" w:hAnsi="Arial" w:cs="Arial"/>
              </w:rPr>
            </w:pPr>
            <w:r w:rsidRPr="00BE4F50">
              <w:rPr>
                <w:rFonts w:ascii="Arial" w:hAnsi="Arial" w:cs="Arial"/>
              </w:rPr>
              <w:t>Consumers</w:t>
            </w:r>
          </w:p>
          <w:p w14:paraId="37F9E4DF" w14:textId="77777777" w:rsidR="001F1856" w:rsidRPr="00BE4F50" w:rsidRDefault="001F1856" w:rsidP="001F1856">
            <w:pPr>
              <w:numPr>
                <w:ilvl w:val="0"/>
                <w:numId w:val="12"/>
              </w:numPr>
              <w:rPr>
                <w:rFonts w:ascii="Arial" w:hAnsi="Arial" w:cs="Arial"/>
              </w:rPr>
            </w:pPr>
            <w:r w:rsidRPr="00BE4F50">
              <w:rPr>
                <w:rFonts w:ascii="Arial" w:hAnsi="Arial" w:cs="Arial"/>
              </w:rPr>
              <w:t>NHS clinicians</w:t>
            </w:r>
          </w:p>
          <w:p w14:paraId="08CE0167" w14:textId="6D35619A" w:rsidR="001F1856" w:rsidRPr="00BE4F50" w:rsidRDefault="001F1856" w:rsidP="001F1856">
            <w:pPr>
              <w:numPr>
                <w:ilvl w:val="0"/>
                <w:numId w:val="12"/>
              </w:numPr>
              <w:rPr>
                <w:rFonts w:ascii="Arial" w:hAnsi="Arial" w:cs="Arial"/>
              </w:rPr>
            </w:pPr>
            <w:r w:rsidRPr="00BE4F50">
              <w:rPr>
                <w:rFonts w:ascii="Arial" w:hAnsi="Arial" w:cs="Arial"/>
              </w:rPr>
              <w:t>Marketing team</w:t>
            </w:r>
          </w:p>
          <w:p w14:paraId="04BE36A8" w14:textId="77777777" w:rsidR="001F1856" w:rsidRPr="00BE4F50" w:rsidRDefault="001F1856" w:rsidP="001F1856">
            <w:pPr>
              <w:rPr>
                <w:rFonts w:ascii="Arial" w:hAnsi="Arial" w:cs="Arial"/>
                <w:b/>
                <w:bCs/>
              </w:rPr>
            </w:pPr>
          </w:p>
          <w:p w14:paraId="62187D58" w14:textId="54CC442A" w:rsidR="001F1856" w:rsidRPr="00BE4F50" w:rsidRDefault="001F1856" w:rsidP="001F1856">
            <w:pPr>
              <w:rPr>
                <w:rFonts w:ascii="Arial" w:hAnsi="Arial" w:cs="Arial"/>
              </w:rPr>
            </w:pPr>
            <w:r w:rsidRPr="00BE4F50">
              <w:rPr>
                <w:rFonts w:ascii="Arial" w:hAnsi="Arial" w:cs="Arial"/>
                <w:b/>
                <w:bCs/>
              </w:rPr>
              <w:t>Strategy:</w:t>
            </w:r>
            <w:r w:rsidRPr="00BE4F50">
              <w:rPr>
                <w:rFonts w:ascii="Arial" w:hAnsi="Arial" w:cs="Arial"/>
              </w:rPr>
              <w:t xml:space="preserve"> Keep informed.</w:t>
            </w:r>
          </w:p>
          <w:p w14:paraId="544B602D" w14:textId="77777777" w:rsidR="008620F4" w:rsidRPr="00BE4F50" w:rsidRDefault="008620F4" w:rsidP="00E9075E">
            <w:pPr>
              <w:rPr>
                <w:rFonts w:ascii="Arial" w:hAnsi="Arial" w:cs="Arial"/>
              </w:rPr>
            </w:pPr>
          </w:p>
        </w:tc>
        <w:tc>
          <w:tcPr>
            <w:tcW w:w="4478" w:type="dxa"/>
          </w:tcPr>
          <w:p w14:paraId="729155BE" w14:textId="77777777" w:rsidR="001130F1" w:rsidRPr="00BE4F50" w:rsidRDefault="001130F1" w:rsidP="001130F1">
            <w:pPr>
              <w:numPr>
                <w:ilvl w:val="0"/>
                <w:numId w:val="13"/>
              </w:numPr>
              <w:rPr>
                <w:rFonts w:ascii="Arial" w:hAnsi="Arial" w:cs="Arial"/>
              </w:rPr>
            </w:pPr>
            <w:r w:rsidRPr="00BE4F50">
              <w:rPr>
                <w:rFonts w:ascii="Arial" w:hAnsi="Arial" w:cs="Arial"/>
              </w:rPr>
              <w:t>Non-core suppliers</w:t>
            </w:r>
          </w:p>
          <w:p w14:paraId="2F398F1F" w14:textId="77777777" w:rsidR="001130F1" w:rsidRPr="00BE4F50" w:rsidRDefault="001130F1" w:rsidP="001130F1">
            <w:pPr>
              <w:rPr>
                <w:rFonts w:ascii="Arial" w:hAnsi="Arial" w:cs="Arial"/>
                <w:b/>
                <w:bCs/>
              </w:rPr>
            </w:pPr>
          </w:p>
          <w:p w14:paraId="4AB71BE3" w14:textId="77777777" w:rsidR="001130F1" w:rsidRPr="00BE4F50" w:rsidRDefault="001130F1" w:rsidP="001130F1">
            <w:pPr>
              <w:rPr>
                <w:rFonts w:ascii="Arial" w:hAnsi="Arial" w:cs="Arial"/>
                <w:b/>
                <w:bCs/>
              </w:rPr>
            </w:pPr>
          </w:p>
          <w:p w14:paraId="6F10EC22" w14:textId="77777777" w:rsidR="001130F1" w:rsidRPr="00BE4F50" w:rsidRDefault="001130F1" w:rsidP="001130F1">
            <w:pPr>
              <w:rPr>
                <w:rFonts w:ascii="Arial" w:hAnsi="Arial" w:cs="Arial"/>
                <w:b/>
                <w:bCs/>
              </w:rPr>
            </w:pPr>
          </w:p>
          <w:p w14:paraId="4C93616B" w14:textId="6DB5B5EB" w:rsidR="001130F1" w:rsidRPr="00BE4F50" w:rsidRDefault="001130F1" w:rsidP="001130F1">
            <w:pPr>
              <w:rPr>
                <w:rFonts w:ascii="Arial" w:hAnsi="Arial" w:cs="Arial"/>
              </w:rPr>
            </w:pPr>
            <w:r w:rsidRPr="00BE4F50">
              <w:rPr>
                <w:rFonts w:ascii="Arial" w:hAnsi="Arial" w:cs="Arial"/>
                <w:b/>
                <w:bCs/>
              </w:rPr>
              <w:t>Strategy:</w:t>
            </w:r>
            <w:r w:rsidRPr="00BE4F50">
              <w:rPr>
                <w:rFonts w:ascii="Arial" w:hAnsi="Arial" w:cs="Arial"/>
              </w:rPr>
              <w:t xml:space="preserve"> Monitor only.</w:t>
            </w:r>
          </w:p>
          <w:p w14:paraId="6AB58765" w14:textId="77777777" w:rsidR="008620F4" w:rsidRPr="00BE4F50" w:rsidRDefault="008620F4" w:rsidP="00E9075E">
            <w:pPr>
              <w:rPr>
                <w:rFonts w:ascii="Arial" w:hAnsi="Arial" w:cs="Arial"/>
              </w:rPr>
            </w:pPr>
          </w:p>
        </w:tc>
      </w:tr>
    </w:tbl>
    <w:p w14:paraId="45A750A8" w14:textId="3864A437" w:rsidR="00AA3DB1" w:rsidRDefault="007928F2" w:rsidP="00E9075E">
      <w:r>
        <w:rPr>
          <w:noProof/>
        </w:rPr>
        <mc:AlternateContent>
          <mc:Choice Requires="wps">
            <w:drawing>
              <wp:anchor distT="0" distB="0" distL="114300" distR="114300" simplePos="0" relativeHeight="251663360" behindDoc="0" locked="0" layoutInCell="1" allowOverlap="1" wp14:anchorId="65386EE2" wp14:editId="2B05D27B">
                <wp:simplePos x="0" y="0"/>
                <wp:positionH relativeFrom="column">
                  <wp:posOffset>-183546</wp:posOffset>
                </wp:positionH>
                <wp:positionV relativeFrom="paragraph">
                  <wp:posOffset>289808</wp:posOffset>
                </wp:positionV>
                <wp:extent cx="535259" cy="282373"/>
                <wp:effectExtent l="0" t="0" r="17780" b="22860"/>
                <wp:wrapNone/>
                <wp:docPr id="1699249801" name="Text Box 8"/>
                <wp:cNvGraphicFramePr/>
                <a:graphic xmlns:a="http://schemas.openxmlformats.org/drawingml/2006/main">
                  <a:graphicData uri="http://schemas.microsoft.com/office/word/2010/wordprocessingShape">
                    <wps:wsp>
                      <wps:cNvSpPr txBox="1"/>
                      <wps:spPr>
                        <a:xfrm>
                          <a:off x="0" y="0"/>
                          <a:ext cx="535259" cy="282373"/>
                        </a:xfrm>
                        <a:prstGeom prst="rect">
                          <a:avLst/>
                        </a:prstGeom>
                        <a:solidFill>
                          <a:schemeClr val="lt1"/>
                        </a:solidFill>
                        <a:ln w="6350">
                          <a:solidFill>
                            <a:prstClr val="black"/>
                          </a:solidFill>
                        </a:ln>
                      </wps:spPr>
                      <wps:txbx>
                        <w:txbxContent>
                          <w:p w14:paraId="5C8060F7" w14:textId="68C6838C" w:rsidR="00F56A4C" w:rsidRPr="007928F2" w:rsidRDefault="007928F2">
                            <w:pPr>
                              <w:rPr>
                                <w:lang w:val="en-US"/>
                              </w:rPr>
                            </w:pPr>
                            <w:r>
                              <w:rPr>
                                <w:lang w:val="en-U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86EE2" id="Text Box 8" o:spid="_x0000_s1029" type="#_x0000_t202" style="position:absolute;margin-left:-14.45pt;margin-top:22.8pt;width:42.15pt;height:2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" fillcolor="white [3201]" strokeweight=".5pt">
                <v:textbox>
                  <w:txbxContent>
                    <w:p w14:paraId="5C8060F7" w14:textId="68C6838C" w:rsidR="00F56A4C" w:rsidRPr="007928F2" w:rsidRDefault="007928F2">
                      <w:pPr>
                        <w:rPr>
                          <w:lang w:val="en-US"/>
                        </w:rPr>
                      </w:pPr>
                      <w:r>
                        <w:rPr>
                          <w:lang w:val="en-US"/>
                        </w:rPr>
                        <w:t>Low</w:t>
                      </w:r>
                    </w:p>
                  </w:txbxContent>
                </v:textbox>
              </v:shape>
            </w:pict>
          </mc:Fallback>
        </mc:AlternateContent>
      </w:r>
      <w:r w:rsidR="0039725D">
        <w:rPr>
          <w:noProof/>
        </w:rPr>
        <mc:AlternateContent>
          <mc:Choice Requires="wps">
            <w:drawing>
              <wp:anchor distT="0" distB="0" distL="114300" distR="114300" simplePos="0" relativeHeight="251652096" behindDoc="0" locked="0" layoutInCell="1" allowOverlap="1" wp14:anchorId="67A1A7DF" wp14:editId="779BB9B6">
                <wp:simplePos x="0" y="0"/>
                <wp:positionH relativeFrom="margin">
                  <wp:align>right</wp:align>
                </wp:positionH>
                <wp:positionV relativeFrom="paragraph">
                  <wp:posOffset>83092</wp:posOffset>
                </wp:positionV>
                <wp:extent cx="5910147" cy="45719"/>
                <wp:effectExtent l="0" t="76200" r="14605" b="50165"/>
                <wp:wrapNone/>
                <wp:docPr id="440248519" name="Straight Arrow Connector 1"/>
                <wp:cNvGraphicFramePr/>
                <a:graphic xmlns:a="http://schemas.openxmlformats.org/drawingml/2006/main">
                  <a:graphicData uri="http://schemas.microsoft.com/office/word/2010/wordprocessingShape">
                    <wps:wsp>
                      <wps:cNvCnPr/>
                      <wps:spPr>
                        <a:xfrm flipV="1">
                          <a:off x="0" y="0"/>
                          <a:ext cx="5910147"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003A16" id="Straight Arrow Connector 1" o:spid="_x0000_s1026" type="#_x0000_t32" style="position:absolute;margin-left:414.15pt;margin-top:6.55pt;width:465.35pt;height:3.6pt;flip:y;z-index:251652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" strokecolor="black [3213]" strokeweight=".5pt">
                <v:stroke endarrow="block" joinstyle="miter"/>
                <w10:wrap anchorx="margin"/>
              </v:shape>
            </w:pict>
          </mc:Fallback>
        </mc:AlternateContent>
      </w:r>
      <w:r w:rsidR="004D56D2">
        <w:rPr>
          <w:noProof/>
        </w:rPr>
        <mc:AlternateContent>
          <mc:Choice Requires="wps">
            <w:drawing>
              <wp:anchor distT="0" distB="0" distL="114300" distR="114300" simplePos="0" relativeHeight="251655168" behindDoc="0" locked="0" layoutInCell="1" allowOverlap="1" wp14:anchorId="4E7DCD92" wp14:editId="2E93839F">
                <wp:simplePos x="0" y="0"/>
                <wp:positionH relativeFrom="rightMargin">
                  <wp:align>left</wp:align>
                </wp:positionH>
                <wp:positionV relativeFrom="paragraph">
                  <wp:posOffset>7466</wp:posOffset>
                </wp:positionV>
                <wp:extent cx="572429" cy="334537"/>
                <wp:effectExtent l="0" t="0" r="18415" b="27940"/>
                <wp:wrapNone/>
                <wp:docPr id="2072960014" name="Text Box 4"/>
                <wp:cNvGraphicFramePr/>
                <a:graphic xmlns:a="http://schemas.openxmlformats.org/drawingml/2006/main">
                  <a:graphicData uri="http://schemas.microsoft.com/office/word/2010/wordprocessingShape">
                    <wps:wsp>
                      <wps:cNvSpPr txBox="1"/>
                      <wps:spPr>
                        <a:xfrm>
                          <a:off x="0" y="0"/>
                          <a:ext cx="572429" cy="334537"/>
                        </a:xfrm>
                        <a:prstGeom prst="rect">
                          <a:avLst/>
                        </a:prstGeom>
                        <a:solidFill>
                          <a:schemeClr val="lt1"/>
                        </a:solidFill>
                        <a:ln w="6350">
                          <a:solidFill>
                            <a:prstClr val="black"/>
                          </a:solidFill>
                        </a:ln>
                      </wps:spPr>
                      <wps:txbx>
                        <w:txbxContent>
                          <w:p w14:paraId="1B87EFFE" w14:textId="3AE6208C" w:rsidR="004D56D2" w:rsidRPr="004D56D2" w:rsidRDefault="004D56D2">
                            <w:pPr>
                              <w:rPr>
                                <w:lang w:val="en-US"/>
                              </w:rPr>
                            </w:pPr>
                            <w:r>
                              <w:rPr>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7DCD92" id="Text Box 4" o:spid="_x0000_s1030" type="#_x0000_t202" style="position:absolute;margin-left:0;margin-top:.6pt;width:45.05pt;height:26.35pt;z-index:251655168;visibility:visible;mso-wrap-style:square;mso-width-percent:0;mso-wrap-distance-left:9pt;mso-wrap-distance-top:0;mso-wrap-distance-right:9pt;mso-wrap-distance-bottom:0;mso-position-horizontal:left;mso-position-horizontal-relative:right-margin-area;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" fillcolor="white [3201]" strokeweight=".5pt">
                <v:textbox>
                  <w:txbxContent>
                    <w:p w14:paraId="1B87EFFE" w14:textId="3AE6208C" w:rsidR="004D56D2" w:rsidRPr="004D56D2" w:rsidRDefault="004D56D2">
                      <w:pPr>
                        <w:rPr>
                          <w:lang w:val="en-US"/>
                        </w:rPr>
                      </w:pPr>
                      <w:r>
                        <w:rPr>
                          <w:lang w:val="en-US"/>
                        </w:rPr>
                        <w:t>HIGH</w:t>
                      </w:r>
                    </w:p>
                  </w:txbxContent>
                </v:textbox>
                <w10:wrap anchorx="margin"/>
              </v:shape>
            </w:pict>
          </mc:Fallback>
        </mc:AlternateContent>
      </w:r>
    </w:p>
    <w:p w14:paraId="7F0B51F9" w14:textId="473C01CC" w:rsidR="003D70F4" w:rsidRDefault="00F56A4C" w:rsidP="00E9075E">
      <w:r>
        <w:rPr>
          <w:noProof/>
        </w:rPr>
        <mc:AlternateContent>
          <mc:Choice Requires="wps">
            <w:drawing>
              <wp:anchor distT="0" distB="0" distL="114300" distR="114300" simplePos="0" relativeHeight="251656192" behindDoc="0" locked="0" layoutInCell="1" allowOverlap="1" wp14:anchorId="2E47B459" wp14:editId="4FD174C7">
                <wp:simplePos x="0" y="0"/>
                <wp:positionH relativeFrom="margin">
                  <wp:posOffset>2408307</wp:posOffset>
                </wp:positionH>
                <wp:positionV relativeFrom="paragraph">
                  <wp:posOffset>4445</wp:posOffset>
                </wp:positionV>
                <wp:extent cx="698810" cy="283024"/>
                <wp:effectExtent l="0" t="0" r="25400" b="22225"/>
                <wp:wrapNone/>
                <wp:docPr id="1067301555" name="Text Box 5"/>
                <wp:cNvGraphicFramePr/>
                <a:graphic xmlns:a="http://schemas.openxmlformats.org/drawingml/2006/main">
                  <a:graphicData uri="http://schemas.microsoft.com/office/word/2010/wordprocessingShape">
                    <wps:wsp>
                      <wps:cNvSpPr txBox="1"/>
                      <wps:spPr>
                        <a:xfrm>
                          <a:off x="0" y="0"/>
                          <a:ext cx="698810" cy="283024"/>
                        </a:xfrm>
                        <a:prstGeom prst="rect">
                          <a:avLst/>
                        </a:prstGeom>
                        <a:solidFill>
                          <a:schemeClr val="lt1"/>
                        </a:solidFill>
                        <a:ln w="6350">
                          <a:solidFill>
                            <a:prstClr val="black"/>
                          </a:solidFill>
                        </a:ln>
                      </wps:spPr>
                      <wps:txbx>
                        <w:txbxContent>
                          <w:p w14:paraId="0420B467" w14:textId="1A08D208" w:rsidR="00F56A4C" w:rsidRPr="00F56A4C" w:rsidRDefault="00F56A4C">
                            <w:pPr>
                              <w:rPr>
                                <w:lang w:val="en-US"/>
                              </w:rPr>
                            </w:pPr>
                            <w:r>
                              <w:rPr>
                                <w:lang w:val="en-US"/>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47B459" id="Text Box 5" o:spid="_x0000_s1031" type="#_x0000_t202" style="position:absolute;margin-left:189.65pt;margin-top:.35pt;width:55pt;height:22.3pt;z-index:2516561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" fillcolor="white [3201]" strokeweight=".5pt">
                <v:textbox>
                  <w:txbxContent>
                    <w:p w14:paraId="0420B467" w14:textId="1A08D208" w:rsidR="00F56A4C" w:rsidRPr="00F56A4C" w:rsidRDefault="00F56A4C">
                      <w:pPr>
                        <w:rPr>
                          <w:lang w:val="en-US"/>
                        </w:rPr>
                      </w:pPr>
                      <w:r>
                        <w:rPr>
                          <w:lang w:val="en-US"/>
                        </w:rPr>
                        <w:t>Interest</w:t>
                      </w:r>
                    </w:p>
                  </w:txbxContent>
                </v:textbox>
                <w10:wrap anchorx="margin"/>
              </v:shape>
            </w:pict>
          </mc:Fallback>
        </mc:AlternateContent>
      </w:r>
    </w:p>
    <w:p w14:paraId="66E1D6FB" w14:textId="233E24DC" w:rsidR="00EF26E3" w:rsidRDefault="00EF26E3" w:rsidP="00E9075E"/>
    <w:p w14:paraId="2ABA3202" w14:textId="5EAD4E0A" w:rsidR="00EF26E3" w:rsidRDefault="00EF26E3" w:rsidP="00E9075E"/>
    <w:p w14:paraId="7DB3E88D" w14:textId="2FD1A416" w:rsidR="00EF26E3" w:rsidRPr="004E6ED5" w:rsidRDefault="003F2B18" w:rsidP="00E9075E">
      <w:pPr>
        <w:rPr>
          <w:rFonts w:ascii="Arial" w:hAnsi="Arial" w:cs="Arial"/>
          <w:b/>
          <w:bCs/>
        </w:rPr>
      </w:pPr>
      <w:r>
        <w:lastRenderedPageBreak/>
        <w:t xml:space="preserve">   </w:t>
      </w:r>
      <w:r w:rsidR="009576D1" w:rsidRPr="004E6ED5">
        <w:rPr>
          <w:rFonts w:ascii="Arial" w:hAnsi="Arial" w:cs="Arial"/>
          <w:b/>
          <w:bCs/>
        </w:rPr>
        <w:t>Stakeholder E</w:t>
      </w:r>
      <w:r w:rsidR="004E6ED5" w:rsidRPr="004E6ED5">
        <w:rPr>
          <w:rFonts w:ascii="Arial" w:hAnsi="Arial" w:cs="Arial"/>
          <w:b/>
          <w:bCs/>
        </w:rPr>
        <w:t>ngagement Plan</w:t>
      </w:r>
    </w:p>
    <w:p w14:paraId="0DBCBE6A" w14:textId="77777777" w:rsidR="004E6ED5" w:rsidRPr="004E6ED5" w:rsidRDefault="004E6ED5" w:rsidP="004E6ED5">
      <w:r w:rsidRPr="004E6ED5">
        <w:t>Adapted from Yang et al. (2021):</w:t>
      </w:r>
    </w:p>
    <w:p w14:paraId="1CE1AEDE" w14:textId="77777777" w:rsidR="004E6ED5" w:rsidRPr="004E6ED5" w:rsidRDefault="004E6ED5" w:rsidP="004E6ED5">
      <w:pPr>
        <w:numPr>
          <w:ilvl w:val="0"/>
          <w:numId w:val="14"/>
        </w:numPr>
        <w:rPr>
          <w:rFonts w:ascii="Arial" w:hAnsi="Arial" w:cs="Arial"/>
        </w:rPr>
      </w:pPr>
      <w:r w:rsidRPr="004E6ED5">
        <w:rPr>
          <w:rFonts w:ascii="Arial" w:hAnsi="Arial" w:cs="Arial"/>
          <w:b/>
          <w:bCs/>
        </w:rPr>
        <w:t>Identification</w:t>
      </w:r>
      <w:r w:rsidRPr="004E6ED5">
        <w:rPr>
          <w:rFonts w:ascii="Arial" w:hAnsi="Arial" w:cs="Arial"/>
        </w:rPr>
        <w:t xml:space="preserve"> – Map all stakeholders.</w:t>
      </w:r>
    </w:p>
    <w:p w14:paraId="18FE43A2" w14:textId="77777777" w:rsidR="004E6ED5" w:rsidRPr="004E6ED5" w:rsidRDefault="004E6ED5" w:rsidP="004E6ED5">
      <w:pPr>
        <w:numPr>
          <w:ilvl w:val="0"/>
          <w:numId w:val="14"/>
        </w:numPr>
        <w:rPr>
          <w:rFonts w:ascii="Arial" w:hAnsi="Arial" w:cs="Arial"/>
        </w:rPr>
      </w:pPr>
      <w:r w:rsidRPr="004E6ED5">
        <w:rPr>
          <w:rFonts w:ascii="Arial" w:hAnsi="Arial" w:cs="Arial"/>
          <w:b/>
          <w:bCs/>
        </w:rPr>
        <w:t>Prioritisation</w:t>
      </w:r>
      <w:r w:rsidRPr="004E6ED5">
        <w:rPr>
          <w:rFonts w:ascii="Arial" w:hAnsi="Arial" w:cs="Arial"/>
        </w:rPr>
        <w:t xml:space="preserve"> – Use the power–interest matrix.</w:t>
      </w:r>
    </w:p>
    <w:p w14:paraId="6D754E2E" w14:textId="77777777" w:rsidR="004E6ED5" w:rsidRPr="004E6ED5" w:rsidRDefault="004E6ED5" w:rsidP="004E6ED5">
      <w:pPr>
        <w:numPr>
          <w:ilvl w:val="0"/>
          <w:numId w:val="14"/>
        </w:numPr>
        <w:rPr>
          <w:rFonts w:ascii="Arial" w:hAnsi="Arial" w:cs="Arial"/>
        </w:rPr>
      </w:pPr>
      <w:r w:rsidRPr="004E6ED5">
        <w:rPr>
          <w:rFonts w:ascii="Arial" w:hAnsi="Arial" w:cs="Arial"/>
          <w:b/>
          <w:bCs/>
        </w:rPr>
        <w:t>Mapping Expectations</w:t>
      </w:r>
      <w:r w:rsidRPr="004E6ED5">
        <w:rPr>
          <w:rFonts w:ascii="Arial" w:hAnsi="Arial" w:cs="Arial"/>
        </w:rPr>
        <w:t xml:space="preserve"> – Collect stakeholder needs and success criteria.</w:t>
      </w:r>
    </w:p>
    <w:p w14:paraId="48451A9E" w14:textId="77777777" w:rsidR="004E6ED5" w:rsidRPr="004E6ED5" w:rsidRDefault="004E6ED5" w:rsidP="004E6ED5">
      <w:pPr>
        <w:numPr>
          <w:ilvl w:val="0"/>
          <w:numId w:val="14"/>
        </w:numPr>
        <w:rPr>
          <w:rFonts w:ascii="Arial" w:hAnsi="Arial" w:cs="Arial"/>
        </w:rPr>
      </w:pPr>
      <w:r w:rsidRPr="004E6ED5">
        <w:rPr>
          <w:rFonts w:ascii="Arial" w:hAnsi="Arial" w:cs="Arial"/>
          <w:b/>
          <w:bCs/>
        </w:rPr>
        <w:t>Engagement Activities</w:t>
      </w:r>
      <w:r w:rsidRPr="004E6ED5">
        <w:rPr>
          <w:rFonts w:ascii="Arial" w:hAnsi="Arial" w:cs="Arial"/>
        </w:rPr>
        <w:t xml:space="preserve"> – Workshops, beta-testing, regulatory review sessions.</w:t>
      </w:r>
    </w:p>
    <w:p w14:paraId="1E1B0C6C" w14:textId="77777777" w:rsidR="004E6ED5" w:rsidRPr="004E6ED5" w:rsidRDefault="004E6ED5" w:rsidP="004E6ED5">
      <w:pPr>
        <w:numPr>
          <w:ilvl w:val="0"/>
          <w:numId w:val="14"/>
        </w:numPr>
      </w:pPr>
      <w:r w:rsidRPr="004E6ED5">
        <w:rPr>
          <w:rFonts w:ascii="Arial" w:hAnsi="Arial" w:cs="Arial"/>
          <w:b/>
          <w:bCs/>
        </w:rPr>
        <w:t>Monitoring</w:t>
      </w:r>
      <w:r w:rsidRPr="004E6ED5">
        <w:rPr>
          <w:rFonts w:ascii="Arial" w:hAnsi="Arial" w:cs="Arial"/>
        </w:rPr>
        <w:t xml:space="preserve"> – Track satisfaction, update plans accordingly.</w:t>
      </w:r>
    </w:p>
    <w:p w14:paraId="193C16FC" w14:textId="77777777" w:rsidR="004E6ED5" w:rsidRPr="004E6ED5" w:rsidRDefault="004E6ED5" w:rsidP="004E6ED5"/>
    <w:p w14:paraId="0210BF3F" w14:textId="77777777" w:rsidR="004E6ED5" w:rsidRDefault="004E6ED5" w:rsidP="00E9075E"/>
    <w:p w14:paraId="261A3384" w14:textId="31130464" w:rsidR="00EF26E3" w:rsidRDefault="00F56A4C" w:rsidP="00E9075E">
      <w:r>
        <w:t xml:space="preserve">                            </w:t>
      </w:r>
    </w:p>
    <w:p w14:paraId="1A89E36D" w14:textId="05FE60C5" w:rsidR="00EF26E3" w:rsidRDefault="00EF26E3" w:rsidP="00E9075E"/>
    <w:p w14:paraId="4347F086" w14:textId="7A5C0DAD" w:rsidR="00EF26E3" w:rsidRPr="00976A77" w:rsidRDefault="00976A77" w:rsidP="00E9075E">
      <w:pPr>
        <w:rPr>
          <w:rFonts w:ascii="Arial" w:hAnsi="Arial" w:cs="Arial"/>
          <w:b/>
          <w:bCs/>
        </w:rPr>
      </w:pPr>
      <w:r w:rsidRPr="00976A77">
        <w:rPr>
          <w:rFonts w:ascii="Arial" w:hAnsi="Arial" w:cs="Arial"/>
          <w:b/>
          <w:bCs/>
        </w:rPr>
        <w:t>Communication Plan</w:t>
      </w:r>
    </w:p>
    <w:p w14:paraId="58AF2AA5" w14:textId="77777777" w:rsidR="00EF26E3" w:rsidRDefault="00EF26E3" w:rsidP="00E9075E"/>
    <w:p w14:paraId="76D43B04" w14:textId="0E01EB30" w:rsidR="00A32245" w:rsidRPr="00A32245" w:rsidRDefault="00A32245" w:rsidP="00A32245">
      <w:pPr>
        <w:rPr>
          <w:b/>
        </w:rPr>
      </w:pPr>
    </w:p>
    <w:tbl>
      <w:tblPr>
        <w:tblW w:w="6911" w:type="dxa"/>
        <w:tblInd w:w="305" w:type="dxa"/>
        <w:tblCellMar>
          <w:left w:w="0" w:type="dxa"/>
          <w:right w:w="0" w:type="dxa"/>
        </w:tblCellMar>
        <w:tblLook w:val="04A0" w:firstRow="1" w:lastRow="0" w:firstColumn="1" w:lastColumn="0" w:noHBand="0" w:noVBand="1"/>
      </w:tblPr>
      <w:tblGrid>
        <w:gridCol w:w="1633"/>
        <w:gridCol w:w="1427"/>
        <w:gridCol w:w="2111"/>
        <w:gridCol w:w="1740"/>
      </w:tblGrid>
      <w:tr w:rsidR="00067D56" w:rsidRPr="00A32245" w14:paraId="487F7861" w14:textId="77777777" w:rsidTr="00067D56">
        <w:trPr>
          <w:trHeight w:val="555"/>
        </w:trPr>
        <w:tc>
          <w:tcPr>
            <w:tcW w:w="1641"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46E8FF4A" w14:textId="77777777" w:rsidR="00067D56" w:rsidRPr="00A32245" w:rsidRDefault="00067D56" w:rsidP="00A32245">
            <w:pPr>
              <w:rPr>
                <w:rFonts w:ascii="Arial" w:hAnsi="Arial" w:cs="Arial"/>
                <w:b/>
                <w:bCs/>
                <w:color w:val="FFFFFF" w:themeColor="background1"/>
              </w:rPr>
            </w:pPr>
            <w:r w:rsidRPr="00A32245">
              <w:rPr>
                <w:rFonts w:ascii="Arial" w:hAnsi="Arial" w:cs="Arial"/>
                <w:b/>
                <w:bCs/>
                <w:color w:val="FFFFFF" w:themeColor="background1"/>
              </w:rPr>
              <w:t>Stakeholder Group</w:t>
            </w:r>
          </w:p>
        </w:tc>
        <w:tc>
          <w:tcPr>
            <w:tcW w:w="1348"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73969704" w14:textId="0F0328E5" w:rsidR="00067D56" w:rsidRPr="00A32245" w:rsidRDefault="00067D56" w:rsidP="00A32245">
            <w:pPr>
              <w:rPr>
                <w:rFonts w:ascii="Arial" w:hAnsi="Arial" w:cs="Arial"/>
                <w:b/>
                <w:bCs/>
                <w:color w:val="FFFFFF" w:themeColor="background1"/>
              </w:rPr>
            </w:pPr>
            <w:r w:rsidRPr="007257E2">
              <w:rPr>
                <w:rFonts w:ascii="Arial" w:hAnsi="Arial" w:cs="Arial"/>
                <w:b/>
                <w:bCs/>
                <w:color w:val="FFFFFF" w:themeColor="background1"/>
              </w:rPr>
              <w:t>Method</w:t>
            </w:r>
          </w:p>
        </w:tc>
        <w:tc>
          <w:tcPr>
            <w:tcW w:w="2159"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0A3F5178" w14:textId="162AEDCC" w:rsidR="00067D56" w:rsidRPr="00A32245" w:rsidRDefault="00067D56" w:rsidP="00A32245">
            <w:pPr>
              <w:rPr>
                <w:rFonts w:ascii="Arial" w:hAnsi="Arial" w:cs="Arial"/>
                <w:b/>
                <w:bCs/>
                <w:color w:val="FFFFFF" w:themeColor="background1"/>
              </w:rPr>
            </w:pPr>
            <w:r w:rsidRPr="007257E2">
              <w:rPr>
                <w:rFonts w:ascii="Arial" w:hAnsi="Arial" w:cs="Arial"/>
                <w:b/>
                <w:bCs/>
                <w:color w:val="FFFFFF" w:themeColor="background1"/>
              </w:rPr>
              <w:t>Frequency</w:t>
            </w:r>
          </w:p>
        </w:tc>
        <w:tc>
          <w:tcPr>
            <w:tcW w:w="1763"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3F870F9F" w14:textId="797C0BB1" w:rsidR="00067D56" w:rsidRPr="00A32245" w:rsidRDefault="00067D56" w:rsidP="00A32245">
            <w:pPr>
              <w:rPr>
                <w:rFonts w:ascii="Arial" w:hAnsi="Arial" w:cs="Arial"/>
                <w:b/>
                <w:bCs/>
                <w:color w:val="FFFFFF" w:themeColor="background1"/>
              </w:rPr>
            </w:pPr>
            <w:r w:rsidRPr="007257E2">
              <w:rPr>
                <w:rFonts w:ascii="Arial" w:hAnsi="Arial" w:cs="Arial"/>
                <w:b/>
                <w:bCs/>
                <w:color w:val="FFFFFF" w:themeColor="background1"/>
              </w:rPr>
              <w:t>Purpose</w:t>
            </w:r>
          </w:p>
        </w:tc>
      </w:tr>
      <w:tr w:rsidR="00067D56" w:rsidRPr="00A32245" w14:paraId="70CB23E7" w14:textId="77777777" w:rsidTr="00067D56">
        <w:trPr>
          <w:trHeight w:val="858"/>
        </w:trPr>
        <w:tc>
          <w:tcPr>
            <w:tcW w:w="1641"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hideMark/>
          </w:tcPr>
          <w:p w14:paraId="5D3A0617" w14:textId="7FA2E452" w:rsidR="00067D56" w:rsidRPr="00A32245" w:rsidRDefault="009234C4" w:rsidP="00A32245">
            <w:pPr>
              <w:rPr>
                <w:rFonts w:ascii="Arial" w:hAnsi="Arial" w:cs="Arial"/>
                <w:b/>
                <w:bCs/>
                <w:color w:val="FFFFFF" w:themeColor="background1"/>
              </w:rPr>
            </w:pPr>
            <w:r w:rsidRPr="007257E2">
              <w:rPr>
                <w:rFonts w:ascii="Arial" w:hAnsi="Arial" w:cs="Arial"/>
                <w:b/>
                <w:bCs/>
                <w:color w:val="FFFFFF" w:themeColor="background1"/>
              </w:rPr>
              <w:t>Engineering</w:t>
            </w:r>
          </w:p>
        </w:tc>
        <w:tc>
          <w:tcPr>
            <w:tcW w:w="134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16088CEE" w14:textId="657DC628" w:rsidR="00067D56" w:rsidRPr="00A32245" w:rsidRDefault="00057F82" w:rsidP="00A32245">
            <w:pPr>
              <w:rPr>
                <w:rFonts w:ascii="Arial" w:hAnsi="Arial" w:cs="Arial"/>
              </w:rPr>
            </w:pPr>
            <w:r w:rsidRPr="00976A77">
              <w:rPr>
                <w:rFonts w:ascii="Arial" w:hAnsi="Arial" w:cs="Arial"/>
              </w:rPr>
              <w:t>Agile sprint meetings</w:t>
            </w:r>
          </w:p>
        </w:tc>
        <w:tc>
          <w:tcPr>
            <w:tcW w:w="2159"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61134181" w14:textId="3A5CD382" w:rsidR="00067D56" w:rsidRPr="00A32245" w:rsidRDefault="00417E35" w:rsidP="00A32245">
            <w:pPr>
              <w:rPr>
                <w:rFonts w:ascii="Arial" w:hAnsi="Arial" w:cs="Arial"/>
              </w:rPr>
            </w:pPr>
            <w:r w:rsidRPr="00976A77">
              <w:rPr>
                <w:rFonts w:ascii="Arial" w:hAnsi="Arial" w:cs="Arial"/>
              </w:rPr>
              <w:t>Weekly</w:t>
            </w:r>
          </w:p>
        </w:tc>
        <w:tc>
          <w:tcPr>
            <w:tcW w:w="176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3AC4D0CC" w14:textId="21FF6DD9" w:rsidR="00067D56" w:rsidRPr="00A32245" w:rsidRDefault="00417E35" w:rsidP="00A32245">
            <w:pPr>
              <w:rPr>
                <w:rFonts w:ascii="Arial" w:hAnsi="Arial" w:cs="Arial"/>
              </w:rPr>
            </w:pPr>
            <w:r w:rsidRPr="00976A77">
              <w:rPr>
                <w:rFonts w:ascii="Arial" w:hAnsi="Arial" w:cs="Arial"/>
              </w:rPr>
              <w:t xml:space="preserve">Updates and </w:t>
            </w:r>
            <w:r w:rsidR="00043019" w:rsidRPr="00976A77">
              <w:rPr>
                <w:rFonts w:ascii="Arial" w:hAnsi="Arial" w:cs="Arial"/>
              </w:rPr>
              <w:t>issue resolution</w:t>
            </w:r>
          </w:p>
        </w:tc>
      </w:tr>
      <w:tr w:rsidR="00067D56" w:rsidRPr="00A32245" w14:paraId="15A09AFE" w14:textId="77777777" w:rsidTr="00067D56">
        <w:trPr>
          <w:trHeight w:val="858"/>
        </w:trPr>
        <w:tc>
          <w:tcPr>
            <w:tcW w:w="1641"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3C2D3DBE" w14:textId="7E1A7AF4" w:rsidR="00067D56" w:rsidRPr="00A32245" w:rsidRDefault="00043019" w:rsidP="00A32245">
            <w:pPr>
              <w:rPr>
                <w:rFonts w:ascii="Arial" w:hAnsi="Arial" w:cs="Arial"/>
                <w:b/>
                <w:bCs/>
                <w:color w:val="FFFFFF" w:themeColor="background1"/>
              </w:rPr>
            </w:pPr>
            <w:r w:rsidRPr="007257E2">
              <w:rPr>
                <w:rFonts w:ascii="Arial" w:hAnsi="Arial" w:cs="Arial"/>
                <w:b/>
                <w:bCs/>
                <w:color w:val="FFFFFF" w:themeColor="background1"/>
              </w:rPr>
              <w:t>Executive Team</w:t>
            </w:r>
          </w:p>
        </w:tc>
        <w:tc>
          <w:tcPr>
            <w:tcW w:w="134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2EA6805C" w14:textId="6D45478C" w:rsidR="00067D56" w:rsidRPr="00A32245" w:rsidRDefault="0001536E" w:rsidP="00A32245">
            <w:pPr>
              <w:rPr>
                <w:rFonts w:ascii="Arial" w:hAnsi="Arial" w:cs="Arial"/>
              </w:rPr>
            </w:pPr>
            <w:r w:rsidRPr="00976A77">
              <w:rPr>
                <w:rFonts w:ascii="Arial" w:hAnsi="Arial" w:cs="Arial"/>
              </w:rPr>
              <w:t>Monthly reports</w:t>
            </w:r>
          </w:p>
        </w:tc>
        <w:tc>
          <w:tcPr>
            <w:tcW w:w="2159"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44971733" w14:textId="60D48AE5" w:rsidR="00067D56" w:rsidRPr="00A32245" w:rsidRDefault="00433DC1" w:rsidP="00A32245">
            <w:pPr>
              <w:rPr>
                <w:rFonts w:ascii="Arial" w:hAnsi="Arial" w:cs="Arial"/>
              </w:rPr>
            </w:pPr>
            <w:r w:rsidRPr="00976A77">
              <w:rPr>
                <w:rFonts w:ascii="Arial" w:hAnsi="Arial" w:cs="Arial"/>
              </w:rPr>
              <w:t>Monthly</w:t>
            </w:r>
          </w:p>
        </w:tc>
        <w:tc>
          <w:tcPr>
            <w:tcW w:w="176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7361C7D5" w14:textId="34CD6C49" w:rsidR="00067D56" w:rsidRPr="00A32245" w:rsidRDefault="00433DC1" w:rsidP="00A32245">
            <w:pPr>
              <w:rPr>
                <w:rFonts w:ascii="Arial" w:hAnsi="Arial" w:cs="Arial"/>
              </w:rPr>
            </w:pPr>
            <w:r w:rsidRPr="00976A77">
              <w:rPr>
                <w:rFonts w:ascii="Arial" w:hAnsi="Arial" w:cs="Arial"/>
              </w:rPr>
              <w:t xml:space="preserve">Strategic </w:t>
            </w:r>
            <w:r w:rsidR="00285189" w:rsidRPr="00976A77">
              <w:rPr>
                <w:rFonts w:ascii="Arial" w:hAnsi="Arial" w:cs="Arial"/>
              </w:rPr>
              <w:t>alignment</w:t>
            </w:r>
          </w:p>
        </w:tc>
      </w:tr>
      <w:tr w:rsidR="00067D56" w:rsidRPr="00A32245" w14:paraId="0146A129" w14:textId="77777777" w:rsidTr="00067D56">
        <w:trPr>
          <w:trHeight w:val="858"/>
        </w:trPr>
        <w:tc>
          <w:tcPr>
            <w:tcW w:w="1641"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4D66BA18" w14:textId="5F9C2DBB" w:rsidR="00067D56" w:rsidRPr="00A32245" w:rsidRDefault="00285189" w:rsidP="00A32245">
            <w:pPr>
              <w:rPr>
                <w:rFonts w:ascii="Arial" w:hAnsi="Arial" w:cs="Arial"/>
                <w:b/>
                <w:bCs/>
                <w:color w:val="FFFFFF" w:themeColor="background1"/>
              </w:rPr>
            </w:pPr>
            <w:r w:rsidRPr="007257E2">
              <w:rPr>
                <w:rFonts w:ascii="Arial" w:hAnsi="Arial" w:cs="Arial"/>
                <w:b/>
                <w:bCs/>
                <w:color w:val="FFFFFF" w:themeColor="background1"/>
              </w:rPr>
              <w:t>NHS partners</w:t>
            </w:r>
          </w:p>
        </w:tc>
        <w:tc>
          <w:tcPr>
            <w:tcW w:w="134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78FE10EB" w14:textId="23BD3D8B" w:rsidR="00067D56" w:rsidRPr="00A32245" w:rsidRDefault="00C570A0" w:rsidP="00A32245">
            <w:pPr>
              <w:rPr>
                <w:rFonts w:ascii="Arial" w:hAnsi="Arial" w:cs="Arial"/>
              </w:rPr>
            </w:pPr>
            <w:r w:rsidRPr="00976A77">
              <w:rPr>
                <w:rFonts w:ascii="Arial" w:hAnsi="Arial" w:cs="Arial"/>
              </w:rPr>
              <w:t>Clinical review boards</w:t>
            </w:r>
          </w:p>
        </w:tc>
        <w:tc>
          <w:tcPr>
            <w:tcW w:w="2159"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45DBFE48" w14:textId="10CCED35" w:rsidR="00067D56" w:rsidRPr="00A32245" w:rsidRDefault="00C570A0" w:rsidP="00A32245">
            <w:pPr>
              <w:rPr>
                <w:rFonts w:ascii="Arial" w:hAnsi="Arial" w:cs="Arial"/>
              </w:rPr>
            </w:pPr>
            <w:r w:rsidRPr="00976A77">
              <w:rPr>
                <w:rFonts w:ascii="Arial" w:hAnsi="Arial" w:cs="Arial"/>
              </w:rPr>
              <w:t>Monthly</w:t>
            </w:r>
          </w:p>
        </w:tc>
        <w:tc>
          <w:tcPr>
            <w:tcW w:w="176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23B6F430" w14:textId="43BBA56D" w:rsidR="00067D56" w:rsidRPr="00A32245" w:rsidRDefault="00C570A0" w:rsidP="00A32245">
            <w:pPr>
              <w:rPr>
                <w:rFonts w:ascii="Arial" w:hAnsi="Arial" w:cs="Arial"/>
              </w:rPr>
            </w:pPr>
            <w:r w:rsidRPr="00976A77">
              <w:rPr>
                <w:rFonts w:ascii="Arial" w:hAnsi="Arial" w:cs="Arial"/>
              </w:rPr>
              <w:t>Evidence validation</w:t>
            </w:r>
          </w:p>
        </w:tc>
      </w:tr>
      <w:tr w:rsidR="00067D56" w:rsidRPr="00A32245" w14:paraId="0BC4388C" w14:textId="77777777" w:rsidTr="00067D56">
        <w:trPr>
          <w:trHeight w:val="858"/>
        </w:trPr>
        <w:tc>
          <w:tcPr>
            <w:tcW w:w="1641"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0DA15B11" w14:textId="26236A94" w:rsidR="00067D56" w:rsidRPr="00A32245" w:rsidRDefault="00AB05AF" w:rsidP="00A32245">
            <w:pPr>
              <w:rPr>
                <w:rFonts w:ascii="Arial" w:hAnsi="Arial" w:cs="Arial"/>
                <w:b/>
                <w:bCs/>
                <w:color w:val="FFFFFF" w:themeColor="background1"/>
              </w:rPr>
            </w:pPr>
            <w:r w:rsidRPr="007257E2">
              <w:rPr>
                <w:rFonts w:ascii="Arial" w:hAnsi="Arial" w:cs="Arial"/>
                <w:b/>
                <w:bCs/>
                <w:color w:val="FFFFFF" w:themeColor="background1"/>
              </w:rPr>
              <w:t>Regulators</w:t>
            </w:r>
          </w:p>
        </w:tc>
        <w:tc>
          <w:tcPr>
            <w:tcW w:w="134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022F655C" w14:textId="432529AC" w:rsidR="00067D56" w:rsidRPr="00A32245" w:rsidRDefault="00AB05AF" w:rsidP="00A32245">
            <w:pPr>
              <w:rPr>
                <w:rFonts w:ascii="Arial" w:hAnsi="Arial" w:cs="Arial"/>
              </w:rPr>
            </w:pPr>
            <w:r w:rsidRPr="00976A77">
              <w:rPr>
                <w:rFonts w:ascii="Arial" w:hAnsi="Arial" w:cs="Arial"/>
              </w:rPr>
              <w:t xml:space="preserve"> Compliance submissions</w:t>
            </w:r>
          </w:p>
        </w:tc>
        <w:tc>
          <w:tcPr>
            <w:tcW w:w="2159"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6F5032A7" w14:textId="1B7A5242" w:rsidR="00067D56" w:rsidRPr="00A32245" w:rsidRDefault="00AB05AF" w:rsidP="00A32245">
            <w:pPr>
              <w:rPr>
                <w:rFonts w:ascii="Arial" w:hAnsi="Arial" w:cs="Arial"/>
              </w:rPr>
            </w:pPr>
            <w:r w:rsidRPr="00976A77">
              <w:rPr>
                <w:rFonts w:ascii="Arial" w:hAnsi="Arial" w:cs="Arial"/>
              </w:rPr>
              <w:t>As required</w:t>
            </w:r>
          </w:p>
        </w:tc>
        <w:tc>
          <w:tcPr>
            <w:tcW w:w="176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72B42A04" w14:textId="0D4BA4D2" w:rsidR="00067D56" w:rsidRPr="00A32245" w:rsidRDefault="00AB05AF" w:rsidP="00A32245">
            <w:pPr>
              <w:rPr>
                <w:rFonts w:ascii="Arial" w:hAnsi="Arial" w:cs="Arial"/>
              </w:rPr>
            </w:pPr>
            <w:r w:rsidRPr="00976A77">
              <w:rPr>
                <w:rFonts w:ascii="Arial" w:hAnsi="Arial" w:cs="Arial"/>
              </w:rPr>
              <w:t>Approvals</w:t>
            </w:r>
          </w:p>
        </w:tc>
      </w:tr>
      <w:tr w:rsidR="00067D56" w:rsidRPr="00A32245" w14:paraId="60BDAFF3" w14:textId="77777777" w:rsidTr="00067D56">
        <w:trPr>
          <w:trHeight w:val="858"/>
        </w:trPr>
        <w:tc>
          <w:tcPr>
            <w:tcW w:w="1641"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01BA03F1" w14:textId="70766F7B" w:rsidR="00067D56" w:rsidRPr="00A32245" w:rsidRDefault="00822008" w:rsidP="00A32245">
            <w:pPr>
              <w:rPr>
                <w:rFonts w:ascii="Arial" w:hAnsi="Arial" w:cs="Arial"/>
                <w:b/>
                <w:bCs/>
                <w:color w:val="FFFFFF" w:themeColor="background1"/>
              </w:rPr>
            </w:pPr>
            <w:r w:rsidRPr="007257E2">
              <w:rPr>
                <w:rFonts w:ascii="Arial" w:hAnsi="Arial" w:cs="Arial"/>
                <w:b/>
                <w:bCs/>
                <w:color w:val="FFFFFF" w:themeColor="background1"/>
              </w:rPr>
              <w:t>Consumers</w:t>
            </w:r>
          </w:p>
        </w:tc>
        <w:tc>
          <w:tcPr>
            <w:tcW w:w="134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5835E70D" w14:textId="4BB023D7" w:rsidR="00067D56" w:rsidRPr="00A32245" w:rsidRDefault="00822008" w:rsidP="00A32245">
            <w:pPr>
              <w:rPr>
                <w:rFonts w:ascii="Arial" w:hAnsi="Arial" w:cs="Arial"/>
              </w:rPr>
            </w:pPr>
            <w:r w:rsidRPr="00976A77">
              <w:rPr>
                <w:rFonts w:ascii="Arial" w:hAnsi="Arial" w:cs="Arial"/>
              </w:rPr>
              <w:t xml:space="preserve">Beta </w:t>
            </w:r>
            <w:proofErr w:type="spellStart"/>
            <w:r w:rsidRPr="00976A77">
              <w:rPr>
                <w:rFonts w:ascii="Arial" w:hAnsi="Arial" w:cs="Arial"/>
              </w:rPr>
              <w:t>testings</w:t>
            </w:r>
            <w:proofErr w:type="spellEnd"/>
          </w:p>
        </w:tc>
        <w:tc>
          <w:tcPr>
            <w:tcW w:w="2159"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26EDC7E6" w14:textId="44DE77EE" w:rsidR="00067D56" w:rsidRPr="00A32245" w:rsidRDefault="00822008" w:rsidP="00A32245">
            <w:pPr>
              <w:rPr>
                <w:rFonts w:ascii="Arial" w:hAnsi="Arial" w:cs="Arial"/>
              </w:rPr>
            </w:pPr>
            <w:r w:rsidRPr="00976A77">
              <w:rPr>
                <w:rFonts w:ascii="Arial" w:hAnsi="Arial" w:cs="Arial"/>
              </w:rPr>
              <w:t>Pre-launch</w:t>
            </w:r>
          </w:p>
        </w:tc>
        <w:tc>
          <w:tcPr>
            <w:tcW w:w="176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0B1A9BCC" w14:textId="773337A6" w:rsidR="00067D56" w:rsidRPr="00A32245" w:rsidRDefault="00893294" w:rsidP="00A32245">
            <w:pPr>
              <w:rPr>
                <w:rFonts w:ascii="Arial" w:hAnsi="Arial" w:cs="Arial"/>
              </w:rPr>
            </w:pPr>
            <w:r w:rsidRPr="00976A77">
              <w:rPr>
                <w:rFonts w:ascii="Arial" w:hAnsi="Arial" w:cs="Arial"/>
              </w:rPr>
              <w:t>Feature refinements</w:t>
            </w:r>
          </w:p>
        </w:tc>
      </w:tr>
    </w:tbl>
    <w:p w14:paraId="545874E6" w14:textId="77777777" w:rsidR="00EF26E3" w:rsidRDefault="00EF26E3" w:rsidP="00E9075E"/>
    <w:p w14:paraId="10271A96" w14:textId="77777777" w:rsidR="007257E2" w:rsidRDefault="007257E2" w:rsidP="00E9075E"/>
    <w:p w14:paraId="23BD710F" w14:textId="77777777" w:rsidR="007257E2" w:rsidRDefault="007257E2" w:rsidP="00E9075E"/>
    <w:p w14:paraId="662A50EF" w14:textId="77777777" w:rsidR="007257E2" w:rsidRDefault="007257E2" w:rsidP="00E9075E"/>
    <w:p w14:paraId="2BA003D3" w14:textId="099994C4" w:rsidR="00E903CC" w:rsidRPr="007A6929" w:rsidRDefault="00E903CC" w:rsidP="00E9075E">
      <w:pPr>
        <w:rPr>
          <w:rFonts w:ascii="Arial" w:hAnsi="Arial" w:cs="Arial"/>
          <w:b/>
          <w:bCs/>
        </w:rPr>
      </w:pPr>
      <w:r w:rsidRPr="007A6929">
        <w:rPr>
          <w:rFonts w:ascii="Arial" w:hAnsi="Arial" w:cs="Arial"/>
          <w:b/>
          <w:bCs/>
        </w:rPr>
        <w:lastRenderedPageBreak/>
        <w:t>RACI</w:t>
      </w:r>
      <w:r w:rsidR="007A6929" w:rsidRPr="007A6929">
        <w:rPr>
          <w:rFonts w:ascii="Arial" w:hAnsi="Arial" w:cs="Arial"/>
          <w:b/>
          <w:bCs/>
        </w:rPr>
        <w:t xml:space="preserve"> Matrix</w:t>
      </w:r>
    </w:p>
    <w:p w14:paraId="0DAA3D45" w14:textId="77777777" w:rsidR="007A6929" w:rsidRDefault="007A6929" w:rsidP="00E9075E"/>
    <w:tbl>
      <w:tblPr>
        <w:tblStyle w:val="TableGrid"/>
        <w:tblW w:w="0" w:type="auto"/>
        <w:tblLook w:val="04A0" w:firstRow="1" w:lastRow="0" w:firstColumn="1" w:lastColumn="0" w:noHBand="0" w:noVBand="1"/>
      </w:tblPr>
      <w:tblGrid>
        <w:gridCol w:w="1794"/>
        <w:gridCol w:w="1790"/>
        <w:gridCol w:w="1779"/>
        <w:gridCol w:w="1868"/>
        <w:gridCol w:w="1785"/>
      </w:tblGrid>
      <w:tr w:rsidR="00E903CC" w:rsidRPr="003B0A9B" w14:paraId="5230AF0E" w14:textId="77777777" w:rsidTr="00B14F6D">
        <w:tc>
          <w:tcPr>
            <w:tcW w:w="1801" w:type="dxa"/>
            <w:shd w:val="clear" w:color="auto" w:fill="84E290" w:themeFill="accent3" w:themeFillTint="66"/>
          </w:tcPr>
          <w:p w14:paraId="562DB136" w14:textId="340D2B2D" w:rsidR="00E903CC" w:rsidRPr="003B0A9B" w:rsidRDefault="007A6929" w:rsidP="00E9075E">
            <w:pPr>
              <w:rPr>
                <w:rFonts w:ascii="Arial" w:hAnsi="Arial" w:cs="Arial"/>
                <w:b/>
                <w:bCs/>
              </w:rPr>
            </w:pPr>
            <w:r w:rsidRPr="003B0A9B">
              <w:rPr>
                <w:rFonts w:ascii="Arial" w:hAnsi="Arial" w:cs="Arial"/>
                <w:b/>
                <w:bCs/>
              </w:rPr>
              <w:t>Task</w:t>
            </w:r>
          </w:p>
        </w:tc>
        <w:tc>
          <w:tcPr>
            <w:tcW w:w="1800" w:type="dxa"/>
            <w:shd w:val="clear" w:color="auto" w:fill="84E290" w:themeFill="accent3" w:themeFillTint="66"/>
          </w:tcPr>
          <w:p w14:paraId="31F43D69" w14:textId="783E3FBA" w:rsidR="00E903CC" w:rsidRPr="003B0A9B" w:rsidRDefault="007A6929" w:rsidP="00E9075E">
            <w:pPr>
              <w:rPr>
                <w:rFonts w:ascii="Arial" w:hAnsi="Arial" w:cs="Arial"/>
                <w:b/>
                <w:bCs/>
              </w:rPr>
            </w:pPr>
            <w:r w:rsidRPr="003B0A9B">
              <w:rPr>
                <w:rFonts w:ascii="Arial" w:hAnsi="Arial" w:cs="Arial"/>
                <w:b/>
                <w:bCs/>
              </w:rPr>
              <w:t>R</w:t>
            </w:r>
          </w:p>
        </w:tc>
        <w:tc>
          <w:tcPr>
            <w:tcW w:w="1798" w:type="dxa"/>
            <w:shd w:val="clear" w:color="auto" w:fill="84E290" w:themeFill="accent3" w:themeFillTint="66"/>
          </w:tcPr>
          <w:p w14:paraId="01E4A1FE" w14:textId="071FAF5F" w:rsidR="00E903CC" w:rsidRPr="003B0A9B" w:rsidRDefault="007A6929" w:rsidP="00E9075E">
            <w:pPr>
              <w:rPr>
                <w:rFonts w:ascii="Arial" w:hAnsi="Arial" w:cs="Arial"/>
                <w:b/>
                <w:bCs/>
              </w:rPr>
            </w:pPr>
            <w:r w:rsidRPr="003B0A9B">
              <w:rPr>
                <w:rFonts w:ascii="Arial" w:hAnsi="Arial" w:cs="Arial"/>
                <w:b/>
                <w:bCs/>
              </w:rPr>
              <w:t>A</w:t>
            </w:r>
          </w:p>
        </w:tc>
        <w:tc>
          <w:tcPr>
            <w:tcW w:w="1817" w:type="dxa"/>
            <w:shd w:val="clear" w:color="auto" w:fill="84E290" w:themeFill="accent3" w:themeFillTint="66"/>
          </w:tcPr>
          <w:p w14:paraId="3B272D45" w14:textId="65977918" w:rsidR="00E903CC" w:rsidRPr="003B0A9B" w:rsidRDefault="007A6929" w:rsidP="00E9075E">
            <w:pPr>
              <w:rPr>
                <w:rFonts w:ascii="Arial" w:hAnsi="Arial" w:cs="Arial"/>
                <w:b/>
                <w:bCs/>
              </w:rPr>
            </w:pPr>
            <w:r w:rsidRPr="003B0A9B">
              <w:rPr>
                <w:rFonts w:ascii="Arial" w:hAnsi="Arial" w:cs="Arial"/>
                <w:b/>
                <w:bCs/>
              </w:rPr>
              <w:t>C</w:t>
            </w:r>
          </w:p>
        </w:tc>
        <w:tc>
          <w:tcPr>
            <w:tcW w:w="1800" w:type="dxa"/>
            <w:shd w:val="clear" w:color="auto" w:fill="84E290" w:themeFill="accent3" w:themeFillTint="66"/>
          </w:tcPr>
          <w:p w14:paraId="6900790C" w14:textId="7F0D86A6" w:rsidR="00E903CC" w:rsidRPr="003B0A9B" w:rsidRDefault="007A6929" w:rsidP="00E9075E">
            <w:pPr>
              <w:rPr>
                <w:rFonts w:ascii="Arial" w:hAnsi="Arial" w:cs="Arial"/>
                <w:b/>
                <w:bCs/>
              </w:rPr>
            </w:pPr>
            <w:r w:rsidRPr="003B0A9B">
              <w:rPr>
                <w:rFonts w:ascii="Arial" w:hAnsi="Arial" w:cs="Arial"/>
                <w:b/>
                <w:bCs/>
              </w:rPr>
              <w:t>I</w:t>
            </w:r>
          </w:p>
        </w:tc>
      </w:tr>
      <w:tr w:rsidR="00E903CC" w:rsidRPr="003B0A9B" w14:paraId="5EA5893B" w14:textId="77777777" w:rsidTr="00B14F6D">
        <w:tc>
          <w:tcPr>
            <w:tcW w:w="1801" w:type="dxa"/>
            <w:shd w:val="clear" w:color="auto" w:fill="84E290" w:themeFill="accent3" w:themeFillTint="66"/>
          </w:tcPr>
          <w:p w14:paraId="30B882EE" w14:textId="558146C4" w:rsidR="00E903CC" w:rsidRPr="003B0A9B" w:rsidRDefault="007A6929" w:rsidP="00E9075E">
            <w:pPr>
              <w:rPr>
                <w:rFonts w:ascii="Arial" w:hAnsi="Arial" w:cs="Arial"/>
                <w:b/>
                <w:bCs/>
              </w:rPr>
            </w:pPr>
            <w:r w:rsidRPr="003B0A9B">
              <w:rPr>
                <w:rFonts w:ascii="Arial" w:hAnsi="Arial" w:cs="Arial"/>
                <w:b/>
                <w:bCs/>
              </w:rPr>
              <w:t xml:space="preserve">Firmware </w:t>
            </w:r>
            <w:r w:rsidR="00E902EF" w:rsidRPr="003B0A9B">
              <w:rPr>
                <w:rFonts w:ascii="Arial" w:hAnsi="Arial" w:cs="Arial"/>
                <w:b/>
                <w:bCs/>
              </w:rPr>
              <w:t>development</w:t>
            </w:r>
          </w:p>
        </w:tc>
        <w:tc>
          <w:tcPr>
            <w:tcW w:w="1800" w:type="dxa"/>
          </w:tcPr>
          <w:p w14:paraId="3183ABF2" w14:textId="35B789CF" w:rsidR="00E903CC" w:rsidRPr="003B0A9B" w:rsidRDefault="00E902EF" w:rsidP="00E9075E">
            <w:pPr>
              <w:rPr>
                <w:rFonts w:ascii="Arial" w:hAnsi="Arial" w:cs="Arial"/>
              </w:rPr>
            </w:pPr>
            <w:r w:rsidRPr="003B0A9B">
              <w:rPr>
                <w:rFonts w:ascii="Arial" w:hAnsi="Arial" w:cs="Arial"/>
              </w:rPr>
              <w:t>Engineering</w:t>
            </w:r>
          </w:p>
        </w:tc>
        <w:tc>
          <w:tcPr>
            <w:tcW w:w="1798" w:type="dxa"/>
          </w:tcPr>
          <w:p w14:paraId="23682155" w14:textId="60CB0BA4" w:rsidR="00E903CC" w:rsidRPr="003B0A9B" w:rsidRDefault="00E902EF" w:rsidP="00E9075E">
            <w:pPr>
              <w:rPr>
                <w:rFonts w:ascii="Arial" w:hAnsi="Arial" w:cs="Arial"/>
              </w:rPr>
            </w:pPr>
            <w:r w:rsidRPr="003B0A9B">
              <w:rPr>
                <w:rFonts w:ascii="Arial" w:hAnsi="Arial" w:cs="Arial"/>
              </w:rPr>
              <w:t>PM</w:t>
            </w:r>
          </w:p>
        </w:tc>
        <w:tc>
          <w:tcPr>
            <w:tcW w:w="1817" w:type="dxa"/>
          </w:tcPr>
          <w:p w14:paraId="6CD3791E" w14:textId="2308F589" w:rsidR="00E903CC" w:rsidRPr="003B0A9B" w:rsidRDefault="00246F84" w:rsidP="00E9075E">
            <w:pPr>
              <w:rPr>
                <w:rFonts w:ascii="Arial" w:hAnsi="Arial" w:cs="Arial"/>
              </w:rPr>
            </w:pPr>
            <w:r w:rsidRPr="003B0A9B">
              <w:rPr>
                <w:rFonts w:ascii="Arial" w:hAnsi="Arial" w:cs="Arial"/>
              </w:rPr>
              <w:t>Data science</w:t>
            </w:r>
          </w:p>
        </w:tc>
        <w:tc>
          <w:tcPr>
            <w:tcW w:w="1800" w:type="dxa"/>
          </w:tcPr>
          <w:p w14:paraId="07DA596E" w14:textId="415BB936" w:rsidR="00E903CC" w:rsidRPr="003B0A9B" w:rsidRDefault="00246F84" w:rsidP="00E9075E">
            <w:pPr>
              <w:rPr>
                <w:rFonts w:ascii="Arial" w:hAnsi="Arial" w:cs="Arial"/>
              </w:rPr>
            </w:pPr>
            <w:r w:rsidRPr="003B0A9B">
              <w:rPr>
                <w:rFonts w:ascii="Arial" w:hAnsi="Arial" w:cs="Arial"/>
              </w:rPr>
              <w:t>Leadership</w:t>
            </w:r>
          </w:p>
        </w:tc>
      </w:tr>
      <w:tr w:rsidR="00E903CC" w:rsidRPr="003B0A9B" w14:paraId="38F80138" w14:textId="77777777" w:rsidTr="00B14F6D">
        <w:tc>
          <w:tcPr>
            <w:tcW w:w="1801" w:type="dxa"/>
            <w:shd w:val="clear" w:color="auto" w:fill="84E290" w:themeFill="accent3" w:themeFillTint="66"/>
          </w:tcPr>
          <w:p w14:paraId="0F8E8616" w14:textId="0063FA4B" w:rsidR="00E903CC" w:rsidRPr="003B0A9B" w:rsidRDefault="00246F84" w:rsidP="00E9075E">
            <w:pPr>
              <w:rPr>
                <w:rFonts w:ascii="Arial" w:hAnsi="Arial" w:cs="Arial"/>
                <w:b/>
                <w:bCs/>
              </w:rPr>
            </w:pPr>
            <w:r w:rsidRPr="003B0A9B">
              <w:rPr>
                <w:rFonts w:ascii="Arial" w:hAnsi="Arial" w:cs="Arial"/>
                <w:b/>
                <w:bCs/>
              </w:rPr>
              <w:t>Clinical validation</w:t>
            </w:r>
          </w:p>
        </w:tc>
        <w:tc>
          <w:tcPr>
            <w:tcW w:w="1800" w:type="dxa"/>
          </w:tcPr>
          <w:p w14:paraId="69BAB1D0" w14:textId="3B0DE0D9" w:rsidR="00E903CC" w:rsidRPr="003B0A9B" w:rsidRDefault="00261170" w:rsidP="00E9075E">
            <w:pPr>
              <w:rPr>
                <w:rFonts w:ascii="Arial" w:hAnsi="Arial" w:cs="Arial"/>
              </w:rPr>
            </w:pPr>
            <w:r w:rsidRPr="003B0A9B">
              <w:rPr>
                <w:rFonts w:ascii="Arial" w:hAnsi="Arial" w:cs="Arial"/>
              </w:rPr>
              <w:t>Clinical team</w:t>
            </w:r>
          </w:p>
        </w:tc>
        <w:tc>
          <w:tcPr>
            <w:tcW w:w="1798" w:type="dxa"/>
          </w:tcPr>
          <w:p w14:paraId="3A445EC4" w14:textId="6E331725" w:rsidR="00E903CC" w:rsidRPr="003B0A9B" w:rsidRDefault="00080BEA" w:rsidP="00E9075E">
            <w:pPr>
              <w:rPr>
                <w:rFonts w:ascii="Arial" w:hAnsi="Arial" w:cs="Arial"/>
              </w:rPr>
            </w:pPr>
            <w:r w:rsidRPr="003B0A9B">
              <w:rPr>
                <w:rFonts w:ascii="Arial" w:hAnsi="Arial" w:cs="Arial"/>
              </w:rPr>
              <w:t>Clinical lead</w:t>
            </w:r>
          </w:p>
        </w:tc>
        <w:tc>
          <w:tcPr>
            <w:tcW w:w="1817" w:type="dxa"/>
          </w:tcPr>
          <w:p w14:paraId="6BF455C0" w14:textId="160AA2AE" w:rsidR="00E903CC" w:rsidRPr="003B0A9B" w:rsidRDefault="00FE639D" w:rsidP="00E9075E">
            <w:pPr>
              <w:rPr>
                <w:rFonts w:ascii="Arial" w:hAnsi="Arial" w:cs="Arial"/>
              </w:rPr>
            </w:pPr>
            <w:r w:rsidRPr="003B0A9B">
              <w:rPr>
                <w:rFonts w:ascii="Arial" w:hAnsi="Arial" w:cs="Arial"/>
              </w:rPr>
              <w:t>NHS partners</w:t>
            </w:r>
          </w:p>
        </w:tc>
        <w:tc>
          <w:tcPr>
            <w:tcW w:w="1800" w:type="dxa"/>
          </w:tcPr>
          <w:p w14:paraId="178A8AB5" w14:textId="38F3E54C" w:rsidR="00E903CC" w:rsidRPr="003B0A9B" w:rsidRDefault="00FE639D" w:rsidP="00E9075E">
            <w:pPr>
              <w:rPr>
                <w:rFonts w:ascii="Arial" w:hAnsi="Arial" w:cs="Arial"/>
              </w:rPr>
            </w:pPr>
            <w:r w:rsidRPr="003B0A9B">
              <w:rPr>
                <w:rFonts w:ascii="Arial" w:hAnsi="Arial" w:cs="Arial"/>
              </w:rPr>
              <w:t>Regulators</w:t>
            </w:r>
          </w:p>
        </w:tc>
      </w:tr>
      <w:tr w:rsidR="00017E7E" w:rsidRPr="003B0A9B" w14:paraId="0BE903B9" w14:textId="77777777" w:rsidTr="00B14F6D">
        <w:tc>
          <w:tcPr>
            <w:tcW w:w="1801" w:type="dxa"/>
            <w:shd w:val="clear" w:color="auto" w:fill="84E290" w:themeFill="accent3" w:themeFillTint="66"/>
          </w:tcPr>
          <w:p w14:paraId="1D53956A" w14:textId="5FA3A87B" w:rsidR="00017E7E" w:rsidRPr="003B0A9B" w:rsidRDefault="00017E7E" w:rsidP="00017E7E">
            <w:pPr>
              <w:rPr>
                <w:rFonts w:ascii="Arial" w:hAnsi="Arial" w:cs="Arial"/>
                <w:b/>
                <w:bCs/>
              </w:rPr>
            </w:pPr>
            <w:r w:rsidRPr="003B0A9B">
              <w:rPr>
                <w:rFonts w:ascii="Arial" w:hAnsi="Arial" w:cs="Arial"/>
                <w:b/>
                <w:bCs/>
              </w:rPr>
              <w:t>Marketing campaign</w:t>
            </w:r>
          </w:p>
        </w:tc>
        <w:tc>
          <w:tcPr>
            <w:tcW w:w="1800" w:type="dxa"/>
          </w:tcPr>
          <w:p w14:paraId="2A97D5B5" w14:textId="554FA5BD" w:rsidR="00017E7E" w:rsidRPr="003B0A9B" w:rsidRDefault="00017E7E" w:rsidP="00017E7E">
            <w:pPr>
              <w:rPr>
                <w:rFonts w:ascii="Arial" w:hAnsi="Arial" w:cs="Arial"/>
              </w:rPr>
            </w:pPr>
            <w:r w:rsidRPr="003B0A9B">
              <w:rPr>
                <w:rFonts w:ascii="Arial" w:hAnsi="Arial" w:cs="Arial"/>
              </w:rPr>
              <w:t>Marketing</w:t>
            </w:r>
          </w:p>
        </w:tc>
        <w:tc>
          <w:tcPr>
            <w:tcW w:w="1798" w:type="dxa"/>
          </w:tcPr>
          <w:p w14:paraId="1DEE3E33" w14:textId="7DBCB521" w:rsidR="00017E7E" w:rsidRPr="003B0A9B" w:rsidRDefault="00017E7E" w:rsidP="00017E7E">
            <w:pPr>
              <w:rPr>
                <w:rFonts w:ascii="Arial" w:hAnsi="Arial" w:cs="Arial"/>
              </w:rPr>
            </w:pPr>
            <w:r w:rsidRPr="003B0A9B">
              <w:rPr>
                <w:rFonts w:ascii="Arial" w:hAnsi="Arial" w:cs="Arial"/>
              </w:rPr>
              <w:t>Marketing director</w:t>
            </w:r>
          </w:p>
        </w:tc>
        <w:tc>
          <w:tcPr>
            <w:tcW w:w="1817" w:type="dxa"/>
          </w:tcPr>
          <w:p w14:paraId="57D4DBE7" w14:textId="2BC6D5B4" w:rsidR="00017E7E" w:rsidRPr="003B0A9B" w:rsidRDefault="00017E7E" w:rsidP="00017E7E">
            <w:pPr>
              <w:rPr>
                <w:rFonts w:ascii="Arial" w:hAnsi="Arial" w:cs="Arial"/>
              </w:rPr>
            </w:pPr>
            <w:r w:rsidRPr="003B0A9B">
              <w:rPr>
                <w:rFonts w:ascii="Arial" w:hAnsi="Arial" w:cs="Arial"/>
              </w:rPr>
              <w:t>Legal/Regulation</w:t>
            </w:r>
          </w:p>
        </w:tc>
        <w:tc>
          <w:tcPr>
            <w:tcW w:w="1800" w:type="dxa"/>
          </w:tcPr>
          <w:p w14:paraId="1C0521A9" w14:textId="17A5E076" w:rsidR="00017E7E" w:rsidRPr="003B0A9B" w:rsidRDefault="00017E7E" w:rsidP="00017E7E">
            <w:pPr>
              <w:rPr>
                <w:rFonts w:ascii="Arial" w:hAnsi="Arial" w:cs="Arial"/>
              </w:rPr>
            </w:pPr>
            <w:r w:rsidRPr="003B0A9B">
              <w:rPr>
                <w:rFonts w:ascii="Arial" w:hAnsi="Arial" w:cs="Arial"/>
              </w:rPr>
              <w:t>Sales</w:t>
            </w:r>
          </w:p>
        </w:tc>
      </w:tr>
      <w:tr w:rsidR="00017E7E" w:rsidRPr="003B0A9B" w14:paraId="696B18B6" w14:textId="77777777" w:rsidTr="00B14F6D">
        <w:tc>
          <w:tcPr>
            <w:tcW w:w="1801" w:type="dxa"/>
            <w:shd w:val="clear" w:color="auto" w:fill="84E290" w:themeFill="accent3" w:themeFillTint="66"/>
          </w:tcPr>
          <w:p w14:paraId="054093F2" w14:textId="03EA35A3" w:rsidR="00017E7E" w:rsidRPr="003B0A9B" w:rsidRDefault="00CD43F8" w:rsidP="00017E7E">
            <w:pPr>
              <w:rPr>
                <w:rFonts w:ascii="Arial" w:hAnsi="Arial" w:cs="Arial"/>
                <w:b/>
                <w:bCs/>
              </w:rPr>
            </w:pPr>
            <w:r w:rsidRPr="003B0A9B">
              <w:rPr>
                <w:rFonts w:ascii="Arial" w:hAnsi="Arial" w:cs="Arial"/>
                <w:b/>
                <w:bCs/>
              </w:rPr>
              <w:t>Supply chain ops</w:t>
            </w:r>
          </w:p>
        </w:tc>
        <w:tc>
          <w:tcPr>
            <w:tcW w:w="1800" w:type="dxa"/>
          </w:tcPr>
          <w:p w14:paraId="1978662F" w14:textId="6129E407" w:rsidR="00017E7E" w:rsidRPr="003B0A9B" w:rsidRDefault="00CD43F8" w:rsidP="00017E7E">
            <w:pPr>
              <w:rPr>
                <w:rFonts w:ascii="Arial" w:hAnsi="Arial" w:cs="Arial"/>
              </w:rPr>
            </w:pPr>
            <w:r w:rsidRPr="003B0A9B">
              <w:rPr>
                <w:rFonts w:ascii="Arial" w:hAnsi="Arial" w:cs="Arial"/>
              </w:rPr>
              <w:t>Procurement</w:t>
            </w:r>
          </w:p>
        </w:tc>
        <w:tc>
          <w:tcPr>
            <w:tcW w:w="1798" w:type="dxa"/>
          </w:tcPr>
          <w:p w14:paraId="3AF4E68D" w14:textId="77536C7C" w:rsidR="00017E7E" w:rsidRPr="003B0A9B" w:rsidRDefault="00CD43F8" w:rsidP="00017E7E">
            <w:pPr>
              <w:rPr>
                <w:rFonts w:ascii="Arial" w:hAnsi="Arial" w:cs="Arial"/>
              </w:rPr>
            </w:pPr>
            <w:r w:rsidRPr="003B0A9B">
              <w:rPr>
                <w:rFonts w:ascii="Arial" w:hAnsi="Arial" w:cs="Arial"/>
              </w:rPr>
              <w:t xml:space="preserve">Supply chain </w:t>
            </w:r>
            <w:r w:rsidR="001F45C3" w:rsidRPr="003B0A9B">
              <w:rPr>
                <w:rFonts w:ascii="Arial" w:hAnsi="Arial" w:cs="Arial"/>
              </w:rPr>
              <w:t>lead</w:t>
            </w:r>
          </w:p>
        </w:tc>
        <w:tc>
          <w:tcPr>
            <w:tcW w:w="1817" w:type="dxa"/>
          </w:tcPr>
          <w:p w14:paraId="603D8204" w14:textId="4D68F0F4" w:rsidR="00017E7E" w:rsidRPr="003B0A9B" w:rsidRDefault="001F45C3" w:rsidP="00017E7E">
            <w:pPr>
              <w:rPr>
                <w:rFonts w:ascii="Arial" w:hAnsi="Arial" w:cs="Arial"/>
              </w:rPr>
            </w:pPr>
            <w:r w:rsidRPr="003B0A9B">
              <w:rPr>
                <w:rFonts w:ascii="Arial" w:hAnsi="Arial" w:cs="Arial"/>
              </w:rPr>
              <w:t>Manufacturer</w:t>
            </w:r>
          </w:p>
        </w:tc>
        <w:tc>
          <w:tcPr>
            <w:tcW w:w="1800" w:type="dxa"/>
          </w:tcPr>
          <w:p w14:paraId="32B1C8A4" w14:textId="32FE68E1" w:rsidR="00017E7E" w:rsidRPr="003B0A9B" w:rsidRDefault="001F45C3" w:rsidP="00017E7E">
            <w:pPr>
              <w:rPr>
                <w:rFonts w:ascii="Arial" w:hAnsi="Arial" w:cs="Arial"/>
              </w:rPr>
            </w:pPr>
            <w:r w:rsidRPr="003B0A9B">
              <w:rPr>
                <w:rFonts w:ascii="Arial" w:hAnsi="Arial" w:cs="Arial"/>
              </w:rPr>
              <w:t>Finance</w:t>
            </w:r>
          </w:p>
        </w:tc>
      </w:tr>
      <w:tr w:rsidR="00017E7E" w:rsidRPr="003B0A9B" w14:paraId="04D7167F" w14:textId="77777777" w:rsidTr="00B14F6D">
        <w:tc>
          <w:tcPr>
            <w:tcW w:w="1801" w:type="dxa"/>
            <w:shd w:val="clear" w:color="auto" w:fill="84E290" w:themeFill="accent3" w:themeFillTint="66"/>
          </w:tcPr>
          <w:p w14:paraId="4C9FF5DA" w14:textId="6DF4D302" w:rsidR="00017E7E" w:rsidRPr="003B0A9B" w:rsidRDefault="001F45C3" w:rsidP="00017E7E">
            <w:pPr>
              <w:rPr>
                <w:rFonts w:ascii="Arial" w:hAnsi="Arial" w:cs="Arial"/>
                <w:b/>
                <w:bCs/>
              </w:rPr>
            </w:pPr>
            <w:r w:rsidRPr="003B0A9B">
              <w:rPr>
                <w:rFonts w:ascii="Arial" w:hAnsi="Arial" w:cs="Arial"/>
                <w:b/>
                <w:bCs/>
              </w:rPr>
              <w:t>GDPR</w:t>
            </w:r>
            <w:r w:rsidR="003B0A9B" w:rsidRPr="003B0A9B">
              <w:rPr>
                <w:rFonts w:ascii="Arial" w:hAnsi="Arial" w:cs="Arial"/>
                <w:b/>
                <w:bCs/>
              </w:rPr>
              <w:t xml:space="preserve"> Compliance</w:t>
            </w:r>
          </w:p>
        </w:tc>
        <w:tc>
          <w:tcPr>
            <w:tcW w:w="1800" w:type="dxa"/>
          </w:tcPr>
          <w:p w14:paraId="2FA79013" w14:textId="7CD001BB" w:rsidR="00017E7E" w:rsidRPr="003B0A9B" w:rsidRDefault="003B0A9B" w:rsidP="00017E7E">
            <w:pPr>
              <w:rPr>
                <w:rFonts w:ascii="Arial" w:hAnsi="Arial" w:cs="Arial"/>
              </w:rPr>
            </w:pPr>
            <w:r w:rsidRPr="003B0A9B">
              <w:rPr>
                <w:rFonts w:ascii="Arial" w:hAnsi="Arial" w:cs="Arial"/>
              </w:rPr>
              <w:t>Regulatory</w:t>
            </w:r>
          </w:p>
        </w:tc>
        <w:tc>
          <w:tcPr>
            <w:tcW w:w="1798" w:type="dxa"/>
          </w:tcPr>
          <w:p w14:paraId="4A4F079D" w14:textId="5C58C527" w:rsidR="00017E7E" w:rsidRPr="003B0A9B" w:rsidRDefault="003B0A9B" w:rsidP="00017E7E">
            <w:pPr>
              <w:rPr>
                <w:rFonts w:ascii="Arial" w:hAnsi="Arial" w:cs="Arial"/>
              </w:rPr>
            </w:pPr>
            <w:r w:rsidRPr="003B0A9B">
              <w:rPr>
                <w:rFonts w:ascii="Arial" w:hAnsi="Arial" w:cs="Arial"/>
              </w:rPr>
              <w:t>PM</w:t>
            </w:r>
          </w:p>
        </w:tc>
        <w:tc>
          <w:tcPr>
            <w:tcW w:w="1817" w:type="dxa"/>
          </w:tcPr>
          <w:p w14:paraId="54E3DC4A" w14:textId="0DE0EDAA" w:rsidR="00017E7E" w:rsidRPr="003B0A9B" w:rsidRDefault="003B0A9B" w:rsidP="00017E7E">
            <w:pPr>
              <w:rPr>
                <w:rFonts w:ascii="Arial" w:hAnsi="Arial" w:cs="Arial"/>
              </w:rPr>
            </w:pPr>
            <w:r w:rsidRPr="003B0A9B">
              <w:rPr>
                <w:rFonts w:ascii="Arial" w:hAnsi="Arial" w:cs="Arial"/>
              </w:rPr>
              <w:t>ICO guidance</w:t>
            </w:r>
          </w:p>
        </w:tc>
        <w:tc>
          <w:tcPr>
            <w:tcW w:w="1800" w:type="dxa"/>
          </w:tcPr>
          <w:p w14:paraId="4486DCF2" w14:textId="27774D36" w:rsidR="00017E7E" w:rsidRPr="003B0A9B" w:rsidRDefault="003B0A9B" w:rsidP="00017E7E">
            <w:pPr>
              <w:rPr>
                <w:rFonts w:ascii="Arial" w:hAnsi="Arial" w:cs="Arial"/>
              </w:rPr>
            </w:pPr>
            <w:r w:rsidRPr="003B0A9B">
              <w:rPr>
                <w:rFonts w:ascii="Arial" w:hAnsi="Arial" w:cs="Arial"/>
              </w:rPr>
              <w:t>Leadership</w:t>
            </w:r>
          </w:p>
        </w:tc>
      </w:tr>
    </w:tbl>
    <w:p w14:paraId="5E88E1AE" w14:textId="77777777" w:rsidR="007257E2" w:rsidRPr="003B0A9B" w:rsidRDefault="007257E2" w:rsidP="00E9075E">
      <w:pPr>
        <w:rPr>
          <w:rFonts w:ascii="Arial" w:hAnsi="Arial" w:cs="Arial"/>
        </w:rPr>
      </w:pPr>
    </w:p>
    <w:p w14:paraId="0E60DA92" w14:textId="77777777" w:rsidR="003B0A9B" w:rsidRPr="003B0A9B" w:rsidRDefault="003B0A9B" w:rsidP="00E9075E">
      <w:pPr>
        <w:rPr>
          <w:rFonts w:ascii="Arial" w:hAnsi="Arial" w:cs="Arial"/>
        </w:rPr>
      </w:pPr>
    </w:p>
    <w:p w14:paraId="0AFB983D" w14:textId="00C61370" w:rsidR="003B0A9B" w:rsidRPr="0071194A" w:rsidRDefault="00730B0B" w:rsidP="0071194A">
      <w:pPr>
        <w:pStyle w:val="Heading1"/>
      </w:pPr>
      <w:bookmarkStart w:id="7" w:name="_Toc217020552"/>
      <w:r w:rsidRPr="0071194A">
        <w:t xml:space="preserve">Stakeholder </w:t>
      </w:r>
      <w:r w:rsidR="00D04A9F" w:rsidRPr="0071194A">
        <w:t xml:space="preserve">Engagement Process and Conflict Management using </w:t>
      </w:r>
      <w:r w:rsidR="0071194A" w:rsidRPr="0071194A">
        <w:t xml:space="preserve">the </w:t>
      </w:r>
      <w:r w:rsidR="00D04A9F" w:rsidRPr="0071194A">
        <w:t>4C</w:t>
      </w:r>
      <w:r w:rsidR="0071194A" w:rsidRPr="0071194A">
        <w:t>’s Model</w:t>
      </w:r>
      <w:bookmarkEnd w:id="7"/>
    </w:p>
    <w:p w14:paraId="77EE844E" w14:textId="77777777" w:rsidR="003B0A9B" w:rsidRDefault="003B0A9B" w:rsidP="00E9075E"/>
    <w:p w14:paraId="59519CF7" w14:textId="77777777" w:rsidR="00875E37" w:rsidRDefault="00875E37" w:rsidP="00E9075E"/>
    <w:p w14:paraId="29DA25DE" w14:textId="74CD9CBB" w:rsidR="00875E37" w:rsidRPr="00842062" w:rsidRDefault="00231FA8" w:rsidP="00E9075E">
      <w:pPr>
        <w:rPr>
          <w:rFonts w:ascii="Arial" w:hAnsi="Arial" w:cs="Arial"/>
        </w:rPr>
      </w:pPr>
      <w:r w:rsidRPr="00842062">
        <w:rPr>
          <w:rFonts w:ascii="Arial" w:hAnsi="Arial" w:cs="Arial"/>
        </w:rPr>
        <w:t xml:space="preserve">Effective stakeholder engagement is central to the successful launch of Huma Therapeutics’ new wearable device. According to the Project Management Institute (2021), strong stakeholder management reduces project delays, enhances alignment and improves quality outcomes. Huma operates in a highly regulated and clinically sensitive environment; therefore, ensuring that internal and external stakeholders are integrated into a coherent engagement process is essential. The following section applies the </w:t>
      </w:r>
      <w:r w:rsidRPr="00842062">
        <w:rPr>
          <w:rFonts w:ascii="Arial" w:hAnsi="Arial" w:cs="Arial"/>
          <w:b/>
          <w:bCs/>
        </w:rPr>
        <w:t>4Cs Model</w:t>
      </w:r>
      <w:r w:rsidRPr="00842062">
        <w:rPr>
          <w:rFonts w:ascii="Arial" w:hAnsi="Arial" w:cs="Arial"/>
          <w:b/>
          <w:bCs/>
        </w:rPr>
        <w:t xml:space="preserve">: Communication, Coordination, Cooperation and Collaboration, </w:t>
      </w:r>
      <w:r w:rsidRPr="00842062">
        <w:rPr>
          <w:rFonts w:ascii="Arial" w:hAnsi="Arial" w:cs="Arial"/>
        </w:rPr>
        <w:t>to define how stakeholder engagement will be executed and how conflicts will be managed throughout the project lifecycle.</w:t>
      </w:r>
    </w:p>
    <w:p w14:paraId="748A251E" w14:textId="38F780BE" w:rsidR="00231FA8" w:rsidRDefault="00231FA8" w:rsidP="00E9075E"/>
    <w:p w14:paraId="0B8CE3DD" w14:textId="51BAAA4B" w:rsidR="00842062" w:rsidRPr="00842062" w:rsidRDefault="00842062" w:rsidP="00E9075E">
      <w:pPr>
        <w:rPr>
          <w:rFonts w:ascii="Arial" w:hAnsi="Arial" w:cs="Arial"/>
          <w:b/>
          <w:bCs/>
        </w:rPr>
      </w:pPr>
      <w:r w:rsidRPr="00842062">
        <w:rPr>
          <w:rFonts w:ascii="Arial" w:hAnsi="Arial" w:cs="Arial"/>
          <w:b/>
          <w:bCs/>
        </w:rPr>
        <w:t>Communication</w:t>
      </w:r>
    </w:p>
    <w:p w14:paraId="00C81756" w14:textId="77777777" w:rsidR="00842062" w:rsidRDefault="00842062" w:rsidP="00E9075E">
      <w:pPr>
        <w:rPr>
          <w:rFonts w:ascii="Arial" w:hAnsi="Arial" w:cs="Arial"/>
        </w:rPr>
      </w:pPr>
    </w:p>
    <w:p w14:paraId="1BB65CAA" w14:textId="77777777" w:rsidR="00450BB5" w:rsidRPr="00450BB5" w:rsidRDefault="00450BB5" w:rsidP="00450BB5">
      <w:pPr>
        <w:rPr>
          <w:rFonts w:ascii="Arial" w:hAnsi="Arial" w:cs="Arial"/>
        </w:rPr>
      </w:pPr>
      <w:r w:rsidRPr="00450BB5">
        <w:rPr>
          <w:rFonts w:ascii="Arial" w:hAnsi="Arial" w:cs="Arial"/>
        </w:rPr>
        <w:t>Clear, transparent and structured communication is the foundation of stakeholder engagement. Research shows that ineffective communication is one of the leading causes of project failure in health-technology product development (Kliem, 2020). As project manager, my role is to ensure that all stakeholders receive accurate, timely and relevant information tailored to their needs.</w:t>
      </w:r>
    </w:p>
    <w:p w14:paraId="3E0DB1A9" w14:textId="77777777" w:rsidR="00450BB5" w:rsidRPr="00450BB5" w:rsidRDefault="00450BB5" w:rsidP="00450BB5">
      <w:pPr>
        <w:rPr>
          <w:rFonts w:ascii="Arial" w:hAnsi="Arial" w:cs="Arial"/>
        </w:rPr>
      </w:pPr>
      <w:r w:rsidRPr="00450BB5">
        <w:rPr>
          <w:rFonts w:ascii="Arial" w:hAnsi="Arial" w:cs="Arial"/>
        </w:rPr>
        <w:t>For internal teams such as engineering, data science, clinical validation and regulatory affairs, communication will be facilitated through weekly agile sprint meetings, daily stand-ups and sprint retrospectives. These meetings support transparency, enable rapid decision-making and allow early identification of technical barriers. Communication with senior leadership will occur through monthly progress reports, dashboards and risk updates, ensuring strategic oversight.</w:t>
      </w:r>
    </w:p>
    <w:p w14:paraId="2E657A4F" w14:textId="77777777" w:rsidR="00450BB5" w:rsidRPr="00450BB5" w:rsidRDefault="00450BB5" w:rsidP="00450BB5">
      <w:pPr>
        <w:rPr>
          <w:rFonts w:ascii="Arial" w:hAnsi="Arial" w:cs="Arial"/>
        </w:rPr>
      </w:pPr>
      <w:r w:rsidRPr="00450BB5">
        <w:rPr>
          <w:rFonts w:ascii="Arial" w:hAnsi="Arial" w:cs="Arial"/>
        </w:rPr>
        <w:lastRenderedPageBreak/>
        <w:t>External stakeholders such as NHS partners, regulators and suppliers require structured communication pathways. For example, NHS clinical collaborators will participate in bi-monthly review boards to assess device accuracy and provide feedback on clinical relevance. Regulatory bodies (MHRA and ICO) require formal communication through documentation submissions, compliance updates and audit responses. According to ICO (2023), timely communication regarding data-processing methods is essential for maintaining GDPR compliance.</w:t>
      </w:r>
    </w:p>
    <w:p w14:paraId="06120158" w14:textId="58221360" w:rsidR="00450BB5" w:rsidRDefault="00450BB5" w:rsidP="00450BB5">
      <w:pPr>
        <w:rPr>
          <w:rFonts w:ascii="Arial" w:hAnsi="Arial" w:cs="Arial"/>
        </w:rPr>
      </w:pPr>
      <w:r w:rsidRPr="00450BB5">
        <w:rPr>
          <w:rFonts w:ascii="Arial" w:hAnsi="Arial" w:cs="Arial"/>
        </w:rPr>
        <w:t xml:space="preserve">Consumer communication will be achieved through </w:t>
      </w:r>
      <w:r>
        <w:rPr>
          <w:rFonts w:ascii="Arial" w:hAnsi="Arial" w:cs="Arial"/>
        </w:rPr>
        <w:t>user test groups, pre-launch surveys,</w:t>
      </w:r>
      <w:r w:rsidRPr="00450BB5">
        <w:rPr>
          <w:rFonts w:ascii="Arial" w:hAnsi="Arial" w:cs="Arial"/>
        </w:rPr>
        <w:t xml:space="preserve"> and beta-testing programmes. Engaging users early enables the identification of usability challenges and ensures the product meets expectations (Deloitte, 2022).</w:t>
      </w:r>
    </w:p>
    <w:p w14:paraId="0AF5C488" w14:textId="77777777" w:rsidR="00450BB5" w:rsidRDefault="00450BB5" w:rsidP="00450BB5">
      <w:pPr>
        <w:rPr>
          <w:rFonts w:ascii="Arial" w:hAnsi="Arial" w:cs="Arial"/>
        </w:rPr>
      </w:pPr>
    </w:p>
    <w:p w14:paraId="2585B26B" w14:textId="43EF470C" w:rsidR="00450BB5" w:rsidRPr="00450BB5" w:rsidRDefault="001B286B" w:rsidP="00450BB5">
      <w:pPr>
        <w:rPr>
          <w:rFonts w:ascii="Arial" w:hAnsi="Arial" w:cs="Arial"/>
          <w:b/>
          <w:bCs/>
        </w:rPr>
      </w:pPr>
      <w:r w:rsidRPr="001B286B">
        <w:rPr>
          <w:rFonts w:ascii="Arial" w:hAnsi="Arial" w:cs="Arial"/>
          <w:b/>
          <w:bCs/>
        </w:rPr>
        <w:t>Coordination</w:t>
      </w:r>
    </w:p>
    <w:p w14:paraId="3807A1C7" w14:textId="77777777" w:rsidR="00450BB5" w:rsidRDefault="00450BB5" w:rsidP="00E9075E">
      <w:pPr>
        <w:rPr>
          <w:rFonts w:ascii="Arial" w:hAnsi="Arial" w:cs="Arial"/>
        </w:rPr>
      </w:pPr>
    </w:p>
    <w:p w14:paraId="4BB8B1AE" w14:textId="062FB6B8" w:rsidR="006E42A8" w:rsidRPr="006E42A8" w:rsidRDefault="006E42A8" w:rsidP="006E42A8">
      <w:pPr>
        <w:rPr>
          <w:rFonts w:ascii="Arial" w:hAnsi="Arial" w:cs="Arial"/>
        </w:rPr>
      </w:pPr>
      <w:r w:rsidRPr="006E42A8">
        <w:rPr>
          <w:rFonts w:ascii="Arial" w:hAnsi="Arial" w:cs="Arial"/>
        </w:rPr>
        <w:t xml:space="preserve">Coordination </w:t>
      </w:r>
      <w:r>
        <w:rPr>
          <w:rFonts w:ascii="Arial" w:hAnsi="Arial" w:cs="Arial"/>
        </w:rPr>
        <w:t xml:space="preserve">aligns activities, resources, and roles across multiple teams to ensure </w:t>
      </w:r>
      <w:r w:rsidRPr="006E42A8">
        <w:rPr>
          <w:rFonts w:ascii="Arial" w:hAnsi="Arial" w:cs="Arial"/>
        </w:rPr>
        <w:t>the project progresses smoothly. Huma operates cross-functional teams distributed across engineering, clinical science, regulatory, commercial and supply-chain divisions, making coordination essential.</w:t>
      </w:r>
    </w:p>
    <w:p w14:paraId="07854A3D" w14:textId="57E0ACAA" w:rsidR="006E42A8" w:rsidRPr="006E42A8" w:rsidRDefault="006E42A8" w:rsidP="006E42A8">
      <w:pPr>
        <w:rPr>
          <w:rFonts w:ascii="Arial" w:hAnsi="Arial" w:cs="Arial"/>
        </w:rPr>
      </w:pPr>
      <w:r w:rsidRPr="006E42A8">
        <w:rPr>
          <w:rFonts w:ascii="Arial" w:hAnsi="Arial" w:cs="Arial"/>
        </w:rPr>
        <w:t xml:space="preserve">To facilitate coordination, I will implement structured workflow tools such as Jira, Trello and shared Gantt charts. These tools help track dependencies </w:t>
      </w:r>
      <w:r>
        <w:rPr>
          <w:rFonts w:ascii="Arial" w:hAnsi="Arial" w:cs="Arial"/>
        </w:rPr>
        <w:t>across tasks such as firmware development, clinical validation, mobile app integration, supply chain procurement,</w:t>
      </w:r>
      <w:r w:rsidRPr="006E42A8">
        <w:rPr>
          <w:rFonts w:ascii="Arial" w:hAnsi="Arial" w:cs="Arial"/>
        </w:rPr>
        <w:t xml:space="preserve"> and marketing campaigns. McKinsey (2022) notes that health-technology supply chains </w:t>
      </w:r>
      <w:r>
        <w:rPr>
          <w:rFonts w:ascii="Arial" w:hAnsi="Arial" w:cs="Arial"/>
        </w:rPr>
        <w:t>are becoming increasingly complex</w:t>
      </w:r>
      <w:r w:rsidRPr="006E42A8">
        <w:rPr>
          <w:rFonts w:ascii="Arial" w:hAnsi="Arial" w:cs="Arial"/>
        </w:rPr>
        <w:t>, making coordinated planning essential for timely delivery.</w:t>
      </w:r>
    </w:p>
    <w:p w14:paraId="1F7DBA76" w14:textId="77777777" w:rsidR="006E42A8" w:rsidRDefault="006E42A8" w:rsidP="006E42A8">
      <w:pPr>
        <w:rPr>
          <w:rFonts w:ascii="Arial" w:hAnsi="Arial" w:cs="Arial"/>
        </w:rPr>
      </w:pPr>
      <w:r w:rsidRPr="006E42A8">
        <w:rPr>
          <w:rFonts w:ascii="Arial" w:hAnsi="Arial" w:cs="Arial"/>
        </w:rPr>
        <w:t>Coordination between internal and external stakeholders will also be achieved through clearly defined roles, managed through the RACI model (see Section 5). For example, procurement coordinates with device manufacturers to track production timelines, while regulatory affairs coordinates with MHRA for compliance milestones. Regular coordination checkpoints reduce risks associated with parallel workflows.</w:t>
      </w:r>
    </w:p>
    <w:p w14:paraId="5E348AAE" w14:textId="77777777" w:rsidR="006E42A8" w:rsidRDefault="006E42A8" w:rsidP="006E42A8">
      <w:pPr>
        <w:rPr>
          <w:rFonts w:ascii="Arial" w:hAnsi="Arial" w:cs="Arial"/>
        </w:rPr>
      </w:pPr>
    </w:p>
    <w:p w14:paraId="772FAFA2" w14:textId="63BD2457" w:rsidR="006E42A8" w:rsidRPr="008958D0" w:rsidRDefault="00007220" w:rsidP="006E42A8">
      <w:pPr>
        <w:rPr>
          <w:rFonts w:ascii="Arial" w:hAnsi="Arial" w:cs="Arial"/>
          <w:b/>
          <w:bCs/>
        </w:rPr>
      </w:pPr>
      <w:r w:rsidRPr="008958D0">
        <w:rPr>
          <w:rFonts w:ascii="Arial" w:hAnsi="Arial" w:cs="Arial"/>
          <w:b/>
          <w:bCs/>
        </w:rPr>
        <w:t>Co</w:t>
      </w:r>
      <w:r w:rsidR="008958D0" w:rsidRPr="008958D0">
        <w:rPr>
          <w:rFonts w:ascii="Arial" w:hAnsi="Arial" w:cs="Arial"/>
          <w:b/>
          <w:bCs/>
        </w:rPr>
        <w:t>o</w:t>
      </w:r>
      <w:r w:rsidRPr="008958D0">
        <w:rPr>
          <w:rFonts w:ascii="Arial" w:hAnsi="Arial" w:cs="Arial"/>
          <w:b/>
          <w:bCs/>
        </w:rPr>
        <w:t>peration</w:t>
      </w:r>
    </w:p>
    <w:p w14:paraId="1BE7AF98" w14:textId="77777777" w:rsidR="008958D0" w:rsidRDefault="008958D0" w:rsidP="006E42A8">
      <w:pPr>
        <w:rPr>
          <w:rFonts w:ascii="Arial" w:hAnsi="Arial" w:cs="Arial"/>
        </w:rPr>
      </w:pPr>
    </w:p>
    <w:p w14:paraId="24A78344" w14:textId="77777777" w:rsidR="008958D0" w:rsidRPr="008958D0" w:rsidRDefault="008958D0" w:rsidP="008958D0">
      <w:pPr>
        <w:rPr>
          <w:rFonts w:ascii="Arial" w:hAnsi="Arial" w:cs="Arial"/>
        </w:rPr>
      </w:pPr>
      <w:r w:rsidRPr="008958D0">
        <w:rPr>
          <w:rFonts w:ascii="Arial" w:hAnsi="Arial" w:cs="Arial"/>
        </w:rPr>
        <w:t>Cooperation focuses on building trust and encouraging stakeholders to work towards shared objectives. According to Olanrewaju and Abdul-Aziz (2021), cooperative behaviours enhance information sharing and reduce conflict within project environments.</w:t>
      </w:r>
    </w:p>
    <w:p w14:paraId="49637C01" w14:textId="77777777" w:rsidR="008958D0" w:rsidRPr="008958D0" w:rsidRDefault="008958D0" w:rsidP="008958D0">
      <w:pPr>
        <w:rPr>
          <w:rFonts w:ascii="Arial" w:hAnsi="Arial" w:cs="Arial"/>
        </w:rPr>
      </w:pPr>
      <w:r w:rsidRPr="008958D0">
        <w:rPr>
          <w:rFonts w:ascii="Arial" w:hAnsi="Arial" w:cs="Arial"/>
        </w:rPr>
        <w:t>As project manager, I will foster a cooperative culture by:</w:t>
      </w:r>
    </w:p>
    <w:p w14:paraId="089903F7" w14:textId="77777777" w:rsidR="008958D0" w:rsidRPr="008958D0" w:rsidRDefault="008958D0" w:rsidP="008958D0">
      <w:pPr>
        <w:numPr>
          <w:ilvl w:val="0"/>
          <w:numId w:val="15"/>
        </w:numPr>
        <w:rPr>
          <w:rFonts w:ascii="Arial" w:hAnsi="Arial" w:cs="Arial"/>
        </w:rPr>
      </w:pPr>
      <w:r w:rsidRPr="008958D0">
        <w:rPr>
          <w:rFonts w:ascii="Arial" w:hAnsi="Arial" w:cs="Arial"/>
        </w:rPr>
        <w:t>Involving internal teams early in decision-making</w:t>
      </w:r>
    </w:p>
    <w:p w14:paraId="7139C6C9" w14:textId="77777777" w:rsidR="008958D0" w:rsidRPr="008958D0" w:rsidRDefault="008958D0" w:rsidP="008958D0">
      <w:pPr>
        <w:numPr>
          <w:ilvl w:val="0"/>
          <w:numId w:val="15"/>
        </w:numPr>
        <w:rPr>
          <w:rFonts w:ascii="Arial" w:hAnsi="Arial" w:cs="Arial"/>
        </w:rPr>
      </w:pPr>
      <w:r w:rsidRPr="008958D0">
        <w:rPr>
          <w:rFonts w:ascii="Arial" w:hAnsi="Arial" w:cs="Arial"/>
        </w:rPr>
        <w:t>Conducting cross-departmental workshops to align goals</w:t>
      </w:r>
    </w:p>
    <w:p w14:paraId="508C05BA" w14:textId="77777777" w:rsidR="008958D0" w:rsidRPr="008958D0" w:rsidRDefault="008958D0" w:rsidP="008958D0">
      <w:pPr>
        <w:numPr>
          <w:ilvl w:val="0"/>
          <w:numId w:val="15"/>
        </w:numPr>
        <w:rPr>
          <w:rFonts w:ascii="Arial" w:hAnsi="Arial" w:cs="Arial"/>
        </w:rPr>
      </w:pPr>
      <w:r w:rsidRPr="008958D0">
        <w:rPr>
          <w:rFonts w:ascii="Arial" w:hAnsi="Arial" w:cs="Arial"/>
        </w:rPr>
        <w:t>Sharing user-feedback results with engineering and clinical teams</w:t>
      </w:r>
    </w:p>
    <w:p w14:paraId="26C4A263" w14:textId="77777777" w:rsidR="008958D0" w:rsidRPr="008958D0" w:rsidRDefault="008958D0" w:rsidP="008958D0">
      <w:pPr>
        <w:numPr>
          <w:ilvl w:val="0"/>
          <w:numId w:val="15"/>
        </w:numPr>
        <w:rPr>
          <w:rFonts w:ascii="Arial" w:hAnsi="Arial" w:cs="Arial"/>
        </w:rPr>
      </w:pPr>
      <w:r w:rsidRPr="008958D0">
        <w:rPr>
          <w:rFonts w:ascii="Arial" w:hAnsi="Arial" w:cs="Arial"/>
        </w:rPr>
        <w:t>Encouraging open feedback channels between marketing, engineering and regulatory teams</w:t>
      </w:r>
    </w:p>
    <w:p w14:paraId="6096866E" w14:textId="77777777" w:rsidR="008958D0" w:rsidRPr="008958D0" w:rsidRDefault="008958D0" w:rsidP="008958D0">
      <w:pPr>
        <w:numPr>
          <w:ilvl w:val="0"/>
          <w:numId w:val="15"/>
        </w:numPr>
        <w:rPr>
          <w:rFonts w:ascii="Arial" w:hAnsi="Arial" w:cs="Arial"/>
        </w:rPr>
      </w:pPr>
      <w:r w:rsidRPr="008958D0">
        <w:rPr>
          <w:rFonts w:ascii="Arial" w:hAnsi="Arial" w:cs="Arial"/>
        </w:rPr>
        <w:t>Recognising and celebrating team achievements</w:t>
      </w:r>
    </w:p>
    <w:p w14:paraId="09B01B55" w14:textId="579ADD56" w:rsidR="008958D0" w:rsidRDefault="008958D0" w:rsidP="008958D0">
      <w:pPr>
        <w:rPr>
          <w:rFonts w:ascii="Arial" w:hAnsi="Arial" w:cs="Arial"/>
        </w:rPr>
      </w:pPr>
      <w:r w:rsidRPr="008958D0">
        <w:rPr>
          <w:rFonts w:ascii="Arial" w:hAnsi="Arial" w:cs="Arial"/>
        </w:rPr>
        <w:lastRenderedPageBreak/>
        <w:t xml:space="preserve">Cooperation </w:t>
      </w:r>
      <w:r w:rsidR="00C54B6A">
        <w:rPr>
          <w:rFonts w:ascii="Arial" w:hAnsi="Arial" w:cs="Arial"/>
        </w:rPr>
        <w:t>between Huma and external partners is essential</w:t>
      </w:r>
      <w:r w:rsidRPr="008958D0">
        <w:rPr>
          <w:rFonts w:ascii="Arial" w:hAnsi="Arial" w:cs="Arial"/>
        </w:rPr>
        <w:t xml:space="preserve">. For example, NHS stakeholders must trust the </w:t>
      </w:r>
      <w:r>
        <w:rPr>
          <w:rFonts w:ascii="Arial" w:hAnsi="Arial" w:cs="Arial"/>
        </w:rPr>
        <w:t>device's clinical validity, while suppliers must provide accurate,</w:t>
      </w:r>
      <w:r w:rsidRPr="008958D0">
        <w:rPr>
          <w:rFonts w:ascii="Arial" w:hAnsi="Arial" w:cs="Arial"/>
        </w:rPr>
        <w:t xml:space="preserve"> timely production updates. Establishing cooperative working relationships reduces risks, aligns expectations and enhances project morale.</w:t>
      </w:r>
    </w:p>
    <w:p w14:paraId="48770B6F" w14:textId="77777777" w:rsidR="00C54B6A" w:rsidRDefault="00C54B6A" w:rsidP="008958D0">
      <w:pPr>
        <w:rPr>
          <w:rFonts w:ascii="Arial" w:hAnsi="Arial" w:cs="Arial"/>
        </w:rPr>
      </w:pPr>
    </w:p>
    <w:p w14:paraId="55B32A4E" w14:textId="158FC907" w:rsidR="00C54B6A" w:rsidRDefault="00C54B6A" w:rsidP="008958D0">
      <w:pPr>
        <w:rPr>
          <w:rFonts w:ascii="Arial" w:hAnsi="Arial" w:cs="Arial"/>
        </w:rPr>
      </w:pPr>
      <w:r>
        <w:rPr>
          <w:rFonts w:ascii="Arial" w:hAnsi="Arial" w:cs="Arial"/>
        </w:rPr>
        <w:t>Collaboration</w:t>
      </w:r>
    </w:p>
    <w:p w14:paraId="0488B17E" w14:textId="77777777" w:rsidR="00C54B6A" w:rsidRDefault="00C54B6A" w:rsidP="008958D0">
      <w:pPr>
        <w:rPr>
          <w:rFonts w:ascii="Arial" w:hAnsi="Arial" w:cs="Arial"/>
        </w:rPr>
      </w:pPr>
    </w:p>
    <w:p w14:paraId="253C76D5" w14:textId="5F999480" w:rsidR="00C54B6A" w:rsidRPr="00C54B6A" w:rsidRDefault="00C54B6A" w:rsidP="00C54B6A">
      <w:pPr>
        <w:rPr>
          <w:rFonts w:ascii="Arial" w:hAnsi="Arial" w:cs="Arial"/>
        </w:rPr>
      </w:pPr>
      <w:r w:rsidRPr="00C54B6A">
        <w:rPr>
          <w:rFonts w:ascii="Arial" w:hAnsi="Arial" w:cs="Arial"/>
        </w:rPr>
        <w:t xml:space="preserve">Collaboration extends beyond </w:t>
      </w:r>
      <w:r>
        <w:rPr>
          <w:rFonts w:ascii="Arial" w:hAnsi="Arial" w:cs="Arial"/>
        </w:rPr>
        <w:t>mere cooperation, enabling stakeholders to create solutions and solve complex problems jointly</w:t>
      </w:r>
      <w:r w:rsidRPr="00C54B6A">
        <w:rPr>
          <w:rFonts w:ascii="Arial" w:hAnsi="Arial" w:cs="Arial"/>
        </w:rPr>
        <w:t xml:space="preserve">. Freeman et al. (2021) emphasise that collaboration leads to </w:t>
      </w:r>
      <w:r>
        <w:rPr>
          <w:rFonts w:ascii="Arial" w:hAnsi="Arial" w:cs="Arial"/>
        </w:rPr>
        <w:t>greater innovation and more substantial</w:t>
      </w:r>
      <w:r w:rsidRPr="00C54B6A">
        <w:rPr>
          <w:rFonts w:ascii="Arial" w:hAnsi="Arial" w:cs="Arial"/>
        </w:rPr>
        <w:t xml:space="preserve"> stakeholder commitment.</w:t>
      </w:r>
    </w:p>
    <w:p w14:paraId="1BA788FF" w14:textId="77777777" w:rsidR="00C54B6A" w:rsidRPr="00C54B6A" w:rsidRDefault="00C54B6A" w:rsidP="00C54B6A">
      <w:pPr>
        <w:rPr>
          <w:rFonts w:ascii="Arial" w:hAnsi="Arial" w:cs="Arial"/>
        </w:rPr>
      </w:pPr>
      <w:r w:rsidRPr="00C54B6A">
        <w:rPr>
          <w:rFonts w:ascii="Arial" w:hAnsi="Arial" w:cs="Arial"/>
        </w:rPr>
        <w:t>Huma’s device launch requires deep collaboration between:</w:t>
      </w:r>
    </w:p>
    <w:p w14:paraId="053F5A49" w14:textId="360E86FB" w:rsidR="00C54B6A" w:rsidRPr="00C54B6A" w:rsidRDefault="00C54B6A" w:rsidP="00C54B6A">
      <w:pPr>
        <w:numPr>
          <w:ilvl w:val="0"/>
          <w:numId w:val="16"/>
        </w:numPr>
        <w:rPr>
          <w:rFonts w:ascii="Arial" w:hAnsi="Arial" w:cs="Arial"/>
        </w:rPr>
      </w:pPr>
      <w:r w:rsidRPr="00C54B6A">
        <w:rPr>
          <w:rFonts w:ascii="Arial" w:hAnsi="Arial" w:cs="Arial"/>
          <w:b/>
          <w:bCs/>
        </w:rPr>
        <w:t>Engineering + Data Science</w:t>
      </w:r>
      <w:r w:rsidRPr="00C54B6A">
        <w:rPr>
          <w:rFonts w:ascii="Arial" w:hAnsi="Arial" w:cs="Arial"/>
        </w:rPr>
        <w:t xml:space="preserve"> </w:t>
      </w:r>
      <w:r>
        <w:rPr>
          <w:rFonts w:ascii="Arial" w:hAnsi="Arial" w:cs="Arial"/>
        </w:rPr>
        <w:t>-</w:t>
      </w:r>
      <w:r w:rsidRPr="00C54B6A">
        <w:rPr>
          <w:rFonts w:ascii="Arial" w:hAnsi="Arial" w:cs="Arial"/>
        </w:rPr>
        <w:t xml:space="preserve"> for sensor calibration and algorithm development</w:t>
      </w:r>
    </w:p>
    <w:p w14:paraId="6A77461C" w14:textId="4D51E90F" w:rsidR="00C54B6A" w:rsidRPr="00C54B6A" w:rsidRDefault="00C54B6A" w:rsidP="00C54B6A">
      <w:pPr>
        <w:numPr>
          <w:ilvl w:val="0"/>
          <w:numId w:val="16"/>
        </w:numPr>
        <w:rPr>
          <w:rFonts w:ascii="Arial" w:hAnsi="Arial" w:cs="Arial"/>
        </w:rPr>
      </w:pPr>
      <w:r w:rsidRPr="00C54B6A">
        <w:rPr>
          <w:rFonts w:ascii="Arial" w:hAnsi="Arial" w:cs="Arial"/>
          <w:b/>
          <w:bCs/>
        </w:rPr>
        <w:t>Clinical + Regulatory</w:t>
      </w:r>
      <w:r w:rsidRPr="00C54B6A">
        <w:rPr>
          <w:rFonts w:ascii="Arial" w:hAnsi="Arial" w:cs="Arial"/>
        </w:rPr>
        <w:t xml:space="preserve"> </w:t>
      </w:r>
      <w:r>
        <w:rPr>
          <w:rFonts w:ascii="Arial" w:hAnsi="Arial" w:cs="Arial"/>
        </w:rPr>
        <w:t>-</w:t>
      </w:r>
      <w:r w:rsidRPr="00C54B6A">
        <w:rPr>
          <w:rFonts w:ascii="Arial" w:hAnsi="Arial" w:cs="Arial"/>
        </w:rPr>
        <w:t xml:space="preserve"> to validate digital biomarkers and prepare submission documents</w:t>
      </w:r>
    </w:p>
    <w:p w14:paraId="7CC984B9" w14:textId="5C47A421" w:rsidR="00C54B6A" w:rsidRPr="00C54B6A" w:rsidRDefault="00C54B6A" w:rsidP="00C54B6A">
      <w:pPr>
        <w:numPr>
          <w:ilvl w:val="0"/>
          <w:numId w:val="16"/>
        </w:numPr>
        <w:rPr>
          <w:rFonts w:ascii="Arial" w:hAnsi="Arial" w:cs="Arial"/>
        </w:rPr>
      </w:pPr>
      <w:r w:rsidRPr="00C54B6A">
        <w:rPr>
          <w:rFonts w:ascii="Arial" w:hAnsi="Arial" w:cs="Arial"/>
          <w:b/>
          <w:bCs/>
        </w:rPr>
        <w:t>Marketing + Product</w:t>
      </w:r>
      <w:r>
        <w:rPr>
          <w:rFonts w:ascii="Arial" w:hAnsi="Arial" w:cs="Arial"/>
        </w:rPr>
        <w:t xml:space="preserve"> -</w:t>
      </w:r>
      <w:r w:rsidRPr="00C54B6A">
        <w:rPr>
          <w:rFonts w:ascii="Arial" w:hAnsi="Arial" w:cs="Arial"/>
        </w:rPr>
        <w:t xml:space="preserve"> to translate technical features into consumer-friendly messaging</w:t>
      </w:r>
    </w:p>
    <w:p w14:paraId="59F5A444" w14:textId="6FF3CC1E" w:rsidR="00C54B6A" w:rsidRPr="00C54B6A" w:rsidRDefault="00C54B6A" w:rsidP="00C54B6A">
      <w:pPr>
        <w:numPr>
          <w:ilvl w:val="0"/>
          <w:numId w:val="16"/>
        </w:numPr>
        <w:rPr>
          <w:rFonts w:ascii="Arial" w:hAnsi="Arial" w:cs="Arial"/>
        </w:rPr>
      </w:pPr>
      <w:r w:rsidRPr="00C54B6A">
        <w:rPr>
          <w:rFonts w:ascii="Arial" w:hAnsi="Arial" w:cs="Arial"/>
          <w:b/>
          <w:bCs/>
        </w:rPr>
        <w:t>Supply Chain + Manufacturers</w:t>
      </w:r>
      <w:r w:rsidRPr="00C54B6A">
        <w:rPr>
          <w:rFonts w:ascii="Arial" w:hAnsi="Arial" w:cs="Arial"/>
        </w:rPr>
        <w:t xml:space="preserve"> </w:t>
      </w:r>
      <w:r>
        <w:rPr>
          <w:rFonts w:ascii="Arial" w:hAnsi="Arial" w:cs="Arial"/>
        </w:rPr>
        <w:t>-</w:t>
      </w:r>
      <w:r w:rsidRPr="00C54B6A">
        <w:rPr>
          <w:rFonts w:ascii="Arial" w:hAnsi="Arial" w:cs="Arial"/>
        </w:rPr>
        <w:t xml:space="preserve"> to resolve component shortages</w:t>
      </w:r>
    </w:p>
    <w:p w14:paraId="3FABB6AB" w14:textId="18EAA78F" w:rsidR="00C54B6A" w:rsidRPr="00C54B6A" w:rsidRDefault="00C54B6A" w:rsidP="00C54B6A">
      <w:pPr>
        <w:numPr>
          <w:ilvl w:val="0"/>
          <w:numId w:val="16"/>
        </w:numPr>
        <w:rPr>
          <w:rFonts w:ascii="Arial" w:hAnsi="Arial" w:cs="Arial"/>
        </w:rPr>
      </w:pPr>
      <w:r w:rsidRPr="00C54B6A">
        <w:rPr>
          <w:rFonts w:ascii="Arial" w:hAnsi="Arial" w:cs="Arial"/>
          <w:b/>
          <w:bCs/>
        </w:rPr>
        <w:t>NHS Partners + Huma</w:t>
      </w:r>
      <w:r w:rsidRPr="00C54B6A">
        <w:rPr>
          <w:rFonts w:ascii="Arial" w:hAnsi="Arial" w:cs="Arial"/>
        </w:rPr>
        <w:t xml:space="preserve"> </w:t>
      </w:r>
      <w:r>
        <w:rPr>
          <w:rFonts w:ascii="Arial" w:hAnsi="Arial" w:cs="Arial"/>
        </w:rPr>
        <w:t>-</w:t>
      </w:r>
      <w:r w:rsidRPr="00C54B6A">
        <w:rPr>
          <w:rFonts w:ascii="Arial" w:hAnsi="Arial" w:cs="Arial"/>
        </w:rPr>
        <w:t xml:space="preserve"> to ensure the device supports real clinical use cases</w:t>
      </w:r>
    </w:p>
    <w:p w14:paraId="398BA287" w14:textId="77777777" w:rsidR="00C54B6A" w:rsidRDefault="00C54B6A" w:rsidP="00C54B6A">
      <w:pPr>
        <w:rPr>
          <w:rFonts w:ascii="Arial" w:hAnsi="Arial" w:cs="Arial"/>
        </w:rPr>
      </w:pPr>
      <w:r w:rsidRPr="00C54B6A">
        <w:rPr>
          <w:rFonts w:ascii="Arial" w:hAnsi="Arial" w:cs="Arial"/>
        </w:rPr>
        <w:t>Collaboration tools such as shared digital workspaces, co-design workshops and cross-functional task forces will be implemented.</w:t>
      </w:r>
    </w:p>
    <w:p w14:paraId="1F0EA118" w14:textId="77777777" w:rsidR="00C54B6A" w:rsidRDefault="00C54B6A" w:rsidP="00C54B6A">
      <w:pPr>
        <w:rPr>
          <w:rFonts w:ascii="Arial" w:hAnsi="Arial" w:cs="Arial"/>
        </w:rPr>
      </w:pPr>
    </w:p>
    <w:p w14:paraId="2CC070E3" w14:textId="0816B83D" w:rsidR="00C54B6A" w:rsidRPr="00F34741" w:rsidRDefault="00F34741" w:rsidP="00C54B6A">
      <w:pPr>
        <w:rPr>
          <w:rFonts w:ascii="Arial" w:hAnsi="Arial" w:cs="Arial"/>
          <w:b/>
          <w:bCs/>
        </w:rPr>
      </w:pPr>
      <w:r w:rsidRPr="00F34741">
        <w:rPr>
          <w:rFonts w:ascii="Arial" w:hAnsi="Arial" w:cs="Arial"/>
          <w:b/>
          <w:bCs/>
        </w:rPr>
        <w:t>Conflict Management</w:t>
      </w:r>
    </w:p>
    <w:p w14:paraId="19A6BB21" w14:textId="77777777" w:rsidR="00F34741" w:rsidRDefault="00F34741" w:rsidP="00C54B6A">
      <w:pPr>
        <w:rPr>
          <w:rFonts w:ascii="Arial" w:hAnsi="Arial" w:cs="Arial"/>
        </w:rPr>
      </w:pPr>
    </w:p>
    <w:p w14:paraId="23C03F1B" w14:textId="77777777" w:rsidR="00F34741" w:rsidRPr="00F34741" w:rsidRDefault="00F34741" w:rsidP="00F34741">
      <w:pPr>
        <w:rPr>
          <w:rFonts w:ascii="Arial" w:hAnsi="Arial" w:cs="Arial"/>
        </w:rPr>
      </w:pPr>
      <w:r w:rsidRPr="00F34741">
        <w:rPr>
          <w:rFonts w:ascii="Arial" w:hAnsi="Arial" w:cs="Arial"/>
        </w:rPr>
        <w:t>Conflicts are inevitable in health-technology product development due to differing priorities, regulatory constraints and resource competition. As project manager, I will apply evidence-based conflict-management methods aligned with the 4Cs:</w:t>
      </w:r>
    </w:p>
    <w:p w14:paraId="2141A67C" w14:textId="77777777" w:rsidR="00F34741" w:rsidRPr="00F34741" w:rsidRDefault="00F34741" w:rsidP="00F34741">
      <w:pPr>
        <w:rPr>
          <w:rFonts w:ascii="Arial" w:hAnsi="Arial" w:cs="Arial"/>
          <w:b/>
          <w:bCs/>
        </w:rPr>
      </w:pPr>
      <w:r w:rsidRPr="00F34741">
        <w:rPr>
          <w:rFonts w:ascii="Arial" w:hAnsi="Arial" w:cs="Arial"/>
          <w:b/>
          <w:bCs/>
        </w:rPr>
        <w:t>1. Early identification of conflict sources</w:t>
      </w:r>
    </w:p>
    <w:p w14:paraId="6E9C94F2" w14:textId="77777777" w:rsidR="00F34741" w:rsidRPr="00F34741" w:rsidRDefault="00F34741" w:rsidP="00F34741">
      <w:pPr>
        <w:rPr>
          <w:rFonts w:ascii="Arial" w:hAnsi="Arial" w:cs="Arial"/>
        </w:rPr>
      </w:pPr>
      <w:r w:rsidRPr="00F34741">
        <w:rPr>
          <w:rFonts w:ascii="Arial" w:hAnsi="Arial" w:cs="Arial"/>
        </w:rPr>
        <w:t>Using regular stakeholder check-ins and risk logs (PMI, 2021).</w:t>
      </w:r>
    </w:p>
    <w:p w14:paraId="080B0712" w14:textId="77777777" w:rsidR="00F34741" w:rsidRPr="00F34741" w:rsidRDefault="00F34741" w:rsidP="00F34741">
      <w:pPr>
        <w:rPr>
          <w:rFonts w:ascii="Arial" w:hAnsi="Arial" w:cs="Arial"/>
          <w:b/>
          <w:bCs/>
        </w:rPr>
      </w:pPr>
      <w:r w:rsidRPr="00F34741">
        <w:rPr>
          <w:rFonts w:ascii="Arial" w:hAnsi="Arial" w:cs="Arial"/>
          <w:b/>
          <w:bCs/>
        </w:rPr>
        <w:t>2. Interest-based negotiation</w:t>
      </w:r>
    </w:p>
    <w:p w14:paraId="2A1AFA75" w14:textId="77777777" w:rsidR="00F34741" w:rsidRPr="00F34741" w:rsidRDefault="00F34741" w:rsidP="00F34741">
      <w:pPr>
        <w:rPr>
          <w:rFonts w:ascii="Arial" w:hAnsi="Arial" w:cs="Arial"/>
        </w:rPr>
      </w:pPr>
      <w:r w:rsidRPr="00F34741">
        <w:rPr>
          <w:rFonts w:ascii="Arial" w:hAnsi="Arial" w:cs="Arial"/>
        </w:rPr>
        <w:t>Focusing on stakeholders’ underlying needs rather than positional demands (Burke &amp; Barron, 2020).</w:t>
      </w:r>
    </w:p>
    <w:p w14:paraId="680727D4" w14:textId="77777777" w:rsidR="00F34741" w:rsidRPr="00F34741" w:rsidRDefault="00F34741" w:rsidP="00F34741">
      <w:pPr>
        <w:rPr>
          <w:rFonts w:ascii="Arial" w:hAnsi="Arial" w:cs="Arial"/>
          <w:b/>
          <w:bCs/>
        </w:rPr>
      </w:pPr>
      <w:r w:rsidRPr="00F34741">
        <w:rPr>
          <w:rFonts w:ascii="Arial" w:hAnsi="Arial" w:cs="Arial"/>
          <w:b/>
          <w:bCs/>
        </w:rPr>
        <w:t>3. Mediation and facilitated discussions</w:t>
      </w:r>
    </w:p>
    <w:p w14:paraId="758FDB3C" w14:textId="77777777" w:rsidR="00F34741" w:rsidRPr="00F34741" w:rsidRDefault="00F34741" w:rsidP="00F34741">
      <w:pPr>
        <w:rPr>
          <w:rFonts w:ascii="Arial" w:hAnsi="Arial" w:cs="Arial"/>
        </w:rPr>
      </w:pPr>
      <w:r w:rsidRPr="00F34741">
        <w:rPr>
          <w:rFonts w:ascii="Arial" w:hAnsi="Arial" w:cs="Arial"/>
        </w:rPr>
        <w:t>Particularly when technical, regulatory and commercial priorities clash.</w:t>
      </w:r>
    </w:p>
    <w:p w14:paraId="2ADA8A3A" w14:textId="77777777" w:rsidR="00F34741" w:rsidRPr="00F34741" w:rsidRDefault="00F34741" w:rsidP="00F34741">
      <w:pPr>
        <w:rPr>
          <w:rFonts w:ascii="Arial" w:hAnsi="Arial" w:cs="Arial"/>
          <w:b/>
          <w:bCs/>
        </w:rPr>
      </w:pPr>
      <w:r w:rsidRPr="00F34741">
        <w:rPr>
          <w:rFonts w:ascii="Arial" w:hAnsi="Arial" w:cs="Arial"/>
          <w:b/>
          <w:bCs/>
        </w:rPr>
        <w:t>4. Clear escalation pathways</w:t>
      </w:r>
    </w:p>
    <w:p w14:paraId="1CF5AF9C" w14:textId="77777777" w:rsidR="00F34741" w:rsidRPr="00F34741" w:rsidRDefault="00F34741" w:rsidP="00F34741">
      <w:pPr>
        <w:rPr>
          <w:rFonts w:ascii="Arial" w:hAnsi="Arial" w:cs="Arial"/>
        </w:rPr>
      </w:pPr>
      <w:r w:rsidRPr="00F34741">
        <w:rPr>
          <w:rFonts w:ascii="Arial" w:hAnsi="Arial" w:cs="Arial"/>
        </w:rPr>
        <w:t>Escalating unresolved issues to senior management only when necessary.</w:t>
      </w:r>
    </w:p>
    <w:p w14:paraId="185EB3AA" w14:textId="77777777" w:rsidR="00F34741" w:rsidRPr="00F34741" w:rsidRDefault="00F34741" w:rsidP="00F34741">
      <w:pPr>
        <w:rPr>
          <w:rFonts w:ascii="Arial" w:hAnsi="Arial" w:cs="Arial"/>
        </w:rPr>
      </w:pPr>
      <w:r w:rsidRPr="00F34741">
        <w:rPr>
          <w:rFonts w:ascii="Arial" w:hAnsi="Arial" w:cs="Arial"/>
        </w:rPr>
        <w:t>Common conflicts that may arise include:</w:t>
      </w:r>
    </w:p>
    <w:p w14:paraId="041F38E2" w14:textId="77777777" w:rsidR="00F34741" w:rsidRPr="00F34741" w:rsidRDefault="00F34741" w:rsidP="00F34741">
      <w:pPr>
        <w:numPr>
          <w:ilvl w:val="0"/>
          <w:numId w:val="17"/>
        </w:numPr>
        <w:rPr>
          <w:rFonts w:ascii="Arial" w:hAnsi="Arial" w:cs="Arial"/>
        </w:rPr>
      </w:pPr>
      <w:r w:rsidRPr="00F34741">
        <w:rPr>
          <w:rFonts w:ascii="Arial" w:hAnsi="Arial" w:cs="Arial"/>
        </w:rPr>
        <w:lastRenderedPageBreak/>
        <w:t>Engineering vs. regulatory teams on feature feasibility</w:t>
      </w:r>
    </w:p>
    <w:p w14:paraId="3CD5EB73" w14:textId="77777777" w:rsidR="00F34741" w:rsidRPr="00F34741" w:rsidRDefault="00F34741" w:rsidP="00F34741">
      <w:pPr>
        <w:numPr>
          <w:ilvl w:val="0"/>
          <w:numId w:val="17"/>
        </w:numPr>
        <w:rPr>
          <w:rFonts w:ascii="Arial" w:hAnsi="Arial" w:cs="Arial"/>
        </w:rPr>
      </w:pPr>
      <w:r w:rsidRPr="00F34741">
        <w:rPr>
          <w:rFonts w:ascii="Arial" w:hAnsi="Arial" w:cs="Arial"/>
        </w:rPr>
        <w:t>Marketing vs. clinical teams on messaging claims</w:t>
      </w:r>
    </w:p>
    <w:p w14:paraId="75B68134" w14:textId="77777777" w:rsidR="00F34741" w:rsidRPr="00F34741" w:rsidRDefault="00F34741" w:rsidP="00F34741">
      <w:pPr>
        <w:numPr>
          <w:ilvl w:val="0"/>
          <w:numId w:val="17"/>
        </w:numPr>
        <w:rPr>
          <w:rFonts w:ascii="Arial" w:hAnsi="Arial" w:cs="Arial"/>
        </w:rPr>
      </w:pPr>
      <w:r w:rsidRPr="00F34741">
        <w:rPr>
          <w:rFonts w:ascii="Arial" w:hAnsi="Arial" w:cs="Arial"/>
        </w:rPr>
        <w:t>Procurement vs. suppliers over delays</w:t>
      </w:r>
    </w:p>
    <w:p w14:paraId="75878D57" w14:textId="77777777" w:rsidR="00F34741" w:rsidRPr="00F34741" w:rsidRDefault="00F34741" w:rsidP="00F34741">
      <w:pPr>
        <w:numPr>
          <w:ilvl w:val="0"/>
          <w:numId w:val="17"/>
        </w:numPr>
        <w:rPr>
          <w:rFonts w:ascii="Arial" w:hAnsi="Arial" w:cs="Arial"/>
        </w:rPr>
      </w:pPr>
      <w:r w:rsidRPr="00F34741">
        <w:rPr>
          <w:rFonts w:ascii="Arial" w:hAnsi="Arial" w:cs="Arial"/>
        </w:rPr>
        <w:t>NHS partners needing clinical validation vs. commercial pressures to launch</w:t>
      </w:r>
    </w:p>
    <w:p w14:paraId="6C4640B5" w14:textId="67E27CD0" w:rsidR="00F34741" w:rsidRDefault="00F34741" w:rsidP="00F34741">
      <w:pPr>
        <w:rPr>
          <w:rFonts w:ascii="Arial" w:hAnsi="Arial" w:cs="Arial"/>
        </w:rPr>
      </w:pPr>
      <w:r w:rsidRPr="00F34741">
        <w:rPr>
          <w:rFonts w:ascii="Arial" w:hAnsi="Arial" w:cs="Arial"/>
        </w:rPr>
        <w:t>The 4Cs model supports prevention and resolution of these conflicts by promoting open communication, structured coordination, cooperation and deep collaboration.</w:t>
      </w:r>
    </w:p>
    <w:p w14:paraId="51A9BAE0" w14:textId="77777777" w:rsidR="00F34741" w:rsidRDefault="00F34741" w:rsidP="00F34741">
      <w:pPr>
        <w:rPr>
          <w:rFonts w:ascii="Arial" w:hAnsi="Arial" w:cs="Arial"/>
        </w:rPr>
      </w:pPr>
    </w:p>
    <w:p w14:paraId="0696AF31" w14:textId="77777777" w:rsidR="005C0CC1" w:rsidRDefault="005C0CC1" w:rsidP="005C0CC1">
      <w:pPr>
        <w:pStyle w:val="Heading1"/>
      </w:pPr>
    </w:p>
    <w:p w14:paraId="1403DAA7" w14:textId="655ED42A" w:rsidR="00F34741" w:rsidRPr="00F37407" w:rsidRDefault="00E105BF" w:rsidP="005C0CC1">
      <w:pPr>
        <w:pStyle w:val="Heading1"/>
        <w:rPr>
          <w:rFonts w:ascii="Arial" w:hAnsi="Arial" w:cs="Arial"/>
        </w:rPr>
      </w:pPr>
      <w:bookmarkStart w:id="8" w:name="_Toc217020553"/>
      <w:r w:rsidRPr="00F37407">
        <w:rPr>
          <w:rFonts w:ascii="Arial" w:hAnsi="Arial" w:cs="Arial"/>
        </w:rPr>
        <w:t>Impact of Stakeholder</w:t>
      </w:r>
      <w:r w:rsidR="008B2B7E" w:rsidRPr="00F37407">
        <w:rPr>
          <w:rFonts w:ascii="Arial" w:hAnsi="Arial" w:cs="Arial"/>
        </w:rPr>
        <w:t xml:space="preserve"> Engagement on Business Performance and </w:t>
      </w:r>
      <w:r w:rsidR="005C0CC1" w:rsidRPr="00F37407">
        <w:rPr>
          <w:rFonts w:ascii="Arial" w:hAnsi="Arial" w:cs="Arial"/>
        </w:rPr>
        <w:t>Recommendations</w:t>
      </w:r>
      <w:bookmarkEnd w:id="8"/>
    </w:p>
    <w:p w14:paraId="1163F443" w14:textId="77777777" w:rsidR="005C0CC1" w:rsidRDefault="005C0CC1" w:rsidP="005C0CC1"/>
    <w:p w14:paraId="559FF3B0" w14:textId="77777777" w:rsidR="00F37407" w:rsidRDefault="00F37407" w:rsidP="005C0CC1"/>
    <w:p w14:paraId="6D0793FC" w14:textId="77777777" w:rsidR="00F37407" w:rsidRDefault="00F37407" w:rsidP="005C0CC1"/>
    <w:p w14:paraId="520FCC9B" w14:textId="74549C92" w:rsidR="005C0CC1" w:rsidRDefault="005C0CC1" w:rsidP="005C0CC1">
      <w:pPr>
        <w:rPr>
          <w:rFonts w:ascii="Arial" w:hAnsi="Arial" w:cs="Arial"/>
          <w:b/>
          <w:bCs/>
        </w:rPr>
      </w:pPr>
      <w:r w:rsidRPr="00F37407">
        <w:rPr>
          <w:rFonts w:ascii="Arial" w:hAnsi="Arial" w:cs="Arial"/>
          <w:b/>
          <w:bCs/>
        </w:rPr>
        <w:t xml:space="preserve">Impact on </w:t>
      </w:r>
      <w:r w:rsidR="00F37407" w:rsidRPr="00F37407">
        <w:rPr>
          <w:rFonts w:ascii="Arial" w:hAnsi="Arial" w:cs="Arial"/>
          <w:b/>
          <w:bCs/>
        </w:rPr>
        <w:t>project performance</w:t>
      </w:r>
    </w:p>
    <w:p w14:paraId="600F52A8" w14:textId="77777777" w:rsidR="00F37407" w:rsidRDefault="00F37407" w:rsidP="005C0CC1">
      <w:pPr>
        <w:rPr>
          <w:rFonts w:ascii="Arial" w:hAnsi="Arial" w:cs="Arial"/>
          <w:b/>
          <w:bCs/>
        </w:rPr>
      </w:pPr>
    </w:p>
    <w:p w14:paraId="5AF6D136" w14:textId="77777777" w:rsidR="00325A2C" w:rsidRPr="00325A2C" w:rsidRDefault="00325A2C" w:rsidP="00325A2C">
      <w:pPr>
        <w:rPr>
          <w:rFonts w:ascii="Arial" w:hAnsi="Arial" w:cs="Arial"/>
        </w:rPr>
      </w:pPr>
      <w:r w:rsidRPr="00325A2C">
        <w:rPr>
          <w:rFonts w:ascii="Arial" w:hAnsi="Arial" w:cs="Arial"/>
        </w:rPr>
        <w:t xml:space="preserve">Effective stakeholder engagement directly contributes to substantially improved project performance, enhanced outcomes, and increased organizational success across multiple dimensions. The Project Management Institute (PMI, 2021) explicitly identifies comprehensive stakeholder engagement as </w:t>
      </w:r>
      <w:proofErr w:type="gramStart"/>
      <w:r w:rsidRPr="00325A2C">
        <w:rPr>
          <w:rFonts w:ascii="Arial" w:hAnsi="Arial" w:cs="Arial"/>
        </w:rPr>
        <w:t>absolutely critical</w:t>
      </w:r>
      <w:proofErr w:type="gramEnd"/>
      <w:r w:rsidRPr="00325A2C">
        <w:rPr>
          <w:rFonts w:ascii="Arial" w:hAnsi="Arial" w:cs="Arial"/>
        </w:rPr>
        <w:t xml:space="preserve"> and fundamental for ensuring strict adherence to project timelines and milestones, significantly reducing costly rework and iteration cycles, minimizing scope creep, and dramatically improving requirement clarity, specificity, and alignment with stakeholder needs and expectations. Huma Therapeutics benefits substantially from exceptionally high levels of specialized technical input from engineering teams, rigorous clinical validation from healthcare professionals and research institutions, and comprehensive regulatory expertise from compliance specialists and government agencies—each of these critical success factors is significantly enhanced, strengthened, and optimized through early, proactive, and consistent stakeholder engagement throughout all project phases from initial conception through final implementation and post-launch evaluation.</w:t>
      </w:r>
    </w:p>
    <w:p w14:paraId="49C4F289" w14:textId="73E07A9C" w:rsidR="00325A2C" w:rsidRPr="00325A2C" w:rsidRDefault="00325A2C" w:rsidP="00325A2C">
      <w:pPr>
        <w:rPr>
          <w:rFonts w:ascii="Arial" w:hAnsi="Arial" w:cs="Arial"/>
        </w:rPr>
      </w:pPr>
      <w:r w:rsidRPr="00325A2C">
        <w:rPr>
          <w:rFonts w:ascii="Arial" w:hAnsi="Arial" w:cs="Arial"/>
        </w:rPr>
        <w:t xml:space="preserve">Engaging the engineering and data-science teams early in the product development lifecycle ensures that all product requirements, functional specifications, and technical features are thoroughly vetted for technical feasibility, resource availability, and practical implementation constraints, thereby significantly reducing the likelihood of </w:t>
      </w:r>
      <w:r>
        <w:rPr>
          <w:rFonts w:ascii="Arial" w:hAnsi="Arial" w:cs="Arial"/>
        </w:rPr>
        <w:t>significant</w:t>
      </w:r>
      <w:r w:rsidRPr="00325A2C">
        <w:rPr>
          <w:rFonts w:ascii="Arial" w:hAnsi="Arial" w:cs="Arial"/>
        </w:rPr>
        <w:t xml:space="preserve">, costly, and time-consuming redesigns </w:t>
      </w:r>
      <w:r>
        <w:rPr>
          <w:rFonts w:ascii="Arial" w:hAnsi="Arial" w:cs="Arial"/>
        </w:rPr>
        <w:t>later in development</w:t>
      </w:r>
      <w:r w:rsidRPr="00325A2C">
        <w:rPr>
          <w:rFonts w:ascii="Arial" w:hAnsi="Arial" w:cs="Arial"/>
        </w:rPr>
        <w:t>. Proactive</w:t>
      </w:r>
      <w:r>
        <w:rPr>
          <w:rFonts w:ascii="Arial" w:hAnsi="Arial" w:cs="Arial"/>
        </w:rPr>
        <w:t>, transparent engagement with regulatory bodies and compliance authorities early in the development process helps substantially reduce compliance risks, identify potential regulatory obstacles, address documentation requirements, and strategically avoid last-minute delays, costly</w:t>
      </w:r>
      <w:r w:rsidRPr="00325A2C">
        <w:rPr>
          <w:rFonts w:ascii="Arial" w:hAnsi="Arial" w:cs="Arial"/>
        </w:rPr>
        <w:t xml:space="preserve"> modifications, or regulatory rejections that could derail product launches. Strategic collaboration with NHS partners, clinical practitioners, and healthcare system administrators helps rigorously </w:t>
      </w:r>
      <w:r w:rsidRPr="00325A2C">
        <w:rPr>
          <w:rFonts w:ascii="Arial" w:hAnsi="Arial" w:cs="Arial"/>
        </w:rPr>
        <w:lastRenderedPageBreak/>
        <w:t>validate product reliability, clinical effectiveness, user experience, and real-world applicability in diverse healthcare settings, thereby enabling faster regulatory approval processes, accelerated market entry, stronger evidence-based product positioning, enhanced credibility with healthcare stakeholders, and ultimately greater commercial success and positive patient outcomes.</w:t>
      </w:r>
    </w:p>
    <w:p w14:paraId="0A31019F" w14:textId="77777777" w:rsidR="00F37407" w:rsidRPr="00F37407" w:rsidRDefault="00F37407" w:rsidP="005C0CC1">
      <w:pPr>
        <w:rPr>
          <w:rFonts w:ascii="Arial" w:hAnsi="Arial" w:cs="Arial"/>
          <w:b/>
          <w:bCs/>
        </w:rPr>
      </w:pPr>
    </w:p>
    <w:p w14:paraId="50762578" w14:textId="77777777" w:rsidR="00F34741" w:rsidRPr="00561617" w:rsidRDefault="00F34741" w:rsidP="00561617">
      <w:pPr>
        <w:rPr>
          <w:rFonts w:ascii="Arial" w:hAnsi="Arial" w:cs="Arial"/>
        </w:rPr>
      </w:pPr>
    </w:p>
    <w:p w14:paraId="3142A52E" w14:textId="6E4FCDA5" w:rsidR="00C54B6A" w:rsidRPr="008958D0" w:rsidRDefault="0056650E" w:rsidP="008958D0">
      <w:pPr>
        <w:rPr>
          <w:rFonts w:ascii="Arial" w:hAnsi="Arial" w:cs="Arial"/>
          <w:b/>
          <w:bCs/>
        </w:rPr>
      </w:pPr>
      <w:r w:rsidRPr="0056650E">
        <w:rPr>
          <w:rFonts w:ascii="Arial" w:hAnsi="Arial" w:cs="Arial"/>
          <w:b/>
          <w:bCs/>
        </w:rPr>
        <w:t>Impact on operational performance</w:t>
      </w:r>
    </w:p>
    <w:p w14:paraId="44DCEDD3" w14:textId="77777777" w:rsidR="008958D0" w:rsidRPr="006E42A8" w:rsidRDefault="008958D0" w:rsidP="006E42A8">
      <w:pPr>
        <w:rPr>
          <w:rFonts w:ascii="Arial" w:hAnsi="Arial" w:cs="Arial"/>
        </w:rPr>
      </w:pPr>
    </w:p>
    <w:p w14:paraId="41E478ED" w14:textId="3E7ECB77" w:rsidR="005942DA" w:rsidRPr="005942DA" w:rsidRDefault="005942DA" w:rsidP="005942DA">
      <w:pPr>
        <w:rPr>
          <w:rFonts w:ascii="Arial" w:hAnsi="Arial" w:cs="Arial"/>
        </w:rPr>
      </w:pPr>
      <w:r w:rsidRPr="005942DA">
        <w:rPr>
          <w:rFonts w:ascii="Arial" w:hAnsi="Arial" w:cs="Arial"/>
        </w:rPr>
        <w:t xml:space="preserve">Strong, systematic, and strategically implemented stakeholder engagement significantly and measurably improves operational efficiency and </w:t>
      </w:r>
      <w:r>
        <w:rPr>
          <w:rFonts w:ascii="Arial" w:hAnsi="Arial" w:cs="Arial"/>
        </w:rPr>
        <w:t>organisational effectiveness through multiple interconnected mechanisms,</w:t>
      </w:r>
      <w:r w:rsidRPr="005942DA">
        <w:rPr>
          <w:rFonts w:ascii="Arial" w:hAnsi="Arial" w:cs="Arial"/>
        </w:rPr>
        <w:t xml:space="preserve"> including </w:t>
      </w:r>
      <w:r w:rsidR="00721782">
        <w:rPr>
          <w:rFonts w:ascii="Arial" w:hAnsi="Arial" w:cs="Arial"/>
        </w:rPr>
        <w:t>more explicit</w:t>
      </w:r>
      <w:r w:rsidRPr="005942DA">
        <w:rPr>
          <w:rFonts w:ascii="Arial" w:hAnsi="Arial" w:cs="Arial"/>
        </w:rPr>
        <w:t xml:space="preserve"> role definitions and accountability structures, smoother and more streamlined workflows and business processes, enhanced cross-functional coordination, and substantially reduced ambiguity, confusion, and miscommunication across teams and departments. According to comprehensive research conducted by McKinsey &amp; Company (2022), supply-chain resilience, reliability, and responsiveness in the complex and rapidly evolving health-tech sector is dramatically and substantially improved when manufacturers, suppliers, logistics providers, and internal procurement teams engage in continuous, transparent, bidirectional communication, share real-time information about capacity constraints and potential disruptions, collaboratively solve emerging problems, and maintain strong, trust-based relationships throughout all phases of product development, manufacturing, and distribution.</w:t>
      </w:r>
    </w:p>
    <w:p w14:paraId="74FFEB5E" w14:textId="4641F4D2" w:rsidR="005942DA" w:rsidRDefault="005942DA" w:rsidP="005942DA">
      <w:pPr>
        <w:rPr>
          <w:rFonts w:ascii="Arial" w:hAnsi="Arial" w:cs="Arial"/>
        </w:rPr>
      </w:pPr>
      <w:r w:rsidRPr="005942DA">
        <w:rPr>
          <w:rFonts w:ascii="Arial" w:hAnsi="Arial" w:cs="Arial"/>
        </w:rPr>
        <w:t xml:space="preserve">For Huma Therapeutics specifically, </w:t>
      </w:r>
      <w:r>
        <w:rPr>
          <w:rFonts w:ascii="Arial" w:hAnsi="Arial" w:cs="Arial"/>
        </w:rPr>
        <w:t>practical</w:t>
      </w:r>
      <w:r w:rsidRPr="005942DA">
        <w:rPr>
          <w:rFonts w:ascii="Arial" w:hAnsi="Arial" w:cs="Arial"/>
        </w:rPr>
        <w:t xml:space="preserve">, well-structured, and strategically </w:t>
      </w:r>
      <w:r>
        <w:rPr>
          <w:rFonts w:ascii="Arial" w:hAnsi="Arial" w:cs="Arial"/>
        </w:rPr>
        <w:t>prioritised</w:t>
      </w:r>
      <w:r w:rsidRPr="005942DA">
        <w:rPr>
          <w:rFonts w:ascii="Arial" w:hAnsi="Arial" w:cs="Arial"/>
        </w:rPr>
        <w:t xml:space="preserve"> stakeholder engagement across all key internal and external stakeholder groups leads to numerous </w:t>
      </w:r>
      <w:proofErr w:type="gramStart"/>
      <w:r w:rsidRPr="005942DA">
        <w:rPr>
          <w:rFonts w:ascii="Arial" w:hAnsi="Arial" w:cs="Arial"/>
        </w:rPr>
        <w:t>tangible</w:t>
      </w:r>
      <w:proofErr w:type="gramEnd"/>
      <w:r w:rsidRPr="005942DA">
        <w:rPr>
          <w:rFonts w:ascii="Arial" w:hAnsi="Arial" w:cs="Arial"/>
        </w:rPr>
        <w:t>, measurable, and strategically significant benefits and competitive advantages</w:t>
      </w:r>
      <w:r>
        <w:rPr>
          <w:rFonts w:ascii="Arial" w:hAnsi="Arial" w:cs="Arial"/>
        </w:rPr>
        <w:t>,</w:t>
      </w:r>
      <w:r w:rsidRPr="005942DA">
        <w:rPr>
          <w:rFonts w:ascii="Arial" w:hAnsi="Arial" w:cs="Arial"/>
        </w:rPr>
        <w:t xml:space="preserve"> including:</w:t>
      </w:r>
    </w:p>
    <w:p w14:paraId="1AACE822" w14:textId="56324E92" w:rsidR="00721782" w:rsidRPr="00721782" w:rsidRDefault="00721782" w:rsidP="00721782">
      <w:pPr>
        <w:pStyle w:val="ListParagraph"/>
        <w:numPr>
          <w:ilvl w:val="0"/>
          <w:numId w:val="17"/>
        </w:numPr>
        <w:rPr>
          <w:rFonts w:ascii="Arial" w:hAnsi="Arial" w:cs="Arial"/>
        </w:rPr>
      </w:pPr>
      <w:r w:rsidRPr="00721782">
        <w:rPr>
          <w:rFonts w:ascii="Arial" w:hAnsi="Arial" w:cs="Arial"/>
        </w:rPr>
        <w:t>Reduced</w:t>
      </w:r>
      <w:r w:rsidRPr="00721782">
        <w:rPr>
          <w:rFonts w:ascii="Arial" w:hAnsi="Arial" w:cs="Arial"/>
        </w:rPr>
        <w:t xml:space="preserve"> supply-chain risk due to proactive collaboration with manufacturers</w:t>
      </w:r>
    </w:p>
    <w:p w14:paraId="7652316C" w14:textId="6F70E58E" w:rsidR="00721782" w:rsidRPr="00721782" w:rsidRDefault="00721782" w:rsidP="00721782">
      <w:pPr>
        <w:pStyle w:val="ListParagraph"/>
        <w:numPr>
          <w:ilvl w:val="0"/>
          <w:numId w:val="17"/>
        </w:numPr>
        <w:rPr>
          <w:rFonts w:ascii="Arial" w:hAnsi="Arial" w:cs="Arial"/>
        </w:rPr>
      </w:pPr>
      <w:r w:rsidRPr="00721782">
        <w:rPr>
          <w:rFonts w:ascii="Arial" w:hAnsi="Arial" w:cs="Arial"/>
        </w:rPr>
        <w:t>Faster</w:t>
      </w:r>
      <w:r w:rsidRPr="00721782">
        <w:rPr>
          <w:rFonts w:ascii="Arial" w:hAnsi="Arial" w:cs="Arial"/>
        </w:rPr>
        <w:t xml:space="preserve"> development cycles through improved coordination between engineering and clinical teams</w:t>
      </w:r>
    </w:p>
    <w:p w14:paraId="4A3EEA9A" w14:textId="7235F72F" w:rsidR="00721782" w:rsidRPr="00721782" w:rsidRDefault="00721782" w:rsidP="00721782">
      <w:pPr>
        <w:pStyle w:val="ListParagraph"/>
        <w:numPr>
          <w:ilvl w:val="0"/>
          <w:numId w:val="17"/>
        </w:numPr>
        <w:rPr>
          <w:rFonts w:ascii="Arial" w:hAnsi="Arial" w:cs="Arial"/>
        </w:rPr>
      </w:pPr>
      <w:r w:rsidRPr="00721782">
        <w:rPr>
          <w:rFonts w:ascii="Arial" w:hAnsi="Arial" w:cs="Arial"/>
        </w:rPr>
        <w:t>Lower</w:t>
      </w:r>
      <w:r w:rsidRPr="00721782">
        <w:rPr>
          <w:rFonts w:ascii="Arial" w:hAnsi="Arial" w:cs="Arial"/>
        </w:rPr>
        <w:t xml:space="preserve"> operational costs due to reduced rework</w:t>
      </w:r>
    </w:p>
    <w:p w14:paraId="786E216E" w14:textId="77777777" w:rsidR="00721782" w:rsidRPr="005942DA" w:rsidRDefault="00721782" w:rsidP="005942DA">
      <w:pPr>
        <w:rPr>
          <w:rFonts w:ascii="Arial" w:hAnsi="Arial" w:cs="Arial"/>
        </w:rPr>
      </w:pPr>
    </w:p>
    <w:p w14:paraId="15D2A67E" w14:textId="77777777" w:rsidR="001B286B" w:rsidRDefault="001B286B" w:rsidP="00E9075E">
      <w:pPr>
        <w:rPr>
          <w:rFonts w:ascii="Arial" w:hAnsi="Arial" w:cs="Arial"/>
        </w:rPr>
      </w:pPr>
    </w:p>
    <w:p w14:paraId="2223422D" w14:textId="727B4D76" w:rsidR="00721782" w:rsidRPr="00AB6F37" w:rsidRDefault="00AB6F37" w:rsidP="00E9075E">
      <w:pPr>
        <w:rPr>
          <w:rFonts w:ascii="Arial" w:hAnsi="Arial" w:cs="Arial"/>
          <w:b/>
          <w:bCs/>
        </w:rPr>
      </w:pPr>
      <w:r w:rsidRPr="00AB6F37">
        <w:rPr>
          <w:rFonts w:ascii="Arial" w:hAnsi="Arial" w:cs="Arial"/>
          <w:b/>
          <w:bCs/>
        </w:rPr>
        <w:t>Impact on market performance</w:t>
      </w:r>
    </w:p>
    <w:p w14:paraId="6072F0BC" w14:textId="77777777" w:rsidR="00AB6F37" w:rsidRDefault="00AB6F37" w:rsidP="00E9075E">
      <w:pPr>
        <w:rPr>
          <w:rFonts w:ascii="Arial" w:hAnsi="Arial" w:cs="Arial"/>
        </w:rPr>
      </w:pPr>
    </w:p>
    <w:p w14:paraId="0F4BB5B4" w14:textId="77777777" w:rsidR="00556FBB" w:rsidRPr="00556FBB" w:rsidRDefault="00556FBB" w:rsidP="00556FBB">
      <w:pPr>
        <w:rPr>
          <w:rFonts w:ascii="Arial" w:hAnsi="Arial" w:cs="Arial"/>
        </w:rPr>
      </w:pPr>
      <w:r w:rsidRPr="00556FBB">
        <w:rPr>
          <w:rFonts w:ascii="Arial" w:hAnsi="Arial" w:cs="Arial"/>
        </w:rPr>
        <w:t xml:space="preserve">Comprehensive and strategic stakeholder engagement also significantly and measurably improves Huma Therapeutics’ overall market performance, competitive positioning, brand reputation, and commercial success across diverse healthcare markets and customer segments. By involving marketing specialists, brand strategists, market research analysts, and customer insights teams early in the product development process and throughout all critical decision-making phases, the wearable device and its associated digital health platform can be positioned accurately, compellingly, and strategically for its precisely defined target audience, including healthcare providers, patients, insurance companies, and healthcare system administrators. Meaningful consumer engagement through comprehensive beta-testing programs, user experience research, focus groups, iterative </w:t>
      </w:r>
      <w:r w:rsidRPr="00556FBB">
        <w:rPr>
          <w:rFonts w:ascii="Arial" w:hAnsi="Arial" w:cs="Arial"/>
        </w:rPr>
        <w:lastRenderedPageBreak/>
        <w:t>feedback sessions, and real-world pilot implementations substantially increases product usability, user satisfaction, feature relevance, accessibility, and overall value proposition, ultimately leading to dramatically improved adoption rates, higher customer retention, stronger word-of-mouth recommendations, enhanced market penetration, and sustained competitive advantage in the rapidly growing digital health marketplace (Deloitte, 2022).</w:t>
      </w:r>
    </w:p>
    <w:p w14:paraId="66868372" w14:textId="77777777" w:rsidR="00556FBB" w:rsidRPr="00556FBB" w:rsidRDefault="00556FBB" w:rsidP="00556FBB">
      <w:pPr>
        <w:rPr>
          <w:rFonts w:ascii="Arial" w:hAnsi="Arial" w:cs="Arial"/>
        </w:rPr>
      </w:pPr>
      <w:r w:rsidRPr="00556FBB">
        <w:rPr>
          <w:rFonts w:ascii="Arial" w:hAnsi="Arial" w:cs="Arial"/>
        </w:rPr>
        <w:t>Strategic healthcare partnerships with hospital networks, primary care providers, specialist clinics, and comprehensive insurance partnerships with major payers, health maintenance organizations, and government healthcare programs provide valuable new distribution channels, expanded market access, increased customer reach, and significantly enhance organizational trust, brand credibility, and market legitimacy among both healthcare professionals and end-user patients. Rigorous regulatory compliance achieved through strong, transparent, proactive engagement with regulatory authorities including the MHRA, FDA, CE marking bodies, and other international healthcare regulators substantially increases organizational credibility, demonstrates commitment to patient safety and data security, builds confidence among clinical stakeholders and institutional buyers, effectively mitigates legal and financial risk, reduces liability exposure, prevents costly regulatory violations and penalties, and creates sustainable competitive advantages through proven compliance track records and established regulatory relationships that facilitate faster approval processes for future product innovations and market expansions</w:t>
      </w:r>
    </w:p>
    <w:p w14:paraId="399B7CBA" w14:textId="77777777" w:rsidR="00AB6F37" w:rsidRDefault="00AB6F37" w:rsidP="00E9075E">
      <w:pPr>
        <w:rPr>
          <w:rFonts w:ascii="Arial" w:hAnsi="Arial" w:cs="Arial"/>
        </w:rPr>
      </w:pPr>
    </w:p>
    <w:p w14:paraId="07605F09" w14:textId="6A2352D5" w:rsidR="00F85AF0" w:rsidRDefault="00F85AF0" w:rsidP="00E9075E">
      <w:pPr>
        <w:rPr>
          <w:rFonts w:ascii="Arial" w:hAnsi="Arial" w:cs="Arial"/>
          <w:b/>
          <w:bCs/>
        </w:rPr>
      </w:pPr>
      <w:r w:rsidRPr="00F85AF0">
        <w:rPr>
          <w:rFonts w:ascii="Arial" w:hAnsi="Arial" w:cs="Arial"/>
          <w:b/>
          <w:bCs/>
        </w:rPr>
        <w:t xml:space="preserve">Recommendations for the </w:t>
      </w:r>
      <w:proofErr w:type="spellStart"/>
      <w:r w:rsidRPr="00F85AF0">
        <w:rPr>
          <w:rFonts w:ascii="Arial" w:hAnsi="Arial" w:cs="Arial"/>
          <w:b/>
          <w:bCs/>
        </w:rPr>
        <w:t>futurestakeholder</w:t>
      </w:r>
      <w:proofErr w:type="spellEnd"/>
      <w:r w:rsidRPr="00F85AF0">
        <w:rPr>
          <w:rFonts w:ascii="Arial" w:hAnsi="Arial" w:cs="Arial"/>
          <w:b/>
          <w:bCs/>
        </w:rPr>
        <w:t xml:space="preserve"> engagement</w:t>
      </w:r>
    </w:p>
    <w:p w14:paraId="3BBBB0E4" w14:textId="77777777" w:rsidR="00F85AF0" w:rsidRDefault="00F85AF0" w:rsidP="00E9075E">
      <w:pPr>
        <w:rPr>
          <w:rFonts w:ascii="Arial" w:hAnsi="Arial" w:cs="Arial"/>
          <w:b/>
          <w:bCs/>
        </w:rPr>
      </w:pPr>
    </w:p>
    <w:p w14:paraId="158E61C1" w14:textId="19D92999" w:rsidR="00810A3B" w:rsidRPr="00BB4329" w:rsidRDefault="00BB4329" w:rsidP="00BB4329">
      <w:pPr>
        <w:rPr>
          <w:rFonts w:ascii="Arial" w:hAnsi="Arial" w:cs="Arial"/>
          <w:b/>
          <w:bCs/>
        </w:rPr>
      </w:pPr>
      <w:r w:rsidRPr="00BB4329">
        <w:rPr>
          <w:rFonts w:ascii="Arial" w:hAnsi="Arial" w:cs="Arial"/>
          <w:b/>
          <w:bCs/>
        </w:rPr>
        <w:t>1.</w:t>
      </w:r>
      <w:r>
        <w:rPr>
          <w:rFonts w:ascii="Arial" w:hAnsi="Arial" w:cs="Arial"/>
          <w:b/>
          <w:bCs/>
        </w:rPr>
        <w:t xml:space="preserve"> </w:t>
      </w:r>
      <w:r w:rsidR="00810A3B" w:rsidRPr="00BB4329">
        <w:rPr>
          <w:rFonts w:ascii="Arial" w:hAnsi="Arial" w:cs="Arial"/>
          <w:b/>
          <w:bCs/>
        </w:rPr>
        <w:t>Establish, implement, and institutionalize a comprehensive, formal, and strategically designed Stakeholder Governance Framework with clear policies, procedures, accountability structures, and decision-making protocols</w:t>
      </w:r>
    </w:p>
    <w:p w14:paraId="1248DF97" w14:textId="77777777" w:rsidR="00810A3B" w:rsidRPr="00810A3B" w:rsidRDefault="00810A3B" w:rsidP="00810A3B">
      <w:pPr>
        <w:rPr>
          <w:rFonts w:ascii="Arial" w:hAnsi="Arial" w:cs="Arial"/>
        </w:rPr>
      </w:pPr>
      <w:r w:rsidRPr="00810A3B">
        <w:rPr>
          <w:rFonts w:ascii="Arial" w:hAnsi="Arial" w:cs="Arial"/>
        </w:rPr>
        <w:t xml:space="preserve">A well-designed, systematically implemented, and rigorously maintained structured governance model will substantially and measurably improve engagement consistency, quality, effectiveness, and strategic alignment across all future product development projects, organizational initiatives, and cross-functional collaborations, ensuring that stakeholder input is systematically captured, </w:t>
      </w:r>
      <w:proofErr w:type="spellStart"/>
      <w:r w:rsidRPr="00810A3B">
        <w:rPr>
          <w:rFonts w:ascii="Arial" w:hAnsi="Arial" w:cs="Arial"/>
        </w:rPr>
        <w:t>analyzed</w:t>
      </w:r>
      <w:proofErr w:type="spellEnd"/>
      <w:r w:rsidRPr="00810A3B">
        <w:rPr>
          <w:rFonts w:ascii="Arial" w:hAnsi="Arial" w:cs="Arial"/>
        </w:rPr>
        <w:t>, prioritized, and integrated into decision-making processes at appropriate stages throughout project lifecycles.</w:t>
      </w:r>
    </w:p>
    <w:p w14:paraId="10B6595C" w14:textId="79212217" w:rsidR="00810A3B" w:rsidRPr="00810A3B" w:rsidRDefault="00810A3B" w:rsidP="00810A3B">
      <w:pPr>
        <w:rPr>
          <w:rFonts w:ascii="Arial" w:hAnsi="Arial" w:cs="Arial"/>
          <w:b/>
          <w:bCs/>
        </w:rPr>
      </w:pPr>
      <w:r w:rsidRPr="00810A3B">
        <w:rPr>
          <w:rFonts w:ascii="Arial" w:hAnsi="Arial" w:cs="Arial"/>
          <w:b/>
          <w:bCs/>
        </w:rPr>
        <w:t>2. Integrate sophisticated, advanced, real-</w:t>
      </w:r>
      <w:proofErr w:type="spellStart"/>
      <w:r w:rsidRPr="00810A3B">
        <w:rPr>
          <w:rFonts w:ascii="Arial" w:hAnsi="Arial" w:cs="Arial"/>
          <w:b/>
          <w:bCs/>
        </w:rPr>
        <w:t>timReal</w:t>
      </w:r>
      <w:proofErr w:type="spellEnd"/>
      <w:r w:rsidRPr="00810A3B">
        <w:rPr>
          <w:rFonts w:ascii="Arial" w:hAnsi="Arial" w:cs="Arial"/>
          <w:b/>
          <w:bCs/>
        </w:rPr>
        <w:t>-time stakeholder sentiment analysis using natural language processing, automated progress tracking with key performance indicators, predictive analytics for risk identification, and comprehensive engagement metrics monitoring can dramatically and measurably improve decision-making quality, speed, accuracy, and strategic alignment while enabling proactive issue resolution, early identification of stakeholder concerns, data-informed resource allocation, and evidence-based strategy adjustments throughout all phases of product development and organizational change initiatives (Accenture, 2023)</w:t>
      </w:r>
      <w:r w:rsidR="00BB4329">
        <w:rPr>
          <w:rFonts w:ascii="Arial" w:hAnsi="Arial" w:cs="Arial"/>
          <w:b/>
          <w:bCs/>
        </w:rPr>
        <w:t>.</w:t>
      </w:r>
    </w:p>
    <w:p w14:paraId="3E8EC60F" w14:textId="77777777" w:rsidR="00810A3B" w:rsidRPr="00810A3B" w:rsidRDefault="00810A3B" w:rsidP="00810A3B">
      <w:pPr>
        <w:rPr>
          <w:rFonts w:ascii="Arial" w:hAnsi="Arial" w:cs="Arial"/>
        </w:rPr>
      </w:pPr>
      <w:r w:rsidRPr="00810A3B">
        <w:rPr>
          <w:rFonts w:ascii="Arial" w:hAnsi="Arial" w:cs="Arial"/>
        </w:rPr>
        <w:t>Real-time stakeholder sentiment analysis and progress tracking can improve decision-making (Accenture, 2023).</w:t>
      </w:r>
    </w:p>
    <w:p w14:paraId="06510AAA" w14:textId="77777777" w:rsidR="00810A3B" w:rsidRPr="00810A3B" w:rsidRDefault="00810A3B" w:rsidP="00810A3B">
      <w:pPr>
        <w:rPr>
          <w:rFonts w:ascii="Arial" w:hAnsi="Arial" w:cs="Arial"/>
          <w:b/>
          <w:bCs/>
        </w:rPr>
      </w:pPr>
      <w:r w:rsidRPr="00810A3B">
        <w:rPr>
          <w:rFonts w:ascii="Arial" w:hAnsi="Arial" w:cs="Arial"/>
          <w:b/>
          <w:bCs/>
        </w:rPr>
        <w:t>3. Strategically strengthen, deepen, expand, and formalize NHS partnerships, clinical research collaborations, and relationships with healthcare providers across primary, secondary, and tertiary care settings</w:t>
      </w:r>
    </w:p>
    <w:p w14:paraId="6E12CDBC" w14:textId="77777777" w:rsidR="00810A3B" w:rsidRPr="00810A3B" w:rsidRDefault="00810A3B" w:rsidP="00810A3B">
      <w:pPr>
        <w:rPr>
          <w:rFonts w:ascii="Arial" w:hAnsi="Arial" w:cs="Arial"/>
        </w:rPr>
      </w:pPr>
      <w:r w:rsidRPr="00810A3B">
        <w:rPr>
          <w:rFonts w:ascii="Arial" w:hAnsi="Arial" w:cs="Arial"/>
        </w:rPr>
        <w:lastRenderedPageBreak/>
        <w:t xml:space="preserve">Further systematic, structured, and outcome-focused collaboration with NHS trusts, academic medical </w:t>
      </w:r>
      <w:proofErr w:type="spellStart"/>
      <w:r w:rsidRPr="00810A3B">
        <w:rPr>
          <w:rFonts w:ascii="Arial" w:hAnsi="Arial" w:cs="Arial"/>
        </w:rPr>
        <w:t>centers</w:t>
      </w:r>
      <w:proofErr w:type="spellEnd"/>
      <w:r w:rsidRPr="00810A3B">
        <w:rPr>
          <w:rFonts w:ascii="Arial" w:hAnsi="Arial" w:cs="Arial"/>
        </w:rPr>
        <w:t>, clinical research networks, and frontline healthcare professionals will substantially enhance clinical relevance, real-world applicability, evidence-based validation through peer-reviewed research, regulatory credibility, healthcare professional acceptance, patient safety assurance, and ultimately commercial viability and market adoption across diverse healthcare settings and patient populations.</w:t>
      </w:r>
    </w:p>
    <w:p w14:paraId="626B850E" w14:textId="77777777" w:rsidR="00810A3B" w:rsidRPr="00810A3B" w:rsidRDefault="00810A3B" w:rsidP="00810A3B">
      <w:pPr>
        <w:rPr>
          <w:rFonts w:ascii="Arial" w:hAnsi="Arial" w:cs="Arial"/>
          <w:b/>
          <w:bCs/>
        </w:rPr>
      </w:pPr>
      <w:r w:rsidRPr="00810A3B">
        <w:rPr>
          <w:rFonts w:ascii="Arial" w:hAnsi="Arial" w:cs="Arial"/>
          <w:b/>
          <w:bCs/>
        </w:rPr>
        <w:t>4. Develop, launch, and actively maintain a comprehensive, user-friendly internal “knowledge-sharing portal” and collaborative digital platform with document management, searchable databases, and communication tools</w:t>
      </w:r>
    </w:p>
    <w:p w14:paraId="51DC4952" w14:textId="5C3500F4" w:rsidR="00810A3B" w:rsidRPr="00810A3B" w:rsidRDefault="00810A3B" w:rsidP="00810A3B">
      <w:pPr>
        <w:rPr>
          <w:rFonts w:ascii="Arial" w:hAnsi="Arial" w:cs="Arial"/>
          <w:b/>
          <w:bCs/>
        </w:rPr>
      </w:pPr>
      <w:r w:rsidRPr="00810A3B">
        <w:rPr>
          <w:rFonts w:ascii="Arial" w:hAnsi="Arial" w:cs="Arial"/>
        </w:rPr>
        <w:t>To systematically reduce organizational communication silos, eliminate information bottlenecks, break down departmental barriers, facilitate seamless knowledge transfer across functional boundaries, improve cross-team collaboration and coordination, enhance organizational learning and innovation, accelerate problem-solving capabilities, reduce duplication of effort, promote best practice sharing, and create a more cohesive, informed, and strategically aligned organizational culture that leverages collective expertise and institutional knowledge</w:t>
      </w:r>
      <w:r w:rsidR="00F357CA" w:rsidRPr="00F357CA">
        <w:rPr>
          <w:rFonts w:ascii="Arial" w:hAnsi="Arial" w:cs="Arial"/>
        </w:rPr>
        <w:t>.</w:t>
      </w:r>
    </w:p>
    <w:p w14:paraId="0AF5A376" w14:textId="77777777" w:rsidR="00810A3B" w:rsidRPr="00810A3B" w:rsidRDefault="00810A3B" w:rsidP="00810A3B">
      <w:pPr>
        <w:rPr>
          <w:rFonts w:ascii="Arial" w:hAnsi="Arial" w:cs="Arial"/>
          <w:b/>
          <w:bCs/>
        </w:rPr>
      </w:pPr>
      <w:r w:rsidRPr="00810A3B">
        <w:rPr>
          <w:rFonts w:ascii="Arial" w:hAnsi="Arial" w:cs="Arial"/>
          <w:b/>
          <w:bCs/>
        </w:rPr>
        <w:t>5. Strategically expand, diversify, and deepen consumer engagement through vibrant, well-moderated digital communities, online platforms, social media channels, and interactive engagement mechanisms</w:t>
      </w:r>
    </w:p>
    <w:p w14:paraId="0C8CA316" w14:textId="77777777" w:rsidR="00810A3B" w:rsidRPr="00810A3B" w:rsidRDefault="00810A3B" w:rsidP="00810A3B">
      <w:pPr>
        <w:rPr>
          <w:rFonts w:ascii="Arial" w:hAnsi="Arial" w:cs="Arial"/>
        </w:rPr>
      </w:pPr>
      <w:r w:rsidRPr="00810A3B">
        <w:rPr>
          <w:rFonts w:ascii="Arial" w:hAnsi="Arial" w:cs="Arial"/>
        </w:rPr>
        <w:t>Diverse user panels with representative patient populations, active online forums and discussion communities, exclusive early-access programmes for new features and products, co-creation workshops, feedback sessions, beta-testing opportunities, and ongoing dialogue mechanisms will substantially strengthen long-term customer loyalty, brand advocacy, user retention, community building, word-of-mouth marketing, product improvement through user insights, and sustainable competitive differentiation based on authentic user relationships and demonstrated commitment to customer-centric innovation.</w:t>
      </w:r>
    </w:p>
    <w:p w14:paraId="0A5945D5" w14:textId="77777777" w:rsidR="00810A3B" w:rsidRPr="00810A3B" w:rsidRDefault="00810A3B" w:rsidP="00810A3B">
      <w:pPr>
        <w:rPr>
          <w:rFonts w:ascii="Arial" w:hAnsi="Arial" w:cs="Arial"/>
          <w:b/>
          <w:bCs/>
        </w:rPr>
      </w:pPr>
      <w:r w:rsidRPr="00810A3B">
        <w:rPr>
          <w:rFonts w:ascii="Arial" w:hAnsi="Arial" w:cs="Arial"/>
          <w:b/>
          <w:bCs/>
        </w:rPr>
        <w:t>6. Conduct comprehensive, systematic, and rigorous annual stakeholder engagement reviews, audits, and effectiveness assessments using quantitative metrics and qualitative feedback</w:t>
      </w:r>
    </w:p>
    <w:p w14:paraId="1DD8B0C2" w14:textId="77777777" w:rsidR="00810A3B" w:rsidRDefault="00810A3B" w:rsidP="00810A3B">
      <w:pPr>
        <w:rPr>
          <w:rFonts w:ascii="Arial" w:hAnsi="Arial" w:cs="Arial"/>
        </w:rPr>
      </w:pPr>
      <w:r w:rsidRPr="00810A3B">
        <w:rPr>
          <w:rFonts w:ascii="Arial" w:hAnsi="Arial" w:cs="Arial"/>
        </w:rPr>
        <w:t>To systematically evaluate engagement strategy effectiveness, measure stakeholder satisfaction levels, assess communication quality and frequency, identify specific improvement areas and emerging challenges, benchmark performance against industry best practices and competitors, capture lessons learned from successful and unsuccessful initiatives, generate actionable recommendations for process optimization, ensure continuous improvement and adaptation to evolving stakeholder needs, and demonstrate organizational commitment to stakeholder-centric governance and transparent, accountable relationship management.</w:t>
      </w:r>
    </w:p>
    <w:p w14:paraId="761FE574" w14:textId="77777777" w:rsidR="00BB4329" w:rsidRDefault="00BB4329" w:rsidP="00810A3B">
      <w:pPr>
        <w:rPr>
          <w:rFonts w:ascii="Arial" w:hAnsi="Arial" w:cs="Arial"/>
        </w:rPr>
      </w:pPr>
    </w:p>
    <w:p w14:paraId="5F6F74FF" w14:textId="77777777" w:rsidR="00333E83" w:rsidRDefault="00333E83" w:rsidP="00F95B1C">
      <w:pPr>
        <w:pStyle w:val="Heading1"/>
      </w:pPr>
    </w:p>
    <w:p w14:paraId="57231C1C" w14:textId="77777777" w:rsidR="00333E83" w:rsidRDefault="00333E83" w:rsidP="00F95B1C">
      <w:pPr>
        <w:pStyle w:val="Heading1"/>
      </w:pPr>
    </w:p>
    <w:p w14:paraId="78298183" w14:textId="51E8481B" w:rsidR="00F95B1C" w:rsidRDefault="00F95B1C" w:rsidP="00F95B1C">
      <w:pPr>
        <w:pStyle w:val="Heading1"/>
      </w:pPr>
      <w:bookmarkStart w:id="9" w:name="_Toc217020554"/>
      <w:r w:rsidRPr="00F95B1C">
        <w:t>Conclusion</w:t>
      </w:r>
      <w:bookmarkEnd w:id="9"/>
    </w:p>
    <w:p w14:paraId="315DA71C" w14:textId="77777777" w:rsidR="00333E83" w:rsidRDefault="00333E83" w:rsidP="00333E83"/>
    <w:p w14:paraId="77B7D923" w14:textId="77777777" w:rsidR="00C56F41" w:rsidRPr="00333E83" w:rsidRDefault="00C56F41" w:rsidP="00333E83"/>
    <w:p w14:paraId="62C0013D" w14:textId="71163E9F" w:rsidR="009C639A" w:rsidRPr="009C639A" w:rsidRDefault="009C639A" w:rsidP="009C639A">
      <w:pPr>
        <w:rPr>
          <w:rFonts w:ascii="Arial" w:hAnsi="Arial" w:cs="Arial"/>
        </w:rPr>
      </w:pPr>
      <w:r w:rsidRPr="009C639A">
        <w:rPr>
          <w:rFonts w:ascii="Arial" w:hAnsi="Arial" w:cs="Arial"/>
        </w:rPr>
        <w:t>Stakeholder</w:t>
      </w:r>
      <w:r w:rsidRPr="009C639A">
        <w:rPr>
          <w:rFonts w:ascii="Arial" w:hAnsi="Arial" w:cs="Arial"/>
        </w:rPr>
        <w:t xml:space="preserve"> engagement is fundamental to the success of Huma Therapeutics’ new wearable health device. As a leading UK digital-health company working in regulated medical environments, Huma relies on the expertise, cooperation and alignment of engineering, clinical, regulatory, commercial and healthcare stakeholders. This report demonstrated how structured engagement using strategic frameworks—such as SWOT, PESTLE, stakeholder matrices, communication plans and the RACI model—supports effective project delivery.</w:t>
      </w:r>
    </w:p>
    <w:p w14:paraId="7AFC6230" w14:textId="77777777" w:rsidR="009C639A" w:rsidRPr="009C639A" w:rsidRDefault="009C639A" w:rsidP="009C639A">
      <w:pPr>
        <w:rPr>
          <w:rFonts w:ascii="Arial" w:hAnsi="Arial" w:cs="Arial"/>
        </w:rPr>
      </w:pPr>
      <w:r w:rsidRPr="009C639A">
        <w:rPr>
          <w:rFonts w:ascii="Arial" w:hAnsi="Arial" w:cs="Arial"/>
        </w:rPr>
        <w:t>Applying the comprehensive and well-established 4Cs model—Communication, Coordination, Cooperation, and Collaboration—systematically strengthens stakeholder engagement effectiveness throughout all phases of the project lifecycle from initial planning through implementation and post-launch evaluation. Strategic communication builds clarity, transparency, and shared understanding among diverse stakeholders. Effective coordination aligns complex workflows, synchronizes activities, and optimizes resource allocation across functional boundaries. Genuine cooperation fosters mutual trust, respect, and commitment to shared objectives. Deep collaboration drives innovation, creative problem-solving, and breakthrough solutions that no single stakeholder group could achieve independently. These interconnected mechanisms also help to proactively identify, address, and constructively manage conflicts and tensions arising between competing technical feasibility constraints, stringent regulatory compliance requirements, and ambitious commercial market priorities.</w:t>
      </w:r>
    </w:p>
    <w:p w14:paraId="3F4FD442" w14:textId="77777777" w:rsidR="009C639A" w:rsidRPr="009C639A" w:rsidRDefault="009C639A" w:rsidP="009C639A">
      <w:pPr>
        <w:rPr>
          <w:rFonts w:ascii="Arial" w:hAnsi="Arial" w:cs="Arial"/>
        </w:rPr>
      </w:pPr>
      <w:r w:rsidRPr="009C639A">
        <w:rPr>
          <w:rFonts w:ascii="Arial" w:hAnsi="Arial" w:cs="Arial"/>
        </w:rPr>
        <w:t>The comprehensive evaluation and analysis presented in this report clearly shows and provides substantial evidence that systematic, well-planned stakeholder engagement significantly enhances multiple critical dimensions of organizational success including project performance metrics, operational efficiency and productivity, regulatory compliance and risk management, and market adoption rates and commercial penetration. When executed effectively with appropriate resources, senior leadership support, and organizational commitment, strategic stakeholder engagement strengthens Huma Therapeutics’ competitive market position, builds sustainable competitive advantages, enhances brand reputation and credibility, and directly supports the company’s ambitious mission to fundamentally transform global healthcare delivery through innovative digital health solutions that improve patient outcomes, reduce healthcare costs, and increase accessibility to quality care.</w:t>
      </w:r>
    </w:p>
    <w:p w14:paraId="748EB586" w14:textId="77777777" w:rsidR="009C639A" w:rsidRPr="009C639A" w:rsidRDefault="009C639A" w:rsidP="009C639A">
      <w:pPr>
        <w:rPr>
          <w:rFonts w:ascii="Arial" w:hAnsi="Arial" w:cs="Arial"/>
        </w:rPr>
      </w:pPr>
      <w:r w:rsidRPr="009C639A">
        <w:rPr>
          <w:rFonts w:ascii="Arial" w:hAnsi="Arial" w:cs="Arial"/>
        </w:rPr>
        <w:t xml:space="preserve">To maintain this positive trajectory of growth, innovation, and market leadership, Huma Therapeutics should strategically prioritize building and nurturing long-term, mutually beneficial partnerships with leading healthcare institutions, hospital networks, academic medical </w:t>
      </w:r>
      <w:proofErr w:type="spellStart"/>
      <w:r w:rsidRPr="009C639A">
        <w:rPr>
          <w:rFonts w:ascii="Arial" w:hAnsi="Arial" w:cs="Arial"/>
        </w:rPr>
        <w:t>centers</w:t>
      </w:r>
      <w:proofErr w:type="spellEnd"/>
      <w:r w:rsidRPr="009C639A">
        <w:rPr>
          <w:rFonts w:ascii="Arial" w:hAnsi="Arial" w:cs="Arial"/>
        </w:rPr>
        <w:t xml:space="preserve">, and primary care organizations. The company should strengthen internal and external communication structures, establish clear governance protocols, and create dedicated stakeholder engagement roles and responsibilities. Additionally, Huma should </w:t>
      </w:r>
      <w:r w:rsidRPr="009C639A">
        <w:rPr>
          <w:rFonts w:ascii="Arial" w:hAnsi="Arial" w:cs="Arial"/>
        </w:rPr>
        <w:lastRenderedPageBreak/>
        <w:t>invest substantially in sophisticated data-driven engagement tools, analytics platforms, and digital collaboration technologies that enable real-time monitoring, sentiment analysis, and evidence-based decision-making. These strategic enhancements and organizational investments will ensure that future product launches and innovation initiatives are maximally efficient, fully compliant with evolving regulatory requirements, and precisely aligned with authentic user needs, preferences, and expectations across diverse healthcare contexts.</w:t>
      </w:r>
    </w:p>
    <w:p w14:paraId="21D6D5CF" w14:textId="77777777" w:rsidR="009C639A" w:rsidRPr="009C639A" w:rsidRDefault="009C639A" w:rsidP="009C639A">
      <w:pPr>
        <w:rPr>
          <w:rFonts w:ascii="Arial" w:hAnsi="Arial" w:cs="Arial"/>
        </w:rPr>
      </w:pPr>
      <w:r w:rsidRPr="009C639A">
        <w:rPr>
          <w:rFonts w:ascii="Arial" w:hAnsi="Arial" w:cs="Arial"/>
        </w:rPr>
        <w:t>In conclusion, stakeholder engagement is not only operationally essential and tactically necessary for this specific wearable device launch and immediate project success—it represents a fundamental strategic asset, core organizational capability, and sustainable competitive advantage that can powerfully support and accelerate Huma Therapeutics’ long-term growth trajectory, market expansion, innovation capacity, and continued leadership position in the rapidly evolving, highly competitive, and increasingly important digital-health sector globally.</w:t>
      </w:r>
    </w:p>
    <w:p w14:paraId="397CBFB2" w14:textId="77777777" w:rsidR="00F85AF0" w:rsidRDefault="00F85AF0" w:rsidP="00E9075E">
      <w:pPr>
        <w:rPr>
          <w:rFonts w:ascii="Arial" w:hAnsi="Arial" w:cs="Arial"/>
        </w:rPr>
      </w:pPr>
    </w:p>
    <w:p w14:paraId="64E24457" w14:textId="77777777" w:rsidR="009C639A" w:rsidRDefault="009C639A" w:rsidP="00E9075E">
      <w:pPr>
        <w:rPr>
          <w:rFonts w:ascii="Arial" w:hAnsi="Arial" w:cs="Arial"/>
        </w:rPr>
      </w:pPr>
    </w:p>
    <w:p w14:paraId="4CD896A2" w14:textId="77777777" w:rsidR="009C639A" w:rsidRDefault="009C639A" w:rsidP="00E9075E">
      <w:pPr>
        <w:rPr>
          <w:rFonts w:ascii="Arial" w:hAnsi="Arial" w:cs="Arial"/>
        </w:rPr>
      </w:pPr>
    </w:p>
    <w:p w14:paraId="209484F5" w14:textId="77777777" w:rsidR="009C639A" w:rsidRDefault="009C639A" w:rsidP="00E9075E">
      <w:pPr>
        <w:rPr>
          <w:rFonts w:ascii="Arial" w:hAnsi="Arial" w:cs="Arial"/>
        </w:rPr>
      </w:pPr>
    </w:p>
    <w:p w14:paraId="0C67B21C" w14:textId="298DBC99" w:rsidR="009C639A" w:rsidRDefault="00E4460F" w:rsidP="00E4460F">
      <w:pPr>
        <w:pStyle w:val="Heading1"/>
      </w:pPr>
      <w:bookmarkStart w:id="10" w:name="_Toc217020555"/>
      <w:r>
        <w:t>Reference List</w:t>
      </w:r>
      <w:bookmarkEnd w:id="10"/>
    </w:p>
    <w:p w14:paraId="7982635D" w14:textId="77777777" w:rsidR="00E4460F" w:rsidRDefault="00E4460F" w:rsidP="00E4460F"/>
    <w:p w14:paraId="78FDDFE6" w14:textId="77777777" w:rsidR="00E4460F" w:rsidRDefault="00E4460F" w:rsidP="00E4460F"/>
    <w:p w14:paraId="76277422" w14:textId="77777777" w:rsidR="00E02D19" w:rsidRPr="00E02D19" w:rsidRDefault="00E02D19" w:rsidP="00E02D19">
      <w:r w:rsidRPr="00E02D19">
        <w:t xml:space="preserve">Accenture. (2023). </w:t>
      </w:r>
      <w:r w:rsidRPr="00E02D19">
        <w:rPr>
          <w:i/>
          <w:iCs/>
        </w:rPr>
        <w:t>Digital health technology outlook 2023</w:t>
      </w:r>
      <w:r w:rsidRPr="00E02D19">
        <w:t>. Accenture Research.</w:t>
      </w:r>
    </w:p>
    <w:p w14:paraId="629F380E" w14:textId="77777777" w:rsidR="00E02D19" w:rsidRPr="00E02D19" w:rsidRDefault="00E02D19" w:rsidP="00E02D19">
      <w:r w:rsidRPr="00E02D19">
        <w:t xml:space="preserve">Burke, R., &amp; Barron, S. (2020). </w:t>
      </w:r>
      <w:r w:rsidRPr="00E02D19">
        <w:rPr>
          <w:i/>
          <w:iCs/>
        </w:rPr>
        <w:t>Project management leadership: Building creative teams</w:t>
      </w:r>
      <w:r w:rsidRPr="00E02D19">
        <w:t xml:space="preserve"> (3rd ed.). Wiley.</w:t>
      </w:r>
    </w:p>
    <w:p w14:paraId="11366D18" w14:textId="77777777" w:rsidR="00E02D19" w:rsidRPr="00E02D19" w:rsidRDefault="00E02D19" w:rsidP="00E02D19">
      <w:r w:rsidRPr="00E02D19">
        <w:t xml:space="preserve">Deloitte. (2022). </w:t>
      </w:r>
      <w:r w:rsidRPr="00E02D19">
        <w:rPr>
          <w:i/>
          <w:iCs/>
        </w:rPr>
        <w:t>The future of consumer health: Wearables and digital innovation</w:t>
      </w:r>
      <w:r w:rsidRPr="00E02D19">
        <w:t>. Deloitte Insights.</w:t>
      </w:r>
    </w:p>
    <w:p w14:paraId="7003FCCB" w14:textId="77777777" w:rsidR="00E02D19" w:rsidRPr="00E02D19" w:rsidRDefault="00E02D19" w:rsidP="00E02D19">
      <w:r w:rsidRPr="00E02D19">
        <w:t xml:space="preserve">Freeman, R. E., Phillips, R., &amp; Sisodia, R. (2021). </w:t>
      </w:r>
      <w:r w:rsidRPr="00E02D19">
        <w:rPr>
          <w:i/>
          <w:iCs/>
        </w:rPr>
        <w:t>The stakeholder theory: A manifesto</w:t>
      </w:r>
      <w:r w:rsidRPr="00E02D19">
        <w:t>. Cambridge University Press.</w:t>
      </w:r>
    </w:p>
    <w:p w14:paraId="6405F819" w14:textId="77777777" w:rsidR="00E02D19" w:rsidRPr="00E02D19" w:rsidRDefault="00E02D19" w:rsidP="00E02D19">
      <w:r w:rsidRPr="00E02D19">
        <w:t xml:space="preserve">Huma Therapeutics. (2023). </w:t>
      </w:r>
      <w:r w:rsidRPr="00E02D19">
        <w:rPr>
          <w:i/>
          <w:iCs/>
        </w:rPr>
        <w:t>Company profile and digital health solutions</w:t>
      </w:r>
      <w:r w:rsidRPr="00E02D19">
        <w:t xml:space="preserve">. </w:t>
      </w:r>
      <w:hyperlink r:id="rId12" w:tgtFrame="_new" w:history="1">
        <w:r w:rsidRPr="00E02D19">
          <w:rPr>
            <w:rStyle w:val="Hyperlink"/>
          </w:rPr>
          <w:t>https://huma.com</w:t>
        </w:r>
      </w:hyperlink>
    </w:p>
    <w:p w14:paraId="540BB6C4" w14:textId="77777777" w:rsidR="00E02D19" w:rsidRPr="00E02D19" w:rsidRDefault="00E02D19" w:rsidP="00E02D19">
      <w:r w:rsidRPr="00E02D19">
        <w:t xml:space="preserve">ICO. (2023). </w:t>
      </w:r>
      <w:r w:rsidRPr="00E02D19">
        <w:rPr>
          <w:i/>
          <w:iCs/>
        </w:rPr>
        <w:t>Guide to data protection</w:t>
      </w:r>
      <w:r w:rsidRPr="00E02D19">
        <w:t>. Information Commissioner’s Office.</w:t>
      </w:r>
    </w:p>
    <w:p w14:paraId="606F5551" w14:textId="77777777" w:rsidR="00E02D19" w:rsidRPr="00E02D19" w:rsidRDefault="00E02D19" w:rsidP="00E02D19">
      <w:r w:rsidRPr="00E02D19">
        <w:t xml:space="preserve">Kliem, R. L. (2020). Effective communications in project management. </w:t>
      </w:r>
      <w:r w:rsidRPr="00E02D19">
        <w:rPr>
          <w:i/>
          <w:iCs/>
        </w:rPr>
        <w:t>Project Management Journal</w:t>
      </w:r>
      <w:r w:rsidRPr="00E02D19">
        <w:t>, 51(6), 713–725.</w:t>
      </w:r>
    </w:p>
    <w:p w14:paraId="2A28F5A5" w14:textId="77777777" w:rsidR="00E02D19" w:rsidRPr="00E02D19" w:rsidRDefault="00E02D19" w:rsidP="00E02D19">
      <w:r w:rsidRPr="00E02D19">
        <w:t xml:space="preserve">McKinsey &amp; Company. (2022). </w:t>
      </w:r>
      <w:r w:rsidRPr="00E02D19">
        <w:rPr>
          <w:i/>
          <w:iCs/>
        </w:rPr>
        <w:t>Tech supply chain resilience in a volatile market</w:t>
      </w:r>
      <w:r w:rsidRPr="00E02D19">
        <w:t>. McKinsey Global Institute.</w:t>
      </w:r>
    </w:p>
    <w:p w14:paraId="00648008" w14:textId="77777777" w:rsidR="00E02D19" w:rsidRPr="00E02D19" w:rsidRDefault="00E02D19" w:rsidP="00E02D19">
      <w:r w:rsidRPr="00E02D19">
        <w:t xml:space="preserve">NHS England. (2022). </w:t>
      </w:r>
      <w:r w:rsidRPr="00E02D19">
        <w:rPr>
          <w:i/>
          <w:iCs/>
        </w:rPr>
        <w:t>NHS Long Term Plan: Digital and remote monitoring strategy</w:t>
      </w:r>
      <w:r w:rsidRPr="00E02D19">
        <w:t>.</w:t>
      </w:r>
    </w:p>
    <w:p w14:paraId="2A905227" w14:textId="77777777" w:rsidR="00E02D19" w:rsidRPr="00E02D19" w:rsidRDefault="00E02D19" w:rsidP="00E02D19">
      <w:r w:rsidRPr="00E02D19">
        <w:t xml:space="preserve">Olanrewaju, A., &amp; Abdul-Aziz, A. (2021). Cooperation, coordination and collaboration in project delivery. </w:t>
      </w:r>
      <w:r w:rsidRPr="00E02D19">
        <w:rPr>
          <w:i/>
          <w:iCs/>
        </w:rPr>
        <w:t>Built Environment Project and Asset Management, 11</w:t>
      </w:r>
      <w:r w:rsidRPr="00E02D19">
        <w:t>(4), 547–561.</w:t>
      </w:r>
    </w:p>
    <w:p w14:paraId="7DAC7230" w14:textId="77777777" w:rsidR="00E02D19" w:rsidRPr="00E02D19" w:rsidRDefault="00E02D19" w:rsidP="00E02D19">
      <w:r w:rsidRPr="00E02D19">
        <w:lastRenderedPageBreak/>
        <w:t xml:space="preserve">Pang, C., Crick, T., &amp; Dunn, S. (2022). Digital biomarkers and remote monitoring technologies. </w:t>
      </w:r>
      <w:r w:rsidRPr="00E02D19">
        <w:rPr>
          <w:i/>
          <w:iCs/>
        </w:rPr>
        <w:t>Journal of Medical Internet Research</w:t>
      </w:r>
      <w:r w:rsidRPr="00E02D19">
        <w:t>, 24(3), e28152.</w:t>
      </w:r>
    </w:p>
    <w:p w14:paraId="5BA5A9BA" w14:textId="77777777" w:rsidR="00E02D19" w:rsidRPr="00E02D19" w:rsidRDefault="00E02D19" w:rsidP="00E02D19">
      <w:r w:rsidRPr="00E02D19">
        <w:t xml:space="preserve">Project Management Institute. (2021). </w:t>
      </w:r>
      <w:r w:rsidRPr="00E02D19">
        <w:rPr>
          <w:i/>
          <w:iCs/>
        </w:rPr>
        <w:t>A guide to the project management body of knowledge (PMBOK® Guide)</w:t>
      </w:r>
      <w:r w:rsidRPr="00E02D19">
        <w:t xml:space="preserve"> (7th ed.). PMI Publications.</w:t>
      </w:r>
    </w:p>
    <w:p w14:paraId="7D6D1C02" w14:textId="77777777" w:rsidR="00E02D19" w:rsidRPr="00E02D19" w:rsidRDefault="00E02D19" w:rsidP="00E02D19">
      <w:r w:rsidRPr="00E02D19">
        <w:t xml:space="preserve">Statista. (2023). </w:t>
      </w:r>
      <w:r w:rsidRPr="00E02D19">
        <w:rPr>
          <w:i/>
          <w:iCs/>
        </w:rPr>
        <w:t>Wearable technology market—UK insights 2023</w:t>
      </w:r>
      <w:r w:rsidRPr="00E02D19">
        <w:t>.</w:t>
      </w:r>
    </w:p>
    <w:p w14:paraId="5DD877F4" w14:textId="77777777" w:rsidR="00E02D19" w:rsidRPr="00E02D19" w:rsidRDefault="00E02D19" w:rsidP="00E02D19">
      <w:r w:rsidRPr="00E02D19">
        <w:t xml:space="preserve">WHO. (2021). </w:t>
      </w:r>
      <w:r w:rsidRPr="00E02D19">
        <w:rPr>
          <w:i/>
          <w:iCs/>
        </w:rPr>
        <w:t>Digital health and remote patient monitoring: Global landscape analysis</w:t>
      </w:r>
      <w:r w:rsidRPr="00E02D19">
        <w:t>. World Health Organization.</w:t>
      </w:r>
    </w:p>
    <w:p w14:paraId="547EB5F7" w14:textId="003EFC64" w:rsidR="00E02D19" w:rsidRPr="00E02D19" w:rsidRDefault="00E02D19" w:rsidP="00E02D19">
      <w:r w:rsidRPr="00E02D19">
        <w:t xml:space="preserve">Yang, R., Shen, G. Q., Ho, M. F., &amp; Drew, D. (2021). Critical success factors for stakeholder engagement. </w:t>
      </w:r>
      <w:r w:rsidRPr="00E02D19">
        <w:rPr>
          <w:i/>
          <w:iCs/>
        </w:rPr>
        <w:t>Journal of Management in Engineering, 37</w:t>
      </w:r>
      <w:r>
        <w:t>.</w:t>
      </w:r>
    </w:p>
    <w:p w14:paraId="5300EDB5" w14:textId="77777777" w:rsidR="00E4460F" w:rsidRPr="00E4460F" w:rsidRDefault="00E4460F" w:rsidP="00E4460F"/>
    <w:sectPr w:rsidR="00E4460F" w:rsidRPr="00E4460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9191A" w14:textId="77777777" w:rsidR="00B307EC" w:rsidRDefault="00B307EC" w:rsidP="00EF26E3">
      <w:pPr>
        <w:spacing w:after="0" w:line="240" w:lineRule="auto"/>
      </w:pPr>
      <w:r>
        <w:separator/>
      </w:r>
    </w:p>
  </w:endnote>
  <w:endnote w:type="continuationSeparator" w:id="0">
    <w:p w14:paraId="10CFB27B" w14:textId="77777777" w:rsidR="00B307EC" w:rsidRDefault="00B307EC" w:rsidP="00EF2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7238631"/>
      <w:docPartObj>
        <w:docPartGallery w:val="Page Numbers (Bottom of Page)"/>
        <w:docPartUnique/>
      </w:docPartObj>
    </w:sdtPr>
    <w:sdtEndPr>
      <w:rPr>
        <w:noProof/>
      </w:rPr>
    </w:sdtEndPr>
    <w:sdtContent>
      <w:p w14:paraId="31909CAE" w14:textId="0E0688C9" w:rsidR="00A8468E" w:rsidRDefault="00A8468E">
        <w:pPr>
          <w:pStyle w:val="Footer"/>
        </w:pPr>
        <w:r>
          <w:fldChar w:fldCharType="begin"/>
        </w:r>
        <w:r>
          <w:instrText xml:space="preserve"> PAGE   \* MERGEFORMAT </w:instrText>
        </w:r>
        <w:r>
          <w:fldChar w:fldCharType="separate"/>
        </w:r>
        <w:r>
          <w:rPr>
            <w:noProof/>
          </w:rPr>
          <w:t>2</w:t>
        </w:r>
        <w:r>
          <w:rPr>
            <w:noProof/>
          </w:rPr>
          <w:fldChar w:fldCharType="end"/>
        </w:r>
      </w:p>
    </w:sdtContent>
  </w:sdt>
  <w:p w14:paraId="38EA637E" w14:textId="77777777" w:rsidR="00A8468E" w:rsidRDefault="00A84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7E9FD" w14:textId="77777777" w:rsidR="00B307EC" w:rsidRDefault="00B307EC" w:rsidP="00EF26E3">
      <w:pPr>
        <w:spacing w:after="0" w:line="240" w:lineRule="auto"/>
      </w:pPr>
      <w:r>
        <w:separator/>
      </w:r>
    </w:p>
  </w:footnote>
  <w:footnote w:type="continuationSeparator" w:id="0">
    <w:p w14:paraId="6314E720" w14:textId="77777777" w:rsidR="00B307EC" w:rsidRDefault="00B307EC" w:rsidP="00EF2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C0A7F"/>
    <w:multiLevelType w:val="multilevel"/>
    <w:tmpl w:val="B902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F666C"/>
    <w:multiLevelType w:val="multilevel"/>
    <w:tmpl w:val="2DBE2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97FDC"/>
    <w:multiLevelType w:val="multilevel"/>
    <w:tmpl w:val="E6F60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F737D9"/>
    <w:multiLevelType w:val="multilevel"/>
    <w:tmpl w:val="6A780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9C45CF"/>
    <w:multiLevelType w:val="multilevel"/>
    <w:tmpl w:val="CA501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1F6C5D"/>
    <w:multiLevelType w:val="multilevel"/>
    <w:tmpl w:val="E75C5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EB1D4D"/>
    <w:multiLevelType w:val="multilevel"/>
    <w:tmpl w:val="8C3C6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ED54BE"/>
    <w:multiLevelType w:val="hybridMultilevel"/>
    <w:tmpl w:val="9E8A8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1943AE"/>
    <w:multiLevelType w:val="multilevel"/>
    <w:tmpl w:val="7CD8E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BD170D"/>
    <w:multiLevelType w:val="multilevel"/>
    <w:tmpl w:val="064E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7264A2"/>
    <w:multiLevelType w:val="multilevel"/>
    <w:tmpl w:val="B0E4B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705BEB"/>
    <w:multiLevelType w:val="multilevel"/>
    <w:tmpl w:val="33F48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D2224D"/>
    <w:multiLevelType w:val="multilevel"/>
    <w:tmpl w:val="5616F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C02E29"/>
    <w:multiLevelType w:val="hybridMultilevel"/>
    <w:tmpl w:val="0FACA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4C20B7"/>
    <w:multiLevelType w:val="multilevel"/>
    <w:tmpl w:val="6EFAC8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67723F"/>
    <w:multiLevelType w:val="multilevel"/>
    <w:tmpl w:val="73FAE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9956EE"/>
    <w:multiLevelType w:val="multilevel"/>
    <w:tmpl w:val="567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EC7140"/>
    <w:multiLevelType w:val="multilevel"/>
    <w:tmpl w:val="CFDCD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1558727">
    <w:abstractNumId w:val="10"/>
  </w:num>
  <w:num w:numId="2" w16cid:durableId="381289817">
    <w:abstractNumId w:val="2"/>
  </w:num>
  <w:num w:numId="3" w16cid:durableId="2091846457">
    <w:abstractNumId w:val="9"/>
  </w:num>
  <w:num w:numId="4" w16cid:durableId="357586147">
    <w:abstractNumId w:val="4"/>
  </w:num>
  <w:num w:numId="5" w16cid:durableId="643774675">
    <w:abstractNumId w:val="8"/>
  </w:num>
  <w:num w:numId="6" w16cid:durableId="2027441236">
    <w:abstractNumId w:val="15"/>
  </w:num>
  <w:num w:numId="7" w16cid:durableId="803038794">
    <w:abstractNumId w:val="0"/>
  </w:num>
  <w:num w:numId="8" w16cid:durableId="670181182">
    <w:abstractNumId w:val="12"/>
  </w:num>
  <w:num w:numId="9" w16cid:durableId="756097410">
    <w:abstractNumId w:val="3"/>
  </w:num>
  <w:num w:numId="10" w16cid:durableId="1635714499">
    <w:abstractNumId w:val="5"/>
  </w:num>
  <w:num w:numId="11" w16cid:durableId="522401260">
    <w:abstractNumId w:val="13"/>
  </w:num>
  <w:num w:numId="12" w16cid:durableId="1449279817">
    <w:abstractNumId w:val="14"/>
  </w:num>
  <w:num w:numId="13" w16cid:durableId="1314794111">
    <w:abstractNumId w:val="16"/>
  </w:num>
  <w:num w:numId="14" w16cid:durableId="1274438858">
    <w:abstractNumId w:val="6"/>
  </w:num>
  <w:num w:numId="15" w16cid:durableId="1222332594">
    <w:abstractNumId w:val="11"/>
  </w:num>
  <w:num w:numId="16" w16cid:durableId="437527775">
    <w:abstractNumId w:val="1"/>
  </w:num>
  <w:num w:numId="17" w16cid:durableId="147750454">
    <w:abstractNumId w:val="17"/>
  </w:num>
  <w:num w:numId="18" w16cid:durableId="18713393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AA3"/>
    <w:rsid w:val="00007220"/>
    <w:rsid w:val="0001536E"/>
    <w:rsid w:val="00017E7E"/>
    <w:rsid w:val="000211B8"/>
    <w:rsid w:val="0002228C"/>
    <w:rsid w:val="00025433"/>
    <w:rsid w:val="00035A28"/>
    <w:rsid w:val="00043019"/>
    <w:rsid w:val="00057F82"/>
    <w:rsid w:val="00066A11"/>
    <w:rsid w:val="00067D56"/>
    <w:rsid w:val="00077707"/>
    <w:rsid w:val="00080BEA"/>
    <w:rsid w:val="000B1B27"/>
    <w:rsid w:val="000D5CBD"/>
    <w:rsid w:val="000D7125"/>
    <w:rsid w:val="001101B0"/>
    <w:rsid w:val="001130F1"/>
    <w:rsid w:val="0011357F"/>
    <w:rsid w:val="0013195E"/>
    <w:rsid w:val="00143370"/>
    <w:rsid w:val="001A3A8B"/>
    <w:rsid w:val="001B286B"/>
    <w:rsid w:val="001B2DEB"/>
    <w:rsid w:val="001D14FE"/>
    <w:rsid w:val="001E118E"/>
    <w:rsid w:val="001F1856"/>
    <w:rsid w:val="001F45C3"/>
    <w:rsid w:val="00211AC5"/>
    <w:rsid w:val="00214BA6"/>
    <w:rsid w:val="00217C39"/>
    <w:rsid w:val="002244F1"/>
    <w:rsid w:val="00225A48"/>
    <w:rsid w:val="00231FA8"/>
    <w:rsid w:val="00234823"/>
    <w:rsid w:val="002351B8"/>
    <w:rsid w:val="00241568"/>
    <w:rsid w:val="00246F84"/>
    <w:rsid w:val="00260D19"/>
    <w:rsid w:val="00261170"/>
    <w:rsid w:val="00263518"/>
    <w:rsid w:val="00285189"/>
    <w:rsid w:val="002B29A4"/>
    <w:rsid w:val="002C3AAA"/>
    <w:rsid w:val="002D5003"/>
    <w:rsid w:val="002D5B39"/>
    <w:rsid w:val="00314433"/>
    <w:rsid w:val="00314AA3"/>
    <w:rsid w:val="00325A2C"/>
    <w:rsid w:val="00333E83"/>
    <w:rsid w:val="00343FA0"/>
    <w:rsid w:val="00352021"/>
    <w:rsid w:val="00362FF2"/>
    <w:rsid w:val="003644F1"/>
    <w:rsid w:val="003653FE"/>
    <w:rsid w:val="00370D9D"/>
    <w:rsid w:val="0039725D"/>
    <w:rsid w:val="003B0A9B"/>
    <w:rsid w:val="003C6391"/>
    <w:rsid w:val="003D70F4"/>
    <w:rsid w:val="003E52CE"/>
    <w:rsid w:val="003F2B18"/>
    <w:rsid w:val="00412F35"/>
    <w:rsid w:val="00413FFB"/>
    <w:rsid w:val="00417E35"/>
    <w:rsid w:val="004278B4"/>
    <w:rsid w:val="00430D6D"/>
    <w:rsid w:val="00433DC1"/>
    <w:rsid w:val="00434BC2"/>
    <w:rsid w:val="00450BB5"/>
    <w:rsid w:val="00461497"/>
    <w:rsid w:val="00476451"/>
    <w:rsid w:val="00477164"/>
    <w:rsid w:val="0048198F"/>
    <w:rsid w:val="004879F5"/>
    <w:rsid w:val="00497388"/>
    <w:rsid w:val="004A6DFB"/>
    <w:rsid w:val="004D56D2"/>
    <w:rsid w:val="004E6ED5"/>
    <w:rsid w:val="00505681"/>
    <w:rsid w:val="00511CCF"/>
    <w:rsid w:val="00532251"/>
    <w:rsid w:val="005518E5"/>
    <w:rsid w:val="00556FBB"/>
    <w:rsid w:val="00561617"/>
    <w:rsid w:val="0056650E"/>
    <w:rsid w:val="00566B70"/>
    <w:rsid w:val="00570643"/>
    <w:rsid w:val="0059075D"/>
    <w:rsid w:val="005942DA"/>
    <w:rsid w:val="005A6891"/>
    <w:rsid w:val="005C0CC1"/>
    <w:rsid w:val="005C23A7"/>
    <w:rsid w:val="005D38FC"/>
    <w:rsid w:val="0062316A"/>
    <w:rsid w:val="0063325B"/>
    <w:rsid w:val="00633B80"/>
    <w:rsid w:val="0065473D"/>
    <w:rsid w:val="006C074D"/>
    <w:rsid w:val="006C6C92"/>
    <w:rsid w:val="006E42A8"/>
    <w:rsid w:val="0071194A"/>
    <w:rsid w:val="0071464C"/>
    <w:rsid w:val="00721782"/>
    <w:rsid w:val="007257E2"/>
    <w:rsid w:val="00730B0B"/>
    <w:rsid w:val="00737072"/>
    <w:rsid w:val="00740B12"/>
    <w:rsid w:val="00764BCA"/>
    <w:rsid w:val="007928F2"/>
    <w:rsid w:val="007A6929"/>
    <w:rsid w:val="007C0215"/>
    <w:rsid w:val="007C703D"/>
    <w:rsid w:val="007D016A"/>
    <w:rsid w:val="00810A3B"/>
    <w:rsid w:val="00814650"/>
    <w:rsid w:val="00814ED3"/>
    <w:rsid w:val="00822008"/>
    <w:rsid w:val="00842062"/>
    <w:rsid w:val="00861E9A"/>
    <w:rsid w:val="008620F4"/>
    <w:rsid w:val="008732D3"/>
    <w:rsid w:val="00875E37"/>
    <w:rsid w:val="00880BDF"/>
    <w:rsid w:val="00882FF5"/>
    <w:rsid w:val="00893294"/>
    <w:rsid w:val="008958D0"/>
    <w:rsid w:val="008A41B1"/>
    <w:rsid w:val="008B2B7E"/>
    <w:rsid w:val="008C0CD3"/>
    <w:rsid w:val="008C41BF"/>
    <w:rsid w:val="008E06F8"/>
    <w:rsid w:val="00911429"/>
    <w:rsid w:val="00922571"/>
    <w:rsid w:val="009234C4"/>
    <w:rsid w:val="009358E2"/>
    <w:rsid w:val="0094230E"/>
    <w:rsid w:val="009576D1"/>
    <w:rsid w:val="009654E1"/>
    <w:rsid w:val="00976A77"/>
    <w:rsid w:val="00980D3E"/>
    <w:rsid w:val="00992A28"/>
    <w:rsid w:val="009C639A"/>
    <w:rsid w:val="009D460E"/>
    <w:rsid w:val="009F0DCA"/>
    <w:rsid w:val="009F63E6"/>
    <w:rsid w:val="00A02691"/>
    <w:rsid w:val="00A32245"/>
    <w:rsid w:val="00A61A89"/>
    <w:rsid w:val="00A8468E"/>
    <w:rsid w:val="00A96DC9"/>
    <w:rsid w:val="00AA3DB1"/>
    <w:rsid w:val="00AB05AF"/>
    <w:rsid w:val="00AB6F37"/>
    <w:rsid w:val="00AE6E45"/>
    <w:rsid w:val="00B14F6D"/>
    <w:rsid w:val="00B23331"/>
    <w:rsid w:val="00B2443A"/>
    <w:rsid w:val="00B307EC"/>
    <w:rsid w:val="00B34F28"/>
    <w:rsid w:val="00B76CCD"/>
    <w:rsid w:val="00B9745A"/>
    <w:rsid w:val="00BA633E"/>
    <w:rsid w:val="00BB4329"/>
    <w:rsid w:val="00BB469E"/>
    <w:rsid w:val="00BB559B"/>
    <w:rsid w:val="00BB574F"/>
    <w:rsid w:val="00BE078F"/>
    <w:rsid w:val="00BE433A"/>
    <w:rsid w:val="00BE4F50"/>
    <w:rsid w:val="00C00522"/>
    <w:rsid w:val="00C30A5A"/>
    <w:rsid w:val="00C54B6A"/>
    <w:rsid w:val="00C56F41"/>
    <w:rsid w:val="00C570A0"/>
    <w:rsid w:val="00C65DD3"/>
    <w:rsid w:val="00C67AE8"/>
    <w:rsid w:val="00CB7232"/>
    <w:rsid w:val="00CD43F8"/>
    <w:rsid w:val="00CE0E53"/>
    <w:rsid w:val="00CE0F6E"/>
    <w:rsid w:val="00D003C0"/>
    <w:rsid w:val="00D04A9F"/>
    <w:rsid w:val="00D119CF"/>
    <w:rsid w:val="00D24806"/>
    <w:rsid w:val="00D41990"/>
    <w:rsid w:val="00D443F4"/>
    <w:rsid w:val="00D773D8"/>
    <w:rsid w:val="00D978F3"/>
    <w:rsid w:val="00DA189A"/>
    <w:rsid w:val="00DC4335"/>
    <w:rsid w:val="00DD3583"/>
    <w:rsid w:val="00E02D19"/>
    <w:rsid w:val="00E105BF"/>
    <w:rsid w:val="00E26052"/>
    <w:rsid w:val="00E26281"/>
    <w:rsid w:val="00E4065B"/>
    <w:rsid w:val="00E408BB"/>
    <w:rsid w:val="00E4460F"/>
    <w:rsid w:val="00E5496A"/>
    <w:rsid w:val="00E55D0A"/>
    <w:rsid w:val="00E902EF"/>
    <w:rsid w:val="00E903CC"/>
    <w:rsid w:val="00E9075E"/>
    <w:rsid w:val="00E96724"/>
    <w:rsid w:val="00EA32CA"/>
    <w:rsid w:val="00EB6ADF"/>
    <w:rsid w:val="00EF26E3"/>
    <w:rsid w:val="00EF6C88"/>
    <w:rsid w:val="00EF72D8"/>
    <w:rsid w:val="00F2170C"/>
    <w:rsid w:val="00F34741"/>
    <w:rsid w:val="00F357CA"/>
    <w:rsid w:val="00F37407"/>
    <w:rsid w:val="00F56A4C"/>
    <w:rsid w:val="00F7202D"/>
    <w:rsid w:val="00F85AF0"/>
    <w:rsid w:val="00F95B1C"/>
    <w:rsid w:val="00FA3034"/>
    <w:rsid w:val="00FB683B"/>
    <w:rsid w:val="00FC1F84"/>
    <w:rsid w:val="00FE3A4A"/>
    <w:rsid w:val="00FE6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C584D"/>
  <w15:chartTrackingRefBased/>
  <w15:docId w15:val="{FDECA2D8-04DE-4398-891B-6724E8CDB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A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A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4A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A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4A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4A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A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A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A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A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A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4A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A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A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A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A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A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AA3"/>
    <w:rPr>
      <w:rFonts w:eastAsiaTheme="majorEastAsia" w:cstheme="majorBidi"/>
      <w:color w:val="272727" w:themeColor="text1" w:themeTint="D8"/>
    </w:rPr>
  </w:style>
  <w:style w:type="paragraph" w:styleId="Title">
    <w:name w:val="Title"/>
    <w:basedOn w:val="Normal"/>
    <w:next w:val="Normal"/>
    <w:link w:val="TitleChar"/>
    <w:uiPriority w:val="10"/>
    <w:qFormat/>
    <w:rsid w:val="00314A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A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A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A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AA3"/>
    <w:pPr>
      <w:spacing w:before="160"/>
      <w:jc w:val="center"/>
    </w:pPr>
    <w:rPr>
      <w:i/>
      <w:iCs/>
      <w:color w:val="404040" w:themeColor="text1" w:themeTint="BF"/>
    </w:rPr>
  </w:style>
  <w:style w:type="character" w:customStyle="1" w:styleId="QuoteChar">
    <w:name w:val="Quote Char"/>
    <w:basedOn w:val="DefaultParagraphFont"/>
    <w:link w:val="Quote"/>
    <w:uiPriority w:val="29"/>
    <w:rsid w:val="00314AA3"/>
    <w:rPr>
      <w:i/>
      <w:iCs/>
      <w:color w:val="404040" w:themeColor="text1" w:themeTint="BF"/>
    </w:rPr>
  </w:style>
  <w:style w:type="paragraph" w:styleId="ListParagraph">
    <w:name w:val="List Paragraph"/>
    <w:basedOn w:val="Normal"/>
    <w:uiPriority w:val="34"/>
    <w:qFormat/>
    <w:rsid w:val="00314AA3"/>
    <w:pPr>
      <w:ind w:left="720"/>
      <w:contextualSpacing/>
    </w:pPr>
  </w:style>
  <w:style w:type="character" w:styleId="IntenseEmphasis">
    <w:name w:val="Intense Emphasis"/>
    <w:basedOn w:val="DefaultParagraphFont"/>
    <w:uiPriority w:val="21"/>
    <w:qFormat/>
    <w:rsid w:val="00314AA3"/>
    <w:rPr>
      <w:i/>
      <w:iCs/>
      <w:color w:val="0F4761" w:themeColor="accent1" w:themeShade="BF"/>
    </w:rPr>
  </w:style>
  <w:style w:type="paragraph" w:styleId="IntenseQuote">
    <w:name w:val="Intense Quote"/>
    <w:basedOn w:val="Normal"/>
    <w:next w:val="Normal"/>
    <w:link w:val="IntenseQuoteChar"/>
    <w:uiPriority w:val="30"/>
    <w:qFormat/>
    <w:rsid w:val="00314A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4AA3"/>
    <w:rPr>
      <w:i/>
      <w:iCs/>
      <w:color w:val="0F4761" w:themeColor="accent1" w:themeShade="BF"/>
    </w:rPr>
  </w:style>
  <w:style w:type="character" w:styleId="IntenseReference">
    <w:name w:val="Intense Reference"/>
    <w:basedOn w:val="DefaultParagraphFont"/>
    <w:uiPriority w:val="32"/>
    <w:qFormat/>
    <w:rsid w:val="00314AA3"/>
    <w:rPr>
      <w:b/>
      <w:bCs/>
      <w:smallCaps/>
      <w:color w:val="0F4761" w:themeColor="accent1" w:themeShade="BF"/>
      <w:spacing w:val="5"/>
    </w:rPr>
  </w:style>
  <w:style w:type="table" w:styleId="TableGrid">
    <w:name w:val="Table Grid"/>
    <w:basedOn w:val="TableNormal"/>
    <w:uiPriority w:val="39"/>
    <w:rsid w:val="005706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170C"/>
    <w:rPr>
      <w:color w:val="467886" w:themeColor="hyperlink"/>
      <w:u w:val="single"/>
    </w:rPr>
  </w:style>
  <w:style w:type="character" w:styleId="UnresolvedMention">
    <w:name w:val="Unresolved Mention"/>
    <w:basedOn w:val="DefaultParagraphFont"/>
    <w:uiPriority w:val="99"/>
    <w:semiHidden/>
    <w:unhideWhenUsed/>
    <w:rsid w:val="00F2170C"/>
    <w:rPr>
      <w:color w:val="605E5C"/>
      <w:shd w:val="clear" w:color="auto" w:fill="E1DFDD"/>
    </w:rPr>
  </w:style>
  <w:style w:type="paragraph" w:styleId="Header">
    <w:name w:val="header"/>
    <w:basedOn w:val="Normal"/>
    <w:link w:val="HeaderChar"/>
    <w:uiPriority w:val="99"/>
    <w:unhideWhenUsed/>
    <w:rsid w:val="00EF2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6E3"/>
  </w:style>
  <w:style w:type="paragraph" w:styleId="Footer">
    <w:name w:val="footer"/>
    <w:basedOn w:val="Normal"/>
    <w:link w:val="FooterChar"/>
    <w:uiPriority w:val="99"/>
    <w:unhideWhenUsed/>
    <w:rsid w:val="00EF2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6E3"/>
  </w:style>
  <w:style w:type="paragraph" w:styleId="TOCHeading">
    <w:name w:val="TOC Heading"/>
    <w:basedOn w:val="Heading1"/>
    <w:next w:val="Normal"/>
    <w:uiPriority w:val="39"/>
    <w:unhideWhenUsed/>
    <w:qFormat/>
    <w:rsid w:val="009654E1"/>
    <w:pPr>
      <w:spacing w:before="240" w:after="0"/>
      <w:outlineLvl w:val="9"/>
    </w:pPr>
    <w:rPr>
      <w:sz w:val="32"/>
      <w:szCs w:val="32"/>
      <w:lang w:val="en-US"/>
    </w:rPr>
  </w:style>
  <w:style w:type="paragraph" w:styleId="TOC2">
    <w:name w:val="toc 2"/>
    <w:basedOn w:val="Normal"/>
    <w:next w:val="Normal"/>
    <w:autoRedefine/>
    <w:uiPriority w:val="39"/>
    <w:unhideWhenUsed/>
    <w:rsid w:val="009654E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654E1"/>
    <w:pPr>
      <w:spacing w:after="100"/>
    </w:pPr>
    <w:rPr>
      <w:rFonts w:eastAsiaTheme="minorEastAsia" w:cs="Times New Roman"/>
      <w:lang w:val="en-US"/>
    </w:rPr>
  </w:style>
  <w:style w:type="paragraph" w:styleId="TOC3">
    <w:name w:val="toc 3"/>
    <w:basedOn w:val="Normal"/>
    <w:next w:val="Normal"/>
    <w:autoRedefine/>
    <w:uiPriority w:val="39"/>
    <w:unhideWhenUsed/>
    <w:rsid w:val="009654E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uma.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294b1057569e49d2152f067620e93c64">
  <xsd:schema xmlns:xsd="http://www.w3.org/2001/XMLSchema" xmlns:xs="http://www.w3.org/2001/XMLSchema" xmlns:p="http://schemas.microsoft.com/office/2006/metadata/properties" xmlns:ns3="bf244c3e-e0b4-4871-bb4e-fd032a14544d" targetNamespace="http://schemas.microsoft.com/office/2006/metadata/properties" ma:root="true" ma:fieldsID="1be4ce8e7f00d60e0428e604c926ff9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2F9492-E57F-4F79-B1B9-8E00BA668629}">
  <ds:schemaRefs>
    <ds:schemaRef ds:uri="http://schemas.openxmlformats.org/package/2006/metadata/core-properties"/>
    <ds:schemaRef ds:uri="http://schemas.microsoft.com/office/2006/metadata/properties"/>
    <ds:schemaRef ds:uri="http://purl.org/dc/elements/1.1/"/>
    <ds:schemaRef ds:uri="http://purl.org/dc/dcmitype/"/>
    <ds:schemaRef ds:uri="http://schemas.microsoft.com/office/2006/documentManagement/types"/>
    <ds:schemaRef ds:uri="http://purl.org/dc/terms/"/>
    <ds:schemaRef ds:uri="http://schemas.microsoft.com/office/infopath/2007/PartnerControls"/>
    <ds:schemaRef ds:uri="bf244c3e-e0b4-4871-bb4e-fd032a14544d"/>
    <ds:schemaRef ds:uri="http://www.w3.org/XML/1998/namespace"/>
  </ds:schemaRefs>
</ds:datastoreItem>
</file>

<file path=customXml/itemProps2.xml><?xml version="1.0" encoding="utf-8"?>
<ds:datastoreItem xmlns:ds="http://schemas.openxmlformats.org/officeDocument/2006/customXml" ds:itemID="{B506B680-8B5B-468F-94C2-CC4EE5905B34}">
  <ds:schemaRefs>
    <ds:schemaRef ds:uri="http://schemas.microsoft.com/sharepoint/v3/contenttype/forms"/>
  </ds:schemaRefs>
</ds:datastoreItem>
</file>

<file path=customXml/itemProps3.xml><?xml version="1.0" encoding="utf-8"?>
<ds:datastoreItem xmlns:ds="http://schemas.openxmlformats.org/officeDocument/2006/customXml" ds:itemID="{DE24F988-2CC6-4061-A8BA-ACAD6501E3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EEA5E5-AA76-4DE9-8EF6-4815086BE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4570</Words>
  <Characters>31539</Characters>
  <Application>Microsoft Office Word</Application>
  <DocSecurity>0</DocSecurity>
  <Lines>1433</Lines>
  <Paragraphs>523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Florin Paun (2411677)</dc:creator>
  <cp:keywords/>
  <dc:description/>
  <cp:lastModifiedBy>Alexandru Florin Paun (2411677)</cp:lastModifiedBy>
  <cp:revision>2</cp:revision>
  <dcterms:created xsi:type="dcterms:W3CDTF">2025-12-19T07:09:00Z</dcterms:created>
  <dcterms:modified xsi:type="dcterms:W3CDTF">2025-12-19T07:09:00Z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e1007ada-af6e-43fe-ade2-7ca6deb30b99</vt:lpwstr>
  </property>
  <property fmtid="{D5CDD505-2E9C-101B-9397-08002B2CF9AE}" pid="3" name="ContentTypeId">
    <vt:lpwstr>0x010100885BDE7C2597694E9B52267909D130AC</vt:lpwstr>
  </property>
</Properties>
</file>