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56C5C43" w14:textId="77777777" w:rsidR="003B078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EE4FBA0" wp14:editId="319615D9">
            <wp:extent cx="3381375" cy="13525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3381375" cy="1352550"/>
                    </a:xfrm>
                    <a:prstGeom prst="rect">
                      <a:avLst/>
                    </a:prstGeom>
                    <a:ln/>
                  </pic:spPr>
                </pic:pic>
              </a:graphicData>
            </a:graphic>
          </wp:inline>
        </w:drawing>
      </w:r>
    </w:p>
    <w:p w14:paraId="391C60BD" w14:textId="77777777" w:rsidR="003B078D" w:rsidRDefault="003B078D">
      <w:pPr>
        <w:jc w:val="center"/>
        <w:rPr>
          <w:rFonts w:ascii="Times New Roman" w:eastAsia="Times New Roman" w:hAnsi="Times New Roman" w:cs="Times New Roman"/>
          <w:sz w:val="24"/>
          <w:szCs w:val="24"/>
        </w:rPr>
      </w:pPr>
    </w:p>
    <w:p w14:paraId="10B809CE" w14:textId="77777777" w:rsidR="003B078D" w:rsidRDefault="003B078D">
      <w:pPr>
        <w:jc w:val="center"/>
        <w:rPr>
          <w:rFonts w:ascii="Times New Roman" w:eastAsia="Times New Roman" w:hAnsi="Times New Roman" w:cs="Times New Roman"/>
          <w:sz w:val="24"/>
          <w:szCs w:val="24"/>
        </w:rPr>
      </w:pPr>
    </w:p>
    <w:p w14:paraId="7F5CE0D3" w14:textId="77777777" w:rsidR="003B078D" w:rsidRDefault="003B078D">
      <w:pPr>
        <w:jc w:val="center"/>
        <w:rPr>
          <w:rFonts w:ascii="Times New Roman" w:eastAsia="Times New Roman" w:hAnsi="Times New Roman" w:cs="Times New Roman"/>
          <w:sz w:val="24"/>
          <w:szCs w:val="24"/>
        </w:rPr>
      </w:pPr>
    </w:p>
    <w:p w14:paraId="2929F950" w14:textId="77777777" w:rsidR="003B078D" w:rsidRDefault="003B078D">
      <w:pPr>
        <w:jc w:val="center"/>
        <w:rPr>
          <w:rFonts w:ascii="Times New Roman" w:eastAsia="Times New Roman" w:hAnsi="Times New Roman" w:cs="Times New Roman"/>
          <w:sz w:val="24"/>
          <w:szCs w:val="24"/>
        </w:rPr>
      </w:pPr>
    </w:p>
    <w:p w14:paraId="4A4E32E0" w14:textId="77777777" w:rsidR="003B078D" w:rsidRDefault="003B078D">
      <w:pPr>
        <w:jc w:val="center"/>
        <w:rPr>
          <w:rFonts w:ascii="Times New Roman" w:eastAsia="Times New Roman" w:hAnsi="Times New Roman" w:cs="Times New Roman"/>
          <w:sz w:val="24"/>
          <w:szCs w:val="24"/>
        </w:rPr>
      </w:pPr>
    </w:p>
    <w:p w14:paraId="350299C9" w14:textId="29397E5E"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 Rohan</w:t>
      </w:r>
      <w:r w:rsidR="00AC1EDB">
        <w:rPr>
          <w:rFonts w:ascii="Times New Roman" w:eastAsia="Times New Roman" w:hAnsi="Times New Roman" w:cs="Times New Roman"/>
          <w:b/>
          <w:bCs/>
          <w:sz w:val="24"/>
          <w:szCs w:val="24"/>
        </w:rPr>
        <w:t>kumar Rajeshbhai</w:t>
      </w:r>
      <w:r>
        <w:rPr>
          <w:rFonts w:ascii="Times New Roman" w:eastAsia="Times New Roman" w:hAnsi="Times New Roman" w:cs="Times New Roman"/>
          <w:b/>
          <w:bCs/>
          <w:sz w:val="24"/>
          <w:szCs w:val="24"/>
        </w:rPr>
        <w:t xml:space="preserve"> Patel </w:t>
      </w:r>
    </w:p>
    <w:p w14:paraId="3FD288C4"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AD58B64"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2530043</w:t>
      </w:r>
    </w:p>
    <w:p w14:paraId="3D513A0B" w14:textId="77777777" w:rsidR="003B078D" w:rsidRDefault="003B078D">
      <w:pPr>
        <w:jc w:val="center"/>
        <w:rPr>
          <w:rFonts w:ascii="Times New Roman" w:eastAsia="Times New Roman" w:hAnsi="Times New Roman" w:cs="Times New Roman"/>
          <w:sz w:val="24"/>
          <w:szCs w:val="24"/>
        </w:rPr>
      </w:pPr>
    </w:p>
    <w:p w14:paraId="702C931B" w14:textId="77777777" w:rsidR="003B078D" w:rsidRDefault="003B078D">
      <w:pPr>
        <w:jc w:val="center"/>
        <w:rPr>
          <w:rFonts w:ascii="Times New Roman" w:eastAsia="Times New Roman" w:hAnsi="Times New Roman" w:cs="Times New Roman"/>
          <w:sz w:val="24"/>
          <w:szCs w:val="24"/>
        </w:rPr>
      </w:pPr>
    </w:p>
    <w:p w14:paraId="79146E36"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Name: Marketing Management </w:t>
      </w:r>
    </w:p>
    <w:p w14:paraId="1FD5141E" w14:textId="77777777" w:rsidR="003B078D" w:rsidRDefault="003B078D">
      <w:pPr>
        <w:jc w:val="center"/>
        <w:rPr>
          <w:rFonts w:ascii="Times New Roman" w:eastAsia="Times New Roman" w:hAnsi="Times New Roman" w:cs="Times New Roman"/>
          <w:b/>
          <w:bCs/>
          <w:sz w:val="24"/>
          <w:szCs w:val="24"/>
        </w:rPr>
      </w:pPr>
    </w:p>
    <w:p w14:paraId="4C71782C"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LCMB7024</w:t>
      </w:r>
    </w:p>
    <w:p w14:paraId="381C0F72" w14:textId="77777777" w:rsidR="003B078D" w:rsidRDefault="003B078D">
      <w:pPr>
        <w:jc w:val="center"/>
        <w:rPr>
          <w:rFonts w:ascii="Times New Roman" w:eastAsia="Times New Roman" w:hAnsi="Times New Roman" w:cs="Times New Roman"/>
          <w:b/>
          <w:bCs/>
          <w:sz w:val="24"/>
          <w:szCs w:val="24"/>
        </w:rPr>
      </w:pPr>
    </w:p>
    <w:p w14:paraId="27894BA0" w14:textId="77777777" w:rsidR="003B078D" w:rsidRDefault="003B078D">
      <w:pPr>
        <w:jc w:val="center"/>
        <w:rPr>
          <w:rFonts w:ascii="Times New Roman" w:eastAsia="Times New Roman" w:hAnsi="Times New Roman" w:cs="Times New Roman"/>
          <w:b/>
          <w:bCs/>
          <w:sz w:val="24"/>
          <w:szCs w:val="24"/>
        </w:rPr>
      </w:pPr>
    </w:p>
    <w:p w14:paraId="59271057" w14:textId="77777777" w:rsidR="003B078D" w:rsidRDefault="003B078D">
      <w:pPr>
        <w:jc w:val="center"/>
        <w:rPr>
          <w:rFonts w:ascii="Times New Roman" w:eastAsia="Times New Roman" w:hAnsi="Times New Roman" w:cs="Times New Roman"/>
          <w:b/>
          <w:bCs/>
          <w:sz w:val="24"/>
          <w:szCs w:val="24"/>
        </w:rPr>
      </w:pPr>
    </w:p>
    <w:p w14:paraId="4AAAC3EE" w14:textId="77777777" w:rsidR="003B078D" w:rsidRDefault="003B078D">
      <w:pPr>
        <w:jc w:val="center"/>
        <w:rPr>
          <w:rFonts w:ascii="Times New Roman" w:eastAsia="Times New Roman" w:hAnsi="Times New Roman" w:cs="Times New Roman"/>
          <w:b/>
          <w:bCs/>
          <w:sz w:val="24"/>
          <w:szCs w:val="24"/>
        </w:rPr>
      </w:pPr>
    </w:p>
    <w:p w14:paraId="142B51A3" w14:textId="6BEE92E1"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w:t>
      </w:r>
      <w:r w:rsidR="00AC1EDB">
        <w:rPr>
          <w:rFonts w:ascii="Times New Roman" w:eastAsia="Times New Roman" w:hAnsi="Times New Roman" w:cs="Times New Roman"/>
          <w:b/>
          <w:bCs/>
          <w:sz w:val="24"/>
          <w:szCs w:val="24"/>
        </w:rPr>
        <w:t xml:space="preserve"> Dr Laila Maazous</w:t>
      </w:r>
    </w:p>
    <w:p w14:paraId="5CE79B53" w14:textId="77777777" w:rsidR="003B078D" w:rsidRDefault="003B078D">
      <w:pPr>
        <w:jc w:val="center"/>
        <w:rPr>
          <w:rFonts w:ascii="Times New Roman" w:eastAsia="Times New Roman" w:hAnsi="Times New Roman" w:cs="Times New Roman"/>
          <w:b/>
          <w:bCs/>
          <w:sz w:val="24"/>
          <w:szCs w:val="24"/>
        </w:rPr>
      </w:pPr>
    </w:p>
    <w:p w14:paraId="3C3EB970" w14:textId="77777777" w:rsidR="003B078D" w:rsidRDefault="003B078D">
      <w:pPr>
        <w:jc w:val="center"/>
        <w:rPr>
          <w:rFonts w:ascii="Times New Roman" w:eastAsia="Times New Roman" w:hAnsi="Times New Roman" w:cs="Times New Roman"/>
          <w:b/>
          <w:bCs/>
          <w:sz w:val="24"/>
          <w:szCs w:val="24"/>
        </w:rPr>
      </w:pPr>
    </w:p>
    <w:p w14:paraId="4D5CC1F2" w14:textId="77777777" w:rsidR="003B078D" w:rsidRDefault="003B078D">
      <w:pPr>
        <w:rPr>
          <w:rFonts w:ascii="Times New Roman" w:eastAsia="Times New Roman" w:hAnsi="Times New Roman" w:cs="Times New Roman"/>
          <w:b/>
          <w:bCs/>
          <w:sz w:val="24"/>
          <w:szCs w:val="24"/>
        </w:rPr>
      </w:pPr>
    </w:p>
    <w:p w14:paraId="7A894CF5"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Work Count: 2573</w:t>
      </w:r>
    </w:p>
    <w:p w14:paraId="005A505D" w14:textId="77777777" w:rsidR="003B078D" w:rsidRDefault="003B078D">
      <w:pPr>
        <w:jc w:val="center"/>
        <w:rPr>
          <w:rFonts w:ascii="Times New Roman" w:eastAsia="Times New Roman" w:hAnsi="Times New Roman" w:cs="Times New Roman"/>
          <w:b/>
          <w:bCs/>
          <w:sz w:val="24"/>
          <w:szCs w:val="24"/>
        </w:rPr>
      </w:pPr>
    </w:p>
    <w:p w14:paraId="23C9AEEB" w14:textId="77777777" w:rsidR="003B078D" w:rsidRDefault="003B078D">
      <w:pPr>
        <w:jc w:val="center"/>
        <w:rPr>
          <w:rFonts w:ascii="Times New Roman" w:eastAsia="Times New Roman" w:hAnsi="Times New Roman" w:cs="Times New Roman"/>
          <w:b/>
          <w:bCs/>
          <w:sz w:val="24"/>
          <w:szCs w:val="24"/>
        </w:rPr>
      </w:pPr>
    </w:p>
    <w:p w14:paraId="0B482A85" w14:textId="77777777" w:rsidR="003B078D" w:rsidRDefault="003B078D">
      <w:pPr>
        <w:jc w:val="center"/>
        <w:rPr>
          <w:rFonts w:ascii="Times New Roman" w:eastAsia="Times New Roman" w:hAnsi="Times New Roman" w:cs="Times New Roman"/>
          <w:b/>
          <w:bCs/>
          <w:sz w:val="24"/>
          <w:szCs w:val="24"/>
        </w:rPr>
      </w:pPr>
    </w:p>
    <w:p w14:paraId="6A93D434" w14:textId="77777777" w:rsidR="003B078D" w:rsidRDefault="003B078D">
      <w:pPr>
        <w:jc w:val="center"/>
        <w:rPr>
          <w:rFonts w:ascii="Times New Roman" w:eastAsia="Times New Roman" w:hAnsi="Times New Roman" w:cs="Times New Roman"/>
          <w:b/>
          <w:bCs/>
          <w:sz w:val="24"/>
          <w:szCs w:val="24"/>
        </w:rPr>
      </w:pPr>
    </w:p>
    <w:p w14:paraId="4440CF51" w14:textId="77777777" w:rsidR="003B078D" w:rsidRDefault="003B078D">
      <w:pPr>
        <w:jc w:val="center"/>
        <w:rPr>
          <w:rFonts w:ascii="Times New Roman" w:eastAsia="Times New Roman" w:hAnsi="Times New Roman" w:cs="Times New Roman"/>
          <w:b/>
          <w:bCs/>
          <w:sz w:val="24"/>
          <w:szCs w:val="24"/>
        </w:rPr>
      </w:pPr>
    </w:p>
    <w:p w14:paraId="055E3D02"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Term 1</w:t>
      </w:r>
    </w:p>
    <w:p w14:paraId="0B571C65" w14:textId="77777777" w:rsidR="003B078D" w:rsidRDefault="003B078D">
      <w:pPr>
        <w:spacing w:before="280"/>
        <w:rPr>
          <w:rFonts w:ascii="Times New Roman" w:eastAsia="Times New Roman" w:hAnsi="Times New Roman" w:cs="Times New Roman"/>
          <w:b/>
          <w:bCs/>
          <w:sz w:val="24"/>
          <w:szCs w:val="24"/>
        </w:rPr>
      </w:pPr>
    </w:p>
    <w:p w14:paraId="27E8F7AE" w14:textId="77777777" w:rsidR="003B078D" w:rsidRDefault="003B078D">
      <w:pPr>
        <w:spacing w:before="280"/>
        <w:rPr>
          <w:rFonts w:ascii="Times New Roman" w:eastAsia="Times New Roman" w:hAnsi="Times New Roman" w:cs="Times New Roman"/>
          <w:b/>
          <w:bCs/>
          <w:sz w:val="24"/>
          <w:szCs w:val="24"/>
        </w:rPr>
      </w:pPr>
    </w:p>
    <w:p w14:paraId="2F728F66" w14:textId="77777777" w:rsidR="003B078D" w:rsidRDefault="003B078D">
      <w:pPr>
        <w:spacing w:after="80"/>
        <w:rPr>
          <w:rFonts w:ascii="Times New Roman" w:eastAsia="Times New Roman" w:hAnsi="Times New Roman" w:cs="Times New Roman"/>
          <w:b/>
          <w:bCs/>
          <w:sz w:val="24"/>
          <w:szCs w:val="24"/>
        </w:rPr>
      </w:pPr>
    </w:p>
    <w:p w14:paraId="58F416F1" w14:textId="77777777" w:rsidR="003B078D" w:rsidRDefault="003B078D">
      <w:pPr>
        <w:spacing w:after="80"/>
        <w:rPr>
          <w:rFonts w:ascii="Times New Roman" w:eastAsia="Times New Roman" w:hAnsi="Times New Roman" w:cs="Times New Roman"/>
          <w:b/>
          <w:bCs/>
          <w:sz w:val="24"/>
          <w:szCs w:val="24"/>
        </w:rPr>
      </w:pPr>
    </w:p>
    <w:p w14:paraId="2721020E" w14:textId="77777777" w:rsidR="003B078D" w:rsidRDefault="00000000">
      <w:pPr>
        <w:spacing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p w14:paraId="38589925" w14:textId="77777777" w:rsidR="003B078D" w:rsidRDefault="003B078D">
      <w:pPr>
        <w:spacing w:after="80"/>
        <w:rPr>
          <w:rFonts w:ascii="Times New Roman" w:eastAsia="Times New Roman" w:hAnsi="Times New Roman" w:cs="Times New Roman"/>
          <w:b/>
          <w:bCs/>
          <w:sz w:val="24"/>
          <w:szCs w:val="24"/>
        </w:rPr>
      </w:pPr>
    </w:p>
    <w:sdt>
      <w:sdtPr>
        <w:id w:val="-1433445227"/>
        <w:docPartObj>
          <w:docPartGallery w:val="Table of Contents"/>
          <w:docPartUnique/>
        </w:docPartObj>
      </w:sdtPr>
      <w:sdtContent>
        <w:p w14:paraId="39F7F3EA" w14:textId="77777777" w:rsidR="003B078D" w:rsidRDefault="00000000">
          <w:pPr>
            <w:widowControl w:val="0"/>
            <w:tabs>
              <w:tab w:val="right" w:leader="dot" w:pos="9417"/>
            </w:tabs>
            <w:spacing w:before="60"/>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acys2j6ubwk0">
            <w:r>
              <w:rPr>
                <w:rFonts w:ascii="Times New Roman" w:eastAsia="Times New Roman" w:hAnsi="Times New Roman" w:cs="Times New Roman"/>
                <w:b/>
                <w:bCs/>
                <w:color w:val="000000"/>
                <w:sz w:val="24"/>
                <w:szCs w:val="24"/>
              </w:rPr>
              <w:t>1. Task 1: Marketing Environment Analysis</w:t>
            </w:r>
            <w:r>
              <w:rPr>
                <w:rFonts w:ascii="Times New Roman" w:eastAsia="Times New Roman" w:hAnsi="Times New Roman" w:cs="Times New Roman"/>
                <w:b/>
                <w:bCs/>
                <w:color w:val="000000"/>
                <w:sz w:val="24"/>
                <w:szCs w:val="24"/>
              </w:rPr>
              <w:tab/>
            </w:r>
          </w:hyperlink>
          <w:r>
            <w:fldChar w:fldCharType="begin"/>
          </w:r>
          <w:r>
            <w:instrText xml:space="preserve"> PAGEREF _acys2j6ubwk0 \h </w:instrText>
          </w:r>
          <w:r>
            <w:fldChar w:fldCharType="separate"/>
          </w:r>
          <w:r>
            <w:rPr>
              <w:rFonts w:ascii="Times New Roman" w:eastAsia="Times New Roman" w:hAnsi="Times New Roman" w:cs="Times New Roman"/>
              <w:b/>
              <w:bCs/>
              <w:sz w:val="24"/>
              <w:szCs w:val="24"/>
            </w:rPr>
            <w:t>1</w:t>
          </w:r>
          <w:r>
            <w:fldChar w:fldCharType="end"/>
          </w:r>
        </w:p>
        <w:p w14:paraId="785518D1"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govoqgf048au">
            <w:r>
              <w:rPr>
                <w:rFonts w:ascii="Times New Roman" w:eastAsia="Times New Roman" w:hAnsi="Times New Roman" w:cs="Times New Roman"/>
                <w:color w:val="000000"/>
                <w:sz w:val="24"/>
                <w:szCs w:val="24"/>
              </w:rPr>
              <w:t>1.1 Company Selection and Context: Codelco</w:t>
            </w:r>
            <w:r>
              <w:rPr>
                <w:rFonts w:ascii="Times New Roman" w:eastAsia="Times New Roman" w:hAnsi="Times New Roman" w:cs="Times New Roman"/>
                <w:color w:val="000000"/>
                <w:sz w:val="24"/>
                <w:szCs w:val="24"/>
              </w:rPr>
              <w:tab/>
            </w:r>
          </w:hyperlink>
          <w:r>
            <w:fldChar w:fldCharType="begin"/>
          </w:r>
          <w:r>
            <w:instrText xml:space="preserve"> PAGEREF _govoqgf048au \h </w:instrText>
          </w:r>
          <w:r>
            <w:fldChar w:fldCharType="separate"/>
          </w:r>
          <w:r>
            <w:rPr>
              <w:rFonts w:ascii="Times New Roman" w:eastAsia="Times New Roman" w:hAnsi="Times New Roman" w:cs="Times New Roman"/>
              <w:sz w:val="24"/>
              <w:szCs w:val="24"/>
            </w:rPr>
            <w:t>1</w:t>
          </w:r>
          <w:r>
            <w:fldChar w:fldCharType="end"/>
          </w:r>
        </w:p>
        <w:p w14:paraId="73A60EB2"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cq4e1be4zkom">
            <w:r>
              <w:rPr>
                <w:rFonts w:ascii="Times New Roman" w:eastAsia="Times New Roman" w:hAnsi="Times New Roman" w:cs="Times New Roman"/>
                <w:color w:val="000000"/>
                <w:sz w:val="24"/>
                <w:szCs w:val="24"/>
              </w:rPr>
              <w:t>1.2 External Marketing Environment Actor 1: Natural Environment</w:t>
            </w:r>
            <w:r>
              <w:rPr>
                <w:rFonts w:ascii="Times New Roman" w:eastAsia="Times New Roman" w:hAnsi="Times New Roman" w:cs="Times New Roman"/>
                <w:color w:val="000000"/>
                <w:sz w:val="24"/>
                <w:szCs w:val="24"/>
              </w:rPr>
              <w:tab/>
            </w:r>
          </w:hyperlink>
          <w:r>
            <w:fldChar w:fldCharType="begin"/>
          </w:r>
          <w:r>
            <w:instrText xml:space="preserve"> PAGEREF _cq4e1be4zkom \h </w:instrText>
          </w:r>
          <w:r>
            <w:fldChar w:fldCharType="separate"/>
          </w:r>
          <w:r>
            <w:rPr>
              <w:rFonts w:ascii="Times New Roman" w:eastAsia="Times New Roman" w:hAnsi="Times New Roman" w:cs="Times New Roman"/>
              <w:sz w:val="24"/>
              <w:szCs w:val="24"/>
            </w:rPr>
            <w:t>1</w:t>
          </w:r>
          <w:r>
            <w:fldChar w:fldCharType="end"/>
          </w:r>
        </w:p>
        <w:p w14:paraId="448EBDC5"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ak1whyrbjnny">
            <w:r>
              <w:rPr>
                <w:rFonts w:ascii="Times New Roman" w:eastAsia="Times New Roman" w:hAnsi="Times New Roman" w:cs="Times New Roman"/>
                <w:color w:val="000000"/>
                <w:sz w:val="24"/>
                <w:szCs w:val="24"/>
              </w:rPr>
              <w:t>1.3 External Marketing Environment Actor 2: Political and Regulatory Environment</w:t>
            </w:r>
            <w:r>
              <w:rPr>
                <w:rFonts w:ascii="Times New Roman" w:eastAsia="Times New Roman" w:hAnsi="Times New Roman" w:cs="Times New Roman"/>
                <w:color w:val="000000"/>
                <w:sz w:val="24"/>
                <w:szCs w:val="24"/>
              </w:rPr>
              <w:tab/>
            </w:r>
          </w:hyperlink>
          <w:r>
            <w:fldChar w:fldCharType="begin"/>
          </w:r>
          <w:r>
            <w:instrText xml:space="preserve"> PAGEREF _ak1whyrbjnny \h </w:instrText>
          </w:r>
          <w:r>
            <w:fldChar w:fldCharType="separate"/>
          </w:r>
          <w:r>
            <w:rPr>
              <w:rFonts w:ascii="Times New Roman" w:eastAsia="Times New Roman" w:hAnsi="Times New Roman" w:cs="Times New Roman"/>
              <w:sz w:val="24"/>
              <w:szCs w:val="24"/>
            </w:rPr>
            <w:t>4</w:t>
          </w:r>
          <w:r>
            <w:fldChar w:fldCharType="end"/>
          </w:r>
        </w:p>
        <w:p w14:paraId="33131931" w14:textId="77777777" w:rsidR="003B078D" w:rsidRDefault="00000000">
          <w:pPr>
            <w:widowControl w:val="0"/>
            <w:tabs>
              <w:tab w:val="right" w:leader="dot" w:pos="9417"/>
            </w:tabs>
            <w:spacing w:before="60"/>
            <w:rPr>
              <w:rFonts w:ascii="Times New Roman" w:eastAsia="Times New Roman" w:hAnsi="Times New Roman" w:cs="Times New Roman"/>
              <w:b/>
              <w:bCs/>
              <w:color w:val="000000"/>
              <w:sz w:val="24"/>
              <w:szCs w:val="24"/>
            </w:rPr>
          </w:pPr>
          <w:hyperlink w:anchor="_blsyxietzgc5">
            <w:r>
              <w:rPr>
                <w:rFonts w:ascii="Times New Roman" w:eastAsia="Times New Roman" w:hAnsi="Times New Roman" w:cs="Times New Roman"/>
                <w:b/>
                <w:bCs/>
                <w:color w:val="000000"/>
                <w:sz w:val="24"/>
                <w:szCs w:val="24"/>
              </w:rPr>
              <w:t>2. Task 2: Strategic Growth and Competitive Positioning</w:t>
            </w:r>
            <w:r>
              <w:rPr>
                <w:rFonts w:ascii="Times New Roman" w:eastAsia="Times New Roman" w:hAnsi="Times New Roman" w:cs="Times New Roman"/>
                <w:b/>
                <w:bCs/>
                <w:color w:val="000000"/>
                <w:sz w:val="24"/>
                <w:szCs w:val="24"/>
              </w:rPr>
              <w:tab/>
            </w:r>
          </w:hyperlink>
          <w:r>
            <w:fldChar w:fldCharType="begin"/>
          </w:r>
          <w:r>
            <w:instrText xml:space="preserve"> PAGEREF _blsyxietzgc5 \h </w:instrText>
          </w:r>
          <w:r>
            <w:fldChar w:fldCharType="separate"/>
          </w:r>
          <w:r>
            <w:rPr>
              <w:rFonts w:ascii="Times New Roman" w:eastAsia="Times New Roman" w:hAnsi="Times New Roman" w:cs="Times New Roman"/>
              <w:b/>
              <w:bCs/>
              <w:sz w:val="24"/>
              <w:szCs w:val="24"/>
            </w:rPr>
            <w:t>4</w:t>
          </w:r>
          <w:r>
            <w:fldChar w:fldCharType="end"/>
          </w:r>
        </w:p>
        <w:p w14:paraId="7EBA327B"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ml2y2akw9enr">
            <w:r>
              <w:rPr>
                <w:rFonts w:ascii="Times New Roman" w:eastAsia="Times New Roman" w:hAnsi="Times New Roman" w:cs="Times New Roman"/>
                <w:color w:val="000000"/>
                <w:sz w:val="24"/>
                <w:szCs w:val="24"/>
              </w:rPr>
              <w:t>2.1 Strategic Growth Recommendation Using the Ansoff Matrix</w:t>
            </w:r>
            <w:r>
              <w:rPr>
                <w:rFonts w:ascii="Times New Roman" w:eastAsia="Times New Roman" w:hAnsi="Times New Roman" w:cs="Times New Roman"/>
                <w:color w:val="000000"/>
                <w:sz w:val="24"/>
                <w:szCs w:val="24"/>
              </w:rPr>
              <w:tab/>
            </w:r>
          </w:hyperlink>
          <w:r>
            <w:fldChar w:fldCharType="begin"/>
          </w:r>
          <w:r>
            <w:instrText xml:space="preserve"> PAGEREF _ml2y2akw9enr \h </w:instrText>
          </w:r>
          <w:r>
            <w:fldChar w:fldCharType="separate"/>
          </w:r>
          <w:r>
            <w:rPr>
              <w:rFonts w:ascii="Times New Roman" w:eastAsia="Times New Roman" w:hAnsi="Times New Roman" w:cs="Times New Roman"/>
              <w:sz w:val="24"/>
              <w:szCs w:val="24"/>
            </w:rPr>
            <w:t>4</w:t>
          </w:r>
          <w:r>
            <w:fldChar w:fldCharType="end"/>
          </w:r>
        </w:p>
        <w:p w14:paraId="482F960A"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66st3p9pzg8w">
            <w:r>
              <w:rPr>
                <w:rFonts w:ascii="Times New Roman" w:eastAsia="Times New Roman" w:hAnsi="Times New Roman" w:cs="Times New Roman"/>
                <w:color w:val="000000"/>
                <w:sz w:val="24"/>
                <w:szCs w:val="24"/>
              </w:rPr>
              <w:t>2.2 Competitive Advantage Through a Lower-Carbon Business Model</w:t>
            </w:r>
            <w:r>
              <w:rPr>
                <w:rFonts w:ascii="Times New Roman" w:eastAsia="Times New Roman" w:hAnsi="Times New Roman" w:cs="Times New Roman"/>
                <w:color w:val="000000"/>
                <w:sz w:val="24"/>
                <w:szCs w:val="24"/>
              </w:rPr>
              <w:tab/>
            </w:r>
          </w:hyperlink>
          <w:r>
            <w:fldChar w:fldCharType="begin"/>
          </w:r>
          <w:r>
            <w:instrText xml:space="preserve"> PAGEREF _66st3p9pzg8w \h </w:instrText>
          </w:r>
          <w:r>
            <w:fldChar w:fldCharType="separate"/>
          </w:r>
          <w:r>
            <w:rPr>
              <w:rFonts w:ascii="Times New Roman" w:eastAsia="Times New Roman" w:hAnsi="Times New Roman" w:cs="Times New Roman"/>
              <w:sz w:val="24"/>
              <w:szCs w:val="24"/>
            </w:rPr>
            <w:t>6</w:t>
          </w:r>
          <w:r>
            <w:fldChar w:fldCharType="end"/>
          </w:r>
        </w:p>
        <w:p w14:paraId="649BD320"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za6eanfl7ocb">
            <w:r>
              <w:rPr>
                <w:rFonts w:ascii="Times New Roman" w:eastAsia="Times New Roman" w:hAnsi="Times New Roman" w:cs="Times New Roman"/>
                <w:color w:val="000000"/>
                <w:sz w:val="24"/>
                <w:szCs w:val="24"/>
              </w:rPr>
              <w:t>2.3 Summary of Strategic Recommendation</w:t>
            </w:r>
            <w:r>
              <w:rPr>
                <w:rFonts w:ascii="Times New Roman" w:eastAsia="Times New Roman" w:hAnsi="Times New Roman" w:cs="Times New Roman"/>
                <w:color w:val="000000"/>
                <w:sz w:val="24"/>
                <w:szCs w:val="24"/>
              </w:rPr>
              <w:tab/>
            </w:r>
          </w:hyperlink>
          <w:r>
            <w:fldChar w:fldCharType="begin"/>
          </w:r>
          <w:r>
            <w:instrText xml:space="preserve"> PAGEREF _za6eanfl7ocb \h </w:instrText>
          </w:r>
          <w:r>
            <w:fldChar w:fldCharType="separate"/>
          </w:r>
          <w:r>
            <w:rPr>
              <w:rFonts w:ascii="Times New Roman" w:eastAsia="Times New Roman" w:hAnsi="Times New Roman" w:cs="Times New Roman"/>
              <w:sz w:val="24"/>
              <w:szCs w:val="24"/>
            </w:rPr>
            <w:t>7</w:t>
          </w:r>
          <w:r>
            <w:fldChar w:fldCharType="end"/>
          </w:r>
        </w:p>
        <w:p w14:paraId="48FF5621" w14:textId="77777777" w:rsidR="003B078D" w:rsidRDefault="00000000">
          <w:pPr>
            <w:widowControl w:val="0"/>
            <w:tabs>
              <w:tab w:val="right" w:leader="dot" w:pos="9417"/>
            </w:tabs>
            <w:spacing w:before="60"/>
            <w:rPr>
              <w:rFonts w:ascii="Times New Roman" w:eastAsia="Times New Roman" w:hAnsi="Times New Roman" w:cs="Times New Roman"/>
              <w:b/>
              <w:bCs/>
              <w:color w:val="000000"/>
              <w:sz w:val="24"/>
              <w:szCs w:val="24"/>
            </w:rPr>
          </w:pPr>
          <w:hyperlink w:anchor="_9d95b05g1v1r">
            <w:r>
              <w:rPr>
                <w:rFonts w:ascii="Times New Roman" w:eastAsia="Times New Roman" w:hAnsi="Times New Roman" w:cs="Times New Roman"/>
                <w:b/>
                <w:bCs/>
                <w:color w:val="000000"/>
                <w:sz w:val="24"/>
                <w:szCs w:val="24"/>
              </w:rPr>
              <w:t>3. Task 3: Critical Reflection on AI Usage</w:t>
            </w:r>
            <w:r>
              <w:rPr>
                <w:rFonts w:ascii="Times New Roman" w:eastAsia="Times New Roman" w:hAnsi="Times New Roman" w:cs="Times New Roman"/>
                <w:b/>
                <w:bCs/>
                <w:color w:val="000000"/>
                <w:sz w:val="24"/>
                <w:szCs w:val="24"/>
              </w:rPr>
              <w:tab/>
            </w:r>
          </w:hyperlink>
          <w:r>
            <w:fldChar w:fldCharType="begin"/>
          </w:r>
          <w:r>
            <w:instrText xml:space="preserve"> PAGEREF _9d95b05g1v1r \h </w:instrText>
          </w:r>
          <w:r>
            <w:fldChar w:fldCharType="separate"/>
          </w:r>
          <w:r>
            <w:rPr>
              <w:rFonts w:ascii="Times New Roman" w:eastAsia="Times New Roman" w:hAnsi="Times New Roman" w:cs="Times New Roman"/>
              <w:b/>
              <w:bCs/>
              <w:sz w:val="24"/>
              <w:szCs w:val="24"/>
            </w:rPr>
            <w:t>8</w:t>
          </w:r>
          <w:r>
            <w:fldChar w:fldCharType="end"/>
          </w:r>
        </w:p>
        <w:p w14:paraId="06981239"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uwhzet3xkz54">
            <w:r>
              <w:rPr>
                <w:rFonts w:ascii="Times New Roman" w:eastAsia="Times New Roman" w:hAnsi="Times New Roman" w:cs="Times New Roman"/>
                <w:color w:val="000000"/>
                <w:sz w:val="24"/>
                <w:szCs w:val="24"/>
              </w:rPr>
              <w:t>3.1 Tool Disclosure</w:t>
            </w:r>
            <w:r>
              <w:rPr>
                <w:rFonts w:ascii="Times New Roman" w:eastAsia="Times New Roman" w:hAnsi="Times New Roman" w:cs="Times New Roman"/>
                <w:color w:val="000000"/>
                <w:sz w:val="24"/>
                <w:szCs w:val="24"/>
              </w:rPr>
              <w:tab/>
            </w:r>
          </w:hyperlink>
          <w:r>
            <w:fldChar w:fldCharType="begin"/>
          </w:r>
          <w:r>
            <w:instrText xml:space="preserve"> PAGEREF _uwhzet3xkz54 \h </w:instrText>
          </w:r>
          <w:r>
            <w:fldChar w:fldCharType="separate"/>
          </w:r>
          <w:r>
            <w:rPr>
              <w:rFonts w:ascii="Times New Roman" w:eastAsia="Times New Roman" w:hAnsi="Times New Roman" w:cs="Times New Roman"/>
              <w:sz w:val="24"/>
              <w:szCs w:val="24"/>
            </w:rPr>
            <w:t>8</w:t>
          </w:r>
          <w:r>
            <w:fldChar w:fldCharType="end"/>
          </w:r>
        </w:p>
        <w:p w14:paraId="12FFCD35"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wwn49k1sxzli">
            <w:r>
              <w:rPr>
                <w:rFonts w:ascii="Times New Roman" w:eastAsia="Times New Roman" w:hAnsi="Times New Roman" w:cs="Times New Roman"/>
                <w:color w:val="000000"/>
                <w:sz w:val="24"/>
                <w:szCs w:val="24"/>
              </w:rPr>
              <w:t>3.2 Critical Evaluation of AI Output</w:t>
            </w:r>
            <w:r>
              <w:rPr>
                <w:rFonts w:ascii="Times New Roman" w:eastAsia="Times New Roman" w:hAnsi="Times New Roman" w:cs="Times New Roman"/>
                <w:color w:val="000000"/>
                <w:sz w:val="24"/>
                <w:szCs w:val="24"/>
              </w:rPr>
              <w:tab/>
            </w:r>
          </w:hyperlink>
          <w:r>
            <w:fldChar w:fldCharType="begin"/>
          </w:r>
          <w:r>
            <w:instrText xml:space="preserve"> PAGEREF _wwn49k1sxzli \h </w:instrText>
          </w:r>
          <w:r>
            <w:fldChar w:fldCharType="separate"/>
          </w:r>
          <w:r>
            <w:rPr>
              <w:rFonts w:ascii="Times New Roman" w:eastAsia="Times New Roman" w:hAnsi="Times New Roman" w:cs="Times New Roman"/>
              <w:sz w:val="24"/>
              <w:szCs w:val="24"/>
            </w:rPr>
            <w:t>8</w:t>
          </w:r>
          <w:r>
            <w:fldChar w:fldCharType="end"/>
          </w:r>
        </w:p>
        <w:p w14:paraId="7A701C14"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p7owrkocxb2x">
            <w:r>
              <w:rPr>
                <w:rFonts w:ascii="Times New Roman" w:eastAsia="Times New Roman" w:hAnsi="Times New Roman" w:cs="Times New Roman"/>
                <w:color w:val="000000"/>
                <w:sz w:val="24"/>
                <w:szCs w:val="24"/>
              </w:rPr>
              <w:t>3.3 Contribution Analysis</w:t>
            </w:r>
            <w:r>
              <w:rPr>
                <w:rFonts w:ascii="Times New Roman" w:eastAsia="Times New Roman" w:hAnsi="Times New Roman" w:cs="Times New Roman"/>
                <w:color w:val="000000"/>
                <w:sz w:val="24"/>
                <w:szCs w:val="24"/>
              </w:rPr>
              <w:tab/>
            </w:r>
          </w:hyperlink>
          <w:r>
            <w:fldChar w:fldCharType="begin"/>
          </w:r>
          <w:r>
            <w:instrText xml:space="preserve"> PAGEREF _p7owrkocxb2x \h </w:instrText>
          </w:r>
          <w:r>
            <w:fldChar w:fldCharType="separate"/>
          </w:r>
          <w:r>
            <w:rPr>
              <w:rFonts w:ascii="Times New Roman" w:eastAsia="Times New Roman" w:hAnsi="Times New Roman" w:cs="Times New Roman"/>
              <w:sz w:val="24"/>
              <w:szCs w:val="24"/>
            </w:rPr>
            <w:t>9</w:t>
          </w:r>
          <w:r>
            <w:fldChar w:fldCharType="end"/>
          </w:r>
        </w:p>
        <w:p w14:paraId="39F22374" w14:textId="77777777" w:rsidR="003B078D" w:rsidRDefault="00000000">
          <w:pPr>
            <w:widowControl w:val="0"/>
            <w:tabs>
              <w:tab w:val="right" w:leader="dot" w:pos="9417"/>
            </w:tabs>
            <w:spacing w:before="60"/>
            <w:ind w:left="360"/>
            <w:rPr>
              <w:rFonts w:ascii="Times New Roman" w:eastAsia="Times New Roman" w:hAnsi="Times New Roman" w:cs="Times New Roman"/>
              <w:color w:val="000000"/>
              <w:sz w:val="24"/>
              <w:szCs w:val="24"/>
            </w:rPr>
          </w:pPr>
          <w:hyperlink w:anchor="_hhrht75ir9jc">
            <w:r>
              <w:rPr>
                <w:rFonts w:ascii="Times New Roman" w:eastAsia="Times New Roman" w:hAnsi="Times New Roman" w:cs="Times New Roman"/>
                <w:color w:val="000000"/>
                <w:sz w:val="24"/>
                <w:szCs w:val="24"/>
              </w:rPr>
              <w:t>3.4 Ethical and Professional Reflection</w:t>
            </w:r>
            <w:r>
              <w:rPr>
                <w:rFonts w:ascii="Times New Roman" w:eastAsia="Times New Roman" w:hAnsi="Times New Roman" w:cs="Times New Roman"/>
                <w:color w:val="000000"/>
                <w:sz w:val="24"/>
                <w:szCs w:val="24"/>
              </w:rPr>
              <w:tab/>
            </w:r>
          </w:hyperlink>
          <w:r>
            <w:fldChar w:fldCharType="begin"/>
          </w:r>
          <w:r>
            <w:instrText xml:space="preserve"> PAGEREF _hhrht75ir9jc \h </w:instrText>
          </w:r>
          <w:r>
            <w:fldChar w:fldCharType="separate"/>
          </w:r>
          <w:r>
            <w:rPr>
              <w:rFonts w:ascii="Times New Roman" w:eastAsia="Times New Roman" w:hAnsi="Times New Roman" w:cs="Times New Roman"/>
              <w:sz w:val="24"/>
              <w:szCs w:val="24"/>
            </w:rPr>
            <w:t>9</w:t>
          </w:r>
          <w:r>
            <w:fldChar w:fldCharType="end"/>
          </w:r>
        </w:p>
        <w:p w14:paraId="1946DA1B" w14:textId="77777777" w:rsidR="003B078D" w:rsidRDefault="00000000">
          <w:pPr>
            <w:widowControl w:val="0"/>
            <w:tabs>
              <w:tab w:val="right" w:leader="dot" w:pos="9417"/>
            </w:tabs>
            <w:spacing w:before="60"/>
            <w:rPr>
              <w:rFonts w:ascii="Times New Roman" w:eastAsia="Times New Roman" w:hAnsi="Times New Roman" w:cs="Times New Roman"/>
              <w:b/>
              <w:bCs/>
              <w:color w:val="000000"/>
              <w:sz w:val="24"/>
              <w:szCs w:val="24"/>
            </w:rPr>
          </w:pPr>
          <w:hyperlink w:anchor="_t5qwjrha4gll">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r>
          </w:hyperlink>
          <w:r>
            <w:fldChar w:fldCharType="begin"/>
          </w:r>
          <w:r>
            <w:instrText xml:space="preserve"> PAGEREF _t5qwjrha4gll \h </w:instrText>
          </w:r>
          <w:r>
            <w:fldChar w:fldCharType="separate"/>
          </w:r>
          <w:r>
            <w:rPr>
              <w:rFonts w:ascii="Times New Roman" w:eastAsia="Times New Roman" w:hAnsi="Times New Roman" w:cs="Times New Roman"/>
              <w:b/>
              <w:bCs/>
              <w:sz w:val="24"/>
              <w:szCs w:val="24"/>
            </w:rPr>
            <w:t>9</w:t>
          </w:r>
          <w:r>
            <w:fldChar w:fldCharType="end"/>
          </w:r>
          <w:r>
            <w:fldChar w:fldCharType="end"/>
          </w:r>
        </w:p>
      </w:sdtContent>
    </w:sdt>
    <w:p w14:paraId="4E2A03CB" w14:textId="77777777" w:rsidR="003B078D" w:rsidRDefault="003B078D">
      <w:pPr>
        <w:spacing w:after="80"/>
        <w:rPr>
          <w:rFonts w:ascii="Times New Roman" w:eastAsia="Times New Roman" w:hAnsi="Times New Roman" w:cs="Times New Roman"/>
          <w:sz w:val="24"/>
          <w:szCs w:val="24"/>
        </w:rPr>
      </w:pPr>
    </w:p>
    <w:p w14:paraId="3CE04F40" w14:textId="77777777" w:rsidR="003B078D" w:rsidRDefault="003B078D">
      <w:pPr>
        <w:spacing w:after="80"/>
        <w:rPr>
          <w:rFonts w:ascii="Times New Roman" w:eastAsia="Times New Roman" w:hAnsi="Times New Roman" w:cs="Times New Roman"/>
          <w:sz w:val="24"/>
          <w:szCs w:val="24"/>
        </w:rPr>
      </w:pPr>
    </w:p>
    <w:p w14:paraId="044D0F30" w14:textId="77777777" w:rsidR="003B078D" w:rsidRDefault="003B078D">
      <w:pPr>
        <w:spacing w:after="80"/>
        <w:rPr>
          <w:rFonts w:ascii="Times New Roman" w:eastAsia="Times New Roman" w:hAnsi="Times New Roman" w:cs="Times New Roman"/>
          <w:sz w:val="24"/>
          <w:szCs w:val="24"/>
        </w:rPr>
      </w:pPr>
    </w:p>
    <w:p w14:paraId="1B4C5C1D" w14:textId="77777777" w:rsidR="003B078D" w:rsidRDefault="003B078D">
      <w:pPr>
        <w:spacing w:after="80"/>
        <w:rPr>
          <w:rFonts w:ascii="Times New Roman" w:eastAsia="Times New Roman" w:hAnsi="Times New Roman" w:cs="Times New Roman"/>
          <w:sz w:val="24"/>
          <w:szCs w:val="24"/>
        </w:rPr>
      </w:pPr>
    </w:p>
    <w:p w14:paraId="5B767670" w14:textId="77777777" w:rsidR="003B078D" w:rsidRDefault="003B078D">
      <w:pPr>
        <w:spacing w:after="80"/>
        <w:rPr>
          <w:rFonts w:ascii="Times New Roman" w:eastAsia="Times New Roman" w:hAnsi="Times New Roman" w:cs="Times New Roman"/>
          <w:sz w:val="24"/>
          <w:szCs w:val="24"/>
        </w:rPr>
      </w:pPr>
    </w:p>
    <w:p w14:paraId="6AAA7F7A" w14:textId="77777777" w:rsidR="003B078D" w:rsidRDefault="003B078D">
      <w:pPr>
        <w:spacing w:after="80"/>
        <w:rPr>
          <w:rFonts w:ascii="Times New Roman" w:eastAsia="Times New Roman" w:hAnsi="Times New Roman" w:cs="Times New Roman"/>
          <w:sz w:val="24"/>
          <w:szCs w:val="24"/>
        </w:rPr>
      </w:pPr>
    </w:p>
    <w:p w14:paraId="29E94E87" w14:textId="77777777" w:rsidR="003B078D" w:rsidRDefault="003B078D">
      <w:pPr>
        <w:spacing w:after="80"/>
        <w:rPr>
          <w:rFonts w:ascii="Times New Roman" w:eastAsia="Times New Roman" w:hAnsi="Times New Roman" w:cs="Times New Roman"/>
          <w:sz w:val="24"/>
          <w:szCs w:val="24"/>
        </w:rPr>
      </w:pPr>
    </w:p>
    <w:p w14:paraId="76765766" w14:textId="77777777" w:rsidR="003B078D" w:rsidRDefault="003B078D">
      <w:pPr>
        <w:spacing w:after="80"/>
        <w:rPr>
          <w:rFonts w:ascii="Times New Roman" w:eastAsia="Times New Roman" w:hAnsi="Times New Roman" w:cs="Times New Roman"/>
          <w:sz w:val="24"/>
          <w:szCs w:val="24"/>
        </w:rPr>
      </w:pPr>
    </w:p>
    <w:p w14:paraId="3503D366" w14:textId="77777777" w:rsidR="003B078D" w:rsidRDefault="003B078D">
      <w:pPr>
        <w:spacing w:after="80"/>
        <w:rPr>
          <w:rFonts w:ascii="Times New Roman" w:eastAsia="Times New Roman" w:hAnsi="Times New Roman" w:cs="Times New Roman"/>
          <w:sz w:val="24"/>
          <w:szCs w:val="24"/>
        </w:rPr>
      </w:pPr>
    </w:p>
    <w:p w14:paraId="6ED1C6E5" w14:textId="77777777" w:rsidR="003B078D" w:rsidRDefault="003B078D">
      <w:pPr>
        <w:spacing w:after="80"/>
        <w:rPr>
          <w:rFonts w:ascii="Times New Roman" w:eastAsia="Times New Roman" w:hAnsi="Times New Roman" w:cs="Times New Roman"/>
          <w:sz w:val="24"/>
          <w:szCs w:val="24"/>
        </w:rPr>
      </w:pPr>
    </w:p>
    <w:p w14:paraId="00C82D0A" w14:textId="77777777" w:rsidR="003B078D" w:rsidRDefault="003B078D">
      <w:pPr>
        <w:spacing w:after="80"/>
        <w:rPr>
          <w:rFonts w:ascii="Times New Roman" w:eastAsia="Times New Roman" w:hAnsi="Times New Roman" w:cs="Times New Roman"/>
          <w:sz w:val="24"/>
          <w:szCs w:val="24"/>
        </w:rPr>
      </w:pPr>
    </w:p>
    <w:p w14:paraId="1A749733" w14:textId="77777777" w:rsidR="003B078D" w:rsidRDefault="003B078D">
      <w:pPr>
        <w:spacing w:after="80"/>
        <w:rPr>
          <w:rFonts w:ascii="Times New Roman" w:eastAsia="Times New Roman" w:hAnsi="Times New Roman" w:cs="Times New Roman"/>
          <w:sz w:val="24"/>
          <w:szCs w:val="24"/>
        </w:rPr>
      </w:pPr>
    </w:p>
    <w:p w14:paraId="05D94CB5" w14:textId="77777777" w:rsidR="003B078D" w:rsidRDefault="003B078D">
      <w:pPr>
        <w:spacing w:after="80"/>
        <w:rPr>
          <w:rFonts w:ascii="Times New Roman" w:eastAsia="Times New Roman" w:hAnsi="Times New Roman" w:cs="Times New Roman"/>
          <w:sz w:val="24"/>
          <w:szCs w:val="24"/>
        </w:rPr>
      </w:pPr>
    </w:p>
    <w:p w14:paraId="7C607E2D" w14:textId="77777777" w:rsidR="003B078D" w:rsidRDefault="003B078D">
      <w:pPr>
        <w:spacing w:after="80"/>
        <w:rPr>
          <w:rFonts w:ascii="Times New Roman" w:eastAsia="Times New Roman" w:hAnsi="Times New Roman" w:cs="Times New Roman"/>
          <w:sz w:val="24"/>
          <w:szCs w:val="24"/>
        </w:rPr>
      </w:pPr>
    </w:p>
    <w:p w14:paraId="1CD5724F" w14:textId="77777777" w:rsidR="003B078D" w:rsidRDefault="003B078D">
      <w:pPr>
        <w:spacing w:after="80"/>
        <w:rPr>
          <w:rFonts w:ascii="Times New Roman" w:eastAsia="Times New Roman" w:hAnsi="Times New Roman" w:cs="Times New Roman"/>
          <w:sz w:val="24"/>
          <w:szCs w:val="24"/>
        </w:rPr>
      </w:pPr>
    </w:p>
    <w:p w14:paraId="438EF66C" w14:textId="77777777" w:rsidR="003B078D" w:rsidRDefault="003B078D">
      <w:pPr>
        <w:spacing w:after="80"/>
        <w:rPr>
          <w:rFonts w:ascii="Times New Roman" w:eastAsia="Times New Roman" w:hAnsi="Times New Roman" w:cs="Times New Roman"/>
          <w:sz w:val="24"/>
          <w:szCs w:val="24"/>
        </w:rPr>
      </w:pPr>
    </w:p>
    <w:p w14:paraId="5E907023" w14:textId="77777777" w:rsidR="003B078D" w:rsidRDefault="003B078D">
      <w:pPr>
        <w:spacing w:after="80"/>
        <w:rPr>
          <w:rFonts w:ascii="Times New Roman" w:eastAsia="Times New Roman" w:hAnsi="Times New Roman" w:cs="Times New Roman"/>
          <w:sz w:val="24"/>
          <w:szCs w:val="24"/>
        </w:rPr>
      </w:pPr>
    </w:p>
    <w:p w14:paraId="662AE5EC"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0" w:name="_acys2j6ubwk0" w:colFirst="0" w:colLast="0"/>
      <w:bookmarkEnd w:id="0"/>
      <w:r>
        <w:rPr>
          <w:rFonts w:ascii="Times New Roman" w:eastAsia="Times New Roman" w:hAnsi="Times New Roman" w:cs="Times New Roman"/>
          <w:b/>
          <w:bCs/>
          <w:sz w:val="24"/>
          <w:szCs w:val="24"/>
        </w:rPr>
        <w:lastRenderedPageBreak/>
        <w:t xml:space="preserve">1. Task 1: Marketing Environment Analysis </w:t>
      </w:r>
    </w:p>
    <w:p w14:paraId="16C38E91"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 w:name="_govoqgf048au" w:colFirst="0" w:colLast="0"/>
      <w:bookmarkEnd w:id="1"/>
      <w:r>
        <w:rPr>
          <w:rFonts w:ascii="Times New Roman" w:eastAsia="Times New Roman" w:hAnsi="Times New Roman" w:cs="Times New Roman"/>
          <w:b/>
          <w:bCs/>
          <w:color w:val="000000"/>
          <w:sz w:val="24"/>
          <w:szCs w:val="24"/>
        </w:rPr>
        <w:t xml:space="preserve">1.1 Company Selection and Context: Codelco </w:t>
      </w:r>
    </w:p>
    <w:p w14:paraId="6740FF81"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 Corporación Nacional del Cobre de Chile, is a Chilean state-owned mining company and one of the strategically most important copper producers of the global metals and mining industry. Codelco's own copper production for 2024 was 1.328 million tonnes. Consolidated copper production for 2024 reached 1.442 million tonnes (Codelco, 2025a). Codelco maintains its relevance in the global supply of copper. The International Energy Agency estimates that the clean-technology demand for copper will increase from 7,737 kt in 2024 to 10,910 kt in 2030. This significant increase in demand will positively impact Codelco, one of the largest copper producers (IEA, 2025). Codelco's marketing environment is influenced by water and environmental resources, carbon and other regulatory pressures, and most significantly, stakeholder expectations. The two most important external actors are the natural environment and the political or regulatory environment.</w:t>
      </w:r>
    </w:p>
    <w:p w14:paraId="4396E5DC"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2" w:name="_cq4e1be4zkom" w:colFirst="0" w:colLast="0"/>
      <w:bookmarkEnd w:id="2"/>
      <w:r>
        <w:rPr>
          <w:rFonts w:ascii="Times New Roman" w:eastAsia="Times New Roman" w:hAnsi="Times New Roman" w:cs="Times New Roman"/>
          <w:b/>
          <w:bCs/>
          <w:color w:val="000000"/>
          <w:sz w:val="24"/>
          <w:szCs w:val="24"/>
        </w:rPr>
        <w:t xml:space="preserve">1.2 External Marketing Environment Actor 1: Natural Environment </w:t>
      </w:r>
    </w:p>
    <w:p w14:paraId="0EFCF547"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 is mainly influenced by the natural environment as it is the most notable external marketing environment actor and an obstacle toward producing lower-carbon products. Mining presents both decarbonization opportunities and challenges. Codelco faces a strategic challenge. On the one hand, copper is essential to decarbonization efforts and Climate change initiatives. On the other, copper extraction is a water and energy intensive process.</w:t>
      </w:r>
    </w:p>
    <w:p w14:paraId="195A5BC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Mining companies are responsible for actively decarbonizing to offset the effects of climate change. This adds pressure to Codelco, as the Chilean copper mines are highly carbon intensive. Reports estimate that copper extraction represents about 7% of the greenhouse gasses emitted from Chile (IKI, 2021). Codelco faces a market threat in the electric vehicle and green energy markets and copper with a high carbon footprint is becoming less and less acceptable. Codelco also stands to gain from the threat as the production of lower carbon copper allows them to strengthen their market as a responsible supplier.</w:t>
      </w:r>
    </w:p>
    <w:p w14:paraId="3A803AA9"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has undergone substantial improvements to mitigate environmental impact. Codelco set a 27% reduction goal in Scope 1 and 2 emissions by 2024, compared to 2019 levels. Codelco set a goal of carbon neutrality by 2050. Codelco also set a goal of a 25% reduction in Scope 3 emissions by 2030. Codelco seeks to completely electrify personnel transport by 2040. Codelco signed contracts to achieve 100% renewable energy sources in its energy mix by 2030 (Codelco, 2025b). Codelco is working toward a stronger marketing position. All of the aforementioned improvements show a commitment to sustainable development. The sustainable development of Codelco has also provided an opportunity for the marketing of low-carbon electricity, electric transport, and cleaner production technologies. The transition is also expensive with an uncertain outcome and complex operations. Mining technologies focused on green solutions pose the </w:t>
      </w:r>
      <w:r>
        <w:rPr>
          <w:rFonts w:ascii="Times New Roman" w:eastAsia="Times New Roman" w:hAnsi="Times New Roman" w:cs="Times New Roman"/>
          <w:sz w:val="24"/>
          <w:szCs w:val="24"/>
        </w:rPr>
        <w:lastRenderedPageBreak/>
        <w:t>opportunity to capture a market, but require a significant investment, and a regulatory framework, and are high risk (Onifade et al., 2024).</w:t>
      </w:r>
    </w:p>
    <w:p w14:paraId="64573CE9"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Water scarcity is also a concern in the natural environment. Mining copper is water intensive. The IEA states that copper and lithium are especially vulnerable to water scarcity due to the high water-stress areas concentrated in their essential production (IEA, 2021). Codelco also has a particular interest in this due to the positioning of many of the Chilean mines in arid to semi-arid regions. Codelco has set a goal to decrease the use of freshwater in mining operations by 60% in water stressed areas by 2030 and to use less than 10% freshwater in highly water stressed areas by 2035 (Codelco, 2025b). In water-stressed basins, Codelco (2025c) indicated that, in 2024, there was a 12% improvement from the previous year, with a reduction of 310 liters per second in the consumption of water from these basins due to recirculation projects and the use of treated wastewater. There is a potential market upside, as the reclamation of wastewater and the recirculation of water improve responsible water use and build relationships with communities, regulatory agents, and industrial customers. However, water scarcity threatens operations since it may increase the cost of doing business, limit production, postpone projects, and negatively impact the corporate image.</w:t>
      </w:r>
    </w:p>
    <w:p w14:paraId="01C8967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Codelco’s marketing environment would also be affected by the disturbance of land and impact on biodiversity. Since Codelco is integrating a circular economy, in 2024, he achieved a recycling rate of 49.4% for non-hazardous waste and 5,835 tons of end-of-life tires (Codelco, 2025c). Particularly in 2024, the Copper Mark responsible production certificate was achieved in all production units of Codelco. While enhancing the image of responsible production, sustainability reporting and certificates must be backed by actual performance to prevent the accusation of greenwashing.</w:t>
      </w:r>
    </w:p>
    <w:p w14:paraId="0741AC60"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5D0EEE3" wp14:editId="1B695821">
            <wp:extent cx="5981700" cy="265539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t="2612"/>
                    <a:stretch>
                      <a:fillRect/>
                    </a:stretch>
                  </pic:blipFill>
                  <pic:spPr>
                    <a:xfrm>
                      <a:off x="0" y="0"/>
                      <a:ext cx="5981700" cy="2655392"/>
                    </a:xfrm>
                    <a:prstGeom prst="rect">
                      <a:avLst/>
                    </a:prstGeom>
                    <a:ln/>
                  </pic:spPr>
                </pic:pic>
              </a:graphicData>
            </a:graphic>
          </wp:inline>
        </w:drawing>
      </w:r>
    </w:p>
    <w:p w14:paraId="7D7EA17C"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1.1: Natural Environment Opportunities and Threats for Codelco</w:t>
      </w:r>
    </w:p>
    <w:p w14:paraId="7E06153C"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Demand for production of copper that is traceable, lower in carbon, and produced with consideration for social responsibilities, is growing among customers. Therefore, the capacity of Codelco to lower its emissions, functionally and manage its water supply and actively report on its Environmental improvements will impact its long-term competitiveness.</w:t>
      </w:r>
    </w:p>
    <w:p w14:paraId="4A6991D0"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3" w:name="_ak1whyrbjnny" w:colFirst="0" w:colLast="0"/>
      <w:bookmarkEnd w:id="3"/>
      <w:r>
        <w:rPr>
          <w:rFonts w:ascii="Times New Roman" w:eastAsia="Times New Roman" w:hAnsi="Times New Roman" w:cs="Times New Roman"/>
          <w:b/>
          <w:bCs/>
          <w:color w:val="000000"/>
          <w:sz w:val="24"/>
          <w:szCs w:val="24"/>
        </w:rPr>
        <w:t xml:space="preserve">1.3 External Marketing Environment Actor 2: Political and Regulatory Environment </w:t>
      </w:r>
    </w:p>
    <w:p w14:paraId="4F0BAB82"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and Regulatory environment is the second most important external actor in Codelco's case, because Codelco operates in an industry which is highly influenced by state control, Environmental law, mining taxation, and global sustainability concerns. This is especially significant because of the state ownership of Codelco, which means that it has to fulfill both its commercial obligation and its public-policy obligation. </w:t>
      </w:r>
    </w:p>
    <w:p w14:paraId="0DBF76FE"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Chile’s Climate Change Framework Law establishes, in a legally binding manner, the objective of Chile's carbon neutrality and climate resilience by 2050 (ICAP, 2022). This creates an obligation for climate-intensive industries, such as mining, to better manage emissions and climate-related (ir)reversibility. Thus, for Codelco, regulation becomes a driver for the low-carbon economy. It is important to note that, in the case of Codelco, the use of climate reporting in the TCFD, the signing of contracts for the supply of renewable energy, and establishing goals for the reduction of emissions is a way of demonstrating Chile's policy approach. However, it can increase costs for compliance and impact the speed of necessary investments in the technology required for monitoring and reporting.</w:t>
      </w:r>
    </w:p>
    <w:p w14:paraId="05449CCF"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Taxation on mining affects the marketing environment. Chile’s 2023 Mining Royalty Act increased the taxes of some large copper producers who derive bulk of their copper sales from large-scale copper production (over 50,000 tonnes of fully refined copper) (UNCTAD, 2023). As a state-owned enterprise, Codelco is bound to higher fiscal and regulatory control because the company must balance its profits and the company’s public obligations and sustainability spending. Codelco’s financial disclosures indicate that it operates within a legal framework of environmental regulations at the national, regional, and local levels for protection of water, air, noise, hazardous waste, and natural resources (Codelco, 2024).</w:t>
      </w:r>
    </w:p>
    <w:p w14:paraId="34405CF5"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If Codelco can use strong compliance and documentation to build and leverage its trust with customers, communities, and investors, this can be a competitive marketing advantage. The company must go beyond meeting the bare minimum, and demonstrate environmental proactivity along with reliable and quantified initiatives and progressive innovation. The political and regulatory environments, in this sense, reinforce the natural environment frameworks and assist Codelco in adopting an environmentally responsible and lower-carbon intensive model.</w:t>
      </w:r>
    </w:p>
    <w:p w14:paraId="243AFFD8" w14:textId="77777777" w:rsidR="003B078D" w:rsidRDefault="003B078D">
      <w:pPr>
        <w:spacing w:before="240" w:after="240"/>
        <w:rPr>
          <w:rFonts w:ascii="Times New Roman" w:eastAsia="Times New Roman" w:hAnsi="Times New Roman" w:cs="Times New Roman"/>
          <w:sz w:val="24"/>
          <w:szCs w:val="24"/>
        </w:rPr>
      </w:pPr>
    </w:p>
    <w:p w14:paraId="0675B6F9" w14:textId="77777777" w:rsidR="003B078D" w:rsidRDefault="003B078D">
      <w:pPr>
        <w:spacing w:before="240" w:after="240"/>
        <w:rPr>
          <w:rFonts w:ascii="Times New Roman" w:eastAsia="Times New Roman" w:hAnsi="Times New Roman" w:cs="Times New Roman"/>
          <w:sz w:val="24"/>
          <w:szCs w:val="24"/>
        </w:rPr>
      </w:pPr>
    </w:p>
    <w:p w14:paraId="6CF91617"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4" w:name="_blsyxietzgc5" w:colFirst="0" w:colLast="0"/>
      <w:bookmarkEnd w:id="4"/>
      <w:r>
        <w:rPr>
          <w:rFonts w:ascii="Times New Roman" w:eastAsia="Times New Roman" w:hAnsi="Times New Roman" w:cs="Times New Roman"/>
          <w:b/>
          <w:bCs/>
          <w:sz w:val="24"/>
          <w:szCs w:val="24"/>
        </w:rPr>
        <w:lastRenderedPageBreak/>
        <w:t xml:space="preserve">2. Task 2: Strategic Growth and Competitive Positioning </w:t>
      </w:r>
    </w:p>
    <w:p w14:paraId="2AD173EE"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5" w:name="_ml2y2akw9enr" w:colFirst="0" w:colLast="0"/>
      <w:bookmarkEnd w:id="5"/>
      <w:r>
        <w:rPr>
          <w:rFonts w:ascii="Times New Roman" w:eastAsia="Times New Roman" w:hAnsi="Times New Roman" w:cs="Times New Roman"/>
          <w:b/>
          <w:bCs/>
          <w:color w:val="000000"/>
          <w:sz w:val="24"/>
          <w:szCs w:val="24"/>
        </w:rPr>
        <w:t xml:space="preserve">2.1 Strategic Growth Recommendation Using the Ansoff Matrix </w:t>
      </w:r>
    </w:p>
    <w:p w14:paraId="405949CD"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environmental analysis, product development in the Ansoff Matrix Z in particular, is the most suitable strategic growth approach for Codelco. According to the Ansoff Matrix, the four growth options are market penetration, market development, product development, and diversification (Ansoff, 1957). Codelco operates in the global copper markets which have already been established. Therefore, product development in this case is most applicable because the organization needs to work towards enhancing the environmental value of their copper and the copper production processes. Therefore, this means Codelco must develop and sell copper that is lower in carbon, traceable, and produced and handled in a responsible manner and sell this copper to their clients in the realms of renewable energy, electric vehicles, the copper power grid and the copper digital grid infrastructures.</w:t>
      </w:r>
    </w:p>
    <w:p w14:paraId="3C711D3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This strategy is aligned with the fact that the energy transition is associated with increasing demand for copper. The International Energy Agency forecasts the demand for clean technologies that use copper will climb from 7,737 kt in 2024 to 10,910 kt by 2030. In the same period, total demand for copper will rise from 26,717 kt to 31,348 kt (IEA, 2025).However, in these sectors, a growing concern for customers is not just copper availability, but responsible sourcing copper and the carbon footprint associated with it. This development should be aimed at enhancing the appeal of copper to buyers with a sustainability focus.</w:t>
      </w:r>
    </w:p>
    <w:p w14:paraId="5A7B3F8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By 2024, the company plans a 27% reduction in Scope 1 and Scope 2 emissions and has made a commitment to carbon neutrality by 2050. The company has also committed to a 25% reduction of Scope 3 emissions by 2030 and the electrification of personnel transport vehicles by 2040. (Codelco, 2025a). Moreover, Codelco has signed contracts that guarantee that 100% of its energy mix will be made of renewable energy by 2030 (Codelco, 2025b). These commitments help Codelco to support product development by marketing its copper as lower carbon and more suitable to customers that have made corporate social responsibility commitments.</w:t>
      </w:r>
    </w:p>
    <w:p w14:paraId="4540980C"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3669F6A" wp14:editId="02FE6C8B">
            <wp:extent cx="5980176" cy="2679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80176" cy="2679700"/>
                    </a:xfrm>
                    <a:prstGeom prst="rect">
                      <a:avLst/>
                    </a:prstGeom>
                    <a:ln/>
                  </pic:spPr>
                </pic:pic>
              </a:graphicData>
            </a:graphic>
          </wp:inline>
        </w:drawing>
      </w:r>
    </w:p>
    <w:p w14:paraId="5A15F02E"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2.1: Application of the Ansoff Matrix to Codelco</w:t>
      </w:r>
    </w:p>
    <w:p w14:paraId="16ABFD2A"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development claims an advantage over diversification because Codelco's principal competence lies in copper mining and processing. Diversifying into completely new sectors carries financial and operational risks for Codelco, who have great investment challenges already in decarbonization, water and operations management. Codelco, therefore, is in a position to advance a clearer, low-carbon copper value offer, bolstered by renewable electricity and water, along with stewards of carbon, circular economy and independent, responsible production standards.</w:t>
      </w:r>
    </w:p>
    <w:p w14:paraId="5F1BEFAD"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6" w:name="_66st3p9pzg8w" w:colFirst="0" w:colLast="0"/>
      <w:bookmarkEnd w:id="6"/>
      <w:r>
        <w:rPr>
          <w:rFonts w:ascii="Times New Roman" w:eastAsia="Times New Roman" w:hAnsi="Times New Roman" w:cs="Times New Roman"/>
          <w:b/>
          <w:bCs/>
          <w:color w:val="000000"/>
          <w:sz w:val="24"/>
          <w:szCs w:val="24"/>
        </w:rPr>
        <w:t xml:space="preserve">2.2 Competitive Advantage Through a Lower-Carbon Business Model </w:t>
      </w:r>
    </w:p>
    <w:p w14:paraId="4DC69B42"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Porter's Generic Strategies, Codelco can gain competitive advantage via a differentiation strategy. Within Porter's model (1985), companies can compete through cost leadership, differentiation or focus. Codelco is in a situation, where true cost leadership is a challenge, as low-carbon mining entails considerable investments in renewable energies, electric fleets, desalination and water recycling, emissions measuring and clean technologies. As a result, the most feasible competitive strategy for Codelco is differentiation: the company should be prepared to distinctly offer lower-carbon, responsibly produced copper.</w:t>
      </w:r>
    </w:p>
    <w:p w14:paraId="573F23E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Credible sustainability proof can build this differentiation. For example, Codelco achieved The Copper Mark's responsible production seal for all its divisions in 2024, improving its ability to advocate for responsible mining to international customers (Codelco, 2025b). Its 2024 Sustainability Report highlights steps made in climate action agenda, circular economy, environmental governance, and social management, and the launch of an ESG Databook in order to facilitate clearer access to the environmental, social and governance indicators (Codelco, 2025b). </w:t>
      </w:r>
    </w:p>
    <w:p w14:paraId="2C50D7C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reduced carbon business model will further strengthen Codelco’s customer value proposition. Buyers of electric vehicles, renewable energy and other types of copper to be used in electronics and infrastructure may prefer copper with a smaller supply chain carbon footprint. As large customers begin to seek lower carbon solutions to help with their own Scope 3 reporting, Codelco’s lower carbon copper will become a strategic input to their business, rather than a commodity. </w:t>
      </w:r>
    </w:p>
    <w:p w14:paraId="3472504C"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 will need to address the risks and concerns of greenwashing. Differentiation will only be strengthened if measurable carbon reductions, transparent reporting, and third party assurances are provided. The company's climate report mentions that mitigation, adaptation, governance, and risk management are all part of the company's climate roadmap. This is a positive step, but the company needs to continuously improve, as mining is still an environmentally damaging activity. For Codelco, sustainability is a key competitive advantage, along with trust and verifiable performance.</w:t>
      </w:r>
    </w:p>
    <w:p w14:paraId="207F4223"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7" w:name="_za6eanfl7ocb" w:colFirst="0" w:colLast="0"/>
      <w:bookmarkEnd w:id="7"/>
      <w:r>
        <w:rPr>
          <w:rFonts w:ascii="Times New Roman" w:eastAsia="Times New Roman" w:hAnsi="Times New Roman" w:cs="Times New Roman"/>
          <w:b/>
          <w:bCs/>
          <w:color w:val="000000"/>
          <w:sz w:val="24"/>
          <w:szCs w:val="24"/>
        </w:rPr>
        <w:t xml:space="preserve">2.3 Summary of Strategic Recommendation </w:t>
      </w:r>
    </w:p>
    <w:p w14:paraId="4D18F9FA"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recommendation is to implement product development as the primary Ansoff Matrix growth strategy for Codelco. This would involve the manufacture of lower-carbon, traceable, and responsibly produced copper for the clean energy markets. This is in line with the increasing need for copper in the process of electrification as well as the growing environmental and regulatory concerns. The competitive strategy recommended is differentiation, and is based on the provision of renewable energy, the reduction of emissions, responsible water management, circular economy practices, and improved ESG transparency. This would enable Codelco to escape the commodity-based competition and provide a sustainable copper offer. </w:t>
      </w:r>
    </w:p>
    <w:p w14:paraId="523ACDAD"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8" w:name="_9d95b05g1v1r" w:colFirst="0" w:colLast="0"/>
      <w:bookmarkEnd w:id="8"/>
      <w:r>
        <w:rPr>
          <w:rFonts w:ascii="Times New Roman" w:eastAsia="Times New Roman" w:hAnsi="Times New Roman" w:cs="Times New Roman"/>
          <w:b/>
          <w:bCs/>
          <w:sz w:val="24"/>
          <w:szCs w:val="24"/>
        </w:rPr>
        <w:t xml:space="preserve">3. Task 3: Critical Reflection on AI Usage </w:t>
      </w:r>
    </w:p>
    <w:p w14:paraId="34F1483B"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9" w:name="_uwhzet3xkz54" w:colFirst="0" w:colLast="0"/>
      <w:bookmarkEnd w:id="9"/>
      <w:r>
        <w:rPr>
          <w:rFonts w:ascii="Times New Roman" w:eastAsia="Times New Roman" w:hAnsi="Times New Roman" w:cs="Times New Roman"/>
          <w:b/>
          <w:bCs/>
          <w:color w:val="000000"/>
          <w:sz w:val="24"/>
          <w:szCs w:val="24"/>
        </w:rPr>
        <w:t xml:space="preserve">3.1 Tool Disclosure </w:t>
      </w:r>
    </w:p>
    <w:p w14:paraId="276CC5DE"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evaluates Codelco’s transition to lower-carbon products. Generative AI served as a research and proofreading tool supplement for this report. The primary AI tool used during development was ChatGPT. It was a useful tool for identifying themes, including environmental pressures, regulations, the demand for low-carbon copper, and growth strategies. AI also helped in the summarization of complex sources and proofreading by evaluating grammar and the overall academic tone and clarity of the context. The use of AI was in accordance with the assessment guidance, as research and proofreading are allowed, while the AI's aid in the writing of the final verbatim and structuring of the document is prohibited (UWTSD, 2026).</w:t>
      </w:r>
    </w:p>
    <w:p w14:paraId="12EFA59A" w14:textId="77777777" w:rsidR="003B078D" w:rsidRDefault="003B078D">
      <w:pPr>
        <w:spacing w:before="240" w:after="240"/>
        <w:rPr>
          <w:rFonts w:ascii="Times New Roman" w:eastAsia="Times New Roman" w:hAnsi="Times New Roman" w:cs="Times New Roman"/>
          <w:sz w:val="24"/>
          <w:szCs w:val="24"/>
        </w:rPr>
      </w:pPr>
    </w:p>
    <w:p w14:paraId="0EB0B128" w14:textId="77777777" w:rsidR="003B078D" w:rsidRDefault="003B078D">
      <w:pPr>
        <w:spacing w:before="240" w:after="240"/>
        <w:rPr>
          <w:rFonts w:ascii="Times New Roman" w:eastAsia="Times New Roman" w:hAnsi="Times New Roman" w:cs="Times New Roman"/>
          <w:sz w:val="24"/>
          <w:szCs w:val="24"/>
        </w:rPr>
      </w:pPr>
    </w:p>
    <w:p w14:paraId="2B890574"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0" w:name="_wwn49k1sxzli" w:colFirst="0" w:colLast="0"/>
      <w:bookmarkEnd w:id="10"/>
      <w:r>
        <w:rPr>
          <w:rFonts w:ascii="Times New Roman" w:eastAsia="Times New Roman" w:hAnsi="Times New Roman" w:cs="Times New Roman"/>
          <w:b/>
          <w:bCs/>
          <w:color w:val="000000"/>
          <w:sz w:val="24"/>
          <w:szCs w:val="24"/>
        </w:rPr>
        <w:lastRenderedPageBreak/>
        <w:t xml:space="preserve">3.2 Critical Evaluation of AI Output </w:t>
      </w:r>
    </w:p>
    <w:p w14:paraId="42A2F647"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Generative AI was used to help creat text, cite sources, and create a reference list. It was important to me to make sure the text was not strictly based on the AI output. The most important sources used for cross referencing were the Codelco reports, publications from the International Energy Agency, and academic research and relevant regulatory sources. More care was given to time frames, figures, and sustainability goals as the accuracy of these is especially important. UNESCO (2023) identifies the right type of human oversight as a requirement for using generative AI for research and education. The OECD (2024) describes that for AI to be trustworthy, it must be transparent, robust, and accountable.</w:t>
      </w:r>
    </w:p>
    <w:p w14:paraId="00CED20C"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96CB76" wp14:editId="35086C33">
            <wp:extent cx="5980176" cy="2870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80176" cy="2870200"/>
                    </a:xfrm>
                    <a:prstGeom prst="rect">
                      <a:avLst/>
                    </a:prstGeom>
                    <a:ln/>
                  </pic:spPr>
                </pic:pic>
              </a:graphicData>
            </a:graphic>
          </wp:inline>
        </w:drawing>
      </w:r>
    </w:p>
    <w:p w14:paraId="195CB814"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3.1: Verification of AI-Supported Content</w:t>
      </w:r>
    </w:p>
    <w:p w14:paraId="150EA712"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1" w:name="_p7owrkocxb2x" w:colFirst="0" w:colLast="0"/>
      <w:bookmarkEnd w:id="11"/>
      <w:r>
        <w:rPr>
          <w:rFonts w:ascii="Times New Roman" w:eastAsia="Times New Roman" w:hAnsi="Times New Roman" w:cs="Times New Roman"/>
          <w:b/>
          <w:bCs/>
          <w:color w:val="000000"/>
          <w:sz w:val="24"/>
          <w:szCs w:val="24"/>
        </w:rPr>
        <w:t xml:space="preserve">3.3 Contribution Analysis </w:t>
      </w:r>
    </w:p>
    <w:p w14:paraId="6E2C074F"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AI mainly assisted with generating ideas, discovering sources, summarizing, and proofreading. The rest was completed without AI assistance. My analytical thought process led me to choose Codelco as the case company and the natural and political and regulatory environments as the two external actors. My thought process also led me to suggest product development and green differentiation as the strategic options for Codelco. Therefore, I assessed the options Codelco had and the threats the company faced to determine how Codelco could implement a low-carbon business model. AI offered assistance but did not fill the gaps of analytical thought process.</w:t>
      </w:r>
    </w:p>
    <w:p w14:paraId="2A2158E0" w14:textId="77777777" w:rsidR="003B078D" w:rsidRDefault="003B078D">
      <w:pPr>
        <w:pStyle w:val="Heading3"/>
        <w:keepNext w:val="0"/>
        <w:keepLines w:val="0"/>
        <w:spacing w:before="280"/>
        <w:rPr>
          <w:rFonts w:ascii="Times New Roman" w:eastAsia="Times New Roman" w:hAnsi="Times New Roman" w:cs="Times New Roman"/>
          <w:b/>
          <w:bCs/>
          <w:color w:val="000000"/>
          <w:sz w:val="24"/>
          <w:szCs w:val="24"/>
        </w:rPr>
      </w:pPr>
      <w:bookmarkStart w:id="12" w:name="_2uf2bwszm2qt" w:colFirst="0" w:colLast="0"/>
      <w:bookmarkEnd w:id="12"/>
    </w:p>
    <w:p w14:paraId="5C5B4C49" w14:textId="77777777" w:rsidR="003B078D" w:rsidRDefault="003B078D">
      <w:pPr>
        <w:pStyle w:val="Heading3"/>
        <w:keepNext w:val="0"/>
        <w:keepLines w:val="0"/>
        <w:spacing w:before="280"/>
        <w:rPr>
          <w:rFonts w:ascii="Times New Roman" w:eastAsia="Times New Roman" w:hAnsi="Times New Roman" w:cs="Times New Roman"/>
          <w:b/>
          <w:bCs/>
          <w:color w:val="000000"/>
          <w:sz w:val="24"/>
          <w:szCs w:val="24"/>
        </w:rPr>
      </w:pPr>
      <w:bookmarkStart w:id="13" w:name="_hudf3en12717" w:colFirst="0" w:colLast="0"/>
      <w:bookmarkEnd w:id="13"/>
    </w:p>
    <w:p w14:paraId="358A6E3A"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4" w:name="_hhrht75ir9jc" w:colFirst="0" w:colLast="0"/>
      <w:bookmarkEnd w:id="14"/>
      <w:r>
        <w:rPr>
          <w:rFonts w:ascii="Times New Roman" w:eastAsia="Times New Roman" w:hAnsi="Times New Roman" w:cs="Times New Roman"/>
          <w:b/>
          <w:bCs/>
          <w:color w:val="000000"/>
          <w:sz w:val="24"/>
          <w:szCs w:val="24"/>
        </w:rPr>
        <w:lastRenderedPageBreak/>
        <w:t xml:space="preserve">3.4 Ethical and Professional Reflection </w:t>
      </w:r>
    </w:p>
    <w:p w14:paraId="1AB37B8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for both sides and ethical issues arise from the use of AI in market analysis. Using AI can help researchers become more efficient and precise when analyzing; however, it can also lead to overdependence, poor quality analysis, and fallacies. This is much worse in a report focused on sustainability, as it can lead to environmental claims that are inaccurate and contribute to greenwashing. QAA (2024) says that the use of generative AI within the bounds of higher education offers a unique opportunity in a developing field, but there are developing strict implications for transparency of AI use in analysis.</w:t>
      </w:r>
    </w:p>
    <w:p w14:paraId="729645A0"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marketing analysis using AI forces the author to be accountable for the analysis. Ethical use of AI meant disclosing that I had used AI, substantiating all claims with credible evidence, not citing evidence that was not real, and ensuring that all my conclusions were based on my own knowledge.</w:t>
      </w:r>
    </w:p>
    <w:p w14:paraId="09FA00B1" w14:textId="77777777" w:rsidR="003B078D" w:rsidRDefault="003B078D">
      <w:pPr>
        <w:spacing w:before="240" w:after="240"/>
        <w:rPr>
          <w:rFonts w:ascii="Times New Roman" w:eastAsia="Times New Roman" w:hAnsi="Times New Roman" w:cs="Times New Roman"/>
          <w:sz w:val="24"/>
          <w:szCs w:val="24"/>
        </w:rPr>
      </w:pPr>
    </w:p>
    <w:p w14:paraId="56F939A0" w14:textId="77777777" w:rsidR="003B078D" w:rsidRDefault="003B078D">
      <w:pPr>
        <w:spacing w:before="240" w:after="240"/>
        <w:rPr>
          <w:rFonts w:ascii="Times New Roman" w:eastAsia="Times New Roman" w:hAnsi="Times New Roman" w:cs="Times New Roman"/>
          <w:sz w:val="24"/>
          <w:szCs w:val="24"/>
        </w:rPr>
      </w:pPr>
    </w:p>
    <w:p w14:paraId="3224993A" w14:textId="77777777" w:rsidR="003B078D" w:rsidRDefault="003B078D">
      <w:pPr>
        <w:spacing w:before="240" w:after="240"/>
        <w:rPr>
          <w:rFonts w:ascii="Times New Roman" w:eastAsia="Times New Roman" w:hAnsi="Times New Roman" w:cs="Times New Roman"/>
          <w:sz w:val="24"/>
          <w:szCs w:val="24"/>
        </w:rPr>
      </w:pPr>
    </w:p>
    <w:p w14:paraId="41170157" w14:textId="77777777" w:rsidR="003B078D" w:rsidRDefault="003B078D">
      <w:pPr>
        <w:spacing w:before="240" w:after="240"/>
        <w:rPr>
          <w:rFonts w:ascii="Times New Roman" w:eastAsia="Times New Roman" w:hAnsi="Times New Roman" w:cs="Times New Roman"/>
          <w:sz w:val="24"/>
          <w:szCs w:val="24"/>
        </w:rPr>
      </w:pPr>
    </w:p>
    <w:p w14:paraId="2A9B3415" w14:textId="77777777" w:rsidR="003B078D" w:rsidRDefault="003B078D">
      <w:pPr>
        <w:spacing w:before="240" w:after="240"/>
        <w:rPr>
          <w:rFonts w:ascii="Times New Roman" w:eastAsia="Times New Roman" w:hAnsi="Times New Roman" w:cs="Times New Roman"/>
          <w:sz w:val="24"/>
          <w:szCs w:val="24"/>
        </w:rPr>
      </w:pPr>
    </w:p>
    <w:p w14:paraId="1F29DC6D" w14:textId="77777777" w:rsidR="003B078D" w:rsidRDefault="003B078D">
      <w:pPr>
        <w:spacing w:before="240" w:after="240"/>
        <w:rPr>
          <w:rFonts w:ascii="Times New Roman" w:eastAsia="Times New Roman" w:hAnsi="Times New Roman" w:cs="Times New Roman"/>
          <w:sz w:val="24"/>
          <w:szCs w:val="24"/>
        </w:rPr>
      </w:pPr>
    </w:p>
    <w:p w14:paraId="23FA106D" w14:textId="77777777" w:rsidR="003B078D" w:rsidRDefault="003B078D">
      <w:pPr>
        <w:spacing w:before="240" w:after="240"/>
        <w:rPr>
          <w:rFonts w:ascii="Times New Roman" w:eastAsia="Times New Roman" w:hAnsi="Times New Roman" w:cs="Times New Roman"/>
          <w:sz w:val="24"/>
          <w:szCs w:val="24"/>
        </w:rPr>
      </w:pPr>
    </w:p>
    <w:p w14:paraId="4B54DC5F" w14:textId="77777777" w:rsidR="003B078D" w:rsidRDefault="003B078D">
      <w:pPr>
        <w:spacing w:before="240" w:after="240"/>
        <w:rPr>
          <w:rFonts w:ascii="Times New Roman" w:eastAsia="Times New Roman" w:hAnsi="Times New Roman" w:cs="Times New Roman"/>
          <w:sz w:val="24"/>
          <w:szCs w:val="24"/>
        </w:rPr>
      </w:pPr>
    </w:p>
    <w:p w14:paraId="1196F9E3" w14:textId="77777777" w:rsidR="003B078D" w:rsidRDefault="003B078D">
      <w:pPr>
        <w:spacing w:before="240" w:after="240"/>
        <w:rPr>
          <w:rFonts w:ascii="Times New Roman" w:eastAsia="Times New Roman" w:hAnsi="Times New Roman" w:cs="Times New Roman"/>
          <w:sz w:val="24"/>
          <w:szCs w:val="24"/>
        </w:rPr>
      </w:pPr>
    </w:p>
    <w:p w14:paraId="67FD36FB" w14:textId="77777777" w:rsidR="003B078D" w:rsidRDefault="003B078D">
      <w:pPr>
        <w:spacing w:before="240" w:after="240"/>
        <w:rPr>
          <w:rFonts w:ascii="Times New Roman" w:eastAsia="Times New Roman" w:hAnsi="Times New Roman" w:cs="Times New Roman"/>
          <w:sz w:val="24"/>
          <w:szCs w:val="24"/>
        </w:rPr>
      </w:pPr>
    </w:p>
    <w:p w14:paraId="783319E4" w14:textId="77777777" w:rsidR="003B078D" w:rsidRDefault="003B078D">
      <w:pPr>
        <w:spacing w:before="240" w:after="240"/>
        <w:rPr>
          <w:rFonts w:ascii="Times New Roman" w:eastAsia="Times New Roman" w:hAnsi="Times New Roman" w:cs="Times New Roman"/>
          <w:sz w:val="24"/>
          <w:szCs w:val="24"/>
        </w:rPr>
      </w:pPr>
    </w:p>
    <w:p w14:paraId="5B753072" w14:textId="77777777" w:rsidR="003B078D" w:rsidRDefault="003B078D">
      <w:pPr>
        <w:spacing w:before="240" w:after="240"/>
        <w:rPr>
          <w:rFonts w:ascii="Times New Roman" w:eastAsia="Times New Roman" w:hAnsi="Times New Roman" w:cs="Times New Roman"/>
          <w:sz w:val="24"/>
          <w:szCs w:val="24"/>
        </w:rPr>
      </w:pPr>
    </w:p>
    <w:p w14:paraId="39D05F8E" w14:textId="77777777" w:rsidR="003B078D" w:rsidRDefault="003B078D">
      <w:pPr>
        <w:spacing w:before="240" w:after="240"/>
        <w:rPr>
          <w:rFonts w:ascii="Times New Roman" w:eastAsia="Times New Roman" w:hAnsi="Times New Roman" w:cs="Times New Roman"/>
          <w:sz w:val="24"/>
          <w:szCs w:val="24"/>
        </w:rPr>
      </w:pPr>
    </w:p>
    <w:p w14:paraId="09EE91C5" w14:textId="77777777" w:rsidR="003B078D" w:rsidRDefault="003B078D">
      <w:pPr>
        <w:spacing w:before="240" w:after="240"/>
        <w:rPr>
          <w:rFonts w:ascii="Times New Roman" w:eastAsia="Times New Roman" w:hAnsi="Times New Roman" w:cs="Times New Roman"/>
          <w:sz w:val="24"/>
          <w:szCs w:val="24"/>
        </w:rPr>
      </w:pPr>
    </w:p>
    <w:p w14:paraId="205AFB79" w14:textId="77777777" w:rsidR="003B078D" w:rsidRDefault="003B078D">
      <w:pPr>
        <w:spacing w:before="240" w:after="240"/>
        <w:rPr>
          <w:rFonts w:ascii="Times New Roman" w:eastAsia="Times New Roman" w:hAnsi="Times New Roman" w:cs="Times New Roman"/>
          <w:sz w:val="24"/>
          <w:szCs w:val="24"/>
        </w:rPr>
      </w:pPr>
    </w:p>
    <w:p w14:paraId="5D6E20AE"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15" w:name="_t5qwjrha4gll" w:colFirst="0" w:colLast="0"/>
      <w:bookmarkEnd w:id="15"/>
      <w:r>
        <w:rPr>
          <w:rFonts w:ascii="Times New Roman" w:eastAsia="Times New Roman" w:hAnsi="Times New Roman" w:cs="Times New Roman"/>
          <w:b/>
          <w:bCs/>
          <w:sz w:val="24"/>
          <w:szCs w:val="24"/>
        </w:rPr>
        <w:lastRenderedPageBreak/>
        <w:t>References</w:t>
      </w:r>
    </w:p>
    <w:p w14:paraId="64E8973D" w14:textId="77777777" w:rsidR="003B078D" w:rsidRDefault="00000000">
      <w:pPr>
        <w:numPr>
          <w:ilvl w:val="0"/>
          <w:numId w:val="1"/>
        </w:numPr>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Ansoff, H.I. (1957) ‘Strategies for diversification’, </w:t>
      </w:r>
      <w:r>
        <w:rPr>
          <w:rFonts w:ascii="Times New Roman" w:eastAsia="Times New Roman" w:hAnsi="Times New Roman" w:cs="Times New Roman"/>
          <w:i/>
          <w:iCs/>
          <w:sz w:val="24"/>
          <w:szCs w:val="24"/>
        </w:rPr>
        <w:t>Harvard Business Review</w:t>
      </w:r>
      <w:r>
        <w:rPr>
          <w:rFonts w:ascii="Times New Roman" w:eastAsia="Times New Roman" w:hAnsi="Times New Roman" w:cs="Times New Roman"/>
          <w:sz w:val="24"/>
          <w:szCs w:val="24"/>
        </w:rPr>
        <w:t>, 35(5), pp. 113–124.</w:t>
      </w:r>
    </w:p>
    <w:p w14:paraId="49FEEBC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(2024) </w:t>
      </w:r>
      <w:r>
        <w:rPr>
          <w:rFonts w:ascii="Times New Roman" w:eastAsia="Times New Roman" w:hAnsi="Times New Roman" w:cs="Times New Roman"/>
          <w:i/>
          <w:iCs/>
          <w:sz w:val="24"/>
          <w:szCs w:val="24"/>
        </w:rPr>
        <w:t>Financial statements: Corporación Nacional del Cobre de Chile</w:t>
      </w:r>
      <w:r>
        <w:rPr>
          <w:rFonts w:ascii="Times New Roman" w:eastAsia="Times New Roman" w:hAnsi="Times New Roman" w:cs="Times New Roman"/>
          <w:sz w:val="24"/>
          <w:szCs w:val="24"/>
        </w:rPr>
        <w:t>. Santiago: Codelco.</w:t>
      </w:r>
    </w:p>
    <w:p w14:paraId="53A92636"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(2025a) </w:t>
      </w:r>
      <w:r>
        <w:rPr>
          <w:rFonts w:ascii="Times New Roman" w:eastAsia="Times New Roman" w:hAnsi="Times New Roman" w:cs="Times New Roman"/>
          <w:i/>
          <w:iCs/>
          <w:sz w:val="24"/>
          <w:szCs w:val="24"/>
        </w:rPr>
        <w:t>Codelco operational and financial results December 31, 2024</w:t>
      </w:r>
      <w:r>
        <w:rPr>
          <w:rFonts w:ascii="Times New Roman" w:eastAsia="Times New Roman" w:hAnsi="Times New Roman" w:cs="Times New Roman"/>
          <w:sz w:val="24"/>
          <w:szCs w:val="24"/>
        </w:rPr>
        <w:t>. Santiago: Codelco.</w:t>
      </w:r>
    </w:p>
    <w:p w14:paraId="1B2BC06F"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(2025b) </w:t>
      </w:r>
      <w:r>
        <w:rPr>
          <w:rFonts w:ascii="Times New Roman" w:eastAsia="Times New Roman" w:hAnsi="Times New Roman" w:cs="Times New Roman"/>
          <w:i/>
          <w:iCs/>
          <w:sz w:val="24"/>
          <w:szCs w:val="24"/>
        </w:rPr>
        <w:t>Codelco launches its first Climate Change Report and consolidates its strategy toward more resilient and low-emission mining</w:t>
      </w:r>
      <w:r>
        <w:rPr>
          <w:rFonts w:ascii="Times New Roman" w:eastAsia="Times New Roman" w:hAnsi="Times New Roman" w:cs="Times New Roman"/>
          <w:sz w:val="24"/>
          <w:szCs w:val="24"/>
        </w:rPr>
        <w:t>. Santiago: Codelco.</w:t>
      </w:r>
    </w:p>
    <w:p w14:paraId="78821B7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(2025c) </w:t>
      </w:r>
      <w:r>
        <w:rPr>
          <w:rFonts w:ascii="Times New Roman" w:eastAsia="Times New Roman" w:hAnsi="Times New Roman" w:cs="Times New Roman"/>
          <w:i/>
          <w:iCs/>
          <w:sz w:val="24"/>
          <w:szCs w:val="24"/>
        </w:rPr>
        <w:t>Codelco launches its 2024 Sustainability Report and reinforces its commitment to transparency and sustainable development</w:t>
      </w:r>
      <w:r>
        <w:rPr>
          <w:rFonts w:ascii="Times New Roman" w:eastAsia="Times New Roman" w:hAnsi="Times New Roman" w:cs="Times New Roman"/>
          <w:sz w:val="24"/>
          <w:szCs w:val="24"/>
        </w:rPr>
        <w:t>. Santiago: Codelco.</w:t>
      </w:r>
    </w:p>
    <w:p w14:paraId="3265A151"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Commission (2024) </w:t>
      </w:r>
      <w:r>
        <w:rPr>
          <w:rFonts w:ascii="Times New Roman" w:eastAsia="Times New Roman" w:hAnsi="Times New Roman" w:cs="Times New Roman"/>
          <w:i/>
          <w:iCs/>
          <w:sz w:val="24"/>
          <w:szCs w:val="24"/>
        </w:rPr>
        <w:t>AI Act: regulatory framework for artificial intelligence</w:t>
      </w:r>
      <w:r>
        <w:rPr>
          <w:rFonts w:ascii="Times New Roman" w:eastAsia="Times New Roman" w:hAnsi="Times New Roman" w:cs="Times New Roman"/>
          <w:sz w:val="24"/>
          <w:szCs w:val="24"/>
        </w:rPr>
        <w:t>. Brussels: European Commission.</w:t>
      </w:r>
    </w:p>
    <w:p w14:paraId="7FEA73AB"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Fitzsimons, E. and Warren, P. (2024) ‘Desalination investment for copper mining: barriers and opportunities in Chile’, </w:t>
      </w:r>
      <w:r>
        <w:rPr>
          <w:rFonts w:ascii="Times New Roman" w:eastAsia="Times New Roman" w:hAnsi="Times New Roman" w:cs="Times New Roman"/>
          <w:i/>
          <w:iCs/>
          <w:sz w:val="24"/>
          <w:szCs w:val="24"/>
        </w:rPr>
        <w:t>The Extractive Industries and Society</w:t>
      </w:r>
      <w:r>
        <w:rPr>
          <w:rFonts w:ascii="Times New Roman" w:eastAsia="Times New Roman" w:hAnsi="Times New Roman" w:cs="Times New Roman"/>
          <w:sz w:val="24"/>
          <w:szCs w:val="24"/>
        </w:rPr>
        <w:t>, 17, article 101449.</w:t>
      </w:r>
    </w:p>
    <w:p w14:paraId="60645FC1"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ICAP (2022) </w:t>
      </w:r>
      <w:r>
        <w:rPr>
          <w:rFonts w:ascii="Times New Roman" w:eastAsia="Times New Roman" w:hAnsi="Times New Roman" w:cs="Times New Roman"/>
          <w:i/>
          <w:iCs/>
          <w:sz w:val="24"/>
          <w:szCs w:val="24"/>
        </w:rPr>
        <w:t>Chile publishes Climate Change Framework Law, paving way for market-based policy</w:t>
      </w:r>
      <w:r>
        <w:rPr>
          <w:rFonts w:ascii="Times New Roman" w:eastAsia="Times New Roman" w:hAnsi="Times New Roman" w:cs="Times New Roman"/>
          <w:sz w:val="24"/>
          <w:szCs w:val="24"/>
        </w:rPr>
        <w:t>. International Carbon Action Partnership.</w:t>
      </w:r>
    </w:p>
    <w:p w14:paraId="05BA5A0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(2021) </w:t>
      </w:r>
      <w:r>
        <w:rPr>
          <w:rFonts w:ascii="Times New Roman" w:eastAsia="Times New Roman" w:hAnsi="Times New Roman" w:cs="Times New Roman"/>
          <w:i/>
          <w:iCs/>
          <w:sz w:val="24"/>
          <w:szCs w:val="24"/>
        </w:rPr>
        <w:t>The Role of Critical Minerals in Clean Energy Transitions</w:t>
      </w:r>
      <w:r>
        <w:rPr>
          <w:rFonts w:ascii="Times New Roman" w:eastAsia="Times New Roman" w:hAnsi="Times New Roman" w:cs="Times New Roman"/>
          <w:sz w:val="24"/>
          <w:szCs w:val="24"/>
        </w:rPr>
        <w:t>. Paris: International Energy Agency.</w:t>
      </w:r>
    </w:p>
    <w:p w14:paraId="591CECD3"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 </w:t>
      </w:r>
      <w:r>
        <w:rPr>
          <w:rFonts w:ascii="Times New Roman" w:eastAsia="Times New Roman" w:hAnsi="Times New Roman" w:cs="Times New Roman"/>
          <w:i/>
          <w:iCs/>
          <w:sz w:val="24"/>
          <w:szCs w:val="24"/>
        </w:rPr>
        <w:t>Copper: Outlook for key energy transition minerals</w:t>
      </w:r>
      <w:r>
        <w:rPr>
          <w:rFonts w:ascii="Times New Roman" w:eastAsia="Times New Roman" w:hAnsi="Times New Roman" w:cs="Times New Roman"/>
          <w:sz w:val="24"/>
          <w:szCs w:val="24"/>
        </w:rPr>
        <w:t>. Paris: International Energy Agency.</w:t>
      </w:r>
    </w:p>
    <w:p w14:paraId="45B64786"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IKI (2021) </w:t>
      </w:r>
      <w:r>
        <w:rPr>
          <w:rFonts w:ascii="Times New Roman" w:eastAsia="Times New Roman" w:hAnsi="Times New Roman" w:cs="Times New Roman"/>
          <w:i/>
          <w:iCs/>
          <w:sz w:val="24"/>
          <w:szCs w:val="24"/>
        </w:rPr>
        <w:t>Sustainable Mining in Chile</w:t>
      </w:r>
      <w:r>
        <w:rPr>
          <w:rFonts w:ascii="Times New Roman" w:eastAsia="Times New Roman" w:hAnsi="Times New Roman" w:cs="Times New Roman"/>
          <w:sz w:val="24"/>
          <w:szCs w:val="24"/>
        </w:rPr>
        <w:t>. International Climate Initiative.</w:t>
      </w:r>
    </w:p>
    <w:p w14:paraId="7CE2B698"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(2024) </w:t>
      </w:r>
      <w:r>
        <w:rPr>
          <w:rFonts w:ascii="Times New Roman" w:eastAsia="Times New Roman" w:hAnsi="Times New Roman" w:cs="Times New Roman"/>
          <w:i/>
          <w:iCs/>
          <w:sz w:val="24"/>
          <w:szCs w:val="24"/>
        </w:rPr>
        <w:t>AI principles</w:t>
      </w:r>
      <w:r>
        <w:rPr>
          <w:rFonts w:ascii="Times New Roman" w:eastAsia="Times New Roman" w:hAnsi="Times New Roman" w:cs="Times New Roman"/>
          <w:sz w:val="24"/>
          <w:szCs w:val="24"/>
        </w:rPr>
        <w:t>. Paris: Organisation for Economic Co-operation and Development.</w:t>
      </w:r>
    </w:p>
    <w:p w14:paraId="2083DA09"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Onifade, M. et al. (2024) ‘Advancing toward sustainability: the emergence of green mining technologies and practices’, </w:t>
      </w:r>
      <w:r>
        <w:rPr>
          <w:rFonts w:ascii="Times New Roman" w:eastAsia="Times New Roman" w:hAnsi="Times New Roman" w:cs="Times New Roman"/>
          <w:i/>
          <w:iCs/>
          <w:sz w:val="24"/>
          <w:szCs w:val="24"/>
        </w:rPr>
        <w:t>Green and Smart Mining Engineering</w:t>
      </w:r>
      <w:r>
        <w:rPr>
          <w:rFonts w:ascii="Times New Roman" w:eastAsia="Times New Roman" w:hAnsi="Times New Roman" w:cs="Times New Roman"/>
          <w:sz w:val="24"/>
          <w:szCs w:val="24"/>
        </w:rPr>
        <w:t>, 1(2), pp. 157–174.</w:t>
      </w:r>
    </w:p>
    <w:p w14:paraId="7D5045A3"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M.E. (1985) </w:t>
      </w:r>
      <w:r>
        <w:rPr>
          <w:rFonts w:ascii="Times New Roman" w:eastAsia="Times New Roman" w:hAnsi="Times New Roman" w:cs="Times New Roman"/>
          <w:i/>
          <w:iCs/>
          <w:sz w:val="24"/>
          <w:szCs w:val="24"/>
        </w:rPr>
        <w:t>Competitive Advantage: Creating and Sustaining Superior Performance</w:t>
      </w:r>
      <w:r>
        <w:rPr>
          <w:rFonts w:ascii="Times New Roman" w:eastAsia="Times New Roman" w:hAnsi="Times New Roman" w:cs="Times New Roman"/>
          <w:sz w:val="24"/>
          <w:szCs w:val="24"/>
        </w:rPr>
        <w:t>. New York: Free Press.</w:t>
      </w:r>
    </w:p>
    <w:p w14:paraId="0B8C6B2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QAA (2024) </w:t>
      </w:r>
      <w:r>
        <w:rPr>
          <w:rFonts w:ascii="Times New Roman" w:eastAsia="Times New Roman" w:hAnsi="Times New Roman" w:cs="Times New Roman"/>
          <w:i/>
          <w:iCs/>
          <w:sz w:val="24"/>
          <w:szCs w:val="24"/>
        </w:rPr>
        <w:t>Quality Compass: Navigating the complexities of the artificial intelligence era in higher education</w:t>
      </w:r>
      <w:r>
        <w:rPr>
          <w:rFonts w:ascii="Times New Roman" w:eastAsia="Times New Roman" w:hAnsi="Times New Roman" w:cs="Times New Roman"/>
          <w:sz w:val="24"/>
          <w:szCs w:val="24"/>
        </w:rPr>
        <w:t>. Gloucester: The Quality Assurance Agency for Higher Education.</w:t>
      </w:r>
    </w:p>
    <w:p w14:paraId="24F7E1E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UNCTAD (2023) </w:t>
      </w:r>
      <w:r>
        <w:rPr>
          <w:rFonts w:ascii="Times New Roman" w:eastAsia="Times New Roman" w:hAnsi="Times New Roman" w:cs="Times New Roman"/>
          <w:i/>
          <w:iCs/>
          <w:sz w:val="24"/>
          <w:szCs w:val="24"/>
        </w:rPr>
        <w:t>Chile adopts new Mining Royalty Act increasing taxation for large copper mining companies</w:t>
      </w:r>
      <w:r>
        <w:rPr>
          <w:rFonts w:ascii="Times New Roman" w:eastAsia="Times New Roman" w:hAnsi="Times New Roman" w:cs="Times New Roman"/>
          <w:sz w:val="24"/>
          <w:szCs w:val="24"/>
        </w:rPr>
        <w:t>. UNCTAD Investment Policy Hub.</w:t>
      </w:r>
    </w:p>
    <w:p w14:paraId="54A33FB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UNESCO (2023) </w:t>
      </w:r>
      <w:r>
        <w:rPr>
          <w:rFonts w:ascii="Times New Roman" w:eastAsia="Times New Roman" w:hAnsi="Times New Roman" w:cs="Times New Roman"/>
          <w:i/>
          <w:iCs/>
          <w:sz w:val="24"/>
          <w:szCs w:val="24"/>
        </w:rPr>
        <w:t>Guidance for generative AI in education and research</w:t>
      </w:r>
      <w:r>
        <w:rPr>
          <w:rFonts w:ascii="Times New Roman" w:eastAsia="Times New Roman" w:hAnsi="Times New Roman" w:cs="Times New Roman"/>
          <w:sz w:val="24"/>
          <w:szCs w:val="24"/>
        </w:rPr>
        <w:t>. Paris: UNESCO.</w:t>
      </w:r>
    </w:p>
    <w:p w14:paraId="15D09B5D" w14:textId="77777777" w:rsidR="003B078D" w:rsidRDefault="00000000">
      <w:pPr>
        <w:numPr>
          <w:ilvl w:val="0"/>
          <w:numId w:val="1"/>
        </w:num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UWTSD (2026) </w:t>
      </w:r>
      <w:r>
        <w:rPr>
          <w:rFonts w:ascii="Times New Roman" w:eastAsia="Times New Roman" w:hAnsi="Times New Roman" w:cs="Times New Roman"/>
          <w:i/>
          <w:iCs/>
          <w:sz w:val="24"/>
          <w:szCs w:val="24"/>
        </w:rPr>
        <w:t>LCMB7024 Marketing Management Assessment Specification: Marketing Environment Analysis</w:t>
      </w:r>
      <w:r>
        <w:rPr>
          <w:rFonts w:ascii="Times New Roman" w:eastAsia="Times New Roman" w:hAnsi="Times New Roman" w:cs="Times New Roman"/>
          <w:sz w:val="24"/>
          <w:szCs w:val="24"/>
        </w:rPr>
        <w:t>. University of Wales Trinity Saint David.</w:t>
      </w:r>
    </w:p>
    <w:sectPr w:rsidR="003B078D">
      <w:pgSz w:w="12240" w:h="15840"/>
      <w:pgMar w:top="1411" w:right="1411" w:bottom="1411" w:left="1411"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16B39F8-F790-40B5-9DE5-B8DF13AE3A12}"/>
  </w:font>
  <w:font w:name="Cambria">
    <w:panose1 w:val="02040503050406030204"/>
    <w:charset w:val="00"/>
    <w:family w:val="roman"/>
    <w:pitch w:val="variable"/>
    <w:sig w:usb0="E00006FF" w:usb1="420024FF" w:usb2="02000000" w:usb3="00000000" w:csb0="0000019F" w:csb1="00000000"/>
    <w:embedRegular r:id="rId2" w:fontKey="{4C56BACD-22D2-4BEA-9896-EAAC7AC5465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7F15EB"/>
    <w:multiLevelType w:val="multilevel"/>
    <w:tmpl w:val="BCE66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2201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78D"/>
    <w:rsid w:val="001444A3"/>
    <w:rsid w:val="003B078D"/>
    <w:rsid w:val="00AC1E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0F60"/>
  <w15:docId w15:val="{B8520BE5-B590-44C6-8086-118B7B352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3210</Words>
  <Characters>18297</Characters>
  <Application>Microsoft Office Word</Application>
  <DocSecurity>0</DocSecurity>
  <Lines>152</Lines>
  <Paragraphs>42</Paragraphs>
  <ScaleCrop>false</ScaleCrop>
  <Company/>
  <LinksUpToDate>false</LinksUpToDate>
  <CharactersWithSpaces>21465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Jeel Patel</cp:lastModifiedBy>
  <cp:revision>3</cp:revision>
  <dcterms:created xsi:type="dcterms:W3CDTF">2026-07-11T06:28:00Z</dcterms:created>
  <dcterms:modified xsi:type="dcterms:W3CDTF">2026-07-11T06:33:00Z</dcterms:modified>
</cp:coreProperties>
</file>