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CE769" w14:textId="77777777" w:rsidR="007D2B39" w:rsidRPr="00730514" w:rsidRDefault="007D2B39" w:rsidP="007D2B39">
      <w:pPr>
        <w:rPr>
          <w:rFonts w:ascii="Arial" w:hAnsi="Arial" w:cs="Arial"/>
          <w:sz w:val="32"/>
          <w:szCs w:val="32"/>
        </w:rPr>
      </w:pPr>
      <w:bookmarkStart w:id="0" w:name="_Hlk174181759"/>
      <w:bookmarkEnd w:id="0"/>
    </w:p>
    <w:p w14:paraId="744659A5" w14:textId="77777777" w:rsidR="007D2B39" w:rsidRDefault="007D2B39" w:rsidP="007D2B39">
      <w:pPr>
        <w:rPr>
          <w:b/>
          <w:bCs/>
          <w:sz w:val="28"/>
          <w:szCs w:val="28"/>
        </w:rPr>
      </w:pPr>
    </w:p>
    <w:p w14:paraId="49E9F91D" w14:textId="77777777" w:rsidR="007D2B39" w:rsidRDefault="007D2B39" w:rsidP="007D2B39">
      <w:pPr>
        <w:spacing w:line="360" w:lineRule="auto"/>
        <w:jc w:val="both"/>
      </w:pPr>
      <w:r>
        <w:rPr>
          <w:noProof/>
        </w:rPr>
        <w:drawing>
          <wp:inline distT="0" distB="0" distL="0" distR="0" wp14:anchorId="1D77A4BC" wp14:editId="11F7939F">
            <wp:extent cx="3676454" cy="1219200"/>
            <wp:effectExtent l="0" t="0" r="63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7685" cy="1219608"/>
                    </a:xfrm>
                    <a:prstGeom prst="rect">
                      <a:avLst/>
                    </a:prstGeom>
                    <a:noFill/>
                    <a:ln>
                      <a:noFill/>
                    </a:ln>
                  </pic:spPr>
                </pic:pic>
              </a:graphicData>
            </a:graphic>
          </wp:inline>
        </w:drawing>
      </w:r>
    </w:p>
    <w:p w14:paraId="3006B636" w14:textId="77777777" w:rsidR="007D2B39" w:rsidRDefault="007D2B39" w:rsidP="007D2B39">
      <w:pPr>
        <w:spacing w:line="360" w:lineRule="auto"/>
        <w:jc w:val="both"/>
      </w:pPr>
    </w:p>
    <w:p w14:paraId="0C8905F2" w14:textId="77777777" w:rsidR="007D2B39" w:rsidRDefault="007D2B39" w:rsidP="007D2B39">
      <w:pPr>
        <w:spacing w:line="360" w:lineRule="auto"/>
        <w:jc w:val="both"/>
      </w:pPr>
    </w:p>
    <w:p w14:paraId="7FB5BD99" w14:textId="77777777" w:rsidR="007D2B39" w:rsidRPr="00093E89" w:rsidRDefault="007D2B39" w:rsidP="007D2B39">
      <w:pPr>
        <w:spacing w:line="360" w:lineRule="auto"/>
        <w:jc w:val="both"/>
        <w:rPr>
          <w:sz w:val="32"/>
          <w:szCs w:val="32"/>
        </w:rPr>
      </w:pPr>
    </w:p>
    <w:p w14:paraId="7A37889F" w14:textId="77777777" w:rsidR="007D2B39" w:rsidRPr="00093E89" w:rsidRDefault="007D2B39" w:rsidP="007D2B39">
      <w:pPr>
        <w:spacing w:line="360" w:lineRule="auto"/>
        <w:jc w:val="both"/>
        <w:rPr>
          <w:sz w:val="32"/>
          <w:szCs w:val="32"/>
        </w:rPr>
      </w:pPr>
    </w:p>
    <w:p w14:paraId="3F812749" w14:textId="77777777" w:rsidR="007D2B39" w:rsidRPr="00093E89" w:rsidRDefault="007D2B39" w:rsidP="007D2B39">
      <w:pPr>
        <w:spacing w:line="360" w:lineRule="auto"/>
        <w:jc w:val="center"/>
        <w:rPr>
          <w:b/>
          <w:bCs/>
          <w:sz w:val="32"/>
          <w:szCs w:val="32"/>
        </w:rPr>
      </w:pPr>
      <w:r w:rsidRPr="00093E89">
        <w:rPr>
          <w:b/>
          <w:bCs/>
          <w:sz w:val="32"/>
          <w:szCs w:val="32"/>
        </w:rPr>
        <w:t>BA BUSINESS MANAGEMENT</w:t>
      </w:r>
    </w:p>
    <w:p w14:paraId="58CCE82C" w14:textId="77777777" w:rsidR="007D2B39" w:rsidRPr="00093E89" w:rsidRDefault="007D2B39" w:rsidP="007D2B39">
      <w:pPr>
        <w:spacing w:line="360" w:lineRule="auto"/>
        <w:jc w:val="center"/>
        <w:rPr>
          <w:b/>
          <w:bCs/>
          <w:sz w:val="32"/>
          <w:szCs w:val="32"/>
        </w:rPr>
      </w:pPr>
      <w:r w:rsidRPr="00093E89">
        <w:rPr>
          <w:b/>
          <w:bCs/>
          <w:sz w:val="32"/>
          <w:szCs w:val="32"/>
        </w:rPr>
        <w:t xml:space="preserve">Assignment </w:t>
      </w:r>
      <w:r>
        <w:rPr>
          <w:b/>
          <w:bCs/>
          <w:sz w:val="32"/>
          <w:szCs w:val="32"/>
        </w:rPr>
        <w:t>1</w:t>
      </w:r>
    </w:p>
    <w:p w14:paraId="47F3B2DB" w14:textId="77777777" w:rsidR="007D2B39" w:rsidRPr="00093E89" w:rsidRDefault="007D2B39" w:rsidP="007D2B39">
      <w:pPr>
        <w:spacing w:line="360" w:lineRule="auto"/>
        <w:jc w:val="both"/>
        <w:rPr>
          <w:b/>
          <w:bCs/>
          <w:sz w:val="32"/>
          <w:szCs w:val="32"/>
        </w:rPr>
      </w:pPr>
    </w:p>
    <w:p w14:paraId="6B215159" w14:textId="56397CD8" w:rsidR="007D2B39" w:rsidRPr="00093E89" w:rsidRDefault="007D2B39" w:rsidP="007D2B39">
      <w:pPr>
        <w:spacing w:line="360" w:lineRule="auto"/>
        <w:jc w:val="both"/>
        <w:rPr>
          <w:sz w:val="32"/>
          <w:szCs w:val="32"/>
        </w:rPr>
      </w:pPr>
      <w:r w:rsidRPr="00093E89">
        <w:rPr>
          <w:b/>
          <w:bCs/>
          <w:sz w:val="32"/>
          <w:szCs w:val="32"/>
        </w:rPr>
        <w:t>Module</w:t>
      </w:r>
      <w:r w:rsidRPr="00093E89">
        <w:rPr>
          <w:sz w:val="32"/>
          <w:szCs w:val="32"/>
        </w:rPr>
        <w:t xml:space="preserve">: </w:t>
      </w:r>
      <w:r w:rsidRPr="007D2B39">
        <w:rPr>
          <w:sz w:val="32"/>
          <w:szCs w:val="32"/>
        </w:rPr>
        <w:t>International Financial Management</w:t>
      </w:r>
    </w:p>
    <w:p w14:paraId="783AC2B5" w14:textId="588A2793" w:rsidR="007D2B39" w:rsidRPr="00093E89" w:rsidRDefault="007D2B39" w:rsidP="007D2B39">
      <w:pPr>
        <w:spacing w:line="360" w:lineRule="auto"/>
        <w:jc w:val="both"/>
        <w:rPr>
          <w:sz w:val="32"/>
          <w:szCs w:val="32"/>
        </w:rPr>
      </w:pPr>
      <w:r w:rsidRPr="00093E89">
        <w:rPr>
          <w:b/>
          <w:bCs/>
          <w:sz w:val="32"/>
          <w:szCs w:val="32"/>
        </w:rPr>
        <w:t>Code</w:t>
      </w:r>
      <w:r w:rsidRPr="00093E89">
        <w:rPr>
          <w:sz w:val="32"/>
          <w:szCs w:val="32"/>
        </w:rPr>
        <w:t>: LCBB</w:t>
      </w:r>
      <w:r>
        <w:rPr>
          <w:sz w:val="32"/>
          <w:szCs w:val="32"/>
        </w:rPr>
        <w:t>6</w:t>
      </w:r>
      <w:r w:rsidRPr="00093E89">
        <w:rPr>
          <w:sz w:val="32"/>
          <w:szCs w:val="32"/>
        </w:rPr>
        <w:t>00</w:t>
      </w:r>
      <w:r>
        <w:rPr>
          <w:sz w:val="32"/>
          <w:szCs w:val="32"/>
        </w:rPr>
        <w:t>2</w:t>
      </w:r>
    </w:p>
    <w:p w14:paraId="014C91DE" w14:textId="07ECF053" w:rsidR="007D2B39" w:rsidRPr="00093E89" w:rsidRDefault="007D2B39" w:rsidP="007D2B39">
      <w:pPr>
        <w:spacing w:line="360" w:lineRule="auto"/>
        <w:jc w:val="both"/>
        <w:rPr>
          <w:sz w:val="32"/>
          <w:szCs w:val="32"/>
        </w:rPr>
      </w:pPr>
      <w:r w:rsidRPr="00093E89">
        <w:rPr>
          <w:b/>
          <w:bCs/>
          <w:sz w:val="32"/>
          <w:szCs w:val="32"/>
        </w:rPr>
        <w:t>Lecturer</w:t>
      </w:r>
      <w:r w:rsidRPr="00093E89">
        <w:rPr>
          <w:sz w:val="32"/>
          <w:szCs w:val="32"/>
        </w:rPr>
        <w:t xml:space="preserve">: </w:t>
      </w:r>
      <w:r w:rsidRPr="007D2B39">
        <w:rPr>
          <w:sz w:val="32"/>
          <w:szCs w:val="32"/>
        </w:rPr>
        <w:t xml:space="preserve">Dr Amandeep Sahota </w:t>
      </w:r>
    </w:p>
    <w:p w14:paraId="7184ABB7" w14:textId="77777777" w:rsidR="007D2B39" w:rsidRPr="00093E89" w:rsidRDefault="007D2B39" w:rsidP="007D2B39">
      <w:pPr>
        <w:spacing w:line="360" w:lineRule="auto"/>
        <w:jc w:val="both"/>
        <w:rPr>
          <w:sz w:val="32"/>
          <w:szCs w:val="32"/>
        </w:rPr>
      </w:pPr>
      <w:r w:rsidRPr="00093E89">
        <w:rPr>
          <w:b/>
          <w:bCs/>
          <w:sz w:val="32"/>
          <w:szCs w:val="32"/>
        </w:rPr>
        <w:t xml:space="preserve">Name: </w:t>
      </w:r>
      <w:r w:rsidRPr="00093E89">
        <w:rPr>
          <w:sz w:val="32"/>
          <w:szCs w:val="32"/>
        </w:rPr>
        <w:t>Nezabravka Vasileva</w:t>
      </w:r>
    </w:p>
    <w:p w14:paraId="09BC82EC" w14:textId="77777777" w:rsidR="007D2B39" w:rsidRPr="00093E89" w:rsidRDefault="007D2B39" w:rsidP="007D2B39">
      <w:pPr>
        <w:spacing w:line="360" w:lineRule="auto"/>
        <w:jc w:val="both"/>
        <w:rPr>
          <w:b/>
          <w:bCs/>
          <w:sz w:val="32"/>
          <w:szCs w:val="32"/>
        </w:rPr>
      </w:pPr>
      <w:r w:rsidRPr="00093E89">
        <w:rPr>
          <w:b/>
          <w:bCs/>
          <w:sz w:val="32"/>
          <w:szCs w:val="32"/>
        </w:rPr>
        <w:t xml:space="preserve">Student ID: </w:t>
      </w:r>
      <w:r w:rsidRPr="00093E89">
        <w:rPr>
          <w:sz w:val="32"/>
          <w:szCs w:val="32"/>
        </w:rPr>
        <w:t>2129046</w:t>
      </w:r>
    </w:p>
    <w:p w14:paraId="1FF744EB" w14:textId="77777777" w:rsidR="007D2B39" w:rsidRPr="00093E89" w:rsidRDefault="007D2B39" w:rsidP="007D2B39">
      <w:pPr>
        <w:spacing w:line="360" w:lineRule="auto"/>
        <w:jc w:val="both"/>
        <w:rPr>
          <w:b/>
          <w:bCs/>
          <w:sz w:val="32"/>
          <w:szCs w:val="32"/>
        </w:rPr>
      </w:pPr>
    </w:p>
    <w:p w14:paraId="6C1BB326" w14:textId="77777777" w:rsidR="007D2B39" w:rsidRPr="00093E89" w:rsidRDefault="007D2B39" w:rsidP="007D2B39">
      <w:pPr>
        <w:spacing w:line="360" w:lineRule="auto"/>
        <w:jc w:val="both"/>
        <w:rPr>
          <w:b/>
          <w:bCs/>
          <w:sz w:val="32"/>
          <w:szCs w:val="32"/>
        </w:rPr>
      </w:pPr>
    </w:p>
    <w:p w14:paraId="7DB4B974" w14:textId="636967E7" w:rsidR="007D2B39" w:rsidRPr="00093E89" w:rsidRDefault="007D2B39" w:rsidP="007D2B39">
      <w:pPr>
        <w:jc w:val="center"/>
        <w:rPr>
          <w:b/>
          <w:bCs/>
          <w:sz w:val="32"/>
          <w:szCs w:val="32"/>
        </w:rPr>
      </w:pPr>
      <w:r w:rsidRPr="00093E89">
        <w:rPr>
          <w:b/>
          <w:bCs/>
          <w:sz w:val="32"/>
          <w:szCs w:val="32"/>
        </w:rPr>
        <w:t xml:space="preserve">SUBMITTED ON THE </w:t>
      </w:r>
      <w:r>
        <w:rPr>
          <w:b/>
          <w:bCs/>
          <w:sz w:val="32"/>
          <w:szCs w:val="32"/>
        </w:rPr>
        <w:t>1</w:t>
      </w:r>
      <w:r>
        <w:rPr>
          <w:b/>
          <w:bCs/>
          <w:sz w:val="32"/>
          <w:szCs w:val="32"/>
        </w:rPr>
        <w:t>8</w:t>
      </w:r>
      <w:r w:rsidRPr="00093E89">
        <w:rPr>
          <w:b/>
          <w:bCs/>
          <w:sz w:val="32"/>
          <w:szCs w:val="32"/>
        </w:rPr>
        <w:t>/</w:t>
      </w:r>
      <w:r>
        <w:rPr>
          <w:b/>
          <w:bCs/>
          <w:sz w:val="32"/>
          <w:szCs w:val="32"/>
        </w:rPr>
        <w:t>08</w:t>
      </w:r>
      <w:r w:rsidRPr="00093E89">
        <w:rPr>
          <w:b/>
          <w:bCs/>
          <w:sz w:val="32"/>
          <w:szCs w:val="32"/>
        </w:rPr>
        <w:t>/202</w:t>
      </w:r>
      <w:r>
        <w:rPr>
          <w:b/>
          <w:bCs/>
          <w:sz w:val="32"/>
          <w:szCs w:val="32"/>
        </w:rPr>
        <w:t>4</w:t>
      </w:r>
    </w:p>
    <w:p w14:paraId="193B92B3" w14:textId="77777777" w:rsidR="007D2B39" w:rsidRPr="00093E89" w:rsidRDefault="007D2B39" w:rsidP="007D2B39">
      <w:pPr>
        <w:rPr>
          <w:b/>
          <w:bCs/>
          <w:sz w:val="32"/>
          <w:szCs w:val="32"/>
        </w:rPr>
      </w:pPr>
    </w:p>
    <w:p w14:paraId="00000001" w14:textId="77777777" w:rsidR="00E86EA1" w:rsidRDefault="00E86EA1"/>
    <w:p w14:paraId="77B121EA" w14:textId="77777777" w:rsidR="007D2B39" w:rsidRDefault="007D2B39"/>
    <w:p w14:paraId="7DE28F87" w14:textId="77777777" w:rsidR="007D2B39" w:rsidRDefault="007D2B39"/>
    <w:p w14:paraId="312C0F87" w14:textId="77777777" w:rsidR="007D2B39" w:rsidRDefault="007D2B39"/>
    <w:p w14:paraId="31434CE1" w14:textId="77777777" w:rsidR="007D2B39" w:rsidRDefault="007D2B39"/>
    <w:p w14:paraId="449E8263" w14:textId="77777777" w:rsidR="007D2B39" w:rsidRDefault="007D2B39"/>
    <w:p w14:paraId="00000002" w14:textId="77777777" w:rsidR="00E86EA1" w:rsidRPr="007D2B39" w:rsidRDefault="00000000" w:rsidP="007D2B39">
      <w:pPr>
        <w:keepNext/>
        <w:keepLines/>
        <w:pBdr>
          <w:top w:val="nil"/>
          <w:left w:val="nil"/>
          <w:bottom w:val="nil"/>
          <w:right w:val="nil"/>
          <w:between w:val="nil"/>
        </w:pBdr>
        <w:spacing w:before="480" w:line="276" w:lineRule="auto"/>
        <w:rPr>
          <w:rFonts w:ascii="Arial" w:hAnsi="Arial" w:cs="Arial"/>
          <w:b/>
          <w:color w:val="2F5496"/>
          <w:sz w:val="36"/>
          <w:szCs w:val="36"/>
        </w:rPr>
      </w:pPr>
      <w:r w:rsidRPr="007D2B39">
        <w:rPr>
          <w:rFonts w:ascii="Arial" w:hAnsi="Arial" w:cs="Arial"/>
          <w:b/>
          <w:color w:val="2F5496"/>
          <w:sz w:val="36"/>
          <w:szCs w:val="36"/>
        </w:rPr>
        <w:lastRenderedPageBreak/>
        <w:t>Table of Contents</w:t>
      </w:r>
    </w:p>
    <w:sdt>
      <w:sdtPr>
        <w:rPr>
          <w:rFonts w:ascii="Arial" w:hAnsi="Arial" w:cs="Arial"/>
          <w:sz w:val="36"/>
          <w:szCs w:val="36"/>
        </w:rPr>
        <w:id w:val="2027203689"/>
        <w:docPartObj>
          <w:docPartGallery w:val="Table of Contents"/>
          <w:docPartUnique/>
        </w:docPartObj>
      </w:sdtPr>
      <w:sdtEndPr>
        <w:rPr>
          <w:b w:val="0"/>
          <w:bCs w:val="0"/>
          <w:caps w:val="0"/>
          <w:sz w:val="24"/>
          <w:szCs w:val="24"/>
        </w:rPr>
      </w:sdtEndPr>
      <w:sdtContent>
        <w:p w14:paraId="37EA91B7" w14:textId="1FBCAB88" w:rsidR="002172FD" w:rsidRPr="002172FD" w:rsidRDefault="00000000">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r w:rsidRPr="002172FD">
            <w:rPr>
              <w:rFonts w:ascii="Arial" w:hAnsi="Arial" w:cs="Arial"/>
              <w:sz w:val="36"/>
              <w:szCs w:val="36"/>
            </w:rPr>
            <w:fldChar w:fldCharType="begin"/>
          </w:r>
          <w:r w:rsidRPr="002172FD">
            <w:rPr>
              <w:rFonts w:ascii="Arial" w:hAnsi="Arial" w:cs="Arial"/>
              <w:sz w:val="36"/>
              <w:szCs w:val="36"/>
            </w:rPr>
            <w:instrText xml:space="preserve"> TOC \h \u \z \t "Heading 1,1,Heading 2,2,Heading 3,3,"</w:instrText>
          </w:r>
          <w:r w:rsidRPr="002172FD">
            <w:rPr>
              <w:rFonts w:ascii="Arial" w:hAnsi="Arial" w:cs="Arial"/>
              <w:sz w:val="36"/>
              <w:szCs w:val="36"/>
            </w:rPr>
            <w:fldChar w:fldCharType="separate"/>
          </w:r>
          <w:hyperlink w:anchor="_Toc174905872" w:history="1">
            <w:r w:rsidR="002172FD" w:rsidRPr="002172FD">
              <w:rPr>
                <w:rStyle w:val="Hyperlink"/>
                <w:rFonts w:ascii="Arial" w:hAnsi="Arial" w:cs="Arial"/>
                <w:noProof/>
                <w:sz w:val="36"/>
                <w:szCs w:val="36"/>
              </w:rPr>
              <w:t>Introduction</w:t>
            </w:r>
            <w:r w:rsidR="002172FD" w:rsidRPr="002172FD">
              <w:rPr>
                <w:noProof/>
                <w:webHidden/>
                <w:sz w:val="36"/>
                <w:szCs w:val="36"/>
              </w:rPr>
              <w:tab/>
            </w:r>
            <w:r w:rsidR="002172FD" w:rsidRPr="002172FD">
              <w:rPr>
                <w:noProof/>
                <w:webHidden/>
                <w:sz w:val="36"/>
                <w:szCs w:val="36"/>
              </w:rPr>
              <w:fldChar w:fldCharType="begin"/>
            </w:r>
            <w:r w:rsidR="002172FD" w:rsidRPr="002172FD">
              <w:rPr>
                <w:noProof/>
                <w:webHidden/>
                <w:sz w:val="36"/>
                <w:szCs w:val="36"/>
              </w:rPr>
              <w:instrText xml:space="preserve"> PAGEREF _Toc174905872 \h </w:instrText>
            </w:r>
            <w:r w:rsidR="002172FD" w:rsidRPr="002172FD">
              <w:rPr>
                <w:noProof/>
                <w:webHidden/>
                <w:sz w:val="36"/>
                <w:szCs w:val="36"/>
              </w:rPr>
            </w:r>
            <w:r w:rsidR="002172FD" w:rsidRPr="002172FD">
              <w:rPr>
                <w:noProof/>
                <w:webHidden/>
                <w:sz w:val="36"/>
                <w:szCs w:val="36"/>
              </w:rPr>
              <w:fldChar w:fldCharType="separate"/>
            </w:r>
            <w:r w:rsidR="00237550">
              <w:rPr>
                <w:noProof/>
                <w:webHidden/>
                <w:sz w:val="36"/>
                <w:szCs w:val="36"/>
              </w:rPr>
              <w:t>3</w:t>
            </w:r>
            <w:r w:rsidR="002172FD" w:rsidRPr="002172FD">
              <w:rPr>
                <w:noProof/>
                <w:webHidden/>
                <w:sz w:val="36"/>
                <w:szCs w:val="36"/>
              </w:rPr>
              <w:fldChar w:fldCharType="end"/>
            </w:r>
          </w:hyperlink>
        </w:p>
        <w:p w14:paraId="3CE4F20C" w14:textId="2B7D8067" w:rsidR="002172FD" w:rsidRPr="002172FD" w:rsidRDefault="002172FD">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hyperlink w:anchor="_Toc174905873" w:history="1">
            <w:r w:rsidRPr="002172FD">
              <w:rPr>
                <w:rStyle w:val="Hyperlink"/>
                <w:rFonts w:ascii="Arial" w:hAnsi="Arial" w:cs="Arial"/>
                <w:noProof/>
                <w:sz w:val="36"/>
                <w:szCs w:val="36"/>
              </w:rPr>
              <w:t>Challenges of managing foreign exchange risk</w:t>
            </w:r>
            <w:r w:rsidRPr="002172FD">
              <w:rPr>
                <w:noProof/>
                <w:webHidden/>
                <w:sz w:val="36"/>
                <w:szCs w:val="36"/>
              </w:rPr>
              <w:tab/>
            </w:r>
            <w:r w:rsidRPr="002172FD">
              <w:rPr>
                <w:noProof/>
                <w:webHidden/>
                <w:sz w:val="36"/>
                <w:szCs w:val="36"/>
              </w:rPr>
              <w:fldChar w:fldCharType="begin"/>
            </w:r>
            <w:r w:rsidRPr="002172FD">
              <w:rPr>
                <w:noProof/>
                <w:webHidden/>
                <w:sz w:val="36"/>
                <w:szCs w:val="36"/>
              </w:rPr>
              <w:instrText xml:space="preserve"> PAGEREF _Toc174905873 \h </w:instrText>
            </w:r>
            <w:r w:rsidRPr="002172FD">
              <w:rPr>
                <w:noProof/>
                <w:webHidden/>
                <w:sz w:val="36"/>
                <w:szCs w:val="36"/>
              </w:rPr>
            </w:r>
            <w:r w:rsidRPr="002172FD">
              <w:rPr>
                <w:noProof/>
                <w:webHidden/>
                <w:sz w:val="36"/>
                <w:szCs w:val="36"/>
              </w:rPr>
              <w:fldChar w:fldCharType="separate"/>
            </w:r>
            <w:r w:rsidR="00237550">
              <w:rPr>
                <w:noProof/>
                <w:webHidden/>
                <w:sz w:val="36"/>
                <w:szCs w:val="36"/>
              </w:rPr>
              <w:t>3</w:t>
            </w:r>
            <w:r w:rsidRPr="002172FD">
              <w:rPr>
                <w:noProof/>
                <w:webHidden/>
                <w:sz w:val="36"/>
                <w:szCs w:val="36"/>
              </w:rPr>
              <w:fldChar w:fldCharType="end"/>
            </w:r>
          </w:hyperlink>
        </w:p>
        <w:p w14:paraId="362684A9" w14:textId="70D00217" w:rsidR="002172FD" w:rsidRPr="002172FD" w:rsidRDefault="002172FD">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hyperlink w:anchor="_Toc174905874" w:history="1">
            <w:r w:rsidRPr="002172FD">
              <w:rPr>
                <w:rStyle w:val="Hyperlink"/>
                <w:rFonts w:ascii="Arial" w:hAnsi="Arial" w:cs="Arial"/>
                <w:noProof/>
                <w:sz w:val="36"/>
                <w:szCs w:val="36"/>
              </w:rPr>
              <w:t>Foreign exchange risk and risk management</w:t>
            </w:r>
            <w:r w:rsidRPr="002172FD">
              <w:rPr>
                <w:noProof/>
                <w:webHidden/>
                <w:sz w:val="36"/>
                <w:szCs w:val="36"/>
              </w:rPr>
              <w:tab/>
            </w:r>
            <w:r w:rsidRPr="002172FD">
              <w:rPr>
                <w:noProof/>
                <w:webHidden/>
                <w:sz w:val="36"/>
                <w:szCs w:val="36"/>
              </w:rPr>
              <w:fldChar w:fldCharType="begin"/>
            </w:r>
            <w:r w:rsidRPr="002172FD">
              <w:rPr>
                <w:noProof/>
                <w:webHidden/>
                <w:sz w:val="36"/>
                <w:szCs w:val="36"/>
              </w:rPr>
              <w:instrText xml:space="preserve"> PAGEREF _Toc174905874 \h </w:instrText>
            </w:r>
            <w:r w:rsidRPr="002172FD">
              <w:rPr>
                <w:noProof/>
                <w:webHidden/>
                <w:sz w:val="36"/>
                <w:szCs w:val="36"/>
              </w:rPr>
            </w:r>
            <w:r w:rsidRPr="002172FD">
              <w:rPr>
                <w:noProof/>
                <w:webHidden/>
                <w:sz w:val="36"/>
                <w:szCs w:val="36"/>
              </w:rPr>
              <w:fldChar w:fldCharType="separate"/>
            </w:r>
            <w:r w:rsidR="00237550">
              <w:rPr>
                <w:noProof/>
                <w:webHidden/>
                <w:sz w:val="36"/>
                <w:szCs w:val="36"/>
              </w:rPr>
              <w:t>4</w:t>
            </w:r>
            <w:r w:rsidRPr="002172FD">
              <w:rPr>
                <w:noProof/>
                <w:webHidden/>
                <w:sz w:val="36"/>
                <w:szCs w:val="36"/>
              </w:rPr>
              <w:fldChar w:fldCharType="end"/>
            </w:r>
          </w:hyperlink>
        </w:p>
        <w:p w14:paraId="7EBC1A1D" w14:textId="02662C0D" w:rsidR="002172FD" w:rsidRPr="002172FD" w:rsidRDefault="002172FD">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hyperlink w:anchor="_Toc174905875" w:history="1">
            <w:r w:rsidRPr="002172FD">
              <w:rPr>
                <w:rStyle w:val="Hyperlink"/>
                <w:rFonts w:ascii="Arial" w:hAnsi="Arial" w:cs="Arial"/>
                <w:noProof/>
                <w:sz w:val="36"/>
                <w:szCs w:val="36"/>
              </w:rPr>
              <w:t>Comparative advantage theory</w:t>
            </w:r>
            <w:r w:rsidRPr="002172FD">
              <w:rPr>
                <w:noProof/>
                <w:webHidden/>
                <w:sz w:val="36"/>
                <w:szCs w:val="36"/>
              </w:rPr>
              <w:tab/>
            </w:r>
            <w:r w:rsidRPr="002172FD">
              <w:rPr>
                <w:noProof/>
                <w:webHidden/>
                <w:sz w:val="36"/>
                <w:szCs w:val="36"/>
              </w:rPr>
              <w:fldChar w:fldCharType="begin"/>
            </w:r>
            <w:r w:rsidRPr="002172FD">
              <w:rPr>
                <w:noProof/>
                <w:webHidden/>
                <w:sz w:val="36"/>
                <w:szCs w:val="36"/>
              </w:rPr>
              <w:instrText xml:space="preserve"> PAGEREF _Toc174905875 \h </w:instrText>
            </w:r>
            <w:r w:rsidRPr="002172FD">
              <w:rPr>
                <w:noProof/>
                <w:webHidden/>
                <w:sz w:val="36"/>
                <w:szCs w:val="36"/>
              </w:rPr>
            </w:r>
            <w:r w:rsidRPr="002172FD">
              <w:rPr>
                <w:noProof/>
                <w:webHidden/>
                <w:sz w:val="36"/>
                <w:szCs w:val="36"/>
              </w:rPr>
              <w:fldChar w:fldCharType="separate"/>
            </w:r>
            <w:r w:rsidR="00237550">
              <w:rPr>
                <w:noProof/>
                <w:webHidden/>
                <w:sz w:val="36"/>
                <w:szCs w:val="36"/>
              </w:rPr>
              <w:t>5</w:t>
            </w:r>
            <w:r w:rsidRPr="002172FD">
              <w:rPr>
                <w:noProof/>
                <w:webHidden/>
                <w:sz w:val="36"/>
                <w:szCs w:val="36"/>
              </w:rPr>
              <w:fldChar w:fldCharType="end"/>
            </w:r>
          </w:hyperlink>
        </w:p>
        <w:p w14:paraId="1142B8C2" w14:textId="3EA2E884" w:rsidR="002172FD" w:rsidRPr="002172FD" w:rsidRDefault="002172FD">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hyperlink w:anchor="_Toc174905876" w:history="1">
            <w:r w:rsidRPr="002172FD">
              <w:rPr>
                <w:rStyle w:val="Hyperlink"/>
                <w:rFonts w:ascii="Arial" w:hAnsi="Arial" w:cs="Arial"/>
                <w:noProof/>
                <w:sz w:val="36"/>
                <w:szCs w:val="36"/>
              </w:rPr>
              <w:t>Value based pricing strategy</w:t>
            </w:r>
            <w:r w:rsidRPr="002172FD">
              <w:rPr>
                <w:noProof/>
                <w:webHidden/>
                <w:sz w:val="36"/>
                <w:szCs w:val="36"/>
              </w:rPr>
              <w:tab/>
            </w:r>
            <w:r w:rsidRPr="002172FD">
              <w:rPr>
                <w:noProof/>
                <w:webHidden/>
                <w:sz w:val="36"/>
                <w:szCs w:val="36"/>
              </w:rPr>
              <w:fldChar w:fldCharType="begin"/>
            </w:r>
            <w:r w:rsidRPr="002172FD">
              <w:rPr>
                <w:noProof/>
                <w:webHidden/>
                <w:sz w:val="36"/>
                <w:szCs w:val="36"/>
              </w:rPr>
              <w:instrText xml:space="preserve"> PAGEREF _Toc174905876 \h </w:instrText>
            </w:r>
            <w:r w:rsidRPr="002172FD">
              <w:rPr>
                <w:noProof/>
                <w:webHidden/>
                <w:sz w:val="36"/>
                <w:szCs w:val="36"/>
              </w:rPr>
            </w:r>
            <w:r w:rsidRPr="002172FD">
              <w:rPr>
                <w:noProof/>
                <w:webHidden/>
                <w:sz w:val="36"/>
                <w:szCs w:val="36"/>
              </w:rPr>
              <w:fldChar w:fldCharType="separate"/>
            </w:r>
            <w:r w:rsidR="00237550">
              <w:rPr>
                <w:noProof/>
                <w:webHidden/>
                <w:sz w:val="36"/>
                <w:szCs w:val="36"/>
              </w:rPr>
              <w:t>6</w:t>
            </w:r>
            <w:r w:rsidRPr="002172FD">
              <w:rPr>
                <w:noProof/>
                <w:webHidden/>
                <w:sz w:val="36"/>
                <w:szCs w:val="36"/>
              </w:rPr>
              <w:fldChar w:fldCharType="end"/>
            </w:r>
          </w:hyperlink>
        </w:p>
        <w:p w14:paraId="47B6A572" w14:textId="57DCD0C6" w:rsidR="002172FD" w:rsidRPr="002172FD" w:rsidRDefault="002172FD">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hyperlink w:anchor="_Toc174905877" w:history="1">
            <w:r w:rsidRPr="002172FD">
              <w:rPr>
                <w:rStyle w:val="Hyperlink"/>
                <w:rFonts w:ascii="Arial" w:hAnsi="Arial" w:cs="Arial"/>
                <w:noProof/>
                <w:sz w:val="36"/>
                <w:szCs w:val="36"/>
              </w:rPr>
              <w:t>Conclusion</w:t>
            </w:r>
            <w:r w:rsidRPr="002172FD">
              <w:rPr>
                <w:noProof/>
                <w:webHidden/>
                <w:sz w:val="36"/>
                <w:szCs w:val="36"/>
              </w:rPr>
              <w:tab/>
            </w:r>
            <w:r w:rsidRPr="002172FD">
              <w:rPr>
                <w:noProof/>
                <w:webHidden/>
                <w:sz w:val="36"/>
                <w:szCs w:val="36"/>
              </w:rPr>
              <w:fldChar w:fldCharType="begin"/>
            </w:r>
            <w:r w:rsidRPr="002172FD">
              <w:rPr>
                <w:noProof/>
                <w:webHidden/>
                <w:sz w:val="36"/>
                <w:szCs w:val="36"/>
              </w:rPr>
              <w:instrText xml:space="preserve"> PAGEREF _Toc174905877 \h </w:instrText>
            </w:r>
            <w:r w:rsidRPr="002172FD">
              <w:rPr>
                <w:noProof/>
                <w:webHidden/>
                <w:sz w:val="36"/>
                <w:szCs w:val="36"/>
              </w:rPr>
            </w:r>
            <w:r w:rsidRPr="002172FD">
              <w:rPr>
                <w:noProof/>
                <w:webHidden/>
                <w:sz w:val="36"/>
                <w:szCs w:val="36"/>
              </w:rPr>
              <w:fldChar w:fldCharType="separate"/>
            </w:r>
            <w:r w:rsidR="00237550">
              <w:rPr>
                <w:noProof/>
                <w:webHidden/>
                <w:sz w:val="36"/>
                <w:szCs w:val="36"/>
              </w:rPr>
              <w:t>6</w:t>
            </w:r>
            <w:r w:rsidRPr="002172FD">
              <w:rPr>
                <w:noProof/>
                <w:webHidden/>
                <w:sz w:val="36"/>
                <w:szCs w:val="36"/>
              </w:rPr>
              <w:fldChar w:fldCharType="end"/>
            </w:r>
          </w:hyperlink>
        </w:p>
        <w:p w14:paraId="44F5DE61" w14:textId="7AC89E0E" w:rsidR="002172FD" w:rsidRPr="002172FD" w:rsidRDefault="002172FD">
          <w:pPr>
            <w:pStyle w:val="TOC1"/>
            <w:tabs>
              <w:tab w:val="right" w:leader="dot" w:pos="9016"/>
            </w:tabs>
            <w:rPr>
              <w:rFonts w:asciiTheme="minorHAnsi" w:eastAsiaTheme="minorEastAsia" w:hAnsiTheme="minorHAnsi" w:cstheme="minorBidi"/>
              <w:b w:val="0"/>
              <w:bCs w:val="0"/>
              <w:caps w:val="0"/>
              <w:noProof/>
              <w:kern w:val="2"/>
              <w:sz w:val="36"/>
              <w:szCs w:val="36"/>
              <w14:ligatures w14:val="standardContextual"/>
            </w:rPr>
          </w:pPr>
          <w:hyperlink w:anchor="_Toc174905878" w:history="1">
            <w:r w:rsidRPr="002172FD">
              <w:rPr>
                <w:rStyle w:val="Hyperlink"/>
                <w:rFonts w:ascii="Arial" w:hAnsi="Arial" w:cs="Arial"/>
                <w:noProof/>
                <w:sz w:val="36"/>
                <w:szCs w:val="36"/>
              </w:rPr>
              <w:t>References</w:t>
            </w:r>
            <w:r w:rsidRPr="002172FD">
              <w:rPr>
                <w:noProof/>
                <w:webHidden/>
                <w:sz w:val="36"/>
                <w:szCs w:val="36"/>
              </w:rPr>
              <w:tab/>
            </w:r>
            <w:r w:rsidRPr="002172FD">
              <w:rPr>
                <w:noProof/>
                <w:webHidden/>
                <w:sz w:val="36"/>
                <w:szCs w:val="36"/>
              </w:rPr>
              <w:fldChar w:fldCharType="begin"/>
            </w:r>
            <w:r w:rsidRPr="002172FD">
              <w:rPr>
                <w:noProof/>
                <w:webHidden/>
                <w:sz w:val="36"/>
                <w:szCs w:val="36"/>
              </w:rPr>
              <w:instrText xml:space="preserve"> PAGEREF _Toc174905878 \h </w:instrText>
            </w:r>
            <w:r w:rsidRPr="002172FD">
              <w:rPr>
                <w:noProof/>
                <w:webHidden/>
                <w:sz w:val="36"/>
                <w:szCs w:val="36"/>
              </w:rPr>
            </w:r>
            <w:r w:rsidRPr="002172FD">
              <w:rPr>
                <w:noProof/>
                <w:webHidden/>
                <w:sz w:val="36"/>
                <w:szCs w:val="36"/>
              </w:rPr>
              <w:fldChar w:fldCharType="separate"/>
            </w:r>
            <w:r w:rsidR="00237550">
              <w:rPr>
                <w:noProof/>
                <w:webHidden/>
                <w:sz w:val="36"/>
                <w:szCs w:val="36"/>
              </w:rPr>
              <w:t>7</w:t>
            </w:r>
            <w:r w:rsidRPr="002172FD">
              <w:rPr>
                <w:noProof/>
                <w:webHidden/>
                <w:sz w:val="36"/>
                <w:szCs w:val="36"/>
              </w:rPr>
              <w:fldChar w:fldCharType="end"/>
            </w:r>
          </w:hyperlink>
        </w:p>
        <w:p w14:paraId="0000000A" w14:textId="27611285" w:rsidR="00E86EA1" w:rsidRPr="007D2B39" w:rsidRDefault="00000000" w:rsidP="007D2B39">
          <w:pPr>
            <w:spacing w:line="276" w:lineRule="auto"/>
            <w:rPr>
              <w:rFonts w:ascii="Arial" w:hAnsi="Arial" w:cs="Arial"/>
            </w:rPr>
          </w:pPr>
          <w:r w:rsidRPr="002172FD">
            <w:rPr>
              <w:rFonts w:ascii="Arial" w:hAnsi="Arial" w:cs="Arial"/>
              <w:sz w:val="36"/>
              <w:szCs w:val="36"/>
            </w:rPr>
            <w:fldChar w:fldCharType="end"/>
          </w:r>
        </w:p>
      </w:sdtContent>
    </w:sdt>
    <w:p w14:paraId="0000000B" w14:textId="77777777" w:rsidR="00E86EA1" w:rsidRPr="007D2B39" w:rsidRDefault="00E86EA1" w:rsidP="007D2B39">
      <w:pPr>
        <w:spacing w:line="276" w:lineRule="auto"/>
        <w:rPr>
          <w:rFonts w:ascii="Arial" w:hAnsi="Arial" w:cs="Arial"/>
        </w:rPr>
      </w:pPr>
    </w:p>
    <w:p w14:paraId="0000000C" w14:textId="77777777" w:rsidR="00E86EA1" w:rsidRPr="007D2B39" w:rsidRDefault="00E86EA1" w:rsidP="007D2B39">
      <w:pPr>
        <w:spacing w:line="276" w:lineRule="auto"/>
        <w:rPr>
          <w:rFonts w:ascii="Arial" w:hAnsi="Arial" w:cs="Arial"/>
        </w:rPr>
      </w:pPr>
    </w:p>
    <w:p w14:paraId="0000000D" w14:textId="77777777" w:rsidR="00E86EA1" w:rsidRPr="007D2B39" w:rsidRDefault="00E86EA1" w:rsidP="007D2B39">
      <w:pPr>
        <w:spacing w:line="276" w:lineRule="auto"/>
        <w:rPr>
          <w:rFonts w:ascii="Arial" w:hAnsi="Arial" w:cs="Arial"/>
        </w:rPr>
      </w:pPr>
    </w:p>
    <w:p w14:paraId="0000000E" w14:textId="77777777" w:rsidR="00E86EA1" w:rsidRPr="007D2B39" w:rsidRDefault="00E86EA1" w:rsidP="007D2B39">
      <w:pPr>
        <w:spacing w:line="276" w:lineRule="auto"/>
        <w:rPr>
          <w:rFonts w:ascii="Arial" w:hAnsi="Arial" w:cs="Arial"/>
        </w:rPr>
      </w:pPr>
    </w:p>
    <w:p w14:paraId="0000000F" w14:textId="77777777" w:rsidR="00E86EA1" w:rsidRPr="007D2B39" w:rsidRDefault="00E86EA1" w:rsidP="007D2B39">
      <w:pPr>
        <w:spacing w:line="276" w:lineRule="auto"/>
        <w:rPr>
          <w:rFonts w:ascii="Arial" w:hAnsi="Arial" w:cs="Arial"/>
        </w:rPr>
      </w:pPr>
    </w:p>
    <w:p w14:paraId="00000010" w14:textId="77777777" w:rsidR="00E86EA1" w:rsidRPr="007D2B39" w:rsidRDefault="00E86EA1" w:rsidP="007D2B39">
      <w:pPr>
        <w:spacing w:line="276" w:lineRule="auto"/>
        <w:rPr>
          <w:rFonts w:ascii="Arial" w:hAnsi="Arial" w:cs="Arial"/>
        </w:rPr>
      </w:pPr>
    </w:p>
    <w:p w14:paraId="00000011" w14:textId="77777777" w:rsidR="00E86EA1" w:rsidRPr="007D2B39" w:rsidRDefault="00E86EA1" w:rsidP="007D2B39">
      <w:pPr>
        <w:spacing w:line="276" w:lineRule="auto"/>
        <w:rPr>
          <w:rFonts w:ascii="Arial" w:hAnsi="Arial" w:cs="Arial"/>
        </w:rPr>
      </w:pPr>
    </w:p>
    <w:p w14:paraId="00000012" w14:textId="77777777" w:rsidR="00E86EA1" w:rsidRPr="007D2B39" w:rsidRDefault="00E86EA1" w:rsidP="007D2B39">
      <w:pPr>
        <w:spacing w:line="276" w:lineRule="auto"/>
        <w:rPr>
          <w:rFonts w:ascii="Arial" w:hAnsi="Arial" w:cs="Arial"/>
        </w:rPr>
      </w:pPr>
    </w:p>
    <w:p w14:paraId="00000013" w14:textId="77777777" w:rsidR="00E86EA1" w:rsidRPr="007D2B39" w:rsidRDefault="00E86EA1" w:rsidP="007D2B39">
      <w:pPr>
        <w:spacing w:line="276" w:lineRule="auto"/>
        <w:rPr>
          <w:rFonts w:ascii="Arial" w:hAnsi="Arial" w:cs="Arial"/>
        </w:rPr>
      </w:pPr>
    </w:p>
    <w:p w14:paraId="00000014" w14:textId="77777777" w:rsidR="00E86EA1" w:rsidRPr="007D2B39" w:rsidRDefault="00E86EA1" w:rsidP="007D2B39">
      <w:pPr>
        <w:spacing w:line="276" w:lineRule="auto"/>
        <w:rPr>
          <w:rFonts w:ascii="Arial" w:hAnsi="Arial" w:cs="Arial"/>
        </w:rPr>
      </w:pPr>
    </w:p>
    <w:p w14:paraId="00000015" w14:textId="77777777" w:rsidR="00E86EA1" w:rsidRPr="007D2B39" w:rsidRDefault="00E86EA1" w:rsidP="007D2B39">
      <w:pPr>
        <w:spacing w:line="276" w:lineRule="auto"/>
        <w:rPr>
          <w:rFonts w:ascii="Arial" w:hAnsi="Arial" w:cs="Arial"/>
        </w:rPr>
      </w:pPr>
    </w:p>
    <w:p w14:paraId="00000016" w14:textId="77777777" w:rsidR="00E86EA1" w:rsidRPr="007D2B39" w:rsidRDefault="00E86EA1" w:rsidP="007D2B39">
      <w:pPr>
        <w:spacing w:line="276" w:lineRule="auto"/>
        <w:rPr>
          <w:rFonts w:ascii="Arial" w:hAnsi="Arial" w:cs="Arial"/>
        </w:rPr>
      </w:pPr>
    </w:p>
    <w:p w14:paraId="00000017" w14:textId="77777777" w:rsidR="00E86EA1" w:rsidRPr="007D2B39" w:rsidRDefault="00E86EA1" w:rsidP="007D2B39">
      <w:pPr>
        <w:spacing w:line="276" w:lineRule="auto"/>
        <w:rPr>
          <w:rFonts w:ascii="Arial" w:hAnsi="Arial" w:cs="Arial"/>
        </w:rPr>
      </w:pPr>
    </w:p>
    <w:p w14:paraId="00000018" w14:textId="77777777" w:rsidR="00E86EA1" w:rsidRPr="007D2B39" w:rsidRDefault="00E86EA1" w:rsidP="007D2B39">
      <w:pPr>
        <w:spacing w:line="276" w:lineRule="auto"/>
        <w:rPr>
          <w:rFonts w:ascii="Arial" w:hAnsi="Arial" w:cs="Arial"/>
        </w:rPr>
      </w:pPr>
    </w:p>
    <w:p w14:paraId="00000019" w14:textId="77777777" w:rsidR="00E86EA1" w:rsidRPr="007D2B39" w:rsidRDefault="00E86EA1" w:rsidP="007D2B39">
      <w:pPr>
        <w:spacing w:line="276" w:lineRule="auto"/>
        <w:rPr>
          <w:rFonts w:ascii="Arial" w:hAnsi="Arial" w:cs="Arial"/>
        </w:rPr>
      </w:pPr>
    </w:p>
    <w:p w14:paraId="0000001A" w14:textId="77777777" w:rsidR="00E86EA1" w:rsidRPr="007D2B39" w:rsidRDefault="00E86EA1" w:rsidP="007D2B39">
      <w:pPr>
        <w:spacing w:line="276" w:lineRule="auto"/>
        <w:rPr>
          <w:rFonts w:ascii="Arial" w:hAnsi="Arial" w:cs="Arial"/>
        </w:rPr>
      </w:pPr>
    </w:p>
    <w:p w14:paraId="0000001B" w14:textId="77777777" w:rsidR="00E86EA1" w:rsidRPr="007D2B39" w:rsidRDefault="00E86EA1" w:rsidP="007D2B39">
      <w:pPr>
        <w:spacing w:line="276" w:lineRule="auto"/>
        <w:rPr>
          <w:rFonts w:ascii="Arial" w:hAnsi="Arial" w:cs="Arial"/>
        </w:rPr>
      </w:pPr>
    </w:p>
    <w:p w14:paraId="0000001C" w14:textId="77777777" w:rsidR="00E86EA1" w:rsidRPr="007D2B39" w:rsidRDefault="00E86EA1" w:rsidP="007D2B39">
      <w:pPr>
        <w:spacing w:line="276" w:lineRule="auto"/>
        <w:rPr>
          <w:rFonts w:ascii="Arial" w:hAnsi="Arial" w:cs="Arial"/>
        </w:rPr>
      </w:pPr>
    </w:p>
    <w:p w14:paraId="0000001D" w14:textId="77777777" w:rsidR="00E86EA1" w:rsidRPr="007D2B39" w:rsidRDefault="00E86EA1" w:rsidP="007D2B39">
      <w:pPr>
        <w:spacing w:line="276" w:lineRule="auto"/>
        <w:rPr>
          <w:rFonts w:ascii="Arial" w:hAnsi="Arial" w:cs="Arial"/>
        </w:rPr>
      </w:pPr>
    </w:p>
    <w:p w14:paraId="0000001E" w14:textId="77777777" w:rsidR="00E86EA1" w:rsidRPr="007D2B39" w:rsidRDefault="00E86EA1" w:rsidP="007D2B39">
      <w:pPr>
        <w:spacing w:line="276" w:lineRule="auto"/>
        <w:rPr>
          <w:rFonts w:ascii="Arial" w:hAnsi="Arial" w:cs="Arial"/>
        </w:rPr>
      </w:pPr>
    </w:p>
    <w:p w14:paraId="0000001F" w14:textId="77777777" w:rsidR="00E86EA1" w:rsidRPr="007D2B39" w:rsidRDefault="00E86EA1" w:rsidP="007D2B39">
      <w:pPr>
        <w:spacing w:line="276" w:lineRule="auto"/>
        <w:rPr>
          <w:rFonts w:ascii="Arial" w:hAnsi="Arial" w:cs="Arial"/>
        </w:rPr>
      </w:pPr>
    </w:p>
    <w:p w14:paraId="00000020" w14:textId="77777777" w:rsidR="00E86EA1" w:rsidRPr="007D2B39" w:rsidRDefault="00E86EA1" w:rsidP="007D2B39">
      <w:pPr>
        <w:spacing w:line="276" w:lineRule="auto"/>
        <w:rPr>
          <w:rFonts w:ascii="Arial" w:hAnsi="Arial" w:cs="Arial"/>
        </w:rPr>
      </w:pPr>
    </w:p>
    <w:p w14:paraId="00000021" w14:textId="77777777" w:rsidR="00E86EA1" w:rsidRPr="007D2B39" w:rsidRDefault="00E86EA1" w:rsidP="007D2B39">
      <w:pPr>
        <w:spacing w:line="276" w:lineRule="auto"/>
        <w:rPr>
          <w:rFonts w:ascii="Arial" w:hAnsi="Arial" w:cs="Arial"/>
        </w:rPr>
      </w:pPr>
    </w:p>
    <w:p w14:paraId="00000022" w14:textId="77777777" w:rsidR="00E86EA1" w:rsidRPr="007D2B39" w:rsidRDefault="00E86EA1" w:rsidP="007D2B39">
      <w:pPr>
        <w:spacing w:line="276" w:lineRule="auto"/>
        <w:rPr>
          <w:rFonts w:ascii="Arial" w:hAnsi="Arial" w:cs="Arial"/>
        </w:rPr>
      </w:pPr>
    </w:p>
    <w:p w14:paraId="00000023" w14:textId="77777777" w:rsidR="00E86EA1" w:rsidRPr="007D2B39" w:rsidRDefault="00E86EA1" w:rsidP="007D2B39">
      <w:pPr>
        <w:spacing w:line="276" w:lineRule="auto"/>
        <w:rPr>
          <w:rFonts w:ascii="Arial" w:hAnsi="Arial" w:cs="Arial"/>
        </w:rPr>
      </w:pPr>
    </w:p>
    <w:p w14:paraId="00000029" w14:textId="77777777" w:rsidR="00E86EA1" w:rsidRPr="007D2B39" w:rsidRDefault="00E86EA1" w:rsidP="007D2B39">
      <w:pPr>
        <w:spacing w:line="276" w:lineRule="auto"/>
        <w:rPr>
          <w:rFonts w:ascii="Arial" w:hAnsi="Arial" w:cs="Arial"/>
        </w:rPr>
      </w:pPr>
    </w:p>
    <w:p w14:paraId="0000002A" w14:textId="77777777" w:rsidR="00E86EA1" w:rsidRDefault="00000000" w:rsidP="007D2B39">
      <w:pPr>
        <w:pStyle w:val="Heading1"/>
        <w:spacing w:line="276" w:lineRule="auto"/>
        <w:rPr>
          <w:rFonts w:ascii="Arial" w:hAnsi="Arial" w:cs="Arial"/>
          <w:sz w:val="24"/>
          <w:szCs w:val="24"/>
        </w:rPr>
      </w:pPr>
      <w:bookmarkStart w:id="1" w:name="_Toc174905872"/>
      <w:r w:rsidRPr="007D2B39">
        <w:rPr>
          <w:rFonts w:ascii="Arial" w:hAnsi="Arial" w:cs="Arial"/>
          <w:sz w:val="24"/>
          <w:szCs w:val="24"/>
        </w:rPr>
        <w:lastRenderedPageBreak/>
        <w:t>Introduction</w:t>
      </w:r>
      <w:bookmarkEnd w:id="1"/>
    </w:p>
    <w:p w14:paraId="68C3D4B5" w14:textId="77777777" w:rsidR="00DA2EF2" w:rsidRPr="00DA2EF2" w:rsidRDefault="00DA2EF2" w:rsidP="00DA2EF2">
      <w:pPr>
        <w:spacing w:line="276" w:lineRule="auto"/>
      </w:pPr>
    </w:p>
    <w:p w14:paraId="0000002D" w14:textId="7DAE4E9C" w:rsidR="00E86EA1" w:rsidRDefault="00DA2EF2" w:rsidP="00DA2EF2">
      <w:pPr>
        <w:spacing w:line="276" w:lineRule="auto"/>
        <w:rPr>
          <w:rFonts w:ascii="Arial" w:hAnsi="Arial" w:cs="Arial"/>
        </w:rPr>
      </w:pPr>
      <w:r w:rsidRPr="00DA2EF2">
        <w:rPr>
          <w:rFonts w:ascii="Arial" w:hAnsi="Arial" w:cs="Arial"/>
        </w:rPr>
        <w:t>This paper aims to provide an overview of international finance, analyse various strategies used by multinational firms to manage their exposure to foreign currency risks, and define foreign exchange threats.</w:t>
      </w:r>
      <w:r w:rsidRPr="00DA2EF2">
        <w:rPr>
          <w:rFonts w:ascii="Arial" w:hAnsi="Arial" w:cs="Arial"/>
        </w:rPr>
        <w:br/>
        <w:t>Global finance, often known as international macroeconomics, is the study of the exchange of money among two or more countries. It covers subjects including currency exchange rates and foreign direct investment. International finance examines the economic ties between several countries rather than focussing just on one or two markets. International finance research is conducted by major institutions such as the International Finance Corp. (IFC) and the National Bureau of Economic Research (NBER)</w:t>
      </w:r>
      <w:r w:rsidR="00000000" w:rsidRPr="007D2B39">
        <w:rPr>
          <w:rFonts w:ascii="Arial" w:hAnsi="Arial" w:cs="Arial"/>
        </w:rPr>
        <w:t xml:space="preserve"> (Kagan, 2024)</w:t>
      </w:r>
      <w:r w:rsidR="007D2B39">
        <w:rPr>
          <w:rFonts w:ascii="Arial" w:hAnsi="Arial" w:cs="Arial"/>
        </w:rPr>
        <w:t>.</w:t>
      </w:r>
    </w:p>
    <w:p w14:paraId="48F7043F" w14:textId="77777777" w:rsidR="006F06D0" w:rsidRPr="007D2B39" w:rsidRDefault="006F06D0" w:rsidP="00DA2EF2">
      <w:pPr>
        <w:spacing w:line="276" w:lineRule="auto"/>
        <w:rPr>
          <w:rFonts w:ascii="Arial" w:hAnsi="Arial" w:cs="Arial"/>
        </w:rPr>
      </w:pPr>
    </w:p>
    <w:p w14:paraId="0000002E" w14:textId="01ABB2BC" w:rsidR="00E86EA1" w:rsidRPr="007D2B39" w:rsidRDefault="00DA2EF2" w:rsidP="00DA2EF2">
      <w:pPr>
        <w:spacing w:line="276" w:lineRule="auto"/>
        <w:rPr>
          <w:rFonts w:ascii="Arial" w:hAnsi="Arial" w:cs="Arial"/>
        </w:rPr>
      </w:pPr>
      <w:r w:rsidRPr="00DA2EF2">
        <w:rPr>
          <w:rFonts w:ascii="Arial" w:hAnsi="Arial" w:cs="Arial"/>
        </w:rPr>
        <w:t xml:space="preserve">Currencies exchange rates are established internationally on the foreign exchange market, often known as the forex market, FX market, or currencies market. It is a global </w:t>
      </w:r>
      <w:r w:rsidRPr="00DA2EF2">
        <w:rPr>
          <w:rFonts w:ascii="Arial" w:hAnsi="Arial" w:cs="Arial"/>
        </w:rPr>
        <w:t>over the counter</w:t>
      </w:r>
      <w:r w:rsidRPr="00DA2EF2">
        <w:rPr>
          <w:rFonts w:ascii="Arial" w:hAnsi="Arial" w:cs="Arial"/>
        </w:rPr>
        <w:t xml:space="preserve"> (OTC) industry. In these markets, one can trade, buy, sell, and speculate on the relative exchange values of various currency pairs. The foreign currency markets are made up of banks, investors, retail forex dealers, monetary authorities, investment companies, business companies and retail forex dealers</w:t>
      </w:r>
      <w:r>
        <w:rPr>
          <w:rFonts w:ascii="Arial" w:hAnsi="Arial" w:cs="Arial"/>
        </w:rPr>
        <w:t xml:space="preserve"> </w:t>
      </w:r>
      <w:r w:rsidR="00000000" w:rsidRPr="007D2B39">
        <w:rPr>
          <w:rFonts w:ascii="Arial" w:hAnsi="Arial" w:cs="Arial"/>
        </w:rPr>
        <w:t>(Ganti, 2024)</w:t>
      </w:r>
      <w:r w:rsidR="007D2B39">
        <w:rPr>
          <w:rFonts w:ascii="Arial" w:hAnsi="Arial" w:cs="Arial"/>
        </w:rPr>
        <w:t>.</w:t>
      </w:r>
    </w:p>
    <w:p w14:paraId="0000002F" w14:textId="77777777" w:rsidR="00E86EA1" w:rsidRPr="007D2B39" w:rsidRDefault="00E86EA1" w:rsidP="007D2B39">
      <w:pPr>
        <w:spacing w:line="276" w:lineRule="auto"/>
        <w:rPr>
          <w:rFonts w:ascii="Arial" w:hAnsi="Arial" w:cs="Arial"/>
        </w:rPr>
      </w:pPr>
    </w:p>
    <w:p w14:paraId="00000030" w14:textId="77777777" w:rsidR="00E86EA1" w:rsidRPr="007D2B39" w:rsidRDefault="00000000" w:rsidP="007D2B39">
      <w:pPr>
        <w:pStyle w:val="Heading1"/>
        <w:spacing w:line="276" w:lineRule="auto"/>
        <w:rPr>
          <w:rFonts w:ascii="Arial" w:hAnsi="Arial" w:cs="Arial"/>
          <w:sz w:val="24"/>
          <w:szCs w:val="24"/>
        </w:rPr>
      </w:pPr>
      <w:bookmarkStart w:id="2" w:name="_Toc174905873"/>
      <w:r w:rsidRPr="007D2B39">
        <w:rPr>
          <w:rFonts w:ascii="Arial" w:hAnsi="Arial" w:cs="Arial"/>
          <w:sz w:val="24"/>
          <w:szCs w:val="24"/>
        </w:rPr>
        <w:t>Challenges of managing foreign exchange risk</w:t>
      </w:r>
      <w:bookmarkEnd w:id="2"/>
    </w:p>
    <w:p w14:paraId="00000031" w14:textId="77777777" w:rsidR="00E86EA1" w:rsidRPr="007D2B39" w:rsidRDefault="00E86EA1" w:rsidP="002F1166">
      <w:pPr>
        <w:spacing w:line="276" w:lineRule="auto"/>
        <w:rPr>
          <w:rFonts w:ascii="Arial" w:hAnsi="Arial" w:cs="Arial"/>
        </w:rPr>
      </w:pPr>
    </w:p>
    <w:p w14:paraId="34912FF9" w14:textId="77777777" w:rsidR="002F1166" w:rsidRPr="002F1166" w:rsidRDefault="002F1166" w:rsidP="002F1166">
      <w:pPr>
        <w:spacing w:line="276" w:lineRule="auto"/>
        <w:rPr>
          <w:rFonts w:ascii="Arial" w:hAnsi="Arial" w:cs="Arial"/>
        </w:rPr>
      </w:pPr>
      <w:r w:rsidRPr="002F1166">
        <w:rPr>
          <w:rFonts w:ascii="Arial" w:hAnsi="Arial" w:cs="Arial"/>
        </w:rPr>
        <w:t xml:space="preserve">Managing foreign exchange risk can be challenging for a variety of reasons; each one must be considered </w:t>
      </w:r>
      <w:proofErr w:type="gramStart"/>
      <w:r w:rsidRPr="002F1166">
        <w:rPr>
          <w:rFonts w:ascii="Arial" w:hAnsi="Arial" w:cs="Arial"/>
        </w:rPr>
        <w:t>in order to</w:t>
      </w:r>
      <w:proofErr w:type="gramEnd"/>
      <w:r w:rsidRPr="002F1166">
        <w:rPr>
          <w:rFonts w:ascii="Arial" w:hAnsi="Arial" w:cs="Arial"/>
        </w:rPr>
        <w:t xml:space="preserve"> properly lower the risk. FX exposures sometimes appear undetected on the balance sheet of a company. Intercompany transactions, for example, reveal a foreign exchange risk exposure if a corporation actively maintains its bank accounts in the countries where it does business. When a business trades in several currencies, it's critical to consider and control external as well as internal elements that might result in foreign exchange risk.</w:t>
      </w:r>
    </w:p>
    <w:p w14:paraId="672552E2" w14:textId="77777777" w:rsidR="002F1166" w:rsidRDefault="002F1166" w:rsidP="002F1166">
      <w:pPr>
        <w:spacing w:line="276" w:lineRule="auto"/>
        <w:rPr>
          <w:rFonts w:ascii="Arial" w:hAnsi="Arial" w:cs="Arial"/>
        </w:rPr>
      </w:pPr>
    </w:p>
    <w:p w14:paraId="00000033" w14:textId="3E0CF25A" w:rsidR="00E86EA1" w:rsidRDefault="002F1166" w:rsidP="002F1166">
      <w:pPr>
        <w:spacing w:line="276" w:lineRule="auto"/>
        <w:rPr>
          <w:rFonts w:ascii="Arial" w:hAnsi="Arial" w:cs="Arial"/>
        </w:rPr>
      </w:pPr>
      <w:r w:rsidRPr="002F1166">
        <w:rPr>
          <w:rFonts w:ascii="Arial" w:hAnsi="Arial" w:cs="Arial"/>
        </w:rPr>
        <w:t xml:space="preserve">Handling the challenges posed by foreign exchange risk requires a knowledge of the company's financial flows, including where the money is coming from, where it is going, and in which currencies. We could </w:t>
      </w:r>
      <w:proofErr w:type="gramStart"/>
      <w:r w:rsidRPr="002F1166">
        <w:rPr>
          <w:rFonts w:ascii="Arial" w:hAnsi="Arial" w:cs="Arial"/>
        </w:rPr>
        <w:t>come to the conclusion</w:t>
      </w:r>
      <w:proofErr w:type="gramEnd"/>
      <w:r w:rsidRPr="002F1166">
        <w:rPr>
          <w:rFonts w:ascii="Arial" w:hAnsi="Arial" w:cs="Arial"/>
        </w:rPr>
        <w:t xml:space="preserve"> that it's time to investigate what can be discovered by looking more closely at the coming and going of cash flows as well as anything that seems to be concerning on the balance sheet. Understanding the company's cash flows and liquidity position is the first stage in currency hedging</w:t>
      </w:r>
      <w:r>
        <w:rPr>
          <w:rFonts w:ascii="Arial" w:hAnsi="Arial" w:cs="Arial"/>
        </w:rPr>
        <w:t xml:space="preserve"> </w:t>
      </w:r>
      <w:r w:rsidR="00000000" w:rsidRPr="007D2B39">
        <w:rPr>
          <w:rFonts w:ascii="Arial" w:hAnsi="Arial" w:cs="Arial"/>
        </w:rPr>
        <w:t>(Babati, 2024)</w:t>
      </w:r>
      <w:r w:rsidR="007D2B39">
        <w:rPr>
          <w:rFonts w:ascii="Arial" w:hAnsi="Arial" w:cs="Arial"/>
        </w:rPr>
        <w:t>.</w:t>
      </w:r>
    </w:p>
    <w:p w14:paraId="6562F465" w14:textId="77777777" w:rsidR="006F06D0" w:rsidRDefault="006F06D0" w:rsidP="002F1166">
      <w:pPr>
        <w:spacing w:line="276" w:lineRule="auto"/>
        <w:rPr>
          <w:rFonts w:ascii="Arial" w:hAnsi="Arial" w:cs="Arial"/>
        </w:rPr>
      </w:pPr>
    </w:p>
    <w:p w14:paraId="542129B1" w14:textId="77777777" w:rsidR="006F06D0" w:rsidRPr="007D2B39" w:rsidRDefault="006F06D0" w:rsidP="002F1166">
      <w:pPr>
        <w:spacing w:line="276" w:lineRule="auto"/>
        <w:rPr>
          <w:rFonts w:ascii="Arial" w:hAnsi="Arial" w:cs="Arial"/>
        </w:rPr>
      </w:pPr>
    </w:p>
    <w:p w14:paraId="00000034" w14:textId="77777777" w:rsidR="00E86EA1" w:rsidRPr="007D2B39" w:rsidRDefault="00E86EA1" w:rsidP="007D2B39">
      <w:pPr>
        <w:spacing w:line="276" w:lineRule="auto"/>
        <w:rPr>
          <w:rFonts w:ascii="Arial" w:hAnsi="Arial" w:cs="Arial"/>
        </w:rPr>
      </w:pPr>
    </w:p>
    <w:p w14:paraId="00000035" w14:textId="77777777" w:rsidR="00E86EA1" w:rsidRPr="007D2B39" w:rsidRDefault="00000000" w:rsidP="007D2B39">
      <w:pPr>
        <w:pStyle w:val="Heading1"/>
        <w:spacing w:line="276" w:lineRule="auto"/>
        <w:rPr>
          <w:rFonts w:ascii="Arial" w:hAnsi="Arial" w:cs="Arial"/>
          <w:sz w:val="24"/>
          <w:szCs w:val="24"/>
        </w:rPr>
      </w:pPr>
      <w:bookmarkStart w:id="3" w:name="_Toc174905874"/>
      <w:r w:rsidRPr="007D2B39">
        <w:rPr>
          <w:rFonts w:ascii="Arial" w:hAnsi="Arial" w:cs="Arial"/>
          <w:sz w:val="24"/>
          <w:szCs w:val="24"/>
        </w:rPr>
        <w:lastRenderedPageBreak/>
        <w:t>Foreign exchange risk and risk management</w:t>
      </w:r>
      <w:bookmarkEnd w:id="3"/>
    </w:p>
    <w:p w14:paraId="00000036" w14:textId="77777777" w:rsidR="00E86EA1" w:rsidRPr="007D2B39" w:rsidRDefault="00E86EA1" w:rsidP="007D2B39">
      <w:pPr>
        <w:spacing w:line="276" w:lineRule="auto"/>
        <w:rPr>
          <w:rFonts w:ascii="Arial" w:hAnsi="Arial" w:cs="Arial"/>
        </w:rPr>
      </w:pPr>
    </w:p>
    <w:p w14:paraId="58B2623F" w14:textId="77777777" w:rsidR="003727A8" w:rsidRPr="003727A8" w:rsidRDefault="003727A8" w:rsidP="003727A8">
      <w:pPr>
        <w:spacing w:line="276" w:lineRule="auto"/>
        <w:rPr>
          <w:rFonts w:ascii="Arial" w:hAnsi="Arial" w:cs="Arial"/>
        </w:rPr>
      </w:pPr>
      <w:r w:rsidRPr="003727A8">
        <w:rPr>
          <w:rFonts w:ascii="Arial" w:hAnsi="Arial" w:cs="Arial"/>
        </w:rPr>
        <w:t xml:space="preserve">Foreign exchange risk is the danger that a firm might lose money on international trade </w:t>
      </w:r>
      <w:proofErr w:type="gramStart"/>
      <w:r w:rsidRPr="003727A8">
        <w:rPr>
          <w:rFonts w:ascii="Arial" w:hAnsi="Arial" w:cs="Arial"/>
        </w:rPr>
        <w:t>as a result of</w:t>
      </w:r>
      <w:proofErr w:type="gramEnd"/>
      <w:r w:rsidRPr="003727A8">
        <w:rPr>
          <w:rFonts w:ascii="Arial" w:hAnsi="Arial" w:cs="Arial"/>
        </w:rPr>
        <w:t xml:space="preserve"> currency fluctuations. Exchange rate risk, also known as foreign exchange risk, currency risk, or FX risk, is the possibility that changes in the relative values of the currencies involved might cause the value of an investment to decrease. Every company involved in foreign trade is affected, as are investors. </w:t>
      </w:r>
      <w:r w:rsidRPr="003727A8">
        <w:rPr>
          <w:rFonts w:ascii="Arial" w:hAnsi="Arial" w:cs="Arial"/>
        </w:rPr>
        <w:br/>
        <w:t xml:space="preserve">There is a risk associated when an agreement involving two parties specifies the exact prices of goods or services together with the delivery dates. If a currency's value fluctuates between the time the contract is signed and the delivery date, one of the parties might lose money. </w:t>
      </w:r>
    </w:p>
    <w:p w14:paraId="00000039" w14:textId="1181BEE6" w:rsidR="00E86EA1" w:rsidRPr="007D2B39" w:rsidRDefault="003727A8" w:rsidP="003727A8">
      <w:pPr>
        <w:spacing w:line="276" w:lineRule="auto"/>
        <w:rPr>
          <w:rFonts w:ascii="Arial" w:hAnsi="Arial" w:cs="Arial"/>
        </w:rPr>
      </w:pPr>
      <w:r w:rsidRPr="003727A8">
        <w:rPr>
          <w:rFonts w:ascii="Arial" w:hAnsi="Arial" w:cs="Arial"/>
        </w:rPr>
        <w:t>The three main types of foreign currency risk, or foreign exchange exposure, are transaction risk, translation risk, and economic risk. The fourth type of risk is jurisdiction risk, which arises from unforeseen changes to the laws of the country where the exporter does trade. This is less common and mostly observed in unstable countries</w:t>
      </w:r>
      <w:r>
        <w:rPr>
          <w:rFonts w:ascii="Arial" w:hAnsi="Arial" w:cs="Arial"/>
        </w:rPr>
        <w:t xml:space="preserve"> </w:t>
      </w:r>
      <w:r w:rsidR="00000000" w:rsidRPr="007D2B39">
        <w:rPr>
          <w:rFonts w:ascii="Arial" w:hAnsi="Arial" w:cs="Arial"/>
        </w:rPr>
        <w:t>(Rauen, 2023)</w:t>
      </w:r>
      <w:r w:rsidR="007D2B39">
        <w:rPr>
          <w:rFonts w:ascii="Arial" w:hAnsi="Arial" w:cs="Arial"/>
        </w:rPr>
        <w:t>.</w:t>
      </w:r>
    </w:p>
    <w:p w14:paraId="0000003A" w14:textId="77777777" w:rsidR="00E86EA1" w:rsidRPr="007D2B39" w:rsidRDefault="00E86EA1" w:rsidP="003727A8">
      <w:pPr>
        <w:spacing w:line="276" w:lineRule="auto"/>
        <w:rPr>
          <w:rFonts w:ascii="Arial" w:hAnsi="Arial" w:cs="Arial"/>
        </w:rPr>
      </w:pPr>
    </w:p>
    <w:p w14:paraId="0000003C" w14:textId="07FE29BC" w:rsidR="00E86EA1" w:rsidRPr="007D2B39" w:rsidRDefault="003727A8" w:rsidP="003727A8">
      <w:pPr>
        <w:spacing w:line="276" w:lineRule="auto"/>
        <w:rPr>
          <w:rFonts w:ascii="Arial" w:hAnsi="Arial" w:cs="Arial"/>
        </w:rPr>
      </w:pPr>
      <w:r w:rsidRPr="003727A8">
        <w:rPr>
          <w:rFonts w:ascii="Arial" w:hAnsi="Arial" w:cs="Arial"/>
        </w:rPr>
        <w:t>One of the simplest ways to reduce the risks associated with currency rate fluctuations is to quote price and insist on payment in US dollars. Thus, the buyer is left in charge of managing the risk and the currency exchange. However, using this tactic might result in you missing out on chances to export to competitors that are willing to sell in their counterparties' local currencies to appease their foreign clients. If a foreign buyer's currency devalues dramatically against the US dollar, it may become difficult for him to satisfy agreed-upon commitments and result in non-payment. Credit insurance for exports may provide compensation for failure to pay losses; but, if export opportunities are lost due to a "payment in U.S. dollars only" policy, this kind of "what-if" insurance is meaningless. For US exporters hoping to grow abroad and stay competitive, selling in foreign currencies could be a smart option if foreign exchange risk is properly hedged or operated</w:t>
      </w:r>
      <w:r>
        <w:rPr>
          <w:rFonts w:ascii="Arial" w:hAnsi="Arial" w:cs="Arial"/>
        </w:rPr>
        <w:t>.</w:t>
      </w:r>
    </w:p>
    <w:p w14:paraId="0000003D" w14:textId="77777777" w:rsidR="00E86EA1" w:rsidRPr="007D2B39" w:rsidRDefault="00E86EA1" w:rsidP="003727A8">
      <w:pPr>
        <w:spacing w:line="276" w:lineRule="auto"/>
        <w:rPr>
          <w:rFonts w:ascii="Arial" w:hAnsi="Arial" w:cs="Arial"/>
        </w:rPr>
      </w:pPr>
    </w:p>
    <w:p w14:paraId="2B88AA5D" w14:textId="77777777" w:rsidR="003727A8" w:rsidRPr="003727A8" w:rsidRDefault="003727A8" w:rsidP="003727A8">
      <w:pPr>
        <w:spacing w:line="276" w:lineRule="auto"/>
        <w:rPr>
          <w:rFonts w:ascii="Arial" w:hAnsi="Arial" w:cs="Arial"/>
        </w:rPr>
      </w:pPr>
      <w:r w:rsidRPr="003727A8">
        <w:rPr>
          <w:rFonts w:ascii="Arial" w:hAnsi="Arial" w:cs="Arial"/>
        </w:rPr>
        <w:t>Currency risk is the chance that one currency's value might change relative to another, negatively impacting the overall return on an investment. In other words, changes in the exchange rate between the two currencies might have a detrimental effect on the returns on a foreign investment vehicle. Investors can choose to assume the risk and hope for the best, or they can utilise hedging strategies to lessen or remove the risk.</w:t>
      </w:r>
    </w:p>
    <w:p w14:paraId="0000003F" w14:textId="77777777" w:rsidR="00E86EA1" w:rsidRPr="007D2B39" w:rsidRDefault="00E86EA1" w:rsidP="003727A8">
      <w:pPr>
        <w:spacing w:line="276" w:lineRule="auto"/>
        <w:rPr>
          <w:rFonts w:ascii="Arial" w:hAnsi="Arial" w:cs="Arial"/>
        </w:rPr>
      </w:pPr>
    </w:p>
    <w:p w14:paraId="18D2222F" w14:textId="61336161" w:rsidR="003727A8" w:rsidRPr="003727A8" w:rsidRDefault="003727A8" w:rsidP="003727A8">
      <w:pPr>
        <w:spacing w:line="276" w:lineRule="auto"/>
        <w:rPr>
          <w:rFonts w:ascii="Arial" w:hAnsi="Arial" w:cs="Arial"/>
        </w:rPr>
      </w:pPr>
      <w:r w:rsidRPr="003727A8">
        <w:rPr>
          <w:rFonts w:ascii="Arial" w:hAnsi="Arial" w:cs="Arial"/>
        </w:rPr>
        <w:t>Forecast risk, also known as economic risk, manifests when an inevitable exposure to currency fluctuations has a negative effect on a company's market value. Changes in the macroeconomic factors such as government regulations, political stability, and currency rates can affect the relative costs of inputs and outputs. Relative price swings can have a detrimental effect on a company's valuation, future cash flows, and long-term position in the marketplace.</w:t>
      </w:r>
      <w:r w:rsidRPr="003727A8">
        <w:rPr>
          <w:rFonts w:ascii="Times New Roman" w:eastAsia="Times New Roman" w:hAnsi="Times New Roman" w:cs="Times New Roman"/>
        </w:rPr>
        <w:t xml:space="preserve"> </w:t>
      </w:r>
      <w:r w:rsidRPr="003727A8">
        <w:rPr>
          <w:rFonts w:ascii="Arial" w:hAnsi="Arial" w:cs="Arial"/>
        </w:rPr>
        <w:t xml:space="preserve">Transactional exposure is the risk that the exchange rate will change between the agreement date and the following transaction </w:t>
      </w:r>
      <w:r w:rsidRPr="003727A8">
        <w:rPr>
          <w:rFonts w:ascii="Arial" w:hAnsi="Arial" w:cs="Arial"/>
        </w:rPr>
        <w:lastRenderedPageBreak/>
        <w:t xml:space="preserve">periods when the agreement is fulfilled. </w:t>
      </w:r>
      <w:r w:rsidRPr="003727A8">
        <w:rPr>
          <w:rFonts w:ascii="Arial" w:hAnsi="Arial" w:cs="Arial"/>
        </w:rPr>
        <w:br/>
        <w:t xml:space="preserve">There's a good risk that the final settlement rate and the rate on the day you agreed would change significantly. Consider the scenario in which you sell shares on a foreign stock exchange on day X. When you get your payments a few days later, you can receive far less than you anticipated if the exchange rate moves against you. </w:t>
      </w:r>
    </w:p>
    <w:p w14:paraId="00000042" w14:textId="5076309A" w:rsidR="00E86EA1" w:rsidRPr="007D2B39" w:rsidRDefault="00E86EA1" w:rsidP="003727A8">
      <w:pPr>
        <w:spacing w:line="276" w:lineRule="auto"/>
        <w:rPr>
          <w:rFonts w:ascii="Arial" w:hAnsi="Arial" w:cs="Arial"/>
        </w:rPr>
      </w:pPr>
    </w:p>
    <w:p w14:paraId="46CBA10A" w14:textId="77777777" w:rsidR="003727A8" w:rsidRPr="003727A8" w:rsidRDefault="003727A8" w:rsidP="003727A8">
      <w:pPr>
        <w:spacing w:line="276" w:lineRule="auto"/>
        <w:rPr>
          <w:rFonts w:ascii="Arial" w:hAnsi="Arial" w:cs="Arial"/>
        </w:rPr>
      </w:pPr>
      <w:r w:rsidRPr="003727A8">
        <w:rPr>
          <w:rFonts w:ascii="Arial" w:hAnsi="Arial" w:cs="Arial"/>
        </w:rPr>
        <w:t>Businesses that have both domestic headquarters and foreign subsidiaries are vulnerable to this risk. Interpretation risk, also known as financial risk, appears when the subsidiary's financial statements, such as the balance sheet, must be integrated into the parent company's financial accounts. Performance variations in a subsidiary are impacted by changes in the exchange rate. Translation risk will be higher if a significant portion of the parent company's ownership, obligations, or assets are held in foreign countries.</w:t>
      </w:r>
    </w:p>
    <w:p w14:paraId="6E4813BC" w14:textId="05208BFD" w:rsidR="003727A8" w:rsidRPr="003727A8" w:rsidRDefault="003727A8" w:rsidP="003727A8">
      <w:pPr>
        <w:spacing w:line="276" w:lineRule="auto"/>
        <w:rPr>
          <w:rFonts w:ascii="Arial" w:hAnsi="Arial" w:cs="Arial"/>
        </w:rPr>
      </w:pPr>
      <w:r w:rsidRPr="003727A8">
        <w:rPr>
          <w:rFonts w:ascii="Arial" w:hAnsi="Arial" w:cs="Arial"/>
        </w:rPr>
        <w:t xml:space="preserve">Certain individuals seek to mitigate risk while capitalising on arbitrage opportunities and economic opportunities presented by exchange rate volatility. Others engage in it as a means of protecting themselves against the adverse consequences of fluctuations in exchange rates. Gaining insight into the "why" can assist you in developing the most effective policies and suitable solutions to manage your foreign exchange risks. </w:t>
      </w:r>
      <w:r w:rsidRPr="003727A8">
        <w:rPr>
          <w:rFonts w:ascii="Arial" w:hAnsi="Arial" w:cs="Arial"/>
        </w:rPr>
        <w:br/>
        <w:t xml:space="preserve">To understand why controlling foreign exchange risk is essential: To find out how exposed you are, list the risks and their respective quantities. Create a policy based on your </w:t>
      </w:r>
      <w:r w:rsidRPr="003727A8">
        <w:rPr>
          <w:rFonts w:ascii="Arial" w:hAnsi="Arial" w:cs="Arial"/>
        </w:rPr>
        <w:t>objectives and</w:t>
      </w:r>
      <w:r w:rsidRPr="003727A8">
        <w:rPr>
          <w:rFonts w:ascii="Arial" w:hAnsi="Arial" w:cs="Arial"/>
        </w:rPr>
        <w:t xml:space="preserve"> decide which exchange risk management strategies to use. Implement and execute your strategy, monitor its performance often, and make any required adjustments.</w:t>
      </w:r>
    </w:p>
    <w:p w14:paraId="00000047" w14:textId="77777777" w:rsidR="00E86EA1" w:rsidRPr="007D2B39" w:rsidRDefault="00E86EA1" w:rsidP="007D2B39">
      <w:pPr>
        <w:spacing w:line="276" w:lineRule="auto"/>
        <w:rPr>
          <w:rFonts w:ascii="Arial" w:hAnsi="Arial" w:cs="Arial"/>
        </w:rPr>
      </w:pPr>
    </w:p>
    <w:p w14:paraId="00000048" w14:textId="77777777" w:rsidR="00E86EA1" w:rsidRPr="007D2B39" w:rsidRDefault="00000000" w:rsidP="007D2B39">
      <w:pPr>
        <w:pStyle w:val="Heading1"/>
        <w:spacing w:line="276" w:lineRule="auto"/>
        <w:rPr>
          <w:rFonts w:ascii="Arial" w:hAnsi="Arial" w:cs="Arial"/>
          <w:sz w:val="24"/>
          <w:szCs w:val="24"/>
        </w:rPr>
      </w:pPr>
      <w:bookmarkStart w:id="4" w:name="_Toc174905875"/>
      <w:r w:rsidRPr="007D2B39">
        <w:rPr>
          <w:rFonts w:ascii="Arial" w:hAnsi="Arial" w:cs="Arial"/>
          <w:sz w:val="24"/>
          <w:szCs w:val="24"/>
        </w:rPr>
        <w:t>Comparative advantage theory</w:t>
      </w:r>
      <w:bookmarkEnd w:id="4"/>
    </w:p>
    <w:p w14:paraId="0000004A" w14:textId="69CB4C34" w:rsidR="00E86EA1" w:rsidRPr="007D2B39" w:rsidRDefault="003727A8" w:rsidP="007D2B39">
      <w:pPr>
        <w:spacing w:line="276" w:lineRule="auto"/>
        <w:rPr>
          <w:rFonts w:ascii="Arial" w:hAnsi="Arial" w:cs="Arial"/>
        </w:rPr>
      </w:pPr>
      <w:r w:rsidRPr="003727A8">
        <w:rPr>
          <w:rFonts w:ascii="Arial" w:hAnsi="Arial" w:cs="Arial"/>
        </w:rPr>
        <w:t xml:space="preserve">In the 1800s, British economist David Ricardo created the concept of comparative advantage. It argues that countries may benefit from trade if they focus on producing what they excel in and import inferior commodities from other countries. This theory's central claim is that opportunity expenses, or the costs involved with forgoing alternative benefits, differ according to a country. If they focus on their advantages, they can operate more efficiently. As demonstrated by Ricardo's research, international trade benefits countries even when their economies </w:t>
      </w:r>
      <w:proofErr w:type="gramStart"/>
      <w:r w:rsidRPr="003727A8">
        <w:rPr>
          <w:rFonts w:ascii="Arial" w:hAnsi="Arial" w:cs="Arial"/>
        </w:rPr>
        <w:t>are able to</w:t>
      </w:r>
      <w:proofErr w:type="gramEnd"/>
      <w:r w:rsidRPr="003727A8">
        <w:rPr>
          <w:rFonts w:ascii="Arial" w:hAnsi="Arial" w:cs="Arial"/>
        </w:rPr>
        <w:t xml:space="preserve"> manufacture things more effectively than others</w:t>
      </w:r>
      <w:r>
        <w:rPr>
          <w:rFonts w:ascii="Arial" w:hAnsi="Arial" w:cs="Arial"/>
        </w:rPr>
        <w:t xml:space="preserve"> </w:t>
      </w:r>
      <w:r w:rsidR="00000000" w:rsidRPr="007D2B39">
        <w:rPr>
          <w:rFonts w:ascii="Arial" w:hAnsi="Arial" w:cs="Arial"/>
        </w:rPr>
        <w:t>(</w:t>
      </w:r>
      <w:proofErr w:type="spellStart"/>
      <w:r w:rsidR="00000000" w:rsidRPr="007D2B39">
        <w:rPr>
          <w:rFonts w:ascii="Arial" w:hAnsi="Arial" w:cs="Arial"/>
        </w:rPr>
        <w:t>Montevirgen</w:t>
      </w:r>
      <w:proofErr w:type="spellEnd"/>
      <w:r w:rsidR="00000000" w:rsidRPr="007D2B39">
        <w:rPr>
          <w:rFonts w:ascii="Arial" w:hAnsi="Arial" w:cs="Arial"/>
        </w:rPr>
        <w:t>)</w:t>
      </w:r>
      <w:r w:rsidR="007D2B39">
        <w:rPr>
          <w:rFonts w:ascii="Arial" w:hAnsi="Arial" w:cs="Arial"/>
        </w:rPr>
        <w:t>.</w:t>
      </w:r>
    </w:p>
    <w:p w14:paraId="0000004B" w14:textId="77777777" w:rsidR="00E86EA1" w:rsidRPr="007D2B39" w:rsidRDefault="00E86EA1" w:rsidP="007D2B39">
      <w:pPr>
        <w:spacing w:line="276" w:lineRule="auto"/>
        <w:rPr>
          <w:rFonts w:ascii="Arial" w:hAnsi="Arial" w:cs="Arial"/>
        </w:rPr>
      </w:pPr>
    </w:p>
    <w:p w14:paraId="54CEE942" w14:textId="04AE5E4E" w:rsidR="003727A8" w:rsidRPr="003727A8" w:rsidRDefault="003727A8" w:rsidP="003727A8">
      <w:pPr>
        <w:spacing w:line="276" w:lineRule="auto"/>
        <w:rPr>
          <w:rFonts w:ascii="Arial" w:hAnsi="Arial" w:cs="Arial"/>
        </w:rPr>
      </w:pPr>
      <w:r w:rsidRPr="003727A8">
        <w:rPr>
          <w:rFonts w:ascii="Arial" w:hAnsi="Arial" w:cs="Arial"/>
        </w:rPr>
        <w:t xml:space="preserve">The theory states that even if one nation can manufacture everything more cheaply than the other, both nations can trade in a way that benefits both. This idea holds that relative efficiency matters. </w:t>
      </w:r>
      <w:r w:rsidRPr="003727A8">
        <w:rPr>
          <w:rFonts w:ascii="Arial" w:hAnsi="Arial" w:cs="Arial"/>
        </w:rPr>
        <w:br/>
        <w:t xml:space="preserve">Establishing comprehensive risk management policies and guidelines that outline the objectives, strategies, and protocols for managing foreign exchange risk is advised for businesses. </w:t>
      </w:r>
    </w:p>
    <w:p w14:paraId="0000004F" w14:textId="2E7187C9" w:rsidR="00E86EA1" w:rsidRPr="007D2B39" w:rsidRDefault="003727A8" w:rsidP="007D2B39">
      <w:pPr>
        <w:spacing w:line="276" w:lineRule="auto"/>
        <w:rPr>
          <w:rFonts w:ascii="Arial" w:hAnsi="Arial" w:cs="Arial"/>
        </w:rPr>
      </w:pPr>
      <w:r>
        <w:rPr>
          <w:rFonts w:ascii="Arial" w:hAnsi="Arial" w:cs="Arial"/>
        </w:rPr>
        <w:t>P</w:t>
      </w:r>
      <w:r w:rsidRPr="003727A8">
        <w:rPr>
          <w:rFonts w:ascii="Arial" w:hAnsi="Arial" w:cs="Arial"/>
        </w:rPr>
        <w:t xml:space="preserve">eriodic reporting and monitoring. It is critical to regularly track and evaluate your exposure to FX risk. Businesses should monitor shifts in the market, regularly assess </w:t>
      </w:r>
      <w:r w:rsidRPr="003727A8">
        <w:rPr>
          <w:rFonts w:ascii="Arial" w:hAnsi="Arial" w:cs="Arial"/>
        </w:rPr>
        <w:lastRenderedPageBreak/>
        <w:t>their risk profiles, and set up processes for precise and prompt risk reporting. Continuous Education and Training. Keeping up with developments in international currencies market movements, automated risk management techniques, and laws is vital. Ongoing education and training may help businesses become more adept at managing risk and adapt to shifting market conditions</w:t>
      </w:r>
      <w:r>
        <w:rPr>
          <w:rFonts w:ascii="Arial" w:hAnsi="Arial" w:cs="Arial"/>
        </w:rPr>
        <w:t xml:space="preserve"> </w:t>
      </w:r>
      <w:r w:rsidR="00000000" w:rsidRPr="007D2B39">
        <w:rPr>
          <w:rFonts w:ascii="Arial" w:hAnsi="Arial" w:cs="Arial"/>
        </w:rPr>
        <w:t>(Mackinlay)</w:t>
      </w:r>
      <w:r w:rsidR="007D2B39">
        <w:rPr>
          <w:rFonts w:ascii="Arial" w:hAnsi="Arial" w:cs="Arial"/>
        </w:rPr>
        <w:t>.</w:t>
      </w:r>
    </w:p>
    <w:p w14:paraId="00000050" w14:textId="77777777" w:rsidR="00E86EA1" w:rsidRPr="007D2B39" w:rsidRDefault="00E86EA1" w:rsidP="007D2B39">
      <w:pPr>
        <w:spacing w:line="276" w:lineRule="auto"/>
        <w:rPr>
          <w:rFonts w:ascii="Arial" w:hAnsi="Arial" w:cs="Arial"/>
        </w:rPr>
      </w:pPr>
    </w:p>
    <w:p w14:paraId="00000051" w14:textId="77777777" w:rsidR="00E86EA1" w:rsidRPr="007D2B39" w:rsidRDefault="00000000" w:rsidP="007D2B39">
      <w:pPr>
        <w:pStyle w:val="Heading1"/>
        <w:spacing w:line="276" w:lineRule="auto"/>
        <w:rPr>
          <w:rFonts w:ascii="Arial" w:hAnsi="Arial" w:cs="Arial"/>
          <w:sz w:val="24"/>
          <w:szCs w:val="24"/>
        </w:rPr>
      </w:pPr>
      <w:bookmarkStart w:id="5" w:name="_Toc174905876"/>
      <w:r w:rsidRPr="007D2B39">
        <w:rPr>
          <w:rFonts w:ascii="Arial" w:hAnsi="Arial" w:cs="Arial"/>
          <w:sz w:val="24"/>
          <w:szCs w:val="24"/>
        </w:rPr>
        <w:t>Value based pricing strategy</w:t>
      </w:r>
      <w:bookmarkEnd w:id="5"/>
    </w:p>
    <w:p w14:paraId="00000052" w14:textId="77777777" w:rsidR="00E86EA1" w:rsidRPr="007D2B39" w:rsidRDefault="00E86EA1" w:rsidP="007D2B39">
      <w:pPr>
        <w:spacing w:line="276" w:lineRule="auto"/>
        <w:rPr>
          <w:rFonts w:ascii="Arial" w:hAnsi="Arial" w:cs="Arial"/>
        </w:rPr>
      </w:pPr>
    </w:p>
    <w:p w14:paraId="34C94AD0" w14:textId="77777777" w:rsidR="003727A8" w:rsidRPr="003727A8" w:rsidRDefault="003727A8" w:rsidP="003727A8">
      <w:pPr>
        <w:spacing w:line="276" w:lineRule="auto"/>
        <w:rPr>
          <w:rFonts w:ascii="Arial" w:hAnsi="Arial" w:cs="Arial"/>
        </w:rPr>
      </w:pPr>
      <w:r w:rsidRPr="003727A8">
        <w:rPr>
          <w:rFonts w:ascii="Arial" w:hAnsi="Arial" w:cs="Arial"/>
        </w:rPr>
        <w:t xml:space="preserve">Value-based pricing is a type of price optimisation in which the customer determines the value of the item or service. The cost of manufacturing is not taken into consideration. It all boils down to the buyer's perception of an item's value. </w:t>
      </w:r>
      <w:r w:rsidRPr="003727A8">
        <w:rPr>
          <w:rFonts w:ascii="Arial" w:hAnsi="Arial" w:cs="Arial"/>
        </w:rPr>
        <w:br/>
        <w:t>The greatest products for this type of price are those that are unique and luxurious. Many businesses, including technology, fashion, jewellery, art, and cosmetics, adopt value-based pricing. Think of labels like Chanel Beauty, Apple, Starbucks, Louis Vuitton, Gucci, and Balenciaga. Each of these companies bases its pricing on their estimation of the worth that their goods have to their clients. Value-based pricing enables you to set higher price points depending on the perceived value of your products. If other companies in your sector think your brand is worth more than theirs, you could raise your prices for the goods and services you provide.</w:t>
      </w:r>
    </w:p>
    <w:p w14:paraId="36666BD7" w14:textId="2947D100" w:rsidR="003727A8" w:rsidRPr="003727A8" w:rsidRDefault="003727A8" w:rsidP="003727A8">
      <w:pPr>
        <w:spacing w:line="276" w:lineRule="auto"/>
        <w:rPr>
          <w:rFonts w:ascii="Arial" w:hAnsi="Arial" w:cs="Arial"/>
        </w:rPr>
      </w:pPr>
    </w:p>
    <w:p w14:paraId="00000056" w14:textId="77777777" w:rsidR="00E86EA1" w:rsidRPr="007D2B39" w:rsidRDefault="00000000" w:rsidP="007D2B39">
      <w:pPr>
        <w:pStyle w:val="Heading1"/>
        <w:spacing w:line="276" w:lineRule="auto"/>
        <w:rPr>
          <w:rFonts w:ascii="Arial" w:hAnsi="Arial" w:cs="Arial"/>
          <w:sz w:val="24"/>
          <w:szCs w:val="24"/>
        </w:rPr>
      </w:pPr>
      <w:bookmarkStart w:id="6" w:name="_Toc174905877"/>
      <w:r w:rsidRPr="007D2B39">
        <w:rPr>
          <w:rFonts w:ascii="Arial" w:hAnsi="Arial" w:cs="Arial"/>
          <w:sz w:val="24"/>
          <w:szCs w:val="24"/>
        </w:rPr>
        <w:t>Conclusion</w:t>
      </w:r>
      <w:bookmarkEnd w:id="6"/>
    </w:p>
    <w:p w14:paraId="00000057" w14:textId="77777777" w:rsidR="00E86EA1" w:rsidRPr="007D2B39" w:rsidRDefault="00E86EA1" w:rsidP="007D2B39">
      <w:pPr>
        <w:spacing w:line="276" w:lineRule="auto"/>
        <w:rPr>
          <w:rFonts w:ascii="Arial" w:hAnsi="Arial" w:cs="Arial"/>
        </w:rPr>
      </w:pPr>
    </w:p>
    <w:p w14:paraId="3039FC82" w14:textId="113B2ECE" w:rsidR="007D2B39" w:rsidRPr="007D2B39" w:rsidRDefault="007D2B39" w:rsidP="007D2B39">
      <w:pPr>
        <w:spacing w:line="276" w:lineRule="auto"/>
        <w:rPr>
          <w:rFonts w:ascii="Arial" w:hAnsi="Arial" w:cs="Arial"/>
        </w:rPr>
      </w:pPr>
      <w:r w:rsidRPr="007D2B39">
        <w:rPr>
          <w:rFonts w:ascii="Arial" w:hAnsi="Arial" w:cs="Arial"/>
        </w:rPr>
        <w:t>Multinational companies</w:t>
      </w:r>
      <w:r w:rsidRPr="007D2B39">
        <w:rPr>
          <w:rFonts w:ascii="Arial" w:hAnsi="Arial" w:cs="Arial"/>
        </w:rPr>
        <w:t xml:space="preserve"> (MNCs)</w:t>
      </w:r>
      <w:r w:rsidRPr="007D2B39">
        <w:rPr>
          <w:rFonts w:ascii="Arial" w:hAnsi="Arial" w:cs="Arial"/>
        </w:rPr>
        <w:t xml:space="preserve"> use different strategies to manage currency risk, but the main two are operational and financial. Operational strategies involve various strategic decisions regarding production, procurement and sales to minimize the exchange rate, while financial strategies involve holding assets in multiple currencies to spread risk. Each strategy has its advantages and challenges, but the right combination of them helps multinational companies</w:t>
      </w:r>
      <w:r w:rsidRPr="007D2B39">
        <w:rPr>
          <w:rFonts w:ascii="Arial" w:hAnsi="Arial" w:cs="Arial"/>
        </w:rPr>
        <w:t xml:space="preserve"> (MNCs)</w:t>
      </w:r>
      <w:r w:rsidRPr="007D2B39">
        <w:rPr>
          <w:rFonts w:ascii="Arial" w:hAnsi="Arial" w:cs="Arial"/>
        </w:rPr>
        <w:t xml:space="preserve"> manage their currency risk.</w:t>
      </w:r>
    </w:p>
    <w:p w14:paraId="00000058" w14:textId="77777777" w:rsidR="00E86EA1" w:rsidRPr="007D2B39" w:rsidRDefault="00E86EA1" w:rsidP="007D2B39">
      <w:pPr>
        <w:spacing w:line="276" w:lineRule="auto"/>
        <w:rPr>
          <w:rFonts w:ascii="Arial" w:hAnsi="Arial" w:cs="Arial"/>
        </w:rPr>
      </w:pPr>
    </w:p>
    <w:p w14:paraId="00000059" w14:textId="77777777" w:rsidR="00E86EA1" w:rsidRPr="007D2B39" w:rsidRDefault="00E86EA1" w:rsidP="007D2B39">
      <w:pPr>
        <w:spacing w:line="276" w:lineRule="auto"/>
        <w:rPr>
          <w:rFonts w:ascii="Arial" w:hAnsi="Arial" w:cs="Arial"/>
        </w:rPr>
      </w:pPr>
    </w:p>
    <w:p w14:paraId="0000005A" w14:textId="77777777" w:rsidR="00E86EA1" w:rsidRPr="007D2B39" w:rsidRDefault="00E86EA1" w:rsidP="007D2B39">
      <w:pPr>
        <w:spacing w:line="276" w:lineRule="auto"/>
        <w:rPr>
          <w:rFonts w:ascii="Arial" w:hAnsi="Arial" w:cs="Arial"/>
        </w:rPr>
      </w:pPr>
    </w:p>
    <w:p w14:paraId="0000005B" w14:textId="77777777" w:rsidR="00E86EA1" w:rsidRPr="007D2B39" w:rsidRDefault="00E86EA1" w:rsidP="007D2B39">
      <w:pPr>
        <w:spacing w:line="276" w:lineRule="auto"/>
        <w:rPr>
          <w:rFonts w:ascii="Arial" w:hAnsi="Arial" w:cs="Arial"/>
        </w:rPr>
      </w:pPr>
    </w:p>
    <w:p w14:paraId="0000005C" w14:textId="77777777" w:rsidR="00E86EA1" w:rsidRPr="007D2B39" w:rsidRDefault="00E86EA1" w:rsidP="007D2B39">
      <w:pPr>
        <w:spacing w:line="276" w:lineRule="auto"/>
        <w:rPr>
          <w:rFonts w:ascii="Arial" w:hAnsi="Arial" w:cs="Arial"/>
        </w:rPr>
      </w:pPr>
    </w:p>
    <w:p w14:paraId="0000005D" w14:textId="77777777" w:rsidR="00E86EA1" w:rsidRPr="007D2B39" w:rsidRDefault="00E86EA1" w:rsidP="007D2B39">
      <w:pPr>
        <w:spacing w:line="276" w:lineRule="auto"/>
        <w:rPr>
          <w:rFonts w:ascii="Arial" w:hAnsi="Arial" w:cs="Arial"/>
        </w:rPr>
      </w:pPr>
    </w:p>
    <w:p w14:paraId="0000005E" w14:textId="77777777" w:rsidR="00E86EA1" w:rsidRPr="007D2B39" w:rsidRDefault="00E86EA1" w:rsidP="007D2B39">
      <w:pPr>
        <w:spacing w:line="276" w:lineRule="auto"/>
        <w:rPr>
          <w:rFonts w:ascii="Arial" w:hAnsi="Arial" w:cs="Arial"/>
        </w:rPr>
      </w:pPr>
    </w:p>
    <w:p w14:paraId="0000005F" w14:textId="77777777" w:rsidR="00E86EA1" w:rsidRDefault="00E86EA1" w:rsidP="007D2B39">
      <w:pPr>
        <w:spacing w:line="276" w:lineRule="auto"/>
        <w:rPr>
          <w:rFonts w:ascii="Arial" w:hAnsi="Arial" w:cs="Arial"/>
        </w:rPr>
      </w:pPr>
    </w:p>
    <w:p w14:paraId="7474DF24" w14:textId="77777777" w:rsidR="006F06D0" w:rsidRDefault="006F06D0" w:rsidP="007D2B39">
      <w:pPr>
        <w:spacing w:line="276" w:lineRule="auto"/>
        <w:rPr>
          <w:rFonts w:ascii="Arial" w:hAnsi="Arial" w:cs="Arial"/>
        </w:rPr>
      </w:pPr>
    </w:p>
    <w:p w14:paraId="40E6150C" w14:textId="77777777" w:rsidR="006F06D0" w:rsidRPr="007D2B39" w:rsidRDefault="006F06D0" w:rsidP="007D2B39">
      <w:pPr>
        <w:spacing w:line="276" w:lineRule="auto"/>
        <w:rPr>
          <w:rFonts w:ascii="Arial" w:hAnsi="Arial" w:cs="Arial"/>
        </w:rPr>
      </w:pPr>
    </w:p>
    <w:p w14:paraId="00000070" w14:textId="77777777" w:rsidR="00E86EA1" w:rsidRPr="007D2B39" w:rsidRDefault="00E86EA1" w:rsidP="007D2B39">
      <w:pPr>
        <w:spacing w:line="276" w:lineRule="auto"/>
        <w:rPr>
          <w:rFonts w:ascii="Arial" w:hAnsi="Arial" w:cs="Arial"/>
        </w:rPr>
      </w:pPr>
    </w:p>
    <w:p w14:paraId="00000071" w14:textId="77777777" w:rsidR="00E86EA1" w:rsidRPr="007D2B39" w:rsidRDefault="00000000" w:rsidP="007D2B39">
      <w:pPr>
        <w:pStyle w:val="Heading1"/>
        <w:spacing w:line="276" w:lineRule="auto"/>
        <w:rPr>
          <w:rFonts w:ascii="Arial" w:hAnsi="Arial" w:cs="Arial"/>
          <w:sz w:val="24"/>
          <w:szCs w:val="24"/>
        </w:rPr>
      </w:pPr>
      <w:bookmarkStart w:id="7" w:name="_Toc174905878"/>
      <w:r w:rsidRPr="007D2B39">
        <w:rPr>
          <w:rFonts w:ascii="Arial" w:hAnsi="Arial" w:cs="Arial"/>
          <w:sz w:val="24"/>
          <w:szCs w:val="24"/>
        </w:rPr>
        <w:lastRenderedPageBreak/>
        <w:t>References</w:t>
      </w:r>
      <w:bookmarkEnd w:id="7"/>
    </w:p>
    <w:p w14:paraId="0073D60A" w14:textId="77777777" w:rsidR="007D2B39" w:rsidRPr="007D2B39" w:rsidRDefault="007D2B39" w:rsidP="007D2B39">
      <w:pPr>
        <w:spacing w:line="276" w:lineRule="auto"/>
        <w:rPr>
          <w:rFonts w:ascii="Arial" w:hAnsi="Arial" w:cs="Arial"/>
        </w:rPr>
      </w:pPr>
    </w:p>
    <w:p w14:paraId="25D69EBC"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Anthony, C. (no date a) Three Strategies to Mitigate Currency Risk, Investopedia.</w:t>
      </w:r>
    </w:p>
    <w:p w14:paraId="56888465" w14:textId="74E6728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 xml:space="preserve">Available at: </w:t>
      </w:r>
      <w:hyperlink r:id="rId6" w:history="1">
        <w:r w:rsidRPr="00A46AE0">
          <w:rPr>
            <w:rStyle w:val="Hyperlink"/>
            <w:rFonts w:ascii="Arial" w:eastAsia="Times New Roman" w:hAnsi="Arial" w:cs="Arial"/>
          </w:rPr>
          <w:t>https://www.investopedia.com/articles/investing/041916/3-strategies</w:t>
        </w:r>
      </w:hyperlink>
    </w:p>
    <w:p w14:paraId="76E6FC92" w14:textId="18E2F974"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mitigate-currency-risk-eufx.asp (Accessed: 13 August 2024).</w:t>
      </w:r>
    </w:p>
    <w:p w14:paraId="5D0FDEB3"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16745D10" w14:textId="79D54953" w:rsidR="007D2B39" w:rsidRDefault="007D2B39" w:rsidP="007D2B39">
      <w:pPr>
        <w:spacing w:line="276" w:lineRule="auto"/>
        <w:rPr>
          <w:rFonts w:ascii="Arial" w:hAnsi="Arial" w:cs="Arial"/>
        </w:rPr>
      </w:pPr>
      <w:r w:rsidRPr="007D2B39">
        <w:rPr>
          <w:rFonts w:ascii="Arial" w:hAnsi="Arial" w:cs="Arial"/>
        </w:rPr>
        <w:t>Babati, B. (2024) 'The challenges of managing FX risk,</w:t>
      </w:r>
      <w:proofErr w:type="gramStart"/>
      <w:r w:rsidRPr="007D2B39">
        <w:rPr>
          <w:rFonts w:ascii="Arial" w:hAnsi="Arial" w:cs="Arial"/>
        </w:rPr>
        <w:t>' .</w:t>
      </w:r>
      <w:proofErr w:type="gramEnd"/>
      <w:r w:rsidRPr="007D2B39">
        <w:rPr>
          <w:rFonts w:ascii="Arial" w:hAnsi="Arial" w:cs="Arial"/>
        </w:rPr>
        <w:t xml:space="preserve">, 1 August. </w:t>
      </w:r>
      <w:hyperlink r:id="rId7" w:history="1">
        <w:r w:rsidRPr="00A46AE0">
          <w:rPr>
            <w:rStyle w:val="Hyperlink"/>
            <w:rFonts w:ascii="Arial" w:hAnsi="Arial" w:cs="Arial"/>
          </w:rPr>
          <w:t>https://www.nomentia.com/blog/the-challenges-of-managing-foreign-exchange-risk</w:t>
        </w:r>
      </w:hyperlink>
      <w:r w:rsidRPr="007D2B39">
        <w:rPr>
          <w:rFonts w:ascii="Arial" w:hAnsi="Arial" w:cs="Arial"/>
        </w:rPr>
        <w:t>.</w:t>
      </w:r>
    </w:p>
    <w:p w14:paraId="4940E060" w14:textId="77777777" w:rsidR="007D2B39" w:rsidRPr="007D2B39" w:rsidRDefault="007D2B39" w:rsidP="007D2B39">
      <w:pPr>
        <w:spacing w:line="276" w:lineRule="auto"/>
        <w:rPr>
          <w:rFonts w:ascii="Arial" w:hAnsi="Arial" w:cs="Arial"/>
        </w:rPr>
      </w:pPr>
    </w:p>
    <w:p w14:paraId="50CAE0D7"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Foreign Exchange Risk Management &amp; Risk Mitigation Techniques (no date) Clear</w:t>
      </w:r>
    </w:p>
    <w:p w14:paraId="010F8894" w14:textId="19C556C6"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 xml:space="preserve">Treasury. Available at: </w:t>
      </w:r>
      <w:hyperlink r:id="rId8" w:history="1">
        <w:r w:rsidRPr="00A46AE0">
          <w:rPr>
            <w:rStyle w:val="Hyperlink"/>
            <w:rFonts w:ascii="Arial" w:eastAsia="Times New Roman" w:hAnsi="Arial" w:cs="Arial"/>
          </w:rPr>
          <w:t>https://www.cleartreasury.co.uk/insight/foreign-exchange-</w:t>
        </w:r>
      </w:hyperlink>
    </w:p>
    <w:p w14:paraId="0922DCBF" w14:textId="27624C22"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(Accessed: 13 August 2024).</w:t>
      </w:r>
    </w:p>
    <w:p w14:paraId="5AFAE597"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22EE539A"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Foreign Exchange Risk (no date) International Trade Administration | Trade.gov.</w:t>
      </w:r>
    </w:p>
    <w:p w14:paraId="40AAEC7A"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Available at: https://www.trade.gov/foreign-exchange-risk (Accessed: 13 August</w:t>
      </w:r>
    </w:p>
    <w:p w14:paraId="197B4C21" w14:textId="170BF461"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2024).</w:t>
      </w:r>
    </w:p>
    <w:p w14:paraId="1180F397"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2A243F11" w14:textId="03C5A86B" w:rsidR="007D2B39" w:rsidRDefault="007D2B39" w:rsidP="007D2B39">
      <w:pPr>
        <w:spacing w:line="276" w:lineRule="auto"/>
        <w:rPr>
          <w:rFonts w:ascii="Arial" w:hAnsi="Arial" w:cs="Arial"/>
        </w:rPr>
      </w:pPr>
      <w:r w:rsidRPr="007D2B39">
        <w:rPr>
          <w:rFonts w:ascii="Arial" w:hAnsi="Arial" w:cs="Arial"/>
        </w:rPr>
        <w:t xml:space="preserve">Ganti, A. (2024) Foreign exchange market: How it works, history, and pros and cons. </w:t>
      </w:r>
      <w:hyperlink r:id="rId9" w:history="1">
        <w:r w:rsidRPr="00A46AE0">
          <w:rPr>
            <w:rStyle w:val="Hyperlink"/>
            <w:rFonts w:ascii="Arial" w:hAnsi="Arial" w:cs="Arial"/>
          </w:rPr>
          <w:t>https://www.investopedia.com/terms/forex/f/foreign-exchange-markets.asp</w:t>
        </w:r>
      </w:hyperlink>
      <w:r w:rsidRPr="007D2B39">
        <w:rPr>
          <w:rFonts w:ascii="Arial" w:hAnsi="Arial" w:cs="Arial"/>
        </w:rPr>
        <w:t>.</w:t>
      </w:r>
    </w:p>
    <w:p w14:paraId="744C1AB4" w14:textId="77777777" w:rsidR="007D2B39" w:rsidRPr="007D2B39" w:rsidRDefault="007D2B39" w:rsidP="007D2B39">
      <w:pPr>
        <w:spacing w:line="276" w:lineRule="auto"/>
        <w:rPr>
          <w:rFonts w:ascii="Arial" w:hAnsi="Arial" w:cs="Arial"/>
        </w:rPr>
      </w:pPr>
    </w:p>
    <w:p w14:paraId="101488DD"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Kagan, J. (2024) What is international finance, and why is it so important?</w:t>
      </w:r>
    </w:p>
    <w:p w14:paraId="4B94480A" w14:textId="0AC4F5E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hyperlink r:id="rId10" w:history="1">
        <w:r w:rsidRPr="00A46AE0">
          <w:rPr>
            <w:rStyle w:val="Hyperlink"/>
            <w:rFonts w:ascii="Arial" w:eastAsia="Times New Roman" w:hAnsi="Arial" w:cs="Arial"/>
          </w:rPr>
          <w:t>https://www.investopedia.com/terms/i/international-finance.asp</w:t>
        </w:r>
      </w:hyperlink>
      <w:r w:rsidRPr="007D2B39">
        <w:rPr>
          <w:rFonts w:ascii="Arial" w:eastAsia="Times New Roman" w:hAnsi="Arial" w:cs="Arial"/>
          <w:color w:val="000000"/>
        </w:rPr>
        <w:t>.</w:t>
      </w:r>
    </w:p>
    <w:p w14:paraId="08B7BB61"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50C1E9F0"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Mackinlay, A. (no date) Foreign Exchange Risk: A comprehensive guide, RSS.</w:t>
      </w:r>
    </w:p>
    <w:p w14:paraId="2216942A" w14:textId="4C18FD68"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 xml:space="preserve">Available at: </w:t>
      </w:r>
      <w:hyperlink r:id="rId11" w:history="1">
        <w:r w:rsidRPr="00A46AE0">
          <w:rPr>
            <w:rStyle w:val="Hyperlink"/>
            <w:rFonts w:ascii="Arial" w:eastAsia="Times New Roman" w:hAnsi="Arial" w:cs="Arial"/>
          </w:rPr>
          <w:t>https://www.kantox.com/blog/foreign-exchange-risk-a-comprehensive</w:t>
        </w:r>
      </w:hyperlink>
    </w:p>
    <w:p w14:paraId="129C91CF" w14:textId="26B25293"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guide (Accessed: 13 August 2024).</w:t>
      </w:r>
    </w:p>
    <w:p w14:paraId="21BF646B"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3BD53395"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roofErr w:type="spellStart"/>
      <w:r w:rsidRPr="007D2B39">
        <w:rPr>
          <w:rFonts w:ascii="Arial" w:eastAsia="Times New Roman" w:hAnsi="Arial" w:cs="Arial"/>
          <w:color w:val="000000"/>
        </w:rPr>
        <w:t>Montevirgen</w:t>
      </w:r>
      <w:proofErr w:type="spellEnd"/>
      <w:r w:rsidRPr="007D2B39">
        <w:rPr>
          <w:rFonts w:ascii="Arial" w:eastAsia="Times New Roman" w:hAnsi="Arial" w:cs="Arial"/>
          <w:color w:val="000000"/>
        </w:rPr>
        <w:t>, K. (no date) comparative advantage economic theory, </w:t>
      </w:r>
      <w:proofErr w:type="spellStart"/>
      <w:r w:rsidRPr="007D2B39">
        <w:rPr>
          <w:rFonts w:ascii="Arial" w:eastAsia="Times New Roman" w:hAnsi="Arial" w:cs="Arial"/>
          <w:color w:val="000000"/>
        </w:rPr>
        <w:t>Encyclopædia</w:t>
      </w:r>
      <w:proofErr w:type="spellEnd"/>
    </w:p>
    <w:p w14:paraId="311809AD" w14:textId="6F71DCB4"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 xml:space="preserve">Britannica. Available at: </w:t>
      </w:r>
      <w:hyperlink r:id="rId12" w:history="1">
        <w:r w:rsidRPr="00A46AE0">
          <w:rPr>
            <w:rStyle w:val="Hyperlink"/>
            <w:rFonts w:ascii="Arial" w:eastAsia="Times New Roman" w:hAnsi="Arial" w:cs="Arial"/>
          </w:rPr>
          <w:t>https://www.britannica.com/money/comparative-advantage</w:t>
        </w:r>
      </w:hyperlink>
    </w:p>
    <w:p w14:paraId="1B927470" w14:textId="1BA5576F"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(Accessed: 13 August 2024).</w:t>
      </w:r>
    </w:p>
    <w:p w14:paraId="190C8597"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6367C07D" w14:textId="77777777"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Rauen, C. (2023) Understanding foreign exchange risk and how to minimize</w:t>
      </w:r>
    </w:p>
    <w:p w14:paraId="0FE27060" w14:textId="12DAE472" w:rsid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r w:rsidRPr="007D2B39">
        <w:rPr>
          <w:rFonts w:ascii="Arial" w:eastAsia="Times New Roman" w:hAnsi="Arial" w:cs="Arial"/>
          <w:color w:val="000000"/>
        </w:rPr>
        <w:t>it, </w:t>
      </w:r>
      <w:proofErr w:type="spellStart"/>
      <w:r w:rsidRPr="007D2B39">
        <w:rPr>
          <w:rFonts w:ascii="Arial" w:eastAsia="Times New Roman" w:hAnsi="Arial" w:cs="Arial"/>
          <w:color w:val="000000"/>
        </w:rPr>
        <w:t>Tipalti</w:t>
      </w:r>
      <w:proofErr w:type="spellEnd"/>
      <w:r w:rsidRPr="007D2B39">
        <w:rPr>
          <w:rFonts w:ascii="Arial" w:eastAsia="Times New Roman" w:hAnsi="Arial" w:cs="Arial"/>
          <w:color w:val="000000"/>
        </w:rPr>
        <w:t xml:space="preserve"> UK. Available at: </w:t>
      </w:r>
      <w:hyperlink r:id="rId13" w:history="1">
        <w:r w:rsidRPr="00A46AE0">
          <w:rPr>
            <w:rStyle w:val="Hyperlink"/>
            <w:rFonts w:ascii="Arial" w:eastAsia="Times New Roman" w:hAnsi="Arial" w:cs="Arial"/>
          </w:rPr>
          <w:t>https://tipalti.com/en-uk/currency-management-</w:t>
        </w:r>
      </w:hyperlink>
    </w:p>
    <w:p w14:paraId="5C89B60A" w14:textId="727AB4DD" w:rsidR="007D2B39" w:rsidRDefault="007D2B39" w:rsidP="007D2B39">
      <w:pPr>
        <w:pBdr>
          <w:top w:val="nil"/>
          <w:left w:val="nil"/>
          <w:bottom w:val="nil"/>
          <w:right w:val="nil"/>
          <w:between w:val="nil"/>
        </w:pBdr>
        <w:spacing w:line="276" w:lineRule="auto"/>
        <w:rPr>
          <w:rFonts w:ascii="Arial" w:eastAsia="Times New Roman" w:hAnsi="Arial" w:cs="Arial"/>
          <w:color w:val="000000"/>
        </w:rPr>
      </w:pPr>
      <w:r w:rsidRPr="007D2B39">
        <w:rPr>
          <w:rFonts w:ascii="Arial" w:eastAsia="Times New Roman" w:hAnsi="Arial" w:cs="Arial"/>
          <w:color w:val="000000"/>
        </w:rPr>
        <w:t>hub/foreign-exchange-risk/ (Accessed: 13 August 2024).</w:t>
      </w:r>
    </w:p>
    <w:p w14:paraId="7C7A6CAD" w14:textId="77777777" w:rsidR="007D2B39" w:rsidRPr="007D2B39" w:rsidRDefault="007D2B39" w:rsidP="007D2B39">
      <w:pPr>
        <w:pBdr>
          <w:top w:val="nil"/>
          <w:left w:val="nil"/>
          <w:bottom w:val="nil"/>
          <w:right w:val="nil"/>
          <w:between w:val="nil"/>
        </w:pBdr>
        <w:spacing w:line="276" w:lineRule="auto"/>
        <w:ind w:left="567" w:hanging="567"/>
        <w:rPr>
          <w:rFonts w:ascii="Arial" w:eastAsia="Times New Roman" w:hAnsi="Arial" w:cs="Arial"/>
          <w:color w:val="000000"/>
        </w:rPr>
      </w:pPr>
    </w:p>
    <w:p w14:paraId="2A19972B" w14:textId="77777777" w:rsidR="007D2B39" w:rsidRPr="007D2B39" w:rsidRDefault="007D2B39" w:rsidP="007D2B39">
      <w:pPr>
        <w:spacing w:line="276" w:lineRule="auto"/>
        <w:rPr>
          <w:rFonts w:ascii="Arial" w:hAnsi="Arial" w:cs="Arial"/>
        </w:rPr>
      </w:pPr>
      <w:r w:rsidRPr="007D2B39">
        <w:rPr>
          <w:rFonts w:ascii="Arial" w:hAnsi="Arial" w:cs="Arial"/>
        </w:rPr>
        <w:t>SurveyMonkey (no date) Value-based pricing and how to apply it | SurveyMonkey. https://www.surveymonkey.com/market-research/resources/value-based-pricing/#.</w:t>
      </w:r>
    </w:p>
    <w:sectPr w:rsidR="007D2B39" w:rsidRPr="007D2B3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EA1"/>
    <w:rsid w:val="002172FD"/>
    <w:rsid w:val="00237550"/>
    <w:rsid w:val="002F1166"/>
    <w:rsid w:val="003727A8"/>
    <w:rsid w:val="006F06D0"/>
    <w:rsid w:val="007D2B39"/>
    <w:rsid w:val="00B73EFC"/>
    <w:rsid w:val="00C5457E"/>
    <w:rsid w:val="00DA2EF2"/>
    <w:rsid w:val="00E03210"/>
    <w:rsid w:val="00E31F41"/>
    <w:rsid w:val="00E336ED"/>
    <w:rsid w:val="00E41441"/>
    <w:rsid w:val="00E86EA1"/>
    <w:rsid w:val="00EA4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D77B"/>
  <w15:docId w15:val="{F23BD5F5-2331-45B9-82CE-37C3BDAE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1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34060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4060E"/>
  </w:style>
  <w:style w:type="character" w:customStyle="1" w:styleId="Heading1Char">
    <w:name w:val="Heading 1 Char"/>
    <w:basedOn w:val="DefaultParagraphFont"/>
    <w:link w:val="Heading1"/>
    <w:uiPriority w:val="9"/>
    <w:rsid w:val="00BC61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3BE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A3BED"/>
    <w:pPr>
      <w:spacing w:before="120" w:after="120"/>
    </w:pPr>
    <w:rPr>
      <w:rFonts w:cstheme="minorHAnsi"/>
      <w:b/>
      <w:bCs/>
      <w:caps/>
      <w:sz w:val="20"/>
      <w:szCs w:val="20"/>
    </w:rPr>
  </w:style>
  <w:style w:type="character" w:styleId="Hyperlink">
    <w:name w:val="Hyperlink"/>
    <w:basedOn w:val="DefaultParagraphFont"/>
    <w:uiPriority w:val="99"/>
    <w:unhideWhenUsed/>
    <w:rsid w:val="00DA3BED"/>
    <w:rPr>
      <w:color w:val="0563C1" w:themeColor="hyperlink"/>
      <w:u w:val="single"/>
    </w:rPr>
  </w:style>
  <w:style w:type="paragraph" w:styleId="TOC2">
    <w:name w:val="toc 2"/>
    <w:basedOn w:val="Normal"/>
    <w:next w:val="Normal"/>
    <w:autoRedefine/>
    <w:uiPriority w:val="39"/>
    <w:semiHidden/>
    <w:unhideWhenUsed/>
    <w:rsid w:val="00DA3BED"/>
    <w:pPr>
      <w:ind w:left="240"/>
    </w:pPr>
    <w:rPr>
      <w:rFonts w:cstheme="minorHAnsi"/>
      <w:smallCaps/>
      <w:sz w:val="20"/>
      <w:szCs w:val="20"/>
    </w:rPr>
  </w:style>
  <w:style w:type="paragraph" w:styleId="TOC3">
    <w:name w:val="toc 3"/>
    <w:basedOn w:val="Normal"/>
    <w:next w:val="Normal"/>
    <w:autoRedefine/>
    <w:uiPriority w:val="39"/>
    <w:semiHidden/>
    <w:unhideWhenUsed/>
    <w:rsid w:val="00DA3BED"/>
    <w:pPr>
      <w:ind w:left="480"/>
    </w:pPr>
    <w:rPr>
      <w:rFonts w:cstheme="minorHAnsi"/>
      <w:i/>
      <w:iCs/>
      <w:sz w:val="20"/>
      <w:szCs w:val="20"/>
    </w:rPr>
  </w:style>
  <w:style w:type="paragraph" w:styleId="TOC4">
    <w:name w:val="toc 4"/>
    <w:basedOn w:val="Normal"/>
    <w:next w:val="Normal"/>
    <w:autoRedefine/>
    <w:uiPriority w:val="39"/>
    <w:semiHidden/>
    <w:unhideWhenUsed/>
    <w:rsid w:val="00DA3BED"/>
    <w:pPr>
      <w:ind w:left="720"/>
    </w:pPr>
    <w:rPr>
      <w:rFonts w:cstheme="minorHAnsi"/>
      <w:sz w:val="18"/>
      <w:szCs w:val="18"/>
    </w:rPr>
  </w:style>
  <w:style w:type="paragraph" w:styleId="TOC5">
    <w:name w:val="toc 5"/>
    <w:basedOn w:val="Normal"/>
    <w:next w:val="Normal"/>
    <w:autoRedefine/>
    <w:uiPriority w:val="39"/>
    <w:semiHidden/>
    <w:unhideWhenUsed/>
    <w:rsid w:val="00DA3BED"/>
    <w:pPr>
      <w:ind w:left="960"/>
    </w:pPr>
    <w:rPr>
      <w:rFonts w:cstheme="minorHAnsi"/>
      <w:sz w:val="18"/>
      <w:szCs w:val="18"/>
    </w:rPr>
  </w:style>
  <w:style w:type="paragraph" w:styleId="TOC6">
    <w:name w:val="toc 6"/>
    <w:basedOn w:val="Normal"/>
    <w:next w:val="Normal"/>
    <w:autoRedefine/>
    <w:uiPriority w:val="39"/>
    <w:semiHidden/>
    <w:unhideWhenUsed/>
    <w:rsid w:val="00DA3BED"/>
    <w:pPr>
      <w:ind w:left="1200"/>
    </w:pPr>
    <w:rPr>
      <w:rFonts w:cstheme="minorHAnsi"/>
      <w:sz w:val="18"/>
      <w:szCs w:val="18"/>
    </w:rPr>
  </w:style>
  <w:style w:type="paragraph" w:styleId="TOC7">
    <w:name w:val="toc 7"/>
    <w:basedOn w:val="Normal"/>
    <w:next w:val="Normal"/>
    <w:autoRedefine/>
    <w:uiPriority w:val="39"/>
    <w:semiHidden/>
    <w:unhideWhenUsed/>
    <w:rsid w:val="00DA3BED"/>
    <w:pPr>
      <w:ind w:left="1440"/>
    </w:pPr>
    <w:rPr>
      <w:rFonts w:cstheme="minorHAnsi"/>
      <w:sz w:val="18"/>
      <w:szCs w:val="18"/>
    </w:rPr>
  </w:style>
  <w:style w:type="paragraph" w:styleId="TOC8">
    <w:name w:val="toc 8"/>
    <w:basedOn w:val="Normal"/>
    <w:next w:val="Normal"/>
    <w:autoRedefine/>
    <w:uiPriority w:val="39"/>
    <w:semiHidden/>
    <w:unhideWhenUsed/>
    <w:rsid w:val="00DA3BED"/>
    <w:pPr>
      <w:ind w:left="1680"/>
    </w:pPr>
    <w:rPr>
      <w:rFonts w:cstheme="minorHAnsi"/>
      <w:sz w:val="18"/>
      <w:szCs w:val="18"/>
    </w:rPr>
  </w:style>
  <w:style w:type="paragraph" w:styleId="TOC9">
    <w:name w:val="toc 9"/>
    <w:basedOn w:val="Normal"/>
    <w:next w:val="Normal"/>
    <w:autoRedefine/>
    <w:uiPriority w:val="39"/>
    <w:semiHidden/>
    <w:unhideWhenUsed/>
    <w:rsid w:val="00DA3BED"/>
    <w:pPr>
      <w:ind w:left="1920"/>
    </w:pPr>
    <w:rPr>
      <w:rFonts w:cstheme="minorHAns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7D2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21560">
      <w:bodyDiv w:val="1"/>
      <w:marLeft w:val="0"/>
      <w:marRight w:val="0"/>
      <w:marTop w:val="0"/>
      <w:marBottom w:val="0"/>
      <w:divBdr>
        <w:top w:val="none" w:sz="0" w:space="0" w:color="auto"/>
        <w:left w:val="none" w:sz="0" w:space="0" w:color="auto"/>
        <w:bottom w:val="none" w:sz="0" w:space="0" w:color="auto"/>
        <w:right w:val="none" w:sz="0" w:space="0" w:color="auto"/>
      </w:divBdr>
    </w:div>
    <w:div w:id="154801313">
      <w:bodyDiv w:val="1"/>
      <w:marLeft w:val="0"/>
      <w:marRight w:val="0"/>
      <w:marTop w:val="0"/>
      <w:marBottom w:val="0"/>
      <w:divBdr>
        <w:top w:val="none" w:sz="0" w:space="0" w:color="auto"/>
        <w:left w:val="none" w:sz="0" w:space="0" w:color="auto"/>
        <w:bottom w:val="none" w:sz="0" w:space="0" w:color="auto"/>
        <w:right w:val="none" w:sz="0" w:space="0" w:color="auto"/>
      </w:divBdr>
    </w:div>
    <w:div w:id="183175415">
      <w:bodyDiv w:val="1"/>
      <w:marLeft w:val="0"/>
      <w:marRight w:val="0"/>
      <w:marTop w:val="0"/>
      <w:marBottom w:val="0"/>
      <w:divBdr>
        <w:top w:val="none" w:sz="0" w:space="0" w:color="auto"/>
        <w:left w:val="none" w:sz="0" w:space="0" w:color="auto"/>
        <w:bottom w:val="none" w:sz="0" w:space="0" w:color="auto"/>
        <w:right w:val="none" w:sz="0" w:space="0" w:color="auto"/>
      </w:divBdr>
    </w:div>
    <w:div w:id="248347431">
      <w:bodyDiv w:val="1"/>
      <w:marLeft w:val="0"/>
      <w:marRight w:val="0"/>
      <w:marTop w:val="0"/>
      <w:marBottom w:val="0"/>
      <w:divBdr>
        <w:top w:val="none" w:sz="0" w:space="0" w:color="auto"/>
        <w:left w:val="none" w:sz="0" w:space="0" w:color="auto"/>
        <w:bottom w:val="none" w:sz="0" w:space="0" w:color="auto"/>
        <w:right w:val="none" w:sz="0" w:space="0" w:color="auto"/>
      </w:divBdr>
    </w:div>
    <w:div w:id="275722261">
      <w:bodyDiv w:val="1"/>
      <w:marLeft w:val="0"/>
      <w:marRight w:val="0"/>
      <w:marTop w:val="0"/>
      <w:marBottom w:val="0"/>
      <w:divBdr>
        <w:top w:val="none" w:sz="0" w:space="0" w:color="auto"/>
        <w:left w:val="none" w:sz="0" w:space="0" w:color="auto"/>
        <w:bottom w:val="none" w:sz="0" w:space="0" w:color="auto"/>
        <w:right w:val="none" w:sz="0" w:space="0" w:color="auto"/>
      </w:divBdr>
    </w:div>
    <w:div w:id="292563794">
      <w:bodyDiv w:val="1"/>
      <w:marLeft w:val="0"/>
      <w:marRight w:val="0"/>
      <w:marTop w:val="0"/>
      <w:marBottom w:val="0"/>
      <w:divBdr>
        <w:top w:val="none" w:sz="0" w:space="0" w:color="auto"/>
        <w:left w:val="none" w:sz="0" w:space="0" w:color="auto"/>
        <w:bottom w:val="none" w:sz="0" w:space="0" w:color="auto"/>
        <w:right w:val="none" w:sz="0" w:space="0" w:color="auto"/>
      </w:divBdr>
    </w:div>
    <w:div w:id="301810167">
      <w:bodyDiv w:val="1"/>
      <w:marLeft w:val="0"/>
      <w:marRight w:val="0"/>
      <w:marTop w:val="0"/>
      <w:marBottom w:val="0"/>
      <w:divBdr>
        <w:top w:val="none" w:sz="0" w:space="0" w:color="auto"/>
        <w:left w:val="none" w:sz="0" w:space="0" w:color="auto"/>
        <w:bottom w:val="none" w:sz="0" w:space="0" w:color="auto"/>
        <w:right w:val="none" w:sz="0" w:space="0" w:color="auto"/>
      </w:divBdr>
      <w:divsChild>
        <w:div w:id="188614677">
          <w:marLeft w:val="0"/>
          <w:marRight w:val="0"/>
          <w:marTop w:val="0"/>
          <w:marBottom w:val="0"/>
          <w:divBdr>
            <w:top w:val="none" w:sz="0" w:space="0" w:color="auto"/>
            <w:left w:val="none" w:sz="0" w:space="0" w:color="auto"/>
            <w:bottom w:val="none" w:sz="0" w:space="0" w:color="auto"/>
            <w:right w:val="none" w:sz="0" w:space="0" w:color="auto"/>
          </w:divBdr>
        </w:div>
      </w:divsChild>
    </w:div>
    <w:div w:id="305934408">
      <w:bodyDiv w:val="1"/>
      <w:marLeft w:val="0"/>
      <w:marRight w:val="0"/>
      <w:marTop w:val="0"/>
      <w:marBottom w:val="0"/>
      <w:divBdr>
        <w:top w:val="none" w:sz="0" w:space="0" w:color="auto"/>
        <w:left w:val="none" w:sz="0" w:space="0" w:color="auto"/>
        <w:bottom w:val="none" w:sz="0" w:space="0" w:color="auto"/>
        <w:right w:val="none" w:sz="0" w:space="0" w:color="auto"/>
      </w:divBdr>
    </w:div>
    <w:div w:id="492263787">
      <w:bodyDiv w:val="1"/>
      <w:marLeft w:val="0"/>
      <w:marRight w:val="0"/>
      <w:marTop w:val="0"/>
      <w:marBottom w:val="0"/>
      <w:divBdr>
        <w:top w:val="none" w:sz="0" w:space="0" w:color="auto"/>
        <w:left w:val="none" w:sz="0" w:space="0" w:color="auto"/>
        <w:bottom w:val="none" w:sz="0" w:space="0" w:color="auto"/>
        <w:right w:val="none" w:sz="0" w:space="0" w:color="auto"/>
      </w:divBdr>
    </w:div>
    <w:div w:id="569392633">
      <w:bodyDiv w:val="1"/>
      <w:marLeft w:val="0"/>
      <w:marRight w:val="0"/>
      <w:marTop w:val="0"/>
      <w:marBottom w:val="0"/>
      <w:divBdr>
        <w:top w:val="none" w:sz="0" w:space="0" w:color="auto"/>
        <w:left w:val="none" w:sz="0" w:space="0" w:color="auto"/>
        <w:bottom w:val="none" w:sz="0" w:space="0" w:color="auto"/>
        <w:right w:val="none" w:sz="0" w:space="0" w:color="auto"/>
      </w:divBdr>
    </w:div>
    <w:div w:id="596906685">
      <w:bodyDiv w:val="1"/>
      <w:marLeft w:val="0"/>
      <w:marRight w:val="0"/>
      <w:marTop w:val="0"/>
      <w:marBottom w:val="0"/>
      <w:divBdr>
        <w:top w:val="none" w:sz="0" w:space="0" w:color="auto"/>
        <w:left w:val="none" w:sz="0" w:space="0" w:color="auto"/>
        <w:bottom w:val="none" w:sz="0" w:space="0" w:color="auto"/>
        <w:right w:val="none" w:sz="0" w:space="0" w:color="auto"/>
      </w:divBdr>
    </w:div>
    <w:div w:id="625896341">
      <w:bodyDiv w:val="1"/>
      <w:marLeft w:val="0"/>
      <w:marRight w:val="0"/>
      <w:marTop w:val="0"/>
      <w:marBottom w:val="0"/>
      <w:divBdr>
        <w:top w:val="none" w:sz="0" w:space="0" w:color="auto"/>
        <w:left w:val="none" w:sz="0" w:space="0" w:color="auto"/>
        <w:bottom w:val="none" w:sz="0" w:space="0" w:color="auto"/>
        <w:right w:val="none" w:sz="0" w:space="0" w:color="auto"/>
      </w:divBdr>
    </w:div>
    <w:div w:id="674117626">
      <w:bodyDiv w:val="1"/>
      <w:marLeft w:val="0"/>
      <w:marRight w:val="0"/>
      <w:marTop w:val="0"/>
      <w:marBottom w:val="0"/>
      <w:divBdr>
        <w:top w:val="none" w:sz="0" w:space="0" w:color="auto"/>
        <w:left w:val="none" w:sz="0" w:space="0" w:color="auto"/>
        <w:bottom w:val="none" w:sz="0" w:space="0" w:color="auto"/>
        <w:right w:val="none" w:sz="0" w:space="0" w:color="auto"/>
      </w:divBdr>
      <w:divsChild>
        <w:div w:id="840465489">
          <w:marLeft w:val="0"/>
          <w:marRight w:val="0"/>
          <w:marTop w:val="0"/>
          <w:marBottom w:val="0"/>
          <w:divBdr>
            <w:top w:val="none" w:sz="0" w:space="0" w:color="auto"/>
            <w:left w:val="none" w:sz="0" w:space="0" w:color="auto"/>
            <w:bottom w:val="none" w:sz="0" w:space="0" w:color="auto"/>
            <w:right w:val="none" w:sz="0" w:space="0" w:color="auto"/>
          </w:divBdr>
        </w:div>
      </w:divsChild>
    </w:div>
    <w:div w:id="716392793">
      <w:bodyDiv w:val="1"/>
      <w:marLeft w:val="0"/>
      <w:marRight w:val="0"/>
      <w:marTop w:val="0"/>
      <w:marBottom w:val="0"/>
      <w:divBdr>
        <w:top w:val="none" w:sz="0" w:space="0" w:color="auto"/>
        <w:left w:val="none" w:sz="0" w:space="0" w:color="auto"/>
        <w:bottom w:val="none" w:sz="0" w:space="0" w:color="auto"/>
        <w:right w:val="none" w:sz="0" w:space="0" w:color="auto"/>
      </w:divBdr>
    </w:div>
    <w:div w:id="719135255">
      <w:bodyDiv w:val="1"/>
      <w:marLeft w:val="0"/>
      <w:marRight w:val="0"/>
      <w:marTop w:val="0"/>
      <w:marBottom w:val="0"/>
      <w:divBdr>
        <w:top w:val="none" w:sz="0" w:space="0" w:color="auto"/>
        <w:left w:val="none" w:sz="0" w:space="0" w:color="auto"/>
        <w:bottom w:val="none" w:sz="0" w:space="0" w:color="auto"/>
        <w:right w:val="none" w:sz="0" w:space="0" w:color="auto"/>
      </w:divBdr>
    </w:div>
    <w:div w:id="761292002">
      <w:bodyDiv w:val="1"/>
      <w:marLeft w:val="0"/>
      <w:marRight w:val="0"/>
      <w:marTop w:val="0"/>
      <w:marBottom w:val="0"/>
      <w:divBdr>
        <w:top w:val="none" w:sz="0" w:space="0" w:color="auto"/>
        <w:left w:val="none" w:sz="0" w:space="0" w:color="auto"/>
        <w:bottom w:val="none" w:sz="0" w:space="0" w:color="auto"/>
        <w:right w:val="none" w:sz="0" w:space="0" w:color="auto"/>
      </w:divBdr>
    </w:div>
    <w:div w:id="772748246">
      <w:bodyDiv w:val="1"/>
      <w:marLeft w:val="0"/>
      <w:marRight w:val="0"/>
      <w:marTop w:val="0"/>
      <w:marBottom w:val="0"/>
      <w:divBdr>
        <w:top w:val="none" w:sz="0" w:space="0" w:color="auto"/>
        <w:left w:val="none" w:sz="0" w:space="0" w:color="auto"/>
        <w:bottom w:val="none" w:sz="0" w:space="0" w:color="auto"/>
        <w:right w:val="none" w:sz="0" w:space="0" w:color="auto"/>
      </w:divBdr>
    </w:div>
    <w:div w:id="876160306">
      <w:bodyDiv w:val="1"/>
      <w:marLeft w:val="0"/>
      <w:marRight w:val="0"/>
      <w:marTop w:val="0"/>
      <w:marBottom w:val="0"/>
      <w:divBdr>
        <w:top w:val="none" w:sz="0" w:space="0" w:color="auto"/>
        <w:left w:val="none" w:sz="0" w:space="0" w:color="auto"/>
        <w:bottom w:val="none" w:sz="0" w:space="0" w:color="auto"/>
        <w:right w:val="none" w:sz="0" w:space="0" w:color="auto"/>
      </w:divBdr>
    </w:div>
    <w:div w:id="983974347">
      <w:bodyDiv w:val="1"/>
      <w:marLeft w:val="0"/>
      <w:marRight w:val="0"/>
      <w:marTop w:val="0"/>
      <w:marBottom w:val="0"/>
      <w:divBdr>
        <w:top w:val="none" w:sz="0" w:space="0" w:color="auto"/>
        <w:left w:val="none" w:sz="0" w:space="0" w:color="auto"/>
        <w:bottom w:val="none" w:sz="0" w:space="0" w:color="auto"/>
        <w:right w:val="none" w:sz="0" w:space="0" w:color="auto"/>
      </w:divBdr>
    </w:div>
    <w:div w:id="997030422">
      <w:bodyDiv w:val="1"/>
      <w:marLeft w:val="0"/>
      <w:marRight w:val="0"/>
      <w:marTop w:val="0"/>
      <w:marBottom w:val="0"/>
      <w:divBdr>
        <w:top w:val="none" w:sz="0" w:space="0" w:color="auto"/>
        <w:left w:val="none" w:sz="0" w:space="0" w:color="auto"/>
        <w:bottom w:val="none" w:sz="0" w:space="0" w:color="auto"/>
        <w:right w:val="none" w:sz="0" w:space="0" w:color="auto"/>
      </w:divBdr>
    </w:div>
    <w:div w:id="1138451584">
      <w:bodyDiv w:val="1"/>
      <w:marLeft w:val="0"/>
      <w:marRight w:val="0"/>
      <w:marTop w:val="0"/>
      <w:marBottom w:val="0"/>
      <w:divBdr>
        <w:top w:val="none" w:sz="0" w:space="0" w:color="auto"/>
        <w:left w:val="none" w:sz="0" w:space="0" w:color="auto"/>
        <w:bottom w:val="none" w:sz="0" w:space="0" w:color="auto"/>
        <w:right w:val="none" w:sz="0" w:space="0" w:color="auto"/>
      </w:divBdr>
    </w:div>
    <w:div w:id="1151750627">
      <w:bodyDiv w:val="1"/>
      <w:marLeft w:val="0"/>
      <w:marRight w:val="0"/>
      <w:marTop w:val="0"/>
      <w:marBottom w:val="0"/>
      <w:divBdr>
        <w:top w:val="none" w:sz="0" w:space="0" w:color="auto"/>
        <w:left w:val="none" w:sz="0" w:space="0" w:color="auto"/>
        <w:bottom w:val="none" w:sz="0" w:space="0" w:color="auto"/>
        <w:right w:val="none" w:sz="0" w:space="0" w:color="auto"/>
      </w:divBdr>
    </w:div>
    <w:div w:id="1155563264">
      <w:bodyDiv w:val="1"/>
      <w:marLeft w:val="0"/>
      <w:marRight w:val="0"/>
      <w:marTop w:val="0"/>
      <w:marBottom w:val="0"/>
      <w:divBdr>
        <w:top w:val="none" w:sz="0" w:space="0" w:color="auto"/>
        <w:left w:val="none" w:sz="0" w:space="0" w:color="auto"/>
        <w:bottom w:val="none" w:sz="0" w:space="0" w:color="auto"/>
        <w:right w:val="none" w:sz="0" w:space="0" w:color="auto"/>
      </w:divBdr>
    </w:div>
    <w:div w:id="1169827021">
      <w:bodyDiv w:val="1"/>
      <w:marLeft w:val="0"/>
      <w:marRight w:val="0"/>
      <w:marTop w:val="0"/>
      <w:marBottom w:val="0"/>
      <w:divBdr>
        <w:top w:val="none" w:sz="0" w:space="0" w:color="auto"/>
        <w:left w:val="none" w:sz="0" w:space="0" w:color="auto"/>
        <w:bottom w:val="none" w:sz="0" w:space="0" w:color="auto"/>
        <w:right w:val="none" w:sz="0" w:space="0" w:color="auto"/>
      </w:divBdr>
    </w:div>
    <w:div w:id="1181629933">
      <w:bodyDiv w:val="1"/>
      <w:marLeft w:val="0"/>
      <w:marRight w:val="0"/>
      <w:marTop w:val="0"/>
      <w:marBottom w:val="0"/>
      <w:divBdr>
        <w:top w:val="none" w:sz="0" w:space="0" w:color="auto"/>
        <w:left w:val="none" w:sz="0" w:space="0" w:color="auto"/>
        <w:bottom w:val="none" w:sz="0" w:space="0" w:color="auto"/>
        <w:right w:val="none" w:sz="0" w:space="0" w:color="auto"/>
      </w:divBdr>
    </w:div>
    <w:div w:id="1299333848">
      <w:bodyDiv w:val="1"/>
      <w:marLeft w:val="0"/>
      <w:marRight w:val="0"/>
      <w:marTop w:val="0"/>
      <w:marBottom w:val="0"/>
      <w:divBdr>
        <w:top w:val="none" w:sz="0" w:space="0" w:color="auto"/>
        <w:left w:val="none" w:sz="0" w:space="0" w:color="auto"/>
        <w:bottom w:val="none" w:sz="0" w:space="0" w:color="auto"/>
        <w:right w:val="none" w:sz="0" w:space="0" w:color="auto"/>
      </w:divBdr>
    </w:div>
    <w:div w:id="1300309054">
      <w:bodyDiv w:val="1"/>
      <w:marLeft w:val="0"/>
      <w:marRight w:val="0"/>
      <w:marTop w:val="0"/>
      <w:marBottom w:val="0"/>
      <w:divBdr>
        <w:top w:val="none" w:sz="0" w:space="0" w:color="auto"/>
        <w:left w:val="none" w:sz="0" w:space="0" w:color="auto"/>
        <w:bottom w:val="none" w:sz="0" w:space="0" w:color="auto"/>
        <w:right w:val="none" w:sz="0" w:space="0" w:color="auto"/>
      </w:divBdr>
    </w:div>
    <w:div w:id="1353678845">
      <w:bodyDiv w:val="1"/>
      <w:marLeft w:val="0"/>
      <w:marRight w:val="0"/>
      <w:marTop w:val="0"/>
      <w:marBottom w:val="0"/>
      <w:divBdr>
        <w:top w:val="none" w:sz="0" w:space="0" w:color="auto"/>
        <w:left w:val="none" w:sz="0" w:space="0" w:color="auto"/>
        <w:bottom w:val="none" w:sz="0" w:space="0" w:color="auto"/>
        <w:right w:val="none" w:sz="0" w:space="0" w:color="auto"/>
      </w:divBdr>
    </w:div>
    <w:div w:id="1502549739">
      <w:bodyDiv w:val="1"/>
      <w:marLeft w:val="0"/>
      <w:marRight w:val="0"/>
      <w:marTop w:val="0"/>
      <w:marBottom w:val="0"/>
      <w:divBdr>
        <w:top w:val="none" w:sz="0" w:space="0" w:color="auto"/>
        <w:left w:val="none" w:sz="0" w:space="0" w:color="auto"/>
        <w:bottom w:val="none" w:sz="0" w:space="0" w:color="auto"/>
        <w:right w:val="none" w:sz="0" w:space="0" w:color="auto"/>
      </w:divBdr>
    </w:div>
    <w:div w:id="1578400044">
      <w:bodyDiv w:val="1"/>
      <w:marLeft w:val="0"/>
      <w:marRight w:val="0"/>
      <w:marTop w:val="0"/>
      <w:marBottom w:val="0"/>
      <w:divBdr>
        <w:top w:val="none" w:sz="0" w:space="0" w:color="auto"/>
        <w:left w:val="none" w:sz="0" w:space="0" w:color="auto"/>
        <w:bottom w:val="none" w:sz="0" w:space="0" w:color="auto"/>
        <w:right w:val="none" w:sz="0" w:space="0" w:color="auto"/>
      </w:divBdr>
    </w:div>
    <w:div w:id="1659841554">
      <w:bodyDiv w:val="1"/>
      <w:marLeft w:val="0"/>
      <w:marRight w:val="0"/>
      <w:marTop w:val="0"/>
      <w:marBottom w:val="0"/>
      <w:divBdr>
        <w:top w:val="none" w:sz="0" w:space="0" w:color="auto"/>
        <w:left w:val="none" w:sz="0" w:space="0" w:color="auto"/>
        <w:bottom w:val="none" w:sz="0" w:space="0" w:color="auto"/>
        <w:right w:val="none" w:sz="0" w:space="0" w:color="auto"/>
      </w:divBdr>
    </w:div>
    <w:div w:id="1717851800">
      <w:bodyDiv w:val="1"/>
      <w:marLeft w:val="0"/>
      <w:marRight w:val="0"/>
      <w:marTop w:val="0"/>
      <w:marBottom w:val="0"/>
      <w:divBdr>
        <w:top w:val="none" w:sz="0" w:space="0" w:color="auto"/>
        <w:left w:val="none" w:sz="0" w:space="0" w:color="auto"/>
        <w:bottom w:val="none" w:sz="0" w:space="0" w:color="auto"/>
        <w:right w:val="none" w:sz="0" w:space="0" w:color="auto"/>
      </w:divBdr>
    </w:div>
    <w:div w:id="1734113270">
      <w:bodyDiv w:val="1"/>
      <w:marLeft w:val="0"/>
      <w:marRight w:val="0"/>
      <w:marTop w:val="0"/>
      <w:marBottom w:val="0"/>
      <w:divBdr>
        <w:top w:val="none" w:sz="0" w:space="0" w:color="auto"/>
        <w:left w:val="none" w:sz="0" w:space="0" w:color="auto"/>
        <w:bottom w:val="none" w:sz="0" w:space="0" w:color="auto"/>
        <w:right w:val="none" w:sz="0" w:space="0" w:color="auto"/>
      </w:divBdr>
    </w:div>
    <w:div w:id="1838374747">
      <w:bodyDiv w:val="1"/>
      <w:marLeft w:val="0"/>
      <w:marRight w:val="0"/>
      <w:marTop w:val="0"/>
      <w:marBottom w:val="0"/>
      <w:divBdr>
        <w:top w:val="none" w:sz="0" w:space="0" w:color="auto"/>
        <w:left w:val="none" w:sz="0" w:space="0" w:color="auto"/>
        <w:bottom w:val="none" w:sz="0" w:space="0" w:color="auto"/>
        <w:right w:val="none" w:sz="0" w:space="0" w:color="auto"/>
      </w:divBdr>
    </w:div>
    <w:div w:id="1861509069">
      <w:bodyDiv w:val="1"/>
      <w:marLeft w:val="0"/>
      <w:marRight w:val="0"/>
      <w:marTop w:val="0"/>
      <w:marBottom w:val="0"/>
      <w:divBdr>
        <w:top w:val="none" w:sz="0" w:space="0" w:color="auto"/>
        <w:left w:val="none" w:sz="0" w:space="0" w:color="auto"/>
        <w:bottom w:val="none" w:sz="0" w:space="0" w:color="auto"/>
        <w:right w:val="none" w:sz="0" w:space="0" w:color="auto"/>
      </w:divBdr>
    </w:div>
    <w:div w:id="1874460793">
      <w:bodyDiv w:val="1"/>
      <w:marLeft w:val="0"/>
      <w:marRight w:val="0"/>
      <w:marTop w:val="0"/>
      <w:marBottom w:val="0"/>
      <w:divBdr>
        <w:top w:val="none" w:sz="0" w:space="0" w:color="auto"/>
        <w:left w:val="none" w:sz="0" w:space="0" w:color="auto"/>
        <w:bottom w:val="none" w:sz="0" w:space="0" w:color="auto"/>
        <w:right w:val="none" w:sz="0" w:space="0" w:color="auto"/>
      </w:divBdr>
    </w:div>
    <w:div w:id="1920408805">
      <w:bodyDiv w:val="1"/>
      <w:marLeft w:val="0"/>
      <w:marRight w:val="0"/>
      <w:marTop w:val="0"/>
      <w:marBottom w:val="0"/>
      <w:divBdr>
        <w:top w:val="none" w:sz="0" w:space="0" w:color="auto"/>
        <w:left w:val="none" w:sz="0" w:space="0" w:color="auto"/>
        <w:bottom w:val="none" w:sz="0" w:space="0" w:color="auto"/>
        <w:right w:val="none" w:sz="0" w:space="0" w:color="auto"/>
      </w:divBdr>
    </w:div>
    <w:div w:id="1963419624">
      <w:bodyDiv w:val="1"/>
      <w:marLeft w:val="0"/>
      <w:marRight w:val="0"/>
      <w:marTop w:val="0"/>
      <w:marBottom w:val="0"/>
      <w:divBdr>
        <w:top w:val="none" w:sz="0" w:space="0" w:color="auto"/>
        <w:left w:val="none" w:sz="0" w:space="0" w:color="auto"/>
        <w:bottom w:val="none" w:sz="0" w:space="0" w:color="auto"/>
        <w:right w:val="none" w:sz="0" w:space="0" w:color="auto"/>
      </w:divBdr>
    </w:div>
    <w:div w:id="1987389864">
      <w:bodyDiv w:val="1"/>
      <w:marLeft w:val="0"/>
      <w:marRight w:val="0"/>
      <w:marTop w:val="0"/>
      <w:marBottom w:val="0"/>
      <w:divBdr>
        <w:top w:val="none" w:sz="0" w:space="0" w:color="auto"/>
        <w:left w:val="none" w:sz="0" w:space="0" w:color="auto"/>
        <w:bottom w:val="none" w:sz="0" w:space="0" w:color="auto"/>
        <w:right w:val="none" w:sz="0" w:space="0" w:color="auto"/>
      </w:divBdr>
    </w:div>
    <w:div w:id="1994137943">
      <w:bodyDiv w:val="1"/>
      <w:marLeft w:val="0"/>
      <w:marRight w:val="0"/>
      <w:marTop w:val="0"/>
      <w:marBottom w:val="0"/>
      <w:divBdr>
        <w:top w:val="none" w:sz="0" w:space="0" w:color="auto"/>
        <w:left w:val="none" w:sz="0" w:space="0" w:color="auto"/>
        <w:bottom w:val="none" w:sz="0" w:space="0" w:color="auto"/>
        <w:right w:val="none" w:sz="0" w:space="0" w:color="auto"/>
      </w:divBdr>
    </w:div>
    <w:div w:id="2009360084">
      <w:bodyDiv w:val="1"/>
      <w:marLeft w:val="0"/>
      <w:marRight w:val="0"/>
      <w:marTop w:val="0"/>
      <w:marBottom w:val="0"/>
      <w:divBdr>
        <w:top w:val="none" w:sz="0" w:space="0" w:color="auto"/>
        <w:left w:val="none" w:sz="0" w:space="0" w:color="auto"/>
        <w:bottom w:val="none" w:sz="0" w:space="0" w:color="auto"/>
        <w:right w:val="none" w:sz="0" w:space="0" w:color="auto"/>
      </w:divBdr>
    </w:div>
    <w:div w:id="2079010822">
      <w:bodyDiv w:val="1"/>
      <w:marLeft w:val="0"/>
      <w:marRight w:val="0"/>
      <w:marTop w:val="0"/>
      <w:marBottom w:val="0"/>
      <w:divBdr>
        <w:top w:val="none" w:sz="0" w:space="0" w:color="auto"/>
        <w:left w:val="none" w:sz="0" w:space="0" w:color="auto"/>
        <w:bottom w:val="none" w:sz="0" w:space="0" w:color="auto"/>
        <w:right w:val="none" w:sz="0" w:space="0" w:color="auto"/>
      </w:divBdr>
    </w:div>
    <w:div w:id="2096658439">
      <w:bodyDiv w:val="1"/>
      <w:marLeft w:val="0"/>
      <w:marRight w:val="0"/>
      <w:marTop w:val="0"/>
      <w:marBottom w:val="0"/>
      <w:divBdr>
        <w:top w:val="none" w:sz="0" w:space="0" w:color="auto"/>
        <w:left w:val="none" w:sz="0" w:space="0" w:color="auto"/>
        <w:bottom w:val="none" w:sz="0" w:space="0" w:color="auto"/>
        <w:right w:val="none" w:sz="0" w:space="0" w:color="auto"/>
      </w:divBdr>
    </w:div>
    <w:div w:id="2131625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leartreasury.co.uk/insight/foreign-exchange-" TargetMode="External"/><Relationship Id="rId13" Type="http://schemas.openxmlformats.org/officeDocument/2006/relationships/hyperlink" Target="https://tipalti.com/en-uk/currency-management-" TargetMode="External"/><Relationship Id="rId3" Type="http://schemas.openxmlformats.org/officeDocument/2006/relationships/settings" Target="settings.xml"/><Relationship Id="rId7" Type="http://schemas.openxmlformats.org/officeDocument/2006/relationships/hyperlink" Target="https://www.nomentia.com/blog/the-challenges-of-managing-foreign-exchange-risk" TargetMode="External"/><Relationship Id="rId12" Type="http://schemas.openxmlformats.org/officeDocument/2006/relationships/hyperlink" Target="https://www.britannica.com/money/comparative-advantag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nvestopedia.com/articles/investing/041916/3-strategies" TargetMode="External"/><Relationship Id="rId11" Type="http://schemas.openxmlformats.org/officeDocument/2006/relationships/hyperlink" Target="https://www.kantox.com/blog/foreign-exchange-risk-a-comprehensiv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investopedia.com/terms/i/international-finance.asp" TargetMode="External"/><Relationship Id="rId4" Type="http://schemas.openxmlformats.org/officeDocument/2006/relationships/webSettings" Target="webSettings.xml"/><Relationship Id="rId9" Type="http://schemas.openxmlformats.org/officeDocument/2006/relationships/hyperlink" Target="https://www.investopedia.com/terms/forex/f/foreign-exchange-markets.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3D5i8Nf5s9WnAPNntbTYJMB6Kw==">CgMxLjAyCGguZ2pkZ3hzMgloLjMwajB6bGwyCWguMWZvYjl0ZTIJaC4zem55c2g3MgloLjJldDkycDAyCGgudHlqY3d0MgloLjNkeTZ2a204AHIhMUxSQmJJVk5YRTBDVmdtcldTQkxHTktOaXc1ZGw0NjMy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2029</Words>
  <Characters>11567</Characters>
  <Application>Microsoft Office Word</Application>
  <DocSecurity>0</DocSecurity>
  <Lines>96</Lines>
  <Paragraphs>27</Paragraphs>
  <ScaleCrop>false</ScaleCrop>
  <Company/>
  <LinksUpToDate>false</LinksUpToDate>
  <CharactersWithSpaces>13569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Petrova</dc:creator>
  <cp:lastModifiedBy>Nezabravka Vasileva</cp:lastModifiedBy>
  <cp:revision>16</cp:revision>
  <dcterms:created xsi:type="dcterms:W3CDTF">2024-08-13T13:42:00Z</dcterms:created>
  <dcterms:modified xsi:type="dcterms:W3CDTF">2024-08-18T19:56:00Z</dcterms:modified>
</cp:coreProperties>
</file>