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46295" w14:textId="21AB1B7A" w:rsidR="00423F0D" w:rsidRPr="009F5A4E" w:rsidRDefault="00423F0D" w:rsidP="009F5A4E">
      <w:pPr>
        <w:jc w:val="center"/>
        <w:rPr>
          <w:rFonts w:ascii="Arial" w:hAnsi="Arial" w:cs="Arial"/>
          <w:b/>
          <w:bCs/>
          <w:sz w:val="24"/>
          <w:szCs w:val="24"/>
        </w:rPr>
      </w:pPr>
      <w:r w:rsidRPr="009F5A4E">
        <w:rPr>
          <w:rFonts w:ascii="Arial" w:hAnsi="Arial" w:cs="Arial"/>
          <w:b/>
          <w:bCs/>
          <w:sz w:val="24"/>
          <w:szCs w:val="24"/>
        </w:rPr>
        <w:t>Community Engagement</w:t>
      </w:r>
    </w:p>
    <w:p w14:paraId="3FB6C20D" w14:textId="77777777" w:rsidR="00423F0D" w:rsidRPr="00423F0D" w:rsidRDefault="00423F0D" w:rsidP="00423F0D">
      <w:pPr>
        <w:rPr>
          <w:rFonts w:ascii="Arial" w:hAnsi="Arial" w:cs="Arial"/>
          <w:sz w:val="24"/>
          <w:szCs w:val="24"/>
        </w:rPr>
      </w:pPr>
    </w:p>
    <w:p w14:paraId="613F30FB" w14:textId="77777777" w:rsidR="00423F0D" w:rsidRDefault="00423F0D" w:rsidP="00423F0D">
      <w:pPr>
        <w:rPr>
          <w:rFonts w:ascii="Arial" w:hAnsi="Arial" w:cs="Arial"/>
          <w:sz w:val="24"/>
          <w:szCs w:val="24"/>
        </w:rPr>
      </w:pPr>
    </w:p>
    <w:p w14:paraId="7973BD8F" w14:textId="77777777" w:rsidR="009F5A4E" w:rsidRDefault="009F5A4E" w:rsidP="00423F0D">
      <w:pPr>
        <w:rPr>
          <w:rFonts w:ascii="Arial" w:hAnsi="Arial" w:cs="Arial"/>
          <w:sz w:val="24"/>
          <w:szCs w:val="24"/>
        </w:rPr>
      </w:pPr>
    </w:p>
    <w:p w14:paraId="61E700A5" w14:textId="77777777" w:rsidR="009F5A4E" w:rsidRDefault="009F5A4E" w:rsidP="00423F0D">
      <w:pPr>
        <w:rPr>
          <w:rFonts w:ascii="Arial" w:hAnsi="Arial" w:cs="Arial"/>
          <w:sz w:val="24"/>
          <w:szCs w:val="24"/>
        </w:rPr>
      </w:pPr>
    </w:p>
    <w:p w14:paraId="757DCBC4" w14:textId="77777777" w:rsidR="009F5A4E" w:rsidRDefault="009F5A4E" w:rsidP="00423F0D">
      <w:pPr>
        <w:rPr>
          <w:rFonts w:ascii="Arial" w:hAnsi="Arial" w:cs="Arial"/>
          <w:sz w:val="24"/>
          <w:szCs w:val="24"/>
        </w:rPr>
      </w:pPr>
    </w:p>
    <w:p w14:paraId="53A0B72C" w14:textId="77777777" w:rsidR="009F5A4E" w:rsidRDefault="009F5A4E" w:rsidP="00423F0D">
      <w:pPr>
        <w:rPr>
          <w:rFonts w:ascii="Arial" w:hAnsi="Arial" w:cs="Arial"/>
          <w:sz w:val="24"/>
          <w:szCs w:val="24"/>
        </w:rPr>
      </w:pPr>
    </w:p>
    <w:p w14:paraId="2BEE7C1A" w14:textId="72577425" w:rsidR="009F5A4E" w:rsidRPr="00C902B0" w:rsidRDefault="00C902B0" w:rsidP="00C902B0">
      <w:pPr>
        <w:jc w:val="center"/>
        <w:rPr>
          <w:rFonts w:ascii="Arial" w:hAnsi="Arial" w:cs="Arial"/>
          <w:b/>
          <w:bCs/>
          <w:sz w:val="24"/>
          <w:szCs w:val="24"/>
        </w:rPr>
      </w:pPr>
      <w:r w:rsidRPr="00C902B0">
        <w:rPr>
          <w:rFonts w:ascii="Arial" w:hAnsi="Arial" w:cs="Arial"/>
          <w:b/>
          <w:bCs/>
          <w:sz w:val="24"/>
          <w:szCs w:val="24"/>
        </w:rPr>
        <w:t>Assessment 1</w:t>
      </w:r>
    </w:p>
    <w:p w14:paraId="5046F93B" w14:textId="77777777" w:rsidR="00423F0D" w:rsidRDefault="00423F0D" w:rsidP="00423F0D">
      <w:pPr>
        <w:rPr>
          <w:rFonts w:ascii="Arial" w:hAnsi="Arial" w:cs="Arial"/>
          <w:sz w:val="24"/>
          <w:szCs w:val="24"/>
        </w:rPr>
      </w:pPr>
    </w:p>
    <w:p w14:paraId="1076D0DF" w14:textId="77777777" w:rsidR="00C902B0" w:rsidRDefault="00C902B0" w:rsidP="00423F0D">
      <w:pPr>
        <w:rPr>
          <w:rFonts w:ascii="Arial" w:hAnsi="Arial" w:cs="Arial"/>
          <w:sz w:val="24"/>
          <w:szCs w:val="24"/>
        </w:rPr>
      </w:pPr>
    </w:p>
    <w:p w14:paraId="27506D0B" w14:textId="77777777" w:rsidR="00C902B0" w:rsidRDefault="00C902B0" w:rsidP="00423F0D">
      <w:pPr>
        <w:rPr>
          <w:rFonts w:ascii="Arial" w:hAnsi="Arial" w:cs="Arial"/>
          <w:sz w:val="24"/>
          <w:szCs w:val="24"/>
        </w:rPr>
      </w:pPr>
    </w:p>
    <w:p w14:paraId="23A82C6E" w14:textId="77777777" w:rsidR="00C902B0" w:rsidRDefault="00C902B0" w:rsidP="00423F0D">
      <w:pPr>
        <w:rPr>
          <w:rFonts w:ascii="Arial" w:hAnsi="Arial" w:cs="Arial"/>
          <w:sz w:val="24"/>
          <w:szCs w:val="24"/>
        </w:rPr>
      </w:pPr>
    </w:p>
    <w:p w14:paraId="49402AEE" w14:textId="77777777" w:rsidR="00C902B0" w:rsidRDefault="00C902B0" w:rsidP="00423F0D">
      <w:pPr>
        <w:rPr>
          <w:rFonts w:ascii="Arial" w:hAnsi="Arial" w:cs="Arial"/>
          <w:sz w:val="24"/>
          <w:szCs w:val="24"/>
        </w:rPr>
      </w:pPr>
    </w:p>
    <w:p w14:paraId="6A230D94" w14:textId="77777777" w:rsidR="00C902B0" w:rsidRDefault="00C902B0" w:rsidP="00423F0D">
      <w:pPr>
        <w:rPr>
          <w:rFonts w:ascii="Arial" w:hAnsi="Arial" w:cs="Arial"/>
          <w:sz w:val="24"/>
          <w:szCs w:val="24"/>
        </w:rPr>
      </w:pPr>
    </w:p>
    <w:p w14:paraId="16EB3F1B" w14:textId="77777777" w:rsidR="00C902B0" w:rsidRPr="00423F0D" w:rsidRDefault="00C902B0" w:rsidP="00423F0D">
      <w:pPr>
        <w:rPr>
          <w:rFonts w:ascii="Arial" w:hAnsi="Arial" w:cs="Arial"/>
          <w:sz w:val="24"/>
          <w:szCs w:val="24"/>
        </w:rPr>
      </w:pPr>
    </w:p>
    <w:p w14:paraId="4DD4236D" w14:textId="77777777" w:rsidR="00423F0D" w:rsidRPr="00423F0D" w:rsidRDefault="00423F0D" w:rsidP="00423F0D">
      <w:pPr>
        <w:rPr>
          <w:rFonts w:ascii="Arial" w:hAnsi="Arial" w:cs="Arial"/>
          <w:sz w:val="24"/>
          <w:szCs w:val="24"/>
        </w:rPr>
      </w:pPr>
    </w:p>
    <w:p w14:paraId="5E5FE204" w14:textId="3124EF3F" w:rsidR="00423F0D" w:rsidRPr="00423F0D" w:rsidRDefault="00423F0D" w:rsidP="00423F0D">
      <w:pPr>
        <w:rPr>
          <w:rFonts w:ascii="Arial" w:hAnsi="Arial" w:cs="Arial"/>
          <w:sz w:val="24"/>
          <w:szCs w:val="24"/>
        </w:rPr>
      </w:pPr>
      <w:r w:rsidRPr="00F90616">
        <w:rPr>
          <w:rFonts w:ascii="Arial" w:hAnsi="Arial" w:cs="Arial"/>
          <w:sz w:val="24"/>
          <w:szCs w:val="24"/>
          <w:cs/>
        </w:rPr>
        <w:t xml:space="preserve">Student ID: </w:t>
      </w:r>
      <w:r w:rsidR="00F90616" w:rsidRPr="00F90616">
        <w:rPr>
          <w:rFonts w:ascii="Arial" w:hAnsi="Arial" w:cs="Arial"/>
          <w:sz w:val="24"/>
          <w:szCs w:val="24"/>
          <w:cs/>
        </w:rPr>
        <w:t>2247229</w:t>
      </w:r>
    </w:p>
    <w:p w14:paraId="1F6E8FFE" w14:textId="631AFBF2" w:rsidR="00423F0D" w:rsidRPr="00423F0D" w:rsidRDefault="00423F0D" w:rsidP="00423F0D">
      <w:pPr>
        <w:rPr>
          <w:rFonts w:ascii="Arial" w:hAnsi="Arial" w:cs="Arial"/>
          <w:sz w:val="24"/>
          <w:szCs w:val="24"/>
        </w:rPr>
      </w:pPr>
      <w:r w:rsidRPr="00423F0D">
        <w:rPr>
          <w:rFonts w:ascii="Arial" w:hAnsi="Arial" w:cs="Arial"/>
          <w:sz w:val="24"/>
          <w:szCs w:val="24"/>
        </w:rPr>
        <w:t>Student name:</w:t>
      </w:r>
      <w:r w:rsidRPr="00423F0D">
        <w:rPr>
          <w:rFonts w:ascii="Arial" w:hAnsi="Arial" w:cs="Arial"/>
          <w:sz w:val="24"/>
          <w:szCs w:val="24"/>
          <w:cs/>
        </w:rPr>
        <w:t xml:space="preserve"> Cristina Raya Plesa</w:t>
      </w:r>
    </w:p>
    <w:p w14:paraId="05CDBFD4" w14:textId="0989CB70" w:rsidR="00423F0D" w:rsidRPr="00423F0D" w:rsidRDefault="00423F0D" w:rsidP="00423F0D">
      <w:pPr>
        <w:rPr>
          <w:rFonts w:ascii="Arial" w:hAnsi="Arial" w:cs="Arial"/>
          <w:sz w:val="24"/>
          <w:szCs w:val="24"/>
        </w:rPr>
      </w:pPr>
      <w:r w:rsidRPr="00423F0D">
        <w:rPr>
          <w:rFonts w:ascii="Arial" w:hAnsi="Arial" w:cs="Arial"/>
          <w:sz w:val="24"/>
          <w:szCs w:val="24"/>
        </w:rPr>
        <w:t xml:space="preserve">Module Leader: </w:t>
      </w:r>
      <w:r w:rsidR="005E0E00">
        <w:rPr>
          <w:rFonts w:ascii="Arial" w:hAnsi="Arial" w:cs="Arial"/>
          <w:sz w:val="24"/>
          <w:szCs w:val="24"/>
        </w:rPr>
        <w:t xml:space="preserve">DR. </w:t>
      </w:r>
      <w:proofErr w:type="spellStart"/>
      <w:r w:rsidR="005E0E00">
        <w:rPr>
          <w:rFonts w:ascii="Arial" w:hAnsi="Arial" w:cs="Arial"/>
          <w:sz w:val="24"/>
          <w:szCs w:val="24"/>
        </w:rPr>
        <w:t>Faizun</w:t>
      </w:r>
      <w:proofErr w:type="spellEnd"/>
      <w:r w:rsidR="005E0E00">
        <w:rPr>
          <w:rFonts w:ascii="Arial" w:hAnsi="Arial" w:cs="Arial"/>
          <w:sz w:val="24"/>
          <w:szCs w:val="24"/>
        </w:rPr>
        <w:t xml:space="preserve"> Edu</w:t>
      </w:r>
    </w:p>
    <w:p w14:paraId="4144DD71" w14:textId="77777777" w:rsidR="00423F0D" w:rsidRPr="00423F0D" w:rsidRDefault="00423F0D" w:rsidP="00423F0D">
      <w:pPr>
        <w:rPr>
          <w:rFonts w:ascii="Arial" w:hAnsi="Arial" w:cs="Arial"/>
          <w:sz w:val="24"/>
          <w:szCs w:val="24"/>
        </w:rPr>
      </w:pPr>
    </w:p>
    <w:p w14:paraId="09EFFF16" w14:textId="77777777" w:rsidR="00423F0D" w:rsidRPr="00423F0D" w:rsidRDefault="00423F0D" w:rsidP="00423F0D">
      <w:pPr>
        <w:rPr>
          <w:rFonts w:ascii="Arial" w:hAnsi="Arial" w:cs="Arial"/>
          <w:sz w:val="24"/>
          <w:szCs w:val="24"/>
        </w:rPr>
      </w:pPr>
    </w:p>
    <w:p w14:paraId="5719A9F6" w14:textId="77777777" w:rsidR="00423F0D" w:rsidRPr="00423F0D" w:rsidRDefault="00423F0D" w:rsidP="00423F0D">
      <w:pPr>
        <w:rPr>
          <w:rFonts w:ascii="Arial" w:hAnsi="Arial" w:cs="Arial"/>
          <w:sz w:val="24"/>
          <w:szCs w:val="24"/>
        </w:rPr>
      </w:pPr>
    </w:p>
    <w:p w14:paraId="0E9A1A56" w14:textId="77777777" w:rsidR="00423F0D" w:rsidRPr="00423F0D" w:rsidRDefault="00423F0D" w:rsidP="00423F0D">
      <w:pPr>
        <w:rPr>
          <w:rFonts w:ascii="Arial" w:hAnsi="Arial" w:cs="Arial"/>
          <w:b/>
          <w:bCs/>
          <w:sz w:val="24"/>
          <w:szCs w:val="24"/>
        </w:rPr>
      </w:pPr>
      <w:r w:rsidRPr="00423F0D">
        <w:rPr>
          <w:rFonts w:ascii="Arial" w:hAnsi="Arial" w:cs="Arial"/>
          <w:b/>
          <w:bCs/>
          <w:sz w:val="24"/>
          <w:szCs w:val="24"/>
        </w:rPr>
        <w:t>Table content</w:t>
      </w:r>
    </w:p>
    <w:p w14:paraId="48F11229" w14:textId="77777777" w:rsidR="00423F0D" w:rsidRPr="00423F0D" w:rsidRDefault="00423F0D" w:rsidP="00423F0D">
      <w:pPr>
        <w:rPr>
          <w:rFonts w:ascii="Arial" w:hAnsi="Arial" w:cs="Arial"/>
          <w:b/>
          <w:bCs/>
          <w:sz w:val="24"/>
          <w:szCs w:val="24"/>
        </w:rPr>
      </w:pPr>
    </w:p>
    <w:p w14:paraId="63527C38" w14:textId="77777777" w:rsidR="00423F0D" w:rsidRPr="00423F0D" w:rsidRDefault="00423F0D" w:rsidP="00423F0D">
      <w:pPr>
        <w:numPr>
          <w:ilvl w:val="0"/>
          <w:numId w:val="2"/>
        </w:numPr>
        <w:contextualSpacing/>
        <w:rPr>
          <w:rFonts w:ascii="Arial" w:hAnsi="Arial" w:cs="Arial"/>
          <w:sz w:val="24"/>
          <w:szCs w:val="24"/>
        </w:rPr>
      </w:pPr>
      <w:r w:rsidRPr="00423F0D">
        <w:rPr>
          <w:rFonts w:ascii="Arial" w:hAnsi="Arial" w:cs="Arial"/>
          <w:sz w:val="24"/>
          <w:szCs w:val="24"/>
        </w:rPr>
        <w:t>Introduction</w:t>
      </w:r>
    </w:p>
    <w:p w14:paraId="6E745B90" w14:textId="77777777" w:rsidR="00423F0D" w:rsidRPr="00423F0D" w:rsidRDefault="00423F0D" w:rsidP="00423F0D">
      <w:pPr>
        <w:numPr>
          <w:ilvl w:val="0"/>
          <w:numId w:val="2"/>
        </w:numPr>
        <w:contextualSpacing/>
        <w:rPr>
          <w:rFonts w:ascii="Arial" w:hAnsi="Arial" w:cs="Arial"/>
          <w:sz w:val="24"/>
          <w:szCs w:val="24"/>
        </w:rPr>
      </w:pPr>
      <w:r w:rsidRPr="00423F0D">
        <w:rPr>
          <w:rFonts w:ascii="Arial" w:hAnsi="Arial" w:cs="Arial"/>
          <w:sz w:val="24"/>
          <w:szCs w:val="24"/>
        </w:rPr>
        <w:t>Comparison to the New Deal Community Programme</w:t>
      </w:r>
    </w:p>
    <w:p w14:paraId="00E9A0BF" w14:textId="77777777" w:rsidR="00423F0D" w:rsidRPr="00423F0D" w:rsidRDefault="00423F0D" w:rsidP="00423F0D">
      <w:pPr>
        <w:numPr>
          <w:ilvl w:val="0"/>
          <w:numId w:val="2"/>
        </w:numPr>
        <w:contextualSpacing/>
        <w:rPr>
          <w:rFonts w:ascii="Arial" w:hAnsi="Arial" w:cs="Arial"/>
          <w:sz w:val="24"/>
          <w:szCs w:val="24"/>
        </w:rPr>
      </w:pPr>
      <w:r w:rsidRPr="00423F0D">
        <w:rPr>
          <w:rFonts w:ascii="Arial" w:hAnsi="Arial" w:cs="Arial"/>
          <w:sz w:val="24"/>
          <w:szCs w:val="24"/>
        </w:rPr>
        <w:t>Principles, standards  guiding community engagement</w:t>
      </w:r>
    </w:p>
    <w:p w14:paraId="1DC8756A" w14:textId="77777777" w:rsidR="00423F0D" w:rsidRPr="00423F0D" w:rsidRDefault="00423F0D" w:rsidP="00423F0D">
      <w:pPr>
        <w:numPr>
          <w:ilvl w:val="0"/>
          <w:numId w:val="2"/>
        </w:numPr>
        <w:contextualSpacing/>
        <w:rPr>
          <w:rFonts w:ascii="Arial" w:hAnsi="Arial" w:cs="Arial"/>
          <w:sz w:val="24"/>
          <w:szCs w:val="24"/>
        </w:rPr>
      </w:pPr>
      <w:r w:rsidRPr="00423F0D">
        <w:rPr>
          <w:rFonts w:ascii="Arial" w:hAnsi="Arial" w:cs="Arial"/>
          <w:sz w:val="24"/>
          <w:szCs w:val="24"/>
        </w:rPr>
        <w:t>Embracing both inclusivity  and a wide range of a demographic representation</w:t>
      </w:r>
    </w:p>
    <w:p w14:paraId="2E4D1590" w14:textId="77777777" w:rsidR="00423F0D" w:rsidRPr="00423F0D" w:rsidRDefault="00423F0D" w:rsidP="00423F0D">
      <w:pPr>
        <w:numPr>
          <w:ilvl w:val="0"/>
          <w:numId w:val="2"/>
        </w:numPr>
        <w:contextualSpacing/>
        <w:rPr>
          <w:rFonts w:ascii="Arial" w:hAnsi="Arial" w:cs="Arial"/>
          <w:sz w:val="24"/>
          <w:szCs w:val="24"/>
        </w:rPr>
      </w:pPr>
      <w:r w:rsidRPr="00423F0D">
        <w:rPr>
          <w:rFonts w:ascii="Arial" w:hAnsi="Arial" w:cs="Arial"/>
          <w:sz w:val="24"/>
          <w:szCs w:val="24"/>
        </w:rPr>
        <w:t xml:space="preserve">Active involvement in cultural activities  and ling term commitment </w:t>
      </w:r>
    </w:p>
    <w:p w14:paraId="5E41012D" w14:textId="77777777" w:rsidR="00423F0D" w:rsidRPr="00423F0D" w:rsidRDefault="00423F0D" w:rsidP="00423F0D">
      <w:pPr>
        <w:numPr>
          <w:ilvl w:val="0"/>
          <w:numId w:val="2"/>
        </w:numPr>
        <w:contextualSpacing/>
        <w:rPr>
          <w:rFonts w:ascii="Arial" w:hAnsi="Arial" w:cs="Arial"/>
          <w:sz w:val="24"/>
          <w:szCs w:val="24"/>
        </w:rPr>
      </w:pPr>
      <w:r w:rsidRPr="00423F0D">
        <w:rPr>
          <w:rFonts w:ascii="Arial" w:hAnsi="Arial" w:cs="Arial"/>
          <w:sz w:val="24"/>
          <w:szCs w:val="24"/>
        </w:rPr>
        <w:t>Dynamic collaboration</w:t>
      </w:r>
    </w:p>
    <w:p w14:paraId="7ED704F5" w14:textId="77777777" w:rsidR="00423F0D" w:rsidRPr="00423F0D" w:rsidRDefault="00423F0D" w:rsidP="00423F0D">
      <w:pPr>
        <w:numPr>
          <w:ilvl w:val="0"/>
          <w:numId w:val="2"/>
        </w:numPr>
        <w:contextualSpacing/>
        <w:rPr>
          <w:rFonts w:ascii="Arial" w:hAnsi="Arial" w:cs="Arial"/>
          <w:sz w:val="24"/>
          <w:szCs w:val="24"/>
        </w:rPr>
      </w:pPr>
      <w:r w:rsidRPr="00423F0D">
        <w:rPr>
          <w:rFonts w:ascii="Arial" w:hAnsi="Arial" w:cs="Arial"/>
          <w:sz w:val="24"/>
          <w:szCs w:val="24"/>
        </w:rPr>
        <w:t>Engagement Inclusion</w:t>
      </w:r>
    </w:p>
    <w:p w14:paraId="19E618ED" w14:textId="77777777" w:rsidR="00423F0D" w:rsidRPr="00423F0D" w:rsidRDefault="00423F0D" w:rsidP="00423F0D">
      <w:pPr>
        <w:numPr>
          <w:ilvl w:val="0"/>
          <w:numId w:val="2"/>
        </w:numPr>
        <w:spacing w:line="360" w:lineRule="auto"/>
        <w:contextualSpacing/>
        <w:rPr>
          <w:rFonts w:ascii="Arial" w:hAnsi="Arial" w:cs="Arial"/>
          <w:sz w:val="24"/>
          <w:szCs w:val="24"/>
        </w:rPr>
      </w:pPr>
      <w:r w:rsidRPr="00423F0D">
        <w:rPr>
          <w:rFonts w:ascii="Arial" w:hAnsi="Arial" w:cs="Arial"/>
          <w:sz w:val="24"/>
          <w:szCs w:val="24"/>
        </w:rPr>
        <w:t>Strategies suitable for stakeholders' engagement using various social media platforms</w:t>
      </w:r>
    </w:p>
    <w:p w14:paraId="2B57018F" w14:textId="77777777" w:rsidR="00423F0D" w:rsidRPr="00423F0D" w:rsidRDefault="00423F0D" w:rsidP="00423F0D">
      <w:pPr>
        <w:numPr>
          <w:ilvl w:val="0"/>
          <w:numId w:val="2"/>
        </w:numPr>
        <w:contextualSpacing/>
        <w:rPr>
          <w:rFonts w:ascii="Arial" w:hAnsi="Arial" w:cs="Arial"/>
          <w:sz w:val="24"/>
          <w:szCs w:val="24"/>
        </w:rPr>
      </w:pPr>
      <w:r w:rsidRPr="00423F0D">
        <w:rPr>
          <w:rFonts w:ascii="Arial" w:hAnsi="Arial" w:cs="Arial"/>
          <w:sz w:val="24"/>
          <w:szCs w:val="24"/>
        </w:rPr>
        <w:t>Community engagement</w:t>
      </w:r>
    </w:p>
    <w:p w14:paraId="4CD21DD3" w14:textId="77777777" w:rsidR="00ED5320" w:rsidRDefault="00ED5320" w:rsidP="00ED5320">
      <w:pPr>
        <w:rPr>
          <w:rFonts w:ascii="Arial" w:hAnsi="Arial" w:cs="Arial"/>
          <w:sz w:val="24"/>
          <w:szCs w:val="24"/>
        </w:rPr>
      </w:pPr>
      <w:r>
        <w:rPr>
          <w:rFonts w:ascii="Arial" w:hAnsi="Arial" w:cs="Arial"/>
          <w:sz w:val="24"/>
          <w:szCs w:val="24"/>
        </w:rPr>
        <w:t xml:space="preserve">     </w:t>
      </w:r>
      <w:r w:rsidR="00423F0D" w:rsidRPr="00423F0D">
        <w:rPr>
          <w:rFonts w:ascii="Arial" w:hAnsi="Arial" w:cs="Arial"/>
          <w:sz w:val="24"/>
          <w:szCs w:val="24"/>
        </w:rPr>
        <w:t>10.Conclusio</w:t>
      </w:r>
      <w:r>
        <w:rPr>
          <w:rFonts w:ascii="Arial" w:hAnsi="Arial" w:cs="Arial"/>
          <w:sz w:val="24"/>
          <w:szCs w:val="24"/>
        </w:rPr>
        <w:t>n</w:t>
      </w:r>
    </w:p>
    <w:p w14:paraId="0BA6740E" w14:textId="7951AF15" w:rsidR="00423F0D" w:rsidRPr="00ED5320" w:rsidRDefault="00ED5320" w:rsidP="00ED5320">
      <w:pPr>
        <w:rPr>
          <w:rFonts w:ascii="Arial" w:hAnsi="Arial" w:cs="Arial"/>
          <w:sz w:val="24"/>
          <w:szCs w:val="24"/>
        </w:rPr>
      </w:pPr>
      <w:r>
        <w:rPr>
          <w:rFonts w:ascii="Arial" w:hAnsi="Arial" w:cs="Arial"/>
          <w:sz w:val="24"/>
          <w:szCs w:val="24"/>
        </w:rPr>
        <w:t xml:space="preserve">     11.</w:t>
      </w:r>
      <w:r w:rsidR="00423F0D" w:rsidRPr="00ED5320">
        <w:rPr>
          <w:rFonts w:ascii="Arial" w:hAnsi="Arial" w:cs="Arial"/>
          <w:sz w:val="24"/>
          <w:szCs w:val="24"/>
        </w:rPr>
        <w:t>References</w:t>
      </w:r>
    </w:p>
    <w:p w14:paraId="0BBEF224" w14:textId="77777777" w:rsidR="00423F0D" w:rsidRPr="00423F0D" w:rsidRDefault="00423F0D" w:rsidP="00423F0D">
      <w:pPr>
        <w:rPr>
          <w:rFonts w:ascii="Arial" w:hAnsi="Arial" w:cs="Arial"/>
          <w:sz w:val="24"/>
          <w:szCs w:val="24"/>
        </w:rPr>
      </w:pPr>
    </w:p>
    <w:p w14:paraId="375BF345" w14:textId="77777777" w:rsidR="00423F0D" w:rsidRPr="00423F0D" w:rsidRDefault="00423F0D" w:rsidP="00423F0D">
      <w:pPr>
        <w:rPr>
          <w:rFonts w:ascii="Arial" w:hAnsi="Arial" w:cs="Arial"/>
          <w:sz w:val="24"/>
          <w:szCs w:val="24"/>
        </w:rPr>
      </w:pPr>
    </w:p>
    <w:p w14:paraId="5D906DA4" w14:textId="77777777" w:rsidR="00423F0D" w:rsidRPr="00423F0D" w:rsidRDefault="00423F0D" w:rsidP="00423F0D">
      <w:pPr>
        <w:rPr>
          <w:rFonts w:ascii="Arial" w:hAnsi="Arial" w:cs="Arial"/>
          <w:sz w:val="24"/>
          <w:szCs w:val="24"/>
        </w:rPr>
      </w:pPr>
      <w:r w:rsidRPr="00423F0D">
        <w:rPr>
          <w:rFonts w:ascii="Arial" w:hAnsi="Arial" w:cs="Arial"/>
          <w:sz w:val="24"/>
          <w:szCs w:val="24"/>
        </w:rPr>
        <w:t>Introduction</w:t>
      </w:r>
    </w:p>
    <w:p w14:paraId="08CB02AD" w14:textId="77777777" w:rsidR="00423F0D" w:rsidRPr="00423F0D" w:rsidRDefault="00423F0D" w:rsidP="00423F0D">
      <w:pPr>
        <w:rPr>
          <w:rFonts w:cstheme="minorBidi"/>
        </w:rPr>
      </w:pPr>
    </w:p>
    <w:p w14:paraId="6F324F02" w14:textId="77777777" w:rsidR="00423F0D" w:rsidRPr="00423F0D" w:rsidRDefault="00423F0D" w:rsidP="00423F0D">
      <w:pPr>
        <w:rPr>
          <w:rFonts w:cstheme="minorBidi"/>
        </w:rPr>
      </w:pPr>
    </w:p>
    <w:p w14:paraId="780DE759"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sz w:val="24"/>
          <w:szCs w:val="24"/>
        </w:rPr>
        <w:t>Community engagement, in essence, is a method that ensures community members have access to meaningful social activities and environments, feel empowered to contribute meaningfully to those activities, and develop practical skills that enable them to fully participate. The primary objective of my community involvement plan would be to target small and medium-sized enterprises (SMEs) as a means to achieve long-term poverty reduction.   For my community engagement project, I would begin by establishing a solid basis for my plan.   Next, I would seek funding to support the implementation of the engagement programme.   Furthermore, I would verify that I possess all the necessary papers and permits to carry out both the research and programme.   I would subsequently conduct a comprehensive investigation of my programme within a specified domain.   If I had the opportunity, I would have initially selected a more limited geographical region to focus on and gradually expanded from there once I had attained the required outcomes.   I would also guarantee that all stakeholders are in alignment with me regarding the programme. With the allocated monies, I would have conducted a comprehensive survey to ensure that all the desires and requirements of the community were expressed, focusing on those that could be accommodated within my budget.   This would guarantee the program's seamless acceptance by the community and stakeholders, hence ensuring its resounding success.</w:t>
      </w:r>
    </w:p>
    <w:p w14:paraId="487149A0" w14:textId="77777777" w:rsidR="00423F0D" w:rsidRPr="00423F0D" w:rsidRDefault="00423F0D" w:rsidP="00423F0D">
      <w:pPr>
        <w:numPr>
          <w:ilvl w:val="0"/>
          <w:numId w:val="1"/>
        </w:numPr>
        <w:spacing w:line="360" w:lineRule="auto"/>
        <w:contextualSpacing/>
        <w:jc w:val="both"/>
        <w:rPr>
          <w:rFonts w:ascii="Arial" w:hAnsi="Arial" w:cs="Arial"/>
          <w:b/>
          <w:bCs/>
          <w:sz w:val="24"/>
          <w:szCs w:val="24"/>
        </w:rPr>
      </w:pPr>
      <w:r w:rsidRPr="00423F0D">
        <w:rPr>
          <w:rFonts w:ascii="Arial" w:hAnsi="Arial" w:cs="Arial"/>
          <w:b/>
          <w:bCs/>
          <w:sz w:val="24"/>
          <w:szCs w:val="24"/>
        </w:rPr>
        <w:t>Comparison to New Deal Community Programme</w:t>
      </w:r>
    </w:p>
    <w:p w14:paraId="3D22688D" w14:textId="77777777" w:rsidR="00423F0D" w:rsidRPr="00423F0D" w:rsidRDefault="00423F0D" w:rsidP="00423F0D">
      <w:pPr>
        <w:spacing w:line="360" w:lineRule="auto"/>
        <w:jc w:val="both"/>
        <w:rPr>
          <w:rFonts w:ascii="Arial" w:hAnsi="Arial" w:cs="Arial"/>
          <w:sz w:val="24"/>
          <w:szCs w:val="24"/>
        </w:rPr>
      </w:pPr>
    </w:p>
    <w:p w14:paraId="6C11B280"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sz w:val="24"/>
          <w:szCs w:val="24"/>
        </w:rPr>
        <w:t>In contrast to NDC, my initiative would have a narrower scope, with a significantly smaller target population and a shorter duration. I would conduct a household survey to ensure that all the ideas pertaining to my program's questions were contributed by community members. In addition, I would conduct focus group talks to gain a more comprehensive grasp of the collective thoughts put forth by the community. This would facilitate easier communication with community people in order to listen to their difficulties and ideas. It would also allow my stakeholders to offer support and submit suggestions for the programme.   In my small and medium-sized enterprises (SMEs) project, I would prioritise securing the requisite financial backing before to commencing the project to prevent any potential collapse within the projected timeframe resulting from insufficient resources. To cultivate loyalty among stakeholders, it is imperative to align their interests and ambitions with those of the project. This approach contrasts with the situation in NDC, when many partners exhibited loyalty towards other enterprises and the government.</w:t>
      </w:r>
    </w:p>
    <w:p w14:paraId="7DF9CB10" w14:textId="77777777" w:rsidR="00423F0D" w:rsidRPr="00423F0D" w:rsidRDefault="00423F0D" w:rsidP="00423F0D">
      <w:pPr>
        <w:spacing w:line="360" w:lineRule="auto"/>
        <w:jc w:val="both"/>
        <w:rPr>
          <w:rFonts w:ascii="Arial" w:hAnsi="Arial" w:cs="Arial"/>
          <w:sz w:val="24"/>
          <w:szCs w:val="24"/>
        </w:rPr>
      </w:pPr>
    </w:p>
    <w:p w14:paraId="72F01AAC" w14:textId="77777777" w:rsidR="00423F0D" w:rsidRPr="00423F0D" w:rsidRDefault="00423F0D" w:rsidP="00423F0D">
      <w:pPr>
        <w:numPr>
          <w:ilvl w:val="0"/>
          <w:numId w:val="1"/>
        </w:numPr>
        <w:spacing w:line="360" w:lineRule="auto"/>
        <w:contextualSpacing/>
        <w:jc w:val="both"/>
        <w:rPr>
          <w:rFonts w:ascii="Arial" w:hAnsi="Arial" w:cs="Arial"/>
          <w:b/>
          <w:bCs/>
          <w:sz w:val="24"/>
          <w:szCs w:val="24"/>
        </w:rPr>
      </w:pPr>
      <w:r w:rsidRPr="00423F0D">
        <w:rPr>
          <w:rFonts w:ascii="Arial" w:hAnsi="Arial" w:cs="Arial"/>
          <w:b/>
          <w:bCs/>
          <w:sz w:val="24"/>
          <w:szCs w:val="24"/>
        </w:rPr>
        <w:t>Principles, standards guiding community engagement</w:t>
      </w:r>
    </w:p>
    <w:p w14:paraId="003C2E0D" w14:textId="77777777" w:rsidR="00423F0D" w:rsidRPr="00423F0D" w:rsidRDefault="00423F0D" w:rsidP="00423F0D">
      <w:pPr>
        <w:spacing w:line="360" w:lineRule="auto"/>
        <w:jc w:val="both"/>
        <w:rPr>
          <w:rFonts w:ascii="Arial" w:hAnsi="Arial" w:cs="Arial"/>
          <w:b/>
          <w:bCs/>
          <w:sz w:val="24"/>
          <w:szCs w:val="24"/>
        </w:rPr>
      </w:pPr>
    </w:p>
    <w:p w14:paraId="1FBF5C0D"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sz w:val="24"/>
          <w:szCs w:val="24"/>
        </w:rPr>
        <w:t>The NDC project has been developed to be comprehensive and inclusive for all members of the community.   The architecture of my project would guarantee a comprehensive approach that allows all members of the community to engage, regardless of their gender, religion, colour, and other relevant criteria. The New Deal Communities plan ensures that all stakeholders share a common objective and engage in collaborative teamwork (</w:t>
      </w:r>
      <w:proofErr w:type="spellStart"/>
      <w:r w:rsidRPr="00423F0D">
        <w:rPr>
          <w:rFonts w:ascii="Arial" w:hAnsi="Arial" w:cs="Arial"/>
          <w:sz w:val="24"/>
          <w:szCs w:val="24"/>
        </w:rPr>
        <w:t>Tallon</w:t>
      </w:r>
      <w:proofErr w:type="spellEnd"/>
      <w:r w:rsidRPr="00423F0D">
        <w:rPr>
          <w:rFonts w:ascii="Arial" w:hAnsi="Arial" w:cs="Arial"/>
          <w:sz w:val="24"/>
          <w:szCs w:val="24"/>
        </w:rPr>
        <w:t>, 2020).   To guarantee the success of my project, I would ensure that the stakeholders align with my goals and objectives. This alignment will facilitate the improvement of the community and the project's success by generating innovative ideas and solutions to address the issues faced by small and medium-sized enterprises (SMEs).</w:t>
      </w:r>
    </w:p>
    <w:p w14:paraId="0B3B2276"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b/>
          <w:bCs/>
          <w:sz w:val="24"/>
          <w:szCs w:val="24"/>
        </w:rPr>
        <w:t>Embracing both inclusivity and a wide range of demographic representation</w:t>
      </w:r>
      <w:r w:rsidRPr="00423F0D">
        <w:rPr>
          <w:rFonts w:ascii="Arial" w:hAnsi="Arial" w:cs="Arial"/>
          <w:sz w:val="24"/>
          <w:szCs w:val="24"/>
        </w:rPr>
        <w:t xml:space="preserve">. </w:t>
      </w:r>
    </w:p>
    <w:p w14:paraId="76A5D285"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sz w:val="24"/>
          <w:szCs w:val="24"/>
        </w:rPr>
        <w:t>My project will have a motto of all-inclusion, ensuring that individuals from all backgrounds will have equal opportunities to join and gain.   The NDC programme also incorporated the participation of young individuals, individuals with disabilities, and women, all collaborating as a cohesive team to enhance the programme and community. Openness and acquisition of knowledge. The NDC community established transparency by establishing a well-defined procedure for implementing activities and distributing benefits to the wider community. This facilitated their accountability at every stage of the process.   The SMEs programme will offer a comprehensive and precise procedural framework for executing the project. This will facilitate community engagement and ensure that all stakeholders are responsible for their respective roles, while also promoting continuous learning throughout the project.</w:t>
      </w:r>
    </w:p>
    <w:p w14:paraId="528A275C"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b/>
          <w:bCs/>
          <w:sz w:val="24"/>
          <w:szCs w:val="24"/>
        </w:rPr>
        <w:t>Active involvement in cultural activities and long-term commitment</w:t>
      </w:r>
      <w:r w:rsidRPr="00423F0D">
        <w:rPr>
          <w:rFonts w:ascii="Arial" w:hAnsi="Arial" w:cs="Arial"/>
          <w:sz w:val="24"/>
          <w:szCs w:val="24"/>
        </w:rPr>
        <w:t>.</w:t>
      </w:r>
    </w:p>
    <w:p w14:paraId="1914D59B"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sz w:val="24"/>
          <w:szCs w:val="24"/>
        </w:rPr>
        <w:t>According to Milliken et al. (2015), the principles of participative and continuous engagement assist stakeholders in fostering collaborative participation, which in turn fosters sustainability throughout and beyond the programme. By adhering to this idea, the community can successfully accomplish a continuous and high-quality process of engaging with the community.   The SMEs programme aims to foster sustained engagement and assure active participation of all participants in project activities, hence generating high-quality outcomes.</w:t>
      </w:r>
    </w:p>
    <w:p w14:paraId="4F536556" w14:textId="77777777" w:rsidR="00423F0D" w:rsidRPr="00423F0D" w:rsidRDefault="00423F0D" w:rsidP="00423F0D">
      <w:pPr>
        <w:spacing w:line="360" w:lineRule="auto"/>
        <w:jc w:val="both"/>
        <w:rPr>
          <w:rFonts w:ascii="Arial" w:hAnsi="Arial" w:cs="Arial"/>
          <w:b/>
          <w:bCs/>
          <w:sz w:val="24"/>
          <w:szCs w:val="24"/>
        </w:rPr>
      </w:pPr>
      <w:r w:rsidRPr="00423F0D">
        <w:rPr>
          <w:rFonts w:ascii="Arial" w:hAnsi="Arial" w:cs="Arial"/>
          <w:b/>
          <w:bCs/>
          <w:sz w:val="24"/>
          <w:szCs w:val="24"/>
        </w:rPr>
        <w:t xml:space="preserve">Dynamic collaboration  </w:t>
      </w:r>
    </w:p>
    <w:p w14:paraId="4D637FC4"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sz w:val="24"/>
          <w:szCs w:val="24"/>
        </w:rPr>
        <w:t>This pertains to soliciting the community's input, doing programming analysis, and exploring alternative options in decision-making to enhance the efficacy of a programme.   The NDC programme engaged in extensive consultation with the community and stakeholders through the implementation of the NDC household survey, NDC partnership survey, and NDC beneficiary survey. These surveys were used to thoroughly analyse the programme, gather feedback, and make informed decisions regarding its management and the achievement of its objectives. Efficient and impactful exchange of information Effective communication is essential for the success of any programme.   Efficient communication guarantees the timely and comprehensive sharing of information among all participants of a programme, facilitating the resolution of emerging difficulties and challenges.   Within my project, I would prioritise efficient communication to promptly disseminate information and address emerging concerns to the community, stakeholders, and myself.  I would utilise WhatsApp as the most convenient means of contact for recommendations and inquiries, Twitter for sharing trending activities related to the programme, and Facebook and Instagram to keep people informed about the project.   This would guarantee the seamless operation of all processes. Involvement of stakeholders Community engagement aims to address the identified problem and create a lasting impact that benefits the community (</w:t>
      </w:r>
      <w:proofErr w:type="spellStart"/>
      <w:r w:rsidRPr="00423F0D">
        <w:rPr>
          <w:rFonts w:ascii="Arial" w:hAnsi="Arial" w:cs="Arial"/>
          <w:sz w:val="24"/>
          <w:szCs w:val="24"/>
        </w:rPr>
        <w:t>Gann</w:t>
      </w:r>
      <w:proofErr w:type="spellEnd"/>
      <w:r w:rsidRPr="00423F0D">
        <w:rPr>
          <w:rFonts w:ascii="Arial" w:hAnsi="Arial" w:cs="Arial"/>
          <w:sz w:val="24"/>
          <w:szCs w:val="24"/>
        </w:rPr>
        <w:t xml:space="preserve"> et al., 2019).   Stakeholder participation facilitates the identification of individuals or groups who may not be in favour of the project, thereby providing a comprehensive grasp of their allegiances. This helps in avoiding conflicts and concerns that could potentially undermine the project.</w:t>
      </w:r>
    </w:p>
    <w:p w14:paraId="7D294EC7" w14:textId="77777777" w:rsidR="00423F0D" w:rsidRPr="00423F0D" w:rsidRDefault="00423F0D" w:rsidP="00423F0D">
      <w:pPr>
        <w:spacing w:line="360" w:lineRule="auto"/>
        <w:jc w:val="both"/>
        <w:rPr>
          <w:rFonts w:ascii="Arial" w:hAnsi="Arial" w:cs="Arial"/>
          <w:b/>
          <w:bCs/>
          <w:sz w:val="24"/>
          <w:szCs w:val="24"/>
        </w:rPr>
      </w:pPr>
      <w:r w:rsidRPr="00423F0D">
        <w:rPr>
          <w:rFonts w:ascii="Arial" w:hAnsi="Arial" w:cs="Arial"/>
          <w:b/>
          <w:bCs/>
          <w:sz w:val="24"/>
          <w:szCs w:val="24"/>
        </w:rPr>
        <w:t>Engagement Inclusion</w:t>
      </w:r>
    </w:p>
    <w:p w14:paraId="34C01A8F"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sz w:val="24"/>
          <w:szCs w:val="24"/>
        </w:rPr>
        <w:t>An inclusive approach to community involvement recognises that every individual has a part to contribute to the project, and it welcomes a wide range of ideas from individuals of all backgrounds. This inclusivity enhances the project's likelihood of success and facilitates the attainment of its objectives with greater ease (Weaver, 2021).  Considering the diverse nature of the community, it is imperative for a project to implement mechanisms that enable the inclusion of every individual within the community.</w:t>
      </w:r>
    </w:p>
    <w:p w14:paraId="48C7B9F0" w14:textId="77777777" w:rsidR="00423F0D" w:rsidRPr="00423F0D" w:rsidRDefault="00423F0D" w:rsidP="00423F0D">
      <w:pPr>
        <w:numPr>
          <w:ilvl w:val="0"/>
          <w:numId w:val="1"/>
        </w:numPr>
        <w:spacing w:line="360" w:lineRule="auto"/>
        <w:contextualSpacing/>
        <w:jc w:val="both"/>
        <w:rPr>
          <w:rFonts w:ascii="Arial" w:hAnsi="Arial" w:cs="Arial"/>
          <w:b/>
          <w:bCs/>
          <w:sz w:val="24"/>
          <w:szCs w:val="24"/>
        </w:rPr>
      </w:pPr>
      <w:r w:rsidRPr="00423F0D">
        <w:rPr>
          <w:rFonts w:ascii="Arial" w:hAnsi="Arial" w:cs="Arial"/>
          <w:b/>
          <w:bCs/>
          <w:sz w:val="24"/>
          <w:szCs w:val="24"/>
        </w:rPr>
        <w:t>Strategies suitable for stakeholders' engagement using various social media platforms</w:t>
      </w:r>
    </w:p>
    <w:p w14:paraId="31350BCC"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sz w:val="24"/>
          <w:szCs w:val="24"/>
        </w:rPr>
        <w:t xml:space="preserve">According to </w:t>
      </w:r>
      <w:proofErr w:type="spellStart"/>
      <w:r w:rsidRPr="00423F0D">
        <w:rPr>
          <w:rFonts w:ascii="Arial" w:hAnsi="Arial" w:cs="Arial"/>
          <w:sz w:val="24"/>
          <w:szCs w:val="24"/>
        </w:rPr>
        <w:t>Castelló</w:t>
      </w:r>
      <w:proofErr w:type="spellEnd"/>
      <w:r w:rsidRPr="00423F0D">
        <w:rPr>
          <w:rFonts w:ascii="Arial" w:hAnsi="Arial" w:cs="Arial"/>
          <w:sz w:val="24"/>
          <w:szCs w:val="24"/>
        </w:rPr>
        <w:t xml:space="preserve">, </w:t>
      </w:r>
      <w:proofErr w:type="spellStart"/>
      <w:r w:rsidRPr="00423F0D">
        <w:rPr>
          <w:rFonts w:ascii="Arial" w:hAnsi="Arial" w:cs="Arial"/>
          <w:sz w:val="24"/>
          <w:szCs w:val="24"/>
        </w:rPr>
        <w:t>Etter</w:t>
      </w:r>
      <w:proofErr w:type="spellEnd"/>
      <w:r w:rsidRPr="00423F0D">
        <w:rPr>
          <w:rFonts w:ascii="Arial" w:hAnsi="Arial" w:cs="Arial"/>
          <w:sz w:val="24"/>
          <w:szCs w:val="24"/>
        </w:rPr>
        <w:t xml:space="preserve">, and </w:t>
      </w:r>
      <w:proofErr w:type="spellStart"/>
      <w:r w:rsidRPr="00423F0D">
        <w:rPr>
          <w:rFonts w:ascii="Arial" w:hAnsi="Arial" w:cs="Arial"/>
          <w:sz w:val="24"/>
          <w:szCs w:val="24"/>
        </w:rPr>
        <w:t>Årup</w:t>
      </w:r>
      <w:proofErr w:type="spellEnd"/>
      <w:r w:rsidRPr="00423F0D">
        <w:rPr>
          <w:rFonts w:ascii="Arial" w:hAnsi="Arial" w:cs="Arial"/>
          <w:sz w:val="24"/>
          <w:szCs w:val="24"/>
        </w:rPr>
        <w:t xml:space="preserve"> Nielsen (2016), understanding the organisational structure of partners is crucial in identifying effective communication platforms for engagement.   Local area commitment requires regular sharing of data to ensure that all partners are collaborating effectively and are up-to-date on the progress of the programme.   The NDC programme partners' planning reveals that the project encompasses a vast geographical area and involves partners from diverse sectors. Consequently, there is a need for many communication platforms (Cho, </w:t>
      </w:r>
      <w:proofErr w:type="spellStart"/>
      <w:r w:rsidRPr="00423F0D">
        <w:rPr>
          <w:rFonts w:ascii="Arial" w:hAnsi="Arial" w:cs="Arial"/>
          <w:sz w:val="24"/>
          <w:szCs w:val="24"/>
        </w:rPr>
        <w:t>Furey</w:t>
      </w:r>
      <w:proofErr w:type="spellEnd"/>
      <w:r w:rsidRPr="00423F0D">
        <w:rPr>
          <w:rFonts w:ascii="Arial" w:hAnsi="Arial" w:cs="Arial"/>
          <w:sz w:val="24"/>
          <w:szCs w:val="24"/>
        </w:rPr>
        <w:t>, &amp; Mohr, 2017).   Regardless, they maintain a satisfactory working relationship characterised by collaboration, concerted effort, and shared perspective.   Within my plan, community mapping will delineate a smaller geographical area to focus on, characterised by close proximity. However, partners and stakeholders will originate from diverse locations, necessitating the need for robust and efficient communication methods.</w:t>
      </w:r>
    </w:p>
    <w:p w14:paraId="5B126241"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sz w:val="24"/>
          <w:szCs w:val="24"/>
        </w:rPr>
        <w:t>As a consequence of this, the following are some examples of social media platforms that can be used to strengthen commitment:</w:t>
      </w:r>
    </w:p>
    <w:p w14:paraId="6B504CF3"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b/>
          <w:bCs/>
          <w:sz w:val="24"/>
          <w:szCs w:val="24"/>
        </w:rPr>
        <w:t>Twitter</w:t>
      </w:r>
      <w:r w:rsidRPr="00423F0D">
        <w:rPr>
          <w:rFonts w:ascii="Arial" w:hAnsi="Arial" w:cs="Arial"/>
          <w:sz w:val="24"/>
          <w:szCs w:val="24"/>
        </w:rPr>
        <w:t>; This platform makes it easier for information to become popular by using hashtags, which can promote a firm by allowing information to be shared with a large number of people in a single post.</w:t>
      </w:r>
    </w:p>
    <w:p w14:paraId="02A4F15B"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b/>
          <w:bCs/>
          <w:sz w:val="24"/>
          <w:szCs w:val="24"/>
        </w:rPr>
        <w:t>WhatsApp</w:t>
      </w:r>
      <w:r w:rsidRPr="00423F0D">
        <w:rPr>
          <w:rFonts w:ascii="Arial" w:hAnsi="Arial" w:cs="Arial"/>
          <w:sz w:val="24"/>
          <w:szCs w:val="24"/>
        </w:rPr>
        <w:t>; this platform is widely available to practically everyone in a community, and as a result, it will help me and other stakeholders to communicate information conveniently and avoid the difficulties of organising for face-to-face meetings it includes both voice and video calling capabilities. It is also quite inexpensive.</w:t>
      </w:r>
    </w:p>
    <w:p w14:paraId="0CCBD2E7"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b/>
          <w:bCs/>
          <w:sz w:val="24"/>
          <w:szCs w:val="24"/>
        </w:rPr>
        <w:t>Community Engagement</w:t>
      </w:r>
      <w:r w:rsidRPr="00423F0D">
        <w:rPr>
          <w:rFonts w:ascii="Arial" w:hAnsi="Arial" w:cs="Arial"/>
          <w:sz w:val="24"/>
          <w:szCs w:val="24"/>
        </w:rPr>
        <w:t xml:space="preserve">.because it saves the cost of transport, venue planning, and a number of other related expenses. It is also possible to set up a group that includes all of the participants in the project as well as any stakeholders that have a stake in it. Within this group, participants can discuss the latest developments in the project, as well as share images, documents, and videos. The founder of the group has the ability to exercise additional control over the activities of the group by eliminating members who engage in inappropriate behaviour or restricting the number of people who may participate in a discussion.Facebook; This being both an entertainment and business platform, is a wonderful way to help-source for stakeholder since the project information is available in the bio, and community members are able to access and track the projects on its page. This makes Facebook an excellent way to help-source for community members.Since LinkedIn is aimed only at professionals, it facilitates the formation of business partnerships and the acquisition of funding, among other things, because users can post details of their accomplishments and milestones there. It is also useful for monitoring the progression of a project.Platforms for social media enable audio, video, and text messaging, all of which can be used by project stakeholders to share information, activities, and any other significant information in a timely manner. One of the benefits is the opportunity to communicate with a large number of target audiences all at once. Another benefit is the possibility of forming connections with various partners, which helps encourage multiculturalist and social cultural integration. In addition, </w:t>
      </w:r>
      <w:proofErr w:type="spellStart"/>
      <w:r w:rsidRPr="00423F0D">
        <w:rPr>
          <w:rFonts w:ascii="Arial" w:hAnsi="Arial" w:cs="Arial"/>
          <w:sz w:val="24"/>
          <w:szCs w:val="24"/>
        </w:rPr>
        <w:t>Castelló</w:t>
      </w:r>
      <w:proofErr w:type="spellEnd"/>
      <w:r w:rsidRPr="00423F0D">
        <w:rPr>
          <w:rFonts w:ascii="Arial" w:hAnsi="Arial" w:cs="Arial"/>
          <w:sz w:val="24"/>
          <w:szCs w:val="24"/>
        </w:rPr>
        <w:t xml:space="preserve">, </w:t>
      </w:r>
      <w:proofErr w:type="spellStart"/>
      <w:r w:rsidRPr="00423F0D">
        <w:rPr>
          <w:rFonts w:ascii="Arial" w:hAnsi="Arial" w:cs="Arial"/>
          <w:sz w:val="24"/>
          <w:szCs w:val="24"/>
        </w:rPr>
        <w:t>Etter</w:t>
      </w:r>
      <w:proofErr w:type="spellEnd"/>
      <w:r w:rsidRPr="00423F0D">
        <w:rPr>
          <w:rFonts w:ascii="Arial" w:hAnsi="Arial" w:cs="Arial"/>
          <w:sz w:val="24"/>
          <w:szCs w:val="24"/>
        </w:rPr>
        <w:t xml:space="preserve">, and </w:t>
      </w:r>
      <w:proofErr w:type="spellStart"/>
      <w:r w:rsidRPr="00423F0D">
        <w:rPr>
          <w:rFonts w:ascii="Arial" w:hAnsi="Arial" w:cs="Arial"/>
          <w:sz w:val="24"/>
          <w:szCs w:val="24"/>
        </w:rPr>
        <w:t>rup</w:t>
      </w:r>
      <w:proofErr w:type="spellEnd"/>
      <w:r w:rsidRPr="00423F0D">
        <w:rPr>
          <w:rFonts w:ascii="Arial" w:hAnsi="Arial" w:cs="Arial"/>
          <w:sz w:val="24"/>
          <w:szCs w:val="24"/>
        </w:rPr>
        <w:t xml:space="preserve"> Nielsen (2016) contend that these platforms contribute to the generation of visitors to the firm website, thereby encouraging the availability and accessibility of information and the capability to evaluate performance based on feedback. Therefore, the use of such platforms makes it easier for an organisation to attain the level of success it desires.</w:t>
      </w:r>
    </w:p>
    <w:p w14:paraId="0266AD28" w14:textId="77777777" w:rsidR="00423F0D" w:rsidRPr="00423F0D" w:rsidRDefault="00423F0D" w:rsidP="00423F0D">
      <w:pPr>
        <w:numPr>
          <w:ilvl w:val="0"/>
          <w:numId w:val="1"/>
        </w:numPr>
        <w:spacing w:line="360" w:lineRule="auto"/>
        <w:contextualSpacing/>
        <w:jc w:val="both"/>
        <w:rPr>
          <w:rFonts w:ascii="Arial" w:hAnsi="Arial" w:cs="Arial"/>
          <w:b/>
          <w:bCs/>
          <w:sz w:val="24"/>
          <w:szCs w:val="24"/>
        </w:rPr>
      </w:pPr>
      <w:r w:rsidRPr="00423F0D">
        <w:rPr>
          <w:rFonts w:ascii="Arial" w:hAnsi="Arial" w:cs="Arial"/>
          <w:b/>
          <w:bCs/>
          <w:sz w:val="24"/>
          <w:szCs w:val="24"/>
        </w:rPr>
        <w:t>Conclusion</w:t>
      </w:r>
    </w:p>
    <w:p w14:paraId="380D9BB5" w14:textId="77777777" w:rsidR="00423F0D" w:rsidRPr="00423F0D" w:rsidRDefault="00423F0D" w:rsidP="00423F0D">
      <w:pPr>
        <w:spacing w:line="360" w:lineRule="auto"/>
        <w:jc w:val="both"/>
        <w:rPr>
          <w:rFonts w:ascii="Arial" w:hAnsi="Arial" w:cs="Arial"/>
          <w:sz w:val="24"/>
          <w:szCs w:val="24"/>
        </w:rPr>
      </w:pPr>
      <w:r w:rsidRPr="00423F0D">
        <w:rPr>
          <w:rFonts w:ascii="Arial" w:hAnsi="Arial" w:cs="Arial"/>
          <w:sz w:val="24"/>
          <w:szCs w:val="24"/>
        </w:rPr>
        <w:t>To recap, involvement in the community can provide solutions that are long-lasting to the socioeconomic challenges that are being faced by the community. When the needs of the communities are understood, it leads to the development of the community as a whole as well as to an increase in the socioeconomic empowerment of its members. It is absolutely necessary to have a well outlined and efficient plan in place to accomplish the objectives of a community engagement programme in order for that initiative to be successful.  It has been observed that the New Deal for Communities initiative was overly ambitious, which can be seen in the failures of the Area Based Initiatives, as stated by the New Deal for Communities programme.   In addition, there was not a clear declaration made describing the anticipated outcomes and the aims of the project. In addition, the plan was subjected to an excessive number of guiding principles, one of which was that the community would play the key role in the programme; nevertheless, this was not the most effective strategic strategy for an endeavour that would last for ten years.   The representatives from the community placed a high priority on finding rapid solutions to address their concerns over poverty and unemployment. The representatives placed a higher priority on rapid results, which led to the inability to achieve the long-term goal. The achievement of the project's objectives, which should include both short-term and long-term targets, should be the top priority for any project. In order to attain a high level of success in community involvement, it is essential that all roles in a programme give the interests of the projects the highest priority and work together in an efficient manner to guarantee that they are accomplished. This will result in a successful outcome that is of a higher quality. The participation of community members, key stakeholders, and other partners was necessary to ensure the accomplishment of the New Deal for Community programme successfully. One of the many accomplishments that came about as a direct result of this partnership was the purchase of high-quality real estate for a number of people. As a direct consequence of this, communal empowerment was realised.   In addition, in order to ensure that one is successful in achieving their objectives, it is essential to seriously consider engaging in an activity that is more concentrated and has a more restricted scope.</w:t>
      </w:r>
    </w:p>
    <w:p w14:paraId="7D1B4493" w14:textId="77777777" w:rsidR="00423F0D" w:rsidRPr="00423F0D" w:rsidRDefault="00423F0D" w:rsidP="00423F0D">
      <w:pPr>
        <w:numPr>
          <w:ilvl w:val="0"/>
          <w:numId w:val="1"/>
        </w:numPr>
        <w:spacing w:line="360" w:lineRule="auto"/>
        <w:contextualSpacing/>
        <w:jc w:val="both"/>
        <w:rPr>
          <w:rFonts w:ascii="Arial" w:hAnsi="Arial" w:cs="Arial"/>
          <w:b/>
          <w:bCs/>
          <w:sz w:val="24"/>
          <w:szCs w:val="24"/>
        </w:rPr>
      </w:pPr>
      <w:r w:rsidRPr="00423F0D">
        <w:rPr>
          <w:rFonts w:ascii="Arial" w:hAnsi="Arial" w:cs="Arial"/>
          <w:b/>
          <w:bCs/>
          <w:sz w:val="24"/>
          <w:szCs w:val="24"/>
        </w:rPr>
        <w:t>References:</w:t>
      </w:r>
    </w:p>
    <w:p w14:paraId="1A22B2D7" w14:textId="77777777" w:rsidR="00423F0D" w:rsidRPr="00423F0D" w:rsidRDefault="00423F0D" w:rsidP="00423F0D">
      <w:pPr>
        <w:ind w:left="360"/>
        <w:rPr>
          <w:rFonts w:ascii=".AppleSystemUIFont" w:hAnsi=".AppleSystemUIFont" w:cs="Times New Roman"/>
          <w:kern w:val="0"/>
          <w:sz w:val="26"/>
          <w:szCs w:val="26"/>
          <w14:ligatures w14:val="none"/>
        </w:rPr>
      </w:pPr>
    </w:p>
    <w:p w14:paraId="4033AA1D"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r w:rsidRPr="00423F0D">
        <w:rPr>
          <w:rFonts w:ascii="Arial" w:hAnsi="Arial" w:cs="Arial"/>
          <w:kern w:val="0"/>
          <w:sz w:val="24"/>
          <w:szCs w:val="24"/>
          <w14:ligatures w14:val="none"/>
        </w:rPr>
        <w:t>Ahmed, Z., Kumar, U. and Kumar, V., 2018. Managing critical success factors for IS implementation: A stakeholder engagement and control perspective.</w:t>
      </w:r>
    </w:p>
    <w:p w14:paraId="1911E35E"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r w:rsidRPr="00423F0D">
        <w:rPr>
          <w:rFonts w:ascii="Arial" w:hAnsi="Arial" w:cs="Arial"/>
          <w:kern w:val="0"/>
          <w:sz w:val="24"/>
          <w:szCs w:val="24"/>
          <w14:ligatures w14:val="none"/>
        </w:rPr>
        <w:t xml:space="preserve">Canadian Journal of Administrative Science/Revue </w:t>
      </w:r>
      <w:proofErr w:type="spellStart"/>
      <w:r w:rsidRPr="00423F0D">
        <w:rPr>
          <w:rFonts w:ascii="Arial" w:hAnsi="Arial" w:cs="Arial"/>
          <w:kern w:val="0"/>
          <w:sz w:val="24"/>
          <w:szCs w:val="24"/>
          <w14:ligatures w14:val="none"/>
        </w:rPr>
        <w:t>Canadienne</w:t>
      </w:r>
      <w:proofErr w:type="spellEnd"/>
      <w:r w:rsidRPr="00423F0D">
        <w:rPr>
          <w:rFonts w:ascii="Arial" w:hAnsi="Arial" w:cs="Arial"/>
          <w:kern w:val="0"/>
          <w:sz w:val="24"/>
          <w:szCs w:val="24"/>
          <w14:ligatures w14:val="none"/>
        </w:rPr>
        <w:t xml:space="preserve"> des Sciences de l'Administration, 35(3), pp.403-418.</w:t>
      </w:r>
    </w:p>
    <w:p w14:paraId="5E4C55E7"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proofErr w:type="spellStart"/>
      <w:r w:rsidRPr="00423F0D">
        <w:rPr>
          <w:rFonts w:ascii="Arial" w:hAnsi="Arial" w:cs="Arial"/>
          <w:kern w:val="0"/>
          <w:sz w:val="24"/>
          <w:szCs w:val="24"/>
          <w14:ligatures w14:val="none"/>
        </w:rPr>
        <w:t>Castelló</w:t>
      </w:r>
      <w:proofErr w:type="spellEnd"/>
      <w:r w:rsidRPr="00423F0D">
        <w:rPr>
          <w:rFonts w:ascii="Arial" w:hAnsi="Arial" w:cs="Arial"/>
          <w:kern w:val="0"/>
          <w:sz w:val="24"/>
          <w:szCs w:val="24"/>
          <w14:ligatures w14:val="none"/>
        </w:rPr>
        <w:t xml:space="preserve">, I., </w:t>
      </w:r>
      <w:proofErr w:type="spellStart"/>
      <w:r w:rsidRPr="00423F0D">
        <w:rPr>
          <w:rFonts w:ascii="Arial" w:hAnsi="Arial" w:cs="Arial"/>
          <w:kern w:val="0"/>
          <w:sz w:val="24"/>
          <w:szCs w:val="24"/>
          <w14:ligatures w14:val="none"/>
        </w:rPr>
        <w:t>Etter</w:t>
      </w:r>
      <w:proofErr w:type="spellEnd"/>
      <w:r w:rsidRPr="00423F0D">
        <w:rPr>
          <w:rFonts w:ascii="Arial" w:hAnsi="Arial" w:cs="Arial"/>
          <w:kern w:val="0"/>
          <w:sz w:val="24"/>
          <w:szCs w:val="24"/>
          <w14:ligatures w14:val="none"/>
        </w:rPr>
        <w:t xml:space="preserve">, M. and </w:t>
      </w:r>
      <w:proofErr w:type="spellStart"/>
      <w:r w:rsidRPr="00423F0D">
        <w:rPr>
          <w:rFonts w:ascii="Arial" w:hAnsi="Arial" w:cs="Arial"/>
          <w:kern w:val="0"/>
          <w:sz w:val="24"/>
          <w:szCs w:val="24"/>
          <w14:ligatures w14:val="none"/>
        </w:rPr>
        <w:t>Årup</w:t>
      </w:r>
      <w:proofErr w:type="spellEnd"/>
      <w:r w:rsidRPr="00423F0D">
        <w:rPr>
          <w:rFonts w:ascii="Arial" w:hAnsi="Arial" w:cs="Arial"/>
          <w:kern w:val="0"/>
          <w:sz w:val="24"/>
          <w:szCs w:val="24"/>
          <w14:ligatures w14:val="none"/>
        </w:rPr>
        <w:t xml:space="preserve"> Nielsen, F., 2016. Strategies of legitimacy through social media: The networked strategy.</w:t>
      </w:r>
    </w:p>
    <w:p w14:paraId="31886712"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r w:rsidRPr="00423F0D">
        <w:rPr>
          <w:rFonts w:ascii="Arial" w:hAnsi="Arial" w:cs="Arial"/>
          <w:kern w:val="0"/>
          <w:sz w:val="24"/>
          <w:szCs w:val="24"/>
          <w14:ligatures w14:val="none"/>
        </w:rPr>
        <w:t>Journal of management studies, 53(3), pp.402-432.</w:t>
      </w:r>
    </w:p>
    <w:p w14:paraId="58E6E372"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r w:rsidRPr="00423F0D">
        <w:rPr>
          <w:rFonts w:ascii="Arial" w:hAnsi="Arial" w:cs="Arial"/>
          <w:kern w:val="0"/>
          <w:sz w:val="24"/>
          <w:szCs w:val="24"/>
          <w14:ligatures w14:val="none"/>
        </w:rPr>
        <w:t xml:space="preserve">Cho, M., </w:t>
      </w:r>
      <w:proofErr w:type="spellStart"/>
      <w:r w:rsidRPr="00423F0D">
        <w:rPr>
          <w:rFonts w:ascii="Arial" w:hAnsi="Arial" w:cs="Arial"/>
          <w:kern w:val="0"/>
          <w:sz w:val="24"/>
          <w:szCs w:val="24"/>
          <w14:ligatures w14:val="none"/>
        </w:rPr>
        <w:t>Furey</w:t>
      </w:r>
      <w:proofErr w:type="spellEnd"/>
      <w:r w:rsidRPr="00423F0D">
        <w:rPr>
          <w:rFonts w:ascii="Arial" w:hAnsi="Arial" w:cs="Arial"/>
          <w:kern w:val="0"/>
          <w:sz w:val="24"/>
          <w:szCs w:val="24"/>
          <w14:ligatures w14:val="none"/>
        </w:rPr>
        <w:t>, L.D. and Mohr, T., 2017. Communicating corporate social responsibility on social media: Strategies, stakeholders, and public engagement on corporate Facebook.</w:t>
      </w:r>
    </w:p>
    <w:p w14:paraId="2CB07850"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r w:rsidRPr="00423F0D">
        <w:rPr>
          <w:rFonts w:ascii="Arial" w:hAnsi="Arial" w:cs="Arial"/>
          <w:kern w:val="0"/>
          <w:sz w:val="24"/>
          <w:szCs w:val="24"/>
          <w14:ligatures w14:val="none"/>
        </w:rPr>
        <w:t>Business and professional communication quarterly, 80(1) , pp.52-69.</w:t>
      </w:r>
    </w:p>
    <w:p w14:paraId="09045E1F" w14:textId="77777777" w:rsidR="00423F0D" w:rsidRPr="00423F0D" w:rsidRDefault="00423F0D" w:rsidP="00423F0D">
      <w:pPr>
        <w:spacing w:line="360" w:lineRule="auto"/>
        <w:ind w:left="360"/>
        <w:jc w:val="both"/>
        <w:rPr>
          <w:rFonts w:ascii="Arial" w:hAnsi="Arial" w:cs="Arial"/>
          <w:kern w:val="0"/>
          <w:sz w:val="24"/>
          <w:szCs w:val="24"/>
          <w14:ligatures w14:val="none"/>
        </w:rPr>
      </w:pPr>
    </w:p>
    <w:p w14:paraId="079B8290"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r w:rsidRPr="00423F0D">
        <w:rPr>
          <w:rFonts w:ascii="Arial" w:hAnsi="Arial" w:cs="Arial"/>
          <w:kern w:val="0"/>
          <w:sz w:val="24"/>
          <w:szCs w:val="24"/>
          <w14:ligatures w14:val="none"/>
        </w:rPr>
        <w:t xml:space="preserve">Eisenberg, C., </w:t>
      </w:r>
      <w:proofErr w:type="spellStart"/>
      <w:r w:rsidRPr="00423F0D">
        <w:rPr>
          <w:rFonts w:ascii="Arial" w:hAnsi="Arial" w:cs="Arial"/>
          <w:kern w:val="0"/>
          <w:sz w:val="24"/>
          <w:szCs w:val="24"/>
          <w14:ligatures w14:val="none"/>
        </w:rPr>
        <w:t>Guariguata</w:t>
      </w:r>
      <w:proofErr w:type="spellEnd"/>
      <w:r w:rsidRPr="00423F0D">
        <w:rPr>
          <w:rFonts w:ascii="Arial" w:hAnsi="Arial" w:cs="Arial"/>
          <w:kern w:val="0"/>
          <w:sz w:val="24"/>
          <w:szCs w:val="24"/>
          <w14:ligatures w14:val="none"/>
        </w:rPr>
        <w:t xml:space="preserve">, M.R., Liu, J. and Hua, F., 2019. International principles and standards for the practice of ecological restoration. Restoration Ecology. 27 (S1): S1- S46., 27(S1) , pp. </w:t>
      </w:r>
      <w:proofErr w:type="spellStart"/>
      <w:r w:rsidRPr="00423F0D">
        <w:rPr>
          <w:rFonts w:ascii="Arial" w:hAnsi="Arial" w:cs="Arial"/>
          <w:kern w:val="0"/>
          <w:sz w:val="24"/>
          <w:szCs w:val="24"/>
          <w14:ligatures w14:val="none"/>
        </w:rPr>
        <w:t>S1-S46.ss</w:t>
      </w:r>
      <w:proofErr w:type="spellEnd"/>
    </w:p>
    <w:p w14:paraId="73EC83BC"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proofErr w:type="spellStart"/>
      <w:r w:rsidRPr="00423F0D">
        <w:rPr>
          <w:rFonts w:ascii="Arial" w:hAnsi="Arial" w:cs="Arial"/>
          <w:kern w:val="0"/>
          <w:sz w:val="24"/>
          <w:szCs w:val="24"/>
          <w14:ligatures w14:val="none"/>
        </w:rPr>
        <w:t>MacLeavy</w:t>
      </w:r>
      <w:proofErr w:type="spellEnd"/>
      <w:r w:rsidRPr="00423F0D">
        <w:rPr>
          <w:rFonts w:ascii="Arial" w:hAnsi="Arial" w:cs="Arial"/>
          <w:kern w:val="0"/>
          <w:sz w:val="24"/>
          <w:szCs w:val="24"/>
          <w14:ligatures w14:val="none"/>
        </w:rPr>
        <w:t>, J. 2009. (Re) analysing community empowerment: rationalities and technologies in Bristol's new deal for communities. Urban studies , 4(4), pp.849-875.</w:t>
      </w:r>
    </w:p>
    <w:p w14:paraId="5386B0B1"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r w:rsidRPr="00423F0D">
        <w:rPr>
          <w:rFonts w:ascii="Arial" w:hAnsi="Arial" w:cs="Arial"/>
          <w:kern w:val="0"/>
          <w:sz w:val="24"/>
          <w:szCs w:val="24"/>
          <w14:ligatures w14:val="none"/>
        </w:rPr>
        <w:t xml:space="preserve">MacQueen, K.M., </w:t>
      </w:r>
      <w:proofErr w:type="spellStart"/>
      <w:r w:rsidRPr="00423F0D">
        <w:rPr>
          <w:rFonts w:ascii="Arial" w:hAnsi="Arial" w:cs="Arial"/>
          <w:kern w:val="0"/>
          <w:sz w:val="24"/>
          <w:szCs w:val="24"/>
          <w14:ligatures w14:val="none"/>
        </w:rPr>
        <w:t>Bhan</w:t>
      </w:r>
      <w:proofErr w:type="spellEnd"/>
      <w:r w:rsidRPr="00423F0D">
        <w:rPr>
          <w:rFonts w:ascii="Arial" w:hAnsi="Arial" w:cs="Arial"/>
          <w:kern w:val="0"/>
          <w:sz w:val="24"/>
          <w:szCs w:val="24"/>
          <w14:ligatures w14:val="none"/>
        </w:rPr>
        <w:t xml:space="preserve">, A., </w:t>
      </w:r>
      <w:proofErr w:type="spellStart"/>
      <w:r w:rsidRPr="00423F0D">
        <w:rPr>
          <w:rFonts w:ascii="Arial" w:hAnsi="Arial" w:cs="Arial"/>
          <w:kern w:val="0"/>
          <w:sz w:val="24"/>
          <w:szCs w:val="24"/>
          <w14:ligatures w14:val="none"/>
        </w:rPr>
        <w:t>Frohlich</w:t>
      </w:r>
      <w:proofErr w:type="spellEnd"/>
      <w:r w:rsidRPr="00423F0D">
        <w:rPr>
          <w:rFonts w:ascii="Arial" w:hAnsi="Arial" w:cs="Arial"/>
          <w:kern w:val="0"/>
          <w:sz w:val="24"/>
          <w:szCs w:val="24"/>
          <w14:ligatures w14:val="none"/>
        </w:rPr>
        <w:t xml:space="preserve">, J., </w:t>
      </w:r>
      <w:proofErr w:type="spellStart"/>
      <w:r w:rsidRPr="00423F0D">
        <w:rPr>
          <w:rFonts w:ascii="Arial" w:hAnsi="Arial" w:cs="Arial"/>
          <w:kern w:val="0"/>
          <w:sz w:val="24"/>
          <w:szCs w:val="24"/>
          <w14:ligatures w14:val="none"/>
        </w:rPr>
        <w:t>Holzer</w:t>
      </w:r>
      <w:proofErr w:type="spellEnd"/>
      <w:r w:rsidRPr="00423F0D">
        <w:rPr>
          <w:rFonts w:ascii="Arial" w:hAnsi="Arial" w:cs="Arial"/>
          <w:kern w:val="0"/>
          <w:sz w:val="24"/>
          <w:szCs w:val="24"/>
          <w14:ligatures w14:val="none"/>
        </w:rPr>
        <w:t xml:space="preserve">, J. and </w:t>
      </w:r>
      <w:proofErr w:type="spellStart"/>
      <w:r w:rsidRPr="00423F0D">
        <w:rPr>
          <w:rFonts w:ascii="Arial" w:hAnsi="Arial" w:cs="Arial"/>
          <w:kern w:val="0"/>
          <w:sz w:val="24"/>
          <w:szCs w:val="24"/>
          <w14:ligatures w14:val="none"/>
        </w:rPr>
        <w:t>Sugarman</w:t>
      </w:r>
      <w:proofErr w:type="spellEnd"/>
      <w:r w:rsidRPr="00423F0D">
        <w:rPr>
          <w:rFonts w:ascii="Arial" w:hAnsi="Arial" w:cs="Arial"/>
          <w:kern w:val="0"/>
          <w:sz w:val="24"/>
          <w:szCs w:val="24"/>
          <w14:ligatures w14:val="none"/>
        </w:rPr>
        <w:t>, J., 2015. Evaluating community engagement in global health research: the need for metrics. BMC Medical Ethics, 16(1), pp.1-9</w:t>
      </w:r>
    </w:p>
    <w:p w14:paraId="713557A1"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r w:rsidRPr="00423F0D">
        <w:rPr>
          <w:rFonts w:ascii="Arial" w:hAnsi="Arial" w:cs="Arial"/>
          <w:kern w:val="0"/>
          <w:sz w:val="24"/>
          <w:szCs w:val="24"/>
          <w14:ligatures w14:val="none"/>
        </w:rPr>
        <w:t xml:space="preserve">Milliken, F.J., </w:t>
      </w:r>
      <w:proofErr w:type="spellStart"/>
      <w:r w:rsidRPr="00423F0D">
        <w:rPr>
          <w:rFonts w:ascii="Arial" w:hAnsi="Arial" w:cs="Arial"/>
          <w:kern w:val="0"/>
          <w:sz w:val="24"/>
          <w:szCs w:val="24"/>
          <w14:ligatures w14:val="none"/>
        </w:rPr>
        <w:t>Schipani</w:t>
      </w:r>
      <w:proofErr w:type="spellEnd"/>
      <w:r w:rsidRPr="00423F0D">
        <w:rPr>
          <w:rFonts w:ascii="Arial" w:hAnsi="Arial" w:cs="Arial"/>
          <w:kern w:val="0"/>
          <w:sz w:val="24"/>
          <w:szCs w:val="24"/>
          <w14:ligatures w14:val="none"/>
        </w:rPr>
        <w:t xml:space="preserve">, C.A., </w:t>
      </w:r>
      <w:proofErr w:type="spellStart"/>
      <w:r w:rsidRPr="00423F0D">
        <w:rPr>
          <w:rFonts w:ascii="Arial" w:hAnsi="Arial" w:cs="Arial"/>
          <w:kern w:val="0"/>
          <w:sz w:val="24"/>
          <w:szCs w:val="24"/>
          <w14:ligatures w14:val="none"/>
        </w:rPr>
        <w:t>Bishara</w:t>
      </w:r>
      <w:proofErr w:type="spellEnd"/>
      <w:r w:rsidRPr="00423F0D">
        <w:rPr>
          <w:rFonts w:ascii="Arial" w:hAnsi="Arial" w:cs="Arial"/>
          <w:kern w:val="0"/>
          <w:sz w:val="24"/>
          <w:szCs w:val="24"/>
          <w14:ligatures w14:val="none"/>
        </w:rPr>
        <w:t>, N.D. and Prado, A.M., 2015. Linking workplace practices to community engagement: The case for encouraging employee voice. Academy of Management Perspectives, 29(4), pp.405-421.</w:t>
      </w:r>
    </w:p>
    <w:p w14:paraId="266FB9D2"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r w:rsidRPr="00423F0D">
        <w:rPr>
          <w:rFonts w:ascii="Arial" w:hAnsi="Arial" w:cs="Arial"/>
          <w:kern w:val="0"/>
          <w:sz w:val="24"/>
          <w:szCs w:val="24"/>
          <w14:ligatures w14:val="none"/>
        </w:rPr>
        <w:t>New Deal for Communities national evaluation phase 2. 2015. Centre for Regional Economic and Social Research Department for Communities and Local Government.</w:t>
      </w:r>
    </w:p>
    <w:p w14:paraId="27386A35"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proofErr w:type="spellStart"/>
      <w:r w:rsidRPr="00423F0D">
        <w:rPr>
          <w:rFonts w:ascii="Arial" w:hAnsi="Arial" w:cs="Arial"/>
          <w:kern w:val="0"/>
          <w:sz w:val="24"/>
          <w:szCs w:val="24"/>
          <w14:ligatures w14:val="none"/>
        </w:rPr>
        <w:t>Tallon</w:t>
      </w:r>
      <w:proofErr w:type="spellEnd"/>
      <w:r w:rsidRPr="00423F0D">
        <w:rPr>
          <w:rFonts w:ascii="Arial" w:hAnsi="Arial" w:cs="Arial"/>
          <w:kern w:val="0"/>
          <w:sz w:val="24"/>
          <w:szCs w:val="24"/>
          <w14:ligatures w14:val="none"/>
        </w:rPr>
        <w:t xml:space="preserve">, A., 2020. Urban Regeneration in the UK. </w:t>
      </w:r>
      <w:proofErr w:type="spellStart"/>
      <w:r w:rsidRPr="00423F0D">
        <w:rPr>
          <w:rFonts w:ascii="Arial" w:hAnsi="Arial" w:cs="Arial"/>
          <w:kern w:val="0"/>
          <w:sz w:val="24"/>
          <w:szCs w:val="24"/>
          <w14:ligatures w14:val="none"/>
        </w:rPr>
        <w:t>Routledge</w:t>
      </w:r>
      <w:proofErr w:type="spellEnd"/>
      <w:r w:rsidRPr="00423F0D">
        <w:rPr>
          <w:rFonts w:ascii="Arial" w:hAnsi="Arial" w:cs="Arial"/>
          <w:kern w:val="0"/>
          <w:sz w:val="24"/>
          <w:szCs w:val="24"/>
          <w14:ligatures w14:val="none"/>
        </w:rPr>
        <w:t>.</w:t>
      </w:r>
    </w:p>
    <w:p w14:paraId="3A4F4095" w14:textId="77777777" w:rsidR="00423F0D" w:rsidRPr="00423F0D" w:rsidRDefault="00423F0D" w:rsidP="00423F0D">
      <w:pPr>
        <w:numPr>
          <w:ilvl w:val="0"/>
          <w:numId w:val="1"/>
        </w:numPr>
        <w:spacing w:line="360" w:lineRule="auto"/>
        <w:jc w:val="both"/>
        <w:rPr>
          <w:rFonts w:ascii="Arial" w:hAnsi="Arial" w:cs="Arial"/>
          <w:kern w:val="0"/>
          <w:sz w:val="24"/>
          <w:szCs w:val="24"/>
          <w14:ligatures w14:val="none"/>
        </w:rPr>
      </w:pPr>
      <w:r w:rsidRPr="00423F0D">
        <w:rPr>
          <w:rFonts w:ascii="Arial" w:hAnsi="Arial" w:cs="Arial"/>
          <w:kern w:val="0"/>
          <w:sz w:val="24"/>
          <w:szCs w:val="24"/>
          <w14:ligatures w14:val="none"/>
        </w:rPr>
        <w:t xml:space="preserve">Weaver, L.A., Bingham, E., </w:t>
      </w:r>
      <w:proofErr w:type="spellStart"/>
      <w:r w:rsidRPr="00423F0D">
        <w:rPr>
          <w:rFonts w:ascii="Arial" w:hAnsi="Arial" w:cs="Arial"/>
          <w:kern w:val="0"/>
          <w:sz w:val="24"/>
          <w:szCs w:val="24"/>
          <w14:ligatures w14:val="none"/>
        </w:rPr>
        <w:t>Luo</w:t>
      </w:r>
      <w:proofErr w:type="spellEnd"/>
      <w:r w:rsidRPr="00423F0D">
        <w:rPr>
          <w:rFonts w:ascii="Arial" w:hAnsi="Arial" w:cs="Arial"/>
          <w:kern w:val="0"/>
          <w:sz w:val="24"/>
          <w:szCs w:val="24"/>
          <w14:ligatures w14:val="none"/>
        </w:rPr>
        <w:t>, K., Juarez, A.P. and Taylor, J.L., 2021. What do we really mean by "inclusion?": The importance of terminology when discussing approaches to community engagement. Autism, 25(8), pp.2149-2151</w:t>
      </w:r>
    </w:p>
    <w:p w14:paraId="0D6D58FE" w14:textId="77777777" w:rsidR="00423F0D" w:rsidRPr="00423F0D" w:rsidRDefault="00423F0D" w:rsidP="00423F0D">
      <w:pPr>
        <w:numPr>
          <w:ilvl w:val="0"/>
          <w:numId w:val="1"/>
        </w:numPr>
        <w:spacing w:before="100" w:beforeAutospacing="1" w:after="100" w:afterAutospacing="1" w:line="360" w:lineRule="auto"/>
        <w:jc w:val="both"/>
        <w:rPr>
          <w:rFonts w:ascii="Arial" w:hAnsi="Arial" w:cs="Arial"/>
          <w:color w:val="000000"/>
          <w:kern w:val="0"/>
          <w:sz w:val="26"/>
          <w:szCs w:val="26"/>
          <w14:ligatures w14:val="none"/>
        </w:rPr>
      </w:pPr>
      <w:r w:rsidRPr="00423F0D">
        <w:rPr>
          <w:rFonts w:ascii="Arial" w:hAnsi="Arial" w:cs="Arial"/>
          <w:color w:val="000000"/>
          <w:kern w:val="0"/>
          <w:sz w:val="26"/>
          <w:szCs w:val="26"/>
          <w14:ligatures w14:val="none"/>
        </w:rPr>
        <w:t>LCBB4002.docx - Community engagement. LCBB4002: Business Management Community engagement . student name: Course: Institution: Tutor: Date: 1 community: Course hero (no date) Course. Available at: https://www.coursehero.com/u/file/163360466/LCBB4002docx/?justUnlocked=1 (Accessed: 07 November 2023). </w:t>
      </w:r>
    </w:p>
    <w:p w14:paraId="6A74751F" w14:textId="77777777" w:rsidR="00007B40" w:rsidRPr="00455826" w:rsidRDefault="00007B40" w:rsidP="00455826">
      <w:pPr>
        <w:pStyle w:val="NormalWeb"/>
        <w:numPr>
          <w:ilvl w:val="0"/>
          <w:numId w:val="1"/>
        </w:numPr>
        <w:spacing w:line="360" w:lineRule="auto"/>
        <w:jc w:val="both"/>
        <w:divId w:val="1329673759"/>
        <w:rPr>
          <w:rFonts w:ascii="Arial" w:hAnsi="Arial" w:cs="Arial"/>
          <w:color w:val="000000"/>
        </w:rPr>
      </w:pPr>
      <w:r w:rsidRPr="00455826">
        <w:rPr>
          <w:rFonts w:ascii="Arial" w:hAnsi="Arial" w:cs="Arial"/>
          <w:i/>
          <w:iCs/>
          <w:color w:val="000000"/>
        </w:rPr>
        <w:t>Research anthology on service learning and community engagement teaching practices</w:t>
      </w:r>
      <w:r w:rsidRPr="00455826">
        <w:rPr>
          <w:rStyle w:val="apple-converted-space"/>
          <w:rFonts w:ascii="Arial" w:hAnsi="Arial" w:cs="Arial"/>
          <w:color w:val="000000"/>
        </w:rPr>
        <w:t> </w:t>
      </w:r>
      <w:r w:rsidRPr="00455826">
        <w:rPr>
          <w:rFonts w:ascii="Arial" w:hAnsi="Arial" w:cs="Arial"/>
          <w:color w:val="000000"/>
        </w:rPr>
        <w:t>(2022). Hershey, PA: Information Science Reference, an imprint of IGI Global.</w:t>
      </w:r>
      <w:r w:rsidRPr="00455826">
        <w:rPr>
          <w:rStyle w:val="apple-converted-space"/>
          <w:rFonts w:ascii="Arial" w:hAnsi="Arial" w:cs="Arial"/>
          <w:color w:val="000000"/>
        </w:rPr>
        <w:t> </w:t>
      </w:r>
    </w:p>
    <w:p w14:paraId="39442CB3" w14:textId="77777777" w:rsidR="00805471" w:rsidRPr="00455826" w:rsidRDefault="00805471" w:rsidP="00455826">
      <w:pPr>
        <w:pStyle w:val="NormalWeb"/>
        <w:numPr>
          <w:ilvl w:val="0"/>
          <w:numId w:val="1"/>
        </w:numPr>
        <w:spacing w:line="360" w:lineRule="auto"/>
        <w:jc w:val="both"/>
        <w:divId w:val="691762752"/>
        <w:rPr>
          <w:rFonts w:ascii="Arial" w:hAnsi="Arial" w:cs="Arial"/>
          <w:color w:val="000000"/>
        </w:rPr>
      </w:pPr>
      <w:r w:rsidRPr="00455826">
        <w:rPr>
          <w:rFonts w:ascii="Arial" w:hAnsi="Arial" w:cs="Arial"/>
          <w:color w:val="000000"/>
        </w:rPr>
        <w:t xml:space="preserve">Crawford, P. and </w:t>
      </w:r>
      <w:proofErr w:type="spellStart"/>
      <w:r w:rsidRPr="00455826">
        <w:rPr>
          <w:rFonts w:ascii="Arial" w:hAnsi="Arial" w:cs="Arial"/>
          <w:color w:val="000000"/>
        </w:rPr>
        <w:t>Berquist</w:t>
      </w:r>
      <w:proofErr w:type="spellEnd"/>
      <w:r w:rsidRPr="00455826">
        <w:rPr>
          <w:rFonts w:ascii="Arial" w:hAnsi="Arial" w:cs="Arial"/>
          <w:color w:val="000000"/>
        </w:rPr>
        <w:t>, B. (2020)</w:t>
      </w:r>
      <w:r w:rsidRPr="00455826">
        <w:rPr>
          <w:rStyle w:val="apple-converted-space"/>
          <w:rFonts w:ascii="Arial" w:hAnsi="Arial" w:cs="Arial"/>
          <w:color w:val="000000"/>
        </w:rPr>
        <w:t> </w:t>
      </w:r>
      <w:r w:rsidRPr="00455826">
        <w:rPr>
          <w:rFonts w:ascii="Arial" w:hAnsi="Arial" w:cs="Arial"/>
          <w:i/>
          <w:iCs/>
          <w:color w:val="000000"/>
        </w:rPr>
        <w:t>Community engagement abroad: Perspectives and practices on service, engagement, and learning overseas</w:t>
      </w:r>
      <w:r w:rsidRPr="00455826">
        <w:rPr>
          <w:rFonts w:ascii="Arial" w:hAnsi="Arial" w:cs="Arial"/>
          <w:color w:val="000000"/>
        </w:rPr>
        <w:t>. East Lansing: Michigan State University Press.</w:t>
      </w:r>
      <w:r w:rsidRPr="00455826">
        <w:rPr>
          <w:rStyle w:val="apple-converted-space"/>
          <w:rFonts w:ascii="Arial" w:hAnsi="Arial" w:cs="Arial"/>
          <w:color w:val="000000"/>
        </w:rPr>
        <w:t> </w:t>
      </w:r>
    </w:p>
    <w:p w14:paraId="3D1E86C5" w14:textId="77777777" w:rsidR="00B45A41" w:rsidRPr="00455826" w:rsidRDefault="00B45A41" w:rsidP="00455826">
      <w:pPr>
        <w:pStyle w:val="NormalWeb"/>
        <w:numPr>
          <w:ilvl w:val="0"/>
          <w:numId w:val="1"/>
        </w:numPr>
        <w:spacing w:line="360" w:lineRule="auto"/>
        <w:jc w:val="both"/>
        <w:divId w:val="2022464980"/>
        <w:rPr>
          <w:rFonts w:ascii="Arial" w:hAnsi="Arial" w:cs="Arial"/>
          <w:color w:val="000000"/>
        </w:rPr>
      </w:pPr>
      <w:proofErr w:type="spellStart"/>
      <w:r w:rsidRPr="00455826">
        <w:rPr>
          <w:rFonts w:ascii="Arial" w:hAnsi="Arial" w:cs="Arial"/>
          <w:color w:val="000000"/>
        </w:rPr>
        <w:t>Heppler</w:t>
      </w:r>
      <w:proofErr w:type="spellEnd"/>
      <w:r w:rsidRPr="00455826">
        <w:rPr>
          <w:rFonts w:ascii="Arial" w:hAnsi="Arial" w:cs="Arial"/>
          <w:color w:val="000000"/>
        </w:rPr>
        <w:t>, R.W.J. (2020)</w:t>
      </w:r>
      <w:r w:rsidRPr="00455826">
        <w:rPr>
          <w:rStyle w:val="apple-converted-space"/>
          <w:rFonts w:ascii="Arial" w:hAnsi="Arial" w:cs="Arial"/>
          <w:color w:val="000000"/>
        </w:rPr>
        <w:t> </w:t>
      </w:r>
      <w:r w:rsidRPr="00455826">
        <w:rPr>
          <w:rFonts w:ascii="Arial" w:hAnsi="Arial" w:cs="Arial"/>
          <w:i/>
          <w:iCs/>
          <w:color w:val="000000"/>
        </w:rPr>
        <w:t>Digital Community engagement</w:t>
      </w:r>
      <w:r w:rsidRPr="00455826">
        <w:rPr>
          <w:rFonts w:ascii="Arial" w:hAnsi="Arial" w:cs="Arial"/>
          <w:color w:val="000000"/>
        </w:rPr>
        <w:t>. University of Cincinnati Press.</w:t>
      </w:r>
      <w:r w:rsidRPr="00455826">
        <w:rPr>
          <w:rStyle w:val="apple-converted-space"/>
          <w:rFonts w:ascii="Arial" w:hAnsi="Arial" w:cs="Arial"/>
          <w:color w:val="000000"/>
        </w:rPr>
        <w:t> </w:t>
      </w:r>
    </w:p>
    <w:p w14:paraId="65481A52" w14:textId="77777777" w:rsidR="00DB2A4F" w:rsidRPr="00455826" w:rsidRDefault="00DB2A4F" w:rsidP="00455826">
      <w:pPr>
        <w:pStyle w:val="NormalWeb"/>
        <w:numPr>
          <w:ilvl w:val="0"/>
          <w:numId w:val="1"/>
        </w:numPr>
        <w:spacing w:line="360" w:lineRule="auto"/>
        <w:jc w:val="both"/>
        <w:divId w:val="2076706972"/>
        <w:rPr>
          <w:rFonts w:ascii="Arial" w:hAnsi="Arial" w:cs="Arial"/>
          <w:color w:val="000000"/>
        </w:rPr>
      </w:pPr>
      <w:r w:rsidRPr="00455826">
        <w:rPr>
          <w:rFonts w:ascii="Arial" w:hAnsi="Arial" w:cs="Arial"/>
          <w:color w:val="000000"/>
        </w:rPr>
        <w:t xml:space="preserve">(No date) ‘Community engagement is ... : revisiting Boyer’s model of scholarship Renwick, Kerry ; </w:t>
      </w:r>
      <w:proofErr w:type="spellStart"/>
      <w:r w:rsidRPr="00455826">
        <w:rPr>
          <w:rFonts w:ascii="Arial" w:hAnsi="Arial" w:cs="Arial"/>
          <w:color w:val="000000"/>
        </w:rPr>
        <w:t>Selkrig</w:t>
      </w:r>
      <w:proofErr w:type="spellEnd"/>
      <w:r w:rsidRPr="00455826">
        <w:rPr>
          <w:rFonts w:ascii="Arial" w:hAnsi="Arial" w:cs="Arial"/>
          <w:color w:val="000000"/>
        </w:rPr>
        <w:t xml:space="preserve">, Mark ; </w:t>
      </w:r>
      <w:proofErr w:type="spellStart"/>
      <w:r w:rsidRPr="00455826">
        <w:rPr>
          <w:rFonts w:ascii="Arial" w:hAnsi="Arial" w:cs="Arial"/>
          <w:color w:val="000000"/>
        </w:rPr>
        <w:t>Manathunga</w:t>
      </w:r>
      <w:proofErr w:type="spellEnd"/>
      <w:r w:rsidRPr="00455826">
        <w:rPr>
          <w:rFonts w:ascii="Arial" w:hAnsi="Arial" w:cs="Arial"/>
          <w:color w:val="000000"/>
        </w:rPr>
        <w:t xml:space="preserve">, Catherine ; </w:t>
      </w:r>
      <w:proofErr w:type="spellStart"/>
      <w:r w:rsidRPr="00455826">
        <w:rPr>
          <w:rFonts w:ascii="Arial" w:hAnsi="Arial" w:cs="Arial"/>
          <w:color w:val="000000"/>
        </w:rPr>
        <w:t>Keamy</w:t>
      </w:r>
      <w:proofErr w:type="spellEnd"/>
      <w:r w:rsidRPr="00455826">
        <w:rPr>
          <w:rFonts w:ascii="Arial" w:hAnsi="Arial" w:cs="Arial"/>
          <w:color w:val="000000"/>
        </w:rPr>
        <w:t xml:space="preserve">, Ron “Kim” </w:t>
      </w:r>
      <w:proofErr w:type="spellStart"/>
      <w:r w:rsidRPr="00455826">
        <w:rPr>
          <w:rFonts w:ascii="Arial" w:hAnsi="Arial" w:cs="Arial"/>
          <w:color w:val="000000"/>
        </w:rPr>
        <w:t>Routledge</w:t>
      </w:r>
      <w:proofErr w:type="spellEnd"/>
      <w:r w:rsidRPr="00455826">
        <w:rPr>
          <w:rFonts w:ascii="Arial" w:hAnsi="Arial" w:cs="Arial"/>
          <w:color w:val="000000"/>
        </w:rPr>
        <w:t>; Higher education research and development, 2020, Vol.39 (6), p.1232-1246’.</w:t>
      </w:r>
      <w:r w:rsidRPr="00455826">
        <w:rPr>
          <w:rStyle w:val="apple-converted-space"/>
          <w:rFonts w:ascii="Arial" w:hAnsi="Arial" w:cs="Arial"/>
          <w:color w:val="000000"/>
        </w:rPr>
        <w:t> </w:t>
      </w:r>
    </w:p>
    <w:p w14:paraId="43519468" w14:textId="77777777" w:rsidR="005D4075" w:rsidRPr="00455826" w:rsidRDefault="005D4075" w:rsidP="00455826">
      <w:pPr>
        <w:pStyle w:val="NormalWeb"/>
        <w:numPr>
          <w:ilvl w:val="0"/>
          <w:numId w:val="1"/>
        </w:numPr>
        <w:spacing w:line="360" w:lineRule="auto"/>
        <w:jc w:val="both"/>
        <w:divId w:val="480578469"/>
        <w:rPr>
          <w:rFonts w:ascii="Arial" w:hAnsi="Arial" w:cs="Arial"/>
          <w:color w:val="000000"/>
        </w:rPr>
      </w:pPr>
      <w:r w:rsidRPr="00455826">
        <w:rPr>
          <w:rFonts w:ascii="Arial" w:hAnsi="Arial" w:cs="Arial"/>
          <w:color w:val="000000"/>
        </w:rPr>
        <w:t>Parker, P.S. (2020)</w:t>
      </w:r>
      <w:r w:rsidRPr="00455826">
        <w:rPr>
          <w:rStyle w:val="apple-converted-space"/>
          <w:rFonts w:ascii="Arial" w:hAnsi="Arial" w:cs="Arial"/>
          <w:color w:val="000000"/>
        </w:rPr>
        <w:t> </w:t>
      </w:r>
      <w:r w:rsidRPr="00455826">
        <w:rPr>
          <w:rFonts w:ascii="Arial" w:hAnsi="Arial" w:cs="Arial"/>
          <w:i/>
          <w:iCs/>
          <w:color w:val="000000"/>
        </w:rPr>
        <w:t>Ella Baker’s catalytic leadership. A Primer on Community Engagement and Communication for Social Justice</w:t>
      </w:r>
      <w:r w:rsidRPr="00455826">
        <w:rPr>
          <w:rFonts w:ascii="Arial" w:hAnsi="Arial" w:cs="Arial"/>
          <w:color w:val="000000"/>
        </w:rPr>
        <w:t>. Berkeley: University of California Press.</w:t>
      </w:r>
      <w:r w:rsidRPr="00455826">
        <w:rPr>
          <w:rStyle w:val="apple-converted-space"/>
          <w:rFonts w:ascii="Arial" w:hAnsi="Arial" w:cs="Arial"/>
          <w:color w:val="000000"/>
        </w:rPr>
        <w:t> </w:t>
      </w:r>
    </w:p>
    <w:p w14:paraId="20F0AA0C" w14:textId="77777777" w:rsidR="00423F0D" w:rsidRDefault="00423F0D" w:rsidP="00455826">
      <w:pPr>
        <w:pStyle w:val="ListParagraph"/>
      </w:pPr>
    </w:p>
    <w:sectPr w:rsidR="00423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AppleSystemUIFont">
    <w:altName w:val="Arial"/>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5F05"/>
    <w:multiLevelType w:val="hybridMultilevel"/>
    <w:tmpl w:val="978C3E9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6691A"/>
    <w:multiLevelType w:val="hybridMultilevel"/>
    <w:tmpl w:val="98E86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E46CE3"/>
    <w:multiLevelType w:val="hybridMultilevel"/>
    <w:tmpl w:val="CFA6B24A"/>
    <w:lvl w:ilvl="0" w:tplc="FFFFFFF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4424346">
    <w:abstractNumId w:val="1"/>
  </w:num>
  <w:num w:numId="2" w16cid:durableId="378169829">
    <w:abstractNumId w:val="0"/>
  </w:num>
  <w:num w:numId="3" w16cid:durableId="445852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F0D"/>
    <w:rsid w:val="00007B40"/>
    <w:rsid w:val="00423F0D"/>
    <w:rsid w:val="00455826"/>
    <w:rsid w:val="005D4075"/>
    <w:rsid w:val="005E0E00"/>
    <w:rsid w:val="00667802"/>
    <w:rsid w:val="00805471"/>
    <w:rsid w:val="009F5A4E"/>
    <w:rsid w:val="00B45A41"/>
    <w:rsid w:val="00C902B0"/>
    <w:rsid w:val="00DB2A4F"/>
    <w:rsid w:val="00ED5320"/>
    <w:rsid w:val="00F90616"/>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ecimalSymbol w:val="."/>
  <w:listSeparator w:val=","/>
  <w14:docId w14:val="7923E4FE"/>
  <w15:chartTrackingRefBased/>
  <w15:docId w15:val="{7E01F56D-3650-D843-A5A9-1D8454F0D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lang w:val="en-GB" w:eastAsia="en-GB" w:bidi="hi-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3F0D"/>
    <w:pPr>
      <w:ind w:left="720"/>
      <w:contextualSpacing/>
    </w:pPr>
    <w:rPr>
      <w:rFonts w:cstheme="minorBidi"/>
    </w:rPr>
  </w:style>
  <w:style w:type="paragraph" w:customStyle="1" w:styleId="p1">
    <w:name w:val="p1"/>
    <w:basedOn w:val="Normal"/>
    <w:rsid w:val="00423F0D"/>
    <w:rPr>
      <w:rFonts w:ascii=".AppleSystemUIFont" w:hAnsi=".AppleSystemUIFont" w:cs="Times New Roman"/>
      <w:kern w:val="0"/>
      <w:sz w:val="26"/>
      <w:szCs w:val="26"/>
      <w14:ligatures w14:val="none"/>
    </w:rPr>
  </w:style>
  <w:style w:type="paragraph" w:customStyle="1" w:styleId="p2">
    <w:name w:val="p2"/>
    <w:basedOn w:val="Normal"/>
    <w:rsid w:val="00423F0D"/>
    <w:rPr>
      <w:rFonts w:ascii=".AppleSystemUIFont" w:hAnsi=".AppleSystemUIFont" w:cs="Times New Roman"/>
      <w:kern w:val="0"/>
      <w:sz w:val="26"/>
      <w:szCs w:val="26"/>
      <w14:ligatures w14:val="none"/>
    </w:rPr>
  </w:style>
  <w:style w:type="character" w:customStyle="1" w:styleId="s1">
    <w:name w:val="s1"/>
    <w:basedOn w:val="DefaultParagraphFont"/>
    <w:rsid w:val="00423F0D"/>
    <w:rPr>
      <w:rFonts w:ascii="UICTFontTextStyleBody" w:hAnsi="UICTFontTextStyleBody" w:hint="default"/>
      <w:b w:val="0"/>
      <w:bCs w:val="0"/>
      <w:i w:val="0"/>
      <w:iCs w:val="0"/>
      <w:sz w:val="26"/>
      <w:szCs w:val="26"/>
    </w:rPr>
  </w:style>
  <w:style w:type="paragraph" w:styleId="NormalWeb">
    <w:name w:val="Normal (Web)"/>
    <w:basedOn w:val="Normal"/>
    <w:uiPriority w:val="99"/>
    <w:semiHidden/>
    <w:unhideWhenUsed/>
    <w:rsid w:val="00423F0D"/>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423F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578469">
      <w:bodyDiv w:val="1"/>
      <w:marLeft w:val="0"/>
      <w:marRight w:val="0"/>
      <w:marTop w:val="0"/>
      <w:marBottom w:val="0"/>
      <w:divBdr>
        <w:top w:val="none" w:sz="0" w:space="0" w:color="auto"/>
        <w:left w:val="none" w:sz="0" w:space="0" w:color="auto"/>
        <w:bottom w:val="none" w:sz="0" w:space="0" w:color="auto"/>
        <w:right w:val="none" w:sz="0" w:space="0" w:color="auto"/>
      </w:divBdr>
    </w:div>
    <w:div w:id="691762752">
      <w:bodyDiv w:val="1"/>
      <w:marLeft w:val="0"/>
      <w:marRight w:val="0"/>
      <w:marTop w:val="0"/>
      <w:marBottom w:val="0"/>
      <w:divBdr>
        <w:top w:val="none" w:sz="0" w:space="0" w:color="auto"/>
        <w:left w:val="none" w:sz="0" w:space="0" w:color="auto"/>
        <w:bottom w:val="none" w:sz="0" w:space="0" w:color="auto"/>
        <w:right w:val="none" w:sz="0" w:space="0" w:color="auto"/>
      </w:divBdr>
    </w:div>
    <w:div w:id="1329673759">
      <w:bodyDiv w:val="1"/>
      <w:marLeft w:val="0"/>
      <w:marRight w:val="0"/>
      <w:marTop w:val="0"/>
      <w:marBottom w:val="0"/>
      <w:divBdr>
        <w:top w:val="none" w:sz="0" w:space="0" w:color="auto"/>
        <w:left w:val="none" w:sz="0" w:space="0" w:color="auto"/>
        <w:bottom w:val="none" w:sz="0" w:space="0" w:color="auto"/>
        <w:right w:val="none" w:sz="0" w:space="0" w:color="auto"/>
      </w:divBdr>
    </w:div>
    <w:div w:id="2022464980">
      <w:bodyDiv w:val="1"/>
      <w:marLeft w:val="0"/>
      <w:marRight w:val="0"/>
      <w:marTop w:val="0"/>
      <w:marBottom w:val="0"/>
      <w:divBdr>
        <w:top w:val="none" w:sz="0" w:space="0" w:color="auto"/>
        <w:left w:val="none" w:sz="0" w:space="0" w:color="auto"/>
        <w:bottom w:val="none" w:sz="0" w:space="0" w:color="auto"/>
        <w:right w:val="none" w:sz="0" w:space="0" w:color="auto"/>
      </w:divBdr>
    </w:div>
    <w:div w:id="2076706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2598</Words>
  <Characters>14810</Characters>
  <Application>Microsoft Office Word</Application>
  <DocSecurity>0</DocSecurity>
  <Lines>123</Lines>
  <Paragraphs>34</Paragraphs>
  <ScaleCrop>false</ScaleCrop>
  <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Medeleanu Anca</dc:creator>
  <cp:keywords/>
  <dc:description/>
  <cp:lastModifiedBy>Medeleanu Anca</cp:lastModifiedBy>
  <cp:revision>13</cp:revision>
  <dcterms:created xsi:type="dcterms:W3CDTF">2023-11-09T13:52:00Z</dcterms:created>
  <dcterms:modified xsi:type="dcterms:W3CDTF">2023-11-10T01:16:00Z</dcterms:modified>
</cp:coreProperties>
</file>