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9C48F3" w:rsidRDefault="00ED1049" w:rsidP="00ED1049">
      <w:pPr>
        <w:ind w:left="426"/>
        <w:rPr>
          <w:rFonts w:ascii="Arial" w:hAnsi="Arial" w:cs="Arial"/>
        </w:rPr>
      </w:pPr>
    </w:p>
    <w:p w14:paraId="3A253CFB" w14:textId="77777777" w:rsidR="00ED1049" w:rsidRPr="009C48F3" w:rsidRDefault="00ED1049" w:rsidP="00ED1049">
      <w:pPr>
        <w:spacing w:line="360" w:lineRule="auto"/>
        <w:ind w:left="426"/>
        <w:rPr>
          <w:rFonts w:ascii="Arial" w:hAnsi="Arial" w:cs="Arial"/>
          <w:szCs w:val="24"/>
        </w:rPr>
      </w:pPr>
      <w:r w:rsidRPr="009C48F3">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9C48F3" w:rsidRDefault="00ED1049" w:rsidP="00ED1049">
      <w:pPr>
        <w:spacing w:line="360" w:lineRule="auto"/>
        <w:ind w:left="426"/>
        <w:rPr>
          <w:rFonts w:ascii="Arial" w:hAnsi="Arial" w:cs="Arial"/>
          <w:szCs w:val="24"/>
        </w:rPr>
      </w:pPr>
    </w:p>
    <w:p w14:paraId="605068F9" w14:textId="77777777" w:rsidR="00ED1049" w:rsidRPr="009C48F3" w:rsidRDefault="00ED1049" w:rsidP="00ED1049">
      <w:pPr>
        <w:spacing w:line="360" w:lineRule="auto"/>
        <w:ind w:left="426"/>
        <w:rPr>
          <w:rFonts w:ascii="Arial" w:hAnsi="Arial" w:cs="Arial"/>
          <w:szCs w:val="24"/>
        </w:rPr>
      </w:pPr>
    </w:p>
    <w:p w14:paraId="07D80CAD" w14:textId="77777777" w:rsidR="00ED1049" w:rsidRPr="009C48F3" w:rsidRDefault="00ED1049" w:rsidP="00ED1049">
      <w:pPr>
        <w:spacing w:line="360" w:lineRule="auto"/>
        <w:ind w:left="426"/>
        <w:rPr>
          <w:rFonts w:ascii="Arial" w:hAnsi="Arial" w:cs="Arial"/>
          <w:szCs w:val="24"/>
        </w:rPr>
      </w:pPr>
    </w:p>
    <w:p w14:paraId="066AF1C3" w14:textId="77777777" w:rsidR="00ED1049" w:rsidRPr="009C48F3" w:rsidRDefault="00ED1049" w:rsidP="00ED1049">
      <w:pPr>
        <w:tabs>
          <w:tab w:val="left" w:pos="6540"/>
        </w:tabs>
        <w:spacing w:line="360" w:lineRule="auto"/>
        <w:ind w:left="426"/>
        <w:rPr>
          <w:rFonts w:ascii="Arial" w:hAnsi="Arial" w:cs="Arial"/>
          <w:sz w:val="28"/>
          <w:szCs w:val="28"/>
        </w:rPr>
      </w:pPr>
    </w:p>
    <w:p w14:paraId="4FC9800F" w14:textId="74CA70BC" w:rsidR="00ED1049" w:rsidRPr="009C48F3" w:rsidRDefault="00ED1049" w:rsidP="00ED1049">
      <w:pPr>
        <w:tabs>
          <w:tab w:val="left" w:pos="6540"/>
        </w:tabs>
        <w:spacing w:line="360" w:lineRule="auto"/>
        <w:ind w:left="426"/>
        <w:rPr>
          <w:rFonts w:ascii="Arial" w:hAnsi="Arial" w:cs="Arial"/>
          <w:sz w:val="28"/>
          <w:szCs w:val="28"/>
        </w:rPr>
      </w:pPr>
      <w:r w:rsidRPr="009C48F3">
        <w:rPr>
          <w:rFonts w:ascii="Arial" w:hAnsi="Arial" w:cs="Arial"/>
          <w:b/>
          <w:bCs/>
          <w:sz w:val="28"/>
          <w:szCs w:val="28"/>
        </w:rPr>
        <w:t>Student name</w:t>
      </w:r>
      <w:r w:rsidRPr="009C48F3">
        <w:rPr>
          <w:rFonts w:ascii="Arial" w:hAnsi="Arial" w:cs="Arial"/>
          <w:sz w:val="28"/>
          <w:szCs w:val="28"/>
        </w:rPr>
        <w:t>:</w:t>
      </w:r>
      <w:r w:rsidR="002176E6" w:rsidRPr="009C48F3">
        <w:rPr>
          <w:rFonts w:ascii="Arial" w:hAnsi="Arial" w:cs="Arial"/>
          <w:sz w:val="28"/>
          <w:szCs w:val="28"/>
        </w:rPr>
        <w:t xml:space="preserve"> Monica Ana Oprea</w:t>
      </w:r>
    </w:p>
    <w:p w14:paraId="00429E76" w14:textId="608E77C1" w:rsidR="00ED1049" w:rsidRPr="009C48F3" w:rsidRDefault="00ED1049" w:rsidP="00ED1049">
      <w:pPr>
        <w:tabs>
          <w:tab w:val="left" w:pos="6540"/>
        </w:tabs>
        <w:spacing w:line="360" w:lineRule="auto"/>
        <w:ind w:left="426"/>
        <w:rPr>
          <w:rFonts w:ascii="Arial" w:hAnsi="Arial" w:cs="Arial"/>
          <w:sz w:val="28"/>
          <w:szCs w:val="28"/>
        </w:rPr>
      </w:pPr>
      <w:r w:rsidRPr="009C48F3">
        <w:rPr>
          <w:rFonts w:ascii="Arial" w:hAnsi="Arial" w:cs="Arial"/>
          <w:b/>
          <w:bCs/>
          <w:sz w:val="28"/>
          <w:szCs w:val="28"/>
        </w:rPr>
        <w:t>Student ID</w:t>
      </w:r>
      <w:r w:rsidRPr="009C48F3">
        <w:rPr>
          <w:rFonts w:ascii="Arial" w:hAnsi="Arial" w:cs="Arial"/>
          <w:sz w:val="28"/>
          <w:szCs w:val="28"/>
        </w:rPr>
        <w:t>:</w:t>
      </w:r>
      <w:r w:rsidR="002176E6" w:rsidRPr="009C48F3">
        <w:rPr>
          <w:rFonts w:ascii="Arial" w:hAnsi="Arial" w:cs="Arial"/>
          <w:sz w:val="28"/>
          <w:szCs w:val="28"/>
        </w:rPr>
        <w:t xml:space="preserve"> 2315596</w:t>
      </w:r>
    </w:p>
    <w:p w14:paraId="16C5D4A2" w14:textId="77777777" w:rsidR="00ED1049" w:rsidRPr="009C48F3" w:rsidRDefault="00ED1049" w:rsidP="00ED1049">
      <w:pPr>
        <w:tabs>
          <w:tab w:val="left" w:pos="6540"/>
        </w:tabs>
        <w:spacing w:line="360" w:lineRule="auto"/>
        <w:ind w:left="426"/>
        <w:rPr>
          <w:rFonts w:ascii="Arial" w:hAnsi="Arial" w:cs="Arial"/>
          <w:sz w:val="28"/>
          <w:szCs w:val="28"/>
        </w:rPr>
      </w:pPr>
    </w:p>
    <w:p w14:paraId="3E7B146F" w14:textId="61AF6A1A" w:rsidR="00ED1049" w:rsidRPr="009C48F3" w:rsidRDefault="00ED1049" w:rsidP="00ED1049">
      <w:pPr>
        <w:tabs>
          <w:tab w:val="left" w:pos="6540"/>
        </w:tabs>
        <w:spacing w:line="360" w:lineRule="auto"/>
        <w:ind w:left="426"/>
        <w:rPr>
          <w:rFonts w:ascii="Arial" w:hAnsi="Arial" w:cs="Arial"/>
          <w:sz w:val="28"/>
          <w:szCs w:val="28"/>
        </w:rPr>
      </w:pPr>
      <w:r w:rsidRPr="009C48F3">
        <w:rPr>
          <w:rFonts w:ascii="Arial" w:hAnsi="Arial" w:cs="Arial"/>
          <w:b/>
          <w:bCs/>
          <w:sz w:val="28"/>
          <w:szCs w:val="28"/>
        </w:rPr>
        <w:t>Module name</w:t>
      </w:r>
      <w:r w:rsidRPr="009C48F3">
        <w:rPr>
          <w:rFonts w:ascii="Arial" w:hAnsi="Arial" w:cs="Arial"/>
          <w:sz w:val="28"/>
          <w:szCs w:val="28"/>
        </w:rPr>
        <w:t xml:space="preserve">: </w:t>
      </w:r>
      <w:r w:rsidR="002176E6" w:rsidRPr="009C48F3">
        <w:rPr>
          <w:rFonts w:ascii="Arial" w:hAnsi="Arial" w:cs="Arial"/>
          <w:sz w:val="28"/>
          <w:szCs w:val="28"/>
        </w:rPr>
        <w:t>Independent Research</w:t>
      </w:r>
    </w:p>
    <w:p w14:paraId="12CBB668" w14:textId="53A5355F" w:rsidR="00ED1049" w:rsidRPr="009C48F3" w:rsidRDefault="00ED1049" w:rsidP="00ED1049">
      <w:pPr>
        <w:tabs>
          <w:tab w:val="left" w:pos="6540"/>
        </w:tabs>
        <w:spacing w:line="360" w:lineRule="auto"/>
        <w:ind w:left="426"/>
        <w:rPr>
          <w:rFonts w:ascii="Arial" w:hAnsi="Arial" w:cs="Arial"/>
          <w:sz w:val="28"/>
          <w:szCs w:val="28"/>
        </w:rPr>
      </w:pPr>
      <w:r w:rsidRPr="009C48F3">
        <w:rPr>
          <w:rFonts w:ascii="Arial" w:hAnsi="Arial" w:cs="Arial"/>
          <w:b/>
          <w:bCs/>
          <w:sz w:val="28"/>
          <w:szCs w:val="28"/>
        </w:rPr>
        <w:t>Module code</w:t>
      </w:r>
      <w:r w:rsidRPr="009C48F3">
        <w:rPr>
          <w:rFonts w:ascii="Arial" w:hAnsi="Arial" w:cs="Arial"/>
          <w:sz w:val="28"/>
          <w:szCs w:val="28"/>
        </w:rPr>
        <w:t>:</w:t>
      </w:r>
      <w:r w:rsidR="002176E6" w:rsidRPr="009C48F3">
        <w:rPr>
          <w:rFonts w:ascii="Arial" w:hAnsi="Arial" w:cs="Arial"/>
          <w:sz w:val="28"/>
          <w:szCs w:val="28"/>
        </w:rPr>
        <w:t xml:space="preserve"> BMHP6020</w:t>
      </w:r>
    </w:p>
    <w:p w14:paraId="2C2175CB" w14:textId="4837BE4C" w:rsidR="00ED1049" w:rsidRPr="009C48F3" w:rsidRDefault="006D2642" w:rsidP="00ED1049">
      <w:pPr>
        <w:tabs>
          <w:tab w:val="left" w:pos="6540"/>
        </w:tabs>
        <w:spacing w:line="360" w:lineRule="auto"/>
        <w:ind w:left="426"/>
        <w:rPr>
          <w:rFonts w:ascii="Arial" w:hAnsi="Arial" w:cs="Arial"/>
          <w:sz w:val="28"/>
          <w:szCs w:val="28"/>
        </w:rPr>
      </w:pPr>
      <w:r w:rsidRPr="009C48F3">
        <w:rPr>
          <w:rFonts w:ascii="Arial" w:hAnsi="Arial" w:cs="Arial"/>
          <w:b/>
          <w:bCs/>
          <w:sz w:val="28"/>
          <w:szCs w:val="28"/>
        </w:rPr>
        <w:t>Supervisor’s</w:t>
      </w:r>
      <w:r w:rsidR="00ED1049" w:rsidRPr="009C48F3">
        <w:rPr>
          <w:rFonts w:ascii="Arial" w:hAnsi="Arial" w:cs="Arial"/>
          <w:b/>
          <w:bCs/>
          <w:sz w:val="28"/>
          <w:szCs w:val="28"/>
        </w:rPr>
        <w:t xml:space="preserve"> name</w:t>
      </w:r>
      <w:r w:rsidR="00ED1049" w:rsidRPr="009C48F3">
        <w:rPr>
          <w:rFonts w:ascii="Arial" w:hAnsi="Arial" w:cs="Arial"/>
          <w:sz w:val="28"/>
          <w:szCs w:val="28"/>
        </w:rPr>
        <w:t>:</w:t>
      </w:r>
      <w:r w:rsidR="002176E6" w:rsidRPr="009C48F3">
        <w:rPr>
          <w:rFonts w:ascii="Arial" w:hAnsi="Arial" w:cs="Arial"/>
          <w:sz w:val="28"/>
          <w:szCs w:val="28"/>
        </w:rPr>
        <w:t xml:space="preserve"> Bianca Sanfilippo</w:t>
      </w:r>
    </w:p>
    <w:p w14:paraId="543861DF" w14:textId="77777777" w:rsidR="00ED1049" w:rsidRPr="009C48F3" w:rsidRDefault="00ED1049">
      <w:pPr>
        <w:rPr>
          <w:rFonts w:ascii="Arial" w:hAnsi="Arial" w:cs="Arial"/>
        </w:rPr>
      </w:pPr>
    </w:p>
    <w:p w14:paraId="160FF05C" w14:textId="77777777" w:rsidR="00CC0A8F" w:rsidRPr="009C48F3" w:rsidRDefault="00CC0A8F" w:rsidP="00C46111">
      <w:r w:rsidRPr="009C48F3">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9C48F3" w14:paraId="600B3A42" w14:textId="77777777" w:rsidTr="00EB6F36">
        <w:trPr>
          <w:trHeight w:val="2393"/>
          <w:jc w:val="center"/>
        </w:trPr>
        <w:tc>
          <w:tcPr>
            <w:tcW w:w="4534" w:type="dxa"/>
          </w:tcPr>
          <w:p w14:paraId="7C84B224" w14:textId="33D1E37D" w:rsidR="00346FFA" w:rsidRPr="009C48F3" w:rsidRDefault="00F97D72" w:rsidP="00B67824">
            <w:pPr>
              <w:rPr>
                <w:rFonts w:ascii="Arial" w:hAnsi="Arial" w:cs="Arial"/>
              </w:rPr>
            </w:pPr>
            <w:r>
              <w:rPr>
                <w:rFonts w:ascii="Arial" w:hAnsi="Arial" w:cs="Arial"/>
                <w:noProof/>
              </w:rPr>
              <w:lastRenderedPageBreak/>
              <w:drawing>
                <wp:inline distT="0" distB="0" distL="0" distR="0" wp14:anchorId="7B63FBA8" wp14:editId="1F09543C">
                  <wp:extent cx="2790825" cy="3352800"/>
                  <wp:effectExtent l="0" t="0" r="9525" b="0"/>
                  <wp:docPr id="7694702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0825" cy="3352800"/>
                          </a:xfrm>
                          <a:prstGeom prst="rect">
                            <a:avLst/>
                          </a:prstGeom>
                          <a:noFill/>
                        </pic:spPr>
                      </pic:pic>
                    </a:graphicData>
                  </a:graphic>
                </wp:inline>
              </w:drawing>
            </w:r>
          </w:p>
        </w:tc>
        <w:tc>
          <w:tcPr>
            <w:tcW w:w="416" w:type="dxa"/>
            <w:vMerge w:val="restart"/>
          </w:tcPr>
          <w:p w14:paraId="09B2FC2D" w14:textId="77777777" w:rsidR="00346FFA" w:rsidRPr="009C48F3" w:rsidRDefault="00346FFA" w:rsidP="00B67824">
            <w:pPr>
              <w:rPr>
                <w:rFonts w:ascii="Arial" w:hAnsi="Arial" w:cs="Arial"/>
              </w:rPr>
            </w:pPr>
          </w:p>
        </w:tc>
        <w:tc>
          <w:tcPr>
            <w:tcW w:w="4500" w:type="dxa"/>
            <w:vMerge w:val="restart"/>
          </w:tcPr>
          <w:p w14:paraId="350566B3" w14:textId="77777777" w:rsidR="002176E6" w:rsidRPr="002176E6" w:rsidRDefault="002176E6" w:rsidP="002176E6">
            <w:pPr>
              <w:keepNext/>
              <w:keepLines/>
              <w:spacing w:before="240" w:after="0" w:line="360" w:lineRule="auto"/>
              <w:jc w:val="center"/>
              <w:outlineLvl w:val="0"/>
              <w:rPr>
                <w:rFonts w:ascii="Arial" w:eastAsia="DengXian Light" w:hAnsi="Arial" w:cs="Times New Roman"/>
                <w:b/>
                <w:bCs/>
                <w:color w:val="2F5496"/>
                <w:sz w:val="32"/>
                <w:szCs w:val="32"/>
              </w:rPr>
            </w:pPr>
            <w:r w:rsidRPr="002176E6">
              <w:rPr>
                <w:rFonts w:ascii="Arial" w:eastAsia="DengXian Light" w:hAnsi="Arial" w:cs="Times New Roman"/>
                <w:bCs/>
                <w:color w:val="2F5496"/>
                <w:sz w:val="32"/>
                <w:szCs w:val="32"/>
              </w:rPr>
              <w:t>The Communication Barriers of Healthcare Professionals between Service Users with Hearing Impairments in the UK</w:t>
            </w:r>
          </w:p>
          <w:p w14:paraId="32810FCF" w14:textId="3259128D" w:rsidR="00B67824" w:rsidRDefault="00B67824" w:rsidP="00F37523">
            <w:pPr>
              <w:pStyle w:val="Heading1"/>
              <w:rPr>
                <w:rStyle w:val="Heading1Char"/>
                <w:rFonts w:ascii="Arial" w:hAnsi="Arial" w:cs="Arial"/>
                <w:b/>
              </w:rPr>
            </w:pPr>
          </w:p>
          <w:p w14:paraId="473C7BCB" w14:textId="77777777" w:rsidR="00942DDF" w:rsidRPr="00942DDF" w:rsidRDefault="00942DDF" w:rsidP="00942DDF"/>
          <w:p w14:paraId="2897830B" w14:textId="77777777" w:rsidR="002176E6" w:rsidRPr="003A2FC5" w:rsidRDefault="002176E6" w:rsidP="002176E6">
            <w:pPr>
              <w:keepNext/>
              <w:keepLines/>
              <w:spacing w:before="40" w:after="0" w:line="360" w:lineRule="auto"/>
              <w:jc w:val="both"/>
              <w:outlineLvl w:val="1"/>
              <w:rPr>
                <w:rFonts w:ascii="Arial" w:eastAsia="DengXian Light" w:hAnsi="Arial" w:cs="Arial"/>
                <w:b/>
                <w:bCs/>
                <w:i/>
                <w:color w:val="262626" w:themeColor="text1" w:themeTint="D9"/>
                <w:sz w:val="28"/>
                <w:szCs w:val="26"/>
              </w:rPr>
            </w:pPr>
            <w:r w:rsidRPr="003A2FC5">
              <w:rPr>
                <w:rFonts w:ascii="Arial" w:eastAsia="DengXian Light" w:hAnsi="Arial" w:cs="Arial"/>
                <w:b/>
                <w:bCs/>
                <w:i/>
                <w:color w:val="262626" w:themeColor="text1" w:themeTint="D9"/>
                <w:sz w:val="28"/>
                <w:szCs w:val="26"/>
              </w:rPr>
              <w:t>Aim:</w:t>
            </w:r>
          </w:p>
          <w:p w14:paraId="578B16D6" w14:textId="77777777" w:rsidR="002176E6" w:rsidRPr="002176E6" w:rsidRDefault="002176E6" w:rsidP="002176E6">
            <w:pPr>
              <w:spacing w:after="160" w:line="360" w:lineRule="auto"/>
              <w:jc w:val="both"/>
              <w:rPr>
                <w:rFonts w:ascii="Arial" w:eastAsia="Calibri" w:hAnsi="Arial" w:cs="Arial"/>
              </w:rPr>
            </w:pPr>
            <w:r w:rsidRPr="002176E6">
              <w:rPr>
                <w:rFonts w:ascii="Arial" w:eastAsia="Calibri" w:hAnsi="Arial" w:cs="Arial"/>
              </w:rPr>
              <w:t>This project aims to examine the communication barriers encountered by healthcare professionals when caring for service users with hearing impairments in the UK and to analyse their impact on patient safety, access to healthcare, and professional practice.</w:t>
            </w:r>
          </w:p>
          <w:p w14:paraId="0DF7E16B" w14:textId="77777777" w:rsidR="002176E6" w:rsidRPr="003A2FC5" w:rsidRDefault="002176E6" w:rsidP="002176E6">
            <w:pPr>
              <w:keepNext/>
              <w:keepLines/>
              <w:spacing w:before="40" w:after="0" w:line="360" w:lineRule="auto"/>
              <w:jc w:val="both"/>
              <w:outlineLvl w:val="1"/>
              <w:rPr>
                <w:rFonts w:ascii="Arial" w:eastAsia="DengXian Light" w:hAnsi="Arial" w:cs="Arial"/>
                <w:b/>
                <w:bCs/>
                <w:i/>
                <w:color w:val="262626" w:themeColor="text1" w:themeTint="D9"/>
                <w:sz w:val="28"/>
                <w:szCs w:val="26"/>
              </w:rPr>
            </w:pPr>
            <w:r w:rsidRPr="003A2FC5">
              <w:rPr>
                <w:rFonts w:ascii="Arial" w:eastAsia="DengXian Light" w:hAnsi="Arial" w:cs="Arial"/>
                <w:b/>
                <w:bCs/>
                <w:i/>
                <w:color w:val="262626" w:themeColor="text1" w:themeTint="D9"/>
                <w:sz w:val="28"/>
                <w:szCs w:val="26"/>
              </w:rPr>
              <w:t>Objectives:</w:t>
            </w:r>
          </w:p>
          <w:p w14:paraId="798F78E5" w14:textId="77777777" w:rsidR="002176E6" w:rsidRPr="002176E6" w:rsidRDefault="002176E6" w:rsidP="002176E6">
            <w:pPr>
              <w:numPr>
                <w:ilvl w:val="0"/>
                <w:numId w:val="9"/>
              </w:numPr>
              <w:spacing w:before="120" w:after="280" w:line="360" w:lineRule="auto"/>
              <w:contextualSpacing/>
              <w:jc w:val="both"/>
              <w:rPr>
                <w:rFonts w:ascii="Arial" w:eastAsia="DengXian" w:hAnsi="Arial" w:cs="Arial"/>
                <w:szCs w:val="21"/>
              </w:rPr>
            </w:pPr>
            <w:r w:rsidRPr="002176E6">
              <w:rPr>
                <w:rFonts w:ascii="Arial" w:eastAsia="DengXian" w:hAnsi="Arial" w:cs="Arial"/>
                <w:szCs w:val="21"/>
              </w:rPr>
              <w:t>To identify and explain the main causes of communication barriers between healthcare professionals and service users with hearing impairments.</w:t>
            </w:r>
          </w:p>
          <w:p w14:paraId="101DDDC8" w14:textId="77777777" w:rsidR="002176E6" w:rsidRPr="002176E6" w:rsidRDefault="002176E6" w:rsidP="002176E6">
            <w:pPr>
              <w:numPr>
                <w:ilvl w:val="0"/>
                <w:numId w:val="9"/>
              </w:numPr>
              <w:spacing w:before="120" w:after="280" w:line="360" w:lineRule="auto"/>
              <w:contextualSpacing/>
              <w:jc w:val="both"/>
              <w:rPr>
                <w:rFonts w:ascii="Arial" w:eastAsia="DengXian" w:hAnsi="Arial" w:cs="Arial"/>
                <w:szCs w:val="21"/>
              </w:rPr>
            </w:pPr>
            <w:r w:rsidRPr="002176E6">
              <w:rPr>
                <w:rFonts w:ascii="Arial" w:eastAsia="DengXian" w:hAnsi="Arial" w:cs="Arial"/>
                <w:szCs w:val="21"/>
              </w:rPr>
              <w:t xml:space="preserve">To critically analyse how communication barriers affect </w:t>
            </w:r>
            <w:r w:rsidRPr="002176E6">
              <w:rPr>
                <w:rFonts w:ascii="Arial" w:eastAsia="DengXian" w:hAnsi="Arial" w:cs="Arial"/>
                <w:szCs w:val="21"/>
              </w:rPr>
              <w:lastRenderedPageBreak/>
              <w:t>patient outcomes, healthcare inequalities, and safety within UK health and social care settings.</w:t>
            </w:r>
          </w:p>
          <w:p w14:paraId="64D20D68" w14:textId="77777777" w:rsidR="002176E6" w:rsidRPr="002176E6" w:rsidRDefault="002176E6" w:rsidP="002176E6">
            <w:pPr>
              <w:numPr>
                <w:ilvl w:val="0"/>
                <w:numId w:val="9"/>
              </w:numPr>
              <w:spacing w:before="120" w:after="280" w:line="360" w:lineRule="auto"/>
              <w:contextualSpacing/>
              <w:jc w:val="both"/>
              <w:rPr>
                <w:rFonts w:ascii="Arial" w:eastAsia="DengXian" w:hAnsi="Arial" w:cs="Arial"/>
              </w:rPr>
            </w:pPr>
            <w:r w:rsidRPr="002176E6">
              <w:rPr>
                <w:rFonts w:ascii="Arial" w:eastAsia="DengXian" w:hAnsi="Arial" w:cs="Arial"/>
              </w:rPr>
              <w:t>To develop evidence-based recommendations and intervention strategies to enhance communication accessibility for hearing-impaired service users.</w:t>
            </w:r>
          </w:p>
          <w:p w14:paraId="646D5584" w14:textId="10342243" w:rsidR="00EB6F36" w:rsidRPr="009C48F3" w:rsidRDefault="00EB6F36" w:rsidP="00EB6F36">
            <w:pPr>
              <w:rPr>
                <w:rFonts w:ascii="Arial" w:hAnsi="Arial" w:cs="Arial"/>
              </w:rPr>
            </w:pPr>
          </w:p>
        </w:tc>
        <w:tc>
          <w:tcPr>
            <w:tcW w:w="360" w:type="dxa"/>
            <w:vMerge w:val="restart"/>
          </w:tcPr>
          <w:p w14:paraId="51769EE4" w14:textId="77777777" w:rsidR="00346FFA" w:rsidRPr="009C48F3" w:rsidRDefault="00346FFA" w:rsidP="00B67824">
            <w:pPr>
              <w:rPr>
                <w:rFonts w:ascii="Arial" w:hAnsi="Arial" w:cs="Arial"/>
              </w:rPr>
            </w:pPr>
          </w:p>
        </w:tc>
        <w:tc>
          <w:tcPr>
            <w:tcW w:w="4590" w:type="dxa"/>
            <w:vAlign w:val="center"/>
          </w:tcPr>
          <w:p w14:paraId="4EBA66EC" w14:textId="48D14690" w:rsidR="00346FFA" w:rsidRPr="009C48F3" w:rsidRDefault="001A2D16" w:rsidP="00EB6F36">
            <w:pPr>
              <w:rPr>
                <w:rFonts w:ascii="Arial" w:hAnsi="Arial" w:cs="Arial"/>
              </w:rPr>
            </w:pPr>
            <w:r w:rsidRPr="001A2D16">
              <w:rPr>
                <w:rFonts w:ascii="Arial" w:hAnsi="Arial" w:cs="Arial"/>
                <w:noProof/>
              </w:rPr>
              <w:drawing>
                <wp:inline distT="0" distB="0" distL="0" distR="0" wp14:anchorId="1F8CE4FF" wp14:editId="199AFACD">
                  <wp:extent cx="2766695" cy="3392170"/>
                  <wp:effectExtent l="0" t="0" r="0" b="0"/>
                  <wp:docPr id="198832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327077" name=""/>
                          <pic:cNvPicPr/>
                        </pic:nvPicPr>
                        <pic:blipFill>
                          <a:blip r:embed="rId14"/>
                          <a:stretch>
                            <a:fillRect/>
                          </a:stretch>
                        </pic:blipFill>
                        <pic:spPr>
                          <a:xfrm>
                            <a:off x="0" y="0"/>
                            <a:ext cx="2766695" cy="3392170"/>
                          </a:xfrm>
                          <a:prstGeom prst="rect">
                            <a:avLst/>
                          </a:prstGeom>
                        </pic:spPr>
                      </pic:pic>
                    </a:graphicData>
                  </a:graphic>
                </wp:inline>
              </w:drawing>
            </w:r>
          </w:p>
        </w:tc>
      </w:tr>
      <w:tr w:rsidR="00346FFA" w:rsidRPr="009C48F3" w14:paraId="6595EC5A" w14:textId="77777777" w:rsidTr="00EB6F36">
        <w:trPr>
          <w:trHeight w:val="272"/>
          <w:jc w:val="center"/>
        </w:trPr>
        <w:tc>
          <w:tcPr>
            <w:tcW w:w="4534" w:type="dxa"/>
          </w:tcPr>
          <w:p w14:paraId="29C6DD9B" w14:textId="2B14F3E9" w:rsidR="00346FFA" w:rsidRPr="009C48F3" w:rsidRDefault="0003053F" w:rsidP="00B67824">
            <w:pPr>
              <w:rPr>
                <w:rFonts w:ascii="Arial" w:hAnsi="Arial" w:cs="Arial"/>
              </w:rPr>
            </w:pPr>
            <w:r>
              <w:rPr>
                <w:rFonts w:ascii="Arial" w:hAnsi="Arial" w:cs="Arial"/>
              </w:rPr>
              <w:t>(OutsideClini</w:t>
            </w:r>
            <w:r w:rsidR="00F10923">
              <w:rPr>
                <w:rFonts w:ascii="Arial" w:hAnsi="Arial" w:cs="Arial"/>
              </w:rPr>
              <w:t>c, n.d.)</w:t>
            </w:r>
          </w:p>
        </w:tc>
        <w:tc>
          <w:tcPr>
            <w:tcW w:w="416" w:type="dxa"/>
            <w:vMerge/>
          </w:tcPr>
          <w:p w14:paraId="4D303ECD" w14:textId="77777777" w:rsidR="00346FFA" w:rsidRPr="009C48F3" w:rsidRDefault="00346FFA" w:rsidP="00B67824">
            <w:pPr>
              <w:rPr>
                <w:rFonts w:ascii="Arial" w:hAnsi="Arial" w:cs="Arial"/>
              </w:rPr>
            </w:pPr>
          </w:p>
        </w:tc>
        <w:tc>
          <w:tcPr>
            <w:tcW w:w="4500" w:type="dxa"/>
            <w:vMerge/>
          </w:tcPr>
          <w:p w14:paraId="4EE620DA" w14:textId="77777777" w:rsidR="00346FFA" w:rsidRPr="009C48F3" w:rsidRDefault="00346FFA" w:rsidP="00B67824">
            <w:pPr>
              <w:rPr>
                <w:rFonts w:ascii="Arial" w:eastAsia="Century Gothic" w:hAnsi="Arial" w:cs="Arial"/>
                <w:b/>
                <w:color w:val="FFFFFF"/>
                <w:sz w:val="24"/>
              </w:rPr>
            </w:pPr>
          </w:p>
        </w:tc>
        <w:tc>
          <w:tcPr>
            <w:tcW w:w="360" w:type="dxa"/>
            <w:vMerge/>
          </w:tcPr>
          <w:p w14:paraId="6D8737FD" w14:textId="77777777" w:rsidR="00346FFA" w:rsidRPr="009C48F3" w:rsidRDefault="00346FFA" w:rsidP="00B67824">
            <w:pPr>
              <w:rPr>
                <w:rFonts w:ascii="Arial" w:hAnsi="Arial" w:cs="Arial"/>
              </w:rPr>
            </w:pPr>
          </w:p>
        </w:tc>
        <w:tc>
          <w:tcPr>
            <w:tcW w:w="4590" w:type="dxa"/>
          </w:tcPr>
          <w:p w14:paraId="777BDB38" w14:textId="50687CA4" w:rsidR="00346FFA" w:rsidRPr="009C48F3" w:rsidRDefault="005A26AC" w:rsidP="00346FFA">
            <w:pPr>
              <w:pStyle w:val="NoSpacing"/>
              <w:rPr>
                <w:rFonts w:ascii="Arial" w:hAnsi="Arial" w:cs="Arial"/>
                <w:lang w:val="en-GB"/>
              </w:rPr>
            </w:pPr>
            <w:r>
              <w:rPr>
                <w:rFonts w:ascii="Arial" w:hAnsi="Arial" w:cs="Arial"/>
                <w:lang w:val="en-GB"/>
              </w:rPr>
              <w:t>(NHS, 2016)</w:t>
            </w:r>
          </w:p>
        </w:tc>
      </w:tr>
      <w:tr w:rsidR="004642F0" w:rsidRPr="009C48F3" w14:paraId="6C436F7A" w14:textId="77777777" w:rsidTr="00EB6F36">
        <w:trPr>
          <w:trHeight w:val="473"/>
          <w:jc w:val="center"/>
        </w:trPr>
        <w:tc>
          <w:tcPr>
            <w:tcW w:w="4534" w:type="dxa"/>
            <w:vMerge w:val="restart"/>
          </w:tcPr>
          <w:p w14:paraId="388333B3" w14:textId="12693BFB" w:rsidR="00EB6F36" w:rsidRPr="003A2FC5" w:rsidRDefault="008A756B" w:rsidP="008A756B">
            <w:pPr>
              <w:pStyle w:val="Heading1"/>
              <w:rPr>
                <w:rFonts w:ascii="Arial" w:hAnsi="Arial" w:cs="Arial"/>
                <w:i/>
                <w:iCs/>
              </w:rPr>
            </w:pPr>
            <w:r w:rsidRPr="003A2FC5">
              <w:rPr>
                <w:rFonts w:ascii="Arial" w:hAnsi="Arial" w:cs="Arial"/>
                <w:i/>
                <w:iCs/>
              </w:rPr>
              <w:t>Methodology</w:t>
            </w:r>
            <w:r w:rsidR="003A2FC5">
              <w:rPr>
                <w:rFonts w:ascii="Arial" w:hAnsi="Arial" w:cs="Arial"/>
                <w:i/>
                <w:iCs/>
              </w:rPr>
              <w:t>:</w:t>
            </w:r>
          </w:p>
          <w:p w14:paraId="17A7F1FA" w14:textId="77777777" w:rsidR="00287F0D" w:rsidRDefault="009C48F3" w:rsidP="002F00B9">
            <w:pPr>
              <w:pStyle w:val="ListParagraph"/>
              <w:numPr>
                <w:ilvl w:val="0"/>
                <w:numId w:val="12"/>
              </w:numPr>
              <w:spacing w:line="360" w:lineRule="auto"/>
              <w:rPr>
                <w:rFonts w:ascii="Arial" w:eastAsia="Calibri" w:hAnsi="Arial" w:cs="Arial"/>
              </w:rPr>
            </w:pPr>
            <w:r w:rsidRPr="008A756B">
              <w:rPr>
                <w:rFonts w:ascii="Arial" w:eastAsia="Calibri" w:hAnsi="Arial" w:cs="Arial"/>
              </w:rPr>
              <w:t>This project will use a secondary research approach, based on a systematic literature review, to analyse how healthcare professionals and healthcare organisations approach service users (</w:t>
            </w:r>
            <w:r w:rsidR="00464405" w:rsidRPr="00464405">
              <w:rPr>
                <w:rFonts w:ascii="Arial" w:eastAsia="Calibri" w:hAnsi="Arial" w:cs="Arial"/>
              </w:rPr>
              <w:t>Irwin and Winterton,  2012</w:t>
            </w:r>
            <w:r w:rsidR="004E5568">
              <w:rPr>
                <w:rFonts w:ascii="Arial" w:eastAsia="Calibri" w:hAnsi="Arial" w:cs="Arial"/>
              </w:rPr>
              <w:t xml:space="preserve">; </w:t>
            </w:r>
          </w:p>
          <w:p w14:paraId="5DC46BF7" w14:textId="0CB505B0" w:rsidR="00EB6F36" w:rsidRPr="008A756B" w:rsidRDefault="009C48F3" w:rsidP="00287F0D">
            <w:pPr>
              <w:pStyle w:val="ListParagraph"/>
              <w:spacing w:line="360" w:lineRule="auto"/>
              <w:rPr>
                <w:rFonts w:ascii="Arial" w:eastAsia="Calibri" w:hAnsi="Arial" w:cs="Arial"/>
              </w:rPr>
            </w:pPr>
            <w:r w:rsidRPr="008A756B">
              <w:rPr>
                <w:rFonts w:ascii="Arial" w:eastAsia="Calibri" w:hAnsi="Arial" w:cs="Arial"/>
              </w:rPr>
              <w:t xml:space="preserve">Panko </w:t>
            </w:r>
            <w:r w:rsidRPr="008A756B">
              <w:rPr>
                <w:rFonts w:ascii="Arial" w:eastAsia="Calibri" w:hAnsi="Arial" w:cs="Arial"/>
                <w:i/>
                <w:iCs/>
              </w:rPr>
              <w:t xml:space="preserve">et al., </w:t>
            </w:r>
            <w:r w:rsidRPr="008A756B">
              <w:rPr>
                <w:rFonts w:ascii="Arial" w:eastAsia="Calibri" w:hAnsi="Arial" w:cs="Arial"/>
              </w:rPr>
              <w:t xml:space="preserve">2023). </w:t>
            </w:r>
          </w:p>
          <w:p w14:paraId="5128044F" w14:textId="77777777" w:rsidR="00287F0D" w:rsidRDefault="00287F0D" w:rsidP="00287F0D">
            <w:pPr>
              <w:rPr>
                <w:rFonts w:ascii="Arial" w:eastAsia="Calibri" w:hAnsi="Arial" w:cs="Arial"/>
                <w:b/>
                <w:bCs/>
              </w:rPr>
            </w:pPr>
          </w:p>
          <w:p w14:paraId="732246B6" w14:textId="20FAD0C6" w:rsidR="008A756B" w:rsidRPr="00287F0D" w:rsidRDefault="008A756B" w:rsidP="00287F0D">
            <w:pPr>
              <w:rPr>
                <w:rFonts w:ascii="Arial" w:eastAsia="Calibri" w:hAnsi="Arial" w:cs="Arial"/>
                <w:b/>
                <w:bCs/>
              </w:rPr>
            </w:pPr>
            <w:r w:rsidRPr="00942DDF">
              <w:rPr>
                <w:rFonts w:ascii="Arial" w:eastAsia="Calibri" w:hAnsi="Arial" w:cs="Arial"/>
                <w:b/>
                <w:bCs/>
                <w:i/>
                <w:iCs/>
                <w:sz w:val="28"/>
                <w:szCs w:val="28"/>
              </w:rPr>
              <w:lastRenderedPageBreak/>
              <w:t>Databases</w:t>
            </w:r>
            <w:r w:rsidRPr="008A756B">
              <w:rPr>
                <w:rFonts w:ascii="Arial" w:eastAsia="Calibri" w:hAnsi="Arial" w:cs="Arial"/>
                <w:b/>
                <w:bCs/>
              </w:rPr>
              <w:t>:</w:t>
            </w:r>
          </w:p>
          <w:p w14:paraId="04FFB261" w14:textId="77777777" w:rsidR="008A756B" w:rsidRPr="008A756B" w:rsidRDefault="008A756B" w:rsidP="008A756B">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Google Scholar, PubMed, ProQuest (formal)</w:t>
            </w:r>
          </w:p>
          <w:p w14:paraId="606AD9D3" w14:textId="77777777" w:rsidR="008A756B" w:rsidRPr="008A756B" w:rsidRDefault="008A756B" w:rsidP="008A756B">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Library e-resources (UWTSD)</w:t>
            </w:r>
          </w:p>
          <w:p w14:paraId="7E336265" w14:textId="77777777" w:rsidR="008A756B" w:rsidRPr="008A756B" w:rsidRDefault="008A756B" w:rsidP="008A756B">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Family, relatives, friends, work colleagues (informal)</w:t>
            </w:r>
          </w:p>
          <w:p w14:paraId="1452A85E" w14:textId="77777777" w:rsidR="008A756B" w:rsidRPr="008A756B" w:rsidRDefault="008A756B" w:rsidP="008A756B">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Note-taking software (OneNote)</w:t>
            </w:r>
          </w:p>
          <w:p w14:paraId="4211D260" w14:textId="77777777" w:rsidR="008A756B" w:rsidRPr="008A756B" w:rsidRDefault="008A756B" w:rsidP="008A756B">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Avoid acronyms (Begg, 2017)</w:t>
            </w:r>
          </w:p>
          <w:p w14:paraId="32B56668" w14:textId="52478C77" w:rsidR="008A756B" w:rsidRPr="008A756B" w:rsidRDefault="008A756B" w:rsidP="00863EEA">
            <w:pPr>
              <w:numPr>
                <w:ilvl w:val="0"/>
                <w:numId w:val="11"/>
              </w:numPr>
              <w:spacing w:before="120" w:after="280" w:line="360" w:lineRule="auto"/>
              <w:contextualSpacing/>
              <w:jc w:val="both"/>
              <w:rPr>
                <w:rFonts w:ascii="Arial" w:eastAsia="DengXian" w:hAnsi="Arial" w:cs="Arial"/>
                <w:sz w:val="24"/>
                <w:szCs w:val="21"/>
              </w:rPr>
            </w:pPr>
            <w:r w:rsidRPr="008A756B">
              <w:rPr>
                <w:rFonts w:ascii="Arial" w:eastAsia="DengXian" w:hAnsi="Arial" w:cs="Arial"/>
                <w:sz w:val="24"/>
                <w:szCs w:val="21"/>
              </w:rPr>
              <w:t>Project management tools - Gantt chart (Walston, 2023)</w:t>
            </w:r>
          </w:p>
          <w:p w14:paraId="2FA973B7" w14:textId="0886DCD5" w:rsidR="00863EEA" w:rsidRPr="009A07C6" w:rsidRDefault="00863EEA" w:rsidP="00EB6F36">
            <w:pPr>
              <w:rPr>
                <w:rFonts w:ascii="Arial" w:hAnsi="Arial" w:cs="Arial"/>
                <w:b/>
                <w:bCs/>
                <w:i/>
                <w:iCs/>
                <w:sz w:val="28"/>
                <w:szCs w:val="28"/>
              </w:rPr>
            </w:pPr>
            <w:r w:rsidRPr="009A07C6">
              <w:rPr>
                <w:rFonts w:ascii="Arial" w:hAnsi="Arial" w:cs="Arial"/>
                <w:b/>
                <w:bCs/>
                <w:i/>
                <w:iCs/>
                <w:sz w:val="28"/>
                <w:szCs w:val="28"/>
              </w:rPr>
              <w:lastRenderedPageBreak/>
              <w:t xml:space="preserve">Keywords: </w:t>
            </w:r>
          </w:p>
          <w:p w14:paraId="521A0A0A" w14:textId="77777777" w:rsidR="00863EEA" w:rsidRPr="00863EEA" w:rsidRDefault="00863EEA" w:rsidP="00863EEA">
            <w:pPr>
              <w:numPr>
                <w:ilvl w:val="1"/>
                <w:numId w:val="15"/>
              </w:numPr>
              <w:spacing w:before="120" w:after="280" w:line="360" w:lineRule="auto"/>
              <w:contextualSpacing/>
              <w:jc w:val="both"/>
              <w:rPr>
                <w:rFonts w:ascii="Arial" w:eastAsia="DengXian" w:hAnsi="Arial" w:cs="Arial"/>
              </w:rPr>
            </w:pPr>
            <w:r w:rsidRPr="00863EEA">
              <w:rPr>
                <w:rFonts w:ascii="Arial" w:eastAsia="DengXian" w:hAnsi="Arial" w:cs="Arial"/>
              </w:rPr>
              <w:t>“Hearing impairment” AND “NHS communication” AND “Hearing Impairment UK Healthcare”</w:t>
            </w:r>
          </w:p>
          <w:p w14:paraId="4C000F41" w14:textId="77777777" w:rsidR="00863EEA" w:rsidRPr="00863EEA" w:rsidRDefault="00863EEA" w:rsidP="00863EEA">
            <w:pPr>
              <w:numPr>
                <w:ilvl w:val="1"/>
                <w:numId w:val="15"/>
              </w:numPr>
              <w:spacing w:before="120" w:after="280" w:line="360" w:lineRule="auto"/>
              <w:contextualSpacing/>
              <w:jc w:val="both"/>
              <w:rPr>
                <w:rFonts w:ascii="Arial" w:eastAsia="DengXian" w:hAnsi="Arial" w:cs="Arial"/>
              </w:rPr>
            </w:pPr>
            <w:r w:rsidRPr="00863EEA">
              <w:rPr>
                <w:rFonts w:ascii="Arial" w:eastAsia="DengXian" w:hAnsi="Arial" w:cs="Arial"/>
              </w:rPr>
              <w:t>“Deaf patients” AND “health inequalities” AND “deaf communication NHS”</w:t>
            </w:r>
          </w:p>
          <w:p w14:paraId="3956007D" w14:textId="77777777" w:rsidR="00863EEA" w:rsidRPr="00863EEA" w:rsidRDefault="00863EEA" w:rsidP="00863EEA">
            <w:pPr>
              <w:numPr>
                <w:ilvl w:val="1"/>
                <w:numId w:val="15"/>
              </w:numPr>
              <w:spacing w:before="120" w:after="280" w:line="360" w:lineRule="auto"/>
              <w:contextualSpacing/>
              <w:jc w:val="both"/>
              <w:rPr>
                <w:rFonts w:ascii="Arial" w:eastAsia="DengXian" w:hAnsi="Arial" w:cs="Arial"/>
              </w:rPr>
            </w:pPr>
            <w:r w:rsidRPr="00863EEA">
              <w:rPr>
                <w:rFonts w:ascii="Arial" w:eastAsia="DengXian" w:hAnsi="Arial" w:cs="Arial"/>
              </w:rPr>
              <w:t>“Accessible Information Standard” AND “implementation” AND Accessible Information Standard effectiveness”</w:t>
            </w:r>
          </w:p>
          <w:p w14:paraId="335D8704" w14:textId="77777777" w:rsidR="00863EEA" w:rsidRPr="00863EEA" w:rsidRDefault="00863EEA" w:rsidP="00863EEA">
            <w:pPr>
              <w:numPr>
                <w:ilvl w:val="1"/>
                <w:numId w:val="15"/>
              </w:numPr>
              <w:spacing w:before="120" w:after="280" w:line="360" w:lineRule="auto"/>
              <w:contextualSpacing/>
              <w:jc w:val="both"/>
              <w:rPr>
                <w:rFonts w:ascii="Arial" w:eastAsia="DengXian" w:hAnsi="Arial" w:cs="Arial"/>
              </w:rPr>
            </w:pPr>
            <w:r w:rsidRPr="00863EEA">
              <w:rPr>
                <w:rFonts w:ascii="Arial" w:eastAsia="DengXian" w:hAnsi="Arial" w:cs="Arial"/>
              </w:rPr>
              <w:t>“BSL users” AND “healthcare access UK” AND</w:t>
            </w:r>
          </w:p>
          <w:p w14:paraId="026D4AFB" w14:textId="5EC40B64" w:rsidR="00863EEA" w:rsidRDefault="00863EEA" w:rsidP="00863EEA">
            <w:pPr>
              <w:numPr>
                <w:ilvl w:val="1"/>
                <w:numId w:val="15"/>
              </w:numPr>
              <w:spacing w:before="120" w:after="280" w:line="360" w:lineRule="auto"/>
              <w:contextualSpacing/>
              <w:jc w:val="both"/>
              <w:rPr>
                <w:rFonts w:ascii="Arial" w:eastAsia="DengXian" w:hAnsi="Arial" w:cs="Arial"/>
              </w:rPr>
            </w:pPr>
            <w:r w:rsidRPr="00863EEA">
              <w:rPr>
                <w:rFonts w:ascii="Arial" w:eastAsia="DengXian" w:hAnsi="Arial" w:cs="Arial"/>
              </w:rPr>
              <w:t>“Health inequalities deaf community” AND “communication barriers” AND “health professionals”</w:t>
            </w:r>
          </w:p>
          <w:p w14:paraId="039DE6C6" w14:textId="0ABD5B91" w:rsidR="0029372F" w:rsidRPr="00C73E2C" w:rsidRDefault="003674CA" w:rsidP="0029372F">
            <w:pPr>
              <w:spacing w:before="120" w:after="280" w:line="360" w:lineRule="auto"/>
              <w:ind w:left="360"/>
              <w:contextualSpacing/>
              <w:jc w:val="both"/>
              <w:rPr>
                <w:rFonts w:ascii="Arial" w:eastAsia="DengXian" w:hAnsi="Arial" w:cs="Arial"/>
              </w:rPr>
            </w:pPr>
            <w:r w:rsidRPr="00C73E2C">
              <w:rPr>
                <w:rFonts w:ascii="Arial" w:eastAsia="DengXian" w:hAnsi="Arial" w:cs="Arial"/>
              </w:rPr>
              <w:t xml:space="preserve">The </w:t>
            </w:r>
            <w:r w:rsidR="0020423E" w:rsidRPr="00C73E2C">
              <w:rPr>
                <w:rFonts w:ascii="Arial" w:eastAsia="DengXian" w:hAnsi="Arial" w:cs="Arial"/>
              </w:rPr>
              <w:t xml:space="preserve">PRISMA flowchart is used to </w:t>
            </w:r>
            <w:r w:rsidRPr="00C73E2C">
              <w:rPr>
                <w:rFonts w:ascii="Arial" w:eastAsia="DengXian" w:hAnsi="Arial" w:cs="Arial"/>
              </w:rPr>
              <w:t xml:space="preserve">document the </w:t>
            </w:r>
            <w:r w:rsidR="00C73E2C" w:rsidRPr="00C73E2C">
              <w:rPr>
                <w:rFonts w:ascii="Arial" w:eastAsia="DengXian" w:hAnsi="Arial" w:cs="Arial"/>
              </w:rPr>
              <w:t xml:space="preserve">article selection process </w:t>
            </w:r>
            <w:r w:rsidR="00417BB7" w:rsidRPr="00C73E2C">
              <w:rPr>
                <w:rFonts w:ascii="Arial" w:eastAsia="DengXian" w:hAnsi="Arial" w:cs="Arial"/>
              </w:rPr>
              <w:t>(</w:t>
            </w:r>
            <w:r w:rsidR="00417BB7" w:rsidRPr="00C73E2C">
              <w:rPr>
                <w:rFonts w:ascii="Arial" w:eastAsia="Times New Roman" w:hAnsi="Arial" w:cs="Arial"/>
                <w:lang w:eastAsia="en-GB"/>
              </w:rPr>
              <w:t>Mayo</w:t>
            </w:r>
            <w:r w:rsidR="00417BB7" w:rsidRPr="00C73E2C">
              <w:rPr>
                <w:rFonts w:ascii="Cambria Math" w:eastAsia="Times New Roman" w:hAnsi="Cambria Math" w:cs="Cambria Math"/>
                <w:lang w:eastAsia="en-GB"/>
              </w:rPr>
              <w:t>‐</w:t>
            </w:r>
            <w:r w:rsidR="00417BB7" w:rsidRPr="00C73E2C">
              <w:rPr>
                <w:rFonts w:ascii="Arial" w:eastAsia="Times New Roman" w:hAnsi="Arial" w:cs="Arial"/>
                <w:lang w:eastAsia="en-GB"/>
              </w:rPr>
              <w:t xml:space="preserve">Wilson </w:t>
            </w:r>
            <w:r w:rsidR="00417BB7" w:rsidRPr="00C73E2C">
              <w:rPr>
                <w:rFonts w:ascii="Arial" w:eastAsia="Times New Roman" w:hAnsi="Arial" w:cs="Arial"/>
                <w:i/>
                <w:iCs/>
                <w:lang w:eastAsia="en-GB"/>
              </w:rPr>
              <w:t>et al.</w:t>
            </w:r>
            <w:r w:rsidR="00417BB7" w:rsidRPr="00C73E2C">
              <w:rPr>
                <w:rFonts w:ascii="Arial" w:eastAsia="Times New Roman" w:hAnsi="Arial" w:cs="Arial"/>
                <w:lang w:eastAsia="en-GB"/>
              </w:rPr>
              <w:t xml:space="preserve">, 2018). </w:t>
            </w:r>
            <w:r w:rsidR="0020423E" w:rsidRPr="00C73E2C">
              <w:rPr>
                <w:rFonts w:ascii="Arial" w:eastAsia="DengXian" w:hAnsi="Arial" w:cs="Arial"/>
              </w:rPr>
              <w:t xml:space="preserve"> </w:t>
            </w:r>
          </w:p>
          <w:p w14:paraId="766CB3C2" w14:textId="24E786B8" w:rsidR="00EB6F36" w:rsidRPr="009C48F3"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9C48F3" w:rsidRDefault="004642F0" w:rsidP="00B67824">
            <w:pPr>
              <w:pStyle w:val="NoSpacing"/>
              <w:jc w:val="center"/>
              <w:rPr>
                <w:rFonts w:ascii="Arial" w:hAnsi="Arial" w:cs="Arial"/>
                <w:lang w:val="en-GB"/>
              </w:rPr>
            </w:pPr>
          </w:p>
        </w:tc>
        <w:tc>
          <w:tcPr>
            <w:tcW w:w="4500" w:type="dxa"/>
            <w:vMerge/>
            <w:vAlign w:val="center"/>
          </w:tcPr>
          <w:p w14:paraId="7D78FDF6" w14:textId="77777777" w:rsidR="004642F0" w:rsidRPr="009C48F3" w:rsidRDefault="004642F0" w:rsidP="00B67824">
            <w:pPr>
              <w:pStyle w:val="NoSpacing"/>
              <w:jc w:val="center"/>
              <w:rPr>
                <w:rFonts w:ascii="Arial" w:hAnsi="Arial" w:cs="Arial"/>
                <w:lang w:val="en-GB"/>
              </w:rPr>
            </w:pPr>
          </w:p>
        </w:tc>
        <w:tc>
          <w:tcPr>
            <w:tcW w:w="360" w:type="dxa"/>
            <w:vMerge/>
            <w:vAlign w:val="center"/>
          </w:tcPr>
          <w:p w14:paraId="25B3C4FF" w14:textId="77777777" w:rsidR="004642F0" w:rsidRPr="009C48F3" w:rsidRDefault="004642F0" w:rsidP="00B67824">
            <w:pPr>
              <w:pStyle w:val="NoSpacing"/>
              <w:jc w:val="center"/>
              <w:rPr>
                <w:rFonts w:ascii="Arial" w:hAnsi="Arial" w:cs="Arial"/>
                <w:lang w:val="en-GB"/>
              </w:rPr>
            </w:pPr>
          </w:p>
        </w:tc>
        <w:tc>
          <w:tcPr>
            <w:tcW w:w="4590" w:type="dxa"/>
            <w:vMerge w:val="restart"/>
          </w:tcPr>
          <w:p w14:paraId="1F726C21" w14:textId="6A2EBFCF" w:rsidR="004642F0" w:rsidRPr="003A2FC5" w:rsidRDefault="00EB6F36" w:rsidP="002F00B9">
            <w:pPr>
              <w:pStyle w:val="Heading1"/>
              <w:rPr>
                <w:rFonts w:ascii="Arial" w:hAnsi="Arial" w:cs="Arial"/>
                <w:i/>
                <w:iCs/>
              </w:rPr>
            </w:pPr>
            <w:r w:rsidRPr="003A2FC5">
              <w:rPr>
                <w:rFonts w:ascii="Arial" w:hAnsi="Arial" w:cs="Arial"/>
                <w:i/>
                <w:iCs/>
              </w:rPr>
              <w:t>Data Analysis</w:t>
            </w:r>
            <w:r w:rsidR="003A2FC5">
              <w:rPr>
                <w:rFonts w:ascii="Arial" w:hAnsi="Arial" w:cs="Arial"/>
                <w:i/>
                <w:iCs/>
              </w:rPr>
              <w:t>:</w:t>
            </w:r>
          </w:p>
          <w:p w14:paraId="6BD7FB33" w14:textId="2637BFA6" w:rsidR="00A91BBD" w:rsidRPr="00D72E1B" w:rsidRDefault="002F00B9" w:rsidP="00D72E1B">
            <w:pPr>
              <w:pStyle w:val="ListParagraph"/>
              <w:numPr>
                <w:ilvl w:val="0"/>
                <w:numId w:val="19"/>
              </w:numPr>
              <w:spacing w:line="360" w:lineRule="auto"/>
              <w:rPr>
                <w:rFonts w:ascii="Arial" w:hAnsi="Arial" w:cs="Arial"/>
              </w:rPr>
            </w:pPr>
            <w:r w:rsidRPr="002F00B9">
              <w:rPr>
                <w:rFonts w:ascii="Arial" w:hAnsi="Arial" w:cs="Arial"/>
              </w:rPr>
              <w:t>Thematic analysis is used to find common similarities among the articles</w:t>
            </w:r>
            <w:r w:rsidR="00D72E1B">
              <w:rPr>
                <w:rFonts w:ascii="Arial" w:hAnsi="Arial" w:cs="Arial"/>
              </w:rPr>
              <w:t xml:space="preserve"> and </w:t>
            </w:r>
            <w:r w:rsidR="00A91BBD" w:rsidRPr="00D72E1B">
              <w:rPr>
                <w:rFonts w:ascii="Arial" w:hAnsi="Arial" w:cs="Arial"/>
              </w:rPr>
              <w:t>will be used to synthesise patterns relating to:</w:t>
            </w:r>
          </w:p>
          <w:p w14:paraId="57CCB528" w14:textId="01893E40" w:rsidR="00A91BBD" w:rsidRPr="00A91BBD" w:rsidRDefault="00A91BBD" w:rsidP="00A91BBD">
            <w:pPr>
              <w:pStyle w:val="ListParagraph"/>
              <w:numPr>
                <w:ilvl w:val="0"/>
                <w:numId w:val="19"/>
              </w:numPr>
              <w:spacing w:line="360" w:lineRule="auto"/>
              <w:jc w:val="both"/>
              <w:rPr>
                <w:rFonts w:ascii="Arial" w:hAnsi="Arial" w:cs="Arial"/>
              </w:rPr>
            </w:pPr>
            <w:r w:rsidRPr="00A91BBD">
              <w:rPr>
                <w:rFonts w:ascii="Arial" w:hAnsi="Arial" w:cs="Arial"/>
              </w:rPr>
              <w:t>causes of communication barriers</w:t>
            </w:r>
          </w:p>
          <w:p w14:paraId="634EB372" w14:textId="7DB3C722" w:rsidR="00A91BBD" w:rsidRPr="00A91BBD" w:rsidRDefault="00A91BBD" w:rsidP="00A91BBD">
            <w:pPr>
              <w:pStyle w:val="ListParagraph"/>
              <w:numPr>
                <w:ilvl w:val="0"/>
                <w:numId w:val="19"/>
              </w:numPr>
              <w:spacing w:line="360" w:lineRule="auto"/>
              <w:jc w:val="both"/>
              <w:rPr>
                <w:rFonts w:ascii="Arial" w:hAnsi="Arial" w:cs="Arial"/>
              </w:rPr>
            </w:pPr>
            <w:r w:rsidRPr="00A91BBD">
              <w:rPr>
                <w:rFonts w:ascii="Arial" w:hAnsi="Arial" w:cs="Arial"/>
              </w:rPr>
              <w:t>impacts on care</w:t>
            </w:r>
          </w:p>
          <w:p w14:paraId="5D46F62D" w14:textId="3692DC7C" w:rsidR="00A91BBD" w:rsidRPr="00A91BBD" w:rsidRDefault="00A91BBD" w:rsidP="00A91BBD">
            <w:pPr>
              <w:pStyle w:val="ListParagraph"/>
              <w:numPr>
                <w:ilvl w:val="0"/>
                <w:numId w:val="19"/>
              </w:numPr>
              <w:spacing w:line="360" w:lineRule="auto"/>
              <w:jc w:val="both"/>
              <w:rPr>
                <w:rFonts w:ascii="Arial" w:hAnsi="Arial" w:cs="Arial"/>
              </w:rPr>
            </w:pPr>
            <w:r w:rsidRPr="00A91BBD">
              <w:rPr>
                <w:rFonts w:ascii="Arial" w:hAnsi="Arial" w:cs="Arial"/>
              </w:rPr>
              <w:t>effectiveness of existing interventions</w:t>
            </w:r>
          </w:p>
          <w:p w14:paraId="3E394DA8" w14:textId="33594FD0" w:rsidR="00A91BBD" w:rsidRPr="00A91BBD" w:rsidRDefault="00A91BBD" w:rsidP="00A91BBD">
            <w:pPr>
              <w:pStyle w:val="ListParagraph"/>
              <w:numPr>
                <w:ilvl w:val="0"/>
                <w:numId w:val="19"/>
              </w:numPr>
              <w:spacing w:line="360" w:lineRule="auto"/>
              <w:jc w:val="both"/>
              <w:rPr>
                <w:rFonts w:ascii="Arial" w:hAnsi="Arial" w:cs="Arial"/>
              </w:rPr>
            </w:pPr>
            <w:r w:rsidRPr="00A91BBD">
              <w:rPr>
                <w:rFonts w:ascii="Arial" w:hAnsi="Arial" w:cs="Arial"/>
              </w:rPr>
              <w:lastRenderedPageBreak/>
              <w:t>gaps in current NHS practice (</w:t>
            </w:r>
            <w:proofErr w:type="spellStart"/>
            <w:r w:rsidR="00774A74" w:rsidRPr="00774A74">
              <w:rPr>
                <w:rFonts w:ascii="Arial" w:hAnsi="Arial" w:cs="Arial"/>
              </w:rPr>
              <w:t>Alkier</w:t>
            </w:r>
            <w:proofErr w:type="spellEnd"/>
            <w:r w:rsidR="00774A74" w:rsidRPr="00774A74">
              <w:rPr>
                <w:rFonts w:ascii="Arial" w:hAnsi="Arial" w:cs="Arial"/>
              </w:rPr>
              <w:t xml:space="preserve"> Gildberg and Wilson, 2023</w:t>
            </w:r>
            <w:r w:rsidR="00774A74">
              <w:rPr>
                <w:rFonts w:ascii="Arial" w:hAnsi="Arial" w:cs="Arial"/>
              </w:rPr>
              <w:t>;</w:t>
            </w:r>
            <w:r w:rsidRPr="00A91BBD">
              <w:rPr>
                <w:rFonts w:ascii="Arial" w:hAnsi="Arial" w:cs="Arial"/>
              </w:rPr>
              <w:t xml:space="preserve">Terry </w:t>
            </w:r>
            <w:r w:rsidRPr="00A91BBD">
              <w:rPr>
                <w:rFonts w:ascii="Arial" w:hAnsi="Arial" w:cs="Arial"/>
                <w:i/>
                <w:iCs/>
              </w:rPr>
              <w:t xml:space="preserve">et al., </w:t>
            </w:r>
            <w:r w:rsidRPr="00A91BBD">
              <w:rPr>
                <w:rFonts w:ascii="Arial" w:hAnsi="Arial" w:cs="Arial"/>
              </w:rPr>
              <w:t>2024).</w:t>
            </w:r>
          </w:p>
          <w:p w14:paraId="0531830E" w14:textId="77777777" w:rsidR="00EB6F36" w:rsidRPr="009C48F3" w:rsidRDefault="00EB6F36" w:rsidP="00EB6F36">
            <w:pPr>
              <w:rPr>
                <w:rFonts w:ascii="Arial" w:hAnsi="Arial" w:cs="Arial"/>
              </w:rPr>
            </w:pPr>
          </w:p>
          <w:p w14:paraId="01A90E3F" w14:textId="77777777" w:rsidR="00EB6F36" w:rsidRPr="009C48F3" w:rsidRDefault="00EB6F36" w:rsidP="00EB6F36">
            <w:pPr>
              <w:rPr>
                <w:rFonts w:ascii="Arial" w:hAnsi="Arial" w:cs="Arial"/>
              </w:rPr>
            </w:pPr>
          </w:p>
          <w:p w14:paraId="43E2FB3D" w14:textId="1E8147CF" w:rsidR="00B67824" w:rsidRPr="003A2FC5" w:rsidRDefault="00EB6F36" w:rsidP="002F00B9">
            <w:pPr>
              <w:pStyle w:val="Heading1"/>
              <w:rPr>
                <w:rFonts w:ascii="Arial" w:hAnsi="Arial" w:cs="Arial"/>
                <w:i/>
                <w:iCs/>
              </w:rPr>
            </w:pPr>
            <w:r w:rsidRPr="003A2FC5">
              <w:rPr>
                <w:rFonts w:ascii="Arial" w:hAnsi="Arial" w:cs="Arial"/>
                <w:i/>
                <w:iCs/>
              </w:rPr>
              <w:t>Ethical considerations</w:t>
            </w:r>
            <w:r w:rsidR="003A2FC5">
              <w:rPr>
                <w:rFonts w:ascii="Arial" w:hAnsi="Arial" w:cs="Arial"/>
                <w:i/>
                <w:iCs/>
              </w:rPr>
              <w:t>:</w:t>
            </w:r>
          </w:p>
          <w:p w14:paraId="317AB177" w14:textId="578DA403" w:rsidR="006B1DE2" w:rsidRDefault="006B1DE2" w:rsidP="00AD0155">
            <w:pPr>
              <w:numPr>
                <w:ilvl w:val="0"/>
                <w:numId w:val="18"/>
              </w:numPr>
              <w:spacing w:line="360" w:lineRule="auto"/>
              <w:rPr>
                <w:rFonts w:ascii="Arial" w:hAnsi="Arial" w:cs="Arial"/>
              </w:rPr>
            </w:pPr>
            <w:r w:rsidRPr="006B1DE2">
              <w:rPr>
                <w:rFonts w:ascii="Arial" w:hAnsi="Arial" w:cs="Arial"/>
              </w:rPr>
              <w:t>Ethical considerations</w:t>
            </w:r>
            <w:r w:rsidR="00741675">
              <w:rPr>
                <w:rFonts w:ascii="Arial" w:hAnsi="Arial" w:cs="Arial"/>
              </w:rPr>
              <w:t xml:space="preserve"> for secondary research</w:t>
            </w:r>
            <w:r w:rsidRPr="006B1DE2">
              <w:rPr>
                <w:rFonts w:ascii="Arial" w:hAnsi="Arial" w:cs="Arial"/>
              </w:rPr>
              <w:t xml:space="preserve"> involve the respectful representation of vulnerable populations, the proper handling of </w:t>
            </w:r>
            <w:r w:rsidRPr="006B1DE2">
              <w:rPr>
                <w:rFonts w:ascii="Arial" w:hAnsi="Arial" w:cs="Arial"/>
              </w:rPr>
              <w:lastRenderedPageBreak/>
              <w:t>published data, and the avoidance of misinterpretation of findings (</w:t>
            </w:r>
            <w:proofErr w:type="spellStart"/>
            <w:r w:rsidRPr="006B1DE2">
              <w:rPr>
                <w:rFonts w:ascii="Arial" w:hAnsi="Arial" w:cs="Arial"/>
              </w:rPr>
              <w:t>Moriña</w:t>
            </w:r>
            <w:proofErr w:type="spellEnd"/>
            <w:r w:rsidRPr="006B1DE2">
              <w:rPr>
                <w:rFonts w:ascii="Arial" w:hAnsi="Arial" w:cs="Arial"/>
              </w:rPr>
              <w:t xml:space="preserve">, 2021). </w:t>
            </w:r>
          </w:p>
          <w:p w14:paraId="4B935E76" w14:textId="761351B5" w:rsidR="006B1DE2" w:rsidRDefault="00810EB0" w:rsidP="00AD0155">
            <w:pPr>
              <w:numPr>
                <w:ilvl w:val="0"/>
                <w:numId w:val="18"/>
              </w:numPr>
              <w:spacing w:line="360" w:lineRule="auto"/>
              <w:rPr>
                <w:rFonts w:ascii="Arial" w:hAnsi="Arial" w:cs="Arial"/>
              </w:rPr>
            </w:pPr>
            <w:r>
              <w:rPr>
                <w:rFonts w:ascii="Arial" w:hAnsi="Arial" w:cs="Arial"/>
              </w:rPr>
              <w:t xml:space="preserve">Inform consent </w:t>
            </w:r>
          </w:p>
          <w:p w14:paraId="51D281B8" w14:textId="2E47DA7F" w:rsidR="006B1DE2" w:rsidRDefault="00D4242F" w:rsidP="00AD0155">
            <w:pPr>
              <w:numPr>
                <w:ilvl w:val="0"/>
                <w:numId w:val="18"/>
              </w:numPr>
              <w:spacing w:line="360" w:lineRule="auto"/>
              <w:rPr>
                <w:rFonts w:ascii="Arial" w:hAnsi="Arial" w:cs="Arial"/>
              </w:rPr>
            </w:pPr>
            <w:r>
              <w:rPr>
                <w:rFonts w:ascii="Arial" w:hAnsi="Arial" w:cs="Arial"/>
              </w:rPr>
              <w:t>C</w:t>
            </w:r>
            <w:r w:rsidR="00810EB0">
              <w:rPr>
                <w:rFonts w:ascii="Arial" w:hAnsi="Arial" w:cs="Arial"/>
              </w:rPr>
              <w:t>onfid</w:t>
            </w:r>
            <w:r>
              <w:rPr>
                <w:rFonts w:ascii="Arial" w:hAnsi="Arial" w:cs="Arial"/>
              </w:rPr>
              <w:t>entiality and Anonymity</w:t>
            </w:r>
          </w:p>
          <w:p w14:paraId="3644B520" w14:textId="66F95B94" w:rsidR="006B1DE2" w:rsidRDefault="00D4242F" w:rsidP="00AD0155">
            <w:pPr>
              <w:numPr>
                <w:ilvl w:val="0"/>
                <w:numId w:val="18"/>
              </w:numPr>
              <w:spacing w:line="360" w:lineRule="auto"/>
              <w:rPr>
                <w:rFonts w:ascii="Arial" w:hAnsi="Arial" w:cs="Arial"/>
              </w:rPr>
            </w:pPr>
            <w:r>
              <w:rPr>
                <w:rFonts w:ascii="Arial" w:hAnsi="Arial" w:cs="Arial"/>
              </w:rPr>
              <w:t>Data Protection and Legal Compliance</w:t>
            </w:r>
          </w:p>
          <w:p w14:paraId="041804DE" w14:textId="08844987" w:rsidR="006B1DE2" w:rsidRDefault="009D72BF" w:rsidP="00AD0155">
            <w:pPr>
              <w:numPr>
                <w:ilvl w:val="0"/>
                <w:numId w:val="18"/>
              </w:numPr>
              <w:spacing w:line="360" w:lineRule="auto"/>
              <w:rPr>
                <w:rFonts w:ascii="Arial" w:hAnsi="Arial" w:cs="Arial"/>
              </w:rPr>
            </w:pPr>
            <w:r>
              <w:rPr>
                <w:rFonts w:ascii="Arial" w:hAnsi="Arial" w:cs="Arial"/>
              </w:rPr>
              <w:t>A</w:t>
            </w:r>
            <w:r w:rsidR="00D4242F">
              <w:rPr>
                <w:rFonts w:ascii="Arial" w:hAnsi="Arial" w:cs="Arial"/>
              </w:rPr>
              <w:t>ccurate</w:t>
            </w:r>
            <w:r>
              <w:rPr>
                <w:rFonts w:ascii="Arial" w:hAnsi="Arial" w:cs="Arial"/>
              </w:rPr>
              <w:t xml:space="preserve"> Representation of Data</w:t>
            </w:r>
          </w:p>
          <w:p w14:paraId="2BF6926D" w14:textId="4878DC93" w:rsidR="006B1DE2" w:rsidRDefault="009D72BF" w:rsidP="00AD0155">
            <w:pPr>
              <w:numPr>
                <w:ilvl w:val="0"/>
                <w:numId w:val="18"/>
              </w:numPr>
              <w:spacing w:line="360" w:lineRule="auto"/>
              <w:rPr>
                <w:rFonts w:ascii="Arial" w:hAnsi="Arial" w:cs="Arial"/>
              </w:rPr>
            </w:pPr>
            <w:r>
              <w:rPr>
                <w:rFonts w:ascii="Arial" w:hAnsi="Arial" w:cs="Arial"/>
              </w:rPr>
              <w:t>Avoiding Plagiarism</w:t>
            </w:r>
          </w:p>
          <w:p w14:paraId="6A250D6F" w14:textId="557CA44E" w:rsidR="006B1DE2" w:rsidRDefault="009D72BF" w:rsidP="00AD0155">
            <w:pPr>
              <w:numPr>
                <w:ilvl w:val="0"/>
                <w:numId w:val="18"/>
              </w:numPr>
              <w:spacing w:line="360" w:lineRule="auto"/>
              <w:rPr>
                <w:rFonts w:ascii="Arial" w:hAnsi="Arial" w:cs="Arial"/>
              </w:rPr>
            </w:pPr>
            <w:r>
              <w:rPr>
                <w:rFonts w:ascii="Arial" w:hAnsi="Arial" w:cs="Arial"/>
              </w:rPr>
              <w:t>Ethical Approval</w:t>
            </w:r>
          </w:p>
          <w:p w14:paraId="09F5CF4F" w14:textId="1EBCEEA2" w:rsidR="006B1DE2" w:rsidRPr="006B1DE2" w:rsidRDefault="002F6D4B" w:rsidP="00AD0155">
            <w:pPr>
              <w:numPr>
                <w:ilvl w:val="0"/>
                <w:numId w:val="18"/>
              </w:numPr>
              <w:spacing w:line="360" w:lineRule="auto"/>
              <w:rPr>
                <w:rFonts w:ascii="Arial" w:hAnsi="Arial" w:cs="Arial"/>
              </w:rPr>
            </w:pPr>
            <w:r>
              <w:rPr>
                <w:rFonts w:ascii="Arial" w:hAnsi="Arial" w:cs="Arial"/>
              </w:rPr>
              <w:t>Sensitivity of Vulnerable Groups</w:t>
            </w:r>
          </w:p>
          <w:p w14:paraId="4D4507A7" w14:textId="27BB26D0" w:rsidR="006B1DE2" w:rsidRPr="006B1DE2" w:rsidRDefault="006B1DE2" w:rsidP="006B1DE2">
            <w:pPr>
              <w:rPr>
                <w:rFonts w:ascii="Arial" w:hAnsi="Arial" w:cs="Arial"/>
              </w:rPr>
            </w:pPr>
          </w:p>
        </w:tc>
      </w:tr>
      <w:tr w:rsidR="004642F0" w:rsidRPr="009C48F3" w14:paraId="7D852EB3" w14:textId="77777777" w:rsidTr="00EB6F36">
        <w:trPr>
          <w:trHeight w:val="60"/>
          <w:jc w:val="center"/>
        </w:trPr>
        <w:tc>
          <w:tcPr>
            <w:tcW w:w="4534" w:type="dxa"/>
            <w:vMerge/>
          </w:tcPr>
          <w:p w14:paraId="7218850B" w14:textId="77777777" w:rsidR="004642F0" w:rsidRPr="009C48F3" w:rsidRDefault="004642F0" w:rsidP="00B67824">
            <w:pPr>
              <w:rPr>
                <w:rFonts w:ascii="Arial" w:hAnsi="Arial" w:cs="Arial"/>
              </w:rPr>
            </w:pPr>
          </w:p>
        </w:tc>
        <w:tc>
          <w:tcPr>
            <w:tcW w:w="416" w:type="dxa"/>
            <w:vMerge/>
          </w:tcPr>
          <w:p w14:paraId="31B4DC3A" w14:textId="77777777" w:rsidR="004642F0" w:rsidRPr="009C48F3" w:rsidRDefault="004642F0" w:rsidP="00B67824">
            <w:pPr>
              <w:rPr>
                <w:rFonts w:ascii="Arial" w:hAnsi="Arial" w:cs="Arial"/>
              </w:rPr>
            </w:pPr>
          </w:p>
        </w:tc>
        <w:tc>
          <w:tcPr>
            <w:tcW w:w="4500" w:type="dxa"/>
          </w:tcPr>
          <w:p w14:paraId="02715FD6" w14:textId="77777777" w:rsidR="004642F0" w:rsidRPr="009C48F3" w:rsidRDefault="004642F0" w:rsidP="00C46111">
            <w:pPr>
              <w:rPr>
                <w:rFonts w:ascii="Arial" w:hAnsi="Arial" w:cs="Arial"/>
              </w:rPr>
            </w:pPr>
          </w:p>
        </w:tc>
        <w:tc>
          <w:tcPr>
            <w:tcW w:w="360" w:type="dxa"/>
            <w:vMerge/>
          </w:tcPr>
          <w:p w14:paraId="52764226" w14:textId="77777777" w:rsidR="004642F0" w:rsidRPr="009C48F3" w:rsidRDefault="004642F0" w:rsidP="00B67824">
            <w:pPr>
              <w:rPr>
                <w:rFonts w:ascii="Arial" w:hAnsi="Arial" w:cs="Arial"/>
              </w:rPr>
            </w:pPr>
          </w:p>
        </w:tc>
        <w:tc>
          <w:tcPr>
            <w:tcW w:w="4590" w:type="dxa"/>
            <w:vMerge/>
          </w:tcPr>
          <w:p w14:paraId="1DD4887F" w14:textId="77777777" w:rsidR="004642F0" w:rsidRPr="009C48F3" w:rsidRDefault="004642F0" w:rsidP="004642F0">
            <w:pPr>
              <w:rPr>
                <w:rFonts w:ascii="Arial" w:hAnsi="Arial" w:cs="Arial"/>
                <w:sz w:val="21"/>
              </w:rPr>
            </w:pPr>
          </w:p>
        </w:tc>
      </w:tr>
      <w:tr w:rsidR="004642F0" w:rsidRPr="009C48F3" w14:paraId="6FE6E81E" w14:textId="77777777" w:rsidTr="00EB6F36">
        <w:trPr>
          <w:trHeight w:val="6431"/>
          <w:jc w:val="center"/>
        </w:trPr>
        <w:tc>
          <w:tcPr>
            <w:tcW w:w="4534" w:type="dxa"/>
            <w:vMerge/>
          </w:tcPr>
          <w:p w14:paraId="795D7C90" w14:textId="77777777" w:rsidR="004642F0" w:rsidRPr="009C48F3" w:rsidRDefault="004642F0" w:rsidP="00B67824">
            <w:pPr>
              <w:rPr>
                <w:rFonts w:ascii="Arial" w:hAnsi="Arial" w:cs="Arial"/>
              </w:rPr>
            </w:pPr>
          </w:p>
        </w:tc>
        <w:tc>
          <w:tcPr>
            <w:tcW w:w="416" w:type="dxa"/>
            <w:vMerge/>
          </w:tcPr>
          <w:p w14:paraId="1280A41D" w14:textId="77777777" w:rsidR="004642F0" w:rsidRPr="009C48F3" w:rsidRDefault="004642F0" w:rsidP="00B67824">
            <w:pPr>
              <w:rPr>
                <w:rFonts w:ascii="Arial" w:hAnsi="Arial" w:cs="Arial"/>
              </w:rPr>
            </w:pPr>
          </w:p>
        </w:tc>
        <w:tc>
          <w:tcPr>
            <w:tcW w:w="4500" w:type="dxa"/>
          </w:tcPr>
          <w:p w14:paraId="2DCA1991" w14:textId="60ACA158" w:rsidR="00EB6F36" w:rsidRPr="003A2FC5" w:rsidRDefault="00EB6F36" w:rsidP="00863EEA">
            <w:pPr>
              <w:pStyle w:val="Heading1"/>
              <w:rPr>
                <w:rFonts w:ascii="Arial" w:hAnsi="Arial" w:cs="Arial"/>
                <w:i/>
                <w:iCs/>
              </w:rPr>
            </w:pPr>
            <w:r w:rsidRPr="003A2FC5">
              <w:rPr>
                <w:rFonts w:ascii="Arial" w:hAnsi="Arial" w:cs="Arial"/>
                <w:i/>
                <w:iCs/>
              </w:rPr>
              <w:t xml:space="preserve">Data Collection </w:t>
            </w:r>
            <w:r w:rsidR="00863EEA" w:rsidRPr="003A2FC5">
              <w:rPr>
                <w:rFonts w:ascii="Arial" w:hAnsi="Arial" w:cs="Arial"/>
                <w:i/>
                <w:iCs/>
              </w:rPr>
              <w:t>Method</w:t>
            </w:r>
            <w:r w:rsidR="003A2FC5">
              <w:rPr>
                <w:rFonts w:ascii="Arial" w:hAnsi="Arial" w:cs="Arial"/>
                <w:i/>
                <w:iCs/>
              </w:rPr>
              <w:t>:</w:t>
            </w:r>
          </w:p>
          <w:p w14:paraId="55809010" w14:textId="77777777" w:rsidR="00863EEA" w:rsidRPr="00863EEA" w:rsidRDefault="00863EEA" w:rsidP="00863EEA">
            <w:pPr>
              <w:spacing w:after="160" w:line="360" w:lineRule="auto"/>
              <w:jc w:val="both"/>
              <w:rPr>
                <w:rFonts w:ascii="Arial" w:eastAsia="Calibri" w:hAnsi="Arial" w:cs="Arial"/>
                <w:b/>
                <w:bCs/>
                <w:i/>
                <w:iCs/>
                <w:color w:val="2F5496"/>
              </w:rPr>
            </w:pPr>
            <w:r w:rsidRPr="00863EEA">
              <w:rPr>
                <w:rFonts w:ascii="Arial" w:eastAsia="Calibri" w:hAnsi="Arial" w:cs="Arial"/>
                <w:b/>
                <w:bCs/>
                <w:i/>
                <w:iCs/>
                <w:color w:val="2F5496"/>
              </w:rPr>
              <w:t>Inclusion Criteria</w:t>
            </w:r>
          </w:p>
          <w:p w14:paraId="424B5069" w14:textId="77777777" w:rsidR="00863EEA" w:rsidRDefault="00863EEA" w:rsidP="00863EEA">
            <w:pPr>
              <w:pStyle w:val="ListParagraph"/>
              <w:numPr>
                <w:ilvl w:val="0"/>
                <w:numId w:val="16"/>
              </w:numPr>
              <w:spacing w:before="120" w:after="280" w:line="360" w:lineRule="auto"/>
              <w:jc w:val="both"/>
              <w:rPr>
                <w:rFonts w:ascii="Arial" w:eastAsia="DengXian" w:hAnsi="Arial" w:cs="Arial"/>
              </w:rPr>
            </w:pPr>
            <w:r w:rsidRPr="00863EEA">
              <w:rPr>
                <w:rFonts w:ascii="Arial" w:eastAsia="DengXian" w:hAnsi="Arial" w:cs="Arial"/>
              </w:rPr>
              <w:t>Peer-reviewed primary research studies</w:t>
            </w:r>
          </w:p>
          <w:p w14:paraId="0D21ED48" w14:textId="77777777" w:rsidR="00863EEA" w:rsidRDefault="00863EEA" w:rsidP="00863EEA">
            <w:pPr>
              <w:pStyle w:val="ListParagraph"/>
              <w:numPr>
                <w:ilvl w:val="0"/>
                <w:numId w:val="16"/>
              </w:numPr>
              <w:spacing w:before="120" w:after="280" w:line="360" w:lineRule="auto"/>
              <w:jc w:val="both"/>
              <w:rPr>
                <w:rFonts w:ascii="Arial" w:eastAsia="DengXian" w:hAnsi="Arial" w:cs="Arial"/>
              </w:rPr>
            </w:pPr>
            <w:r w:rsidRPr="00863EEA">
              <w:rPr>
                <w:rFonts w:ascii="Arial" w:eastAsia="DengXian" w:hAnsi="Arial" w:cs="Arial"/>
              </w:rPr>
              <w:t>UK-based research</w:t>
            </w:r>
          </w:p>
          <w:p w14:paraId="2E0D06FC" w14:textId="77777777" w:rsidR="00863EEA" w:rsidRDefault="00863EEA" w:rsidP="00863EEA">
            <w:pPr>
              <w:pStyle w:val="ListParagraph"/>
              <w:numPr>
                <w:ilvl w:val="0"/>
                <w:numId w:val="16"/>
              </w:numPr>
              <w:spacing w:before="120" w:after="280" w:line="360" w:lineRule="auto"/>
              <w:jc w:val="both"/>
              <w:rPr>
                <w:rFonts w:ascii="Arial" w:eastAsia="DengXian" w:hAnsi="Arial" w:cs="Arial"/>
              </w:rPr>
            </w:pPr>
            <w:r w:rsidRPr="00863EEA">
              <w:rPr>
                <w:rFonts w:ascii="Arial" w:eastAsia="DengXian" w:hAnsi="Arial" w:cs="Arial"/>
              </w:rPr>
              <w:t>Studies involving adults with hearing impairments</w:t>
            </w:r>
          </w:p>
          <w:p w14:paraId="15A6C117" w14:textId="56FFCA9F" w:rsidR="00863EEA" w:rsidRPr="00863EEA" w:rsidRDefault="00863EEA" w:rsidP="00863EEA">
            <w:pPr>
              <w:pStyle w:val="ListParagraph"/>
              <w:numPr>
                <w:ilvl w:val="0"/>
                <w:numId w:val="16"/>
              </w:numPr>
              <w:spacing w:before="120" w:after="280" w:line="360" w:lineRule="auto"/>
              <w:jc w:val="both"/>
              <w:rPr>
                <w:rFonts w:ascii="Arial" w:eastAsia="DengXian" w:hAnsi="Arial" w:cs="Arial"/>
              </w:rPr>
            </w:pPr>
            <w:r w:rsidRPr="00863EEA">
              <w:rPr>
                <w:rFonts w:ascii="Arial" w:eastAsia="DengXian" w:hAnsi="Arial" w:cs="Arial"/>
              </w:rPr>
              <w:t>Published between 2015–2025</w:t>
            </w:r>
          </w:p>
          <w:p w14:paraId="394A55DD" w14:textId="77777777" w:rsidR="00863EEA" w:rsidRPr="00863EEA" w:rsidRDefault="00863EEA" w:rsidP="00863EEA">
            <w:pPr>
              <w:spacing w:after="160" w:line="360" w:lineRule="auto"/>
              <w:jc w:val="both"/>
              <w:rPr>
                <w:rFonts w:ascii="Arial" w:eastAsia="Calibri" w:hAnsi="Arial" w:cs="Arial"/>
                <w:b/>
                <w:bCs/>
                <w:i/>
                <w:iCs/>
                <w:color w:val="2F5496"/>
              </w:rPr>
            </w:pPr>
            <w:r w:rsidRPr="00863EEA">
              <w:rPr>
                <w:rFonts w:ascii="Arial" w:eastAsia="Calibri" w:hAnsi="Arial" w:cs="Arial"/>
                <w:b/>
                <w:bCs/>
                <w:i/>
                <w:iCs/>
                <w:color w:val="2F5496"/>
              </w:rPr>
              <w:t>Exclusion Criteria</w:t>
            </w:r>
          </w:p>
          <w:p w14:paraId="73CCD633" w14:textId="77777777" w:rsidR="00863EEA" w:rsidRPr="00863EEA" w:rsidRDefault="00863EEA" w:rsidP="00863EEA">
            <w:pPr>
              <w:pStyle w:val="ListParagraph"/>
              <w:numPr>
                <w:ilvl w:val="0"/>
                <w:numId w:val="12"/>
              </w:numPr>
              <w:spacing w:before="120" w:after="280" w:line="360" w:lineRule="auto"/>
              <w:jc w:val="both"/>
              <w:rPr>
                <w:rFonts w:ascii="Arial" w:eastAsia="DengXian" w:hAnsi="Arial" w:cs="Arial"/>
              </w:rPr>
            </w:pPr>
            <w:r w:rsidRPr="00863EEA">
              <w:rPr>
                <w:rFonts w:ascii="Arial" w:eastAsia="DengXian" w:hAnsi="Arial" w:cs="Arial"/>
              </w:rPr>
              <w:t>Non-UK research</w:t>
            </w:r>
          </w:p>
          <w:p w14:paraId="14425758" w14:textId="77777777" w:rsidR="00863EEA" w:rsidRPr="00863EEA" w:rsidRDefault="00863EEA" w:rsidP="00863EEA">
            <w:pPr>
              <w:pStyle w:val="ListParagraph"/>
              <w:numPr>
                <w:ilvl w:val="0"/>
                <w:numId w:val="12"/>
              </w:numPr>
              <w:spacing w:before="120" w:after="280" w:line="360" w:lineRule="auto"/>
              <w:jc w:val="both"/>
              <w:rPr>
                <w:rFonts w:ascii="Arial" w:eastAsia="DengXian" w:hAnsi="Arial" w:cs="Arial"/>
              </w:rPr>
            </w:pPr>
            <w:r w:rsidRPr="00863EEA">
              <w:rPr>
                <w:rFonts w:ascii="Arial" w:eastAsia="DengXian" w:hAnsi="Arial" w:cs="Arial"/>
              </w:rPr>
              <w:t>Commentary or opinion papers</w:t>
            </w:r>
          </w:p>
          <w:p w14:paraId="0A0BE621" w14:textId="77777777" w:rsidR="00863EEA" w:rsidRPr="00863EEA" w:rsidRDefault="00863EEA" w:rsidP="00863EEA">
            <w:pPr>
              <w:pStyle w:val="ListParagraph"/>
              <w:numPr>
                <w:ilvl w:val="0"/>
                <w:numId w:val="12"/>
              </w:numPr>
              <w:spacing w:before="120" w:after="280" w:line="360" w:lineRule="auto"/>
              <w:jc w:val="both"/>
              <w:rPr>
                <w:rFonts w:ascii="Arial" w:eastAsia="DengXian" w:hAnsi="Arial" w:cs="Arial"/>
              </w:rPr>
            </w:pPr>
            <w:r w:rsidRPr="00863EEA">
              <w:rPr>
                <w:rFonts w:ascii="Arial" w:eastAsia="DengXian" w:hAnsi="Arial" w:cs="Arial"/>
              </w:rPr>
              <w:t>Studies not related to communication or healthcare access</w:t>
            </w:r>
          </w:p>
          <w:p w14:paraId="17912131" w14:textId="5D511127" w:rsidR="00863EEA" w:rsidRPr="00863EEA" w:rsidRDefault="00863EEA" w:rsidP="00863EEA">
            <w:pPr>
              <w:pStyle w:val="ListParagraph"/>
              <w:numPr>
                <w:ilvl w:val="0"/>
                <w:numId w:val="12"/>
              </w:numPr>
              <w:spacing w:before="120" w:after="280" w:line="360" w:lineRule="auto"/>
              <w:jc w:val="both"/>
              <w:rPr>
                <w:rFonts w:ascii="Arial" w:eastAsia="DengXian" w:hAnsi="Arial" w:cs="Arial"/>
              </w:rPr>
            </w:pPr>
            <w:r w:rsidRPr="00863EEA">
              <w:rPr>
                <w:rFonts w:ascii="Arial" w:eastAsia="DengXian" w:hAnsi="Arial" w:cs="Arial"/>
              </w:rPr>
              <w:t>Studies published before 2015</w:t>
            </w:r>
          </w:p>
          <w:p w14:paraId="6C24B37D" w14:textId="5B018AB3" w:rsidR="00EB6F36" w:rsidRPr="006C39C8" w:rsidRDefault="00863EEA" w:rsidP="006C39C8">
            <w:pPr>
              <w:spacing w:after="160" w:line="360" w:lineRule="auto"/>
              <w:jc w:val="both"/>
              <w:rPr>
                <w:rFonts w:ascii="Arial" w:eastAsia="Calibri" w:hAnsi="Arial" w:cs="Arial"/>
                <w:sz w:val="24"/>
              </w:rPr>
            </w:pPr>
            <w:r w:rsidRPr="00863EEA">
              <w:rPr>
                <w:rFonts w:ascii="Arial" w:eastAsia="Calibri" w:hAnsi="Arial" w:cs="Arial"/>
                <w:sz w:val="24"/>
              </w:rPr>
              <w:t>Titles and abstracts were screened for relevance</w:t>
            </w:r>
            <w:r>
              <w:rPr>
                <w:rFonts w:ascii="Arial" w:eastAsia="Calibri" w:hAnsi="Arial" w:cs="Arial"/>
                <w:sz w:val="24"/>
              </w:rPr>
              <w:t>; full texts were then evaluated; and,</w:t>
            </w:r>
            <w:r w:rsidRPr="00863EEA">
              <w:rPr>
                <w:rFonts w:ascii="Arial" w:eastAsia="Calibri" w:hAnsi="Arial" w:cs="Arial"/>
                <w:sz w:val="24"/>
              </w:rPr>
              <w:t xml:space="preserve"> finally, a </w:t>
            </w:r>
            <w:r w:rsidRPr="00863EEA">
              <w:rPr>
                <w:rFonts w:ascii="Arial" w:eastAsia="Calibri" w:hAnsi="Arial" w:cs="Arial"/>
              </w:rPr>
              <w:t>thematic</w:t>
            </w:r>
            <w:r w:rsidRPr="00863EEA">
              <w:rPr>
                <w:rFonts w:ascii="Arial" w:eastAsia="Calibri" w:hAnsi="Arial" w:cs="Arial"/>
                <w:sz w:val="24"/>
              </w:rPr>
              <w:t xml:space="preserve"> synthesis was conducted (Atkins </w:t>
            </w:r>
            <w:r w:rsidRPr="00863EEA">
              <w:rPr>
                <w:rFonts w:ascii="Arial" w:eastAsia="Calibri" w:hAnsi="Arial" w:cs="Arial"/>
                <w:i/>
                <w:iCs/>
                <w:sz w:val="24"/>
              </w:rPr>
              <w:t>et al.</w:t>
            </w:r>
            <w:r w:rsidRPr="00863EEA">
              <w:rPr>
                <w:rFonts w:ascii="Arial" w:eastAsia="Calibri" w:hAnsi="Arial" w:cs="Arial"/>
                <w:sz w:val="24"/>
              </w:rPr>
              <w:t>, 2023).</w:t>
            </w:r>
          </w:p>
        </w:tc>
        <w:tc>
          <w:tcPr>
            <w:tcW w:w="360" w:type="dxa"/>
            <w:vMerge/>
          </w:tcPr>
          <w:p w14:paraId="5706C323" w14:textId="77777777" w:rsidR="004642F0" w:rsidRPr="009C48F3" w:rsidRDefault="004642F0" w:rsidP="00B67824">
            <w:pPr>
              <w:rPr>
                <w:rFonts w:ascii="Arial" w:hAnsi="Arial" w:cs="Arial"/>
              </w:rPr>
            </w:pPr>
          </w:p>
        </w:tc>
        <w:tc>
          <w:tcPr>
            <w:tcW w:w="4590" w:type="dxa"/>
            <w:vMerge/>
          </w:tcPr>
          <w:p w14:paraId="3978F1F4" w14:textId="77777777" w:rsidR="004642F0" w:rsidRPr="009C48F3" w:rsidRDefault="004642F0" w:rsidP="004642F0">
            <w:pPr>
              <w:rPr>
                <w:rFonts w:ascii="Arial" w:hAnsi="Arial" w:cs="Arial"/>
                <w:sz w:val="21"/>
              </w:rPr>
            </w:pPr>
          </w:p>
        </w:tc>
      </w:tr>
    </w:tbl>
    <w:p w14:paraId="0863B5DF" w14:textId="77777777" w:rsidR="00B67824" w:rsidRPr="009C48F3" w:rsidRDefault="00B67824" w:rsidP="00C46111"/>
    <w:p w14:paraId="4081AEDF" w14:textId="77777777" w:rsidR="00942DDF" w:rsidRDefault="00942DDF" w:rsidP="00C46111">
      <w:pPr>
        <w:rPr>
          <w:rFonts w:ascii="Arial" w:hAnsi="Arial" w:cs="Arial"/>
          <w:b/>
          <w:bCs/>
          <w:sz w:val="28"/>
          <w:szCs w:val="28"/>
        </w:rPr>
      </w:pPr>
    </w:p>
    <w:p w14:paraId="0DDD5490" w14:textId="77777777" w:rsidR="00942DDF" w:rsidRDefault="00942DDF" w:rsidP="00C46111">
      <w:pPr>
        <w:rPr>
          <w:rFonts w:ascii="Arial" w:hAnsi="Arial" w:cs="Arial"/>
          <w:b/>
          <w:bCs/>
          <w:sz w:val="28"/>
          <w:szCs w:val="28"/>
        </w:rPr>
      </w:pPr>
    </w:p>
    <w:p w14:paraId="015028F1" w14:textId="77777777" w:rsidR="00942DDF" w:rsidRDefault="00942DDF" w:rsidP="00C46111">
      <w:pPr>
        <w:rPr>
          <w:rFonts w:ascii="Arial" w:hAnsi="Arial" w:cs="Arial"/>
          <w:b/>
          <w:bCs/>
          <w:sz w:val="28"/>
          <w:szCs w:val="28"/>
        </w:rPr>
      </w:pPr>
    </w:p>
    <w:p w14:paraId="489BBCE1" w14:textId="7F01C0D8" w:rsidR="00ED1049" w:rsidRPr="009A07C6" w:rsidRDefault="00ED1049" w:rsidP="00C46111">
      <w:pPr>
        <w:rPr>
          <w:rFonts w:ascii="Arial" w:hAnsi="Arial" w:cs="Arial"/>
          <w:b/>
          <w:bCs/>
          <w:sz w:val="32"/>
          <w:szCs w:val="32"/>
        </w:rPr>
      </w:pPr>
      <w:r w:rsidRPr="009A07C6">
        <w:rPr>
          <w:rFonts w:ascii="Arial" w:hAnsi="Arial" w:cs="Arial"/>
          <w:b/>
          <w:bCs/>
          <w:sz w:val="32"/>
          <w:szCs w:val="32"/>
        </w:rPr>
        <w:lastRenderedPageBreak/>
        <w:t>References</w:t>
      </w:r>
    </w:p>
    <w:p w14:paraId="3EF5673A" w14:textId="391EDECE" w:rsidR="00F10D70" w:rsidRPr="00942DDF" w:rsidRDefault="00EB6F36" w:rsidP="00942DDF">
      <w:pPr>
        <w:rPr>
          <w:rFonts w:ascii="Arial" w:hAnsi="Arial" w:cs="Arial"/>
          <w:sz w:val="24"/>
          <w:szCs w:val="24"/>
        </w:rPr>
      </w:pPr>
      <w:r w:rsidRPr="009C48F3">
        <w:rPr>
          <w:rFonts w:ascii="Arial" w:hAnsi="Arial" w:cs="Arial"/>
          <w:sz w:val="24"/>
          <w:szCs w:val="24"/>
        </w:rPr>
        <w:t xml:space="preserve">   </w:t>
      </w:r>
    </w:p>
    <w:p w14:paraId="6785FAB4" w14:textId="77777777" w:rsidR="00F10D70"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Agyei</w:t>
      </w:r>
      <w:r w:rsidRPr="009C48F3">
        <w:rPr>
          <w:rFonts w:ascii="Cambria Math" w:eastAsia="Times New Roman" w:hAnsi="Cambria Math" w:cs="Cambria Math"/>
          <w:lang w:eastAsia="en-GB"/>
        </w:rPr>
        <w:t>‐</w:t>
      </w:r>
      <w:r w:rsidRPr="009C48F3">
        <w:rPr>
          <w:rFonts w:ascii="Arial" w:eastAsia="Times New Roman" w:hAnsi="Arial" w:cs="Arial"/>
          <w:lang w:eastAsia="en-GB"/>
        </w:rPr>
        <w:t xml:space="preserve">Manu, E. </w:t>
      </w:r>
      <w:r w:rsidRPr="009C48F3">
        <w:rPr>
          <w:rFonts w:ascii="Arial" w:eastAsia="Times New Roman" w:hAnsi="Arial" w:cs="Arial"/>
          <w:i/>
          <w:iCs/>
          <w:lang w:eastAsia="en-GB"/>
        </w:rPr>
        <w:t>et al.</w:t>
      </w:r>
      <w:r w:rsidRPr="009C48F3">
        <w:rPr>
          <w:rFonts w:ascii="Arial" w:eastAsia="Times New Roman" w:hAnsi="Arial" w:cs="Arial"/>
          <w:lang w:eastAsia="en-GB"/>
        </w:rPr>
        <w:t xml:space="preserve"> (2023) “The benefits, challenges, and best practice for patient and public involvement in evidence synthesis: A systematic review and thematic synthesis,” </w:t>
      </w:r>
      <w:r w:rsidRPr="009C48F3">
        <w:rPr>
          <w:rFonts w:ascii="Arial" w:eastAsia="Times New Roman" w:hAnsi="Arial" w:cs="Arial"/>
          <w:i/>
          <w:iCs/>
          <w:lang w:eastAsia="en-GB"/>
        </w:rPr>
        <w:t>Health expectations: an international journal of public participation in health care and health policy,</w:t>
      </w:r>
      <w:r w:rsidRPr="009C48F3">
        <w:rPr>
          <w:rFonts w:ascii="Arial" w:eastAsia="Times New Roman" w:hAnsi="Arial" w:cs="Arial"/>
          <w:lang w:eastAsia="en-GB"/>
        </w:rPr>
        <w:t xml:space="preserve"> 26(4), pp. 1436–1452. Available at: </w:t>
      </w:r>
      <w:hyperlink r:id="rId15" w:history="1">
        <w:r w:rsidRPr="009C48F3">
          <w:rPr>
            <w:rFonts w:ascii="Arial" w:eastAsia="Times New Roman" w:hAnsi="Arial" w:cs="Arial"/>
            <w:color w:val="0563C1"/>
            <w:u w:val="single"/>
            <w:lang w:eastAsia="en-GB"/>
          </w:rPr>
          <w:t>https://doi.org/10.1111/hex.13787</w:t>
        </w:r>
      </w:hyperlink>
      <w:r w:rsidRPr="009C48F3">
        <w:rPr>
          <w:rFonts w:ascii="Arial" w:eastAsia="Times New Roman" w:hAnsi="Arial" w:cs="Arial"/>
          <w:lang w:eastAsia="en-GB"/>
        </w:rPr>
        <w:t>. (Accessed: 1 March 2026).</w:t>
      </w:r>
    </w:p>
    <w:p w14:paraId="19EFB50B" w14:textId="77777777" w:rsidR="00F10D70" w:rsidRPr="009219D0" w:rsidRDefault="00F10D70" w:rsidP="009219D0">
      <w:pPr>
        <w:pStyle w:val="ListParagraph"/>
        <w:numPr>
          <w:ilvl w:val="0"/>
          <w:numId w:val="10"/>
        </w:numPr>
        <w:spacing w:after="0"/>
        <w:rPr>
          <w:rFonts w:ascii="Times New Roman" w:eastAsia="Times New Roman" w:hAnsi="Times New Roman" w:cs="Times New Roman"/>
          <w:sz w:val="24"/>
          <w:szCs w:val="24"/>
          <w:lang w:eastAsia="en-GB"/>
        </w:rPr>
      </w:pPr>
      <w:proofErr w:type="spellStart"/>
      <w:r w:rsidRPr="009219D0">
        <w:rPr>
          <w:rFonts w:ascii="Times New Roman" w:eastAsia="Times New Roman" w:hAnsi="Times New Roman" w:cs="Times New Roman"/>
          <w:sz w:val="24"/>
          <w:szCs w:val="24"/>
          <w:lang w:eastAsia="en-GB"/>
        </w:rPr>
        <w:t>Alkier</w:t>
      </w:r>
      <w:proofErr w:type="spellEnd"/>
      <w:r w:rsidRPr="009219D0">
        <w:rPr>
          <w:rFonts w:ascii="Times New Roman" w:eastAsia="Times New Roman" w:hAnsi="Times New Roman" w:cs="Times New Roman"/>
          <w:sz w:val="24"/>
          <w:szCs w:val="24"/>
          <w:lang w:eastAsia="en-GB"/>
        </w:rPr>
        <w:t xml:space="preserve"> Gildberg, F. and Wilson, R. (2023) “Scientific models for qualitative research: a textual thematic analysis coding system – Part 1,” </w:t>
      </w:r>
      <w:r w:rsidRPr="009219D0">
        <w:rPr>
          <w:rFonts w:ascii="Times New Roman" w:eastAsia="Times New Roman" w:hAnsi="Times New Roman" w:cs="Times New Roman"/>
          <w:i/>
          <w:iCs/>
          <w:sz w:val="24"/>
          <w:szCs w:val="24"/>
          <w:lang w:eastAsia="en-GB"/>
        </w:rPr>
        <w:t>Nurse researcher</w:t>
      </w:r>
      <w:r w:rsidRPr="009219D0">
        <w:rPr>
          <w:rFonts w:ascii="Times New Roman" w:eastAsia="Times New Roman" w:hAnsi="Times New Roman" w:cs="Times New Roman"/>
          <w:sz w:val="24"/>
          <w:szCs w:val="24"/>
          <w:lang w:eastAsia="en-GB"/>
        </w:rPr>
        <w:t xml:space="preserve">, 31(3), pp. 30–35. Available at: </w:t>
      </w:r>
      <w:hyperlink r:id="rId16" w:history="1">
        <w:r w:rsidRPr="00C0194D">
          <w:rPr>
            <w:rStyle w:val="Hyperlink"/>
            <w:rFonts w:ascii="Times New Roman" w:eastAsia="Times New Roman" w:hAnsi="Times New Roman" w:cs="Times New Roman"/>
            <w:sz w:val="24"/>
            <w:szCs w:val="24"/>
            <w:lang w:eastAsia="en-GB"/>
          </w:rPr>
          <w:t>https://doi.org/10.7748/nr.2023.e1860</w:t>
        </w:r>
      </w:hyperlink>
      <w:r w:rsidRPr="009219D0">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16 March 2026).</w:t>
      </w:r>
    </w:p>
    <w:p w14:paraId="1C011ED2"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Begg, C.B. (2017) “Zero tolerance for acronyms,” </w:t>
      </w:r>
      <w:r w:rsidRPr="009C48F3">
        <w:rPr>
          <w:rFonts w:ascii="Arial" w:eastAsia="Times New Roman" w:hAnsi="Arial" w:cs="Arial"/>
          <w:i/>
          <w:iCs/>
          <w:lang w:eastAsia="en-GB"/>
        </w:rPr>
        <w:t>Clinical trials (London, England)</w:t>
      </w:r>
      <w:r w:rsidRPr="009C48F3">
        <w:rPr>
          <w:rFonts w:ascii="Arial" w:eastAsia="Times New Roman" w:hAnsi="Arial" w:cs="Arial"/>
          <w:lang w:eastAsia="en-GB"/>
        </w:rPr>
        <w:t xml:space="preserve">, 14(6), pp. 561–562. Available at: </w:t>
      </w:r>
      <w:hyperlink r:id="rId17" w:history="1">
        <w:r w:rsidRPr="009C48F3">
          <w:rPr>
            <w:rFonts w:ascii="Arial" w:eastAsia="Times New Roman" w:hAnsi="Arial" w:cs="Arial"/>
            <w:color w:val="0563C1"/>
            <w:u w:val="single"/>
            <w:lang w:eastAsia="en-GB"/>
          </w:rPr>
          <w:t>https://doi.org/10.1177/1740774517740570</w:t>
        </w:r>
      </w:hyperlink>
      <w:r w:rsidRPr="009C48F3">
        <w:rPr>
          <w:rFonts w:ascii="Arial" w:eastAsia="Times New Roman" w:hAnsi="Arial" w:cs="Arial"/>
          <w:lang w:eastAsia="en-GB"/>
        </w:rPr>
        <w:t xml:space="preserve"> (Accessed: 28 February 2026).</w:t>
      </w:r>
    </w:p>
    <w:p w14:paraId="72081E20"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Emond, A. </w:t>
      </w:r>
      <w:r w:rsidRPr="009C48F3">
        <w:rPr>
          <w:rFonts w:ascii="Arial" w:eastAsia="Times New Roman" w:hAnsi="Arial" w:cs="Arial"/>
          <w:i/>
          <w:iCs/>
          <w:lang w:eastAsia="en-GB"/>
        </w:rPr>
        <w:t>et al.</w:t>
      </w:r>
      <w:r w:rsidRPr="009C48F3">
        <w:rPr>
          <w:rFonts w:ascii="Arial" w:eastAsia="Times New Roman" w:hAnsi="Arial" w:cs="Arial"/>
          <w:lang w:eastAsia="en-GB"/>
        </w:rPr>
        <w:t xml:space="preserve"> (2015) “The effectiveness of communication strategies used by healthcare professionals when working with d/Deaf patients: a systematic review,” </w:t>
      </w:r>
      <w:r w:rsidRPr="009C48F3">
        <w:rPr>
          <w:rFonts w:ascii="Arial" w:eastAsia="Times New Roman" w:hAnsi="Arial" w:cs="Arial"/>
          <w:i/>
          <w:iCs/>
          <w:lang w:eastAsia="en-GB"/>
        </w:rPr>
        <w:t>Journal of Evaluation in Clinical Practice,</w:t>
      </w:r>
      <w:r w:rsidRPr="009C48F3">
        <w:rPr>
          <w:rFonts w:ascii="Arial" w:eastAsia="Times New Roman" w:hAnsi="Arial" w:cs="Arial"/>
          <w:lang w:eastAsia="en-GB"/>
        </w:rPr>
        <w:t xml:space="preserve"> 21(5), pp. 689–695. Available at: </w:t>
      </w:r>
      <w:hyperlink r:id="rId18" w:history="1">
        <w:r w:rsidRPr="009C48F3">
          <w:rPr>
            <w:rFonts w:ascii="Arial" w:eastAsia="Times New Roman" w:hAnsi="Arial" w:cs="Arial"/>
            <w:color w:val="0563C1"/>
            <w:u w:val="single"/>
            <w:lang w:eastAsia="en-GB"/>
          </w:rPr>
          <w:t>https://doi.org/10.1111/jep.12383</w:t>
        </w:r>
      </w:hyperlink>
      <w:r w:rsidRPr="009C48F3">
        <w:rPr>
          <w:rFonts w:ascii="Arial" w:eastAsia="Times New Roman" w:hAnsi="Arial" w:cs="Arial"/>
          <w:lang w:eastAsia="en-GB"/>
        </w:rPr>
        <w:t xml:space="preserve"> (Accessed: 1 March 2026).</w:t>
      </w:r>
    </w:p>
    <w:p w14:paraId="3C78A889"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Fitzmaurice, K. (2022) “Barriers to healthcare access for adults with hearing loss: a qualitative evidence synthesis</w:t>
      </w:r>
      <w:r w:rsidRPr="009C48F3">
        <w:rPr>
          <w:rFonts w:ascii="Arial" w:eastAsia="Times New Roman" w:hAnsi="Arial" w:cs="Arial"/>
          <w:i/>
          <w:iCs/>
          <w:lang w:eastAsia="en-GB"/>
        </w:rPr>
        <w:t>,” Health Expectations</w:t>
      </w:r>
      <w:r w:rsidRPr="009C48F3">
        <w:rPr>
          <w:rFonts w:ascii="Arial" w:eastAsia="Times New Roman" w:hAnsi="Arial" w:cs="Arial"/>
          <w:lang w:eastAsia="en-GB"/>
        </w:rPr>
        <w:t xml:space="preserve">, 25(4), pp. 1702–1714. Available at: </w:t>
      </w:r>
      <w:hyperlink r:id="rId19" w:history="1">
        <w:r w:rsidRPr="009C48F3">
          <w:rPr>
            <w:rFonts w:ascii="Arial" w:eastAsia="Times New Roman" w:hAnsi="Arial" w:cs="Arial"/>
            <w:color w:val="0563C1"/>
            <w:u w:val="single"/>
            <w:lang w:eastAsia="en-GB"/>
          </w:rPr>
          <w:t>https://doi.org/10.1111/hex.13522</w:t>
        </w:r>
      </w:hyperlink>
      <w:r w:rsidRPr="009C48F3">
        <w:rPr>
          <w:rFonts w:ascii="Arial" w:eastAsia="Times New Roman" w:hAnsi="Arial" w:cs="Arial"/>
          <w:lang w:eastAsia="en-GB"/>
        </w:rPr>
        <w:t xml:space="preserve"> (Accessed: 4 March 2026).</w:t>
      </w:r>
    </w:p>
    <w:p w14:paraId="7BE673CC"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Higgins, J.P.T., Thomas, J., Chandler, J., Cumpston, M., Li, T., Page, M.J., Welch, V.A. (eds). (2022) </w:t>
      </w:r>
      <w:r w:rsidRPr="009C48F3">
        <w:rPr>
          <w:rFonts w:ascii="Arial" w:eastAsia="Times New Roman" w:hAnsi="Arial" w:cs="Arial"/>
          <w:i/>
          <w:iCs/>
          <w:lang w:eastAsia="en-GB"/>
        </w:rPr>
        <w:t>Cochrane Handbook for Systematic Reviews of Interventions version 6.3</w:t>
      </w:r>
      <w:r w:rsidRPr="009C48F3">
        <w:rPr>
          <w:rFonts w:ascii="Arial" w:eastAsia="Times New Roman" w:hAnsi="Arial" w:cs="Arial"/>
          <w:lang w:eastAsia="en-GB"/>
        </w:rPr>
        <w:t xml:space="preserve"> Cochrane. Available at: </w:t>
      </w:r>
      <w:hyperlink r:id="rId20" w:history="1">
        <w:r w:rsidRPr="009C48F3">
          <w:rPr>
            <w:rFonts w:ascii="Arial" w:eastAsia="Times New Roman" w:hAnsi="Arial" w:cs="Arial"/>
            <w:color w:val="0563C1"/>
            <w:u w:val="single"/>
            <w:lang w:eastAsia="en-GB"/>
          </w:rPr>
          <w:t>www.training.cochrane.org/handbook</w:t>
        </w:r>
      </w:hyperlink>
      <w:r w:rsidRPr="009C48F3">
        <w:rPr>
          <w:rFonts w:ascii="Arial" w:eastAsia="Times New Roman" w:hAnsi="Arial" w:cs="Arial"/>
          <w:lang w:eastAsia="en-GB"/>
        </w:rPr>
        <w:t xml:space="preserve"> (Accessed: 27 February 2026). </w:t>
      </w:r>
    </w:p>
    <w:p w14:paraId="52F545C1" w14:textId="77777777" w:rsidR="00F10D70" w:rsidRPr="004E5568" w:rsidRDefault="00F10D70" w:rsidP="004E5568">
      <w:pPr>
        <w:pStyle w:val="ListParagraph"/>
        <w:numPr>
          <w:ilvl w:val="0"/>
          <w:numId w:val="10"/>
        </w:numPr>
        <w:spacing w:after="0"/>
        <w:rPr>
          <w:rFonts w:ascii="Times New Roman" w:eastAsia="Times New Roman" w:hAnsi="Times New Roman" w:cs="Times New Roman"/>
          <w:sz w:val="24"/>
          <w:szCs w:val="24"/>
          <w:lang w:eastAsia="en-GB"/>
        </w:rPr>
      </w:pPr>
      <w:r w:rsidRPr="004E5568">
        <w:rPr>
          <w:rFonts w:ascii="Times New Roman" w:eastAsia="Times New Roman" w:hAnsi="Times New Roman" w:cs="Times New Roman"/>
          <w:sz w:val="24"/>
          <w:szCs w:val="24"/>
          <w:lang w:eastAsia="en-GB"/>
        </w:rPr>
        <w:t xml:space="preserve">Irwin, S. and Winterton, M. (2012) “Qualitative Secondary Analysis and Social Explanation,” </w:t>
      </w:r>
      <w:r w:rsidRPr="004E5568">
        <w:rPr>
          <w:rFonts w:ascii="Times New Roman" w:eastAsia="Times New Roman" w:hAnsi="Times New Roman" w:cs="Times New Roman"/>
          <w:i/>
          <w:iCs/>
          <w:sz w:val="24"/>
          <w:szCs w:val="24"/>
          <w:lang w:eastAsia="en-GB"/>
        </w:rPr>
        <w:t>Sociological research online</w:t>
      </w:r>
      <w:r w:rsidRPr="004E5568">
        <w:rPr>
          <w:rFonts w:ascii="Times New Roman" w:eastAsia="Times New Roman" w:hAnsi="Times New Roman" w:cs="Times New Roman"/>
          <w:sz w:val="24"/>
          <w:szCs w:val="24"/>
          <w:lang w:eastAsia="en-GB"/>
        </w:rPr>
        <w:t xml:space="preserve">, 17(2), pp. 1–12. Available at: </w:t>
      </w:r>
      <w:hyperlink r:id="rId21" w:history="1">
        <w:r w:rsidRPr="00C0194D">
          <w:rPr>
            <w:rStyle w:val="Hyperlink"/>
            <w:rFonts w:ascii="Times New Roman" w:eastAsia="Times New Roman" w:hAnsi="Times New Roman" w:cs="Times New Roman"/>
            <w:sz w:val="24"/>
            <w:szCs w:val="24"/>
            <w:lang w:eastAsia="en-GB"/>
          </w:rPr>
          <w:t>https://doi.org/10.5153/sro.2626</w:t>
        </w:r>
      </w:hyperlink>
      <w:r w:rsidRPr="004E556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 Accessed: 16 March 2026).</w:t>
      </w:r>
    </w:p>
    <w:p w14:paraId="2681E5A4" w14:textId="77777777" w:rsidR="00F10D70" w:rsidRPr="00C73E2C" w:rsidRDefault="00F10D70" w:rsidP="00C73E2C">
      <w:pPr>
        <w:pStyle w:val="ListParagraph"/>
        <w:numPr>
          <w:ilvl w:val="0"/>
          <w:numId w:val="10"/>
        </w:numPr>
        <w:spacing w:after="0" w:line="360" w:lineRule="auto"/>
        <w:rPr>
          <w:rFonts w:ascii="Times New Roman" w:eastAsia="Times New Roman" w:hAnsi="Times New Roman" w:cs="Times New Roman"/>
          <w:lang w:eastAsia="en-GB"/>
        </w:rPr>
      </w:pPr>
      <w:r w:rsidRPr="00C73E2C">
        <w:rPr>
          <w:rFonts w:ascii="Times New Roman" w:eastAsia="Times New Roman" w:hAnsi="Times New Roman" w:cs="Times New Roman"/>
          <w:lang w:eastAsia="en-GB"/>
        </w:rPr>
        <w:t>Mayo</w:t>
      </w:r>
      <w:r w:rsidRPr="00C73E2C">
        <w:rPr>
          <w:rFonts w:ascii="Cambria Math" w:eastAsia="Times New Roman" w:hAnsi="Cambria Math" w:cs="Cambria Math"/>
          <w:lang w:eastAsia="en-GB"/>
        </w:rPr>
        <w:t>‐</w:t>
      </w:r>
      <w:r w:rsidRPr="00C73E2C">
        <w:rPr>
          <w:rFonts w:ascii="Times New Roman" w:eastAsia="Times New Roman" w:hAnsi="Times New Roman" w:cs="Times New Roman"/>
          <w:lang w:eastAsia="en-GB"/>
        </w:rPr>
        <w:t xml:space="preserve">Wilson, E. </w:t>
      </w:r>
      <w:r w:rsidRPr="00C73E2C">
        <w:rPr>
          <w:rFonts w:ascii="Times New Roman" w:eastAsia="Times New Roman" w:hAnsi="Times New Roman" w:cs="Times New Roman"/>
          <w:i/>
          <w:iCs/>
          <w:lang w:eastAsia="en-GB"/>
        </w:rPr>
        <w:t>et al.</w:t>
      </w:r>
      <w:r w:rsidRPr="00C73E2C">
        <w:rPr>
          <w:rFonts w:ascii="Times New Roman" w:eastAsia="Times New Roman" w:hAnsi="Times New Roman" w:cs="Times New Roman"/>
          <w:lang w:eastAsia="en-GB"/>
        </w:rPr>
        <w:t xml:space="preserve"> (2018) “Practical guidance for using multiple data sources in systematic reviews and meta</w:t>
      </w:r>
      <w:r w:rsidRPr="00C73E2C">
        <w:rPr>
          <w:rFonts w:ascii="Cambria Math" w:eastAsia="Times New Roman" w:hAnsi="Cambria Math" w:cs="Cambria Math"/>
          <w:lang w:eastAsia="en-GB"/>
        </w:rPr>
        <w:t>‐</w:t>
      </w:r>
      <w:r w:rsidRPr="00C73E2C">
        <w:rPr>
          <w:rFonts w:ascii="Times New Roman" w:eastAsia="Times New Roman" w:hAnsi="Times New Roman" w:cs="Times New Roman"/>
          <w:lang w:eastAsia="en-GB"/>
        </w:rPr>
        <w:t>analyses (with examples from the MUDS study),</w:t>
      </w:r>
      <w:r w:rsidRPr="00C73E2C">
        <w:rPr>
          <w:rFonts w:ascii="Century Schoolbook" w:eastAsia="Times New Roman" w:hAnsi="Century Schoolbook" w:cs="Century Schoolbook"/>
          <w:lang w:eastAsia="en-GB"/>
        </w:rPr>
        <w:t>”</w:t>
      </w:r>
      <w:r w:rsidRPr="00C73E2C">
        <w:rPr>
          <w:rFonts w:ascii="Times New Roman" w:eastAsia="Times New Roman" w:hAnsi="Times New Roman" w:cs="Times New Roman"/>
          <w:lang w:eastAsia="en-GB"/>
        </w:rPr>
        <w:t xml:space="preserve"> </w:t>
      </w:r>
      <w:r w:rsidRPr="00C73E2C">
        <w:rPr>
          <w:rFonts w:ascii="Times New Roman" w:eastAsia="Times New Roman" w:hAnsi="Times New Roman" w:cs="Times New Roman"/>
          <w:i/>
          <w:iCs/>
          <w:lang w:eastAsia="en-GB"/>
        </w:rPr>
        <w:t>Research synthesis methods</w:t>
      </w:r>
      <w:r w:rsidRPr="00C73E2C">
        <w:rPr>
          <w:rFonts w:ascii="Times New Roman" w:eastAsia="Times New Roman" w:hAnsi="Times New Roman" w:cs="Times New Roman"/>
          <w:lang w:eastAsia="en-GB"/>
        </w:rPr>
        <w:t xml:space="preserve">, 9(1), pp. 2–12. Available at: </w:t>
      </w:r>
      <w:hyperlink r:id="rId22" w:history="1">
        <w:r w:rsidRPr="00C73E2C">
          <w:rPr>
            <w:rStyle w:val="Hyperlink"/>
            <w:rFonts w:ascii="Times New Roman" w:eastAsia="Times New Roman" w:hAnsi="Times New Roman" w:cs="Times New Roman"/>
            <w:lang w:eastAsia="en-GB"/>
          </w:rPr>
          <w:t>https://doi.org/10.1002/jrsm.1277</w:t>
        </w:r>
      </w:hyperlink>
      <w:r w:rsidRPr="00C73E2C">
        <w:rPr>
          <w:rFonts w:ascii="Times New Roman" w:eastAsia="Times New Roman" w:hAnsi="Times New Roman" w:cs="Times New Roman"/>
          <w:lang w:eastAsia="en-GB"/>
        </w:rPr>
        <w:t>. (Accessed:16 March 2026).</w:t>
      </w:r>
    </w:p>
    <w:p w14:paraId="605386F7" w14:textId="77777777" w:rsidR="00F10D70" w:rsidRPr="009C48F3" w:rsidRDefault="00F10D70" w:rsidP="00C73E2C">
      <w:pPr>
        <w:numPr>
          <w:ilvl w:val="0"/>
          <w:numId w:val="10"/>
        </w:numPr>
        <w:spacing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  </w:t>
      </w:r>
      <w:proofErr w:type="spellStart"/>
      <w:r w:rsidRPr="009C48F3">
        <w:rPr>
          <w:rFonts w:ascii="Arial" w:eastAsia="Times New Roman" w:hAnsi="Arial" w:cs="Arial"/>
          <w:lang w:eastAsia="en-GB"/>
        </w:rPr>
        <w:t>Moriña</w:t>
      </w:r>
      <w:proofErr w:type="spellEnd"/>
      <w:r w:rsidRPr="009C48F3">
        <w:rPr>
          <w:rFonts w:ascii="Arial" w:eastAsia="Times New Roman" w:hAnsi="Arial" w:cs="Arial"/>
          <w:lang w:eastAsia="en-GB"/>
        </w:rPr>
        <w:t xml:space="preserve">, A. (2021) “When people matter: The ethics of qualitative research in the health and social sciences,” </w:t>
      </w:r>
      <w:r w:rsidRPr="009C48F3">
        <w:rPr>
          <w:rFonts w:ascii="Arial" w:eastAsia="Times New Roman" w:hAnsi="Arial" w:cs="Arial"/>
          <w:i/>
          <w:iCs/>
          <w:lang w:eastAsia="en-GB"/>
        </w:rPr>
        <w:t>Health &amp; social care in the community</w:t>
      </w:r>
      <w:r w:rsidRPr="009C48F3">
        <w:rPr>
          <w:rFonts w:ascii="Arial" w:eastAsia="Times New Roman" w:hAnsi="Arial" w:cs="Arial"/>
          <w:lang w:eastAsia="en-GB"/>
        </w:rPr>
        <w:t xml:space="preserve">, 29(5), pp. 1559–1565. Available at: </w:t>
      </w:r>
      <w:hyperlink r:id="rId23" w:history="1">
        <w:r w:rsidRPr="009C48F3">
          <w:rPr>
            <w:rFonts w:ascii="Arial" w:eastAsia="Times New Roman" w:hAnsi="Arial" w:cs="Arial"/>
            <w:color w:val="0563C1"/>
            <w:u w:val="single"/>
            <w:lang w:eastAsia="en-GB"/>
          </w:rPr>
          <w:t>https://doi.org/10.1111/hsc.13221</w:t>
        </w:r>
      </w:hyperlink>
      <w:r w:rsidRPr="009C48F3">
        <w:rPr>
          <w:rFonts w:ascii="Arial" w:eastAsia="Times New Roman" w:hAnsi="Arial" w:cs="Arial"/>
          <w:lang w:eastAsia="en-GB"/>
        </w:rPr>
        <w:t>. (Accessed: 01 March 2026).</w:t>
      </w:r>
    </w:p>
    <w:p w14:paraId="7F6D8905"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NHS England (2016)</w:t>
      </w:r>
      <w:r w:rsidRPr="009C48F3">
        <w:rPr>
          <w:rFonts w:ascii="Arial" w:eastAsia="Times New Roman" w:hAnsi="Arial" w:cs="Arial"/>
          <w:i/>
          <w:iCs/>
          <w:lang w:eastAsia="en-GB"/>
        </w:rPr>
        <w:t xml:space="preserve"> Accessible Information Standard: Specification</w:t>
      </w:r>
      <w:r w:rsidRPr="009C48F3">
        <w:rPr>
          <w:rFonts w:ascii="Arial" w:eastAsia="Times New Roman" w:hAnsi="Arial" w:cs="Arial"/>
          <w:lang w:eastAsia="en-GB"/>
        </w:rPr>
        <w:t xml:space="preserve">. Available at: </w:t>
      </w:r>
      <w:hyperlink r:id="rId24" w:history="1">
        <w:r w:rsidRPr="009C48F3">
          <w:rPr>
            <w:rFonts w:ascii="Arial" w:eastAsia="Times New Roman" w:hAnsi="Arial" w:cs="Arial"/>
            <w:color w:val="0563C1"/>
            <w:u w:val="single"/>
            <w:lang w:eastAsia="en-GB"/>
          </w:rPr>
          <w:t>https://www.england.nhs.uk/ourwork/accessibleinfo/</w:t>
        </w:r>
      </w:hyperlink>
      <w:r w:rsidRPr="009C48F3">
        <w:rPr>
          <w:rFonts w:ascii="Arial" w:eastAsia="Times New Roman" w:hAnsi="Arial" w:cs="Arial"/>
          <w:lang w:eastAsia="en-GB"/>
        </w:rPr>
        <w:t xml:space="preserve"> (Accessed: 25 February 2026).</w:t>
      </w:r>
    </w:p>
    <w:p w14:paraId="282E761C"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C73E2C">
        <w:rPr>
          <w:rFonts w:ascii="Arial" w:eastAsia="Times New Roman" w:hAnsi="Arial" w:cs="Arial"/>
          <w:lang w:eastAsia="en-GB"/>
        </w:rPr>
        <w:t xml:space="preserve">NHS England (2016) </w:t>
      </w:r>
      <w:r w:rsidRPr="00C73E2C">
        <w:rPr>
          <w:rFonts w:ascii="Arial" w:eastAsia="Times New Roman" w:hAnsi="Arial" w:cs="Arial"/>
          <w:i/>
          <w:iCs/>
          <w:lang w:eastAsia="en-GB"/>
        </w:rPr>
        <w:t>Commissioning services for people with hearing loss: A framework for clinical commissioning groups.</w:t>
      </w:r>
      <w:r w:rsidRPr="00C73E2C">
        <w:rPr>
          <w:rFonts w:ascii="Arial" w:eastAsia="Times New Roman" w:hAnsi="Arial" w:cs="Arial"/>
          <w:lang w:eastAsia="en-GB"/>
        </w:rPr>
        <w:t xml:space="preserve"> Available at: https://www.england.nhs.uk/wp-content/uploads/2016/07/HLCF.pdf (Accessed: 16 March 2026).</w:t>
      </w:r>
    </w:p>
    <w:p w14:paraId="1975DC3A" w14:textId="77777777" w:rsidR="00F10D70" w:rsidRPr="00C73E2C"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NICE (2018) </w:t>
      </w:r>
      <w:r w:rsidRPr="009C48F3">
        <w:rPr>
          <w:rFonts w:ascii="Arial" w:eastAsia="Times New Roman" w:hAnsi="Arial" w:cs="Arial"/>
          <w:i/>
          <w:iCs/>
          <w:lang w:eastAsia="en-GB"/>
        </w:rPr>
        <w:t xml:space="preserve">Hearing Loss in Adults: Assessment and Management (NG98). </w:t>
      </w:r>
      <w:r w:rsidRPr="009C48F3">
        <w:rPr>
          <w:rFonts w:ascii="Arial" w:eastAsia="Times New Roman" w:hAnsi="Arial" w:cs="Arial"/>
          <w:lang w:eastAsia="en-GB"/>
        </w:rPr>
        <w:t xml:space="preserve">Available at: </w:t>
      </w:r>
      <w:hyperlink r:id="rId25" w:history="1">
        <w:r w:rsidRPr="009C48F3">
          <w:rPr>
            <w:rFonts w:ascii="Arial" w:eastAsia="Times New Roman" w:hAnsi="Arial" w:cs="Arial"/>
            <w:color w:val="0563C1"/>
            <w:u w:val="single"/>
            <w:lang w:eastAsia="en-GB"/>
          </w:rPr>
          <w:t>https://www.nice.org.uk/guidance/ng98</w:t>
        </w:r>
      </w:hyperlink>
      <w:r w:rsidRPr="009C48F3">
        <w:rPr>
          <w:rFonts w:ascii="Arial" w:eastAsia="Times New Roman" w:hAnsi="Arial" w:cs="Arial"/>
          <w:lang w:eastAsia="en-GB"/>
        </w:rPr>
        <w:t xml:space="preserve"> (Accessed: 26 February 2026).</w:t>
      </w:r>
    </w:p>
    <w:p w14:paraId="598E5E8E" w14:textId="77777777" w:rsidR="00F10D70"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C73E2C">
        <w:rPr>
          <w:rFonts w:ascii="Arial" w:eastAsia="Times New Roman" w:hAnsi="Arial" w:cs="Arial"/>
          <w:lang w:eastAsia="en-GB"/>
        </w:rPr>
        <w:lastRenderedPageBreak/>
        <w:t xml:space="preserve">OutsideClinic (n.d.) </w:t>
      </w:r>
      <w:r w:rsidRPr="00C73E2C">
        <w:rPr>
          <w:rFonts w:ascii="Arial" w:eastAsia="Times New Roman" w:hAnsi="Arial" w:cs="Arial"/>
          <w:i/>
          <w:iCs/>
          <w:lang w:eastAsia="en-GB"/>
        </w:rPr>
        <w:t>Free hearing test at home</w:t>
      </w:r>
      <w:r w:rsidRPr="00C73E2C">
        <w:rPr>
          <w:rFonts w:ascii="Arial" w:eastAsia="Times New Roman" w:hAnsi="Arial" w:cs="Arial"/>
          <w:lang w:eastAsia="en-GB"/>
        </w:rPr>
        <w:t>. Available at: https://www.outsideclinic.co.uk/free-hearing-test-at-home (Accessed: 16 March 2026).</w:t>
      </w:r>
    </w:p>
    <w:p w14:paraId="45CE6459" w14:textId="77777777" w:rsidR="00F10D70" w:rsidRPr="00C73E2C"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Panko, T.L. </w:t>
      </w:r>
      <w:r w:rsidRPr="009C48F3">
        <w:rPr>
          <w:rFonts w:ascii="Arial" w:eastAsia="Times New Roman" w:hAnsi="Arial" w:cs="Arial"/>
          <w:i/>
          <w:iCs/>
          <w:lang w:eastAsia="en-GB"/>
        </w:rPr>
        <w:t>et al.</w:t>
      </w:r>
      <w:r w:rsidRPr="009C48F3">
        <w:rPr>
          <w:rFonts w:ascii="Arial" w:eastAsia="Times New Roman" w:hAnsi="Arial" w:cs="Arial"/>
          <w:lang w:eastAsia="en-GB"/>
        </w:rPr>
        <w:t xml:space="preserve"> (2023) “Experiences of pregnancy and perinatal healthcare access of women who are deaf: a qualitative study,” </w:t>
      </w:r>
      <w:r w:rsidRPr="009C48F3">
        <w:rPr>
          <w:rFonts w:ascii="Arial" w:eastAsia="Times New Roman" w:hAnsi="Arial" w:cs="Arial"/>
          <w:i/>
          <w:iCs/>
          <w:lang w:eastAsia="en-GB"/>
        </w:rPr>
        <w:t>BJOG : an international journal of obstetrics and gynaecology</w:t>
      </w:r>
      <w:r w:rsidRPr="009C48F3">
        <w:rPr>
          <w:rFonts w:ascii="Arial" w:eastAsia="Times New Roman" w:hAnsi="Arial" w:cs="Arial"/>
          <w:lang w:eastAsia="en-GB"/>
        </w:rPr>
        <w:t xml:space="preserve">, 130(5), pp. 514–521. Available at: </w:t>
      </w:r>
      <w:hyperlink r:id="rId26" w:history="1">
        <w:r w:rsidRPr="009C48F3">
          <w:rPr>
            <w:rFonts w:ascii="Arial" w:eastAsia="Times New Roman" w:hAnsi="Arial" w:cs="Arial"/>
            <w:color w:val="0563C1"/>
            <w:u w:val="single"/>
            <w:lang w:eastAsia="en-GB"/>
          </w:rPr>
          <w:t>https://doi.org/10.1111/1471-0528.17300</w:t>
        </w:r>
      </w:hyperlink>
      <w:r w:rsidRPr="009C48F3">
        <w:rPr>
          <w:rFonts w:ascii="Arial" w:eastAsia="Times New Roman" w:hAnsi="Arial" w:cs="Arial"/>
          <w:lang w:eastAsia="en-GB"/>
        </w:rPr>
        <w:t>. (Accessed: 28 February 2026).</w:t>
      </w:r>
    </w:p>
    <w:p w14:paraId="19EC805A" w14:textId="77777777" w:rsidR="00F10D70" w:rsidRPr="009C48F3" w:rsidRDefault="00F10D70" w:rsidP="00C73E2C">
      <w:pPr>
        <w:numPr>
          <w:ilvl w:val="0"/>
          <w:numId w:val="10"/>
        </w:numPr>
        <w:spacing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Parmar, B. </w:t>
      </w:r>
      <w:r w:rsidRPr="009C48F3">
        <w:rPr>
          <w:rFonts w:ascii="Arial" w:eastAsia="Times New Roman" w:hAnsi="Arial" w:cs="Arial"/>
          <w:i/>
          <w:iCs/>
          <w:lang w:eastAsia="en-GB"/>
        </w:rPr>
        <w:t>et al.</w:t>
      </w:r>
      <w:r w:rsidRPr="009C48F3">
        <w:rPr>
          <w:rFonts w:ascii="Arial" w:eastAsia="Times New Roman" w:hAnsi="Arial" w:cs="Arial"/>
          <w:lang w:eastAsia="en-GB"/>
        </w:rPr>
        <w:t xml:space="preserve"> (2025) “‘I always feel like I’m the first deaf person they have ever met:’ Deaf Awareness, Accessibility and Communication in the United Kingdom’s National Health Service (NHS): How can we do better?” </w:t>
      </w:r>
      <w:proofErr w:type="spellStart"/>
      <w:r w:rsidRPr="009C48F3">
        <w:rPr>
          <w:rFonts w:ascii="Arial" w:eastAsia="Times New Roman" w:hAnsi="Arial" w:cs="Arial"/>
          <w:i/>
          <w:iCs/>
          <w:lang w:eastAsia="en-GB"/>
        </w:rPr>
        <w:t>PloS</w:t>
      </w:r>
      <w:proofErr w:type="spellEnd"/>
      <w:r w:rsidRPr="009C48F3">
        <w:rPr>
          <w:rFonts w:ascii="Arial" w:eastAsia="Times New Roman" w:hAnsi="Arial" w:cs="Arial"/>
          <w:i/>
          <w:iCs/>
          <w:lang w:eastAsia="en-GB"/>
        </w:rPr>
        <w:t xml:space="preserve"> one</w:t>
      </w:r>
      <w:r w:rsidRPr="009C48F3">
        <w:rPr>
          <w:rFonts w:ascii="Arial" w:eastAsia="Times New Roman" w:hAnsi="Arial" w:cs="Arial"/>
          <w:lang w:eastAsia="en-GB"/>
        </w:rPr>
        <w:t xml:space="preserve">, 20(5), p. e0322850. Available at: </w:t>
      </w:r>
      <w:hyperlink r:id="rId27" w:history="1">
        <w:r w:rsidRPr="009C48F3">
          <w:rPr>
            <w:rFonts w:ascii="Arial" w:eastAsia="Times New Roman" w:hAnsi="Arial" w:cs="Arial"/>
            <w:color w:val="0563C1"/>
            <w:u w:val="single"/>
            <w:lang w:eastAsia="en-GB"/>
          </w:rPr>
          <w:t>https://doi.org/10.1371/journal.pone.0322850</w:t>
        </w:r>
      </w:hyperlink>
      <w:r w:rsidRPr="009C48F3">
        <w:rPr>
          <w:rFonts w:ascii="Arial" w:eastAsia="Times New Roman" w:hAnsi="Arial" w:cs="Arial"/>
          <w:lang w:eastAsia="en-GB"/>
        </w:rPr>
        <w:t>. (Accessed 4 March 2026).</w:t>
      </w:r>
    </w:p>
    <w:p w14:paraId="2104C441" w14:textId="77777777" w:rsidR="00F10D70" w:rsidRPr="009C48F3" w:rsidRDefault="00F10D70" w:rsidP="00C73E2C">
      <w:pPr>
        <w:numPr>
          <w:ilvl w:val="0"/>
          <w:numId w:val="10"/>
        </w:numPr>
        <w:spacing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Pryce, H. </w:t>
      </w:r>
      <w:r w:rsidRPr="009C48F3">
        <w:rPr>
          <w:rFonts w:ascii="Arial" w:eastAsia="Times New Roman" w:hAnsi="Arial" w:cs="Arial"/>
          <w:i/>
          <w:iCs/>
          <w:lang w:eastAsia="en-GB"/>
        </w:rPr>
        <w:t>et al.</w:t>
      </w:r>
      <w:r w:rsidRPr="009C48F3">
        <w:rPr>
          <w:rFonts w:ascii="Arial" w:eastAsia="Times New Roman" w:hAnsi="Arial" w:cs="Arial"/>
          <w:lang w:eastAsia="en-GB"/>
        </w:rPr>
        <w:t xml:space="preserve"> (2023) “Protocol for a qualitative study exploring the lived experience of hearing loss and patient-reported experience in the UK: the </w:t>
      </w:r>
      <w:proofErr w:type="spellStart"/>
      <w:r w:rsidRPr="009C48F3">
        <w:rPr>
          <w:rFonts w:ascii="Arial" w:eastAsia="Times New Roman" w:hAnsi="Arial" w:cs="Arial"/>
          <w:lang w:eastAsia="en-GB"/>
        </w:rPr>
        <w:t>HeLP</w:t>
      </w:r>
      <w:proofErr w:type="spellEnd"/>
      <w:r w:rsidRPr="009C48F3">
        <w:rPr>
          <w:rFonts w:ascii="Arial" w:eastAsia="Times New Roman" w:hAnsi="Arial" w:cs="Arial"/>
          <w:lang w:eastAsia="en-GB"/>
        </w:rPr>
        <w:t xml:space="preserve"> study,” </w:t>
      </w:r>
      <w:r w:rsidRPr="009C48F3">
        <w:rPr>
          <w:rFonts w:ascii="Arial" w:eastAsia="Times New Roman" w:hAnsi="Arial" w:cs="Arial"/>
          <w:i/>
          <w:iCs/>
          <w:lang w:eastAsia="en-GB"/>
        </w:rPr>
        <w:t>BMJ Open</w:t>
      </w:r>
      <w:r w:rsidRPr="009C48F3">
        <w:rPr>
          <w:rFonts w:ascii="Arial" w:eastAsia="Times New Roman" w:hAnsi="Arial" w:cs="Arial"/>
          <w:lang w:eastAsia="en-GB"/>
        </w:rPr>
        <w:t xml:space="preserve">, 13(6), p. e069363. Available at: </w:t>
      </w:r>
      <w:hyperlink r:id="rId28" w:history="1">
        <w:r w:rsidRPr="009C48F3">
          <w:rPr>
            <w:rFonts w:ascii="Arial" w:eastAsia="Times New Roman" w:hAnsi="Arial" w:cs="Arial"/>
            <w:color w:val="0563C1"/>
            <w:u w:val="single"/>
            <w:lang w:eastAsia="en-GB"/>
          </w:rPr>
          <w:t>https://doi.org/10.1136/bmjopen-2022-069363</w:t>
        </w:r>
      </w:hyperlink>
      <w:r w:rsidRPr="009C48F3">
        <w:rPr>
          <w:rFonts w:ascii="Arial" w:eastAsia="Times New Roman" w:hAnsi="Arial" w:cs="Arial"/>
          <w:lang w:eastAsia="en-GB"/>
        </w:rPr>
        <w:t>. (Accessed: 1 March 2026).</w:t>
      </w:r>
    </w:p>
    <w:p w14:paraId="4EE9B6FF"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RNID (2024) </w:t>
      </w:r>
      <w:r w:rsidRPr="009C48F3">
        <w:rPr>
          <w:rFonts w:ascii="Arial" w:eastAsia="Times New Roman" w:hAnsi="Arial" w:cs="Arial"/>
          <w:i/>
          <w:iCs/>
          <w:lang w:eastAsia="en-GB"/>
        </w:rPr>
        <w:t xml:space="preserve">Hearing Loss Statistics in the UK. </w:t>
      </w:r>
      <w:r w:rsidRPr="009C48F3">
        <w:rPr>
          <w:rFonts w:ascii="Arial" w:eastAsia="Times New Roman" w:hAnsi="Arial" w:cs="Arial"/>
          <w:lang w:eastAsia="en-GB"/>
        </w:rPr>
        <w:t xml:space="preserve">Available at: </w:t>
      </w:r>
      <w:hyperlink r:id="rId29" w:history="1">
        <w:r w:rsidRPr="009C48F3">
          <w:rPr>
            <w:rFonts w:ascii="Arial" w:eastAsia="Times New Roman" w:hAnsi="Arial" w:cs="Arial"/>
            <w:color w:val="0563C1"/>
            <w:u w:val="single"/>
            <w:lang w:eastAsia="en-GB"/>
          </w:rPr>
          <w:t>https://rnid.org.uk/information-and-support/statistics/</w:t>
        </w:r>
      </w:hyperlink>
      <w:r w:rsidRPr="009C48F3">
        <w:rPr>
          <w:rFonts w:ascii="Arial" w:eastAsia="Times New Roman" w:hAnsi="Arial" w:cs="Arial"/>
          <w:lang w:eastAsia="en-GB"/>
        </w:rPr>
        <w:t xml:space="preserve"> (Accessed: 26 February 2026).</w:t>
      </w:r>
    </w:p>
    <w:p w14:paraId="771E361E"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proofErr w:type="spellStart"/>
      <w:r w:rsidRPr="009C48F3">
        <w:rPr>
          <w:rFonts w:ascii="Arial" w:eastAsia="Times New Roman" w:hAnsi="Arial" w:cs="Arial"/>
          <w:lang w:eastAsia="en-GB"/>
        </w:rPr>
        <w:t>SignHealth</w:t>
      </w:r>
      <w:proofErr w:type="spellEnd"/>
      <w:r w:rsidRPr="009C48F3">
        <w:rPr>
          <w:rFonts w:ascii="Arial" w:eastAsia="Times New Roman" w:hAnsi="Arial" w:cs="Arial"/>
          <w:lang w:eastAsia="en-GB"/>
        </w:rPr>
        <w:t xml:space="preserve"> (2022). </w:t>
      </w:r>
      <w:r w:rsidRPr="009C48F3">
        <w:rPr>
          <w:rFonts w:ascii="Arial" w:eastAsia="Times New Roman" w:hAnsi="Arial" w:cs="Arial"/>
          <w:i/>
          <w:iCs/>
          <w:lang w:eastAsia="en-GB"/>
        </w:rPr>
        <w:t>Deaf People and Health Inequalities Report</w:t>
      </w:r>
      <w:r w:rsidRPr="009C48F3">
        <w:rPr>
          <w:rFonts w:ascii="Arial" w:eastAsia="Times New Roman" w:hAnsi="Arial" w:cs="Arial"/>
          <w:lang w:eastAsia="en-GB"/>
        </w:rPr>
        <w:t xml:space="preserve">. Available at: </w:t>
      </w:r>
      <w:hyperlink r:id="rId30" w:history="1">
        <w:r w:rsidRPr="009C48F3">
          <w:rPr>
            <w:rFonts w:ascii="Arial" w:eastAsia="Times New Roman" w:hAnsi="Arial" w:cs="Arial"/>
            <w:color w:val="0563C1"/>
            <w:u w:val="single"/>
            <w:lang w:eastAsia="en-GB"/>
          </w:rPr>
          <w:t>https://signhealth.org.uk/resources/deaf-health-inequalities-report/</w:t>
        </w:r>
      </w:hyperlink>
      <w:r w:rsidRPr="009C48F3">
        <w:rPr>
          <w:rFonts w:ascii="Arial" w:eastAsia="Times New Roman" w:hAnsi="Arial" w:cs="Arial"/>
          <w:lang w:eastAsia="en-GB"/>
        </w:rPr>
        <w:t xml:space="preserve"> (Accessed: 26 February 2026).</w:t>
      </w:r>
    </w:p>
    <w:p w14:paraId="5D0F02CD"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  Terry, J., Meara, R. and England, R. (2024) “‘They still phone even though they know I’m deaf’: exploring experiences of deaf people in health services in Wales, UK,” </w:t>
      </w:r>
      <w:r w:rsidRPr="009C48F3">
        <w:rPr>
          <w:rFonts w:ascii="Arial" w:eastAsia="Times New Roman" w:hAnsi="Arial" w:cs="Arial"/>
          <w:i/>
          <w:iCs/>
          <w:lang w:eastAsia="en-GB"/>
        </w:rPr>
        <w:t>Journal of public health (Oxford, England),</w:t>
      </w:r>
      <w:r w:rsidRPr="009C48F3">
        <w:rPr>
          <w:rFonts w:ascii="Arial" w:eastAsia="Times New Roman" w:hAnsi="Arial" w:cs="Arial"/>
          <w:lang w:eastAsia="en-GB"/>
        </w:rPr>
        <w:t xml:space="preserve"> 46(3), pp. e520–e527. Available at: </w:t>
      </w:r>
      <w:hyperlink r:id="rId31" w:history="1">
        <w:r w:rsidRPr="009C48F3">
          <w:rPr>
            <w:rFonts w:ascii="Arial" w:eastAsia="Times New Roman" w:hAnsi="Arial" w:cs="Arial"/>
            <w:color w:val="0563C1"/>
            <w:u w:val="single"/>
            <w:lang w:eastAsia="en-GB"/>
          </w:rPr>
          <w:t>https://doi.org/10.1093/pubmed/fdae112</w:t>
        </w:r>
      </w:hyperlink>
      <w:r w:rsidRPr="009C48F3">
        <w:rPr>
          <w:rFonts w:ascii="Arial" w:eastAsia="Times New Roman" w:hAnsi="Arial" w:cs="Arial"/>
          <w:lang w:eastAsia="en-GB"/>
        </w:rPr>
        <w:t>. (Accessed: 1 March 2026).</w:t>
      </w:r>
    </w:p>
    <w:p w14:paraId="23EB4D83" w14:textId="77777777" w:rsidR="00F10D70" w:rsidRPr="009C48F3" w:rsidRDefault="00F10D70" w:rsidP="00C73E2C">
      <w:pPr>
        <w:numPr>
          <w:ilvl w:val="0"/>
          <w:numId w:val="10"/>
        </w:numPr>
        <w:spacing w:before="120" w:after="0" w:line="360" w:lineRule="auto"/>
        <w:contextualSpacing/>
        <w:jc w:val="both"/>
        <w:rPr>
          <w:rFonts w:ascii="Arial" w:eastAsia="Times New Roman" w:hAnsi="Arial" w:cs="Arial"/>
          <w:lang w:eastAsia="en-GB"/>
        </w:rPr>
      </w:pPr>
      <w:r w:rsidRPr="009C48F3">
        <w:rPr>
          <w:rFonts w:ascii="Arial" w:eastAsia="Times New Roman" w:hAnsi="Arial" w:cs="Arial"/>
          <w:lang w:eastAsia="en-GB"/>
        </w:rPr>
        <w:t xml:space="preserve">Walston, S. (2023). </w:t>
      </w:r>
      <w:r w:rsidRPr="009C48F3">
        <w:rPr>
          <w:rFonts w:ascii="Arial" w:eastAsia="Times New Roman" w:hAnsi="Arial" w:cs="Arial"/>
          <w:i/>
          <w:iCs/>
          <w:lang w:eastAsia="en-GB"/>
        </w:rPr>
        <w:t>Strategic Healthcare Management : Planning and Execution</w:t>
      </w:r>
      <w:r w:rsidRPr="009C48F3">
        <w:rPr>
          <w:rFonts w:ascii="Arial" w:eastAsia="Times New Roman" w:hAnsi="Arial" w:cs="Arial"/>
          <w:lang w:eastAsia="en-GB"/>
        </w:rPr>
        <w:t xml:space="preserve">. 3rd ed. Health Administration Press. Available at: </w:t>
      </w:r>
      <w:hyperlink r:id="rId32" w:history="1">
        <w:r w:rsidRPr="009C48F3">
          <w:rPr>
            <w:rFonts w:ascii="Arial" w:eastAsia="Times New Roman" w:hAnsi="Arial" w:cs="Arial"/>
            <w:color w:val="0563C1"/>
            <w:u w:val="single"/>
            <w:lang w:eastAsia="en-GB"/>
          </w:rPr>
          <w:t>https://librarysearch.uwtsd.ac.uk/permalink/44WHELF_UWTSD/neci73/cdi_rittenhouse_primary_9781640553651</w:t>
        </w:r>
      </w:hyperlink>
      <w:r w:rsidRPr="009C48F3">
        <w:rPr>
          <w:rFonts w:ascii="Arial" w:eastAsia="Times New Roman" w:hAnsi="Arial" w:cs="Arial"/>
          <w:lang w:eastAsia="en-GB"/>
        </w:rPr>
        <w:t xml:space="preserve"> (Accessed: 27 February 2026).</w:t>
      </w:r>
    </w:p>
    <w:sectPr w:rsidR="00F10D70" w:rsidRPr="009C48F3" w:rsidSect="00C46111">
      <w:headerReference w:type="default" r:id="rId33"/>
      <w:headerReference w:type="first" r:id="rId3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AFA26" w14:textId="77777777" w:rsidR="00E5107A" w:rsidRPr="009C48F3" w:rsidRDefault="00E5107A" w:rsidP="00D210FA">
      <w:pPr>
        <w:spacing w:after="0"/>
      </w:pPr>
      <w:r w:rsidRPr="009C48F3">
        <w:separator/>
      </w:r>
    </w:p>
  </w:endnote>
  <w:endnote w:type="continuationSeparator" w:id="0">
    <w:p w14:paraId="080ADD5B" w14:textId="77777777" w:rsidR="00E5107A" w:rsidRPr="009C48F3" w:rsidRDefault="00E5107A" w:rsidP="00D210FA">
      <w:pPr>
        <w:spacing w:after="0"/>
      </w:pPr>
      <w:r w:rsidRPr="009C48F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D5C65" w14:textId="77777777" w:rsidR="00E5107A" w:rsidRPr="009C48F3" w:rsidRDefault="00E5107A" w:rsidP="00D210FA">
      <w:pPr>
        <w:spacing w:after="0"/>
      </w:pPr>
      <w:r w:rsidRPr="009C48F3">
        <w:separator/>
      </w:r>
    </w:p>
  </w:footnote>
  <w:footnote w:type="continuationSeparator" w:id="0">
    <w:p w14:paraId="2039C431" w14:textId="77777777" w:rsidR="00E5107A" w:rsidRPr="009C48F3" w:rsidRDefault="00E5107A" w:rsidP="00D210FA">
      <w:pPr>
        <w:spacing w:after="0"/>
      </w:pPr>
      <w:r w:rsidRPr="009C48F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7529637"/>
      <w:docPartObj>
        <w:docPartGallery w:val="Page Numbers (Top of Page)"/>
        <w:docPartUnique/>
      </w:docPartObj>
    </w:sdtPr>
    <w:sdtContent>
      <w:p w14:paraId="1F712A39" w14:textId="57D101F7" w:rsidR="006A75C0" w:rsidRDefault="006A75C0">
        <w:pPr>
          <w:pStyle w:val="Header"/>
        </w:pPr>
        <w:r>
          <w:fldChar w:fldCharType="begin"/>
        </w:r>
        <w:r>
          <w:instrText>PAGE   \* MERGEFORMAT</w:instrText>
        </w:r>
        <w:r>
          <w:fldChar w:fldCharType="separate"/>
        </w:r>
        <w:r>
          <w:t>2</w:t>
        </w:r>
        <w:r>
          <w:fldChar w:fldCharType="end"/>
        </w:r>
      </w:p>
    </w:sdtContent>
  </w:sdt>
  <w:p w14:paraId="11920CB3" w14:textId="0FADF3DD" w:rsidR="00CC0A8F" w:rsidRPr="009C48F3" w:rsidRDefault="00CC0A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4567891"/>
      <w:docPartObj>
        <w:docPartGallery w:val="Page Numbers (Top of Page)"/>
        <w:docPartUnique/>
      </w:docPartObj>
    </w:sdtPr>
    <w:sdtContent>
      <w:p w14:paraId="64BAB3D8" w14:textId="79E9D74B" w:rsidR="006A75C0" w:rsidRDefault="006A75C0">
        <w:pPr>
          <w:pStyle w:val="Header"/>
        </w:pPr>
        <w:r>
          <w:fldChar w:fldCharType="begin"/>
        </w:r>
        <w:r>
          <w:instrText>PAGE   \* MERGEFORMAT</w:instrText>
        </w:r>
        <w:r>
          <w:fldChar w:fldCharType="separate"/>
        </w:r>
        <w:r>
          <w:t>2</w:t>
        </w:r>
        <w:r>
          <w:fldChar w:fldCharType="end"/>
        </w:r>
      </w:p>
    </w:sdtContent>
  </w:sdt>
  <w:p w14:paraId="68BF0258" w14:textId="683785A9" w:rsidR="00D210FA" w:rsidRPr="009C48F3"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04BA3"/>
    <w:multiLevelType w:val="hybridMultilevel"/>
    <w:tmpl w:val="DB4A1E2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B177E"/>
    <w:multiLevelType w:val="hybridMultilevel"/>
    <w:tmpl w:val="8FF42D50"/>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F1C5E2D"/>
    <w:multiLevelType w:val="hybridMultilevel"/>
    <w:tmpl w:val="6EDA35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3DD31A4"/>
    <w:multiLevelType w:val="hybridMultilevel"/>
    <w:tmpl w:val="420C32E6"/>
    <w:lvl w:ilvl="0" w:tplc="83C21C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63012"/>
    <w:multiLevelType w:val="hybridMultilevel"/>
    <w:tmpl w:val="BEA65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9A6E43"/>
    <w:multiLevelType w:val="hybridMultilevel"/>
    <w:tmpl w:val="8752E3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153FC0"/>
    <w:multiLevelType w:val="hybridMultilevel"/>
    <w:tmpl w:val="2CB0E0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619C584B"/>
    <w:multiLevelType w:val="hybridMultilevel"/>
    <w:tmpl w:val="7CA896C4"/>
    <w:lvl w:ilvl="0" w:tplc="08090001">
      <w:start w:val="1"/>
      <w:numFmt w:val="bullet"/>
      <w:lvlText w:val=""/>
      <w:lvlJc w:val="left"/>
      <w:pPr>
        <w:ind w:left="720" w:hanging="360"/>
      </w:pPr>
      <w:rPr>
        <w:rFonts w:ascii="Symbol" w:hAnsi="Symbol" w:hint="default"/>
      </w:rPr>
    </w:lvl>
    <w:lvl w:ilvl="1" w:tplc="8F925EFC">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545AB8"/>
    <w:multiLevelType w:val="hybridMultilevel"/>
    <w:tmpl w:val="19728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81281E"/>
    <w:multiLevelType w:val="hybridMultilevel"/>
    <w:tmpl w:val="95B6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F50962"/>
    <w:multiLevelType w:val="hybridMultilevel"/>
    <w:tmpl w:val="C256033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3F26A93"/>
    <w:multiLevelType w:val="hybridMultilevel"/>
    <w:tmpl w:val="BABC5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17"/>
  </w:num>
  <w:num w:numId="4" w16cid:durableId="67852329">
    <w:abstractNumId w:val="18"/>
  </w:num>
  <w:num w:numId="5" w16cid:durableId="825783799">
    <w:abstractNumId w:val="4"/>
  </w:num>
  <w:num w:numId="6" w16cid:durableId="1203637911">
    <w:abstractNumId w:val="3"/>
  </w:num>
  <w:num w:numId="7" w16cid:durableId="1393117886">
    <w:abstractNumId w:val="11"/>
  </w:num>
  <w:num w:numId="8" w16cid:durableId="179050621">
    <w:abstractNumId w:val="10"/>
  </w:num>
  <w:num w:numId="9" w16cid:durableId="364136594">
    <w:abstractNumId w:val="6"/>
  </w:num>
  <w:num w:numId="10" w16cid:durableId="632249619">
    <w:abstractNumId w:val="15"/>
  </w:num>
  <w:num w:numId="11" w16cid:durableId="532576205">
    <w:abstractNumId w:val="7"/>
  </w:num>
  <w:num w:numId="12" w16cid:durableId="18238287">
    <w:abstractNumId w:val="14"/>
  </w:num>
  <w:num w:numId="13" w16cid:durableId="1679692092">
    <w:abstractNumId w:val="12"/>
  </w:num>
  <w:num w:numId="14" w16cid:durableId="2119594090">
    <w:abstractNumId w:val="0"/>
  </w:num>
  <w:num w:numId="15" w16cid:durableId="4403791">
    <w:abstractNumId w:val="5"/>
  </w:num>
  <w:num w:numId="16" w16cid:durableId="1297879436">
    <w:abstractNumId w:val="9"/>
  </w:num>
  <w:num w:numId="17" w16cid:durableId="1133254756">
    <w:abstractNumId w:val="16"/>
  </w:num>
  <w:num w:numId="18" w16cid:durableId="1729524962">
    <w:abstractNumId w:val="8"/>
  </w:num>
  <w:num w:numId="19" w16cid:durableId="58284057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053F"/>
    <w:rsid w:val="000471D5"/>
    <w:rsid w:val="0005062C"/>
    <w:rsid w:val="00061977"/>
    <w:rsid w:val="0008782A"/>
    <w:rsid w:val="000A065A"/>
    <w:rsid w:val="00106FC5"/>
    <w:rsid w:val="00120DEC"/>
    <w:rsid w:val="00123C19"/>
    <w:rsid w:val="00165045"/>
    <w:rsid w:val="00172AA7"/>
    <w:rsid w:val="001A2D16"/>
    <w:rsid w:val="001C55B6"/>
    <w:rsid w:val="001D1141"/>
    <w:rsid w:val="001D6CC4"/>
    <w:rsid w:val="0020423E"/>
    <w:rsid w:val="00206405"/>
    <w:rsid w:val="002176E6"/>
    <w:rsid w:val="00253267"/>
    <w:rsid w:val="00255DC1"/>
    <w:rsid w:val="002823CD"/>
    <w:rsid w:val="00287787"/>
    <w:rsid w:val="00287F0D"/>
    <w:rsid w:val="00291685"/>
    <w:rsid w:val="0029372F"/>
    <w:rsid w:val="002B0A3D"/>
    <w:rsid w:val="002F00B9"/>
    <w:rsid w:val="002F6D4B"/>
    <w:rsid w:val="003007A7"/>
    <w:rsid w:val="003257E1"/>
    <w:rsid w:val="00325DEC"/>
    <w:rsid w:val="00346FFA"/>
    <w:rsid w:val="003674CA"/>
    <w:rsid w:val="003A2FC5"/>
    <w:rsid w:val="003A3069"/>
    <w:rsid w:val="003C016C"/>
    <w:rsid w:val="003C20B5"/>
    <w:rsid w:val="003E545F"/>
    <w:rsid w:val="003F03D2"/>
    <w:rsid w:val="003F1E1A"/>
    <w:rsid w:val="003F397E"/>
    <w:rsid w:val="004045E5"/>
    <w:rsid w:val="00417BB7"/>
    <w:rsid w:val="00421496"/>
    <w:rsid w:val="00421722"/>
    <w:rsid w:val="00422C27"/>
    <w:rsid w:val="0044367C"/>
    <w:rsid w:val="00454781"/>
    <w:rsid w:val="004642F0"/>
    <w:rsid w:val="00464405"/>
    <w:rsid w:val="004E5568"/>
    <w:rsid w:val="00500564"/>
    <w:rsid w:val="00504AF1"/>
    <w:rsid w:val="0051102B"/>
    <w:rsid w:val="00531B3E"/>
    <w:rsid w:val="005838BC"/>
    <w:rsid w:val="005A26AC"/>
    <w:rsid w:val="005A6BBC"/>
    <w:rsid w:val="005B57E1"/>
    <w:rsid w:val="005E61E0"/>
    <w:rsid w:val="005F0F31"/>
    <w:rsid w:val="006024ED"/>
    <w:rsid w:val="0061793F"/>
    <w:rsid w:val="0062123A"/>
    <w:rsid w:val="00635AF5"/>
    <w:rsid w:val="00655382"/>
    <w:rsid w:val="006605F8"/>
    <w:rsid w:val="006676A1"/>
    <w:rsid w:val="006833BD"/>
    <w:rsid w:val="00690E60"/>
    <w:rsid w:val="006A75C0"/>
    <w:rsid w:val="006B1DE2"/>
    <w:rsid w:val="006C39C8"/>
    <w:rsid w:val="006D2642"/>
    <w:rsid w:val="006E2D42"/>
    <w:rsid w:val="00711C58"/>
    <w:rsid w:val="00720FEE"/>
    <w:rsid w:val="00741675"/>
    <w:rsid w:val="00764B6F"/>
    <w:rsid w:val="00774A74"/>
    <w:rsid w:val="007A73F1"/>
    <w:rsid w:val="007B01F3"/>
    <w:rsid w:val="007C7319"/>
    <w:rsid w:val="007D43B3"/>
    <w:rsid w:val="007F20B4"/>
    <w:rsid w:val="007F525E"/>
    <w:rsid w:val="007F5549"/>
    <w:rsid w:val="00810EB0"/>
    <w:rsid w:val="0082695D"/>
    <w:rsid w:val="0083044C"/>
    <w:rsid w:val="0085182D"/>
    <w:rsid w:val="00863EEA"/>
    <w:rsid w:val="00867E5F"/>
    <w:rsid w:val="008709F5"/>
    <w:rsid w:val="00877A91"/>
    <w:rsid w:val="00884E86"/>
    <w:rsid w:val="008927FF"/>
    <w:rsid w:val="008A756B"/>
    <w:rsid w:val="008B0F18"/>
    <w:rsid w:val="008E3921"/>
    <w:rsid w:val="008E71C0"/>
    <w:rsid w:val="0090027B"/>
    <w:rsid w:val="00905238"/>
    <w:rsid w:val="009219D0"/>
    <w:rsid w:val="00932D55"/>
    <w:rsid w:val="00942DDF"/>
    <w:rsid w:val="0094702A"/>
    <w:rsid w:val="00967DAB"/>
    <w:rsid w:val="00990E76"/>
    <w:rsid w:val="00991A53"/>
    <w:rsid w:val="00996F4E"/>
    <w:rsid w:val="009A07C6"/>
    <w:rsid w:val="009B6A3F"/>
    <w:rsid w:val="009C48F3"/>
    <w:rsid w:val="009D72BF"/>
    <w:rsid w:val="009F71FE"/>
    <w:rsid w:val="00A31F33"/>
    <w:rsid w:val="00A46D66"/>
    <w:rsid w:val="00A51818"/>
    <w:rsid w:val="00A70A62"/>
    <w:rsid w:val="00A71DA8"/>
    <w:rsid w:val="00A91BBD"/>
    <w:rsid w:val="00AB1210"/>
    <w:rsid w:val="00AB770D"/>
    <w:rsid w:val="00AD0155"/>
    <w:rsid w:val="00AF2088"/>
    <w:rsid w:val="00AF5FB0"/>
    <w:rsid w:val="00B0080A"/>
    <w:rsid w:val="00B0538C"/>
    <w:rsid w:val="00B37AB8"/>
    <w:rsid w:val="00B418DE"/>
    <w:rsid w:val="00B47FE7"/>
    <w:rsid w:val="00B67824"/>
    <w:rsid w:val="00BE15BA"/>
    <w:rsid w:val="00C20ED0"/>
    <w:rsid w:val="00C348A8"/>
    <w:rsid w:val="00C46111"/>
    <w:rsid w:val="00C73E2C"/>
    <w:rsid w:val="00C83332"/>
    <w:rsid w:val="00C95E04"/>
    <w:rsid w:val="00CC0A8F"/>
    <w:rsid w:val="00CC24B6"/>
    <w:rsid w:val="00CD3A64"/>
    <w:rsid w:val="00CE08CD"/>
    <w:rsid w:val="00D0664A"/>
    <w:rsid w:val="00D210FA"/>
    <w:rsid w:val="00D30F1D"/>
    <w:rsid w:val="00D4242F"/>
    <w:rsid w:val="00D57231"/>
    <w:rsid w:val="00D578F4"/>
    <w:rsid w:val="00D72E1B"/>
    <w:rsid w:val="00D87B48"/>
    <w:rsid w:val="00D91203"/>
    <w:rsid w:val="00D94FD1"/>
    <w:rsid w:val="00E14C00"/>
    <w:rsid w:val="00E41692"/>
    <w:rsid w:val="00E5107A"/>
    <w:rsid w:val="00E55D74"/>
    <w:rsid w:val="00E81234"/>
    <w:rsid w:val="00E9037E"/>
    <w:rsid w:val="00EA120D"/>
    <w:rsid w:val="00EA49C3"/>
    <w:rsid w:val="00EB5E14"/>
    <w:rsid w:val="00EB6F36"/>
    <w:rsid w:val="00ED1049"/>
    <w:rsid w:val="00ED4BC6"/>
    <w:rsid w:val="00EE19D9"/>
    <w:rsid w:val="00EF26FC"/>
    <w:rsid w:val="00F10923"/>
    <w:rsid w:val="00F10D70"/>
    <w:rsid w:val="00F37523"/>
    <w:rsid w:val="00F50168"/>
    <w:rsid w:val="00F50D34"/>
    <w:rsid w:val="00F61360"/>
    <w:rsid w:val="00F97D72"/>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3C016C"/>
    <w:rPr>
      <w:color w:val="0563C1" w:themeColor="hyperlink"/>
      <w:u w:val="single"/>
    </w:rPr>
  </w:style>
  <w:style w:type="character" w:styleId="FollowedHyperlink">
    <w:name w:val="FollowedHyperlink"/>
    <w:basedOn w:val="DefaultParagraphFont"/>
    <w:uiPriority w:val="99"/>
    <w:semiHidden/>
    <w:unhideWhenUsed/>
    <w:rsid w:val="00F10D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oi.org/10.1111/jep.12383" TargetMode="External"/><Relationship Id="rId26" Type="http://schemas.openxmlformats.org/officeDocument/2006/relationships/hyperlink" Target="https://doi.org/10.1111/1471-0528.17300" TargetMode="External"/><Relationship Id="rId3" Type="http://schemas.openxmlformats.org/officeDocument/2006/relationships/customXml" Target="../customXml/item3.xml"/><Relationship Id="rId21" Type="http://schemas.openxmlformats.org/officeDocument/2006/relationships/hyperlink" Target="https://doi.org/10.5153/sro.2626"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177/1740774517740570" TargetMode="External"/><Relationship Id="rId25" Type="http://schemas.openxmlformats.org/officeDocument/2006/relationships/hyperlink" Target="https://www.nice.org.uk/guidance/ng98"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7748/nr.2023.e1860" TargetMode="External"/><Relationship Id="rId20" Type="http://schemas.openxmlformats.org/officeDocument/2006/relationships/hyperlink" Target="http://www.training.cochrane.org/handbook" TargetMode="External"/><Relationship Id="rId29" Type="http://schemas.openxmlformats.org/officeDocument/2006/relationships/hyperlink" Target="https://rnid.org.uk/information-and-support/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ourwork/accessibleinfo/" TargetMode="External"/><Relationship Id="rId32" Type="http://schemas.openxmlformats.org/officeDocument/2006/relationships/hyperlink" Target="https://librarysearch.uwtsd.ac.uk/permalink/44WHELF_UWTSD/neci73/cdi_rittenhouse_primary_9781640553651" TargetMode="External"/><Relationship Id="rId5" Type="http://schemas.openxmlformats.org/officeDocument/2006/relationships/numbering" Target="numbering.xml"/><Relationship Id="rId15" Type="http://schemas.openxmlformats.org/officeDocument/2006/relationships/hyperlink" Target="https://doi.org/10.1111/hex.13787" TargetMode="External"/><Relationship Id="rId23" Type="http://schemas.openxmlformats.org/officeDocument/2006/relationships/hyperlink" Target="https://doi.org/10.1111/hsc.13221" TargetMode="External"/><Relationship Id="rId28" Type="http://schemas.openxmlformats.org/officeDocument/2006/relationships/hyperlink" Target="https://doi.org/10.1136/bmjopen-2022-06936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11/hex.13522" TargetMode="External"/><Relationship Id="rId31" Type="http://schemas.openxmlformats.org/officeDocument/2006/relationships/hyperlink" Target="https://doi.org/10.1093/pubmed/fdae1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doi.org/10.1002/jrsm.1277" TargetMode="External"/><Relationship Id="rId27" Type="http://schemas.openxmlformats.org/officeDocument/2006/relationships/hyperlink" Target="https://doi.org/10.1371/journal.pone.0322850" TargetMode="External"/><Relationship Id="rId30" Type="http://schemas.openxmlformats.org/officeDocument/2006/relationships/hyperlink" Target="https://signhealth.org.uk/resources/deaf-health-inequalities-report/"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d6fbf33265ff3a988744aff247357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c9785593c138c2a40c66b32ca04dffd"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B110A2B-4FD7-4817-9EB8-68E8CB6178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1379</Words>
  <Characters>7863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2026-03-16T12:03:00Z</dcterms:created>
  <dcterms:modified xsi:type="dcterms:W3CDTF">2026-06-22T08:55:00Z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524c42e4-b672-4501-aa77-d7d4ad6e1936</vt:lpwstr>
  </property>
</Properties>
</file>