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sdt>
      <w:sdtPr>
        <w:rPr>
          <w:rFonts w:ascii="Arial" w:hAnsi="Arial" w:cs="Arial"/>
          <w:lang w:eastAsia="en-GB"/>
        </w:rPr>
        <w:id w:val="-1951619240"/>
        <w:docPartObj>
          <w:docPartGallery w:val="Cover Pages"/>
          <w:docPartUnique/>
        </w:docPartObj>
      </w:sdtPr>
      <w:sdtEndPr/>
      <w:sdtContent>
        <w:p w14:paraId="55865062" w14:textId="4C22570C" w:rsidR="005A51AB" w:rsidRPr="00F56301" w:rsidRDefault="00565964" w:rsidP="00F56301">
          <w:pPr>
            <w:spacing w:line="480" w:lineRule="auto"/>
            <w:rPr>
              <w:rFonts w:ascii="Arial" w:hAnsi="Arial" w:cs="Arial"/>
            </w:rPr>
          </w:pPr>
          <w:r>
            <w:rPr>
              <w:rFonts w:ascii="Arial" w:hAnsi="Arial" w:cs="Arial"/>
              <w:noProof/>
            </w:rPr>
            <w:pict w14:anchorId="53D51B33">
              <v:group id="Group 149" o:spid="_x0000_s1029" style="position:absolute;margin-left:0;margin-top:0;width:559.25pt;height:101.4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0"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31" style="position:absolute;width:73152;height:1216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w:r>
          <w:r>
            <w:rPr>
              <w:rFonts w:ascii="Arial" w:hAnsi="Arial" w:cs="Arial"/>
              <w:noProof/>
            </w:rPr>
            <w:pict w14:anchorId="3F1BC49A">
              <v:shapetype id="_x0000_t202" coordsize="21600,21600" o:spt="202" path="m,l,21600r21600,l21600,xe">
                <v:stroke joinstyle="miter"/>
                <v:path gradientshapeok="t" o:connecttype="rect"/>
              </v:shapetype>
              <v:shape id="Text Box 152" o:spid="_x0000_s1028" type="#_x0000_t202" style="position:absolute;margin-left:0;margin-top:0;width:560.2pt;height:77.3pt;z-index:251660288;visibility:visible;mso-width-percent:941;mso-height-percent:92;mso-top-percent:818;mso-position-horizontal:center;mso-position-horizontal-relative:page;mso-position-vertical-relative:page;mso-width-percent:941;mso-height-percent:92;mso-top-percent:818;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style="mso-next-textbox:#Text Box 152" inset="126pt,0,54pt,0">
                  <w:txbxContent>
                    <w:p w14:paraId="7E0BC72D" w14:textId="44EF1CD8" w:rsidR="005A51AB" w:rsidRDefault="005A51AB">
                      <w:pPr>
                        <w:pStyle w:val="NoSpacing"/>
                        <w:jc w:val="right"/>
                        <w:rPr>
                          <w:color w:val="595959" w:themeColor="text1" w:themeTint="A6"/>
                          <w:sz w:val="28"/>
                          <w:szCs w:val="28"/>
                        </w:rPr>
                      </w:pPr>
                    </w:p>
                    <w:p w14:paraId="24E5146B" w14:textId="7C4B1160" w:rsidR="005A51AB" w:rsidRDefault="0056596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D3EA5">
                            <w:rPr>
                              <w:color w:val="595959" w:themeColor="text1" w:themeTint="A6"/>
                              <w:sz w:val="18"/>
                              <w:szCs w:val="18"/>
                            </w:rPr>
                            <w:t xml:space="preserve">     </w:t>
                          </w:r>
                        </w:sdtContent>
                      </w:sdt>
                    </w:p>
                  </w:txbxContent>
                </v:textbox>
                <w10:wrap type="square" anchorx="page" anchory="page"/>
              </v:shape>
            </w:pict>
          </w:r>
          <w:r>
            <w:rPr>
              <w:rFonts w:ascii="Arial" w:hAnsi="Arial" w:cs="Arial"/>
              <w:noProof/>
            </w:rPr>
            <w:pict w14:anchorId="2C3CCE34">
              <v:shape id="Text Box 153" o:spid="_x0000_s1027" type="#_x0000_t202" style="position:absolute;margin-left:0;margin-top:0;width:560.2pt;height:53.7pt;z-index:251661312;visibility:visible;mso-width-percent:941;mso-height-percent:100;mso-top-percent:700;mso-position-horizontal:center;mso-position-horizontal-relative:page;mso-position-vertical-relative:page;mso-width-percent:941;mso-height-percent:100;mso-top-percent: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next-textbox:#Text Box 153;mso-fit-shape-to-text:t" inset="126pt,0,54pt,0">
                  <w:txbxContent>
                    <w:p w14:paraId="404077E5" w14:textId="4A2A7334" w:rsidR="005A51AB" w:rsidRDefault="00F56301">
                      <w:pPr>
                        <w:pStyle w:val="NoSpacing"/>
                        <w:jc w:val="right"/>
                        <w:rPr>
                          <w:color w:val="4472C4" w:themeColor="accent1"/>
                          <w:sz w:val="28"/>
                          <w:szCs w:val="28"/>
                        </w:rPr>
                      </w:pPr>
                      <w:r>
                        <w:rPr>
                          <w:color w:val="4472C4" w:themeColor="accent1"/>
                          <w:sz w:val="28"/>
                          <w:szCs w:val="28"/>
                        </w:rPr>
                        <w:t>Owen Stafford</w:t>
                      </w:r>
                    </w:p>
                    <w:p w14:paraId="777590AD" w14:textId="22F6B167" w:rsidR="00F56301" w:rsidRDefault="00F56301">
                      <w:pPr>
                        <w:pStyle w:val="NoSpacing"/>
                        <w:jc w:val="right"/>
                        <w:rPr>
                          <w:color w:val="4472C4" w:themeColor="accent1"/>
                          <w:sz w:val="28"/>
                          <w:szCs w:val="28"/>
                        </w:rPr>
                      </w:pPr>
                      <w:r>
                        <w:rPr>
                          <w:color w:val="4472C4" w:themeColor="accent1"/>
                          <w:sz w:val="28"/>
                          <w:szCs w:val="28"/>
                        </w:rPr>
                        <w:t>Student Number 2327196</w:t>
                      </w:r>
                    </w:p>
                    <w:p w14:paraId="4971C095" w14:textId="6AED6093" w:rsidR="00F56301" w:rsidRDefault="00F56301">
                      <w:pPr>
                        <w:pStyle w:val="NoSpacing"/>
                        <w:jc w:val="right"/>
                        <w:rPr>
                          <w:color w:val="4472C4" w:themeColor="accent1"/>
                          <w:sz w:val="28"/>
                          <w:szCs w:val="28"/>
                        </w:rPr>
                      </w:pPr>
                      <w:r>
                        <w:rPr>
                          <w:color w:val="4472C4" w:themeColor="accent1"/>
                          <w:sz w:val="28"/>
                          <w:szCs w:val="28"/>
                        </w:rPr>
                        <w:t>Word Count:</w:t>
                      </w:r>
                      <w:r w:rsidR="002D73DC">
                        <w:rPr>
                          <w:color w:val="4472C4" w:themeColor="accent1"/>
                          <w:sz w:val="28"/>
                          <w:szCs w:val="28"/>
                        </w:rPr>
                        <w:t xml:space="preserve"> 5402</w:t>
                      </w:r>
                    </w:p>
                    <w:p w14:paraId="615E350D" w14:textId="6D50662F" w:rsidR="00F56301" w:rsidRDefault="00F56301">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4446716" w14:textId="3AD4CCAB" w:rsidR="005A51AB" w:rsidRDefault="00F5630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w:r>
          <w:r>
            <w:rPr>
              <w:rFonts w:ascii="Arial" w:hAnsi="Arial" w:cs="Arial"/>
              <w:noProof/>
            </w:rPr>
            <w:pict w14:anchorId="19102241">
              <v:shape id="Text Box 154" o:spid="_x0000_s1026" type="#_x0000_t202" style="position:absolute;margin-left:0;margin-top:0;width:560.2pt;height:305.6pt;z-index:251659264;visibility:visible;mso-width-percent:941;mso-height-percent:363;mso-top-percent:300;mso-position-horizontal:center;mso-position-horizontal-relative:page;mso-position-vertical-relative:page;mso-width-percent:941;mso-height-percent:363;mso-top-percent:30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style="mso-next-textbox:#Text Box 154" inset="126pt,0,54pt,0">
                  <w:txbxContent>
                    <w:p w14:paraId="0220D3ED" w14:textId="3BCFBAFD" w:rsidR="005A51AB" w:rsidRDefault="0056596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A51AB">
                            <w:rPr>
                              <w:caps/>
                              <w:color w:val="4472C4" w:themeColor="accent1"/>
                              <w:sz w:val="64"/>
                              <w:szCs w:val="64"/>
                            </w:rPr>
                            <w:t>G</w:t>
                          </w:r>
                          <w:r w:rsidR="005A51AB">
                            <w:rPr>
                              <w:color w:val="4472C4" w:themeColor="accent1"/>
                              <w:sz w:val="64"/>
                              <w:szCs w:val="64"/>
                            </w:rPr>
                            <w:t xml:space="preserve">overnance </w:t>
                          </w:r>
                          <w:r w:rsidR="005E7159">
                            <w:rPr>
                              <w:color w:val="4472C4" w:themeColor="accent1"/>
                              <w:sz w:val="64"/>
                              <w:szCs w:val="64"/>
                            </w:rPr>
                            <w:t>C</w:t>
                          </w:r>
                          <w:r w:rsidR="005A51AB">
                            <w:rPr>
                              <w:color w:val="4472C4" w:themeColor="accent1"/>
                              <w:sz w:val="64"/>
                              <w:szCs w:val="64"/>
                            </w:rPr>
                            <w:t>hallenges of 21</w:t>
                          </w:r>
                          <w:r w:rsidR="00F56301">
                            <w:rPr>
                              <w:color w:val="4472C4" w:themeColor="accent1"/>
                              <w:sz w:val="64"/>
                              <w:szCs w:val="64"/>
                            </w:rPr>
                            <w:t>st</w:t>
                          </w:r>
                          <w:r w:rsidR="005A51AB">
                            <w:rPr>
                              <w:color w:val="4472C4" w:themeColor="accent1"/>
                              <w:sz w:val="64"/>
                              <w:szCs w:val="64"/>
                            </w:rPr>
                            <w:t xml:space="preserve"> </w:t>
                          </w:r>
                          <w:r w:rsidR="005E7159">
                            <w:rPr>
                              <w:color w:val="4472C4" w:themeColor="accent1"/>
                              <w:sz w:val="64"/>
                              <w:szCs w:val="64"/>
                            </w:rPr>
                            <w:t>C</w:t>
                          </w:r>
                          <w:r w:rsidR="005A51AB">
                            <w:rPr>
                              <w:color w:val="4472C4" w:themeColor="accent1"/>
                              <w:sz w:val="64"/>
                              <w:szCs w:val="64"/>
                            </w:rPr>
                            <w:t xml:space="preserve">entury </w:t>
                          </w:r>
                          <w:r w:rsidR="005E7159">
                            <w:rPr>
                              <w:color w:val="4472C4" w:themeColor="accent1"/>
                              <w:sz w:val="64"/>
                              <w:szCs w:val="64"/>
                            </w:rPr>
                            <w:t>P</w:t>
                          </w:r>
                          <w:r w:rsidR="005A51AB">
                            <w:rPr>
                              <w:color w:val="4472C4" w:themeColor="accent1"/>
                              <w:sz w:val="64"/>
                              <w:szCs w:val="64"/>
                            </w:rPr>
                            <w:t>olicing</w:t>
                          </w:r>
                        </w:sdtContent>
                      </w:sdt>
                    </w:p>
                    <w:sdt>
                      <w:sdtPr>
                        <w:rPr>
                          <w:color w:val="4472C4" w:themeColor="accent1"/>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06ED907" w14:textId="3D6F63DB" w:rsidR="005A51AB" w:rsidRDefault="002D73DC">
                          <w:pPr>
                            <w:jc w:val="right"/>
                            <w:rPr>
                              <w:smallCaps/>
                              <w:color w:val="404040" w:themeColor="text1" w:themeTint="BF"/>
                              <w:sz w:val="36"/>
                              <w:szCs w:val="36"/>
                            </w:rPr>
                          </w:pPr>
                          <w:r w:rsidRPr="002D73DC">
                            <w:rPr>
                              <w:color w:val="4472C4" w:themeColor="accent1"/>
                              <w:sz w:val="36"/>
                              <w:szCs w:val="36"/>
                            </w:rPr>
                            <w:t>BMPO7002D</w:t>
                          </w:r>
                        </w:p>
                      </w:sdtContent>
                    </w:sdt>
                  </w:txbxContent>
                </v:textbox>
                <w10:wrap type="square" anchorx="page" anchory="page"/>
              </v:shape>
            </w:pict>
          </w:r>
        </w:p>
        <w:p w14:paraId="1B72AAA4" w14:textId="77777777" w:rsidR="007D4AFA" w:rsidRPr="00F56301" w:rsidRDefault="005A51AB" w:rsidP="00F56301">
          <w:pPr>
            <w:spacing w:line="480" w:lineRule="auto"/>
            <w:rPr>
              <w:rFonts w:ascii="Arial" w:hAnsi="Arial" w:cs="Arial"/>
            </w:rPr>
          </w:pPr>
          <w:r w:rsidRPr="00F56301">
            <w:rPr>
              <w:rFonts w:ascii="Arial" w:hAnsi="Arial" w:cs="Arial"/>
            </w:rPr>
            <w:br w:type="page"/>
          </w:r>
        </w:p>
        <w:p w14:paraId="77AA58C5" w14:textId="77777777" w:rsidR="00274A78" w:rsidRDefault="00565964" w:rsidP="00274A78">
          <w:pPr>
            <w:pStyle w:val="NormalWeb"/>
            <w:rPr>
              <w:rFonts w:ascii="Arial" w:hAnsi="Arial" w:cs="Arial"/>
            </w:rPr>
          </w:pPr>
        </w:p>
      </w:sdtContent>
    </w:sdt>
    <w:p w14:paraId="7368577A" w14:textId="5D1C87A8" w:rsidR="00274A78" w:rsidRPr="00274A78" w:rsidRDefault="00274A78" w:rsidP="00274A78">
      <w:pPr>
        <w:pStyle w:val="NormalWeb"/>
        <w:spacing w:line="480" w:lineRule="auto"/>
        <w:rPr>
          <w:rFonts w:ascii="Arial" w:hAnsi="Arial"/>
        </w:rPr>
      </w:pPr>
      <w:r w:rsidRPr="00274A78">
        <w:rPr>
          <w:rFonts w:ascii="Arial" w:hAnsi="Arial"/>
        </w:rPr>
        <w:t xml:space="preserve">Governance in policing will never cease to be of vital importance.  The mechanisms that govern policing have been subject to change in the last 12 years, intertwining politics, </w:t>
      </w:r>
      <w:proofErr w:type="gramStart"/>
      <w:r w:rsidRPr="00274A78">
        <w:rPr>
          <w:rFonts w:ascii="Arial" w:hAnsi="Arial"/>
        </w:rPr>
        <w:t>personalities</w:t>
      </w:r>
      <w:proofErr w:type="gramEnd"/>
      <w:r w:rsidRPr="00274A78">
        <w:rPr>
          <w:rFonts w:ascii="Arial" w:hAnsi="Arial"/>
        </w:rPr>
        <w:t xml:space="preserve"> and control into the hands of a few individuals.   </w:t>
      </w:r>
    </w:p>
    <w:p w14:paraId="04F0DDE8" w14:textId="77777777" w:rsidR="00274A78" w:rsidRPr="00274A78" w:rsidRDefault="00274A78" w:rsidP="00274A78">
      <w:pPr>
        <w:pStyle w:val="NormalWeb"/>
        <w:spacing w:line="480" w:lineRule="auto"/>
        <w:rPr>
          <w:rFonts w:ascii="Arial" w:hAnsi="Arial"/>
        </w:rPr>
      </w:pPr>
      <w:r w:rsidRPr="00274A78">
        <w:rPr>
          <w:rFonts w:ascii="Arial" w:hAnsi="Arial"/>
        </w:rPr>
        <w:t>The idea of governance was created in Greece and is derived from the concept of a helmsman setting the course of a ship and maintaining its course whilst sailing.  The word “</w:t>
      </w:r>
      <w:proofErr w:type="spellStart"/>
      <w:r w:rsidRPr="00274A78">
        <w:rPr>
          <w:rFonts w:ascii="Arial" w:hAnsi="Arial"/>
        </w:rPr>
        <w:t>Kubernain</w:t>
      </w:r>
      <w:proofErr w:type="spellEnd"/>
      <w:r w:rsidRPr="00274A78">
        <w:rPr>
          <w:rFonts w:ascii="Arial" w:hAnsi="Arial"/>
        </w:rPr>
        <w:t>” and the Latin word “</w:t>
      </w:r>
      <w:proofErr w:type="spellStart"/>
      <w:r w:rsidRPr="00274A78">
        <w:rPr>
          <w:rFonts w:ascii="Arial" w:hAnsi="Arial"/>
        </w:rPr>
        <w:t>Gubernare</w:t>
      </w:r>
      <w:proofErr w:type="spellEnd"/>
      <w:r w:rsidRPr="00274A78">
        <w:rPr>
          <w:rFonts w:ascii="Arial" w:hAnsi="Arial"/>
        </w:rPr>
        <w:t xml:space="preserve">”, both meaning to steer are derived from this concept (Mohamad and Sori, 2011).    </w:t>
      </w:r>
    </w:p>
    <w:p w14:paraId="277DC70E" w14:textId="0B698857" w:rsidR="00274A78" w:rsidRPr="00274A78" w:rsidRDefault="00274A78" w:rsidP="00274A78">
      <w:pPr>
        <w:pStyle w:val="NormalWeb"/>
        <w:spacing w:line="480" w:lineRule="auto"/>
        <w:rPr>
          <w:rFonts w:ascii="Arial" w:hAnsi="Arial"/>
        </w:rPr>
      </w:pPr>
      <w:r w:rsidRPr="00274A78">
        <w:rPr>
          <w:rFonts w:ascii="Arial" w:hAnsi="Arial"/>
        </w:rPr>
        <w:t>Following the Second World War strong growth in the American economy led to stakeholders dominating companies and reaping dividends.   The agenda for reform began to take shape in the 1970s with scholars such as Fr</w:t>
      </w:r>
      <w:r w:rsidR="008033E8">
        <w:rPr>
          <w:rFonts w:ascii="Arial" w:hAnsi="Arial"/>
        </w:rPr>
        <w:t>i</w:t>
      </w:r>
      <w:r w:rsidRPr="00274A78">
        <w:rPr>
          <w:rFonts w:ascii="Arial" w:hAnsi="Arial"/>
        </w:rPr>
        <w:t>edman and Freeman asking questions about how governance of wealth generation should be addressed and what business should contribute to society.  As academic thinking was based in America and governance of financial institutions was beginning to gain ground via the central bank the concept of governing financial institutions and how businesses should be held accountable began to spread to other countries (Cheffins, 2012). </w:t>
      </w:r>
    </w:p>
    <w:p w14:paraId="1F4A194A" w14:textId="77777777" w:rsidR="00274A78" w:rsidRPr="00274A78" w:rsidRDefault="00274A78" w:rsidP="00274A78">
      <w:pPr>
        <w:pStyle w:val="NormalWeb"/>
        <w:spacing w:line="480" w:lineRule="auto"/>
        <w:rPr>
          <w:rFonts w:ascii="Arial" w:hAnsi="Arial"/>
        </w:rPr>
      </w:pPr>
      <w:r w:rsidRPr="00274A78">
        <w:rPr>
          <w:rFonts w:ascii="Arial" w:hAnsi="Arial"/>
        </w:rPr>
        <w:t xml:space="preserve">Governance of policing in England and Wales was somewhat of an easier task in the years following the Second World War until the 1960s.  The Chief Constable of most territorial forces, those outside of the London Metropolitan boundary were only answerable to the Home Secretary with governance a difficult topic to navigate and control due to the legal status of constables and powers available to the Home Secretary (Rowe, 2020).  </w:t>
      </w:r>
    </w:p>
    <w:p w14:paraId="78B8DE02" w14:textId="6AA02142" w:rsidR="00274A78" w:rsidRPr="00274A78" w:rsidRDefault="00274A78" w:rsidP="00274A78">
      <w:pPr>
        <w:pStyle w:val="NormalWeb"/>
        <w:spacing w:line="480" w:lineRule="auto"/>
        <w:rPr>
          <w:rFonts w:ascii="Arial" w:hAnsi="Arial"/>
        </w:rPr>
      </w:pPr>
      <w:r w:rsidRPr="00274A78">
        <w:rPr>
          <w:rFonts w:ascii="Arial" w:hAnsi="Arial"/>
        </w:rPr>
        <w:t xml:space="preserve">Governance began to gain ground as a concept within public bodies in the 1980s with successive governments reducing police funding and demanding more for less, generating greater scrutiny of the policing purse.  The speed of social and economic changes combined </w:t>
      </w:r>
      <w:r w:rsidRPr="00274A78">
        <w:rPr>
          <w:rFonts w:ascii="Arial" w:hAnsi="Arial"/>
        </w:rPr>
        <w:lastRenderedPageBreak/>
        <w:t>with the tilt towards the localism agenda set the wheels in motion for local-based accountability in policing. </w:t>
      </w:r>
    </w:p>
    <w:p w14:paraId="6729E06B" w14:textId="16CDFDAD" w:rsidR="00274A78" w:rsidRPr="00274A78" w:rsidRDefault="00274A78" w:rsidP="00274A78">
      <w:pPr>
        <w:pStyle w:val="NormalWeb"/>
        <w:spacing w:line="480" w:lineRule="auto"/>
        <w:rPr>
          <w:rFonts w:ascii="Arial" w:hAnsi="Arial"/>
        </w:rPr>
      </w:pPr>
      <w:r w:rsidRPr="00274A78">
        <w:rPr>
          <w:rFonts w:ascii="Arial" w:hAnsi="Arial"/>
        </w:rPr>
        <w:t xml:space="preserve">The importance of governance in the policing environment is described by Armstrong and Francis (2008, p.47-48) as “providing the framework, the formal system governing roles and responsibilities throughout the force, legality for decisions and actions, the structure, roles and responsibilities of an executive and the relationship between the police executive and the </w:t>
      </w:r>
      <w:r w:rsidR="005C5B6A" w:rsidRPr="00274A78">
        <w:rPr>
          <w:rFonts w:ascii="Arial" w:hAnsi="Arial"/>
        </w:rPr>
        <w:t>community”.</w:t>
      </w:r>
    </w:p>
    <w:p w14:paraId="4C936613" w14:textId="77777777" w:rsidR="00274A78" w:rsidRPr="00274A78" w:rsidRDefault="00274A78" w:rsidP="00274A78">
      <w:pPr>
        <w:pStyle w:val="NormalWeb"/>
        <w:spacing w:line="480" w:lineRule="auto"/>
        <w:rPr>
          <w:rFonts w:ascii="Arial" w:hAnsi="Arial"/>
        </w:rPr>
      </w:pPr>
      <w:r w:rsidRPr="00274A78">
        <w:rPr>
          <w:rFonts w:ascii="Arial" w:hAnsi="Arial"/>
        </w:rPr>
        <w:t>Governance and policing in the national and local arenas are complex and multi-layered when considering accountability, performance, financial management and a wide range of smaller matters that are important to local communities (Rowe, 2020).</w:t>
      </w:r>
    </w:p>
    <w:p w14:paraId="4DBFD4BF" w14:textId="3D1E928A" w:rsidR="00274A78" w:rsidRPr="00274A78" w:rsidRDefault="00274A78" w:rsidP="00274A78">
      <w:pPr>
        <w:pStyle w:val="NormalWeb"/>
        <w:spacing w:line="480" w:lineRule="auto"/>
        <w:rPr>
          <w:rFonts w:ascii="Arial" w:hAnsi="Arial"/>
        </w:rPr>
      </w:pPr>
      <w:r w:rsidRPr="00274A78">
        <w:rPr>
          <w:rFonts w:ascii="Arial" w:hAnsi="Arial"/>
        </w:rPr>
        <w:t>With the creation of Police and Crime Commissioners in 2011 a new chapter of policing governance and accountability began.  This era, likely rushed into existence had a stuttered start, before settling into a r</w:t>
      </w:r>
      <w:r w:rsidR="005C5B6A">
        <w:rPr>
          <w:rFonts w:ascii="Arial" w:hAnsi="Arial"/>
        </w:rPr>
        <w:t>hythm</w:t>
      </w:r>
      <w:r w:rsidRPr="00274A78">
        <w:rPr>
          <w:rFonts w:ascii="Arial" w:hAnsi="Arial"/>
        </w:rPr>
        <w:t xml:space="preserve"> of </w:t>
      </w:r>
      <w:proofErr w:type="spellStart"/>
      <w:r w:rsidRPr="00274A78">
        <w:rPr>
          <w:rFonts w:ascii="Arial" w:hAnsi="Arial"/>
        </w:rPr>
        <w:t>Quadpartite</w:t>
      </w:r>
      <w:proofErr w:type="spellEnd"/>
      <w:r w:rsidRPr="00274A78">
        <w:rPr>
          <w:rFonts w:ascii="Arial" w:hAnsi="Arial"/>
        </w:rPr>
        <w:t xml:space="preserve"> accountability (Raine and </w:t>
      </w:r>
      <w:proofErr w:type="spellStart"/>
      <w:r w:rsidRPr="00274A78">
        <w:rPr>
          <w:rFonts w:ascii="Arial" w:hAnsi="Arial"/>
        </w:rPr>
        <w:t>Keasey</w:t>
      </w:r>
      <w:proofErr w:type="spellEnd"/>
      <w:r w:rsidRPr="00274A78">
        <w:rPr>
          <w:rFonts w:ascii="Arial" w:hAnsi="Arial"/>
        </w:rPr>
        <w:t xml:space="preserve">, 2012).  This model tilted away from the British traditional model to one of politicising policing and a broader Americanisation of governance with the creation of directly elected Police and Crime Commissioners.  </w:t>
      </w:r>
    </w:p>
    <w:p w14:paraId="5351882A" w14:textId="77777777" w:rsidR="00274A78" w:rsidRPr="00274A78" w:rsidRDefault="00274A78" w:rsidP="00274A78">
      <w:pPr>
        <w:pStyle w:val="NormalWeb"/>
        <w:spacing w:line="480" w:lineRule="auto"/>
        <w:rPr>
          <w:rFonts w:ascii="Arial" w:hAnsi="Arial"/>
        </w:rPr>
      </w:pPr>
      <w:r w:rsidRPr="00274A78">
        <w:rPr>
          <w:rFonts w:ascii="Arial" w:hAnsi="Arial"/>
        </w:rPr>
        <w:t>The control of policing and those who influence policing is subject to much debate.  No more has this been the case than in the treatment of successive Metropolitan Police Commissioners by previous Mayor Boris Johnson and existing Mayor Sadiq Khan raising questions about transparency, decency, abuse of perceived powers and respect for the positions of high office within policing and society.  </w:t>
      </w:r>
    </w:p>
    <w:p w14:paraId="79E198DB" w14:textId="77777777" w:rsidR="00274A78" w:rsidRPr="00274A78" w:rsidRDefault="00274A78" w:rsidP="00274A78">
      <w:pPr>
        <w:pStyle w:val="NormalWeb"/>
        <w:spacing w:line="480" w:lineRule="auto"/>
        <w:rPr>
          <w:rFonts w:ascii="Arial" w:hAnsi="Arial"/>
        </w:rPr>
      </w:pPr>
      <w:r w:rsidRPr="00274A78">
        <w:rPr>
          <w:rFonts w:ascii="Arial" w:hAnsi="Arial"/>
        </w:rPr>
        <w:t xml:space="preserve">The powers that Police and Crime Commissioners hold are considerable and the mechanisms to taper those powers are weak overall with the current legislative structure that is in place.  The mechanisms to guard against incorrect and misuse of those powers are stronger in London due to the London Assembly and Home Secretary when compared to </w:t>
      </w:r>
      <w:r w:rsidRPr="00274A78">
        <w:rPr>
          <w:rFonts w:ascii="Arial" w:hAnsi="Arial"/>
        </w:rPr>
        <w:lastRenderedPageBreak/>
        <w:t>county level Commissioners as they are only tapered by a Police and Crime Panel recommendations or criminal convictions.</w:t>
      </w:r>
    </w:p>
    <w:p w14:paraId="5EB21573" w14:textId="6D712C69" w:rsidR="00274A78" w:rsidRPr="00274A78" w:rsidRDefault="00274A78" w:rsidP="00274A78">
      <w:pPr>
        <w:pStyle w:val="NormalWeb"/>
        <w:spacing w:line="480" w:lineRule="auto"/>
        <w:rPr>
          <w:rFonts w:ascii="Arial" w:hAnsi="Arial"/>
        </w:rPr>
      </w:pPr>
      <w:r w:rsidRPr="00274A78">
        <w:rPr>
          <w:rFonts w:ascii="Arial" w:hAnsi="Arial"/>
        </w:rPr>
        <w:t xml:space="preserve">The overall aim of this essay is to present the details of how we arrived at the current model of Police and Crime Commissioners, the powers and reach of those individuals and  consideration of how governance in policing may continue to evolve beyond the legislation, </w:t>
      </w:r>
      <w:proofErr w:type="gramStart"/>
      <w:r w:rsidRPr="00274A78">
        <w:rPr>
          <w:rFonts w:ascii="Arial" w:hAnsi="Arial"/>
        </w:rPr>
        <w:t>protocols</w:t>
      </w:r>
      <w:proofErr w:type="gramEnd"/>
      <w:r w:rsidRPr="00274A78">
        <w:rPr>
          <w:rFonts w:ascii="Arial" w:hAnsi="Arial"/>
        </w:rPr>
        <w:t xml:space="preserve"> and localisms. </w:t>
      </w:r>
    </w:p>
    <w:p w14:paraId="6B3B94CB" w14:textId="0CD22501" w:rsidR="00274A78" w:rsidRPr="00274A78" w:rsidRDefault="00274A78" w:rsidP="00274A78">
      <w:pPr>
        <w:pStyle w:val="NormalWeb"/>
        <w:spacing w:line="480" w:lineRule="auto"/>
        <w:rPr>
          <w:rFonts w:ascii="Arial" w:hAnsi="Arial"/>
        </w:rPr>
      </w:pPr>
      <w:r w:rsidRPr="00274A78">
        <w:rPr>
          <w:rFonts w:ascii="Arial" w:hAnsi="Arial"/>
        </w:rPr>
        <w:t xml:space="preserve">There are several definitions of what governance is and these definitions are provided by many financial and reform institutions.  A definition that incorporates public sector organisations is “Public governance is how an organization works with its partners, stakeholders and networks to influence the outcomes of public policies” (Governance International, 2024).  This definition fits with policing from the basic concept of the </w:t>
      </w:r>
      <w:proofErr w:type="spellStart"/>
      <w:r w:rsidRPr="00274A78">
        <w:rPr>
          <w:rFonts w:ascii="Arial" w:hAnsi="Arial"/>
        </w:rPr>
        <w:t>Peelian</w:t>
      </w:r>
      <w:proofErr w:type="spellEnd"/>
      <w:r w:rsidRPr="00274A78">
        <w:rPr>
          <w:rFonts w:ascii="Arial" w:hAnsi="Arial"/>
        </w:rPr>
        <w:t xml:space="preserve"> Principles if communities are considered networks to the legal, </w:t>
      </w:r>
      <w:proofErr w:type="gramStart"/>
      <w:r w:rsidRPr="00274A78">
        <w:rPr>
          <w:rFonts w:ascii="Arial" w:hAnsi="Arial"/>
        </w:rPr>
        <w:t>formal</w:t>
      </w:r>
      <w:proofErr w:type="gramEnd"/>
      <w:r w:rsidRPr="00274A78">
        <w:rPr>
          <w:rFonts w:ascii="Arial" w:hAnsi="Arial"/>
        </w:rPr>
        <w:t xml:space="preserve"> and informal partnerships across public bodies.  </w:t>
      </w:r>
    </w:p>
    <w:p w14:paraId="67C80E14" w14:textId="77777777" w:rsidR="00274A78" w:rsidRPr="00274A78" w:rsidRDefault="00274A78" w:rsidP="00274A78">
      <w:pPr>
        <w:pStyle w:val="NormalWeb"/>
        <w:spacing w:line="480" w:lineRule="auto"/>
        <w:rPr>
          <w:rFonts w:ascii="Arial" w:hAnsi="Arial"/>
        </w:rPr>
      </w:pPr>
      <w:r w:rsidRPr="00274A78">
        <w:rPr>
          <w:rFonts w:ascii="Arial" w:hAnsi="Arial"/>
        </w:rPr>
        <w:t xml:space="preserve">Plato extended the concept of steering a ship by considering the art of steering to steer the community and provide good governance (International Centre of Parliamentary Studies, 2024).    A second view of governance is one of a dictatorship style, as to dictate, direct and control.    This is more often seen in financial institutions and businesses as a struggle between governing for transparency versus directing with discretion.  Governing with transparency relies on communication and ideas as an open-book approach to governance.   This is the opposite of the idea of directing which is to have a tight grip over decisions and maintain control, an example was Steve </w:t>
      </w:r>
      <w:proofErr w:type="spellStart"/>
      <w:r w:rsidRPr="00274A78">
        <w:rPr>
          <w:rFonts w:ascii="Arial" w:hAnsi="Arial"/>
        </w:rPr>
        <w:t>Jobs's</w:t>
      </w:r>
      <w:proofErr w:type="spellEnd"/>
      <w:r w:rsidRPr="00274A78">
        <w:rPr>
          <w:rFonts w:ascii="Arial" w:hAnsi="Arial"/>
        </w:rPr>
        <w:t xml:space="preserve"> controlling style of governance at Apple which brought about a highly successful business but was seen as a part of his personality, not one of the dictating </w:t>
      </w:r>
      <w:proofErr w:type="gramStart"/>
      <w:r w:rsidRPr="00274A78">
        <w:rPr>
          <w:rFonts w:ascii="Arial" w:hAnsi="Arial"/>
        </w:rPr>
        <w:t>style</w:t>
      </w:r>
      <w:proofErr w:type="gramEnd"/>
      <w:r w:rsidRPr="00274A78">
        <w:rPr>
          <w:rFonts w:ascii="Arial" w:hAnsi="Arial"/>
        </w:rPr>
        <w:t xml:space="preserve"> creating success.</w:t>
      </w:r>
    </w:p>
    <w:p w14:paraId="00D1097C" w14:textId="77777777" w:rsidR="00274A78" w:rsidRPr="00274A78" w:rsidRDefault="00274A78" w:rsidP="00274A78">
      <w:pPr>
        <w:pStyle w:val="NormalWeb"/>
        <w:spacing w:line="480" w:lineRule="auto"/>
        <w:rPr>
          <w:rFonts w:ascii="Arial" w:hAnsi="Arial"/>
        </w:rPr>
      </w:pPr>
      <w:r w:rsidRPr="00274A78">
        <w:rPr>
          <w:rFonts w:ascii="Arial" w:hAnsi="Arial"/>
        </w:rPr>
        <w:t> </w:t>
      </w:r>
    </w:p>
    <w:p w14:paraId="6E6582F5" w14:textId="77777777" w:rsidR="00274A78" w:rsidRPr="00274A78" w:rsidRDefault="00274A78" w:rsidP="00274A78">
      <w:pPr>
        <w:pStyle w:val="NormalWeb"/>
        <w:spacing w:line="480" w:lineRule="auto"/>
        <w:rPr>
          <w:rFonts w:ascii="Arial" w:hAnsi="Arial"/>
        </w:rPr>
      </w:pPr>
      <w:r w:rsidRPr="00274A78">
        <w:rPr>
          <w:rFonts w:ascii="Arial" w:hAnsi="Arial"/>
        </w:rPr>
        <w:lastRenderedPageBreak/>
        <w:t>In 1970 Milton Friedman produced Shareholder Theory stating the sole responsibility of a business is to increase its profits.   Friedman had a free market approach to business and finance believing markets would regulate their behaviours and this would bring balance to the benefit of the people.  Friedman based much of his thinking around the concept that businesses are not moral persons and therefore cannot have responsibilities.  However, Dunn and Burton (2006) offer a counterargument that a definition has never been provided by Friedman and therefore does not give a clear guide to allow the case to be or not to be made. </w:t>
      </w:r>
    </w:p>
    <w:p w14:paraId="475DD196" w14:textId="77777777" w:rsidR="00274A78" w:rsidRPr="00274A78" w:rsidRDefault="00274A78" w:rsidP="00274A78">
      <w:pPr>
        <w:pStyle w:val="NormalWeb"/>
        <w:spacing w:line="480" w:lineRule="auto"/>
        <w:rPr>
          <w:rFonts w:ascii="Arial" w:hAnsi="Arial"/>
        </w:rPr>
      </w:pPr>
      <w:r w:rsidRPr="00274A78">
        <w:rPr>
          <w:rFonts w:ascii="Arial" w:hAnsi="Arial"/>
        </w:rPr>
        <w:t>Friedman advocated that social responsibility was a socialist concept and managers could not be relied upon to make political decisions as there would be no balance of powers to restrict their discretion.  This shares a parallel with both previous and existing models of governance of Chief Constables by Police Authorities and Commissioners, making the concept relevant to policing. </w:t>
      </w:r>
    </w:p>
    <w:p w14:paraId="753E521D" w14:textId="77777777" w:rsidR="00274A78" w:rsidRPr="00274A78" w:rsidRDefault="00274A78" w:rsidP="00274A78">
      <w:pPr>
        <w:pStyle w:val="NormalWeb"/>
        <w:spacing w:line="480" w:lineRule="auto"/>
        <w:rPr>
          <w:rFonts w:ascii="Arial" w:hAnsi="Arial"/>
        </w:rPr>
      </w:pPr>
      <w:r w:rsidRPr="00274A78">
        <w:rPr>
          <w:rFonts w:ascii="Arial" w:hAnsi="Arial"/>
        </w:rPr>
        <w:t xml:space="preserve">Edward Freeman produced Stakeholder Theory providing a view that many groups have a claim on a corporation as the corporation has the potential to harm or benefit those people.   Freeman cited stakeholders as groups that should be </w:t>
      </w:r>
      <w:proofErr w:type="gramStart"/>
      <w:r w:rsidRPr="00274A78">
        <w:rPr>
          <w:rFonts w:ascii="Arial" w:hAnsi="Arial"/>
        </w:rPr>
        <w:t>taken into account</w:t>
      </w:r>
      <w:proofErr w:type="gramEnd"/>
      <w:r w:rsidRPr="00274A78">
        <w:rPr>
          <w:rFonts w:ascii="Arial" w:hAnsi="Arial"/>
        </w:rPr>
        <w:t xml:space="preserve"> when making decisions.   This theory sits comfortably alongside public bodies as police forces do via community groups, various commissioner panels and the wider community.  Policing activities are not conducted in isolation but with due regard for how policing decisions affect communities, which Freeman would describe as stakeholders. </w:t>
      </w:r>
    </w:p>
    <w:p w14:paraId="72E10E94" w14:textId="77777777" w:rsidR="00274A78" w:rsidRPr="00274A78" w:rsidRDefault="00274A78" w:rsidP="00274A78">
      <w:pPr>
        <w:pStyle w:val="NormalWeb"/>
        <w:spacing w:line="480" w:lineRule="auto"/>
        <w:rPr>
          <w:rFonts w:ascii="Arial" w:hAnsi="Arial"/>
        </w:rPr>
      </w:pPr>
      <w:r w:rsidRPr="00274A78">
        <w:rPr>
          <w:rFonts w:ascii="Arial" w:hAnsi="Arial"/>
        </w:rPr>
        <w:t xml:space="preserve">There is a balance between both theories in capitalist societies.   The need to create wealth and produce tax revenues is fundamental to society.  Undertaking Governance using the Shareholder Theory concept would be flawed and without a broader balance.   Stakeholder Theory provides a model of broader balance by having respect for the stakeholders and involvement of communities in business and industry, opening channels of communication </w:t>
      </w:r>
      <w:r w:rsidRPr="00274A78">
        <w:rPr>
          <w:rFonts w:ascii="Arial" w:hAnsi="Arial"/>
        </w:rPr>
        <w:lastRenderedPageBreak/>
        <w:t>and bringing governance into the sphere of those affected by the presence of a business or institution's activities. </w:t>
      </w:r>
    </w:p>
    <w:p w14:paraId="3EF94145" w14:textId="1A9B1F80" w:rsidR="00274A78" w:rsidRPr="00274A78" w:rsidRDefault="00274A78" w:rsidP="00274A78">
      <w:pPr>
        <w:pStyle w:val="NormalWeb"/>
        <w:spacing w:line="480" w:lineRule="auto"/>
        <w:rPr>
          <w:rFonts w:ascii="Arial" w:hAnsi="Arial"/>
        </w:rPr>
      </w:pPr>
      <w:r w:rsidRPr="00274A78">
        <w:rPr>
          <w:rFonts w:ascii="Arial" w:hAnsi="Arial"/>
        </w:rPr>
        <w:t>Governance began to gain a foothold in Western countries in the 1980s with principles of governance in the public sector mirroring what had</w:t>
      </w:r>
      <w:r w:rsidR="005C5B6A">
        <w:rPr>
          <w:rFonts w:ascii="Arial" w:hAnsi="Arial"/>
        </w:rPr>
        <w:t xml:space="preserve"> taken hold</w:t>
      </w:r>
      <w:r w:rsidRPr="00274A78">
        <w:rPr>
          <w:rFonts w:ascii="Arial" w:hAnsi="Arial"/>
        </w:rPr>
        <w:t xml:space="preserve"> in the private sector.   Around the same time central government powers were beginning to become decentralised with authority and power being transferred to the local level as the concept of localism began to spread (Clarke and Cochrane, 2013).</w:t>
      </w:r>
    </w:p>
    <w:p w14:paraId="7B49D77E" w14:textId="77777777" w:rsidR="00274A78" w:rsidRPr="00274A78" w:rsidRDefault="00274A78" w:rsidP="00274A78">
      <w:pPr>
        <w:pStyle w:val="NormalWeb"/>
        <w:spacing w:line="480" w:lineRule="auto"/>
        <w:rPr>
          <w:rFonts w:ascii="Arial" w:hAnsi="Arial"/>
        </w:rPr>
      </w:pPr>
      <w:r w:rsidRPr="00274A78">
        <w:rPr>
          <w:rFonts w:ascii="Arial" w:hAnsi="Arial"/>
        </w:rPr>
        <w:t>Around the same period, the authority of the nation-state began to become challenged as economic and social changes took place across Western society (Higham, 2016).  This was at odds with historic models of government activity in the UK and wider society.  For centuries The Westminster model of a top-down approach (UK Parliament, 2024) with committees and laws that are created to guide the direction of the state (</w:t>
      </w:r>
      <w:proofErr w:type="spellStart"/>
      <w:r w:rsidRPr="00274A78">
        <w:rPr>
          <w:rFonts w:ascii="Arial" w:hAnsi="Arial"/>
        </w:rPr>
        <w:t>Kjaer</w:t>
      </w:r>
      <w:proofErr w:type="spellEnd"/>
      <w:r w:rsidRPr="00274A78">
        <w:rPr>
          <w:rFonts w:ascii="Arial" w:hAnsi="Arial"/>
        </w:rPr>
        <w:t>, 2004).</w:t>
      </w:r>
    </w:p>
    <w:p w14:paraId="5ADCFE66" w14:textId="77777777" w:rsidR="00274A78" w:rsidRPr="00274A78" w:rsidRDefault="00274A78" w:rsidP="00274A78">
      <w:pPr>
        <w:pStyle w:val="NormalWeb"/>
        <w:spacing w:line="480" w:lineRule="auto"/>
        <w:rPr>
          <w:rFonts w:ascii="Arial" w:hAnsi="Arial"/>
        </w:rPr>
      </w:pPr>
      <w:r w:rsidRPr="00274A78">
        <w:rPr>
          <w:rFonts w:ascii="Arial" w:hAnsi="Arial"/>
        </w:rPr>
        <w:t>Governance continued to take hold in Western governments with the concept of the three Es of Economy, Efficiency and Effectiveness (National Audit Office, 2024).  As budgets in the public sector began to tighten, during the last years of a Labour Government and throughout the Coalition Government, more was asked for with an ever-decreasing amount of money available.  This coupled with the rising demand placed on policing (Home Office, 2024) and the legacy of legislation, measurements and bureaucracy created under New Labour (Brian, 2014) culminated in a well-worn political rhetoric that waste was rife in the public sector with policing a central target of criticism (Home Office, 2014) and (Travis, 2017).</w:t>
      </w:r>
    </w:p>
    <w:p w14:paraId="23E15AD4" w14:textId="5B436EF0" w:rsidR="00274A78" w:rsidRPr="00274A78" w:rsidRDefault="00274A78" w:rsidP="00274A78">
      <w:pPr>
        <w:pStyle w:val="NormalWeb"/>
        <w:spacing w:line="480" w:lineRule="auto"/>
        <w:rPr>
          <w:rFonts w:ascii="Arial" w:hAnsi="Arial"/>
        </w:rPr>
      </w:pPr>
      <w:r w:rsidRPr="00274A78">
        <w:rPr>
          <w:rFonts w:ascii="Arial" w:hAnsi="Arial"/>
        </w:rPr>
        <w:t>The basics of what the public wants from the police service, those of attendance when needed, crime investigation and feeling safe have remained the same for over a century</w:t>
      </w:r>
      <w:r w:rsidR="00CB501E">
        <w:rPr>
          <w:rFonts w:ascii="Arial" w:hAnsi="Arial"/>
        </w:rPr>
        <w:t xml:space="preserve">  </w:t>
      </w:r>
      <w:r w:rsidR="00CB501E" w:rsidRPr="00CB501E">
        <w:rPr>
          <w:rFonts w:ascii="Arial" w:hAnsi="Arial"/>
          <w:noProof/>
        </w:rPr>
        <w:t>(Hanway and Hambly, 2023)</w:t>
      </w:r>
      <w:r w:rsidRPr="00274A78">
        <w:rPr>
          <w:rFonts w:ascii="Arial" w:hAnsi="Arial"/>
        </w:rPr>
        <w:t>.  However, feeling safe and the complex issues of public safety span beyond the remit of policing and will continue to stretch policing,</w:t>
      </w:r>
      <w:r w:rsidR="00AD0442">
        <w:rPr>
          <w:rFonts w:ascii="Arial" w:hAnsi="Arial"/>
        </w:rPr>
        <w:t xml:space="preserve"> the complex and wide ranging incidents and resources available</w:t>
      </w:r>
      <w:r w:rsidRPr="00274A78">
        <w:rPr>
          <w:rFonts w:ascii="Arial" w:hAnsi="Arial"/>
        </w:rPr>
        <w:t xml:space="preserve"> an example of this is anti-social behaviour in large </w:t>
      </w:r>
      <w:r w:rsidRPr="00274A78">
        <w:rPr>
          <w:rFonts w:ascii="Arial" w:hAnsi="Arial"/>
        </w:rPr>
        <w:lastRenderedPageBreak/>
        <w:t>housing estates</w:t>
      </w:r>
      <w:r w:rsidR="00AD0442">
        <w:rPr>
          <w:rFonts w:ascii="Arial" w:hAnsi="Arial"/>
        </w:rPr>
        <w:t xml:space="preserve"> and how the police contribute to managing issues within communities </w:t>
      </w:r>
      <w:sdt>
        <w:sdtPr>
          <w:rPr>
            <w:rFonts w:ascii="Arial" w:hAnsi="Arial"/>
          </w:rPr>
          <w:id w:val="985290426"/>
          <w:citation/>
        </w:sdtPr>
        <w:sdtEndPr/>
        <w:sdtContent>
          <w:r w:rsidR="00AD0442">
            <w:rPr>
              <w:rFonts w:ascii="Arial" w:hAnsi="Arial"/>
            </w:rPr>
            <w:fldChar w:fldCharType="begin"/>
          </w:r>
          <w:r w:rsidR="002D73DC">
            <w:rPr>
              <w:rFonts w:ascii="Arial" w:hAnsi="Arial"/>
            </w:rPr>
            <w:instrText xml:space="preserve">CITATION Ell21 \l 2057 </w:instrText>
          </w:r>
          <w:r w:rsidR="00AD0442">
            <w:rPr>
              <w:rFonts w:ascii="Arial" w:hAnsi="Arial"/>
            </w:rPr>
            <w:fldChar w:fldCharType="separate"/>
          </w:r>
          <w:r w:rsidR="002D73DC" w:rsidRPr="002D73DC">
            <w:rPr>
              <w:rFonts w:ascii="Arial" w:hAnsi="Arial"/>
              <w:noProof/>
            </w:rPr>
            <w:t>(Ellison et al., 2021)</w:t>
          </w:r>
          <w:r w:rsidR="00AD0442">
            <w:rPr>
              <w:rFonts w:ascii="Arial" w:hAnsi="Arial"/>
            </w:rPr>
            <w:fldChar w:fldCharType="end"/>
          </w:r>
        </w:sdtContent>
      </w:sdt>
      <w:r w:rsidRPr="00274A78">
        <w:rPr>
          <w:rFonts w:ascii="Arial" w:hAnsi="Arial"/>
        </w:rPr>
        <w:t>. </w:t>
      </w:r>
    </w:p>
    <w:p w14:paraId="4955C8F5" w14:textId="3AB0CD28" w:rsidR="00274A78" w:rsidRPr="00274A78" w:rsidRDefault="00274A78" w:rsidP="00274A78">
      <w:pPr>
        <w:pStyle w:val="NormalWeb"/>
        <w:spacing w:line="480" w:lineRule="auto"/>
        <w:rPr>
          <w:rFonts w:ascii="Arial" w:hAnsi="Arial"/>
        </w:rPr>
      </w:pPr>
      <w:r w:rsidRPr="00274A78">
        <w:rPr>
          <w:rFonts w:ascii="Arial" w:hAnsi="Arial"/>
        </w:rPr>
        <w:t xml:space="preserve">An </w:t>
      </w:r>
      <w:r w:rsidR="00CB501E" w:rsidRPr="00274A78">
        <w:rPr>
          <w:rFonts w:ascii="Arial" w:hAnsi="Arial"/>
        </w:rPr>
        <w:t>ever-closer</w:t>
      </w:r>
      <w:r w:rsidRPr="00274A78">
        <w:rPr>
          <w:rFonts w:ascii="Arial" w:hAnsi="Arial"/>
        </w:rPr>
        <w:t xml:space="preserve"> relationship of governance and partnerships has been a result of austerity measures and doing more with less, but as the economy, crime types (Home Office, 2024) and life continue to quicken at an exponential rate the need for public, private and the third sector to be aligned is not a new challenge and has been around since the early 1990s.</w:t>
      </w:r>
    </w:p>
    <w:p w14:paraId="7B0B3A30" w14:textId="77777777" w:rsidR="00274A78" w:rsidRPr="00274A78" w:rsidRDefault="00274A78" w:rsidP="00274A78">
      <w:pPr>
        <w:pStyle w:val="NormalWeb"/>
        <w:spacing w:line="480" w:lineRule="auto"/>
        <w:rPr>
          <w:rFonts w:ascii="Arial" w:hAnsi="Arial"/>
        </w:rPr>
      </w:pPr>
      <w:r w:rsidRPr="00274A78">
        <w:rPr>
          <w:rFonts w:ascii="Arial" w:hAnsi="Arial"/>
        </w:rPr>
        <w:t xml:space="preserve">To be an efficient public service Bovaird and Loeffler (2023) make the case that governance is vitally important with managers and communities not interested in concepts but are focused on the outcomes that affect their quality of life.   Good governance is key to public confidence in policing and the broader activities undertaken by police and partners to improve the lives of those communities it is accountable to.   Good governance has different definitions but broadly is Accountable, Transparent, Responsive, Equitable, Inclusive, Effective and Efficient, Follows the rule of law, and is Participatory and Consensus Oriented (Ali, 2009).  Good governance is a central pillar of policing by consent and must be visible to the public.  This is needed more now than at any time since the conception of the </w:t>
      </w:r>
      <w:proofErr w:type="spellStart"/>
      <w:r w:rsidRPr="00274A78">
        <w:rPr>
          <w:rFonts w:ascii="Arial" w:hAnsi="Arial"/>
        </w:rPr>
        <w:t>Peelian</w:t>
      </w:r>
      <w:proofErr w:type="spellEnd"/>
      <w:r w:rsidRPr="00274A78">
        <w:rPr>
          <w:rFonts w:ascii="Arial" w:hAnsi="Arial"/>
        </w:rPr>
        <w:t xml:space="preserve"> Principles, those of public approval and respect (UK Parliament, 2023) and (The </w:t>
      </w:r>
      <w:proofErr w:type="spellStart"/>
      <w:r w:rsidRPr="00274A78">
        <w:rPr>
          <w:rFonts w:ascii="Arial" w:hAnsi="Arial"/>
        </w:rPr>
        <w:t>Angiolini</w:t>
      </w:r>
      <w:proofErr w:type="spellEnd"/>
      <w:r w:rsidRPr="00274A78">
        <w:rPr>
          <w:rFonts w:ascii="Arial" w:hAnsi="Arial"/>
        </w:rPr>
        <w:t xml:space="preserve"> Inquiry, 2024).</w:t>
      </w:r>
    </w:p>
    <w:p w14:paraId="78C445CF" w14:textId="77777777" w:rsidR="00274A78" w:rsidRPr="00274A78" w:rsidRDefault="00274A78" w:rsidP="00274A78">
      <w:pPr>
        <w:pStyle w:val="NormalWeb"/>
        <w:spacing w:line="480" w:lineRule="auto"/>
        <w:rPr>
          <w:rFonts w:ascii="Arial" w:hAnsi="Arial"/>
        </w:rPr>
      </w:pPr>
      <w:r w:rsidRPr="00274A78">
        <w:rPr>
          <w:rFonts w:ascii="Arial" w:hAnsi="Arial"/>
        </w:rPr>
        <w:t>Throughout the 20th century, the tripartite system had been the stable of policing governance.   Police authorities were created and established formal duties at the county level of “maintaining an adequate and efficient police force for the area” (Home Office, 1964).</w:t>
      </w:r>
    </w:p>
    <w:p w14:paraId="1CB71881" w14:textId="77777777" w:rsidR="00274A78" w:rsidRPr="00274A78" w:rsidRDefault="00274A78" w:rsidP="00274A78">
      <w:pPr>
        <w:pStyle w:val="NormalWeb"/>
        <w:spacing w:line="480" w:lineRule="auto"/>
        <w:rPr>
          <w:rFonts w:ascii="Arial" w:hAnsi="Arial"/>
        </w:rPr>
      </w:pPr>
      <w:r w:rsidRPr="00274A78">
        <w:rPr>
          <w:rFonts w:ascii="Arial" w:hAnsi="Arial"/>
        </w:rPr>
        <w:t xml:space="preserve">Policing used the Police Authority model, one of the elected officials coming together to steer the direction via a common view on policing in a geographical area.  The Police Authority structure was not without its weaknesses with the Home Office having to step in on occasions and appearing to weaken the role of the Police Authority.  Through the 1990s and </w:t>
      </w:r>
      <w:r w:rsidRPr="00274A78">
        <w:rPr>
          <w:rFonts w:ascii="Arial" w:hAnsi="Arial"/>
        </w:rPr>
        <w:lastRenderedPageBreak/>
        <w:t>into the 2000s policing was subject to more central control and targets.  The Labour government at the time reviewed the idea of accountability via reforms to Policing Authorities as accountability of the Chief Constable via the Police Authorities was seen as becoming detached from communities.   Reform of policing governance was in the air and the idea began to crystalise in a report written in 2003 that considered policing governance and reform (Loveday and Reid, 2003).  The report made the argument that ties with local communities had been eroded and concluded with the consideration that police forces should be under the control of locally elected representatives.  </w:t>
      </w:r>
    </w:p>
    <w:p w14:paraId="3733BB8B" w14:textId="77777777" w:rsidR="00274A78" w:rsidRPr="00274A78" w:rsidRDefault="00274A78" w:rsidP="00274A78">
      <w:pPr>
        <w:pStyle w:val="NormalWeb"/>
        <w:spacing w:line="480" w:lineRule="auto"/>
        <w:rPr>
          <w:rFonts w:ascii="Arial" w:hAnsi="Arial"/>
        </w:rPr>
      </w:pPr>
      <w:r w:rsidRPr="00274A78">
        <w:rPr>
          <w:rFonts w:ascii="Arial" w:hAnsi="Arial"/>
        </w:rPr>
        <w:t xml:space="preserve">The concept of a single elected official had not been a traditional way of governing a police force in England and Wales and was a copy of models used in America and Europe (Newburn, 2012).  The Policy Exchange laid out advantages to the model including innovation, community involvement in setting policy agendas and a responsive approach to policing strategy with a further case made by Loveday and Reid (2003) that bureaucracy would be reduced.   A view is taken by Rowe (2020) that conventional approaches to local and national accountability have become outdated as policing is wider than any police force as a standalone organisation.   When considering the views of Loveday, </w:t>
      </w:r>
      <w:proofErr w:type="gramStart"/>
      <w:r w:rsidRPr="00274A78">
        <w:rPr>
          <w:rFonts w:ascii="Arial" w:hAnsi="Arial"/>
        </w:rPr>
        <w:t>Reid</w:t>
      </w:r>
      <w:proofErr w:type="gramEnd"/>
      <w:r w:rsidRPr="00274A78">
        <w:rPr>
          <w:rFonts w:ascii="Arial" w:hAnsi="Arial"/>
        </w:rPr>
        <w:t xml:space="preserve"> and Rowe a strong case for reform of policing authorities to a new model of elected representatives holding local police forces to account had firm foundations.  However, Newburn (2012) argued that this role and model were out of step with classic British governance with gaps to having a Police and Crime Commissioner being sizable and a wholesale shift away from the tried and tested model describing a single official as the “Americanisation of British </w:t>
      </w:r>
      <w:proofErr w:type="gramStart"/>
      <w:r w:rsidRPr="00274A78">
        <w:rPr>
          <w:rFonts w:ascii="Arial" w:hAnsi="Arial"/>
        </w:rPr>
        <w:t>Policing”</w:t>
      </w:r>
      <w:proofErr w:type="gramEnd"/>
    </w:p>
    <w:p w14:paraId="56AEA38E" w14:textId="77777777" w:rsidR="00274A78" w:rsidRPr="00274A78" w:rsidRDefault="00274A78" w:rsidP="00274A78">
      <w:pPr>
        <w:pStyle w:val="NormalWeb"/>
        <w:spacing w:line="480" w:lineRule="auto"/>
        <w:rPr>
          <w:rFonts w:ascii="Arial" w:hAnsi="Arial"/>
        </w:rPr>
      </w:pPr>
      <w:r w:rsidRPr="00274A78">
        <w:rPr>
          <w:rFonts w:ascii="Arial" w:hAnsi="Arial"/>
        </w:rPr>
        <w:t xml:space="preserve">In 2011 the creation of the Police and Crime Commissioner role was born from the Police Reform and Social Responsibility Act (Home Office, 2011).   This act transferred responsibility for police force oversight from the Home Secretary to Police and Crime Commissioners whilst also laying out the basics of the new system for governance between Chief Constables, Police and Crime Commissioners and Police and Crime Panels.   This </w:t>
      </w:r>
      <w:r w:rsidRPr="00274A78">
        <w:rPr>
          <w:rFonts w:ascii="Arial" w:hAnsi="Arial"/>
        </w:rPr>
        <w:lastRenderedPageBreak/>
        <w:t>system replaced the tripartite system of governance across the territorial forces of England and Wales, with the case being made that Police Authorities were failing in their roles due to a lack of knowledge and powers (Chambers, 2014).</w:t>
      </w:r>
    </w:p>
    <w:p w14:paraId="04C5532F" w14:textId="2BBB55CC" w:rsidR="00274A78" w:rsidRPr="00274A78" w:rsidRDefault="00274A78" w:rsidP="00274A78">
      <w:pPr>
        <w:pStyle w:val="NormalWeb"/>
        <w:spacing w:line="480" w:lineRule="auto"/>
        <w:rPr>
          <w:rFonts w:ascii="Arial" w:hAnsi="Arial"/>
        </w:rPr>
      </w:pPr>
      <w:r w:rsidRPr="00274A78">
        <w:rPr>
          <w:rFonts w:ascii="Arial" w:hAnsi="Arial"/>
        </w:rPr>
        <w:t>As the election of 2010 drew closer reforming Police Authorities was an agenda item within the Home Office regardless of the outcome of that election (Joyce, 2011).  This coincided with a commitment to replace Police Authorities with Commissioners in the Conservative Party manifesto (The Guardian, 2010).</w:t>
      </w:r>
    </w:p>
    <w:p w14:paraId="2114E853" w14:textId="77777777" w:rsidR="00274A78" w:rsidRPr="00274A78" w:rsidRDefault="00274A78" w:rsidP="00274A78">
      <w:pPr>
        <w:pStyle w:val="NormalWeb"/>
        <w:spacing w:line="480" w:lineRule="auto"/>
        <w:rPr>
          <w:rFonts w:ascii="Arial" w:hAnsi="Arial"/>
        </w:rPr>
      </w:pPr>
      <w:r w:rsidRPr="00274A78">
        <w:rPr>
          <w:rFonts w:ascii="Arial" w:hAnsi="Arial"/>
        </w:rPr>
        <w:t>With the Conservative and Liberal parties forming a coalition government in 2010 the creation of the Police and Crime Commissioner removed the established governance arrangements and congratulated itself for bringing about a new era of police accountability.  The role of the Commissioner was described as “responsible for the totality of policing” (Association of Police and Crime Commissioners, 2024) with the role defined as making Commissioners legally bound to:</w:t>
      </w:r>
    </w:p>
    <w:p w14:paraId="3A217F1C" w14:textId="77777777" w:rsidR="00274A78" w:rsidRPr="00274A78" w:rsidRDefault="00274A78" w:rsidP="00274A78">
      <w:pPr>
        <w:numPr>
          <w:ilvl w:val="0"/>
          <w:numId w:val="8"/>
        </w:numPr>
        <w:spacing w:before="100" w:beforeAutospacing="1" w:after="100" w:afterAutospacing="1" w:line="480" w:lineRule="auto"/>
        <w:rPr>
          <w:rFonts w:ascii="Arial" w:eastAsia="Times New Roman" w:hAnsi="Arial"/>
        </w:rPr>
      </w:pPr>
      <w:r w:rsidRPr="00274A78">
        <w:rPr>
          <w:rFonts w:ascii="Arial" w:eastAsia="Times New Roman" w:hAnsi="Arial"/>
        </w:rPr>
        <w:t>Secure efficient and effective police for their area.</w:t>
      </w:r>
    </w:p>
    <w:p w14:paraId="32162F89" w14:textId="77777777" w:rsidR="00274A78" w:rsidRPr="00274A78" w:rsidRDefault="00274A78" w:rsidP="00274A78">
      <w:pPr>
        <w:numPr>
          <w:ilvl w:val="0"/>
          <w:numId w:val="8"/>
        </w:numPr>
        <w:spacing w:before="100" w:beforeAutospacing="1" w:after="100" w:afterAutospacing="1" w:line="480" w:lineRule="auto"/>
        <w:rPr>
          <w:rFonts w:ascii="Arial" w:eastAsia="Times New Roman" w:hAnsi="Arial"/>
        </w:rPr>
      </w:pPr>
      <w:r w:rsidRPr="00274A78">
        <w:rPr>
          <w:rFonts w:ascii="Arial" w:eastAsia="Times New Roman" w:hAnsi="Arial"/>
        </w:rPr>
        <w:t>Appoint the Chief Constable, hold them to account for running the force, and if necessary, dismiss them.</w:t>
      </w:r>
    </w:p>
    <w:p w14:paraId="182A76DC" w14:textId="77777777" w:rsidR="00274A78" w:rsidRPr="00274A78" w:rsidRDefault="00274A78" w:rsidP="00274A78">
      <w:pPr>
        <w:numPr>
          <w:ilvl w:val="0"/>
          <w:numId w:val="8"/>
        </w:numPr>
        <w:spacing w:before="100" w:beforeAutospacing="1" w:after="100" w:afterAutospacing="1" w:line="480" w:lineRule="auto"/>
        <w:rPr>
          <w:rFonts w:ascii="Arial" w:eastAsia="Times New Roman" w:hAnsi="Arial"/>
        </w:rPr>
      </w:pPr>
      <w:r w:rsidRPr="00274A78">
        <w:rPr>
          <w:rFonts w:ascii="Arial" w:eastAsia="Times New Roman" w:hAnsi="Arial"/>
        </w:rPr>
        <w:t>Set the police and crime objectives for their area through a police and crime plan.</w:t>
      </w:r>
    </w:p>
    <w:p w14:paraId="301E9277" w14:textId="2144C033" w:rsidR="00274A78" w:rsidRPr="00274A78" w:rsidRDefault="00274A78" w:rsidP="00274A78">
      <w:pPr>
        <w:pStyle w:val="NormalWeb"/>
        <w:spacing w:line="480" w:lineRule="auto"/>
        <w:rPr>
          <w:rFonts w:ascii="Arial" w:hAnsi="Arial"/>
        </w:rPr>
      </w:pPr>
      <w:r w:rsidRPr="00274A78">
        <w:rPr>
          <w:rFonts w:ascii="Arial" w:hAnsi="Arial"/>
        </w:rPr>
        <w:t>The role of the Police and Crime Commissioner was interpreted locally with the Commissioner determining the boundaries and oversight as they deemed appropriate.  During the first two years, Commissioners reported the breadth of interpretation of the role was wide and concerns about the retention of Commissioners began to appear (Davies, 2014).  A wide range of approaches were adopted with a range of results, the worst being the South Yorkshire Police example requiring High Court intervention (Shine and Lander, 2017)</w:t>
      </w:r>
      <w:r w:rsidR="009717FF">
        <w:rPr>
          <w:rFonts w:ascii="Arial" w:hAnsi="Arial"/>
        </w:rPr>
        <w:t xml:space="preserve"> and</w:t>
      </w:r>
      <w:r w:rsidRPr="00274A78">
        <w:rPr>
          <w:rFonts w:ascii="Arial" w:hAnsi="Arial"/>
        </w:rPr>
        <w:t xml:space="preserve"> (BBC, 2013).  </w:t>
      </w:r>
    </w:p>
    <w:p w14:paraId="1FE5B015" w14:textId="77777777" w:rsidR="00274A78" w:rsidRPr="00274A78" w:rsidRDefault="00274A78" w:rsidP="00274A78">
      <w:pPr>
        <w:pStyle w:val="NormalWeb"/>
        <w:spacing w:line="480" w:lineRule="auto"/>
        <w:rPr>
          <w:rFonts w:ascii="Arial" w:hAnsi="Arial"/>
        </w:rPr>
      </w:pPr>
      <w:r w:rsidRPr="00274A78">
        <w:rPr>
          <w:rFonts w:ascii="Arial" w:hAnsi="Arial"/>
        </w:rPr>
        <w:lastRenderedPageBreak/>
        <w:t xml:space="preserve">Early adoption of the role showed concerns over the quality of both candidates and newly elected Commissioners.  The Coalition government continued to hold the concept in high regard as a pillar of the Conservative policing election manifesto with the continued hope of Police and Crime Commissioners acting as a channel for change (Reiner, 2013).  It was clear that further work was required to calm and embed the role of Commissioners if the new way of holding Chief Constables to account was going to work.   </w:t>
      </w:r>
    </w:p>
    <w:p w14:paraId="49A0C8BB" w14:textId="77777777" w:rsidR="00274A78" w:rsidRPr="00274A78" w:rsidRDefault="00274A78" w:rsidP="00274A78">
      <w:pPr>
        <w:pStyle w:val="NormalWeb"/>
        <w:spacing w:line="480" w:lineRule="auto"/>
        <w:rPr>
          <w:rFonts w:ascii="Arial" w:hAnsi="Arial"/>
        </w:rPr>
      </w:pPr>
      <w:r w:rsidRPr="00274A78">
        <w:rPr>
          <w:rFonts w:ascii="Arial" w:hAnsi="Arial"/>
        </w:rPr>
        <w:t>Alongside the Commissioner's role was the creation of The Association of Police and Crime Commissioners in 2012 with the remit of bringing together and developing national policy issues.   Just as important as the official purpose was the space for Commissioners to communicate and learn from others by sharing their experiences.  In 2016 the association adopted a portfolio approach to policy development after identifying further refinement of the organisation was needed.  To some extent, the creation and development of the role mitigated the concerns raised in the early years that a single individual with little experience held power over policing (Joyce, 2011).  The role was still seen with a degree of scepticism but worked to an acceptable level overall across county-level forces.  </w:t>
      </w:r>
    </w:p>
    <w:p w14:paraId="38418321" w14:textId="4CD72A8E" w:rsidR="00274A78" w:rsidRPr="00274A78" w:rsidRDefault="00274A78" w:rsidP="00274A78">
      <w:pPr>
        <w:pStyle w:val="NormalWeb"/>
        <w:spacing w:line="480" w:lineRule="auto"/>
        <w:rPr>
          <w:rFonts w:ascii="Arial" w:hAnsi="Arial"/>
        </w:rPr>
      </w:pPr>
      <w:r w:rsidRPr="00274A78">
        <w:rPr>
          <w:rFonts w:ascii="Arial" w:hAnsi="Arial"/>
        </w:rPr>
        <w:t>As the Police Reform and Social Responsibility Act brought into existence a new governance structure of a Police and Crime Commissioner for most forces</w:t>
      </w:r>
      <w:r w:rsidR="00AD0442">
        <w:rPr>
          <w:rFonts w:ascii="Arial" w:hAnsi="Arial"/>
        </w:rPr>
        <w:t>,</w:t>
      </w:r>
      <w:r w:rsidRPr="00274A78">
        <w:rPr>
          <w:rFonts w:ascii="Arial" w:hAnsi="Arial"/>
        </w:rPr>
        <w:t xml:space="preserve"> other structures remained across specialist areas of policing for example the Ministry of Defence and British Transport Police.  Across county-level forces three forces operate a Mayoral model, these are Greater Manchester, West Yorkshire, </w:t>
      </w:r>
      <w:proofErr w:type="gramStart"/>
      <w:r w:rsidRPr="00274A78">
        <w:rPr>
          <w:rFonts w:ascii="Arial" w:hAnsi="Arial"/>
        </w:rPr>
        <w:t>York</w:t>
      </w:r>
      <w:proofErr w:type="gramEnd"/>
      <w:r w:rsidRPr="00274A78">
        <w:rPr>
          <w:rFonts w:ascii="Arial" w:hAnsi="Arial"/>
        </w:rPr>
        <w:t xml:space="preserve"> and North Yorkshire Combined Authority.  </w:t>
      </w:r>
    </w:p>
    <w:p w14:paraId="4450509F" w14:textId="77777777" w:rsidR="00274A78" w:rsidRPr="00274A78" w:rsidRDefault="00274A78" w:rsidP="00274A78">
      <w:pPr>
        <w:pStyle w:val="NormalWeb"/>
        <w:spacing w:line="480" w:lineRule="auto"/>
        <w:rPr>
          <w:rFonts w:ascii="Arial" w:hAnsi="Arial"/>
        </w:rPr>
      </w:pPr>
      <w:r w:rsidRPr="00274A78">
        <w:rPr>
          <w:rFonts w:ascii="Arial" w:hAnsi="Arial"/>
        </w:rPr>
        <w:t>The Mayor of London also exercises the powers of a Police and Crime Commissioner however the act did not affect the governance structures for the Metropolitan Police (Home Office, 2023).  Policing governance is derived from the Greater London Authority Act 1999 (Home Office, 1999).   The appointment of a Metropolitan Police Commissioner is a decision the Home Secretary makes, following consultation with the Mayor of London.  </w:t>
      </w:r>
    </w:p>
    <w:p w14:paraId="5831B01D" w14:textId="77777777" w:rsidR="00274A78" w:rsidRPr="00274A78" w:rsidRDefault="00274A78" w:rsidP="00274A78">
      <w:pPr>
        <w:pStyle w:val="NormalWeb"/>
        <w:spacing w:line="480" w:lineRule="auto"/>
        <w:rPr>
          <w:rFonts w:ascii="Arial" w:hAnsi="Arial"/>
        </w:rPr>
      </w:pPr>
      <w:r w:rsidRPr="00274A78">
        <w:rPr>
          <w:rFonts w:ascii="Arial" w:hAnsi="Arial"/>
        </w:rPr>
        <w:lastRenderedPageBreak/>
        <w:t xml:space="preserve">There are a range of governance mechanisms holding the Metropolitan Police to account.  The mechanisms include a Deputy Mayor who has oversight of policing, The Greater London Assembly, The London Policing Board and a Police and Crime Committee which scrutinises the work of the Deputy Mayor.  The Metropolitan Police is also subject to His Majesty’s Inspectorate of Constabularies Inspections and Office of Independent Complaints oversight for performance and complaints (Metropolitan Police, 2024). </w:t>
      </w:r>
    </w:p>
    <w:p w14:paraId="053E25E6" w14:textId="77777777" w:rsidR="00274A78" w:rsidRPr="00274A78" w:rsidRDefault="00274A78" w:rsidP="00274A78">
      <w:pPr>
        <w:pStyle w:val="NormalWeb"/>
        <w:spacing w:line="480" w:lineRule="auto"/>
        <w:rPr>
          <w:rFonts w:ascii="Arial" w:hAnsi="Arial"/>
        </w:rPr>
      </w:pPr>
      <w:r w:rsidRPr="00274A78">
        <w:rPr>
          <w:rFonts w:ascii="Arial" w:hAnsi="Arial"/>
        </w:rPr>
        <w:t xml:space="preserve">The retirement of Metropolitan Police Commissioner Cressida Dick in 2022 provides a clear example of how political influence can be exerted over a senior official.  The mixed signals were provided by London Mayor Sadiq Khan who had provided previous Metropolitan Police Commissioner Cressida Dick with a two-year contract extension then began a war of words and smear campaign to pressurise the Commissioner into retiring (Stanford, 2022). </w:t>
      </w:r>
    </w:p>
    <w:p w14:paraId="3C40A878" w14:textId="400E7BD4" w:rsidR="00274A78" w:rsidRPr="00274A78" w:rsidRDefault="00274A78" w:rsidP="00274A78">
      <w:pPr>
        <w:pStyle w:val="NormalWeb"/>
        <w:spacing w:line="480" w:lineRule="auto"/>
        <w:rPr>
          <w:rFonts w:ascii="Arial" w:hAnsi="Arial"/>
        </w:rPr>
      </w:pPr>
      <w:r w:rsidRPr="00274A78">
        <w:rPr>
          <w:rFonts w:ascii="Arial" w:hAnsi="Arial"/>
        </w:rPr>
        <w:t xml:space="preserve">The subsequent review undertaken by Tom Windsor (Home Office, 2022) is highly critical of the behaviours of Sadiq Khan, his deputy </w:t>
      </w:r>
      <w:proofErr w:type="gramStart"/>
      <w:r w:rsidRPr="00274A78">
        <w:rPr>
          <w:rFonts w:ascii="Arial" w:hAnsi="Arial"/>
        </w:rPr>
        <w:t>Mayor</w:t>
      </w:r>
      <w:proofErr w:type="gramEnd"/>
      <w:r w:rsidRPr="00274A78">
        <w:rPr>
          <w:rFonts w:ascii="Arial" w:hAnsi="Arial"/>
        </w:rPr>
        <w:t xml:space="preserve"> and his staff.   The review highlights the overuse of political pressure and a lack of following lawful and correct processes.   This is ironic as this subjected Sadiq Khan to scrutiny and governance oversight by the Home Secretary as he had undertaken </w:t>
      </w:r>
      <w:r w:rsidR="00B911EC">
        <w:rPr>
          <w:rFonts w:ascii="Arial" w:hAnsi="Arial"/>
        </w:rPr>
        <w:t>of</w:t>
      </w:r>
      <w:r w:rsidRPr="00274A78">
        <w:rPr>
          <w:rFonts w:ascii="Arial" w:hAnsi="Arial"/>
        </w:rPr>
        <w:t xml:space="preserve"> the Metropolitan Police Commissioner.</w:t>
      </w:r>
    </w:p>
    <w:p w14:paraId="178BDB1D" w14:textId="1C04E371" w:rsidR="00274A78" w:rsidRPr="00274A78" w:rsidRDefault="00274A78" w:rsidP="00274A78">
      <w:pPr>
        <w:pStyle w:val="NormalWeb"/>
        <w:spacing w:line="480" w:lineRule="auto"/>
        <w:rPr>
          <w:rFonts w:ascii="Arial" w:hAnsi="Arial"/>
        </w:rPr>
      </w:pPr>
      <w:r w:rsidRPr="00274A78">
        <w:rPr>
          <w:rFonts w:ascii="Arial" w:hAnsi="Arial"/>
        </w:rPr>
        <w:t>The lines between oversight of policing and politics can be blurred with the role of policing weaponised for political gain.  This type of inconsistent behaviour and political points scoring highlights how a mayor’s behaviour can have an impact on a police force, its performance and undermine senior officers who are accountable.   The confusion, disorientation and instability caused by such behaviours highlight that individual Commissioners or Mayors need to be subject to oversight, with committees and boards able to hold them to account and have legal powers to act beyond recommendations with the authority to interject and stop actions if it is necessary.    </w:t>
      </w:r>
    </w:p>
    <w:p w14:paraId="6B61A101" w14:textId="77777777" w:rsidR="00274A78" w:rsidRPr="00274A78" w:rsidRDefault="00274A78" w:rsidP="00274A78">
      <w:pPr>
        <w:pStyle w:val="NormalWeb"/>
        <w:spacing w:line="480" w:lineRule="auto"/>
        <w:rPr>
          <w:rFonts w:ascii="Arial" w:hAnsi="Arial"/>
        </w:rPr>
      </w:pPr>
      <w:r w:rsidRPr="00274A78">
        <w:rPr>
          <w:rFonts w:ascii="Arial" w:hAnsi="Arial"/>
        </w:rPr>
        <w:lastRenderedPageBreak/>
        <w:t xml:space="preserve">Already in place when Sadiq Khan pressurised Cressida Dick was the Policing Protocol Order 2023 (Home Office, 2023).   The protocol aimed to define and tighten the arrangements at the local Commissioner level with its introduction to hold the Chief Constable to account and set the strategic direction.  However, the protocol has left a gap in the oversight of the Commissioner and has not provided the Police and Crime Panel any further powers.  </w:t>
      </w:r>
    </w:p>
    <w:p w14:paraId="1B6A896B" w14:textId="507EFF52" w:rsidR="00274A78" w:rsidRPr="00274A78" w:rsidRDefault="00274A78" w:rsidP="00274A78">
      <w:pPr>
        <w:pStyle w:val="NormalWeb"/>
        <w:spacing w:line="480" w:lineRule="auto"/>
        <w:rPr>
          <w:rFonts w:ascii="Arial" w:hAnsi="Arial"/>
        </w:rPr>
      </w:pPr>
      <w:r w:rsidRPr="00274A78">
        <w:rPr>
          <w:rFonts w:ascii="Arial" w:hAnsi="Arial"/>
        </w:rPr>
        <w:t xml:space="preserve">The role of a </w:t>
      </w:r>
      <w:proofErr w:type="gramStart"/>
      <w:r w:rsidRPr="00274A78">
        <w:rPr>
          <w:rFonts w:ascii="Arial" w:hAnsi="Arial"/>
        </w:rPr>
        <w:t>Commissioner</w:t>
      </w:r>
      <w:proofErr w:type="gramEnd"/>
      <w:r w:rsidRPr="00274A78">
        <w:rPr>
          <w:rFonts w:ascii="Arial" w:hAnsi="Arial"/>
        </w:rPr>
        <w:t xml:space="preserve"> was seen as one of visibility and channelling policing needs through an elected official.  A greater one-on-one relationship between Commissioners and Chief Constables was envisaged by removing bureaucracy and the need for Police Authority meetings.  However, there was resistance to this idea with arguments made that the invisibility of the Commissioner and Chief Constables could be reduced with the discussing of matters behind closed doors rather than via a Police Authority Committee (Joyce, 2011).</w:t>
      </w:r>
    </w:p>
    <w:p w14:paraId="612690A1" w14:textId="77777777" w:rsidR="00274A78" w:rsidRPr="00274A78" w:rsidRDefault="00274A78" w:rsidP="00274A78">
      <w:pPr>
        <w:pStyle w:val="NormalWeb"/>
        <w:spacing w:line="480" w:lineRule="auto"/>
        <w:rPr>
          <w:rFonts w:ascii="Arial" w:hAnsi="Arial"/>
        </w:rPr>
      </w:pPr>
      <w:r w:rsidRPr="00274A78">
        <w:rPr>
          <w:rFonts w:ascii="Arial" w:hAnsi="Arial"/>
        </w:rPr>
        <w:t xml:space="preserve">The role of the Police and Crime Panels was constructed to scrutinise Commissioners.  The panel consists of 12 members, two are independent and 10 are elected officials within the area the force covers.  The panel is in place to give scrutiny and oversight but does not have any legal powers to compel a </w:t>
      </w:r>
      <w:proofErr w:type="gramStart"/>
      <w:r w:rsidRPr="00274A78">
        <w:rPr>
          <w:rFonts w:ascii="Arial" w:hAnsi="Arial"/>
        </w:rPr>
        <w:t>Commissioner</w:t>
      </w:r>
      <w:proofErr w:type="gramEnd"/>
      <w:r w:rsidRPr="00274A78">
        <w:rPr>
          <w:rFonts w:ascii="Arial" w:hAnsi="Arial"/>
        </w:rPr>
        <w:t xml:space="preserve"> and or Deputy or Mayor.   The panel has a range of statutory powers which call the Commissioner to task and can only suspend a </w:t>
      </w:r>
      <w:proofErr w:type="gramStart"/>
      <w:r w:rsidRPr="00274A78">
        <w:rPr>
          <w:rFonts w:ascii="Arial" w:hAnsi="Arial"/>
        </w:rPr>
        <w:t>Commissioner</w:t>
      </w:r>
      <w:proofErr w:type="gramEnd"/>
      <w:r w:rsidRPr="00274A78">
        <w:rPr>
          <w:rFonts w:ascii="Arial" w:hAnsi="Arial"/>
        </w:rPr>
        <w:t xml:space="preserve"> if charged with an imprisonable offence carrying a maximum sentence of 2 years or more (Newson, 2023)   </w:t>
      </w:r>
    </w:p>
    <w:p w14:paraId="1F876AA0" w14:textId="77777777" w:rsidR="00274A78" w:rsidRPr="00274A78" w:rsidRDefault="00274A78" w:rsidP="00274A78">
      <w:pPr>
        <w:pStyle w:val="NormalWeb"/>
        <w:spacing w:line="480" w:lineRule="auto"/>
        <w:rPr>
          <w:rFonts w:ascii="Arial" w:hAnsi="Arial"/>
        </w:rPr>
      </w:pPr>
      <w:r w:rsidRPr="00274A78">
        <w:rPr>
          <w:rFonts w:ascii="Arial" w:hAnsi="Arial"/>
        </w:rPr>
        <w:t>Police and Crime Plans are issued by each force Commissioner and are tasked with setting the objectives within each policing area.  The plan provides strategic planning but just as importantly it sets the financial resources the Commissioner will make available to the Chief Constable.  The Chief Constable's task is to turn the plan and resource allocation into operational delivery of policing services (Humberside Police and Crime Commissioner, 2024 - 2028).</w:t>
      </w:r>
    </w:p>
    <w:p w14:paraId="29123273" w14:textId="77777777" w:rsidR="00274A78" w:rsidRPr="00274A78" w:rsidRDefault="00274A78" w:rsidP="00274A78">
      <w:pPr>
        <w:pStyle w:val="NormalWeb"/>
        <w:spacing w:line="480" w:lineRule="auto"/>
        <w:rPr>
          <w:rFonts w:ascii="Arial" w:hAnsi="Arial"/>
        </w:rPr>
      </w:pPr>
      <w:r w:rsidRPr="00274A78">
        <w:rPr>
          <w:rFonts w:ascii="Arial" w:hAnsi="Arial"/>
        </w:rPr>
        <w:lastRenderedPageBreak/>
        <w:t xml:space="preserve">The plan issued by the Humberside Commissioner, is very broad, attempting to have a link with communities in urban, </w:t>
      </w:r>
      <w:proofErr w:type="gramStart"/>
      <w:r w:rsidRPr="00274A78">
        <w:rPr>
          <w:rFonts w:ascii="Arial" w:hAnsi="Arial"/>
        </w:rPr>
        <w:t>rural</w:t>
      </w:r>
      <w:proofErr w:type="gramEnd"/>
      <w:r w:rsidRPr="00274A78">
        <w:rPr>
          <w:rFonts w:ascii="Arial" w:hAnsi="Arial"/>
        </w:rPr>
        <w:t xml:space="preserve"> and coastal areas.  Additionally, the plan sets targets focusing on Anti-Social Behaviour reporting and making communities ‘feel’ safer.</w:t>
      </w:r>
    </w:p>
    <w:p w14:paraId="3A2633B4" w14:textId="77777777" w:rsidR="00274A78" w:rsidRPr="00274A78" w:rsidRDefault="00274A78" w:rsidP="00274A78">
      <w:pPr>
        <w:pStyle w:val="NormalWeb"/>
        <w:spacing w:line="480" w:lineRule="auto"/>
        <w:rPr>
          <w:rFonts w:ascii="Arial" w:hAnsi="Arial"/>
        </w:rPr>
      </w:pPr>
      <w:r w:rsidRPr="00274A78">
        <w:rPr>
          <w:rFonts w:ascii="Arial" w:hAnsi="Arial"/>
        </w:rPr>
        <w:t>All police forces have similar plans to adhere to with the challenge been meeting these requirements against other demands such as The Strategic Policing Requirements.  These requirements instruct forces to consider national threats including Terrorism, Violence against Women and Girls, Civil Emergences and Public Order (Home Office, 2011).   </w:t>
      </w:r>
    </w:p>
    <w:p w14:paraId="669A56A2" w14:textId="77777777" w:rsidR="00274A78" w:rsidRPr="00274A78" w:rsidRDefault="00274A78" w:rsidP="00274A78">
      <w:pPr>
        <w:pStyle w:val="NormalWeb"/>
        <w:spacing w:line="480" w:lineRule="auto"/>
        <w:rPr>
          <w:rFonts w:ascii="Arial" w:hAnsi="Arial"/>
        </w:rPr>
      </w:pPr>
      <w:r w:rsidRPr="00274A78">
        <w:rPr>
          <w:rFonts w:ascii="Arial" w:hAnsi="Arial"/>
        </w:rPr>
        <w:t xml:space="preserve">The Home Secretary is legally accountable for national security and the role policing has in preventing and mitigating risk to the public.  The Home Secretary does have a degree of oversight and can intervene to issue directions to a </w:t>
      </w:r>
      <w:proofErr w:type="gramStart"/>
      <w:r w:rsidRPr="00274A78">
        <w:rPr>
          <w:rFonts w:ascii="Arial" w:hAnsi="Arial"/>
        </w:rPr>
        <w:t>Commissioner</w:t>
      </w:r>
      <w:proofErr w:type="gramEnd"/>
      <w:r w:rsidRPr="00274A78">
        <w:rPr>
          <w:rFonts w:ascii="Arial" w:hAnsi="Arial"/>
        </w:rPr>
        <w:t xml:space="preserve"> if they believe a Commissioner is failing to discharge their functions effectively.  A direction can force a </w:t>
      </w:r>
      <w:proofErr w:type="gramStart"/>
      <w:r w:rsidRPr="00274A78">
        <w:rPr>
          <w:rFonts w:ascii="Arial" w:hAnsi="Arial"/>
        </w:rPr>
        <w:t>Commissioner</w:t>
      </w:r>
      <w:proofErr w:type="gramEnd"/>
      <w:r w:rsidRPr="00274A78">
        <w:rPr>
          <w:rFonts w:ascii="Arial" w:hAnsi="Arial"/>
        </w:rPr>
        <w:t xml:space="preserve"> to take specific action and or submit a plan with details of the measures taken to address the concerns (Home Office, 1996).  Alongside this option is a lesser option of suggesting measures that would sufficiently address the issues identified.  </w:t>
      </w:r>
    </w:p>
    <w:p w14:paraId="49FA6150" w14:textId="77777777" w:rsidR="00274A78" w:rsidRPr="00274A78" w:rsidRDefault="00274A78" w:rsidP="00274A78">
      <w:pPr>
        <w:pStyle w:val="NormalWeb"/>
        <w:spacing w:line="480" w:lineRule="auto"/>
        <w:rPr>
          <w:rFonts w:ascii="Arial" w:hAnsi="Arial"/>
        </w:rPr>
      </w:pPr>
      <w:r w:rsidRPr="00274A78">
        <w:rPr>
          <w:rFonts w:ascii="Arial" w:hAnsi="Arial"/>
        </w:rPr>
        <w:t xml:space="preserve">His Majesty’s Inspectorate of Constabulary and Fire and Rescue Services (HMICFRS) has an interest in the performance and stability of forces as it is responsible for independently assessing and reporting on the efficiency and effectiveness of police forces.  Although the HMICFRS is not directly involved in governance of a force to a lesser extent its findings will impact on dialogue within the governance environment.  The Home Secretary on the annual inspection programme may call on the HMICFRS to inspect beyond those matters set out in the programme.  Again, this power allows the Home Secretary to have inspections completed but is limited in its control over a </w:t>
      </w:r>
      <w:proofErr w:type="gramStart"/>
      <w:r w:rsidRPr="00274A78">
        <w:rPr>
          <w:rFonts w:ascii="Arial" w:hAnsi="Arial"/>
        </w:rPr>
        <w:t>Commissioner</w:t>
      </w:r>
      <w:proofErr w:type="gramEnd"/>
      <w:r w:rsidRPr="00274A78">
        <w:rPr>
          <w:rFonts w:ascii="Arial" w:hAnsi="Arial"/>
        </w:rPr>
        <w:t xml:space="preserve"> and police force.  </w:t>
      </w:r>
    </w:p>
    <w:p w14:paraId="25741973" w14:textId="77777777" w:rsidR="00274A78" w:rsidRPr="00274A78" w:rsidRDefault="00274A78" w:rsidP="00274A78">
      <w:pPr>
        <w:pStyle w:val="NormalWeb"/>
        <w:spacing w:line="480" w:lineRule="auto"/>
        <w:rPr>
          <w:rFonts w:ascii="Arial" w:hAnsi="Arial"/>
        </w:rPr>
      </w:pPr>
      <w:r w:rsidRPr="00274A78">
        <w:rPr>
          <w:rFonts w:ascii="Arial" w:hAnsi="Arial"/>
        </w:rPr>
        <w:t xml:space="preserve">The Independent Office for Police Conduct (IOPC) acts as the complaints watchdog and oversees the police complaints system in England and Wales.   The IOPC will investigate serious matters including death following police contact and sets out the standards that </w:t>
      </w:r>
      <w:r w:rsidRPr="00274A78">
        <w:rPr>
          <w:rFonts w:ascii="Arial" w:hAnsi="Arial"/>
        </w:rPr>
        <w:lastRenderedPageBreak/>
        <w:t>forces must use when handling complaints (Independent Office for Police Conduct, 2023).  The IOPC although not a direct governor of policing in respect of performance does have oversight of complaint management which is an integral part of trust and confidence in the police service.   The activity and findings of the IOPC will impact of scrutiny and accountability of a force through governance channels. </w:t>
      </w:r>
    </w:p>
    <w:p w14:paraId="72010D04" w14:textId="77777777" w:rsidR="00274A78" w:rsidRPr="00274A78" w:rsidRDefault="00274A78" w:rsidP="00274A78">
      <w:pPr>
        <w:pStyle w:val="NormalWeb"/>
        <w:spacing w:line="480" w:lineRule="auto"/>
        <w:rPr>
          <w:rFonts w:ascii="Arial" w:hAnsi="Arial"/>
        </w:rPr>
      </w:pPr>
      <w:r w:rsidRPr="00274A78">
        <w:rPr>
          <w:rFonts w:ascii="Arial" w:hAnsi="Arial"/>
        </w:rPr>
        <w:t>The recent introduction of the Policing Vision 2030 (National Police Chiefs Council, 2024) continues to develop a pillar of preventing crime and criminality.  Within that pillar are key priorities including working with Local Authorities, and businesses, a drive towards Neighbourhood Policing and a preventative culture.  </w:t>
      </w:r>
    </w:p>
    <w:p w14:paraId="2D5D5428" w14:textId="3315D4B7" w:rsidR="00274A78" w:rsidRPr="00274A78" w:rsidRDefault="00274A78" w:rsidP="00274A78">
      <w:pPr>
        <w:pStyle w:val="NormalWeb"/>
        <w:spacing w:line="480" w:lineRule="auto"/>
        <w:rPr>
          <w:rFonts w:ascii="Arial" w:hAnsi="Arial"/>
        </w:rPr>
      </w:pPr>
      <w:r w:rsidRPr="00274A78">
        <w:rPr>
          <w:rFonts w:ascii="Arial" w:hAnsi="Arial"/>
        </w:rPr>
        <w:t>With community-based policing and a focus on working with partners beginning in the 1990s this brought with it legislation that created legal duties to work in partnerships and to be accountable to partners and as partnerships to those local communities.  </w:t>
      </w:r>
    </w:p>
    <w:p w14:paraId="70724630" w14:textId="77777777" w:rsidR="00274A78" w:rsidRPr="00274A78" w:rsidRDefault="00274A78" w:rsidP="00274A78">
      <w:pPr>
        <w:pStyle w:val="NormalWeb"/>
        <w:spacing w:line="480" w:lineRule="auto"/>
        <w:rPr>
          <w:rFonts w:ascii="Arial" w:hAnsi="Arial"/>
        </w:rPr>
      </w:pPr>
      <w:r w:rsidRPr="00274A78">
        <w:rPr>
          <w:rFonts w:ascii="Arial" w:hAnsi="Arial"/>
        </w:rPr>
        <w:t>Community Safety Partnerships were introduced by the </w:t>
      </w:r>
      <w:hyperlink r:id="rId9" w:history="1">
        <w:r w:rsidRPr="00274A78">
          <w:rPr>
            <w:rStyle w:val="Hyperlink"/>
            <w:rFonts w:ascii="Arial" w:hAnsi="Arial"/>
            <w:color w:val="auto"/>
            <w:u w:val="none"/>
          </w:rPr>
          <w:t>Crime and Disorder Act 1998</w:t>
        </w:r>
      </w:hyperlink>
      <w:r w:rsidRPr="00274A78">
        <w:rPr>
          <w:rFonts w:ascii="Arial" w:hAnsi="Arial"/>
        </w:rPr>
        <w:t xml:space="preserve"> (Home Office, 1998).  The act brought together local partners to formulate and implement strategies to tackle crime, </w:t>
      </w:r>
      <w:proofErr w:type="gramStart"/>
      <w:r w:rsidRPr="00274A78">
        <w:rPr>
          <w:rFonts w:ascii="Arial" w:hAnsi="Arial"/>
        </w:rPr>
        <w:t>disorder</w:t>
      </w:r>
      <w:proofErr w:type="gramEnd"/>
      <w:r w:rsidRPr="00274A78">
        <w:rPr>
          <w:rFonts w:ascii="Arial" w:hAnsi="Arial"/>
        </w:rPr>
        <w:t xml:space="preserve"> and antisocial behaviour in their communities.  A range of statutory partners including Police, Health, Fire, Local Authorities and Probation are compelled to work together.   </w:t>
      </w:r>
    </w:p>
    <w:p w14:paraId="6AFBA076" w14:textId="77777777" w:rsidR="00274A78" w:rsidRPr="00274A78" w:rsidRDefault="00274A78" w:rsidP="00274A78">
      <w:pPr>
        <w:pStyle w:val="NormalWeb"/>
        <w:spacing w:line="480" w:lineRule="auto"/>
        <w:rPr>
          <w:rFonts w:ascii="Arial" w:hAnsi="Arial"/>
        </w:rPr>
      </w:pPr>
      <w:r w:rsidRPr="00274A78">
        <w:rPr>
          <w:rFonts w:ascii="Arial" w:hAnsi="Arial"/>
        </w:rPr>
        <w:t>Within the Humberside area and specifically Hull City Council boundary the Community Safety Partnership is led by a Police rank of Chief Superintendent and directors of other services, described as the board (Hull Collaborative Partnership, 2023).  The Community Safety Partnership is directed via the Crime and Disorder (Formulation and Implementation of Strategy) Regulations 2007 (Home Office, 2012).   The regulations permit the Commissioner to require representatives to attend strategy meetings, whilst taking those views into account.  </w:t>
      </w:r>
    </w:p>
    <w:p w14:paraId="5247C6FA" w14:textId="5B1BB848" w:rsidR="00274A78" w:rsidRPr="00274A78" w:rsidRDefault="00274A78" w:rsidP="00274A78">
      <w:pPr>
        <w:pStyle w:val="NormalWeb"/>
        <w:spacing w:line="480" w:lineRule="auto"/>
        <w:rPr>
          <w:rFonts w:ascii="Arial" w:hAnsi="Arial"/>
        </w:rPr>
      </w:pPr>
      <w:r w:rsidRPr="00274A78">
        <w:rPr>
          <w:rFonts w:ascii="Arial" w:hAnsi="Arial"/>
        </w:rPr>
        <w:lastRenderedPageBreak/>
        <w:t xml:space="preserve">Over the last three decades, there has been an ever-closer alignment of agencies and partnerships working due to the reduction in government funding and the localism agenda.  Crawford and Cunningham (2015) made the case that the goal of crime and disorder joined up working remained elusive by blurring boundaries.  Bovaird and Loeffler (2023) suggest roles can become fragmented within complex partnerships creating a threat to basic structures.  This is further highlighted by Crawford and Cunningham who highlight each agency is built to function for its primary needs, </w:t>
      </w:r>
      <w:proofErr w:type="gramStart"/>
      <w:r w:rsidR="008033E8" w:rsidRPr="00274A78">
        <w:rPr>
          <w:rFonts w:ascii="Arial" w:hAnsi="Arial"/>
        </w:rPr>
        <w:t>responsibilities</w:t>
      </w:r>
      <w:proofErr w:type="gramEnd"/>
      <w:r w:rsidRPr="00274A78">
        <w:rPr>
          <w:rFonts w:ascii="Arial" w:hAnsi="Arial"/>
        </w:rPr>
        <w:t xml:space="preserve"> and obligations.  However, with the use of the senior officers and a strategy plan, informed by Police and Crime Plans the organisational roles remain clear.    </w:t>
      </w:r>
    </w:p>
    <w:p w14:paraId="26A94541" w14:textId="77777777" w:rsidR="00274A78" w:rsidRPr="00274A78" w:rsidRDefault="00274A78" w:rsidP="00274A78">
      <w:pPr>
        <w:pStyle w:val="NormalWeb"/>
        <w:spacing w:line="480" w:lineRule="auto"/>
        <w:rPr>
          <w:rFonts w:ascii="Arial" w:hAnsi="Arial"/>
        </w:rPr>
      </w:pPr>
      <w:r w:rsidRPr="00274A78">
        <w:rPr>
          <w:rFonts w:ascii="Arial" w:hAnsi="Arial"/>
        </w:rPr>
        <w:t>There are major advantages to the right person undertaking the correct role, but strategic working and plans are not required for basic roles and duties.  The Commissioner’s Police and Crime plan is used as the basis of the strategy coupled with the Commissioner’s ability to require agencies to attend meetings reveals a disproportionate amount of influence with one person and although can lead to a more coordinated approach the oversight and governance of this partnership could be inefficient and not needed for each task (Bovaird and Loeffler, 2023)</w:t>
      </w:r>
    </w:p>
    <w:p w14:paraId="46D29FB0" w14:textId="77777777" w:rsidR="00274A78" w:rsidRPr="00274A78" w:rsidRDefault="00274A78" w:rsidP="00274A78">
      <w:pPr>
        <w:pStyle w:val="NormalWeb"/>
        <w:spacing w:line="480" w:lineRule="auto"/>
        <w:rPr>
          <w:rFonts w:ascii="Arial" w:hAnsi="Arial"/>
        </w:rPr>
      </w:pPr>
      <w:r w:rsidRPr="00274A78">
        <w:rPr>
          <w:rFonts w:ascii="Arial" w:hAnsi="Arial"/>
        </w:rPr>
        <w:t>At the local level police forces interact with Local Authorities beyond the legislated requirements using formal and informal structures.   Area committees are used by most Local Authorities to bring together key partners within several ward boundary areas.  Hull City Council describes area committees as a mechanism for faster decision-making, greater openness, better quality services and greater public participation in Local Government (Hull City Council, 2024).  This mechanism allows for referred matters from a range of local meetings to be brought to the Local Authority’s attention.  At the local ward level meetings attended by Police, Fire Service, local Anti-Social Behaviour and Environmental Teams are held as operational groups for informal governance and oversight of working in partnership (Hull City Council, 2021).</w:t>
      </w:r>
    </w:p>
    <w:p w14:paraId="1944EAF2" w14:textId="77777777" w:rsidR="00274A78" w:rsidRPr="00274A78" w:rsidRDefault="00274A78" w:rsidP="00274A78">
      <w:pPr>
        <w:pStyle w:val="NormalWeb"/>
        <w:spacing w:line="480" w:lineRule="auto"/>
        <w:rPr>
          <w:rFonts w:ascii="Arial" w:hAnsi="Arial"/>
        </w:rPr>
      </w:pPr>
      <w:r w:rsidRPr="00274A78">
        <w:rPr>
          <w:rFonts w:ascii="Arial" w:hAnsi="Arial"/>
        </w:rPr>
        <w:lastRenderedPageBreak/>
        <w:t>At a specific level Neighbourhood Policing Teams across police forces work with Local Authorities and other statutory and non-statutory partners to fight crime with the generic aim of improving communities.  This is a layered approach with conversations between locally elected officials and Local Authority employees daily during those conversations informal accountability and governance occur.</w:t>
      </w:r>
    </w:p>
    <w:p w14:paraId="03F60EC0" w14:textId="77777777" w:rsidR="00274A78" w:rsidRPr="00274A78" w:rsidRDefault="00274A78" w:rsidP="00274A78">
      <w:pPr>
        <w:pStyle w:val="NormalWeb"/>
        <w:spacing w:line="480" w:lineRule="auto"/>
        <w:rPr>
          <w:rFonts w:ascii="Arial" w:hAnsi="Arial"/>
        </w:rPr>
      </w:pPr>
      <w:r w:rsidRPr="00274A78">
        <w:rPr>
          <w:rFonts w:ascii="Arial" w:hAnsi="Arial"/>
        </w:rPr>
        <w:t xml:space="preserve">It is the case that several organisations influence policing and governance at the local level.  As Commissioner produced plans local crime reduction is heavily influenced by what is described within the police and crime plan.  Jones and Lister (2019) argue that localised governance continues to be restrained by the centre with local officers and agreements having to work horizontally to conduct </w:t>
      </w:r>
      <w:proofErr w:type="gramStart"/>
      <w:r w:rsidRPr="00274A78">
        <w:rPr>
          <w:rFonts w:ascii="Arial" w:hAnsi="Arial"/>
        </w:rPr>
        <w:t>policy-making</w:t>
      </w:r>
      <w:proofErr w:type="gramEnd"/>
      <w:r w:rsidRPr="00274A78">
        <w:rPr>
          <w:rFonts w:ascii="Arial" w:hAnsi="Arial"/>
        </w:rPr>
        <w:t xml:space="preserve"> and governance.   However, through the powers and informal partnerships already engaged and working throughout England and Wales and over influence from central government can be managed locally to bring the plan in line with the local needs.  </w:t>
      </w:r>
    </w:p>
    <w:p w14:paraId="11A07E25" w14:textId="77777777" w:rsidR="00274A78" w:rsidRPr="00274A78" w:rsidRDefault="00274A78" w:rsidP="00274A78">
      <w:pPr>
        <w:pStyle w:val="NormalWeb"/>
        <w:spacing w:line="480" w:lineRule="auto"/>
        <w:rPr>
          <w:rFonts w:ascii="Arial" w:hAnsi="Arial"/>
        </w:rPr>
      </w:pPr>
      <w:r w:rsidRPr="00274A78">
        <w:rPr>
          <w:rFonts w:ascii="Arial" w:hAnsi="Arial"/>
        </w:rPr>
        <w:t xml:space="preserve">Independent Advisory Groups were created following the murder of Stephen Lawrence and The Macpherson Report that followed (Home Office, 1999).  The groups provide the role of critical friend to police forces, not as an independent group but as a forum where independent advisors can advise on the development and review of policy, procedure and practices identified by police forces.  The group’s role is not one of formal scrutiny but ensures the policies, procedures and practices of the force provide a safeguard against the service disadvantaging any section of the community through lack of understanding, </w:t>
      </w:r>
      <w:proofErr w:type="gramStart"/>
      <w:r w:rsidRPr="00274A78">
        <w:rPr>
          <w:rFonts w:ascii="Arial" w:hAnsi="Arial"/>
        </w:rPr>
        <w:t>ignorance</w:t>
      </w:r>
      <w:proofErr w:type="gramEnd"/>
      <w:r w:rsidRPr="00274A78">
        <w:rPr>
          <w:rFonts w:ascii="Arial" w:hAnsi="Arial"/>
        </w:rPr>
        <w:t xml:space="preserve"> or mistaken beliefs.</w:t>
      </w:r>
    </w:p>
    <w:p w14:paraId="5514133A" w14:textId="77777777" w:rsidR="00274A78" w:rsidRPr="00274A78" w:rsidRDefault="00274A78" w:rsidP="00274A78">
      <w:pPr>
        <w:pStyle w:val="NormalWeb"/>
        <w:spacing w:line="480" w:lineRule="auto"/>
        <w:rPr>
          <w:rFonts w:ascii="Arial" w:hAnsi="Arial"/>
        </w:rPr>
      </w:pPr>
      <w:r w:rsidRPr="00274A78">
        <w:rPr>
          <w:rFonts w:ascii="Arial" w:hAnsi="Arial"/>
        </w:rPr>
        <w:t xml:space="preserve">Within the Humberside region, the groups are aligned to the Local Authority boundary areas and have an additional force level group.  The group will consider issues including Neighbourhood Policing Strategies, Body Worn Video, trials of new innovative technology or equipment (Spit guards) and look at specific crime types such as hate incidents (Humberside Police, 2024).  The groups are a crucial tool in hearing the views of members of the </w:t>
      </w:r>
      <w:r w:rsidRPr="00274A78">
        <w:rPr>
          <w:rFonts w:ascii="Arial" w:hAnsi="Arial"/>
        </w:rPr>
        <w:lastRenderedPageBreak/>
        <w:t>community and look to reflect characteristics that are protected under the Equality Act 2010.  Members of the group are expected to speak on behalf of local communities and give their personal opinions and perspectives.</w:t>
      </w:r>
    </w:p>
    <w:p w14:paraId="7E328457" w14:textId="77777777" w:rsidR="00274A78" w:rsidRPr="00274A78" w:rsidRDefault="00274A78" w:rsidP="00274A78">
      <w:pPr>
        <w:pStyle w:val="NormalWeb"/>
        <w:spacing w:line="480" w:lineRule="auto"/>
        <w:rPr>
          <w:rFonts w:ascii="Arial" w:hAnsi="Arial"/>
        </w:rPr>
      </w:pPr>
      <w:r w:rsidRPr="00274A78">
        <w:rPr>
          <w:rFonts w:ascii="Arial" w:hAnsi="Arial"/>
        </w:rPr>
        <w:t xml:space="preserve">In an engagement space of Independent Advisory Groups, Police and Crime Panels and the Commissioners working with a remit of engagement with communities and providing criticality to forces policies, </w:t>
      </w:r>
      <w:proofErr w:type="gramStart"/>
      <w:r w:rsidRPr="00274A78">
        <w:rPr>
          <w:rFonts w:ascii="Arial" w:hAnsi="Arial"/>
        </w:rPr>
        <w:t>procedures</w:t>
      </w:r>
      <w:proofErr w:type="gramEnd"/>
      <w:r w:rsidRPr="00274A78">
        <w:rPr>
          <w:rFonts w:ascii="Arial" w:hAnsi="Arial"/>
        </w:rPr>
        <w:t xml:space="preserve"> and practices there is a limit to how much engagement is needed and to what purpose it serves.  Diamon and Mead Weiss (2009) make the case in their review of Independent Advisory Groups Commissioners may look to create groups of their own making and populate the space the Independent Advisory Groups have occupied previously.  These considerations have materialised in the form of scrutiny groups for custody suites, use of force and hate crime.   The visits to custody suites could be argued to impinge on operational policing and would be better served to be conducted by the HMIC or IOPC.  </w:t>
      </w:r>
    </w:p>
    <w:p w14:paraId="730BE980" w14:textId="77777777" w:rsidR="00274A78" w:rsidRPr="00274A78" w:rsidRDefault="00274A78" w:rsidP="00274A78">
      <w:pPr>
        <w:pStyle w:val="NormalWeb"/>
        <w:spacing w:line="480" w:lineRule="auto"/>
        <w:rPr>
          <w:rFonts w:ascii="Arial" w:hAnsi="Arial"/>
        </w:rPr>
      </w:pPr>
      <w:r w:rsidRPr="00274A78">
        <w:rPr>
          <w:rFonts w:ascii="Arial" w:hAnsi="Arial"/>
        </w:rPr>
        <w:t>The space is crowded across security panels and boards ten years after the creation of Police and Crime Commissioners.  With the further creation of an Ethics and Scrutiny Board and a Joint Independent Audit Committee, the number of eyes looking inward at policing could be argued these groups impede policing and dilute the importance of scrutiny.  The warnings given by Diamon and Mead Weiss have to a large degree come to fruition as cities and regions move towards partnership working, citing once the partnership has occurred there will not be a return to the older models.  It may be time to consider the role of all groups and evaluate the effectiveness of their scrutiny.  If such groups are to remain then the remit and number of groups may need to be defined (Dixon, 2018). </w:t>
      </w:r>
    </w:p>
    <w:p w14:paraId="2B09C2EC" w14:textId="77777777" w:rsidR="00274A78" w:rsidRPr="00274A78" w:rsidRDefault="00274A78" w:rsidP="00274A78">
      <w:pPr>
        <w:pStyle w:val="NormalWeb"/>
        <w:spacing w:line="480" w:lineRule="auto"/>
        <w:rPr>
          <w:rFonts w:ascii="Arial" w:hAnsi="Arial"/>
        </w:rPr>
      </w:pPr>
      <w:r w:rsidRPr="00274A78">
        <w:rPr>
          <w:rFonts w:ascii="Arial" w:hAnsi="Arial"/>
        </w:rPr>
        <w:t xml:space="preserve">Good governance is needed more than ever in a world of reduced confidence in the police and political pressure by those who govern policing.  Good governance is a logical cousin to the </w:t>
      </w:r>
      <w:proofErr w:type="spellStart"/>
      <w:r w:rsidRPr="00274A78">
        <w:rPr>
          <w:rFonts w:ascii="Arial" w:hAnsi="Arial"/>
        </w:rPr>
        <w:t>Peelian</w:t>
      </w:r>
      <w:proofErr w:type="spellEnd"/>
      <w:r w:rsidRPr="00274A78">
        <w:rPr>
          <w:rFonts w:ascii="Arial" w:hAnsi="Arial"/>
        </w:rPr>
        <w:t xml:space="preserve"> principles and concept of public approval and consent.  </w:t>
      </w:r>
    </w:p>
    <w:p w14:paraId="30878F1C" w14:textId="77777777" w:rsidR="00274A78" w:rsidRPr="00274A78" w:rsidRDefault="00274A78" w:rsidP="00274A78">
      <w:pPr>
        <w:pStyle w:val="NormalWeb"/>
        <w:spacing w:line="480" w:lineRule="auto"/>
        <w:rPr>
          <w:rFonts w:ascii="Arial" w:hAnsi="Arial"/>
        </w:rPr>
      </w:pPr>
      <w:r w:rsidRPr="00274A78">
        <w:rPr>
          <w:rFonts w:ascii="Arial" w:hAnsi="Arial"/>
        </w:rPr>
        <w:lastRenderedPageBreak/>
        <w:t>The localism agenda likely accelerated consideration for reform of policing governance, with the case made for greater efficiency and accountability of Chief Constables to the public via an elected official.  Loveday and Reid made the case for an elected official with the argument for change further developed by Rowe, who argued for reform, ultimately moving away from Police Authorities. </w:t>
      </w:r>
    </w:p>
    <w:p w14:paraId="5B89E190" w14:textId="77777777" w:rsidR="00274A78" w:rsidRPr="00274A78" w:rsidRDefault="00274A78" w:rsidP="00274A78">
      <w:pPr>
        <w:pStyle w:val="NormalWeb"/>
        <w:spacing w:line="480" w:lineRule="auto"/>
        <w:rPr>
          <w:rFonts w:ascii="Arial" w:hAnsi="Arial"/>
        </w:rPr>
      </w:pPr>
      <w:r w:rsidRPr="00274A78">
        <w:rPr>
          <w:rFonts w:ascii="Arial" w:hAnsi="Arial"/>
        </w:rPr>
        <w:t>The Coalition Government of 2010 passed the Police Reform and Social Responsibility Act creating Police and Crime Commissioners.   This role was a move away from the British model of committees and a move towards American and European models of accountability.   The behaviours of some commissioners led to headline news and high court involvement with the early relationship having many interpretations of the role.  The Commissioner’s role has bedded in, but remains a political one, with the creation of the Association of Police and Crime Commissioners going someway to providing a consistent approach across England and Wales. </w:t>
      </w:r>
    </w:p>
    <w:p w14:paraId="539F3A96" w14:textId="77777777" w:rsidR="00274A78" w:rsidRPr="00274A78" w:rsidRDefault="00274A78" w:rsidP="00274A78">
      <w:pPr>
        <w:pStyle w:val="NormalWeb"/>
        <w:spacing w:line="480" w:lineRule="auto"/>
        <w:rPr>
          <w:rFonts w:ascii="Arial" w:hAnsi="Arial"/>
        </w:rPr>
      </w:pPr>
      <w:r w:rsidRPr="00274A78">
        <w:rPr>
          <w:rFonts w:ascii="Arial" w:hAnsi="Arial"/>
        </w:rPr>
        <w:t xml:space="preserve">There are a range of organisations, groups and individuals police forces are accountable to.  These individuals and organisations range from the statutory to informal with Commissioners having the greatest influence on Policing.  Commissioners hold much </w:t>
      </w:r>
      <w:proofErr w:type="gramStart"/>
      <w:r w:rsidRPr="00274A78">
        <w:rPr>
          <w:rFonts w:ascii="Arial" w:hAnsi="Arial"/>
        </w:rPr>
        <w:t>power</w:t>
      </w:r>
      <w:proofErr w:type="gramEnd"/>
      <w:r w:rsidRPr="00274A78">
        <w:rPr>
          <w:rFonts w:ascii="Arial" w:hAnsi="Arial"/>
        </w:rPr>
        <w:t xml:space="preserve"> and this appears to have been rushed into creation, partly as a call to quickly push reform, rather than taking a considered and analytical approach to reform, whilst holding onto the successful elements of the last 100 years.   </w:t>
      </w:r>
    </w:p>
    <w:p w14:paraId="1E976E33" w14:textId="77777777" w:rsidR="00274A78" w:rsidRPr="00274A78" w:rsidRDefault="00274A78" w:rsidP="00274A78">
      <w:pPr>
        <w:pStyle w:val="NormalWeb"/>
        <w:spacing w:line="480" w:lineRule="auto"/>
        <w:rPr>
          <w:rFonts w:ascii="Arial" w:hAnsi="Arial"/>
        </w:rPr>
      </w:pPr>
      <w:r w:rsidRPr="00274A78">
        <w:rPr>
          <w:rFonts w:ascii="Arial" w:hAnsi="Arial"/>
        </w:rPr>
        <w:t>As Commissioners are elected officials the governance of their performance is limited by central government and relies on the ballot box every four years.  Commissioners are not accountable to the Home Secretary and could be described as a law unto themselves.  The mechanisms of governance of Commissioners are in place but strong tools to challenge and hold them to account are not,  this is ironic considering why they exist. </w:t>
      </w:r>
    </w:p>
    <w:p w14:paraId="326B6EF9" w14:textId="77777777" w:rsidR="00274A78" w:rsidRPr="00274A78" w:rsidRDefault="00274A78" w:rsidP="00274A78">
      <w:pPr>
        <w:pStyle w:val="NormalWeb"/>
        <w:spacing w:line="480" w:lineRule="auto"/>
        <w:rPr>
          <w:rFonts w:ascii="Arial" w:hAnsi="Arial"/>
        </w:rPr>
      </w:pPr>
      <w:r w:rsidRPr="00274A78">
        <w:rPr>
          <w:rFonts w:ascii="Arial" w:hAnsi="Arial"/>
        </w:rPr>
        <w:lastRenderedPageBreak/>
        <w:t>The argument could be made that the role of the Police and Crime Commissioner is not a finished product but rather a step on the evolutionary ladder.  A broader Mayoral approach to solving regional problems wider than just policing and having policing as a major part of that governance model seems a logical next step on that ladder. </w:t>
      </w:r>
    </w:p>
    <w:p w14:paraId="5E8D1521" w14:textId="77777777" w:rsidR="00274A78" w:rsidRPr="00274A78" w:rsidRDefault="00274A78" w:rsidP="00274A78">
      <w:pPr>
        <w:pStyle w:val="NormalWeb"/>
        <w:spacing w:line="480" w:lineRule="auto"/>
        <w:rPr>
          <w:rFonts w:ascii="Arial" w:hAnsi="Arial"/>
        </w:rPr>
      </w:pPr>
      <w:r w:rsidRPr="00274A78">
        <w:rPr>
          <w:rFonts w:ascii="Arial" w:hAnsi="Arial"/>
        </w:rPr>
        <w:t>Governance is vital in the 21st century, but the model used to inspire trust and confidence in the police service must continue to evolve, the present Commissioner structure is by no means an end to the evolutionary process.</w:t>
      </w:r>
    </w:p>
    <w:p w14:paraId="2D353EA8" w14:textId="6570888C" w:rsidR="00295D2E" w:rsidRPr="00274A78" w:rsidRDefault="00295D2E" w:rsidP="00274A78">
      <w:pPr>
        <w:spacing w:line="480" w:lineRule="auto"/>
        <w:rPr>
          <w:rFonts w:ascii="Arial" w:hAnsi="Arial" w:cs="Arial"/>
        </w:rPr>
      </w:pPr>
    </w:p>
    <w:p w14:paraId="34CACF9B" w14:textId="77777777" w:rsidR="007D4AFA" w:rsidRPr="00F56301" w:rsidRDefault="007D4AFA" w:rsidP="00F56301">
      <w:pPr>
        <w:spacing w:line="480" w:lineRule="auto"/>
        <w:rPr>
          <w:rFonts w:ascii="Arial" w:hAnsi="Arial" w:cs="Arial"/>
        </w:rPr>
      </w:pPr>
    </w:p>
    <w:p w14:paraId="7043D956" w14:textId="77777777" w:rsidR="007D4AFA" w:rsidRPr="00F56301" w:rsidRDefault="007D4AFA" w:rsidP="00F56301">
      <w:pPr>
        <w:spacing w:line="480" w:lineRule="auto"/>
        <w:rPr>
          <w:rFonts w:ascii="Arial" w:hAnsi="Arial" w:cs="Arial"/>
        </w:rPr>
      </w:pPr>
    </w:p>
    <w:p w14:paraId="6EC2FE62" w14:textId="77777777" w:rsidR="007D4AFA" w:rsidRDefault="007D4AFA" w:rsidP="007D4AFA"/>
    <w:p w14:paraId="7C1C10E0" w14:textId="77777777" w:rsidR="007D4AFA" w:rsidRDefault="007D4AFA" w:rsidP="007D4AFA"/>
    <w:p w14:paraId="7F609171" w14:textId="77777777" w:rsidR="007D4AFA" w:rsidRDefault="007D4AFA" w:rsidP="007D4AFA"/>
    <w:p w14:paraId="627D64E0" w14:textId="77777777" w:rsidR="007D4AFA" w:rsidRDefault="007D4AFA" w:rsidP="007D4AFA"/>
    <w:p w14:paraId="633805D9" w14:textId="77777777" w:rsidR="007D4AFA" w:rsidRDefault="007D4AFA" w:rsidP="007D4AFA"/>
    <w:p w14:paraId="364DD39F" w14:textId="77777777" w:rsidR="007D4AFA" w:rsidRDefault="007D4AFA" w:rsidP="007D4AFA"/>
    <w:p w14:paraId="6ACA8EDC" w14:textId="77777777" w:rsidR="007D4AFA" w:rsidRDefault="007D4AFA" w:rsidP="007D4AFA"/>
    <w:p w14:paraId="29C16448" w14:textId="77777777" w:rsidR="007D4AFA" w:rsidRDefault="007D4AFA" w:rsidP="007D4AFA"/>
    <w:p w14:paraId="16310BEA" w14:textId="77777777" w:rsidR="00884180" w:rsidRDefault="00884180" w:rsidP="007D4AFA"/>
    <w:p w14:paraId="69FE5489" w14:textId="77777777" w:rsidR="00884180" w:rsidRDefault="00884180" w:rsidP="007D4AFA"/>
    <w:p w14:paraId="15750B4B" w14:textId="77777777" w:rsidR="00884180" w:rsidRDefault="00884180" w:rsidP="007D4AFA"/>
    <w:p w14:paraId="778ADD5C" w14:textId="77777777" w:rsidR="00884180" w:rsidRDefault="00884180" w:rsidP="007D4AFA"/>
    <w:p w14:paraId="2F5CB31A" w14:textId="77777777" w:rsidR="00884180" w:rsidRDefault="00884180" w:rsidP="007D4AFA"/>
    <w:p w14:paraId="176F9DB1" w14:textId="77777777" w:rsidR="00274A78" w:rsidRDefault="00274A78" w:rsidP="007D4AFA"/>
    <w:p w14:paraId="3A7D08B3" w14:textId="77777777" w:rsidR="00274A78" w:rsidRDefault="00274A78" w:rsidP="007D4AFA"/>
    <w:p w14:paraId="0EA600A9" w14:textId="77777777" w:rsidR="00274A78" w:rsidRDefault="00274A78" w:rsidP="007D4AFA"/>
    <w:p w14:paraId="452EACD8" w14:textId="77777777" w:rsidR="00274A78" w:rsidRDefault="00274A78" w:rsidP="007D4AFA"/>
    <w:sdt>
      <w:sdtPr>
        <w:rPr>
          <w:rFonts w:asciiTheme="minorHAnsi" w:eastAsiaTheme="minorHAnsi" w:hAnsiTheme="minorHAnsi" w:cstheme="minorBidi"/>
          <w:color w:val="auto"/>
          <w:sz w:val="22"/>
          <w:szCs w:val="22"/>
        </w:rPr>
        <w:id w:val="153120320"/>
        <w:docPartObj>
          <w:docPartGallery w:val="Bibliographies"/>
          <w:docPartUnique/>
        </w:docPartObj>
      </w:sdtPr>
      <w:sdtEndPr/>
      <w:sdtContent>
        <w:p w14:paraId="500B70D6" w14:textId="3662BA44" w:rsidR="007D4AFA" w:rsidRDefault="007D4AFA">
          <w:pPr>
            <w:pStyle w:val="Heading1"/>
          </w:pPr>
          <w:r>
            <w:t>References</w:t>
          </w:r>
        </w:p>
        <w:p w14:paraId="4D42F7AE" w14:textId="77777777" w:rsidR="00274A78" w:rsidRPr="00274A78" w:rsidRDefault="00274A78" w:rsidP="00274A78"/>
        <w:p w14:paraId="381A5096" w14:textId="2FA18D17" w:rsidR="00F13D5E" w:rsidRDefault="00F13D5E" w:rsidP="00F13D5E">
          <w:pPr>
            <w:pStyle w:val="Bibliography"/>
            <w:rPr>
              <w:noProof/>
              <w:sz w:val="24"/>
              <w:szCs w:val="24"/>
              <w14:ligatures w14:val="none"/>
            </w:rPr>
          </w:pPr>
          <w:r>
            <w:rPr>
              <w:noProof/>
            </w:rPr>
            <w:t xml:space="preserve">Ali, M. (2009) 'Codes of Good Governance', </w:t>
          </w:r>
          <w:r>
            <w:rPr>
              <w:i/>
              <w:iCs/>
              <w:noProof/>
            </w:rPr>
            <w:t xml:space="preserve">Corporate Governance An International Review </w:t>
          </w:r>
          <w:r>
            <w:rPr>
              <w:noProof/>
            </w:rPr>
            <w:t>, 17(3), pp.376 - 387.</w:t>
          </w:r>
        </w:p>
        <w:p w14:paraId="64925D36" w14:textId="214978FE" w:rsidR="00F13D5E" w:rsidRDefault="00F13D5E" w:rsidP="00F13D5E">
          <w:pPr>
            <w:pStyle w:val="Bibliography"/>
            <w:rPr>
              <w:noProof/>
            </w:rPr>
          </w:pPr>
          <w:r>
            <w:rPr>
              <w:noProof/>
            </w:rPr>
            <w:t>Association of Police and Crime Commissioners</w:t>
          </w:r>
          <w:r w:rsidR="00522902">
            <w:rPr>
              <w:noProof/>
            </w:rPr>
            <w:t>,</w:t>
          </w:r>
          <w:r>
            <w:rPr>
              <w:noProof/>
            </w:rPr>
            <w:t xml:space="preserve"> (2024) </w:t>
          </w:r>
          <w:r>
            <w:rPr>
              <w:i/>
              <w:iCs/>
              <w:noProof/>
            </w:rPr>
            <w:t>Role of the PCC - Role of the P</w:t>
          </w:r>
          <w:r w:rsidR="00522902">
            <w:rPr>
              <w:i/>
              <w:iCs/>
              <w:noProof/>
            </w:rPr>
            <w:t>CC</w:t>
          </w:r>
          <w:r>
            <w:rPr>
              <w:i/>
              <w:iCs/>
              <w:noProof/>
            </w:rPr>
            <w:t xml:space="preserve"> and his/her Office</w:t>
          </w:r>
          <w:r>
            <w:rPr>
              <w:noProof/>
            </w:rPr>
            <w:t xml:space="preserve">. Available at: </w:t>
          </w:r>
          <w:r w:rsidR="00522902" w:rsidRPr="00875912">
            <w:rPr>
              <w:noProof/>
            </w:rPr>
            <w:t>https://www.apccs.police.uk/role-of-the-pcc/#:~:text=The%20role%20of%20the%20Police,within%20their%20police%20force%20area.</w:t>
          </w:r>
          <w:r w:rsidR="00522902" w:rsidRPr="00522902">
            <w:rPr>
              <w:noProof/>
              <w:u w:val="single"/>
            </w:rPr>
            <w:t xml:space="preserve"> </w:t>
          </w:r>
          <w:r>
            <w:rPr>
              <w:noProof/>
            </w:rPr>
            <w:t>(Accessed: 27</w:t>
          </w:r>
          <w:r w:rsidR="00875912">
            <w:rPr>
              <w:noProof/>
            </w:rPr>
            <w:t>th</w:t>
          </w:r>
          <w:r>
            <w:rPr>
              <w:noProof/>
            </w:rPr>
            <w:t xml:space="preserve"> November 2024).</w:t>
          </w:r>
        </w:p>
        <w:p w14:paraId="16F8C75E" w14:textId="0D66B293" w:rsidR="00522902" w:rsidRDefault="00F13D5E" w:rsidP="00F13D5E">
          <w:pPr>
            <w:pStyle w:val="Bibliography"/>
            <w:rPr>
              <w:noProof/>
            </w:rPr>
          </w:pPr>
          <w:r>
            <w:rPr>
              <w:noProof/>
            </w:rPr>
            <w:t xml:space="preserve">BBC (2013) </w:t>
          </w:r>
          <w:r>
            <w:rPr>
              <w:i/>
              <w:iCs/>
              <w:noProof/>
            </w:rPr>
            <w:t>Gwent Police: Carmel Napier's depature brings 'instability'</w:t>
          </w:r>
          <w:r>
            <w:rPr>
              <w:noProof/>
            </w:rPr>
            <w:t>.</w:t>
          </w:r>
          <w:r w:rsidR="005959FE">
            <w:rPr>
              <w:noProof/>
            </w:rPr>
            <w:t xml:space="preserve"> </w:t>
          </w:r>
          <w:r>
            <w:rPr>
              <w:noProof/>
            </w:rPr>
            <w:t xml:space="preserve"> Available at: </w:t>
          </w:r>
          <w:r w:rsidRPr="00522902">
            <w:rPr>
              <w:rStyle w:val="Hyperlink"/>
              <w:noProof/>
              <w:u w:val="none"/>
            </w:rPr>
            <w:t>https://www.bbc.co.uk/news/uk-wales-south-east-wales-23359838</w:t>
          </w:r>
          <w:r w:rsidR="00E846B0">
            <w:rPr>
              <w:noProof/>
              <w:u w:val="single"/>
            </w:rPr>
            <w:t xml:space="preserve"> </w:t>
          </w:r>
          <w:r>
            <w:rPr>
              <w:noProof/>
            </w:rPr>
            <w:t xml:space="preserve"> </w:t>
          </w:r>
        </w:p>
        <w:p w14:paraId="5E0ECED6" w14:textId="37DD791C" w:rsidR="00F13D5E" w:rsidRDefault="00F13D5E" w:rsidP="00F13D5E">
          <w:pPr>
            <w:pStyle w:val="Bibliography"/>
            <w:rPr>
              <w:noProof/>
            </w:rPr>
          </w:pPr>
          <w:r>
            <w:rPr>
              <w:noProof/>
            </w:rPr>
            <w:t>(Accessed: 26</w:t>
          </w:r>
          <w:r w:rsidR="00875912">
            <w:rPr>
              <w:noProof/>
            </w:rPr>
            <w:t>th</w:t>
          </w:r>
          <w:r>
            <w:rPr>
              <w:noProof/>
            </w:rPr>
            <w:t xml:space="preserve"> November 2024).</w:t>
          </w:r>
        </w:p>
        <w:p w14:paraId="7921C8FF" w14:textId="467BFA7E" w:rsidR="00F13D5E" w:rsidRDefault="00F13D5E" w:rsidP="00F13D5E">
          <w:pPr>
            <w:pStyle w:val="Bibliography"/>
            <w:rPr>
              <w:noProof/>
            </w:rPr>
          </w:pPr>
          <w:r>
            <w:rPr>
              <w:noProof/>
            </w:rPr>
            <w:t xml:space="preserve">Bovaird, T. and Loeffler, E. (2023) </w:t>
          </w:r>
          <w:r>
            <w:rPr>
              <w:i/>
              <w:iCs/>
              <w:noProof/>
            </w:rPr>
            <w:t>Public Management and Governance</w:t>
          </w:r>
          <w:r>
            <w:rPr>
              <w:noProof/>
            </w:rPr>
            <w:t>. Routledge.</w:t>
          </w:r>
        </w:p>
        <w:p w14:paraId="2028D600" w14:textId="1A795640" w:rsidR="00F13D5E" w:rsidRDefault="00F13D5E" w:rsidP="00F13D5E">
          <w:pPr>
            <w:pStyle w:val="Bibliography"/>
            <w:rPr>
              <w:noProof/>
            </w:rPr>
          </w:pPr>
          <w:r>
            <w:rPr>
              <w:noProof/>
            </w:rPr>
            <w:t>Brian, T. (2014) 'The Future of Policing in England and Wales</w:t>
          </w:r>
          <w:r w:rsidR="00522902">
            <w:rPr>
              <w:noProof/>
            </w:rPr>
            <w:t>’</w:t>
          </w:r>
          <w:r w:rsidR="00875912">
            <w:rPr>
              <w:noProof/>
            </w:rPr>
            <w:t>.</w:t>
          </w:r>
          <w:r>
            <w:rPr>
              <w:noProof/>
            </w:rPr>
            <w:t xml:space="preserve"> Book Review', </w:t>
          </w:r>
          <w:r>
            <w:rPr>
              <w:i/>
              <w:iCs/>
              <w:noProof/>
            </w:rPr>
            <w:t>Policin</w:t>
          </w:r>
          <w:r w:rsidR="00875912">
            <w:rPr>
              <w:i/>
              <w:iCs/>
              <w:noProof/>
            </w:rPr>
            <w:t>g</w:t>
          </w:r>
          <w:r>
            <w:rPr>
              <w:noProof/>
            </w:rPr>
            <w:t>, pp.115-116.</w:t>
          </w:r>
        </w:p>
        <w:p w14:paraId="59A67F1D" w14:textId="103F92BF" w:rsidR="00F13D5E" w:rsidRDefault="00F13D5E" w:rsidP="00F13D5E">
          <w:pPr>
            <w:pStyle w:val="Bibliography"/>
            <w:rPr>
              <w:noProof/>
            </w:rPr>
          </w:pPr>
          <w:r>
            <w:rPr>
              <w:noProof/>
            </w:rPr>
            <w:t xml:space="preserve">Chambers, S. (2014) 'Who is Policing the Police and Crime Commissioners? ', </w:t>
          </w:r>
          <w:r>
            <w:rPr>
              <w:i/>
              <w:iCs/>
              <w:noProof/>
            </w:rPr>
            <w:t>Safer Communities</w:t>
          </w:r>
          <w:r>
            <w:rPr>
              <w:noProof/>
            </w:rPr>
            <w:t>, 1(13), pp.</w:t>
          </w:r>
          <w:r w:rsidR="005959FE">
            <w:rPr>
              <w:noProof/>
            </w:rPr>
            <w:t xml:space="preserve"> </w:t>
          </w:r>
          <w:r>
            <w:rPr>
              <w:noProof/>
            </w:rPr>
            <w:t>32-29.</w:t>
          </w:r>
        </w:p>
        <w:p w14:paraId="76A15E28" w14:textId="1D24A069" w:rsidR="00875912" w:rsidRDefault="00F13D5E" w:rsidP="00F13D5E">
          <w:pPr>
            <w:pStyle w:val="Bibliography"/>
            <w:rPr>
              <w:noProof/>
            </w:rPr>
          </w:pPr>
          <w:r>
            <w:rPr>
              <w:noProof/>
            </w:rPr>
            <w:t xml:space="preserve">Cheffins, B.R. (2012) </w:t>
          </w:r>
          <w:r>
            <w:rPr>
              <w:i/>
              <w:iCs/>
              <w:noProof/>
            </w:rPr>
            <w:t>The History of Corporate Governance</w:t>
          </w:r>
          <w:r>
            <w:rPr>
              <w:noProof/>
            </w:rPr>
            <w:t xml:space="preserve">. European Corporate Governance Institute Available at: </w:t>
          </w:r>
          <w:r w:rsidRPr="00875912">
            <w:rPr>
              <w:noProof/>
            </w:rPr>
            <w:t>"https://www.ecgi.global/sites/default/files/working_papers/documents/SSRN-id1975404.pdf"</w:t>
          </w:r>
          <w:r w:rsidR="00E846B0" w:rsidRPr="00875912">
            <w:rPr>
              <w:noProof/>
            </w:rPr>
            <w:t xml:space="preserve">  </w:t>
          </w:r>
        </w:p>
        <w:p w14:paraId="63674F74" w14:textId="6BDAEE2B" w:rsidR="00F13D5E" w:rsidRDefault="00F13D5E" w:rsidP="00F13D5E">
          <w:pPr>
            <w:pStyle w:val="Bibliography"/>
            <w:rPr>
              <w:noProof/>
            </w:rPr>
          </w:pPr>
          <w:r>
            <w:rPr>
              <w:noProof/>
            </w:rPr>
            <w:t>(Accessed: 1</w:t>
          </w:r>
          <w:r w:rsidR="00875912">
            <w:rPr>
              <w:noProof/>
            </w:rPr>
            <w:t>st</w:t>
          </w:r>
          <w:r>
            <w:rPr>
              <w:noProof/>
            </w:rPr>
            <w:t xml:space="preserve"> November 2024).</w:t>
          </w:r>
        </w:p>
        <w:p w14:paraId="7F4E1345" w14:textId="71ED5704" w:rsidR="00875912" w:rsidRDefault="00F13D5E" w:rsidP="00F13D5E">
          <w:pPr>
            <w:pStyle w:val="Bibliography"/>
            <w:rPr>
              <w:rStyle w:val="Hyperlink"/>
              <w:noProof/>
            </w:rPr>
          </w:pPr>
          <w:r>
            <w:rPr>
              <w:noProof/>
            </w:rPr>
            <w:t xml:space="preserve">Clarke, N. and Cochrane, A. (2013) 'Geographies and politics of localism: The localism of the United Kingdom's coalition government', </w:t>
          </w:r>
          <w:r>
            <w:rPr>
              <w:i/>
              <w:iCs/>
              <w:noProof/>
            </w:rPr>
            <w:t>Science Direct</w:t>
          </w:r>
          <w:r>
            <w:rPr>
              <w:noProof/>
            </w:rPr>
            <w:t>, 34, pp.</w:t>
          </w:r>
          <w:r w:rsidR="005959FE">
            <w:rPr>
              <w:noProof/>
            </w:rPr>
            <w:t xml:space="preserve"> </w:t>
          </w:r>
          <w:r>
            <w:rPr>
              <w:noProof/>
            </w:rPr>
            <w:t>10-23. Available at</w:t>
          </w:r>
          <w:r>
            <w:rPr>
              <w:noProof/>
              <w:u w:val="single"/>
            </w:rPr>
            <w:t xml:space="preserve"> </w:t>
          </w:r>
          <w:r w:rsidRPr="00875912">
            <w:rPr>
              <w:noProof/>
            </w:rPr>
            <w:t>"https://www.sciencedirect.com/science/article/abs/pii/S0962629813000267"</w:t>
          </w:r>
          <w:r w:rsidR="00E846B0">
            <w:rPr>
              <w:noProof/>
              <w:u w:val="single"/>
            </w:rPr>
            <w:t xml:space="preserve">  </w:t>
          </w:r>
        </w:p>
        <w:p w14:paraId="0D5FFFC4" w14:textId="36AC9057" w:rsidR="00F13D5E" w:rsidRDefault="00F13D5E" w:rsidP="00F13D5E">
          <w:pPr>
            <w:pStyle w:val="Bibliography"/>
            <w:rPr>
              <w:noProof/>
            </w:rPr>
          </w:pPr>
          <w:r>
            <w:rPr>
              <w:noProof/>
            </w:rPr>
            <w:t>(Accessed:</w:t>
          </w:r>
          <w:r w:rsidR="004663D8">
            <w:rPr>
              <w:noProof/>
            </w:rPr>
            <w:t xml:space="preserve"> </w:t>
          </w:r>
          <w:r>
            <w:rPr>
              <w:noProof/>
            </w:rPr>
            <w:t>11</w:t>
          </w:r>
          <w:r w:rsidR="00875912">
            <w:rPr>
              <w:noProof/>
            </w:rPr>
            <w:t>th</w:t>
          </w:r>
          <w:r>
            <w:rPr>
              <w:noProof/>
            </w:rPr>
            <w:t xml:space="preserve"> December 2024).</w:t>
          </w:r>
        </w:p>
        <w:p w14:paraId="36E3C7E3" w14:textId="6C29DE98" w:rsidR="00F13D5E" w:rsidRDefault="00F13D5E" w:rsidP="00F13D5E">
          <w:pPr>
            <w:pStyle w:val="Bibliography"/>
            <w:rPr>
              <w:noProof/>
            </w:rPr>
          </w:pPr>
          <w:r>
            <w:rPr>
              <w:noProof/>
            </w:rPr>
            <w:t xml:space="preserve">Crawford, A. and Cunningham, M. (2015 ) 'The Challenges of Working Across Organsational Boundaries, Cultures and Practices.' </w:t>
          </w:r>
          <w:r>
            <w:rPr>
              <w:i/>
              <w:iCs/>
              <w:noProof/>
            </w:rPr>
            <w:t>in</w:t>
          </w:r>
          <w:r>
            <w:rPr>
              <w:noProof/>
            </w:rPr>
            <w:t xml:space="preserve"> Fleming</w:t>
          </w:r>
          <w:r w:rsidR="005959FE">
            <w:rPr>
              <w:noProof/>
            </w:rPr>
            <w:t xml:space="preserve"> J.</w:t>
          </w:r>
          <w:r>
            <w:rPr>
              <w:noProof/>
            </w:rPr>
            <w:t xml:space="preserve"> (ed.) </w:t>
          </w:r>
          <w:r>
            <w:rPr>
              <w:i/>
              <w:iCs/>
              <w:noProof/>
            </w:rPr>
            <w:t>Police Leadership - Rising to the Top</w:t>
          </w:r>
          <w:r>
            <w:rPr>
              <w:noProof/>
            </w:rPr>
            <w:t>. Oxford</w:t>
          </w:r>
          <w:r w:rsidR="005959FE">
            <w:rPr>
              <w:noProof/>
            </w:rPr>
            <w:t>:</w:t>
          </w:r>
          <w:r>
            <w:rPr>
              <w:noProof/>
            </w:rPr>
            <w:t xml:space="preserve"> pp.</w:t>
          </w:r>
          <w:r w:rsidR="005959FE">
            <w:rPr>
              <w:noProof/>
            </w:rPr>
            <w:t xml:space="preserve"> </w:t>
          </w:r>
          <w:r>
            <w:rPr>
              <w:noProof/>
            </w:rPr>
            <w:t>71 - 94.</w:t>
          </w:r>
        </w:p>
        <w:p w14:paraId="5B782675" w14:textId="25E22539" w:rsidR="00F13D5E" w:rsidRDefault="00F13D5E" w:rsidP="00F13D5E">
          <w:pPr>
            <w:pStyle w:val="Bibliography"/>
            <w:rPr>
              <w:noProof/>
            </w:rPr>
          </w:pPr>
          <w:r>
            <w:rPr>
              <w:noProof/>
            </w:rPr>
            <w:t>Davies, M. (2014) 'Unravelling the role of Police and Crime Commissioners'</w:t>
          </w:r>
          <w:r w:rsidR="005959FE">
            <w:rPr>
              <w:noProof/>
            </w:rPr>
            <w:t>,</w:t>
          </w:r>
          <w:r>
            <w:rPr>
              <w:noProof/>
            </w:rPr>
            <w:t xml:space="preserve"> </w:t>
          </w:r>
          <w:r>
            <w:rPr>
              <w:i/>
              <w:iCs/>
              <w:noProof/>
            </w:rPr>
            <w:t>British Criminology Conf</w:t>
          </w:r>
          <w:r w:rsidR="00875912">
            <w:rPr>
              <w:i/>
              <w:iCs/>
              <w:noProof/>
            </w:rPr>
            <w:t>e</w:t>
          </w:r>
          <w:r>
            <w:rPr>
              <w:i/>
              <w:iCs/>
              <w:noProof/>
            </w:rPr>
            <w:t>rence</w:t>
          </w:r>
          <w:r>
            <w:rPr>
              <w:noProof/>
            </w:rPr>
            <w:t>. Oxford The British Society of Criminology, pp.</w:t>
          </w:r>
          <w:r w:rsidR="005959FE">
            <w:rPr>
              <w:noProof/>
            </w:rPr>
            <w:t xml:space="preserve"> </w:t>
          </w:r>
          <w:r>
            <w:rPr>
              <w:noProof/>
            </w:rPr>
            <w:t>17-30.</w:t>
          </w:r>
        </w:p>
        <w:p w14:paraId="71D2500C" w14:textId="0F58837F" w:rsidR="00875912" w:rsidRDefault="00F13D5E" w:rsidP="00F13D5E">
          <w:pPr>
            <w:pStyle w:val="Bibliography"/>
            <w:rPr>
              <w:noProof/>
            </w:rPr>
          </w:pPr>
          <w:r>
            <w:rPr>
              <w:noProof/>
            </w:rPr>
            <w:t xml:space="preserve">Diamon, D. and Mead Weiss (2009) </w:t>
          </w:r>
          <w:r>
            <w:rPr>
              <w:i/>
              <w:iCs/>
              <w:noProof/>
            </w:rPr>
            <w:t>Advancing Community Policing Through Community Governance: A Framework Document</w:t>
          </w:r>
          <w:r w:rsidR="002068B4">
            <w:rPr>
              <w:noProof/>
            </w:rPr>
            <w:t>:</w:t>
          </w:r>
          <w:r>
            <w:rPr>
              <w:noProof/>
            </w:rPr>
            <w:t xml:space="preserve"> Office of Community Oriented Policing Services</w:t>
          </w:r>
          <w:r w:rsidR="00875912">
            <w:rPr>
              <w:noProof/>
            </w:rPr>
            <w:t>.</w:t>
          </w:r>
          <w:r>
            <w:rPr>
              <w:noProof/>
            </w:rPr>
            <w:t xml:space="preserve"> Available at: </w:t>
          </w:r>
          <w:r w:rsidR="00E846B0">
            <w:rPr>
              <w:noProof/>
              <w:u w:val="single"/>
            </w:rPr>
            <w:t xml:space="preserve"> </w:t>
          </w:r>
          <w:r>
            <w:rPr>
              <w:rStyle w:val="Hyperlink"/>
              <w:noProof/>
            </w:rPr>
            <w:t>https://portal.cops.usdoj.gov/resourcecenter/content.ashx/cops-p161-pub.pdf</w:t>
          </w:r>
          <w:r w:rsidR="00E846B0">
            <w:rPr>
              <w:noProof/>
              <w:u w:val="single"/>
            </w:rPr>
            <w:t xml:space="preserve"> </w:t>
          </w:r>
          <w:r>
            <w:rPr>
              <w:noProof/>
            </w:rPr>
            <w:t xml:space="preserve"> </w:t>
          </w:r>
        </w:p>
        <w:p w14:paraId="2B682BEC" w14:textId="59D80BBF" w:rsidR="00F13D5E" w:rsidRDefault="00F13D5E" w:rsidP="00F13D5E">
          <w:pPr>
            <w:pStyle w:val="Bibliography"/>
            <w:rPr>
              <w:noProof/>
            </w:rPr>
          </w:pPr>
          <w:r>
            <w:rPr>
              <w:noProof/>
            </w:rPr>
            <w:t>(Accessed: 4</w:t>
          </w:r>
          <w:r w:rsidR="00875912">
            <w:rPr>
              <w:noProof/>
            </w:rPr>
            <w:t>th</w:t>
          </w:r>
          <w:r>
            <w:rPr>
              <w:noProof/>
            </w:rPr>
            <w:t xml:space="preserve"> December 2024 ).</w:t>
          </w:r>
        </w:p>
        <w:p w14:paraId="5669D945" w14:textId="51B9650B" w:rsidR="00F13D5E" w:rsidRDefault="00F13D5E" w:rsidP="00F13D5E">
          <w:pPr>
            <w:pStyle w:val="Bibliography"/>
            <w:rPr>
              <w:noProof/>
            </w:rPr>
          </w:pPr>
          <w:r>
            <w:rPr>
              <w:noProof/>
            </w:rPr>
            <w:t xml:space="preserve">Dixon, B. (2018 ) 'Who Needs Critical Friends? Independent Advisory Groups in the Age of the Police and Crime Commissioner', </w:t>
          </w:r>
          <w:r>
            <w:rPr>
              <w:i/>
              <w:iCs/>
              <w:noProof/>
            </w:rPr>
            <w:t>Policing: A Journal of Policy and Practice</w:t>
          </w:r>
          <w:r>
            <w:rPr>
              <w:noProof/>
            </w:rPr>
            <w:t>, 14(3), pp.</w:t>
          </w:r>
          <w:r w:rsidR="002068B4">
            <w:rPr>
              <w:noProof/>
            </w:rPr>
            <w:t xml:space="preserve"> </w:t>
          </w:r>
          <w:r>
            <w:rPr>
              <w:noProof/>
            </w:rPr>
            <w:t>686</w:t>
          </w:r>
          <w:r w:rsidR="00875912">
            <w:rPr>
              <w:noProof/>
            </w:rPr>
            <w:t>-</w:t>
          </w:r>
          <w:r>
            <w:rPr>
              <w:noProof/>
            </w:rPr>
            <w:t>697.</w:t>
          </w:r>
        </w:p>
        <w:p w14:paraId="40BC590E" w14:textId="641A235A" w:rsidR="00875912" w:rsidRDefault="00F13D5E" w:rsidP="00F13D5E">
          <w:pPr>
            <w:pStyle w:val="Bibliography"/>
            <w:rPr>
              <w:noProof/>
            </w:rPr>
          </w:pPr>
          <w:r>
            <w:rPr>
              <w:noProof/>
            </w:rPr>
            <w:t>Governance International</w:t>
          </w:r>
          <w:r w:rsidR="002068B4">
            <w:rPr>
              <w:noProof/>
            </w:rPr>
            <w:t>.</w:t>
          </w:r>
          <w:r>
            <w:rPr>
              <w:noProof/>
            </w:rPr>
            <w:t xml:space="preserve"> (2024) </w:t>
          </w:r>
          <w:r>
            <w:rPr>
              <w:i/>
              <w:iCs/>
              <w:noProof/>
            </w:rPr>
            <w:t>What does public governance of public service organisations involve?</w:t>
          </w:r>
          <w:r>
            <w:rPr>
              <w:noProof/>
            </w:rPr>
            <w:t xml:space="preserve"> Available at: </w:t>
          </w:r>
          <w:r>
            <w:rPr>
              <w:rStyle w:val="Hyperlink"/>
              <w:noProof/>
            </w:rPr>
            <w:t>https://www.govint.org/our-expertise/public-governance</w:t>
          </w:r>
          <w:r w:rsidR="00E846B0">
            <w:rPr>
              <w:noProof/>
              <w:u w:val="single"/>
            </w:rPr>
            <w:t xml:space="preserve"> </w:t>
          </w:r>
          <w:r>
            <w:rPr>
              <w:noProof/>
            </w:rPr>
            <w:t xml:space="preserve"> </w:t>
          </w:r>
        </w:p>
        <w:p w14:paraId="35C1126B" w14:textId="1956EC1B" w:rsidR="00F13D5E" w:rsidRDefault="00F13D5E" w:rsidP="00F13D5E">
          <w:pPr>
            <w:pStyle w:val="Bibliography"/>
            <w:rPr>
              <w:noProof/>
            </w:rPr>
          </w:pPr>
          <w:r>
            <w:rPr>
              <w:noProof/>
            </w:rPr>
            <w:t>(Accessed: 8</w:t>
          </w:r>
          <w:r w:rsidR="004663D8">
            <w:rPr>
              <w:noProof/>
            </w:rPr>
            <w:t>th</w:t>
          </w:r>
          <w:r>
            <w:rPr>
              <w:noProof/>
            </w:rPr>
            <w:t xml:space="preserve"> December 2024).</w:t>
          </w:r>
        </w:p>
        <w:p w14:paraId="60FBE3CC" w14:textId="63C6D8E9" w:rsidR="004663D8" w:rsidRDefault="00F13D5E" w:rsidP="00F13D5E">
          <w:pPr>
            <w:pStyle w:val="Bibliography"/>
            <w:rPr>
              <w:rStyle w:val="Hyperlink"/>
              <w:noProof/>
            </w:rPr>
          </w:pPr>
          <w:r>
            <w:rPr>
              <w:noProof/>
            </w:rPr>
            <w:lastRenderedPageBreak/>
            <w:t xml:space="preserve">Higham, N. (2016) </w:t>
          </w:r>
          <w:r>
            <w:rPr>
              <w:i/>
              <w:iCs/>
              <w:noProof/>
            </w:rPr>
            <w:t>National Archives: Thatcher's poll tax miscalculation</w:t>
          </w:r>
          <w:r>
            <w:rPr>
              <w:noProof/>
            </w:rPr>
            <w:t xml:space="preserve">. Available at: </w:t>
          </w:r>
          <w:r w:rsidRPr="004663D8">
            <w:rPr>
              <w:noProof/>
            </w:rPr>
            <w:t>"</w:t>
          </w:r>
          <w:r w:rsidR="004663D8" w:rsidRPr="004663D8">
            <w:t xml:space="preserve"> </w:t>
          </w:r>
          <w:r w:rsidR="004663D8" w:rsidRPr="004663D8">
            <w:rPr>
              <w:noProof/>
            </w:rPr>
            <w:t>https://www.bbc.co.uk/news/uk-38382416</w:t>
          </w:r>
          <w:r w:rsidRPr="004663D8">
            <w:rPr>
              <w:noProof/>
            </w:rPr>
            <w:t>"</w:t>
          </w:r>
          <w:r w:rsidR="00E846B0">
            <w:rPr>
              <w:noProof/>
              <w:u w:val="single"/>
            </w:rPr>
            <w:t xml:space="preserve">  </w:t>
          </w:r>
        </w:p>
        <w:p w14:paraId="4AEC715B" w14:textId="56205028" w:rsidR="00F13D5E" w:rsidRDefault="00F13D5E" w:rsidP="00F13D5E">
          <w:pPr>
            <w:pStyle w:val="Bibliography"/>
            <w:rPr>
              <w:noProof/>
            </w:rPr>
          </w:pPr>
          <w:r>
            <w:rPr>
              <w:noProof/>
            </w:rPr>
            <w:t>(Accessed: 8</w:t>
          </w:r>
          <w:r w:rsidR="004663D8">
            <w:rPr>
              <w:noProof/>
            </w:rPr>
            <w:t>th</w:t>
          </w:r>
          <w:r>
            <w:rPr>
              <w:noProof/>
            </w:rPr>
            <w:t xml:space="preserve"> December 2024).</w:t>
          </w:r>
        </w:p>
        <w:p w14:paraId="754AE93B" w14:textId="2543BEAF" w:rsidR="004663D8" w:rsidRDefault="00F13D5E" w:rsidP="00F13D5E">
          <w:pPr>
            <w:pStyle w:val="Bibliography"/>
            <w:rPr>
              <w:noProof/>
            </w:rPr>
          </w:pPr>
          <w:r>
            <w:rPr>
              <w:noProof/>
            </w:rPr>
            <w:t>His Majesty’s Inspectorate of Constabulary and Fire &amp; Rescue Services</w:t>
          </w:r>
          <w:r w:rsidR="004663D8">
            <w:rPr>
              <w:noProof/>
            </w:rPr>
            <w:t>.</w:t>
          </w:r>
          <w:r>
            <w:rPr>
              <w:noProof/>
            </w:rPr>
            <w:t xml:space="preserve"> (2014) </w:t>
          </w:r>
          <w:r>
            <w:rPr>
              <w:i/>
              <w:iCs/>
              <w:noProof/>
            </w:rPr>
            <w:t>Crime-recording: making the victim count</w:t>
          </w:r>
          <w:r>
            <w:rPr>
              <w:noProof/>
            </w:rPr>
            <w:t xml:space="preserve">. His Majesty’s Inspectorate of Constabulary and Fire &amp; Rescue Services. Available at: </w:t>
          </w:r>
          <w:r>
            <w:rPr>
              <w:rStyle w:val="Hyperlink"/>
              <w:noProof/>
            </w:rPr>
            <w:t>https://hmicfrs.justiceinspectorates.gov.uk/publications/crime-recording-making-the-victim-count/</w:t>
          </w:r>
          <w:r w:rsidR="00E846B0">
            <w:rPr>
              <w:noProof/>
              <w:u w:val="single"/>
            </w:rPr>
            <w:t xml:space="preserve"> </w:t>
          </w:r>
          <w:r>
            <w:rPr>
              <w:noProof/>
            </w:rPr>
            <w:t xml:space="preserve"> </w:t>
          </w:r>
        </w:p>
        <w:p w14:paraId="6BC58BC5" w14:textId="3468A676" w:rsidR="00F13D5E" w:rsidRDefault="00F13D5E" w:rsidP="00F13D5E">
          <w:pPr>
            <w:pStyle w:val="Bibliography"/>
            <w:rPr>
              <w:noProof/>
            </w:rPr>
          </w:pPr>
          <w:r>
            <w:rPr>
              <w:noProof/>
            </w:rPr>
            <w:t>(Accessed: 10</w:t>
          </w:r>
          <w:r w:rsidR="004663D8">
            <w:rPr>
              <w:noProof/>
            </w:rPr>
            <w:t>th</w:t>
          </w:r>
          <w:r>
            <w:rPr>
              <w:noProof/>
            </w:rPr>
            <w:t xml:space="preserve"> December 2024)</w:t>
          </w:r>
          <w:r w:rsidR="002068B4">
            <w:rPr>
              <w:noProof/>
            </w:rPr>
            <w:t>.</w:t>
          </w:r>
        </w:p>
        <w:p w14:paraId="4482F949" w14:textId="572302EF" w:rsidR="004663D8" w:rsidRDefault="00F13D5E" w:rsidP="00F13D5E">
          <w:pPr>
            <w:pStyle w:val="Bibliography"/>
            <w:rPr>
              <w:noProof/>
            </w:rPr>
          </w:pPr>
          <w:r>
            <w:rPr>
              <w:noProof/>
            </w:rPr>
            <w:t>His Majesty’s Inspectorate of Constabulary and Fire &amp; Rescue Services</w:t>
          </w:r>
          <w:r w:rsidR="004663D8">
            <w:rPr>
              <w:noProof/>
            </w:rPr>
            <w:t>.</w:t>
          </w:r>
          <w:r>
            <w:rPr>
              <w:noProof/>
            </w:rPr>
            <w:t xml:space="preserve"> (2024 ) </w:t>
          </w:r>
          <w:r>
            <w:rPr>
              <w:i/>
              <w:iCs/>
              <w:noProof/>
            </w:rPr>
            <w:t>What we do</w:t>
          </w:r>
          <w:r>
            <w:rPr>
              <w:noProof/>
            </w:rPr>
            <w:t xml:space="preserve">. </w:t>
          </w:r>
          <w:r w:rsidR="004663D8">
            <w:rPr>
              <w:noProof/>
            </w:rPr>
            <w:t xml:space="preserve">His Majesty’s Inspectorate of Constabulary and Fire &amp; Rescue Services. </w:t>
          </w:r>
          <w:r>
            <w:rPr>
              <w:noProof/>
            </w:rPr>
            <w:t xml:space="preserve">Available at: </w:t>
          </w:r>
          <w:r>
            <w:rPr>
              <w:rStyle w:val="Hyperlink"/>
              <w:noProof/>
            </w:rPr>
            <w:t>https://hmicfrs.justiceinspectorates.gov.uk/about-us/what-we-do/</w:t>
          </w:r>
          <w:r w:rsidR="00E846B0">
            <w:rPr>
              <w:noProof/>
              <w:u w:val="single"/>
            </w:rPr>
            <w:t xml:space="preserve"> </w:t>
          </w:r>
          <w:r>
            <w:rPr>
              <w:noProof/>
            </w:rPr>
            <w:t xml:space="preserve"> </w:t>
          </w:r>
        </w:p>
        <w:p w14:paraId="148FEAFF" w14:textId="2DC6DD87" w:rsidR="00F13D5E" w:rsidRDefault="00F13D5E" w:rsidP="00F13D5E">
          <w:pPr>
            <w:pStyle w:val="Bibliography"/>
            <w:rPr>
              <w:noProof/>
            </w:rPr>
          </w:pPr>
          <w:r>
            <w:rPr>
              <w:noProof/>
            </w:rPr>
            <w:t>(Accessed: 27 November 2024)</w:t>
          </w:r>
          <w:r w:rsidR="002068B4">
            <w:rPr>
              <w:noProof/>
            </w:rPr>
            <w:t>.</w:t>
          </w:r>
        </w:p>
        <w:p w14:paraId="217AE90E" w14:textId="50FB2831" w:rsidR="004663D8" w:rsidRDefault="00F13D5E" w:rsidP="00F13D5E">
          <w:pPr>
            <w:pStyle w:val="Bibliography"/>
            <w:rPr>
              <w:noProof/>
            </w:rPr>
          </w:pPr>
          <w:r>
            <w:rPr>
              <w:noProof/>
            </w:rPr>
            <w:t xml:space="preserve">Home Office (1964) </w:t>
          </w:r>
          <w:r>
            <w:rPr>
              <w:i/>
              <w:iCs/>
              <w:noProof/>
            </w:rPr>
            <w:t>Police Act 1964</w:t>
          </w:r>
          <w:r>
            <w:rPr>
              <w:noProof/>
            </w:rPr>
            <w:t xml:space="preserve">. </w:t>
          </w:r>
          <w:r w:rsidR="004663D8">
            <w:rPr>
              <w:noProof/>
            </w:rPr>
            <w:t xml:space="preserve">Available at: </w:t>
          </w:r>
          <w:hyperlink r:id="rId10" w:history="1">
            <w:r w:rsidR="004663D8" w:rsidRPr="00C15FA9">
              <w:rPr>
                <w:rStyle w:val="Hyperlink"/>
                <w:noProof/>
              </w:rPr>
              <w:t>https://www.legislation.gov.uk/ukpga/1964/48/contents</w:t>
            </w:r>
          </w:hyperlink>
        </w:p>
        <w:p w14:paraId="704BD32B" w14:textId="620351DE" w:rsidR="004663D8" w:rsidRPr="004663D8" w:rsidRDefault="004663D8" w:rsidP="004663D8">
          <w:pPr>
            <w:pStyle w:val="Bibliography"/>
            <w:rPr>
              <w:noProof/>
            </w:rPr>
          </w:pPr>
          <w:r>
            <w:rPr>
              <w:noProof/>
            </w:rPr>
            <w:t>(Accessed: 27 November 2024)</w:t>
          </w:r>
          <w:r w:rsidR="002068B4">
            <w:rPr>
              <w:noProof/>
            </w:rPr>
            <w:t>.</w:t>
          </w:r>
        </w:p>
        <w:p w14:paraId="4CBF82BC" w14:textId="1C42B4FB" w:rsidR="004663D8" w:rsidRDefault="00F13D5E" w:rsidP="00F13D5E">
          <w:pPr>
            <w:pStyle w:val="Bibliography"/>
            <w:rPr>
              <w:noProof/>
              <w:u w:val="single"/>
            </w:rPr>
          </w:pPr>
          <w:r>
            <w:rPr>
              <w:noProof/>
            </w:rPr>
            <w:t xml:space="preserve">Home Office (1999) </w:t>
          </w:r>
          <w:r>
            <w:rPr>
              <w:i/>
              <w:iCs/>
              <w:noProof/>
            </w:rPr>
            <w:t>Greater London Authority Act 1999</w:t>
          </w:r>
          <w:r>
            <w:rPr>
              <w:noProof/>
            </w:rPr>
            <w:t xml:space="preserve">. </w:t>
          </w:r>
          <w:r w:rsidR="004663D8">
            <w:rPr>
              <w:noProof/>
            </w:rPr>
            <w:t xml:space="preserve">Available at: </w:t>
          </w:r>
          <w:hyperlink r:id="rId11" w:history="1">
            <w:r w:rsidR="004663D8" w:rsidRPr="00C15FA9">
              <w:rPr>
                <w:rStyle w:val="Hyperlink"/>
                <w:noProof/>
              </w:rPr>
              <w:t>https://www.legislation.gov.uk/ukpga/1999/29/contents</w:t>
            </w:r>
          </w:hyperlink>
        </w:p>
        <w:p w14:paraId="209CD741" w14:textId="412D43A8" w:rsidR="004663D8" w:rsidRPr="004663D8" w:rsidRDefault="004663D8" w:rsidP="004663D8">
          <w:pPr>
            <w:pStyle w:val="Bibliography"/>
            <w:rPr>
              <w:noProof/>
            </w:rPr>
          </w:pPr>
          <w:r>
            <w:rPr>
              <w:noProof/>
            </w:rPr>
            <w:t>(Accessed: 27 November 2024).</w:t>
          </w:r>
        </w:p>
        <w:p w14:paraId="6352AC95" w14:textId="2EA18052" w:rsidR="004663D8" w:rsidRDefault="00F13D5E" w:rsidP="00F13D5E">
          <w:pPr>
            <w:pStyle w:val="Bibliography"/>
            <w:rPr>
              <w:noProof/>
            </w:rPr>
          </w:pPr>
          <w:r>
            <w:rPr>
              <w:noProof/>
            </w:rPr>
            <w:t xml:space="preserve">Home Office (1999) </w:t>
          </w:r>
          <w:r>
            <w:rPr>
              <w:i/>
              <w:iCs/>
              <w:noProof/>
            </w:rPr>
            <w:t>The Stephen Lawrence Inquiry</w:t>
          </w:r>
          <w:r w:rsidR="004663D8">
            <w:rPr>
              <w:noProof/>
            </w:rPr>
            <w:t>, London:</w:t>
          </w:r>
          <w:r>
            <w:rPr>
              <w:noProof/>
            </w:rPr>
            <w:t xml:space="preserve"> Available at: </w:t>
          </w:r>
          <w:r>
            <w:rPr>
              <w:rStyle w:val="Hyperlink"/>
              <w:noProof/>
            </w:rPr>
            <w:t>https://www.gov.uk/government/publications/the-stephen-lawrence-inquiry</w:t>
          </w:r>
          <w:r w:rsidR="00E846B0">
            <w:rPr>
              <w:noProof/>
              <w:u w:val="single"/>
            </w:rPr>
            <w:t xml:space="preserve"> </w:t>
          </w:r>
          <w:r>
            <w:rPr>
              <w:noProof/>
            </w:rPr>
            <w:t xml:space="preserve"> </w:t>
          </w:r>
        </w:p>
        <w:p w14:paraId="6AD0DFBC" w14:textId="26D20D3D" w:rsidR="00F13D5E" w:rsidRDefault="00F13D5E" w:rsidP="00F13D5E">
          <w:pPr>
            <w:pStyle w:val="Bibliography"/>
            <w:rPr>
              <w:noProof/>
            </w:rPr>
          </w:pPr>
          <w:r>
            <w:rPr>
              <w:noProof/>
            </w:rPr>
            <w:t>(Accessed: 4 December 2024).</w:t>
          </w:r>
        </w:p>
        <w:p w14:paraId="6A241F8A" w14:textId="5E0E372F" w:rsidR="00F13D5E" w:rsidRDefault="00F13D5E" w:rsidP="00F13D5E">
          <w:pPr>
            <w:pStyle w:val="Bibliography"/>
            <w:rPr>
              <w:noProof/>
            </w:rPr>
          </w:pPr>
          <w:r>
            <w:rPr>
              <w:noProof/>
            </w:rPr>
            <w:t xml:space="preserve">Home Office (2011) </w:t>
          </w:r>
          <w:r>
            <w:rPr>
              <w:i/>
              <w:iCs/>
              <w:noProof/>
            </w:rPr>
            <w:t>Police Reform and Social Respo</w:t>
          </w:r>
          <w:r w:rsidR="004157C3">
            <w:rPr>
              <w:i/>
              <w:iCs/>
              <w:noProof/>
            </w:rPr>
            <w:t>n</w:t>
          </w:r>
          <w:r>
            <w:rPr>
              <w:i/>
              <w:iCs/>
              <w:noProof/>
            </w:rPr>
            <w:t>s</w:t>
          </w:r>
          <w:r w:rsidR="004157C3">
            <w:rPr>
              <w:i/>
              <w:iCs/>
              <w:noProof/>
            </w:rPr>
            <w:t>i</w:t>
          </w:r>
          <w:r>
            <w:rPr>
              <w:i/>
              <w:iCs/>
              <w:noProof/>
            </w:rPr>
            <w:t>bility Act</w:t>
          </w:r>
          <w:r>
            <w:rPr>
              <w:noProof/>
            </w:rPr>
            <w:t>.</w:t>
          </w:r>
          <w:r w:rsidR="004157C3">
            <w:rPr>
              <w:noProof/>
            </w:rPr>
            <w:t xml:space="preserve">  Available at:</w:t>
          </w:r>
        </w:p>
        <w:p w14:paraId="4733B81A" w14:textId="1AD12E88" w:rsidR="004157C3" w:rsidRDefault="00565964" w:rsidP="004157C3">
          <w:hyperlink r:id="rId12" w:history="1">
            <w:r w:rsidR="004157C3" w:rsidRPr="00C15FA9">
              <w:rPr>
                <w:rStyle w:val="Hyperlink"/>
              </w:rPr>
              <w:t>https://www.legislation.gov.uk/ukpga/2011/13/contents</w:t>
            </w:r>
          </w:hyperlink>
        </w:p>
        <w:p w14:paraId="32FCAE87" w14:textId="08BA09F0" w:rsidR="004157C3" w:rsidRPr="004157C3" w:rsidRDefault="004157C3" w:rsidP="004157C3">
          <w:pPr>
            <w:pStyle w:val="Bibliography"/>
            <w:rPr>
              <w:noProof/>
            </w:rPr>
          </w:pPr>
          <w:r>
            <w:rPr>
              <w:noProof/>
            </w:rPr>
            <w:t>(Accessed: 4</w:t>
          </w:r>
          <w:r w:rsidRPr="004157C3">
            <w:rPr>
              <w:noProof/>
              <w:vertAlign w:val="superscript"/>
            </w:rPr>
            <w:t>th</w:t>
          </w:r>
          <w:r>
            <w:rPr>
              <w:noProof/>
            </w:rPr>
            <w:t>December 2024).</w:t>
          </w:r>
        </w:p>
        <w:p w14:paraId="06DACEDF" w14:textId="321C5797" w:rsidR="00F13D5E" w:rsidRDefault="00F13D5E" w:rsidP="00F13D5E">
          <w:pPr>
            <w:pStyle w:val="Bibliography"/>
            <w:rPr>
              <w:noProof/>
            </w:rPr>
          </w:pPr>
          <w:r>
            <w:rPr>
              <w:noProof/>
            </w:rPr>
            <w:t xml:space="preserve">Home Office (2014) </w:t>
          </w:r>
          <w:r>
            <w:rPr>
              <w:i/>
              <w:iCs/>
              <w:noProof/>
            </w:rPr>
            <w:t>Home Secretary's Police Federation 2014 speech</w:t>
          </w:r>
          <w:r>
            <w:rPr>
              <w:noProof/>
            </w:rPr>
            <w:t xml:space="preserve">. Available at: </w:t>
          </w:r>
          <w:r w:rsidR="00E846B0">
            <w:rPr>
              <w:noProof/>
              <w:u w:val="single"/>
            </w:rPr>
            <w:t xml:space="preserve"> </w:t>
          </w:r>
          <w:r>
            <w:rPr>
              <w:rStyle w:val="Hyperlink"/>
              <w:noProof/>
            </w:rPr>
            <w:t>https://www.gov.uk/government/speeches/home-secretarys-police-federation-2014-speech</w:t>
          </w:r>
          <w:r w:rsidR="00E846B0">
            <w:rPr>
              <w:noProof/>
              <w:u w:val="single"/>
            </w:rPr>
            <w:t xml:space="preserve"> </w:t>
          </w:r>
          <w:r>
            <w:rPr>
              <w:noProof/>
            </w:rPr>
            <w:t xml:space="preserve"> (Accessed: 8</w:t>
          </w:r>
          <w:r w:rsidR="004157C3" w:rsidRPr="004157C3">
            <w:rPr>
              <w:noProof/>
              <w:vertAlign w:val="superscript"/>
            </w:rPr>
            <w:t>th</w:t>
          </w:r>
          <w:r w:rsidR="004157C3">
            <w:rPr>
              <w:noProof/>
            </w:rPr>
            <w:t xml:space="preserve"> </w:t>
          </w:r>
          <w:r w:rsidR="002068B4">
            <w:rPr>
              <w:noProof/>
            </w:rPr>
            <w:t>D</w:t>
          </w:r>
          <w:r>
            <w:rPr>
              <w:noProof/>
            </w:rPr>
            <w:t>ecember 2024).</w:t>
          </w:r>
        </w:p>
        <w:p w14:paraId="133EFD68" w14:textId="33DC28DC" w:rsidR="00F13D5E" w:rsidRDefault="00F13D5E" w:rsidP="00F13D5E">
          <w:pPr>
            <w:pStyle w:val="Bibliography"/>
            <w:rPr>
              <w:noProof/>
            </w:rPr>
          </w:pPr>
          <w:r>
            <w:rPr>
              <w:noProof/>
            </w:rPr>
            <w:t xml:space="preserve">Home Office (2023) </w:t>
          </w:r>
          <w:r>
            <w:rPr>
              <w:i/>
              <w:iCs/>
              <w:noProof/>
            </w:rPr>
            <w:t>The Policing Protocal Order 2023</w:t>
          </w:r>
          <w:r>
            <w:rPr>
              <w:noProof/>
            </w:rPr>
            <w:t xml:space="preserve">. </w:t>
          </w:r>
          <w:r w:rsidR="004157C3">
            <w:rPr>
              <w:noProof/>
            </w:rPr>
            <w:t xml:space="preserve">Available at: </w:t>
          </w:r>
          <w:hyperlink r:id="rId13" w:history="1">
            <w:r w:rsidR="004157C3" w:rsidRPr="00C15FA9">
              <w:rPr>
                <w:rStyle w:val="Hyperlink"/>
                <w:noProof/>
              </w:rPr>
              <w:t>https://www.legislation.gov.uk/uksi/2023/649</w:t>
            </w:r>
          </w:hyperlink>
        </w:p>
        <w:p w14:paraId="1D89A634" w14:textId="641BF9DA" w:rsidR="004157C3" w:rsidRPr="004157C3" w:rsidRDefault="004157C3" w:rsidP="004157C3">
          <w:pPr>
            <w:pStyle w:val="Bibliography"/>
            <w:rPr>
              <w:noProof/>
            </w:rPr>
          </w:pPr>
          <w:r>
            <w:rPr>
              <w:noProof/>
            </w:rPr>
            <w:t>(Accessed: 5</w:t>
          </w:r>
          <w:r w:rsidRPr="004157C3">
            <w:rPr>
              <w:noProof/>
              <w:vertAlign w:val="superscript"/>
            </w:rPr>
            <w:t>th</w:t>
          </w:r>
          <w:r>
            <w:rPr>
              <w:noProof/>
            </w:rPr>
            <w:t xml:space="preserve"> December 2024).</w:t>
          </w:r>
        </w:p>
        <w:p w14:paraId="5F9E557F" w14:textId="77777777" w:rsidR="004157C3" w:rsidRDefault="00F13D5E" w:rsidP="00F13D5E">
          <w:pPr>
            <w:pStyle w:val="Bibliography"/>
            <w:rPr>
              <w:noProof/>
            </w:rPr>
          </w:pPr>
          <w:r>
            <w:rPr>
              <w:noProof/>
            </w:rPr>
            <w:t xml:space="preserve">Home Office (1996) </w:t>
          </w:r>
          <w:r>
            <w:rPr>
              <w:i/>
              <w:iCs/>
              <w:noProof/>
            </w:rPr>
            <w:t>Police Act 1996</w:t>
          </w:r>
          <w:r>
            <w:rPr>
              <w:noProof/>
            </w:rPr>
            <w:t xml:space="preserve">. Available at: </w:t>
          </w:r>
          <w:r w:rsidR="00E846B0">
            <w:rPr>
              <w:noProof/>
              <w:u w:val="single"/>
            </w:rPr>
            <w:t xml:space="preserve"> </w:t>
          </w:r>
          <w:r>
            <w:rPr>
              <w:rStyle w:val="Hyperlink"/>
              <w:noProof/>
            </w:rPr>
            <w:t>https://www.legislation.gov.uk/ukpga/1996/16/section/40A</w:t>
          </w:r>
          <w:r w:rsidR="00E846B0">
            <w:rPr>
              <w:noProof/>
              <w:u w:val="single"/>
            </w:rPr>
            <w:t xml:space="preserve"> </w:t>
          </w:r>
          <w:r>
            <w:rPr>
              <w:noProof/>
            </w:rPr>
            <w:t xml:space="preserve"> </w:t>
          </w:r>
        </w:p>
        <w:p w14:paraId="728C41B1" w14:textId="1E8429E5" w:rsidR="00F13D5E" w:rsidRDefault="00F13D5E" w:rsidP="00F13D5E">
          <w:pPr>
            <w:pStyle w:val="Bibliography"/>
            <w:rPr>
              <w:noProof/>
            </w:rPr>
          </w:pPr>
          <w:r>
            <w:rPr>
              <w:noProof/>
            </w:rPr>
            <w:t>(Accessed: 27</w:t>
          </w:r>
          <w:r w:rsidR="004157C3" w:rsidRPr="004157C3">
            <w:rPr>
              <w:noProof/>
              <w:vertAlign w:val="superscript"/>
            </w:rPr>
            <w:t>th</w:t>
          </w:r>
          <w:r>
            <w:rPr>
              <w:noProof/>
            </w:rPr>
            <w:t xml:space="preserve"> November 2024).</w:t>
          </w:r>
        </w:p>
        <w:p w14:paraId="55FAACE1" w14:textId="36F2F57F" w:rsidR="004157C3" w:rsidRDefault="00F13D5E" w:rsidP="00F13D5E">
          <w:pPr>
            <w:pStyle w:val="Bibliography"/>
            <w:rPr>
              <w:noProof/>
            </w:rPr>
          </w:pPr>
          <w:r>
            <w:rPr>
              <w:noProof/>
            </w:rPr>
            <w:t xml:space="preserve">Home Office (1998) </w:t>
          </w:r>
          <w:r>
            <w:rPr>
              <w:i/>
              <w:iCs/>
              <w:noProof/>
            </w:rPr>
            <w:t>Crime and Disorder Act 1998</w:t>
          </w:r>
          <w:r>
            <w:rPr>
              <w:noProof/>
            </w:rPr>
            <w:t xml:space="preserve">. Available at: </w:t>
          </w:r>
          <w:r>
            <w:rPr>
              <w:rStyle w:val="Hyperlink"/>
              <w:noProof/>
            </w:rPr>
            <w:t>https://www.legislation.gov.uk/ukpga/1998/37/contents</w:t>
          </w:r>
          <w:r w:rsidR="00E846B0">
            <w:rPr>
              <w:noProof/>
              <w:u w:val="single"/>
            </w:rPr>
            <w:t xml:space="preserve"> </w:t>
          </w:r>
          <w:r>
            <w:rPr>
              <w:noProof/>
            </w:rPr>
            <w:t xml:space="preserve"> </w:t>
          </w:r>
        </w:p>
        <w:p w14:paraId="09C10503" w14:textId="7673A0FA" w:rsidR="00F13D5E" w:rsidRPr="004157C3" w:rsidRDefault="00F13D5E" w:rsidP="00F13D5E">
          <w:pPr>
            <w:pStyle w:val="Bibliography"/>
            <w:rPr>
              <w:noProof/>
              <w:u w:val="single"/>
            </w:rPr>
          </w:pPr>
          <w:r>
            <w:rPr>
              <w:noProof/>
            </w:rPr>
            <w:t>(Accessed: 10</w:t>
          </w:r>
          <w:r w:rsidR="004157C3" w:rsidRPr="004157C3">
            <w:rPr>
              <w:noProof/>
              <w:vertAlign w:val="superscript"/>
            </w:rPr>
            <w:t>th</w:t>
          </w:r>
          <w:r>
            <w:rPr>
              <w:noProof/>
            </w:rPr>
            <w:t xml:space="preserve"> December 2024)</w:t>
          </w:r>
        </w:p>
        <w:p w14:paraId="08AE7BA4" w14:textId="37D409CD" w:rsidR="004157C3" w:rsidRDefault="00F13D5E" w:rsidP="00F13D5E">
          <w:pPr>
            <w:pStyle w:val="Bibliography"/>
            <w:rPr>
              <w:noProof/>
            </w:rPr>
          </w:pPr>
          <w:r>
            <w:rPr>
              <w:i/>
              <w:iCs/>
              <w:noProof/>
            </w:rPr>
            <w:lastRenderedPageBreak/>
            <w:t>The Crime and Disorder (Formulation and Implementation of Strategy) (Amendment) Regulations</w:t>
          </w:r>
          <w:r w:rsidR="00116CBB">
            <w:rPr>
              <w:i/>
              <w:iCs/>
              <w:noProof/>
            </w:rPr>
            <w:t>.</w:t>
          </w:r>
          <w:r>
            <w:rPr>
              <w:i/>
              <w:iCs/>
              <w:noProof/>
            </w:rPr>
            <w:t xml:space="preserve"> 2012</w:t>
          </w:r>
          <w:r>
            <w:rPr>
              <w:noProof/>
            </w:rPr>
            <w:t xml:space="preserve">. Available at: </w:t>
          </w:r>
          <w:r w:rsidR="00E846B0">
            <w:rPr>
              <w:noProof/>
              <w:u w:val="single"/>
            </w:rPr>
            <w:t xml:space="preserve"> </w:t>
          </w:r>
          <w:r>
            <w:rPr>
              <w:rStyle w:val="Hyperlink"/>
              <w:noProof/>
            </w:rPr>
            <w:t>https://www.legislation.gov.uk/uksi/2012/2660/made#:~:text=of%20the%20Regulations)-,The%20Crime%20and%20Disorder%20(Formulation%20and%20Implementation%20of%20Strategy)%20Regulations,disorder%20and%20for%20combating%20substance</w:t>
          </w:r>
          <w:r w:rsidR="00E846B0">
            <w:rPr>
              <w:noProof/>
              <w:u w:val="single"/>
            </w:rPr>
            <w:t xml:space="preserve"> </w:t>
          </w:r>
          <w:r>
            <w:rPr>
              <w:noProof/>
            </w:rPr>
            <w:t xml:space="preserve"> </w:t>
          </w:r>
        </w:p>
        <w:p w14:paraId="4CE9F22C" w14:textId="5C88C76D" w:rsidR="00F13D5E" w:rsidRDefault="00F13D5E" w:rsidP="00F13D5E">
          <w:pPr>
            <w:pStyle w:val="Bibliography"/>
            <w:rPr>
              <w:noProof/>
            </w:rPr>
          </w:pPr>
          <w:r>
            <w:rPr>
              <w:noProof/>
            </w:rPr>
            <w:t>(Accessed: 1</w:t>
          </w:r>
          <w:r w:rsidR="004157C3">
            <w:rPr>
              <w:noProof/>
            </w:rPr>
            <w:t>0</w:t>
          </w:r>
          <w:r w:rsidR="004157C3" w:rsidRPr="004157C3">
            <w:rPr>
              <w:noProof/>
              <w:vertAlign w:val="superscript"/>
            </w:rPr>
            <w:t>th</w:t>
          </w:r>
          <w:r>
            <w:rPr>
              <w:noProof/>
            </w:rPr>
            <w:t xml:space="preserve"> December 2024)</w:t>
          </w:r>
          <w:r w:rsidR="00116CBB">
            <w:rPr>
              <w:noProof/>
            </w:rPr>
            <w:t>.</w:t>
          </w:r>
        </w:p>
        <w:p w14:paraId="41743721" w14:textId="669BF9DD" w:rsidR="004157C3" w:rsidRDefault="00F13D5E" w:rsidP="00F13D5E">
          <w:pPr>
            <w:pStyle w:val="Bibliography"/>
            <w:rPr>
              <w:noProof/>
            </w:rPr>
          </w:pPr>
          <w:r>
            <w:rPr>
              <w:noProof/>
            </w:rPr>
            <w:t xml:space="preserve">Home Office (2023) </w:t>
          </w:r>
          <w:r>
            <w:rPr>
              <w:i/>
              <w:iCs/>
              <w:noProof/>
            </w:rPr>
            <w:t>The transfer of Police and Crime Commissioner functions to the Mayor of the West Midlands</w:t>
          </w:r>
          <w:r>
            <w:rPr>
              <w:noProof/>
            </w:rPr>
            <w:t xml:space="preserve">. Home Office Available at: </w:t>
          </w:r>
          <w:r>
            <w:rPr>
              <w:rStyle w:val="Hyperlink"/>
              <w:noProof/>
            </w:rPr>
            <w:t>https://assets.publishing.service.gov.uk/media/6582dfbd23b70a000d234cf2/West_Midlands_Consultation_Document.pdf</w:t>
          </w:r>
          <w:r w:rsidR="00E846B0">
            <w:rPr>
              <w:noProof/>
              <w:u w:val="single"/>
            </w:rPr>
            <w:t xml:space="preserve"> </w:t>
          </w:r>
          <w:r>
            <w:rPr>
              <w:noProof/>
            </w:rPr>
            <w:t xml:space="preserve"> </w:t>
          </w:r>
        </w:p>
        <w:p w14:paraId="45FC50A9" w14:textId="06578528" w:rsidR="00F13D5E" w:rsidRDefault="00F13D5E" w:rsidP="00F13D5E">
          <w:pPr>
            <w:pStyle w:val="Bibliography"/>
            <w:rPr>
              <w:noProof/>
            </w:rPr>
          </w:pPr>
          <w:r>
            <w:rPr>
              <w:noProof/>
            </w:rPr>
            <w:t>(Accessed: 5</w:t>
          </w:r>
          <w:r w:rsidR="004157C3" w:rsidRPr="004157C3">
            <w:rPr>
              <w:noProof/>
              <w:vertAlign w:val="superscript"/>
            </w:rPr>
            <w:t>th</w:t>
          </w:r>
          <w:r w:rsidR="004157C3">
            <w:rPr>
              <w:noProof/>
            </w:rPr>
            <w:t xml:space="preserve"> </w:t>
          </w:r>
          <w:r>
            <w:rPr>
              <w:noProof/>
            </w:rPr>
            <w:t>December 2024).</w:t>
          </w:r>
        </w:p>
        <w:p w14:paraId="7BAF3297" w14:textId="60031A8B" w:rsidR="00F13D5E" w:rsidRDefault="00F13D5E" w:rsidP="00F13D5E">
          <w:pPr>
            <w:pStyle w:val="Bibliography"/>
            <w:rPr>
              <w:noProof/>
            </w:rPr>
          </w:pPr>
          <w:r>
            <w:rPr>
              <w:noProof/>
            </w:rPr>
            <w:t xml:space="preserve">Home Office (2024) </w:t>
          </w:r>
          <w:r>
            <w:rPr>
              <w:i/>
              <w:iCs/>
              <w:noProof/>
            </w:rPr>
            <w:t>Policing Productivity Review</w:t>
          </w:r>
          <w:r>
            <w:rPr>
              <w:noProof/>
            </w:rPr>
            <w:t xml:space="preserve">. Available at: </w:t>
          </w:r>
          <w:r>
            <w:rPr>
              <w:rStyle w:val="Hyperlink"/>
              <w:noProof/>
            </w:rPr>
            <w:t>https://www.gov.uk/government/publications/policing-productivity-review/policing-productivity-review-accessible</w:t>
          </w:r>
          <w:r w:rsidR="00E846B0">
            <w:rPr>
              <w:noProof/>
              <w:u w:val="single"/>
            </w:rPr>
            <w:t xml:space="preserve"> </w:t>
          </w:r>
          <w:r>
            <w:rPr>
              <w:noProof/>
            </w:rPr>
            <w:t xml:space="preserve"> (Accessed: 8</w:t>
          </w:r>
          <w:r w:rsidR="004157C3" w:rsidRPr="004157C3">
            <w:rPr>
              <w:noProof/>
              <w:vertAlign w:val="superscript"/>
            </w:rPr>
            <w:t>th</w:t>
          </w:r>
          <w:r w:rsidR="004157C3">
            <w:rPr>
              <w:noProof/>
            </w:rPr>
            <w:t xml:space="preserve"> </w:t>
          </w:r>
          <w:r>
            <w:rPr>
              <w:noProof/>
            </w:rPr>
            <w:t>December 2024).</w:t>
          </w:r>
        </w:p>
        <w:p w14:paraId="7B281726" w14:textId="77777777" w:rsidR="004157C3" w:rsidRDefault="00F13D5E" w:rsidP="00F13D5E">
          <w:pPr>
            <w:pStyle w:val="Bibliography"/>
            <w:rPr>
              <w:noProof/>
            </w:rPr>
          </w:pPr>
          <w:r>
            <w:rPr>
              <w:noProof/>
            </w:rPr>
            <w:t xml:space="preserve">Hull City Council (2024) </w:t>
          </w:r>
          <w:r>
            <w:rPr>
              <w:i/>
              <w:iCs/>
              <w:noProof/>
            </w:rPr>
            <w:t>Area committees</w:t>
          </w:r>
          <w:r>
            <w:rPr>
              <w:noProof/>
            </w:rPr>
            <w:t xml:space="preserve">. Available at: </w:t>
          </w:r>
          <w:r w:rsidR="00E846B0">
            <w:rPr>
              <w:noProof/>
              <w:u w:val="single"/>
            </w:rPr>
            <w:t xml:space="preserve"> </w:t>
          </w:r>
          <w:r>
            <w:rPr>
              <w:rStyle w:val="Hyperlink"/>
              <w:noProof/>
            </w:rPr>
            <w:t>https://www.hull.gov.uk/structure-decision-making/area-committees</w:t>
          </w:r>
          <w:r w:rsidR="00E846B0">
            <w:rPr>
              <w:noProof/>
              <w:u w:val="single"/>
            </w:rPr>
            <w:t xml:space="preserve"> </w:t>
          </w:r>
          <w:r>
            <w:rPr>
              <w:noProof/>
            </w:rPr>
            <w:t xml:space="preserve"> </w:t>
          </w:r>
        </w:p>
        <w:p w14:paraId="0B34CAD6" w14:textId="08CD852E" w:rsidR="00F13D5E" w:rsidRDefault="00F13D5E" w:rsidP="00F13D5E">
          <w:pPr>
            <w:pStyle w:val="Bibliography"/>
            <w:rPr>
              <w:noProof/>
            </w:rPr>
          </w:pPr>
          <w:r>
            <w:rPr>
              <w:noProof/>
            </w:rPr>
            <w:t>(Accessed: 3 December 2024).</w:t>
          </w:r>
        </w:p>
        <w:p w14:paraId="1CA45395" w14:textId="77777777" w:rsidR="004157C3" w:rsidRDefault="00F13D5E" w:rsidP="00F13D5E">
          <w:pPr>
            <w:pStyle w:val="Bibliography"/>
            <w:rPr>
              <w:noProof/>
            </w:rPr>
          </w:pPr>
          <w:r>
            <w:rPr>
              <w:noProof/>
            </w:rPr>
            <w:t xml:space="preserve">Hull City Council (2021) </w:t>
          </w:r>
          <w:r>
            <w:rPr>
              <w:i/>
              <w:iCs/>
              <w:noProof/>
            </w:rPr>
            <w:t>Area Committees</w:t>
          </w:r>
          <w:r>
            <w:rPr>
              <w:noProof/>
            </w:rPr>
            <w:t xml:space="preserve">. Available at: </w:t>
          </w:r>
          <w:r w:rsidR="00E846B0">
            <w:rPr>
              <w:noProof/>
              <w:u w:val="single"/>
            </w:rPr>
            <w:t xml:space="preserve"> </w:t>
          </w:r>
          <w:r>
            <w:rPr>
              <w:rStyle w:val="Hyperlink"/>
              <w:noProof/>
            </w:rPr>
            <w:t>https://www.hull.gov.uk/structure-decision-making/area-committees/5</w:t>
          </w:r>
          <w:r w:rsidR="00E846B0">
            <w:rPr>
              <w:noProof/>
              <w:u w:val="single"/>
            </w:rPr>
            <w:t xml:space="preserve"> </w:t>
          </w:r>
          <w:r>
            <w:rPr>
              <w:noProof/>
            </w:rPr>
            <w:t xml:space="preserve"> </w:t>
          </w:r>
        </w:p>
        <w:p w14:paraId="03563083" w14:textId="2A79C5C1" w:rsidR="00F13D5E" w:rsidRDefault="00F13D5E" w:rsidP="00F13D5E">
          <w:pPr>
            <w:pStyle w:val="Bibliography"/>
            <w:rPr>
              <w:noProof/>
            </w:rPr>
          </w:pPr>
          <w:r>
            <w:rPr>
              <w:noProof/>
            </w:rPr>
            <w:t>(Accessed: 3 December 2024).</w:t>
          </w:r>
        </w:p>
        <w:p w14:paraId="467F35E2" w14:textId="77777777" w:rsidR="004157C3" w:rsidRDefault="00F13D5E" w:rsidP="00F13D5E">
          <w:pPr>
            <w:pStyle w:val="Bibliography"/>
            <w:rPr>
              <w:noProof/>
              <w:u w:val="single"/>
            </w:rPr>
          </w:pPr>
          <w:r>
            <w:rPr>
              <w:noProof/>
            </w:rPr>
            <w:t xml:space="preserve">Hull Collaborative Partnership (2023) </w:t>
          </w:r>
          <w:r>
            <w:rPr>
              <w:i/>
              <w:iCs/>
              <w:noProof/>
            </w:rPr>
            <w:t>Communiity Safety Partnerships</w:t>
          </w:r>
          <w:r>
            <w:rPr>
              <w:noProof/>
            </w:rPr>
            <w:t xml:space="preserve">. Available at: </w:t>
          </w:r>
          <w:r>
            <w:rPr>
              <w:rStyle w:val="Hyperlink"/>
              <w:noProof/>
            </w:rPr>
            <w:t>https://www.hullcollaborativepartnership.org.uk/downloads/file/54/safer-hull-delivery-plan-2023-to-2024</w:t>
          </w:r>
          <w:r w:rsidR="00E846B0">
            <w:rPr>
              <w:noProof/>
              <w:u w:val="single"/>
            </w:rPr>
            <w:t xml:space="preserve"> </w:t>
          </w:r>
        </w:p>
        <w:p w14:paraId="1C8FD0FB" w14:textId="1942EF0E" w:rsidR="00F13D5E" w:rsidRDefault="00F13D5E" w:rsidP="00F13D5E">
          <w:pPr>
            <w:pStyle w:val="Bibliography"/>
            <w:rPr>
              <w:noProof/>
            </w:rPr>
          </w:pPr>
          <w:r>
            <w:rPr>
              <w:noProof/>
            </w:rPr>
            <w:t>(Accessed: 1</w:t>
          </w:r>
          <w:r w:rsidR="004157C3">
            <w:rPr>
              <w:noProof/>
            </w:rPr>
            <w:t>st</w:t>
          </w:r>
          <w:r>
            <w:rPr>
              <w:noProof/>
            </w:rPr>
            <w:t xml:space="preserve"> December 2024).</w:t>
          </w:r>
        </w:p>
        <w:p w14:paraId="6E42058A" w14:textId="77777777" w:rsidR="004157C3" w:rsidRDefault="00F13D5E" w:rsidP="00F13D5E">
          <w:pPr>
            <w:pStyle w:val="Bibliography"/>
            <w:rPr>
              <w:noProof/>
            </w:rPr>
          </w:pPr>
          <w:r>
            <w:rPr>
              <w:noProof/>
            </w:rPr>
            <w:t xml:space="preserve">Humberside Police (2024 ) </w:t>
          </w:r>
          <w:r>
            <w:rPr>
              <w:i/>
              <w:iCs/>
              <w:noProof/>
            </w:rPr>
            <w:t>Independent Advisory Groups</w:t>
          </w:r>
          <w:r>
            <w:rPr>
              <w:noProof/>
            </w:rPr>
            <w:t>. Available at:</w:t>
          </w:r>
          <w:r w:rsidR="00E846B0">
            <w:rPr>
              <w:noProof/>
              <w:u w:val="single"/>
            </w:rPr>
            <w:t xml:space="preserve"> </w:t>
          </w:r>
          <w:r>
            <w:rPr>
              <w:rStyle w:val="Hyperlink"/>
              <w:noProof/>
            </w:rPr>
            <w:t>https://www.humberside.police.uk/police-forces/humberside-police/areas/about-us/about-us/independent-advisory-groups/</w:t>
          </w:r>
          <w:r w:rsidR="00E846B0">
            <w:rPr>
              <w:noProof/>
              <w:u w:val="single"/>
            </w:rPr>
            <w:t xml:space="preserve"> </w:t>
          </w:r>
          <w:r>
            <w:rPr>
              <w:noProof/>
            </w:rPr>
            <w:t xml:space="preserve"> </w:t>
          </w:r>
        </w:p>
        <w:p w14:paraId="5450FA49" w14:textId="7F40E88A" w:rsidR="00F13D5E" w:rsidRDefault="00F13D5E" w:rsidP="00F13D5E">
          <w:pPr>
            <w:pStyle w:val="Bibliography"/>
            <w:rPr>
              <w:noProof/>
            </w:rPr>
          </w:pPr>
          <w:r>
            <w:rPr>
              <w:noProof/>
            </w:rPr>
            <w:t>(Accessed: 4</w:t>
          </w:r>
          <w:r w:rsidR="004157C3">
            <w:rPr>
              <w:noProof/>
            </w:rPr>
            <w:t>th</w:t>
          </w:r>
          <w:r>
            <w:rPr>
              <w:noProof/>
            </w:rPr>
            <w:t xml:space="preserve"> December 2024).</w:t>
          </w:r>
        </w:p>
        <w:p w14:paraId="419E98D6" w14:textId="7CC7DA27" w:rsidR="00F13D5E" w:rsidRDefault="00F13D5E" w:rsidP="00F13D5E">
          <w:pPr>
            <w:pStyle w:val="Bibliography"/>
            <w:rPr>
              <w:noProof/>
            </w:rPr>
          </w:pPr>
          <w:r>
            <w:rPr>
              <w:noProof/>
            </w:rPr>
            <w:t>Humberside Police and Crime Commissioner</w:t>
          </w:r>
          <w:r w:rsidR="00CA6F5E">
            <w:rPr>
              <w:noProof/>
            </w:rPr>
            <w:t xml:space="preserve"> (2004)</w:t>
          </w:r>
          <w:r>
            <w:rPr>
              <w:noProof/>
            </w:rPr>
            <w:t xml:space="preserve"> </w:t>
          </w:r>
          <w:r>
            <w:rPr>
              <w:i/>
              <w:iCs/>
              <w:noProof/>
            </w:rPr>
            <w:t>Police and Crime Plan</w:t>
          </w:r>
          <w:r w:rsidR="00CA6F5E">
            <w:rPr>
              <w:noProof/>
            </w:rPr>
            <w:t>,</w:t>
          </w:r>
          <w:r>
            <w:rPr>
              <w:noProof/>
            </w:rPr>
            <w:t xml:space="preserve"> Jonathan Evison.</w:t>
          </w:r>
          <w:r w:rsidR="00CA6F5E">
            <w:rPr>
              <w:noProof/>
            </w:rPr>
            <w:t xml:space="preserve">  Availabl</w:t>
          </w:r>
          <w:r w:rsidR="005C241E">
            <w:rPr>
              <w:noProof/>
            </w:rPr>
            <w:t>e</w:t>
          </w:r>
          <w:r w:rsidR="00CA6F5E">
            <w:rPr>
              <w:noProof/>
            </w:rPr>
            <w:t xml:space="preserve"> at:  </w:t>
          </w:r>
          <w:hyperlink r:id="rId14" w:history="1">
            <w:r w:rsidR="005C241E" w:rsidRPr="00C15FA9">
              <w:rPr>
                <w:rStyle w:val="Hyperlink"/>
                <w:noProof/>
              </w:rPr>
              <w:t>https://www.humberside-pcc.gov.uk/Our-Work/Police-and-Crime-Plan.aspx</w:t>
            </w:r>
          </w:hyperlink>
        </w:p>
        <w:p w14:paraId="698EDCDB" w14:textId="09678EC5" w:rsidR="005C241E" w:rsidRPr="005C241E" w:rsidRDefault="005C241E" w:rsidP="005C241E">
          <w:pPr>
            <w:pStyle w:val="Bibliography"/>
            <w:rPr>
              <w:noProof/>
            </w:rPr>
          </w:pPr>
          <w:r>
            <w:rPr>
              <w:noProof/>
            </w:rPr>
            <w:t>(Accessed: 2</w:t>
          </w:r>
          <w:r w:rsidRPr="005C241E">
            <w:rPr>
              <w:noProof/>
              <w:vertAlign w:val="superscript"/>
            </w:rPr>
            <w:t>nd</w:t>
          </w:r>
          <w:r>
            <w:rPr>
              <w:noProof/>
            </w:rPr>
            <w:t xml:space="preserve"> December 2024).</w:t>
          </w:r>
        </w:p>
        <w:p w14:paraId="68EB2CF1" w14:textId="65A94E22" w:rsidR="005C241E" w:rsidRDefault="00F13D5E" w:rsidP="00F13D5E">
          <w:pPr>
            <w:pStyle w:val="Bibliography"/>
            <w:rPr>
              <w:noProof/>
            </w:rPr>
          </w:pPr>
          <w:r>
            <w:rPr>
              <w:noProof/>
            </w:rPr>
            <w:t xml:space="preserve">Independent Office for Police Conduct (2023) </w:t>
          </w:r>
          <w:r>
            <w:rPr>
              <w:i/>
              <w:iCs/>
              <w:noProof/>
            </w:rPr>
            <w:t>Independent Office for Police Conduct</w:t>
          </w:r>
          <w:r>
            <w:rPr>
              <w:noProof/>
            </w:rPr>
            <w:t>. Available at:</w:t>
          </w:r>
          <w:r w:rsidR="00E846B0">
            <w:rPr>
              <w:noProof/>
              <w:u w:val="single"/>
            </w:rPr>
            <w:t xml:space="preserve">  </w:t>
          </w:r>
          <w:r>
            <w:rPr>
              <w:rStyle w:val="Hyperlink"/>
              <w:noProof/>
            </w:rPr>
            <w:t>https://www.policeconduct.gov.uk/about-us</w:t>
          </w:r>
          <w:r w:rsidR="00E846B0">
            <w:rPr>
              <w:noProof/>
              <w:u w:val="single"/>
            </w:rPr>
            <w:t xml:space="preserve"> </w:t>
          </w:r>
          <w:r>
            <w:rPr>
              <w:noProof/>
            </w:rPr>
            <w:t xml:space="preserve"> </w:t>
          </w:r>
        </w:p>
        <w:p w14:paraId="7C5A2D2B" w14:textId="7E275475" w:rsidR="00F13D5E" w:rsidRDefault="00F13D5E" w:rsidP="00F13D5E">
          <w:pPr>
            <w:pStyle w:val="Bibliography"/>
            <w:rPr>
              <w:noProof/>
            </w:rPr>
          </w:pPr>
          <w:r>
            <w:rPr>
              <w:noProof/>
            </w:rPr>
            <w:t>(Accessed: 27</w:t>
          </w:r>
          <w:r w:rsidR="005C241E" w:rsidRPr="005C241E">
            <w:rPr>
              <w:noProof/>
              <w:vertAlign w:val="superscript"/>
            </w:rPr>
            <w:t>th</w:t>
          </w:r>
          <w:r w:rsidR="005C241E">
            <w:rPr>
              <w:noProof/>
            </w:rPr>
            <w:t xml:space="preserve"> </w:t>
          </w:r>
          <w:r>
            <w:rPr>
              <w:noProof/>
            </w:rPr>
            <w:t>November 2024).</w:t>
          </w:r>
        </w:p>
        <w:p w14:paraId="20B77070" w14:textId="77777777" w:rsidR="005C241E" w:rsidRDefault="00F13D5E" w:rsidP="00F13D5E">
          <w:pPr>
            <w:pStyle w:val="Bibliography"/>
            <w:rPr>
              <w:noProof/>
            </w:rPr>
          </w:pPr>
          <w:r>
            <w:rPr>
              <w:noProof/>
            </w:rPr>
            <w:t xml:space="preserve">International Centre of Parlimentary Studies (2024) </w:t>
          </w:r>
          <w:r>
            <w:rPr>
              <w:i/>
              <w:iCs/>
              <w:noProof/>
            </w:rPr>
            <w:t>Governance</w:t>
          </w:r>
          <w:r>
            <w:rPr>
              <w:noProof/>
            </w:rPr>
            <w:t xml:space="preserve">. Available at: </w:t>
          </w:r>
          <w:r>
            <w:rPr>
              <w:rStyle w:val="Hyperlink"/>
              <w:noProof/>
            </w:rPr>
            <w:t>https://www.parlicentre.org/about-us/area-expertise/governance</w:t>
          </w:r>
          <w:r w:rsidR="00E846B0">
            <w:rPr>
              <w:noProof/>
              <w:u w:val="single"/>
            </w:rPr>
            <w:t xml:space="preserve"> </w:t>
          </w:r>
          <w:r>
            <w:rPr>
              <w:noProof/>
            </w:rPr>
            <w:t xml:space="preserve"> </w:t>
          </w:r>
        </w:p>
        <w:p w14:paraId="2A83CC40" w14:textId="4CFBC9A4" w:rsidR="00F13D5E" w:rsidRDefault="00F13D5E" w:rsidP="00F13D5E">
          <w:pPr>
            <w:pStyle w:val="Bibliography"/>
            <w:rPr>
              <w:noProof/>
            </w:rPr>
          </w:pPr>
          <w:r>
            <w:rPr>
              <w:noProof/>
            </w:rPr>
            <w:t>(Accessed: 8</w:t>
          </w:r>
          <w:r w:rsidR="005C241E" w:rsidRPr="005C241E">
            <w:rPr>
              <w:noProof/>
              <w:vertAlign w:val="superscript"/>
            </w:rPr>
            <w:t>th</w:t>
          </w:r>
          <w:r>
            <w:rPr>
              <w:noProof/>
            </w:rPr>
            <w:t xml:space="preserve"> December 2024).</w:t>
          </w:r>
        </w:p>
        <w:p w14:paraId="1D3F7005" w14:textId="4621B54B" w:rsidR="00F13D5E" w:rsidRDefault="00F13D5E" w:rsidP="00F13D5E">
          <w:pPr>
            <w:pStyle w:val="Bibliography"/>
            <w:rPr>
              <w:noProof/>
            </w:rPr>
          </w:pPr>
          <w:r>
            <w:rPr>
              <w:noProof/>
            </w:rPr>
            <w:lastRenderedPageBreak/>
            <w:t>Jones</w:t>
          </w:r>
          <w:r w:rsidR="00116CBB">
            <w:rPr>
              <w:noProof/>
            </w:rPr>
            <w:t>,</w:t>
          </w:r>
          <w:r w:rsidR="00CA6AF2">
            <w:rPr>
              <w:noProof/>
            </w:rPr>
            <w:t xml:space="preserve"> T</w:t>
          </w:r>
          <w:r w:rsidR="00116CBB">
            <w:rPr>
              <w:noProof/>
            </w:rPr>
            <w:t>.</w:t>
          </w:r>
          <w:r>
            <w:rPr>
              <w:noProof/>
            </w:rPr>
            <w:t xml:space="preserve"> and Lister</w:t>
          </w:r>
          <w:r w:rsidR="00CA6AF2">
            <w:rPr>
              <w:noProof/>
            </w:rPr>
            <w:t xml:space="preserve"> S</w:t>
          </w:r>
          <w:r w:rsidR="00116CBB">
            <w:rPr>
              <w:noProof/>
            </w:rPr>
            <w:t>.</w:t>
          </w:r>
          <w:r>
            <w:rPr>
              <w:noProof/>
            </w:rPr>
            <w:t xml:space="preserve"> (2019) 'Localism and poli</w:t>
          </w:r>
          <w:r w:rsidR="00116CBB">
            <w:rPr>
              <w:noProof/>
            </w:rPr>
            <w:t>c</w:t>
          </w:r>
          <w:r>
            <w:rPr>
              <w:noProof/>
            </w:rPr>
            <w:t xml:space="preserve">e governance in England and Wales: Exploring change ', </w:t>
          </w:r>
          <w:r>
            <w:rPr>
              <w:i/>
              <w:iCs/>
              <w:noProof/>
            </w:rPr>
            <w:t>European Journal of Criminology</w:t>
          </w:r>
          <w:r>
            <w:rPr>
              <w:noProof/>
            </w:rPr>
            <w:t>, 16(5), pp.</w:t>
          </w:r>
          <w:r w:rsidR="00CA6AF2">
            <w:rPr>
              <w:noProof/>
            </w:rPr>
            <w:t xml:space="preserve"> </w:t>
          </w:r>
          <w:r>
            <w:rPr>
              <w:noProof/>
            </w:rPr>
            <w:t>552 - 572.</w:t>
          </w:r>
        </w:p>
        <w:p w14:paraId="25B92F35" w14:textId="690B670F" w:rsidR="00F13D5E" w:rsidRDefault="00F13D5E" w:rsidP="00F13D5E">
          <w:pPr>
            <w:pStyle w:val="Bibliography"/>
            <w:rPr>
              <w:noProof/>
            </w:rPr>
          </w:pPr>
          <w:r>
            <w:rPr>
              <w:noProof/>
            </w:rPr>
            <w:t>Joyce, P. (2011) 'Poli</w:t>
          </w:r>
          <w:r w:rsidR="00CA6AF2">
            <w:rPr>
              <w:noProof/>
            </w:rPr>
            <w:t>c</w:t>
          </w:r>
          <w:r>
            <w:rPr>
              <w:noProof/>
            </w:rPr>
            <w:t xml:space="preserve">e reform: from the police authorities to police and crime commissioners ', </w:t>
          </w:r>
          <w:r>
            <w:rPr>
              <w:i/>
              <w:iCs/>
              <w:noProof/>
            </w:rPr>
            <w:t xml:space="preserve">Safer communities </w:t>
          </w:r>
          <w:r>
            <w:rPr>
              <w:noProof/>
            </w:rPr>
            <w:t>, 10(4), pp.</w:t>
          </w:r>
          <w:r w:rsidR="00CA6AF2">
            <w:rPr>
              <w:noProof/>
            </w:rPr>
            <w:t xml:space="preserve"> </w:t>
          </w:r>
          <w:r>
            <w:rPr>
              <w:noProof/>
            </w:rPr>
            <w:t>5-13.</w:t>
          </w:r>
        </w:p>
        <w:p w14:paraId="4C54D15B" w14:textId="03C89BE0" w:rsidR="00F13D5E" w:rsidRDefault="00F13D5E" w:rsidP="00F13D5E">
          <w:pPr>
            <w:pStyle w:val="Bibliography"/>
            <w:rPr>
              <w:noProof/>
            </w:rPr>
          </w:pPr>
          <w:r>
            <w:rPr>
              <w:noProof/>
            </w:rPr>
            <w:t xml:space="preserve">Kjaer, A. (2004) </w:t>
          </w:r>
          <w:r>
            <w:rPr>
              <w:i/>
              <w:iCs/>
              <w:noProof/>
            </w:rPr>
            <w:t>Governance</w:t>
          </w:r>
          <w:r>
            <w:rPr>
              <w:noProof/>
            </w:rPr>
            <w:t>. Cambridge: Polity Press.</w:t>
          </w:r>
        </w:p>
        <w:p w14:paraId="18C0EFA7" w14:textId="6C7490AC" w:rsidR="00713FFE" w:rsidRDefault="00F13D5E" w:rsidP="00F13D5E">
          <w:pPr>
            <w:pStyle w:val="Bibliography"/>
            <w:rPr>
              <w:noProof/>
            </w:rPr>
          </w:pPr>
          <w:r>
            <w:rPr>
              <w:noProof/>
            </w:rPr>
            <w:t>Loveday</w:t>
          </w:r>
          <w:r w:rsidR="00116CBB">
            <w:rPr>
              <w:noProof/>
            </w:rPr>
            <w:t>,</w:t>
          </w:r>
          <w:r w:rsidR="009C1047">
            <w:rPr>
              <w:noProof/>
            </w:rPr>
            <w:t xml:space="preserve"> B</w:t>
          </w:r>
          <w:r w:rsidR="00116CBB">
            <w:rPr>
              <w:noProof/>
            </w:rPr>
            <w:t>.</w:t>
          </w:r>
          <w:r>
            <w:rPr>
              <w:noProof/>
            </w:rPr>
            <w:t xml:space="preserve"> and Reid</w:t>
          </w:r>
          <w:r w:rsidR="00116CBB">
            <w:rPr>
              <w:noProof/>
            </w:rPr>
            <w:t>,</w:t>
          </w:r>
          <w:r>
            <w:rPr>
              <w:noProof/>
            </w:rPr>
            <w:t xml:space="preserve"> </w:t>
          </w:r>
          <w:r w:rsidR="009C1047">
            <w:rPr>
              <w:noProof/>
            </w:rPr>
            <w:t>A</w:t>
          </w:r>
          <w:r w:rsidR="00116CBB">
            <w:rPr>
              <w:noProof/>
            </w:rPr>
            <w:t>.</w:t>
          </w:r>
          <w:r>
            <w:rPr>
              <w:noProof/>
            </w:rPr>
            <w:t xml:space="preserve"> (2003) </w:t>
          </w:r>
          <w:r>
            <w:rPr>
              <w:i/>
              <w:iCs/>
              <w:noProof/>
            </w:rPr>
            <w:t>Going local: who shold run Britains Police?</w:t>
          </w:r>
          <w:r>
            <w:rPr>
              <w:noProof/>
            </w:rPr>
            <w:t xml:space="preserve"> London: The Policy Exchange.</w:t>
          </w:r>
          <w:r w:rsidR="009C1047">
            <w:rPr>
              <w:noProof/>
            </w:rPr>
            <w:t xml:space="preserve">  Available at:</w:t>
          </w:r>
          <w:r w:rsidR="009C1047" w:rsidRPr="009C1047">
            <w:t xml:space="preserve"> </w:t>
          </w:r>
          <w:hyperlink r:id="rId15" w:anchor=":~:text=This%20is%20Policy%20Exchange's%20very,central%20control%20over%20Britain's%20police" w:history="1">
            <w:r w:rsidR="009C1047" w:rsidRPr="00C15FA9">
              <w:rPr>
                <w:rStyle w:val="Hyperlink"/>
                <w:noProof/>
              </w:rPr>
              <w:t>https://policyexchange.org.uk/publication/going-local-who-should-run-britainspolice/#:~:text=This%20is%20Policy%20Exchange's%20very,central%20control%20over%20Britain's%20police</w:t>
            </w:r>
          </w:hyperlink>
          <w:r w:rsidR="009C1047">
            <w:rPr>
              <w:noProof/>
            </w:rPr>
            <w:t xml:space="preserve">  </w:t>
          </w:r>
        </w:p>
        <w:p w14:paraId="6CF06660" w14:textId="31E42735" w:rsidR="00F13D5E" w:rsidRDefault="009C1047" w:rsidP="00F13D5E">
          <w:pPr>
            <w:pStyle w:val="Bibliography"/>
            <w:rPr>
              <w:noProof/>
            </w:rPr>
          </w:pPr>
          <w:r>
            <w:rPr>
              <w:noProof/>
            </w:rPr>
            <w:t>(Accessed: 12</w:t>
          </w:r>
          <w:r w:rsidRPr="009C1047">
            <w:rPr>
              <w:noProof/>
              <w:vertAlign w:val="superscript"/>
            </w:rPr>
            <w:t>th</w:t>
          </w:r>
          <w:r>
            <w:rPr>
              <w:noProof/>
            </w:rPr>
            <w:t xml:space="preserve"> December 2024).</w:t>
          </w:r>
        </w:p>
        <w:p w14:paraId="040C0C85" w14:textId="507687FF" w:rsidR="009C1047" w:rsidRDefault="00F13D5E" w:rsidP="00F13D5E">
          <w:pPr>
            <w:pStyle w:val="Bibliography"/>
          </w:pPr>
          <w:r>
            <w:rPr>
              <w:noProof/>
            </w:rPr>
            <w:t>Maer</w:t>
          </w:r>
          <w:r w:rsidR="00116CBB">
            <w:rPr>
              <w:noProof/>
            </w:rPr>
            <w:t>,</w:t>
          </w:r>
          <w:r>
            <w:rPr>
              <w:noProof/>
            </w:rPr>
            <w:t xml:space="preserve"> </w:t>
          </w:r>
          <w:r w:rsidR="009C1047">
            <w:rPr>
              <w:noProof/>
            </w:rPr>
            <w:t>L</w:t>
          </w:r>
          <w:r w:rsidR="00116CBB">
            <w:rPr>
              <w:noProof/>
            </w:rPr>
            <w:t>.</w:t>
          </w:r>
          <w:r>
            <w:rPr>
              <w:noProof/>
            </w:rPr>
            <w:t xml:space="preserve"> and Kelly</w:t>
          </w:r>
          <w:r w:rsidR="00116CBB">
            <w:rPr>
              <w:noProof/>
            </w:rPr>
            <w:t>,</w:t>
          </w:r>
          <w:r>
            <w:rPr>
              <w:noProof/>
            </w:rPr>
            <w:t xml:space="preserve"> </w:t>
          </w:r>
          <w:r w:rsidR="009C1047">
            <w:rPr>
              <w:noProof/>
            </w:rPr>
            <w:t>R</w:t>
          </w:r>
          <w:r w:rsidR="00116CBB">
            <w:rPr>
              <w:noProof/>
            </w:rPr>
            <w:t>.</w:t>
          </w:r>
          <w:r>
            <w:rPr>
              <w:noProof/>
            </w:rPr>
            <w:t xml:space="preserve"> (2017) </w:t>
          </w:r>
          <w:r>
            <w:rPr>
              <w:i/>
              <w:iCs/>
              <w:noProof/>
            </w:rPr>
            <w:t>Hung Parliments</w:t>
          </w:r>
          <w:r>
            <w:rPr>
              <w:noProof/>
            </w:rPr>
            <w:t>. London: House of Commons House of Commons.</w:t>
          </w:r>
          <w:r w:rsidR="009C1047" w:rsidRPr="009C1047">
            <w:rPr>
              <w:noProof/>
            </w:rPr>
            <w:t xml:space="preserve"> </w:t>
          </w:r>
          <w:r w:rsidR="009C1047">
            <w:rPr>
              <w:noProof/>
            </w:rPr>
            <w:t>Available at:</w:t>
          </w:r>
          <w:r w:rsidR="009C1047" w:rsidRPr="009C1047">
            <w:t xml:space="preserve"> https://commonslibrary.parliament.uk/research-briefings/sn04951/ </w:t>
          </w:r>
        </w:p>
        <w:p w14:paraId="5D94544E" w14:textId="1CED09F7" w:rsidR="00F13D5E" w:rsidRDefault="009C1047" w:rsidP="00F13D5E">
          <w:pPr>
            <w:pStyle w:val="Bibliography"/>
            <w:rPr>
              <w:noProof/>
            </w:rPr>
          </w:pPr>
          <w:r>
            <w:rPr>
              <w:noProof/>
            </w:rPr>
            <w:t>(Accessed: 12</w:t>
          </w:r>
          <w:r w:rsidRPr="009C1047">
            <w:rPr>
              <w:noProof/>
              <w:vertAlign w:val="superscript"/>
            </w:rPr>
            <w:t>th</w:t>
          </w:r>
          <w:r>
            <w:rPr>
              <w:noProof/>
            </w:rPr>
            <w:t xml:space="preserve"> December 2024).</w:t>
          </w:r>
        </w:p>
        <w:p w14:paraId="413D02E6" w14:textId="77777777" w:rsidR="009C1047" w:rsidRDefault="00F13D5E" w:rsidP="00F13D5E">
          <w:pPr>
            <w:pStyle w:val="Bibliography"/>
            <w:rPr>
              <w:noProof/>
            </w:rPr>
          </w:pPr>
          <w:r>
            <w:rPr>
              <w:noProof/>
            </w:rPr>
            <w:t xml:space="preserve">Metropolitan Police (2024) </w:t>
          </w:r>
          <w:r>
            <w:rPr>
              <w:i/>
              <w:iCs/>
              <w:noProof/>
            </w:rPr>
            <w:t>Governance</w:t>
          </w:r>
          <w:r>
            <w:rPr>
              <w:noProof/>
            </w:rPr>
            <w:t xml:space="preserve">. Available at: </w:t>
          </w:r>
          <w:r>
            <w:rPr>
              <w:rStyle w:val="Hyperlink"/>
              <w:noProof/>
            </w:rPr>
            <w:t>https://www.met.police.uk/police-forces/metropolitan-police/areas/about-us/about-the-met/governance/</w:t>
          </w:r>
          <w:r w:rsidR="00E846B0">
            <w:rPr>
              <w:noProof/>
              <w:u w:val="single"/>
            </w:rPr>
            <w:t xml:space="preserve"> </w:t>
          </w:r>
          <w:r>
            <w:rPr>
              <w:noProof/>
            </w:rPr>
            <w:t xml:space="preserve"> </w:t>
          </w:r>
        </w:p>
        <w:p w14:paraId="1E730FAD" w14:textId="4CA403B3" w:rsidR="00F13D5E" w:rsidRDefault="00F13D5E" w:rsidP="00F13D5E">
          <w:pPr>
            <w:pStyle w:val="Bibliography"/>
            <w:rPr>
              <w:noProof/>
            </w:rPr>
          </w:pPr>
          <w:r>
            <w:rPr>
              <w:noProof/>
            </w:rPr>
            <w:t xml:space="preserve">(Accessed: </w:t>
          </w:r>
          <w:r w:rsidR="009C1047">
            <w:rPr>
              <w:noProof/>
            </w:rPr>
            <w:t>8</w:t>
          </w:r>
          <w:r w:rsidR="009C1047" w:rsidRPr="009C1047">
            <w:rPr>
              <w:noProof/>
              <w:vertAlign w:val="superscript"/>
            </w:rPr>
            <w:t>th</w:t>
          </w:r>
          <w:r w:rsidR="009C1047">
            <w:rPr>
              <w:noProof/>
            </w:rPr>
            <w:t xml:space="preserve"> </w:t>
          </w:r>
          <w:r>
            <w:rPr>
              <w:noProof/>
            </w:rPr>
            <w:t>December 2024).</w:t>
          </w:r>
        </w:p>
        <w:p w14:paraId="17E8E4EA" w14:textId="77777777" w:rsidR="00AC4748" w:rsidRDefault="00F13D5E" w:rsidP="00F13D5E">
          <w:pPr>
            <w:pStyle w:val="Bibliography"/>
            <w:rPr>
              <w:noProof/>
            </w:rPr>
          </w:pPr>
          <w:r>
            <w:rPr>
              <w:noProof/>
            </w:rPr>
            <w:t xml:space="preserve">National Audit Office (2024) </w:t>
          </w:r>
          <w:r>
            <w:rPr>
              <w:i/>
              <w:iCs/>
              <w:noProof/>
            </w:rPr>
            <w:t>Decision support tool</w:t>
          </w:r>
          <w:r>
            <w:rPr>
              <w:noProof/>
            </w:rPr>
            <w:t xml:space="preserve">. Available at: </w:t>
          </w:r>
          <w:r w:rsidR="00E846B0">
            <w:rPr>
              <w:noProof/>
              <w:u w:val="single"/>
            </w:rPr>
            <w:t xml:space="preserve"> </w:t>
          </w:r>
          <w:r>
            <w:rPr>
              <w:rStyle w:val="Hyperlink"/>
              <w:noProof/>
            </w:rPr>
            <w:t>https://www.nao.org.uk/decision-support-toolkit/introduction/general-principles/</w:t>
          </w:r>
          <w:r w:rsidR="00E846B0">
            <w:rPr>
              <w:noProof/>
              <w:u w:val="single"/>
            </w:rPr>
            <w:t xml:space="preserve"> </w:t>
          </w:r>
          <w:r>
            <w:rPr>
              <w:noProof/>
            </w:rPr>
            <w:t xml:space="preserve"> </w:t>
          </w:r>
        </w:p>
        <w:p w14:paraId="3F2D236F" w14:textId="27D7C511" w:rsidR="00F13D5E" w:rsidRDefault="00F13D5E" w:rsidP="00F13D5E">
          <w:pPr>
            <w:pStyle w:val="Bibliography"/>
            <w:rPr>
              <w:noProof/>
            </w:rPr>
          </w:pPr>
          <w:r>
            <w:rPr>
              <w:noProof/>
            </w:rPr>
            <w:t>(Accessed: 8</w:t>
          </w:r>
          <w:r w:rsidR="00AC4748" w:rsidRPr="00AC4748">
            <w:rPr>
              <w:noProof/>
              <w:vertAlign w:val="superscript"/>
            </w:rPr>
            <w:t>th</w:t>
          </w:r>
          <w:r w:rsidR="00AC4748">
            <w:rPr>
              <w:noProof/>
            </w:rPr>
            <w:t xml:space="preserve"> </w:t>
          </w:r>
          <w:r>
            <w:rPr>
              <w:noProof/>
            </w:rPr>
            <w:t>December 2024).</w:t>
          </w:r>
        </w:p>
        <w:p w14:paraId="6C59D8A1" w14:textId="77777777" w:rsidR="00713FFE" w:rsidRDefault="00F13D5E" w:rsidP="00F13D5E">
          <w:pPr>
            <w:pStyle w:val="Bibliography"/>
            <w:rPr>
              <w:noProof/>
            </w:rPr>
          </w:pPr>
          <w:r>
            <w:rPr>
              <w:noProof/>
            </w:rPr>
            <w:t xml:space="preserve">National Police Chiefs Council (2024) </w:t>
          </w:r>
          <w:r>
            <w:rPr>
              <w:i/>
              <w:iCs/>
              <w:noProof/>
            </w:rPr>
            <w:t>Policing Vision 2030</w:t>
          </w:r>
          <w:r>
            <w:rPr>
              <w:noProof/>
            </w:rPr>
            <w:t xml:space="preserve">. National Police Chiefs Council Available at: </w:t>
          </w:r>
          <w:r w:rsidR="00E846B0">
            <w:rPr>
              <w:noProof/>
              <w:u w:val="single"/>
            </w:rPr>
            <w:t xml:space="preserve"> </w:t>
          </w:r>
          <w:r>
            <w:rPr>
              <w:rStyle w:val="Hyperlink"/>
              <w:noProof/>
            </w:rPr>
            <w:t>https://www.npcc.police.uk/SysSiteAssets/media/downloads/publications/policing-vision/policing-vision-2030.pdf</w:t>
          </w:r>
          <w:r w:rsidR="00E846B0">
            <w:rPr>
              <w:noProof/>
              <w:u w:val="single"/>
            </w:rPr>
            <w:t xml:space="preserve"> </w:t>
          </w:r>
          <w:r>
            <w:rPr>
              <w:noProof/>
            </w:rPr>
            <w:t xml:space="preserve"> </w:t>
          </w:r>
        </w:p>
        <w:p w14:paraId="41B52D05" w14:textId="08B817E2" w:rsidR="00F13D5E" w:rsidRDefault="00F13D5E" w:rsidP="00F13D5E">
          <w:pPr>
            <w:pStyle w:val="Bibliography"/>
            <w:rPr>
              <w:noProof/>
            </w:rPr>
          </w:pPr>
          <w:r>
            <w:rPr>
              <w:noProof/>
            </w:rPr>
            <w:t>(Accessed: 1</w:t>
          </w:r>
          <w:r w:rsidR="00713FFE" w:rsidRPr="00713FFE">
            <w:rPr>
              <w:noProof/>
              <w:vertAlign w:val="superscript"/>
            </w:rPr>
            <w:t>st</w:t>
          </w:r>
          <w:r>
            <w:rPr>
              <w:noProof/>
            </w:rPr>
            <w:t xml:space="preserve"> December 2024).</w:t>
          </w:r>
        </w:p>
        <w:p w14:paraId="5E8CEE88" w14:textId="6E4C16FA" w:rsidR="00F13D5E" w:rsidRDefault="00F13D5E" w:rsidP="00F13D5E">
          <w:pPr>
            <w:pStyle w:val="Bibliography"/>
            <w:rPr>
              <w:noProof/>
            </w:rPr>
          </w:pPr>
          <w:r>
            <w:rPr>
              <w:noProof/>
            </w:rPr>
            <w:t xml:space="preserve">Newburn, (2012) </w:t>
          </w:r>
          <w:r w:rsidR="00713FFE">
            <w:rPr>
              <w:noProof/>
            </w:rPr>
            <w:t>‘</w:t>
          </w:r>
          <w:r>
            <w:rPr>
              <w:noProof/>
            </w:rPr>
            <w:t>Police and Crime Commissioners: The Americanization of Policing or a Very British Reform?</w:t>
          </w:r>
          <w:r w:rsidR="00713FFE">
            <w:rPr>
              <w:noProof/>
            </w:rPr>
            <w:t>’</w:t>
          </w:r>
          <w:r>
            <w:rPr>
              <w:noProof/>
            </w:rPr>
            <w:t xml:space="preserve">, </w:t>
          </w:r>
          <w:r>
            <w:rPr>
              <w:i/>
              <w:iCs/>
              <w:noProof/>
            </w:rPr>
            <w:t xml:space="preserve">International Journal of Law Crime and Justice </w:t>
          </w:r>
          <w:r>
            <w:rPr>
              <w:noProof/>
            </w:rPr>
            <w:t>(40), pp.</w:t>
          </w:r>
          <w:r w:rsidR="00116CBB">
            <w:rPr>
              <w:noProof/>
            </w:rPr>
            <w:t xml:space="preserve"> </w:t>
          </w:r>
          <w:r>
            <w:rPr>
              <w:noProof/>
            </w:rPr>
            <w:t>31–46.</w:t>
          </w:r>
        </w:p>
        <w:p w14:paraId="12EEEA42" w14:textId="6B571A58" w:rsidR="00713FFE" w:rsidRDefault="00F13D5E" w:rsidP="00F13D5E">
          <w:pPr>
            <w:pStyle w:val="Bibliography"/>
            <w:rPr>
              <w:noProof/>
            </w:rPr>
          </w:pPr>
          <w:r>
            <w:rPr>
              <w:noProof/>
            </w:rPr>
            <w:t xml:space="preserve">Newson, N. (2023) </w:t>
          </w:r>
          <w:r>
            <w:rPr>
              <w:i/>
              <w:iCs/>
              <w:noProof/>
            </w:rPr>
            <w:t>Police and crime panels: Structure, purpose and powers</w:t>
          </w:r>
          <w:r>
            <w:rPr>
              <w:noProof/>
            </w:rPr>
            <w:t xml:space="preserve">. </w:t>
          </w:r>
          <w:r w:rsidR="00A92D5B">
            <w:rPr>
              <w:noProof/>
            </w:rPr>
            <w:t xml:space="preserve">London. House of Lords.  </w:t>
          </w:r>
          <w:r>
            <w:rPr>
              <w:noProof/>
            </w:rPr>
            <w:t xml:space="preserve">Available at: </w:t>
          </w:r>
          <w:r>
            <w:rPr>
              <w:rStyle w:val="Hyperlink"/>
              <w:noProof/>
            </w:rPr>
            <w:t>https://lordslibrary.parliament.uk/police-and-crime-panels-structure-purpose-and-powers/#:~:text=Police%20and%20crime%20panels%20are%20the%20bodies%20that%20scrutinise%20police,police%20force%20for%20their%20area%E2%80%9D.</w:t>
          </w:r>
          <w:r w:rsidR="00E846B0">
            <w:rPr>
              <w:noProof/>
              <w:u w:val="single"/>
            </w:rPr>
            <w:t xml:space="preserve"> </w:t>
          </w:r>
          <w:r>
            <w:rPr>
              <w:noProof/>
            </w:rPr>
            <w:t xml:space="preserve"> </w:t>
          </w:r>
        </w:p>
        <w:p w14:paraId="5FA7CFD0" w14:textId="7CECABA1" w:rsidR="00F13D5E" w:rsidRDefault="00F13D5E" w:rsidP="00F13D5E">
          <w:pPr>
            <w:pStyle w:val="Bibliography"/>
            <w:rPr>
              <w:noProof/>
            </w:rPr>
          </w:pPr>
          <w:r>
            <w:rPr>
              <w:noProof/>
            </w:rPr>
            <w:t>(Accessed: 27</w:t>
          </w:r>
          <w:r w:rsidR="00713FFE" w:rsidRPr="00713FFE">
            <w:rPr>
              <w:noProof/>
              <w:vertAlign w:val="superscript"/>
            </w:rPr>
            <w:t>th</w:t>
          </w:r>
          <w:r>
            <w:rPr>
              <w:noProof/>
            </w:rPr>
            <w:t xml:space="preserve"> November 2024).</w:t>
          </w:r>
        </w:p>
        <w:p w14:paraId="56CB2A86" w14:textId="29646060" w:rsidR="00A92D5B" w:rsidRDefault="00F13D5E" w:rsidP="00F13D5E">
          <w:pPr>
            <w:pStyle w:val="Bibliography"/>
            <w:rPr>
              <w:noProof/>
            </w:rPr>
          </w:pPr>
          <w:r>
            <w:rPr>
              <w:noProof/>
            </w:rPr>
            <w:t xml:space="preserve">Raine, J. and Keasey, P. (2012) 'From Police Authorities to Police and Crime Commissioners', </w:t>
          </w:r>
          <w:r>
            <w:rPr>
              <w:i/>
              <w:iCs/>
              <w:noProof/>
            </w:rPr>
            <w:t>International Journal of Emergency Services</w:t>
          </w:r>
          <w:r>
            <w:rPr>
              <w:noProof/>
            </w:rPr>
            <w:t>, 1(2), pp.</w:t>
          </w:r>
          <w:r w:rsidR="00A92D5B">
            <w:rPr>
              <w:noProof/>
            </w:rPr>
            <w:t xml:space="preserve"> </w:t>
          </w:r>
          <w:r>
            <w:rPr>
              <w:noProof/>
            </w:rPr>
            <w:t xml:space="preserve">122-34. Available at: </w:t>
          </w:r>
          <w:r>
            <w:rPr>
              <w:rStyle w:val="Hyperlink"/>
              <w:noProof/>
            </w:rPr>
            <w:t>https://www.emerald.com/insight/content/doi/10.1108/20470891211275911/full/html</w:t>
          </w:r>
          <w:r w:rsidR="00E846B0">
            <w:rPr>
              <w:noProof/>
              <w:u w:val="single"/>
            </w:rPr>
            <w:t xml:space="preserve"> </w:t>
          </w:r>
          <w:r>
            <w:rPr>
              <w:noProof/>
            </w:rPr>
            <w:t xml:space="preserve"> </w:t>
          </w:r>
        </w:p>
        <w:p w14:paraId="7793FDBA" w14:textId="21E4DBE1" w:rsidR="00F13D5E" w:rsidRDefault="00F13D5E" w:rsidP="00F13D5E">
          <w:pPr>
            <w:pStyle w:val="Bibliography"/>
            <w:rPr>
              <w:noProof/>
            </w:rPr>
          </w:pPr>
          <w:r>
            <w:rPr>
              <w:noProof/>
            </w:rPr>
            <w:t>(Accessed: 8</w:t>
          </w:r>
          <w:r w:rsidR="00A92D5B" w:rsidRPr="00A92D5B">
            <w:rPr>
              <w:noProof/>
              <w:vertAlign w:val="superscript"/>
            </w:rPr>
            <w:t>th</w:t>
          </w:r>
          <w:r>
            <w:rPr>
              <w:noProof/>
            </w:rPr>
            <w:t xml:space="preserve"> December 2024).</w:t>
          </w:r>
        </w:p>
        <w:p w14:paraId="0379BC90" w14:textId="6D46B8BE" w:rsidR="00F13D5E" w:rsidRDefault="00F13D5E" w:rsidP="00F13D5E">
          <w:pPr>
            <w:pStyle w:val="Bibliography"/>
            <w:rPr>
              <w:noProof/>
            </w:rPr>
          </w:pPr>
          <w:r>
            <w:rPr>
              <w:noProof/>
            </w:rPr>
            <w:t xml:space="preserve">Reiner, R. (2013) 'Who Governs? Democracy, Plutocracy, Science and Prophecy in Policing', </w:t>
          </w:r>
          <w:r>
            <w:rPr>
              <w:i/>
              <w:iCs/>
              <w:noProof/>
            </w:rPr>
            <w:t xml:space="preserve">Criminology and Criminal Justice </w:t>
          </w:r>
          <w:r>
            <w:rPr>
              <w:noProof/>
            </w:rPr>
            <w:t>, 13(2), pp.</w:t>
          </w:r>
          <w:r w:rsidR="00A92D5B">
            <w:rPr>
              <w:noProof/>
            </w:rPr>
            <w:t xml:space="preserve"> </w:t>
          </w:r>
          <w:r>
            <w:rPr>
              <w:noProof/>
            </w:rPr>
            <w:t>161-80.</w:t>
          </w:r>
        </w:p>
        <w:p w14:paraId="488AA268" w14:textId="0AD208A3" w:rsidR="00A92D5B" w:rsidRDefault="00F13D5E" w:rsidP="00F13D5E">
          <w:pPr>
            <w:pStyle w:val="Bibliography"/>
            <w:rPr>
              <w:noProof/>
            </w:rPr>
          </w:pPr>
          <w:r>
            <w:rPr>
              <w:noProof/>
            </w:rPr>
            <w:lastRenderedPageBreak/>
            <w:t xml:space="preserve">Rhead, R. and Park, A. (2013) </w:t>
          </w:r>
          <w:r>
            <w:rPr>
              <w:i/>
              <w:iCs/>
              <w:noProof/>
            </w:rPr>
            <w:t>Changing attitudes towards sex, marriage and parenthood</w:t>
          </w:r>
          <w:r>
            <w:rPr>
              <w:noProof/>
            </w:rPr>
            <w:t>. British Social Attitudes, the 30 report. Available at:</w:t>
          </w:r>
          <w:r w:rsidR="00A92D5B">
            <w:rPr>
              <w:noProof/>
            </w:rPr>
            <w:t xml:space="preserve"> </w:t>
          </w:r>
          <w:r>
            <w:rPr>
              <w:rStyle w:val="Hyperlink"/>
              <w:noProof/>
            </w:rPr>
            <w:t>https://kclpure.kcl.ac.uk/portal/en/publications/personal-relationships-changing-attitudes-towards-sex-marriage-an</w:t>
          </w:r>
          <w:r w:rsidR="00E846B0">
            <w:rPr>
              <w:noProof/>
              <w:u w:val="single"/>
            </w:rPr>
            <w:t xml:space="preserve"> </w:t>
          </w:r>
          <w:r>
            <w:rPr>
              <w:noProof/>
            </w:rPr>
            <w:t xml:space="preserve"> </w:t>
          </w:r>
        </w:p>
        <w:p w14:paraId="70439AAE" w14:textId="36A20CD0" w:rsidR="00F13D5E" w:rsidRDefault="00F13D5E" w:rsidP="00F13D5E">
          <w:pPr>
            <w:pStyle w:val="Bibliography"/>
            <w:rPr>
              <w:noProof/>
            </w:rPr>
          </w:pPr>
          <w:r>
            <w:rPr>
              <w:noProof/>
            </w:rPr>
            <w:t>(Accessed: 11</w:t>
          </w:r>
          <w:r w:rsidR="00A92D5B" w:rsidRPr="00A92D5B">
            <w:rPr>
              <w:noProof/>
              <w:vertAlign w:val="superscript"/>
            </w:rPr>
            <w:t>th</w:t>
          </w:r>
          <w:r>
            <w:rPr>
              <w:noProof/>
            </w:rPr>
            <w:t xml:space="preserve"> December 2024)</w:t>
          </w:r>
          <w:r w:rsidR="00116CBB">
            <w:rPr>
              <w:noProof/>
            </w:rPr>
            <w:t>.</w:t>
          </w:r>
        </w:p>
        <w:p w14:paraId="3603C691" w14:textId="1C4BD7F3" w:rsidR="00F13D5E" w:rsidRDefault="00F13D5E" w:rsidP="00F13D5E">
          <w:pPr>
            <w:pStyle w:val="Bibliography"/>
            <w:rPr>
              <w:noProof/>
            </w:rPr>
          </w:pPr>
          <w:r>
            <w:rPr>
              <w:noProof/>
            </w:rPr>
            <w:t xml:space="preserve">Rowe, M. (2020) </w:t>
          </w:r>
          <w:r>
            <w:rPr>
              <w:i/>
              <w:iCs/>
              <w:noProof/>
            </w:rPr>
            <w:t>Policing the police: chall</w:t>
          </w:r>
          <w:r w:rsidR="00116CBB">
            <w:rPr>
              <w:i/>
              <w:iCs/>
              <w:noProof/>
            </w:rPr>
            <w:t>en</w:t>
          </w:r>
          <w:r>
            <w:rPr>
              <w:i/>
              <w:iCs/>
              <w:noProof/>
            </w:rPr>
            <w:t>g</w:t>
          </w:r>
          <w:r w:rsidR="00116CBB">
            <w:rPr>
              <w:i/>
              <w:iCs/>
              <w:noProof/>
            </w:rPr>
            <w:t>e</w:t>
          </w:r>
          <w:r>
            <w:rPr>
              <w:i/>
              <w:iCs/>
              <w:noProof/>
            </w:rPr>
            <w:t>s of democracy and accountability</w:t>
          </w:r>
          <w:r>
            <w:rPr>
              <w:noProof/>
            </w:rPr>
            <w:t>. 7th edn. Bristol: The Policy Press.</w:t>
          </w:r>
        </w:p>
        <w:p w14:paraId="245CFE9D" w14:textId="678E47D8" w:rsidR="00A92D5B" w:rsidRDefault="00F13D5E" w:rsidP="00F13D5E">
          <w:pPr>
            <w:pStyle w:val="Bibliography"/>
            <w:rPr>
              <w:noProof/>
            </w:rPr>
          </w:pPr>
          <w:r>
            <w:rPr>
              <w:noProof/>
            </w:rPr>
            <w:t>Shine, J. and Lander,</w:t>
          </w:r>
          <w:r w:rsidR="00FD37C6">
            <w:rPr>
              <w:noProof/>
            </w:rPr>
            <w:t xml:space="preserve"> P.</w:t>
          </w:r>
          <w:r>
            <w:rPr>
              <w:noProof/>
            </w:rPr>
            <w:t xml:space="preserve"> (2017) </w:t>
          </w:r>
          <w:r w:rsidR="00A92D5B">
            <w:rPr>
              <w:noProof/>
            </w:rPr>
            <w:t>‘</w:t>
          </w:r>
          <w:r w:rsidRPr="00A92D5B">
            <w:rPr>
              <w:noProof/>
            </w:rPr>
            <w:t>PCC's decision to force chief constable to r</w:t>
          </w:r>
          <w:r w:rsidR="00B911EC">
            <w:rPr>
              <w:noProof/>
            </w:rPr>
            <w:t>e</w:t>
          </w:r>
          <w:r w:rsidRPr="00A92D5B">
            <w:rPr>
              <w:noProof/>
            </w:rPr>
            <w:t>sign was irrational, perverse and wholly disproportionate</w:t>
          </w:r>
          <w:r w:rsidR="00A92D5B">
            <w:rPr>
              <w:noProof/>
            </w:rPr>
            <w:t>’</w:t>
          </w:r>
          <w:r w:rsidRPr="00A92D5B">
            <w:rPr>
              <w:noProof/>
            </w:rPr>
            <w:t>.</w:t>
          </w:r>
          <w:r>
            <w:rPr>
              <w:noProof/>
            </w:rPr>
            <w:t xml:space="preserve"> </w:t>
          </w:r>
          <w:r w:rsidR="00A92D5B">
            <w:rPr>
              <w:noProof/>
            </w:rPr>
            <w:t xml:space="preserve">Police Professional.com. </w:t>
          </w:r>
          <w:r w:rsidR="00116CBB">
            <w:rPr>
              <w:noProof/>
            </w:rPr>
            <w:t xml:space="preserve"> </w:t>
          </w:r>
          <w:r>
            <w:rPr>
              <w:noProof/>
            </w:rPr>
            <w:t xml:space="preserve">Available at: </w:t>
          </w:r>
          <w:r w:rsidR="00E846B0">
            <w:rPr>
              <w:noProof/>
              <w:u w:val="single"/>
            </w:rPr>
            <w:t xml:space="preserve"> </w:t>
          </w:r>
          <w:r>
            <w:rPr>
              <w:rStyle w:val="Hyperlink"/>
              <w:noProof/>
            </w:rPr>
            <w:t>https://policeprofessional.com/news/pcc%C2%92s-decision-to-force-chief-constable-to-resign-was-%C2%91irrational%C2%92-%C2%91perverse%C2%92-and-wholly-disproportionate-2/</w:t>
          </w:r>
          <w:r w:rsidR="00E846B0">
            <w:rPr>
              <w:noProof/>
              <w:u w:val="single"/>
            </w:rPr>
            <w:t xml:space="preserve"> </w:t>
          </w:r>
          <w:r>
            <w:rPr>
              <w:noProof/>
            </w:rPr>
            <w:t xml:space="preserve"> </w:t>
          </w:r>
        </w:p>
        <w:p w14:paraId="49E58104" w14:textId="07F68865" w:rsidR="00F13D5E" w:rsidRDefault="00F13D5E" w:rsidP="00F13D5E">
          <w:pPr>
            <w:pStyle w:val="Bibliography"/>
            <w:rPr>
              <w:noProof/>
            </w:rPr>
          </w:pPr>
          <w:r>
            <w:rPr>
              <w:noProof/>
            </w:rPr>
            <w:t>(Accessed: 17</w:t>
          </w:r>
          <w:r w:rsidR="00A92D5B" w:rsidRPr="00A92D5B">
            <w:rPr>
              <w:noProof/>
              <w:vertAlign w:val="superscript"/>
            </w:rPr>
            <w:t>th</w:t>
          </w:r>
          <w:r>
            <w:rPr>
              <w:noProof/>
            </w:rPr>
            <w:t xml:space="preserve"> August 2024).</w:t>
          </w:r>
        </w:p>
        <w:p w14:paraId="3215BE7C" w14:textId="567D0900" w:rsidR="00A92D5B" w:rsidRDefault="00F13D5E" w:rsidP="00F13D5E">
          <w:pPr>
            <w:pStyle w:val="Bibliography"/>
            <w:rPr>
              <w:noProof/>
            </w:rPr>
          </w:pPr>
          <w:r>
            <w:rPr>
              <w:noProof/>
            </w:rPr>
            <w:t xml:space="preserve">Stanford, D. (2022) </w:t>
          </w:r>
          <w:r w:rsidRPr="00A92D5B">
            <w:rPr>
              <w:noProof/>
            </w:rPr>
            <w:t>Cressida Dick: Sadiq Khan intimidated Met chief into quitting</w:t>
          </w:r>
          <w:r w:rsidR="00FD37C6">
            <w:rPr>
              <w:noProof/>
            </w:rPr>
            <w:t xml:space="preserve">. </w:t>
          </w:r>
          <w:r>
            <w:rPr>
              <w:noProof/>
            </w:rPr>
            <w:t xml:space="preserve">Available at: </w:t>
          </w:r>
          <w:r w:rsidR="00E846B0">
            <w:rPr>
              <w:noProof/>
              <w:u w:val="single"/>
            </w:rPr>
            <w:t xml:space="preserve"> </w:t>
          </w:r>
          <w:r>
            <w:rPr>
              <w:rStyle w:val="Hyperlink"/>
              <w:noProof/>
            </w:rPr>
            <w:t>https://www.bbc.co.uk/news/uk-england-london-62766240</w:t>
          </w:r>
          <w:r w:rsidR="00E846B0">
            <w:rPr>
              <w:noProof/>
              <w:u w:val="single"/>
            </w:rPr>
            <w:t xml:space="preserve"> </w:t>
          </w:r>
          <w:r>
            <w:rPr>
              <w:noProof/>
            </w:rPr>
            <w:t xml:space="preserve"> </w:t>
          </w:r>
        </w:p>
        <w:p w14:paraId="04935637" w14:textId="33FA6A8F" w:rsidR="00F13D5E" w:rsidRDefault="00F13D5E" w:rsidP="00F13D5E">
          <w:pPr>
            <w:pStyle w:val="Bibliography"/>
            <w:rPr>
              <w:noProof/>
            </w:rPr>
          </w:pPr>
          <w:r>
            <w:rPr>
              <w:noProof/>
            </w:rPr>
            <w:t>(Accessed: 8</w:t>
          </w:r>
          <w:r w:rsidR="00A92D5B" w:rsidRPr="00A92D5B">
            <w:rPr>
              <w:noProof/>
              <w:vertAlign w:val="superscript"/>
            </w:rPr>
            <w:t>th</w:t>
          </w:r>
          <w:r w:rsidR="00A92D5B">
            <w:rPr>
              <w:noProof/>
            </w:rPr>
            <w:t xml:space="preserve"> </w:t>
          </w:r>
          <w:r>
            <w:rPr>
              <w:noProof/>
            </w:rPr>
            <w:t>December 2024).</w:t>
          </w:r>
        </w:p>
        <w:p w14:paraId="7069FFE5" w14:textId="4818162C" w:rsidR="00774872" w:rsidRDefault="00F13D5E" w:rsidP="00F13D5E">
          <w:pPr>
            <w:pStyle w:val="Bibliography"/>
            <w:rPr>
              <w:noProof/>
            </w:rPr>
          </w:pPr>
          <w:r>
            <w:rPr>
              <w:noProof/>
            </w:rPr>
            <w:t xml:space="preserve">The Angiolini Inquiry (2024) </w:t>
          </w:r>
          <w:r>
            <w:rPr>
              <w:i/>
              <w:iCs/>
              <w:noProof/>
            </w:rPr>
            <w:t>The Angiolini Inquiry</w:t>
          </w:r>
          <w:r w:rsidR="00FD37C6">
            <w:rPr>
              <w:noProof/>
            </w:rPr>
            <w:t>,</w:t>
          </w:r>
          <w:r>
            <w:rPr>
              <w:noProof/>
            </w:rPr>
            <w:t xml:space="preserve"> Available at:</w:t>
          </w:r>
          <w:r w:rsidR="00E846B0">
            <w:rPr>
              <w:noProof/>
              <w:u w:val="single"/>
            </w:rPr>
            <w:t xml:space="preserve"> </w:t>
          </w:r>
          <w:r>
            <w:rPr>
              <w:rStyle w:val="Hyperlink"/>
              <w:noProof/>
            </w:rPr>
            <w:t>https://www.angiolini.independent-inquiry.uk/</w:t>
          </w:r>
          <w:r w:rsidR="00E846B0">
            <w:rPr>
              <w:noProof/>
              <w:u w:val="single"/>
            </w:rPr>
            <w:t xml:space="preserve"> </w:t>
          </w:r>
          <w:r>
            <w:rPr>
              <w:noProof/>
            </w:rPr>
            <w:t xml:space="preserve"> </w:t>
          </w:r>
        </w:p>
        <w:p w14:paraId="235F34B4" w14:textId="5AED8F36" w:rsidR="00F13D5E" w:rsidRDefault="00F13D5E" w:rsidP="00F13D5E">
          <w:pPr>
            <w:pStyle w:val="Bibliography"/>
            <w:rPr>
              <w:noProof/>
            </w:rPr>
          </w:pPr>
          <w:r>
            <w:rPr>
              <w:noProof/>
            </w:rPr>
            <w:t>(Accessed: 8</w:t>
          </w:r>
          <w:r w:rsidR="00774872" w:rsidRPr="00774872">
            <w:rPr>
              <w:noProof/>
              <w:vertAlign w:val="superscript"/>
            </w:rPr>
            <w:t>th</w:t>
          </w:r>
          <w:r>
            <w:rPr>
              <w:noProof/>
            </w:rPr>
            <w:t xml:space="preserve"> December 2024).</w:t>
          </w:r>
        </w:p>
        <w:p w14:paraId="1675A420" w14:textId="5FF823CB" w:rsidR="00F13D5E" w:rsidRDefault="00F13D5E" w:rsidP="00F13D5E">
          <w:pPr>
            <w:pStyle w:val="Bibliography"/>
            <w:rPr>
              <w:noProof/>
            </w:rPr>
          </w:pPr>
          <w:r>
            <w:rPr>
              <w:noProof/>
            </w:rPr>
            <w:t xml:space="preserve">The Guardian (2010) </w:t>
          </w:r>
          <w:r>
            <w:rPr>
              <w:i/>
              <w:iCs/>
              <w:noProof/>
            </w:rPr>
            <w:t>The Conservative manifesto at a glance</w:t>
          </w:r>
          <w:r w:rsidR="00774872">
            <w:rPr>
              <w:noProof/>
            </w:rPr>
            <w:t xml:space="preserve">.  </w:t>
          </w:r>
          <w:r>
            <w:rPr>
              <w:noProof/>
            </w:rPr>
            <w:t xml:space="preserve">Available at: </w:t>
          </w:r>
          <w:r w:rsidR="00E846B0">
            <w:rPr>
              <w:noProof/>
              <w:u w:val="single"/>
            </w:rPr>
            <w:t xml:space="preserve"> </w:t>
          </w:r>
          <w:r>
            <w:rPr>
              <w:rStyle w:val="Hyperlink"/>
              <w:noProof/>
            </w:rPr>
            <w:t>https://www.theguardian.com/politics/2010/apr/13/conservative-manifesto-at-a-glance</w:t>
          </w:r>
          <w:r w:rsidR="00E846B0">
            <w:rPr>
              <w:noProof/>
              <w:u w:val="single"/>
            </w:rPr>
            <w:t xml:space="preserve"> </w:t>
          </w:r>
          <w:r>
            <w:rPr>
              <w:noProof/>
            </w:rPr>
            <w:t xml:space="preserve"> (Accessed: 10</w:t>
          </w:r>
          <w:r w:rsidR="00774872" w:rsidRPr="00774872">
            <w:rPr>
              <w:noProof/>
              <w:vertAlign w:val="superscript"/>
            </w:rPr>
            <w:t>th</w:t>
          </w:r>
          <w:r w:rsidR="00774872">
            <w:rPr>
              <w:noProof/>
            </w:rPr>
            <w:t xml:space="preserve"> </w:t>
          </w:r>
          <w:r>
            <w:rPr>
              <w:noProof/>
            </w:rPr>
            <w:t>December 2024).</w:t>
          </w:r>
        </w:p>
        <w:p w14:paraId="741F2DCF" w14:textId="4D8206B3" w:rsidR="00774872" w:rsidRDefault="00F13D5E" w:rsidP="00F13D5E">
          <w:pPr>
            <w:pStyle w:val="Bibliography"/>
            <w:rPr>
              <w:noProof/>
            </w:rPr>
          </w:pPr>
          <w:r>
            <w:rPr>
              <w:noProof/>
            </w:rPr>
            <w:t xml:space="preserve">Travis (2017) </w:t>
          </w:r>
          <w:r>
            <w:rPr>
              <w:i/>
              <w:iCs/>
              <w:noProof/>
            </w:rPr>
            <w:t>Simple numbers tell story of police cuts under Theresa May</w:t>
          </w:r>
          <w:r>
            <w:rPr>
              <w:noProof/>
            </w:rPr>
            <w:t xml:space="preserve">. Available at: </w:t>
          </w:r>
          <w:r>
            <w:rPr>
              <w:rStyle w:val="Hyperlink"/>
              <w:noProof/>
            </w:rPr>
            <w:t>https://www.theguardian.com/uk-news/2017/jun/05/theresa-may-police-cuts-margaret-thatcher-budgets</w:t>
          </w:r>
          <w:r w:rsidR="00E846B0">
            <w:rPr>
              <w:noProof/>
              <w:u w:val="single"/>
            </w:rPr>
            <w:t xml:space="preserve"> </w:t>
          </w:r>
          <w:r>
            <w:rPr>
              <w:noProof/>
            </w:rPr>
            <w:t xml:space="preserve"> </w:t>
          </w:r>
        </w:p>
        <w:p w14:paraId="3A262516" w14:textId="4225C8F3" w:rsidR="00F13D5E" w:rsidRDefault="00F13D5E" w:rsidP="00F13D5E">
          <w:pPr>
            <w:pStyle w:val="Bibliography"/>
            <w:rPr>
              <w:noProof/>
            </w:rPr>
          </w:pPr>
          <w:r>
            <w:rPr>
              <w:noProof/>
            </w:rPr>
            <w:t>(Accessed: 8</w:t>
          </w:r>
          <w:r w:rsidR="00774872" w:rsidRPr="00774872">
            <w:rPr>
              <w:noProof/>
              <w:vertAlign w:val="superscript"/>
            </w:rPr>
            <w:t>th</w:t>
          </w:r>
          <w:r w:rsidR="00774872">
            <w:rPr>
              <w:noProof/>
            </w:rPr>
            <w:t xml:space="preserve"> </w:t>
          </w:r>
          <w:r>
            <w:rPr>
              <w:noProof/>
            </w:rPr>
            <w:t>December 2024).</w:t>
          </w:r>
        </w:p>
        <w:p w14:paraId="57805766" w14:textId="1047E6B5" w:rsidR="00774872" w:rsidRDefault="00F13D5E" w:rsidP="00F13D5E">
          <w:pPr>
            <w:pStyle w:val="Bibliography"/>
            <w:rPr>
              <w:noProof/>
            </w:rPr>
          </w:pPr>
          <w:r>
            <w:rPr>
              <w:noProof/>
            </w:rPr>
            <w:t xml:space="preserve">UK Parliment (2023) </w:t>
          </w:r>
          <w:r>
            <w:rPr>
              <w:i/>
              <w:iCs/>
              <w:noProof/>
            </w:rPr>
            <w:t>Police standards and culture: Restoring public trust</w:t>
          </w:r>
          <w:r>
            <w:rPr>
              <w:noProof/>
            </w:rPr>
            <w:t xml:space="preserve">. Available at: </w:t>
          </w:r>
          <w:r w:rsidR="00E846B0">
            <w:rPr>
              <w:noProof/>
              <w:u w:val="single"/>
            </w:rPr>
            <w:t xml:space="preserve"> </w:t>
          </w:r>
          <w:r>
            <w:rPr>
              <w:rStyle w:val="Hyperlink"/>
              <w:noProof/>
            </w:rPr>
            <w:t>https://lordslibrary.parliament.uk/police-standards-and-culture-restoring-public-trust/#heading-1</w:t>
          </w:r>
          <w:r w:rsidR="00E846B0">
            <w:rPr>
              <w:noProof/>
              <w:u w:val="single"/>
            </w:rPr>
            <w:t xml:space="preserve"> </w:t>
          </w:r>
          <w:r>
            <w:rPr>
              <w:noProof/>
            </w:rPr>
            <w:t xml:space="preserve"> </w:t>
          </w:r>
        </w:p>
        <w:p w14:paraId="64697F14" w14:textId="37692369" w:rsidR="00F13D5E" w:rsidRDefault="00F13D5E" w:rsidP="00F13D5E">
          <w:pPr>
            <w:pStyle w:val="Bibliography"/>
            <w:rPr>
              <w:noProof/>
            </w:rPr>
          </w:pPr>
          <w:r>
            <w:rPr>
              <w:noProof/>
            </w:rPr>
            <w:t>(Accessed: 8</w:t>
          </w:r>
          <w:r w:rsidR="00774872" w:rsidRPr="00774872">
            <w:rPr>
              <w:noProof/>
              <w:vertAlign w:val="superscript"/>
            </w:rPr>
            <w:t>th</w:t>
          </w:r>
          <w:r>
            <w:rPr>
              <w:noProof/>
            </w:rPr>
            <w:t xml:space="preserve"> December 2024).</w:t>
          </w:r>
        </w:p>
        <w:p w14:paraId="665DF98C" w14:textId="316A73E3" w:rsidR="00324F22" w:rsidRDefault="00F13D5E" w:rsidP="00F13D5E">
          <w:pPr>
            <w:pStyle w:val="Bibliography"/>
            <w:rPr>
              <w:noProof/>
            </w:rPr>
          </w:pPr>
          <w:r>
            <w:rPr>
              <w:noProof/>
            </w:rPr>
            <w:t xml:space="preserve">UK Parliment (2024) </w:t>
          </w:r>
          <w:r>
            <w:rPr>
              <w:i/>
              <w:iCs/>
              <w:noProof/>
            </w:rPr>
            <w:t>UK Parliment The Two Tier System</w:t>
          </w:r>
          <w:r>
            <w:rPr>
              <w:noProof/>
            </w:rPr>
            <w:t xml:space="preserve">. Available at: </w:t>
          </w:r>
          <w:r w:rsidR="00E846B0">
            <w:rPr>
              <w:noProof/>
              <w:u w:val="single"/>
            </w:rPr>
            <w:t xml:space="preserve"> </w:t>
          </w:r>
          <w:r>
            <w:rPr>
              <w:rStyle w:val="Hyperlink"/>
              <w:noProof/>
            </w:rPr>
            <w:t>https://www.parliament.uk/about/how/role/system/</w:t>
          </w:r>
          <w:r w:rsidR="00E846B0">
            <w:rPr>
              <w:noProof/>
              <w:u w:val="single"/>
            </w:rPr>
            <w:t xml:space="preserve"> </w:t>
          </w:r>
        </w:p>
        <w:p w14:paraId="3E3D040C" w14:textId="5240CE94" w:rsidR="00F13D5E" w:rsidRDefault="00F13D5E" w:rsidP="00F13D5E">
          <w:pPr>
            <w:pStyle w:val="Bibliography"/>
            <w:rPr>
              <w:noProof/>
            </w:rPr>
          </w:pPr>
          <w:r>
            <w:rPr>
              <w:noProof/>
            </w:rPr>
            <w:t xml:space="preserve">(Accessed: </w:t>
          </w:r>
          <w:r w:rsidR="00324F22">
            <w:rPr>
              <w:noProof/>
            </w:rPr>
            <w:t>9th</w:t>
          </w:r>
          <w:r>
            <w:rPr>
              <w:noProof/>
            </w:rPr>
            <w:t xml:space="preserve"> December 2024).</w:t>
          </w:r>
        </w:p>
        <w:p w14:paraId="61F4936A" w14:textId="45FA5527" w:rsidR="007D4AFA" w:rsidRDefault="00565964" w:rsidP="00F13D5E"/>
      </w:sdtContent>
    </w:sdt>
    <w:p w14:paraId="488B3DE8" w14:textId="77777777" w:rsidR="007D4AFA" w:rsidRPr="00C714D4" w:rsidRDefault="007D4AFA"/>
    <w:sectPr w:rsidR="007D4AFA" w:rsidRPr="00C714D4" w:rsidSect="005A51AB">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5AF2C" w14:textId="77777777" w:rsidR="004B0CE2" w:rsidRDefault="004B0CE2" w:rsidP="004B0CE2">
      <w:pPr>
        <w:spacing w:after="0" w:line="240" w:lineRule="auto"/>
      </w:pPr>
      <w:r>
        <w:separator/>
      </w:r>
    </w:p>
  </w:endnote>
  <w:endnote w:type="continuationSeparator" w:id="0">
    <w:p w14:paraId="45E83223" w14:textId="77777777" w:rsidR="004B0CE2" w:rsidRDefault="004B0CE2" w:rsidP="004B0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7806745"/>
      <w:docPartObj>
        <w:docPartGallery w:val="Page Numbers (Bottom of Page)"/>
        <w:docPartUnique/>
      </w:docPartObj>
    </w:sdtPr>
    <w:sdtEndPr/>
    <w:sdtContent>
      <w:p w14:paraId="7800442A" w14:textId="09263E11" w:rsidR="00BE585A" w:rsidRDefault="00BE585A">
        <w:pPr>
          <w:pStyle w:val="Footer"/>
        </w:pPr>
        <w:r>
          <w:fldChar w:fldCharType="begin"/>
        </w:r>
        <w:r>
          <w:instrText>PAGE   \* MERGEFORMAT</w:instrText>
        </w:r>
        <w:r>
          <w:fldChar w:fldCharType="separate"/>
        </w:r>
        <w:r>
          <w:t>2</w:t>
        </w:r>
        <w:r>
          <w:fldChar w:fldCharType="end"/>
        </w:r>
      </w:p>
    </w:sdtContent>
  </w:sdt>
  <w:p w14:paraId="43BB4B15" w14:textId="77777777" w:rsidR="00BE585A" w:rsidRDefault="00BE58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55E2A" w14:textId="77777777" w:rsidR="004B0CE2" w:rsidRDefault="004B0CE2" w:rsidP="004B0CE2">
      <w:pPr>
        <w:spacing w:after="0" w:line="240" w:lineRule="auto"/>
      </w:pPr>
      <w:r>
        <w:separator/>
      </w:r>
    </w:p>
  </w:footnote>
  <w:footnote w:type="continuationSeparator" w:id="0">
    <w:p w14:paraId="45EF0E80" w14:textId="77777777" w:rsidR="004B0CE2" w:rsidRDefault="004B0CE2" w:rsidP="004B0C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51D13"/>
    <w:multiLevelType w:val="hybridMultilevel"/>
    <w:tmpl w:val="27AAE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77AB1"/>
    <w:multiLevelType w:val="multilevel"/>
    <w:tmpl w:val="43A228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1321AF"/>
    <w:multiLevelType w:val="multilevel"/>
    <w:tmpl w:val="E37CB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135F23"/>
    <w:multiLevelType w:val="multilevel"/>
    <w:tmpl w:val="023AB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D31677"/>
    <w:multiLevelType w:val="multilevel"/>
    <w:tmpl w:val="F1608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D37441"/>
    <w:multiLevelType w:val="multilevel"/>
    <w:tmpl w:val="6F4C3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C0D54F5"/>
    <w:multiLevelType w:val="multilevel"/>
    <w:tmpl w:val="1910D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430D60"/>
    <w:multiLevelType w:val="hybridMultilevel"/>
    <w:tmpl w:val="9CAE6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8574000">
    <w:abstractNumId w:val="5"/>
  </w:num>
  <w:num w:numId="2" w16cid:durableId="772015614">
    <w:abstractNumId w:val="4"/>
  </w:num>
  <w:num w:numId="3" w16cid:durableId="1268348115">
    <w:abstractNumId w:val="0"/>
  </w:num>
  <w:num w:numId="4" w16cid:durableId="485902622">
    <w:abstractNumId w:val="2"/>
  </w:num>
  <w:num w:numId="5" w16cid:durableId="272900613">
    <w:abstractNumId w:val="3"/>
  </w:num>
  <w:num w:numId="6" w16cid:durableId="234559178">
    <w:abstractNumId w:val="7"/>
  </w:num>
  <w:num w:numId="7" w16cid:durableId="1161312493">
    <w:abstractNumId w:val="6"/>
  </w:num>
  <w:num w:numId="8" w16cid:durableId="14352010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A51AB"/>
    <w:rsid w:val="00007389"/>
    <w:rsid w:val="00013519"/>
    <w:rsid w:val="000401C6"/>
    <w:rsid w:val="00044094"/>
    <w:rsid w:val="000479DB"/>
    <w:rsid w:val="0005478A"/>
    <w:rsid w:val="00080988"/>
    <w:rsid w:val="00084F00"/>
    <w:rsid w:val="00097484"/>
    <w:rsid w:val="000C2099"/>
    <w:rsid w:val="000E5368"/>
    <w:rsid w:val="000F0E76"/>
    <w:rsid w:val="000F2956"/>
    <w:rsid w:val="001126C6"/>
    <w:rsid w:val="00116CBB"/>
    <w:rsid w:val="001318BD"/>
    <w:rsid w:val="001454C5"/>
    <w:rsid w:val="00177632"/>
    <w:rsid w:val="00185536"/>
    <w:rsid w:val="00195008"/>
    <w:rsid w:val="001A37CA"/>
    <w:rsid w:val="001C001E"/>
    <w:rsid w:val="001C5902"/>
    <w:rsid w:val="001E3077"/>
    <w:rsid w:val="001E47DF"/>
    <w:rsid w:val="001E65FD"/>
    <w:rsid w:val="00202189"/>
    <w:rsid w:val="002068B4"/>
    <w:rsid w:val="0021047C"/>
    <w:rsid w:val="0023582D"/>
    <w:rsid w:val="00251BC5"/>
    <w:rsid w:val="0027389A"/>
    <w:rsid w:val="002745AC"/>
    <w:rsid w:val="00274A78"/>
    <w:rsid w:val="00291E59"/>
    <w:rsid w:val="0029328B"/>
    <w:rsid w:val="00295D2E"/>
    <w:rsid w:val="002964E0"/>
    <w:rsid w:val="002A2DA8"/>
    <w:rsid w:val="002D6F21"/>
    <w:rsid w:val="002D73DC"/>
    <w:rsid w:val="002E11CD"/>
    <w:rsid w:val="002E5F81"/>
    <w:rsid w:val="002F5D77"/>
    <w:rsid w:val="003016AB"/>
    <w:rsid w:val="00311C0B"/>
    <w:rsid w:val="00313215"/>
    <w:rsid w:val="003174FA"/>
    <w:rsid w:val="00323C5F"/>
    <w:rsid w:val="00324F22"/>
    <w:rsid w:val="00334202"/>
    <w:rsid w:val="003460D3"/>
    <w:rsid w:val="00364F72"/>
    <w:rsid w:val="0037617E"/>
    <w:rsid w:val="003919CC"/>
    <w:rsid w:val="0039725A"/>
    <w:rsid w:val="003C3079"/>
    <w:rsid w:val="003C6117"/>
    <w:rsid w:val="003E79C6"/>
    <w:rsid w:val="00414DC8"/>
    <w:rsid w:val="004157C3"/>
    <w:rsid w:val="00423AD2"/>
    <w:rsid w:val="0043148A"/>
    <w:rsid w:val="00442BBA"/>
    <w:rsid w:val="004449FC"/>
    <w:rsid w:val="00446DD4"/>
    <w:rsid w:val="00466231"/>
    <w:rsid w:val="004663D8"/>
    <w:rsid w:val="0046764D"/>
    <w:rsid w:val="00483FA9"/>
    <w:rsid w:val="004B0CE2"/>
    <w:rsid w:val="004B6CFC"/>
    <w:rsid w:val="004D51EF"/>
    <w:rsid w:val="004E75AC"/>
    <w:rsid w:val="00501D51"/>
    <w:rsid w:val="00505BCD"/>
    <w:rsid w:val="00506DCD"/>
    <w:rsid w:val="00507892"/>
    <w:rsid w:val="00512388"/>
    <w:rsid w:val="00516012"/>
    <w:rsid w:val="00522902"/>
    <w:rsid w:val="005352B4"/>
    <w:rsid w:val="005515B6"/>
    <w:rsid w:val="00565964"/>
    <w:rsid w:val="005748E4"/>
    <w:rsid w:val="00590D03"/>
    <w:rsid w:val="005959FE"/>
    <w:rsid w:val="00595EF5"/>
    <w:rsid w:val="00596DAF"/>
    <w:rsid w:val="005A51AB"/>
    <w:rsid w:val="005A595A"/>
    <w:rsid w:val="005B1EEA"/>
    <w:rsid w:val="005C241E"/>
    <w:rsid w:val="005C3817"/>
    <w:rsid w:val="005C5B6A"/>
    <w:rsid w:val="005E7159"/>
    <w:rsid w:val="00607942"/>
    <w:rsid w:val="00613310"/>
    <w:rsid w:val="00625AEC"/>
    <w:rsid w:val="006420C9"/>
    <w:rsid w:val="00645030"/>
    <w:rsid w:val="00665960"/>
    <w:rsid w:val="006A2049"/>
    <w:rsid w:val="006B33AA"/>
    <w:rsid w:val="006C47E0"/>
    <w:rsid w:val="006D1899"/>
    <w:rsid w:val="006D2A64"/>
    <w:rsid w:val="006D39D4"/>
    <w:rsid w:val="006D4AF6"/>
    <w:rsid w:val="006E0FFD"/>
    <w:rsid w:val="006E1208"/>
    <w:rsid w:val="00713FFE"/>
    <w:rsid w:val="0074325B"/>
    <w:rsid w:val="007545F1"/>
    <w:rsid w:val="00757780"/>
    <w:rsid w:val="0075794B"/>
    <w:rsid w:val="00774872"/>
    <w:rsid w:val="007773E5"/>
    <w:rsid w:val="007A23CC"/>
    <w:rsid w:val="007B1C93"/>
    <w:rsid w:val="007B3111"/>
    <w:rsid w:val="007D4AFA"/>
    <w:rsid w:val="007F3AB0"/>
    <w:rsid w:val="007F681E"/>
    <w:rsid w:val="00801C13"/>
    <w:rsid w:val="008033E8"/>
    <w:rsid w:val="00805B31"/>
    <w:rsid w:val="00817D08"/>
    <w:rsid w:val="008416F8"/>
    <w:rsid w:val="00871367"/>
    <w:rsid w:val="00875912"/>
    <w:rsid w:val="008808D4"/>
    <w:rsid w:val="008823E0"/>
    <w:rsid w:val="00884180"/>
    <w:rsid w:val="0088491E"/>
    <w:rsid w:val="0088508D"/>
    <w:rsid w:val="00894251"/>
    <w:rsid w:val="00895B75"/>
    <w:rsid w:val="00896FFD"/>
    <w:rsid w:val="008A121A"/>
    <w:rsid w:val="008C2783"/>
    <w:rsid w:val="008C373E"/>
    <w:rsid w:val="008C5793"/>
    <w:rsid w:val="008E18B1"/>
    <w:rsid w:val="008E38E3"/>
    <w:rsid w:val="008E6310"/>
    <w:rsid w:val="008F0BED"/>
    <w:rsid w:val="008F4D67"/>
    <w:rsid w:val="008F4F9F"/>
    <w:rsid w:val="00903283"/>
    <w:rsid w:val="00906A70"/>
    <w:rsid w:val="009214E8"/>
    <w:rsid w:val="00927DB4"/>
    <w:rsid w:val="00936357"/>
    <w:rsid w:val="009429A1"/>
    <w:rsid w:val="009514CE"/>
    <w:rsid w:val="009717FF"/>
    <w:rsid w:val="009858E7"/>
    <w:rsid w:val="009A2ED6"/>
    <w:rsid w:val="009B080D"/>
    <w:rsid w:val="009C1047"/>
    <w:rsid w:val="009C5C9A"/>
    <w:rsid w:val="009C781B"/>
    <w:rsid w:val="009E0CDF"/>
    <w:rsid w:val="009E25E2"/>
    <w:rsid w:val="009E7BC0"/>
    <w:rsid w:val="00A0145C"/>
    <w:rsid w:val="00A06C39"/>
    <w:rsid w:val="00A17B7F"/>
    <w:rsid w:val="00A25DD3"/>
    <w:rsid w:val="00A345ED"/>
    <w:rsid w:val="00A35AB4"/>
    <w:rsid w:val="00A37C67"/>
    <w:rsid w:val="00A40E5A"/>
    <w:rsid w:val="00A45347"/>
    <w:rsid w:val="00A670EF"/>
    <w:rsid w:val="00A858DB"/>
    <w:rsid w:val="00A85AC2"/>
    <w:rsid w:val="00A92D5B"/>
    <w:rsid w:val="00AB56F5"/>
    <w:rsid w:val="00AB5F1D"/>
    <w:rsid w:val="00AC0E04"/>
    <w:rsid w:val="00AC4748"/>
    <w:rsid w:val="00AC4B1C"/>
    <w:rsid w:val="00AC5636"/>
    <w:rsid w:val="00AC64D5"/>
    <w:rsid w:val="00AD0442"/>
    <w:rsid w:val="00AD16C3"/>
    <w:rsid w:val="00AD5CFE"/>
    <w:rsid w:val="00AE13BA"/>
    <w:rsid w:val="00AE1616"/>
    <w:rsid w:val="00AF2C09"/>
    <w:rsid w:val="00B11BCF"/>
    <w:rsid w:val="00B12132"/>
    <w:rsid w:val="00B224E1"/>
    <w:rsid w:val="00B26CA4"/>
    <w:rsid w:val="00B3209B"/>
    <w:rsid w:val="00B34342"/>
    <w:rsid w:val="00B363E6"/>
    <w:rsid w:val="00B45F72"/>
    <w:rsid w:val="00B473CB"/>
    <w:rsid w:val="00B62A9B"/>
    <w:rsid w:val="00B86EDB"/>
    <w:rsid w:val="00B90DBD"/>
    <w:rsid w:val="00B911EC"/>
    <w:rsid w:val="00B95AF5"/>
    <w:rsid w:val="00BA6074"/>
    <w:rsid w:val="00BA7928"/>
    <w:rsid w:val="00BA798D"/>
    <w:rsid w:val="00BA7EB6"/>
    <w:rsid w:val="00BD3EA5"/>
    <w:rsid w:val="00BD4A19"/>
    <w:rsid w:val="00BE585A"/>
    <w:rsid w:val="00BF185B"/>
    <w:rsid w:val="00C00CE7"/>
    <w:rsid w:val="00C037EF"/>
    <w:rsid w:val="00C04F3F"/>
    <w:rsid w:val="00C17EE6"/>
    <w:rsid w:val="00C436AC"/>
    <w:rsid w:val="00C714D4"/>
    <w:rsid w:val="00C71AB7"/>
    <w:rsid w:val="00C72FB6"/>
    <w:rsid w:val="00C81A2F"/>
    <w:rsid w:val="00C931D8"/>
    <w:rsid w:val="00C97C7A"/>
    <w:rsid w:val="00CA6AF2"/>
    <w:rsid w:val="00CA6F5E"/>
    <w:rsid w:val="00CB501E"/>
    <w:rsid w:val="00CD1255"/>
    <w:rsid w:val="00CE275B"/>
    <w:rsid w:val="00CF178E"/>
    <w:rsid w:val="00CF1F40"/>
    <w:rsid w:val="00CF3606"/>
    <w:rsid w:val="00D01042"/>
    <w:rsid w:val="00D01B75"/>
    <w:rsid w:val="00D06D0A"/>
    <w:rsid w:val="00D07C77"/>
    <w:rsid w:val="00D1287C"/>
    <w:rsid w:val="00D20991"/>
    <w:rsid w:val="00D31C56"/>
    <w:rsid w:val="00D31CDD"/>
    <w:rsid w:val="00D3322D"/>
    <w:rsid w:val="00D35580"/>
    <w:rsid w:val="00D40164"/>
    <w:rsid w:val="00D40BD7"/>
    <w:rsid w:val="00D422F2"/>
    <w:rsid w:val="00D4544D"/>
    <w:rsid w:val="00D67C0E"/>
    <w:rsid w:val="00D81BD8"/>
    <w:rsid w:val="00D82699"/>
    <w:rsid w:val="00D84DA8"/>
    <w:rsid w:val="00D862B0"/>
    <w:rsid w:val="00D867D2"/>
    <w:rsid w:val="00DA4A4F"/>
    <w:rsid w:val="00DB7248"/>
    <w:rsid w:val="00DB7EE3"/>
    <w:rsid w:val="00DD2AA6"/>
    <w:rsid w:val="00DD4626"/>
    <w:rsid w:val="00DE11B5"/>
    <w:rsid w:val="00E13898"/>
    <w:rsid w:val="00E17180"/>
    <w:rsid w:val="00E20F80"/>
    <w:rsid w:val="00E26FBB"/>
    <w:rsid w:val="00E33366"/>
    <w:rsid w:val="00E41721"/>
    <w:rsid w:val="00E433F6"/>
    <w:rsid w:val="00E50ED8"/>
    <w:rsid w:val="00E62988"/>
    <w:rsid w:val="00E75207"/>
    <w:rsid w:val="00E81CAF"/>
    <w:rsid w:val="00E846B0"/>
    <w:rsid w:val="00EA0514"/>
    <w:rsid w:val="00EA4EBC"/>
    <w:rsid w:val="00EB2BFB"/>
    <w:rsid w:val="00EF2B6A"/>
    <w:rsid w:val="00F11745"/>
    <w:rsid w:val="00F11CF5"/>
    <w:rsid w:val="00F13A27"/>
    <w:rsid w:val="00F13D5E"/>
    <w:rsid w:val="00F20719"/>
    <w:rsid w:val="00F265A4"/>
    <w:rsid w:val="00F32BC9"/>
    <w:rsid w:val="00F35AE9"/>
    <w:rsid w:val="00F5617D"/>
    <w:rsid w:val="00F56301"/>
    <w:rsid w:val="00F912E8"/>
    <w:rsid w:val="00F92BC8"/>
    <w:rsid w:val="00F94063"/>
    <w:rsid w:val="00F9416A"/>
    <w:rsid w:val="00FA0486"/>
    <w:rsid w:val="00FA55CC"/>
    <w:rsid w:val="00FB1031"/>
    <w:rsid w:val="00FC2699"/>
    <w:rsid w:val="00FD37C6"/>
    <w:rsid w:val="00FF3DFA"/>
    <w:rsid w:val="00FF5CF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33">
      <o:colormenu v:ext="edit" fillcolor="none [3212]"/>
    </o:shapedefaults>
    <o:shapelayout v:ext="edit">
      <o:idmap v:ext="edit" data="1"/>
    </o:shapelayout>
  </w:shapeDefaults>
  <w:decimalSymbol w:val="."/>
  <w:listSeparator w:val=","/>
  <w14:docId w14:val="7335A43B"/>
  <w15:docId w15:val="{07B3032E-4062-4AD0-A5B4-73C32C523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519"/>
  </w:style>
  <w:style w:type="paragraph" w:styleId="Heading1">
    <w:name w:val="heading 1"/>
    <w:basedOn w:val="Normal"/>
    <w:next w:val="Normal"/>
    <w:link w:val="Heading1Char"/>
    <w:uiPriority w:val="9"/>
    <w:qFormat/>
    <w:rsid w:val="005A51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51AB"/>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5A51AB"/>
    <w:rPr>
      <w:rFonts w:eastAsiaTheme="minorEastAsia"/>
      <w:lang w:eastAsia="en-GB"/>
    </w:rPr>
  </w:style>
  <w:style w:type="character" w:customStyle="1" w:styleId="Heading1Char">
    <w:name w:val="Heading 1 Char"/>
    <w:basedOn w:val="DefaultParagraphFont"/>
    <w:link w:val="Heading1"/>
    <w:uiPriority w:val="9"/>
    <w:rsid w:val="005A51A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A51AB"/>
    <w:pPr>
      <w:outlineLvl w:val="9"/>
    </w:pPr>
    <w:rPr>
      <w:lang w:eastAsia="en-GB"/>
    </w:rPr>
  </w:style>
  <w:style w:type="paragraph" w:styleId="TOC1">
    <w:name w:val="toc 1"/>
    <w:basedOn w:val="Normal"/>
    <w:next w:val="Normal"/>
    <w:autoRedefine/>
    <w:uiPriority w:val="39"/>
    <w:unhideWhenUsed/>
    <w:rsid w:val="005A51AB"/>
    <w:pPr>
      <w:spacing w:after="100"/>
    </w:pPr>
  </w:style>
  <w:style w:type="character" w:styleId="Hyperlink">
    <w:name w:val="Hyperlink"/>
    <w:basedOn w:val="DefaultParagraphFont"/>
    <w:uiPriority w:val="99"/>
    <w:unhideWhenUsed/>
    <w:rsid w:val="005A51AB"/>
    <w:rPr>
      <w:color w:val="0563C1" w:themeColor="hyperlink"/>
      <w:u w:val="single"/>
    </w:rPr>
  </w:style>
  <w:style w:type="paragraph" w:styleId="ListParagraph">
    <w:name w:val="List Paragraph"/>
    <w:basedOn w:val="Normal"/>
    <w:uiPriority w:val="34"/>
    <w:qFormat/>
    <w:rsid w:val="00B473CB"/>
    <w:pPr>
      <w:ind w:left="720"/>
      <w:contextualSpacing/>
    </w:pPr>
  </w:style>
  <w:style w:type="character" w:styleId="FollowedHyperlink">
    <w:name w:val="FollowedHyperlink"/>
    <w:basedOn w:val="DefaultParagraphFont"/>
    <w:uiPriority w:val="99"/>
    <w:semiHidden/>
    <w:unhideWhenUsed/>
    <w:rsid w:val="00D01042"/>
    <w:rPr>
      <w:color w:val="954F72" w:themeColor="followedHyperlink"/>
      <w:u w:val="single"/>
    </w:rPr>
  </w:style>
  <w:style w:type="paragraph" w:customStyle="1" w:styleId="Default">
    <w:name w:val="Default"/>
    <w:rsid w:val="001A37CA"/>
    <w:pPr>
      <w:autoSpaceDE w:val="0"/>
      <w:autoSpaceDN w:val="0"/>
      <w:adjustRightInd w:val="0"/>
      <w:spacing w:after="0" w:line="240" w:lineRule="auto"/>
    </w:pPr>
    <w:rPr>
      <w:rFonts w:ascii="Arial" w:hAnsi="Arial" w:cs="Arial"/>
      <w:color w:val="000000"/>
      <w:sz w:val="24"/>
      <w:szCs w:val="24"/>
    </w:rPr>
  </w:style>
  <w:style w:type="paragraph" w:styleId="FootnoteText">
    <w:name w:val="footnote text"/>
    <w:basedOn w:val="Normal"/>
    <w:link w:val="FootnoteTextChar"/>
    <w:uiPriority w:val="99"/>
    <w:semiHidden/>
    <w:unhideWhenUsed/>
    <w:rsid w:val="004B0CE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0CE2"/>
    <w:rPr>
      <w:sz w:val="20"/>
      <w:szCs w:val="20"/>
    </w:rPr>
  </w:style>
  <w:style w:type="character" w:styleId="FootnoteReference">
    <w:name w:val="footnote reference"/>
    <w:basedOn w:val="DefaultParagraphFont"/>
    <w:uiPriority w:val="99"/>
    <w:semiHidden/>
    <w:unhideWhenUsed/>
    <w:rsid w:val="004B0CE2"/>
    <w:rPr>
      <w:vertAlign w:val="superscript"/>
    </w:rPr>
  </w:style>
  <w:style w:type="paragraph" w:styleId="Header">
    <w:name w:val="header"/>
    <w:basedOn w:val="Normal"/>
    <w:link w:val="HeaderChar"/>
    <w:uiPriority w:val="99"/>
    <w:unhideWhenUsed/>
    <w:rsid w:val="008E63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6310"/>
  </w:style>
  <w:style w:type="paragraph" w:styleId="Footer">
    <w:name w:val="footer"/>
    <w:basedOn w:val="Normal"/>
    <w:link w:val="FooterChar"/>
    <w:uiPriority w:val="99"/>
    <w:unhideWhenUsed/>
    <w:rsid w:val="008E63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6310"/>
  </w:style>
  <w:style w:type="paragraph" w:styleId="Bibliography">
    <w:name w:val="Bibliography"/>
    <w:basedOn w:val="Normal"/>
    <w:next w:val="Normal"/>
    <w:uiPriority w:val="37"/>
    <w:unhideWhenUsed/>
    <w:rsid w:val="007D4AFA"/>
  </w:style>
  <w:style w:type="character" w:styleId="UnresolvedMention">
    <w:name w:val="Unresolved Mention"/>
    <w:basedOn w:val="DefaultParagraphFont"/>
    <w:uiPriority w:val="99"/>
    <w:semiHidden/>
    <w:unhideWhenUsed/>
    <w:rsid w:val="00875912"/>
    <w:rPr>
      <w:color w:val="605E5C"/>
      <w:shd w:val="clear" w:color="auto" w:fill="E1DFDD"/>
    </w:rPr>
  </w:style>
  <w:style w:type="paragraph" w:styleId="NormalWeb">
    <w:name w:val="Normal (Web)"/>
    <w:basedOn w:val="Normal"/>
    <w:uiPriority w:val="99"/>
    <w:semiHidden/>
    <w:unhideWhenUsed/>
    <w:rsid w:val="00274A78"/>
    <w:pPr>
      <w:spacing w:before="100" w:beforeAutospacing="1" w:after="100" w:afterAutospacing="1"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0877">
      <w:bodyDiv w:val="1"/>
      <w:marLeft w:val="0"/>
      <w:marRight w:val="0"/>
      <w:marTop w:val="0"/>
      <w:marBottom w:val="0"/>
      <w:divBdr>
        <w:top w:val="none" w:sz="0" w:space="0" w:color="auto"/>
        <w:left w:val="none" w:sz="0" w:space="0" w:color="auto"/>
        <w:bottom w:val="none" w:sz="0" w:space="0" w:color="auto"/>
        <w:right w:val="none" w:sz="0" w:space="0" w:color="auto"/>
      </w:divBdr>
    </w:div>
    <w:div w:id="13701182">
      <w:bodyDiv w:val="1"/>
      <w:marLeft w:val="0"/>
      <w:marRight w:val="0"/>
      <w:marTop w:val="0"/>
      <w:marBottom w:val="0"/>
      <w:divBdr>
        <w:top w:val="none" w:sz="0" w:space="0" w:color="auto"/>
        <w:left w:val="none" w:sz="0" w:space="0" w:color="auto"/>
        <w:bottom w:val="none" w:sz="0" w:space="0" w:color="auto"/>
        <w:right w:val="none" w:sz="0" w:space="0" w:color="auto"/>
      </w:divBdr>
    </w:div>
    <w:div w:id="26874285">
      <w:bodyDiv w:val="1"/>
      <w:marLeft w:val="0"/>
      <w:marRight w:val="0"/>
      <w:marTop w:val="0"/>
      <w:marBottom w:val="0"/>
      <w:divBdr>
        <w:top w:val="none" w:sz="0" w:space="0" w:color="auto"/>
        <w:left w:val="none" w:sz="0" w:space="0" w:color="auto"/>
        <w:bottom w:val="none" w:sz="0" w:space="0" w:color="auto"/>
        <w:right w:val="none" w:sz="0" w:space="0" w:color="auto"/>
      </w:divBdr>
    </w:div>
    <w:div w:id="30887803">
      <w:bodyDiv w:val="1"/>
      <w:marLeft w:val="0"/>
      <w:marRight w:val="0"/>
      <w:marTop w:val="0"/>
      <w:marBottom w:val="0"/>
      <w:divBdr>
        <w:top w:val="none" w:sz="0" w:space="0" w:color="auto"/>
        <w:left w:val="none" w:sz="0" w:space="0" w:color="auto"/>
        <w:bottom w:val="none" w:sz="0" w:space="0" w:color="auto"/>
        <w:right w:val="none" w:sz="0" w:space="0" w:color="auto"/>
      </w:divBdr>
    </w:div>
    <w:div w:id="89590258">
      <w:bodyDiv w:val="1"/>
      <w:marLeft w:val="0"/>
      <w:marRight w:val="0"/>
      <w:marTop w:val="0"/>
      <w:marBottom w:val="0"/>
      <w:divBdr>
        <w:top w:val="none" w:sz="0" w:space="0" w:color="auto"/>
        <w:left w:val="none" w:sz="0" w:space="0" w:color="auto"/>
        <w:bottom w:val="none" w:sz="0" w:space="0" w:color="auto"/>
        <w:right w:val="none" w:sz="0" w:space="0" w:color="auto"/>
      </w:divBdr>
    </w:div>
    <w:div w:id="91358546">
      <w:bodyDiv w:val="1"/>
      <w:marLeft w:val="0"/>
      <w:marRight w:val="0"/>
      <w:marTop w:val="0"/>
      <w:marBottom w:val="0"/>
      <w:divBdr>
        <w:top w:val="none" w:sz="0" w:space="0" w:color="auto"/>
        <w:left w:val="none" w:sz="0" w:space="0" w:color="auto"/>
        <w:bottom w:val="none" w:sz="0" w:space="0" w:color="auto"/>
        <w:right w:val="none" w:sz="0" w:space="0" w:color="auto"/>
      </w:divBdr>
    </w:div>
    <w:div w:id="103695603">
      <w:bodyDiv w:val="1"/>
      <w:marLeft w:val="0"/>
      <w:marRight w:val="0"/>
      <w:marTop w:val="0"/>
      <w:marBottom w:val="0"/>
      <w:divBdr>
        <w:top w:val="none" w:sz="0" w:space="0" w:color="auto"/>
        <w:left w:val="none" w:sz="0" w:space="0" w:color="auto"/>
        <w:bottom w:val="none" w:sz="0" w:space="0" w:color="auto"/>
        <w:right w:val="none" w:sz="0" w:space="0" w:color="auto"/>
      </w:divBdr>
    </w:div>
    <w:div w:id="113603726">
      <w:bodyDiv w:val="1"/>
      <w:marLeft w:val="0"/>
      <w:marRight w:val="0"/>
      <w:marTop w:val="0"/>
      <w:marBottom w:val="0"/>
      <w:divBdr>
        <w:top w:val="none" w:sz="0" w:space="0" w:color="auto"/>
        <w:left w:val="none" w:sz="0" w:space="0" w:color="auto"/>
        <w:bottom w:val="none" w:sz="0" w:space="0" w:color="auto"/>
        <w:right w:val="none" w:sz="0" w:space="0" w:color="auto"/>
      </w:divBdr>
    </w:div>
    <w:div w:id="124004419">
      <w:bodyDiv w:val="1"/>
      <w:marLeft w:val="0"/>
      <w:marRight w:val="0"/>
      <w:marTop w:val="0"/>
      <w:marBottom w:val="0"/>
      <w:divBdr>
        <w:top w:val="none" w:sz="0" w:space="0" w:color="auto"/>
        <w:left w:val="none" w:sz="0" w:space="0" w:color="auto"/>
        <w:bottom w:val="none" w:sz="0" w:space="0" w:color="auto"/>
        <w:right w:val="none" w:sz="0" w:space="0" w:color="auto"/>
      </w:divBdr>
    </w:div>
    <w:div w:id="140198409">
      <w:bodyDiv w:val="1"/>
      <w:marLeft w:val="0"/>
      <w:marRight w:val="0"/>
      <w:marTop w:val="0"/>
      <w:marBottom w:val="0"/>
      <w:divBdr>
        <w:top w:val="none" w:sz="0" w:space="0" w:color="auto"/>
        <w:left w:val="none" w:sz="0" w:space="0" w:color="auto"/>
        <w:bottom w:val="none" w:sz="0" w:space="0" w:color="auto"/>
        <w:right w:val="none" w:sz="0" w:space="0" w:color="auto"/>
      </w:divBdr>
    </w:div>
    <w:div w:id="159781815">
      <w:bodyDiv w:val="1"/>
      <w:marLeft w:val="0"/>
      <w:marRight w:val="0"/>
      <w:marTop w:val="0"/>
      <w:marBottom w:val="0"/>
      <w:divBdr>
        <w:top w:val="none" w:sz="0" w:space="0" w:color="auto"/>
        <w:left w:val="none" w:sz="0" w:space="0" w:color="auto"/>
        <w:bottom w:val="none" w:sz="0" w:space="0" w:color="auto"/>
        <w:right w:val="none" w:sz="0" w:space="0" w:color="auto"/>
      </w:divBdr>
    </w:div>
    <w:div w:id="170225171">
      <w:bodyDiv w:val="1"/>
      <w:marLeft w:val="0"/>
      <w:marRight w:val="0"/>
      <w:marTop w:val="0"/>
      <w:marBottom w:val="0"/>
      <w:divBdr>
        <w:top w:val="none" w:sz="0" w:space="0" w:color="auto"/>
        <w:left w:val="none" w:sz="0" w:space="0" w:color="auto"/>
        <w:bottom w:val="none" w:sz="0" w:space="0" w:color="auto"/>
        <w:right w:val="none" w:sz="0" w:space="0" w:color="auto"/>
      </w:divBdr>
    </w:div>
    <w:div w:id="205727632">
      <w:bodyDiv w:val="1"/>
      <w:marLeft w:val="0"/>
      <w:marRight w:val="0"/>
      <w:marTop w:val="0"/>
      <w:marBottom w:val="0"/>
      <w:divBdr>
        <w:top w:val="none" w:sz="0" w:space="0" w:color="auto"/>
        <w:left w:val="none" w:sz="0" w:space="0" w:color="auto"/>
        <w:bottom w:val="none" w:sz="0" w:space="0" w:color="auto"/>
        <w:right w:val="none" w:sz="0" w:space="0" w:color="auto"/>
      </w:divBdr>
    </w:div>
    <w:div w:id="209733981">
      <w:bodyDiv w:val="1"/>
      <w:marLeft w:val="0"/>
      <w:marRight w:val="0"/>
      <w:marTop w:val="0"/>
      <w:marBottom w:val="0"/>
      <w:divBdr>
        <w:top w:val="none" w:sz="0" w:space="0" w:color="auto"/>
        <w:left w:val="none" w:sz="0" w:space="0" w:color="auto"/>
        <w:bottom w:val="none" w:sz="0" w:space="0" w:color="auto"/>
        <w:right w:val="none" w:sz="0" w:space="0" w:color="auto"/>
      </w:divBdr>
    </w:div>
    <w:div w:id="211112528">
      <w:bodyDiv w:val="1"/>
      <w:marLeft w:val="0"/>
      <w:marRight w:val="0"/>
      <w:marTop w:val="0"/>
      <w:marBottom w:val="0"/>
      <w:divBdr>
        <w:top w:val="none" w:sz="0" w:space="0" w:color="auto"/>
        <w:left w:val="none" w:sz="0" w:space="0" w:color="auto"/>
        <w:bottom w:val="none" w:sz="0" w:space="0" w:color="auto"/>
        <w:right w:val="none" w:sz="0" w:space="0" w:color="auto"/>
      </w:divBdr>
    </w:div>
    <w:div w:id="219678046">
      <w:bodyDiv w:val="1"/>
      <w:marLeft w:val="0"/>
      <w:marRight w:val="0"/>
      <w:marTop w:val="0"/>
      <w:marBottom w:val="0"/>
      <w:divBdr>
        <w:top w:val="none" w:sz="0" w:space="0" w:color="auto"/>
        <w:left w:val="none" w:sz="0" w:space="0" w:color="auto"/>
        <w:bottom w:val="none" w:sz="0" w:space="0" w:color="auto"/>
        <w:right w:val="none" w:sz="0" w:space="0" w:color="auto"/>
      </w:divBdr>
    </w:div>
    <w:div w:id="221261138">
      <w:bodyDiv w:val="1"/>
      <w:marLeft w:val="0"/>
      <w:marRight w:val="0"/>
      <w:marTop w:val="0"/>
      <w:marBottom w:val="0"/>
      <w:divBdr>
        <w:top w:val="none" w:sz="0" w:space="0" w:color="auto"/>
        <w:left w:val="none" w:sz="0" w:space="0" w:color="auto"/>
        <w:bottom w:val="none" w:sz="0" w:space="0" w:color="auto"/>
        <w:right w:val="none" w:sz="0" w:space="0" w:color="auto"/>
      </w:divBdr>
    </w:div>
    <w:div w:id="223880183">
      <w:bodyDiv w:val="1"/>
      <w:marLeft w:val="0"/>
      <w:marRight w:val="0"/>
      <w:marTop w:val="0"/>
      <w:marBottom w:val="0"/>
      <w:divBdr>
        <w:top w:val="none" w:sz="0" w:space="0" w:color="auto"/>
        <w:left w:val="none" w:sz="0" w:space="0" w:color="auto"/>
        <w:bottom w:val="none" w:sz="0" w:space="0" w:color="auto"/>
        <w:right w:val="none" w:sz="0" w:space="0" w:color="auto"/>
      </w:divBdr>
    </w:div>
    <w:div w:id="282931563">
      <w:bodyDiv w:val="1"/>
      <w:marLeft w:val="0"/>
      <w:marRight w:val="0"/>
      <w:marTop w:val="0"/>
      <w:marBottom w:val="0"/>
      <w:divBdr>
        <w:top w:val="none" w:sz="0" w:space="0" w:color="auto"/>
        <w:left w:val="none" w:sz="0" w:space="0" w:color="auto"/>
        <w:bottom w:val="none" w:sz="0" w:space="0" w:color="auto"/>
        <w:right w:val="none" w:sz="0" w:space="0" w:color="auto"/>
      </w:divBdr>
    </w:div>
    <w:div w:id="292908419">
      <w:bodyDiv w:val="1"/>
      <w:marLeft w:val="0"/>
      <w:marRight w:val="0"/>
      <w:marTop w:val="0"/>
      <w:marBottom w:val="0"/>
      <w:divBdr>
        <w:top w:val="none" w:sz="0" w:space="0" w:color="auto"/>
        <w:left w:val="none" w:sz="0" w:space="0" w:color="auto"/>
        <w:bottom w:val="none" w:sz="0" w:space="0" w:color="auto"/>
        <w:right w:val="none" w:sz="0" w:space="0" w:color="auto"/>
      </w:divBdr>
    </w:div>
    <w:div w:id="299194276">
      <w:bodyDiv w:val="1"/>
      <w:marLeft w:val="0"/>
      <w:marRight w:val="0"/>
      <w:marTop w:val="0"/>
      <w:marBottom w:val="0"/>
      <w:divBdr>
        <w:top w:val="none" w:sz="0" w:space="0" w:color="auto"/>
        <w:left w:val="none" w:sz="0" w:space="0" w:color="auto"/>
        <w:bottom w:val="none" w:sz="0" w:space="0" w:color="auto"/>
        <w:right w:val="none" w:sz="0" w:space="0" w:color="auto"/>
      </w:divBdr>
    </w:div>
    <w:div w:id="311061863">
      <w:bodyDiv w:val="1"/>
      <w:marLeft w:val="0"/>
      <w:marRight w:val="0"/>
      <w:marTop w:val="0"/>
      <w:marBottom w:val="0"/>
      <w:divBdr>
        <w:top w:val="none" w:sz="0" w:space="0" w:color="auto"/>
        <w:left w:val="none" w:sz="0" w:space="0" w:color="auto"/>
        <w:bottom w:val="none" w:sz="0" w:space="0" w:color="auto"/>
        <w:right w:val="none" w:sz="0" w:space="0" w:color="auto"/>
      </w:divBdr>
    </w:div>
    <w:div w:id="312680222">
      <w:bodyDiv w:val="1"/>
      <w:marLeft w:val="0"/>
      <w:marRight w:val="0"/>
      <w:marTop w:val="0"/>
      <w:marBottom w:val="0"/>
      <w:divBdr>
        <w:top w:val="none" w:sz="0" w:space="0" w:color="auto"/>
        <w:left w:val="none" w:sz="0" w:space="0" w:color="auto"/>
        <w:bottom w:val="none" w:sz="0" w:space="0" w:color="auto"/>
        <w:right w:val="none" w:sz="0" w:space="0" w:color="auto"/>
      </w:divBdr>
    </w:div>
    <w:div w:id="327252614">
      <w:bodyDiv w:val="1"/>
      <w:marLeft w:val="0"/>
      <w:marRight w:val="0"/>
      <w:marTop w:val="0"/>
      <w:marBottom w:val="0"/>
      <w:divBdr>
        <w:top w:val="none" w:sz="0" w:space="0" w:color="auto"/>
        <w:left w:val="none" w:sz="0" w:space="0" w:color="auto"/>
        <w:bottom w:val="none" w:sz="0" w:space="0" w:color="auto"/>
        <w:right w:val="none" w:sz="0" w:space="0" w:color="auto"/>
      </w:divBdr>
    </w:div>
    <w:div w:id="342247022">
      <w:bodyDiv w:val="1"/>
      <w:marLeft w:val="0"/>
      <w:marRight w:val="0"/>
      <w:marTop w:val="0"/>
      <w:marBottom w:val="0"/>
      <w:divBdr>
        <w:top w:val="none" w:sz="0" w:space="0" w:color="auto"/>
        <w:left w:val="none" w:sz="0" w:space="0" w:color="auto"/>
        <w:bottom w:val="none" w:sz="0" w:space="0" w:color="auto"/>
        <w:right w:val="none" w:sz="0" w:space="0" w:color="auto"/>
      </w:divBdr>
    </w:div>
    <w:div w:id="359859206">
      <w:bodyDiv w:val="1"/>
      <w:marLeft w:val="0"/>
      <w:marRight w:val="0"/>
      <w:marTop w:val="0"/>
      <w:marBottom w:val="0"/>
      <w:divBdr>
        <w:top w:val="none" w:sz="0" w:space="0" w:color="auto"/>
        <w:left w:val="none" w:sz="0" w:space="0" w:color="auto"/>
        <w:bottom w:val="none" w:sz="0" w:space="0" w:color="auto"/>
        <w:right w:val="none" w:sz="0" w:space="0" w:color="auto"/>
      </w:divBdr>
    </w:div>
    <w:div w:id="362438647">
      <w:bodyDiv w:val="1"/>
      <w:marLeft w:val="0"/>
      <w:marRight w:val="0"/>
      <w:marTop w:val="0"/>
      <w:marBottom w:val="0"/>
      <w:divBdr>
        <w:top w:val="none" w:sz="0" w:space="0" w:color="auto"/>
        <w:left w:val="none" w:sz="0" w:space="0" w:color="auto"/>
        <w:bottom w:val="none" w:sz="0" w:space="0" w:color="auto"/>
        <w:right w:val="none" w:sz="0" w:space="0" w:color="auto"/>
      </w:divBdr>
    </w:div>
    <w:div w:id="375198131">
      <w:bodyDiv w:val="1"/>
      <w:marLeft w:val="0"/>
      <w:marRight w:val="0"/>
      <w:marTop w:val="0"/>
      <w:marBottom w:val="0"/>
      <w:divBdr>
        <w:top w:val="none" w:sz="0" w:space="0" w:color="auto"/>
        <w:left w:val="none" w:sz="0" w:space="0" w:color="auto"/>
        <w:bottom w:val="none" w:sz="0" w:space="0" w:color="auto"/>
        <w:right w:val="none" w:sz="0" w:space="0" w:color="auto"/>
      </w:divBdr>
    </w:div>
    <w:div w:id="393046397">
      <w:bodyDiv w:val="1"/>
      <w:marLeft w:val="0"/>
      <w:marRight w:val="0"/>
      <w:marTop w:val="0"/>
      <w:marBottom w:val="0"/>
      <w:divBdr>
        <w:top w:val="none" w:sz="0" w:space="0" w:color="auto"/>
        <w:left w:val="none" w:sz="0" w:space="0" w:color="auto"/>
        <w:bottom w:val="none" w:sz="0" w:space="0" w:color="auto"/>
        <w:right w:val="none" w:sz="0" w:space="0" w:color="auto"/>
      </w:divBdr>
    </w:div>
    <w:div w:id="394016512">
      <w:bodyDiv w:val="1"/>
      <w:marLeft w:val="0"/>
      <w:marRight w:val="0"/>
      <w:marTop w:val="0"/>
      <w:marBottom w:val="0"/>
      <w:divBdr>
        <w:top w:val="none" w:sz="0" w:space="0" w:color="auto"/>
        <w:left w:val="none" w:sz="0" w:space="0" w:color="auto"/>
        <w:bottom w:val="none" w:sz="0" w:space="0" w:color="auto"/>
        <w:right w:val="none" w:sz="0" w:space="0" w:color="auto"/>
      </w:divBdr>
    </w:div>
    <w:div w:id="405108194">
      <w:bodyDiv w:val="1"/>
      <w:marLeft w:val="0"/>
      <w:marRight w:val="0"/>
      <w:marTop w:val="0"/>
      <w:marBottom w:val="0"/>
      <w:divBdr>
        <w:top w:val="none" w:sz="0" w:space="0" w:color="auto"/>
        <w:left w:val="none" w:sz="0" w:space="0" w:color="auto"/>
        <w:bottom w:val="none" w:sz="0" w:space="0" w:color="auto"/>
        <w:right w:val="none" w:sz="0" w:space="0" w:color="auto"/>
      </w:divBdr>
    </w:div>
    <w:div w:id="405490743">
      <w:bodyDiv w:val="1"/>
      <w:marLeft w:val="0"/>
      <w:marRight w:val="0"/>
      <w:marTop w:val="0"/>
      <w:marBottom w:val="0"/>
      <w:divBdr>
        <w:top w:val="none" w:sz="0" w:space="0" w:color="auto"/>
        <w:left w:val="none" w:sz="0" w:space="0" w:color="auto"/>
        <w:bottom w:val="none" w:sz="0" w:space="0" w:color="auto"/>
        <w:right w:val="none" w:sz="0" w:space="0" w:color="auto"/>
      </w:divBdr>
    </w:div>
    <w:div w:id="432558275">
      <w:bodyDiv w:val="1"/>
      <w:marLeft w:val="0"/>
      <w:marRight w:val="0"/>
      <w:marTop w:val="0"/>
      <w:marBottom w:val="0"/>
      <w:divBdr>
        <w:top w:val="none" w:sz="0" w:space="0" w:color="auto"/>
        <w:left w:val="none" w:sz="0" w:space="0" w:color="auto"/>
        <w:bottom w:val="none" w:sz="0" w:space="0" w:color="auto"/>
        <w:right w:val="none" w:sz="0" w:space="0" w:color="auto"/>
      </w:divBdr>
    </w:div>
    <w:div w:id="458229032">
      <w:bodyDiv w:val="1"/>
      <w:marLeft w:val="0"/>
      <w:marRight w:val="0"/>
      <w:marTop w:val="0"/>
      <w:marBottom w:val="0"/>
      <w:divBdr>
        <w:top w:val="none" w:sz="0" w:space="0" w:color="auto"/>
        <w:left w:val="none" w:sz="0" w:space="0" w:color="auto"/>
        <w:bottom w:val="none" w:sz="0" w:space="0" w:color="auto"/>
        <w:right w:val="none" w:sz="0" w:space="0" w:color="auto"/>
      </w:divBdr>
    </w:div>
    <w:div w:id="459105109">
      <w:bodyDiv w:val="1"/>
      <w:marLeft w:val="0"/>
      <w:marRight w:val="0"/>
      <w:marTop w:val="0"/>
      <w:marBottom w:val="0"/>
      <w:divBdr>
        <w:top w:val="none" w:sz="0" w:space="0" w:color="auto"/>
        <w:left w:val="none" w:sz="0" w:space="0" w:color="auto"/>
        <w:bottom w:val="none" w:sz="0" w:space="0" w:color="auto"/>
        <w:right w:val="none" w:sz="0" w:space="0" w:color="auto"/>
      </w:divBdr>
    </w:div>
    <w:div w:id="481703764">
      <w:bodyDiv w:val="1"/>
      <w:marLeft w:val="0"/>
      <w:marRight w:val="0"/>
      <w:marTop w:val="0"/>
      <w:marBottom w:val="0"/>
      <w:divBdr>
        <w:top w:val="none" w:sz="0" w:space="0" w:color="auto"/>
        <w:left w:val="none" w:sz="0" w:space="0" w:color="auto"/>
        <w:bottom w:val="none" w:sz="0" w:space="0" w:color="auto"/>
        <w:right w:val="none" w:sz="0" w:space="0" w:color="auto"/>
      </w:divBdr>
    </w:div>
    <w:div w:id="506135209">
      <w:bodyDiv w:val="1"/>
      <w:marLeft w:val="0"/>
      <w:marRight w:val="0"/>
      <w:marTop w:val="0"/>
      <w:marBottom w:val="0"/>
      <w:divBdr>
        <w:top w:val="none" w:sz="0" w:space="0" w:color="auto"/>
        <w:left w:val="none" w:sz="0" w:space="0" w:color="auto"/>
        <w:bottom w:val="none" w:sz="0" w:space="0" w:color="auto"/>
        <w:right w:val="none" w:sz="0" w:space="0" w:color="auto"/>
      </w:divBdr>
    </w:div>
    <w:div w:id="522743199">
      <w:bodyDiv w:val="1"/>
      <w:marLeft w:val="0"/>
      <w:marRight w:val="0"/>
      <w:marTop w:val="0"/>
      <w:marBottom w:val="0"/>
      <w:divBdr>
        <w:top w:val="none" w:sz="0" w:space="0" w:color="auto"/>
        <w:left w:val="none" w:sz="0" w:space="0" w:color="auto"/>
        <w:bottom w:val="none" w:sz="0" w:space="0" w:color="auto"/>
        <w:right w:val="none" w:sz="0" w:space="0" w:color="auto"/>
      </w:divBdr>
    </w:div>
    <w:div w:id="542908326">
      <w:bodyDiv w:val="1"/>
      <w:marLeft w:val="0"/>
      <w:marRight w:val="0"/>
      <w:marTop w:val="0"/>
      <w:marBottom w:val="0"/>
      <w:divBdr>
        <w:top w:val="none" w:sz="0" w:space="0" w:color="auto"/>
        <w:left w:val="none" w:sz="0" w:space="0" w:color="auto"/>
        <w:bottom w:val="none" w:sz="0" w:space="0" w:color="auto"/>
        <w:right w:val="none" w:sz="0" w:space="0" w:color="auto"/>
      </w:divBdr>
    </w:div>
    <w:div w:id="564872264">
      <w:bodyDiv w:val="1"/>
      <w:marLeft w:val="0"/>
      <w:marRight w:val="0"/>
      <w:marTop w:val="0"/>
      <w:marBottom w:val="0"/>
      <w:divBdr>
        <w:top w:val="none" w:sz="0" w:space="0" w:color="auto"/>
        <w:left w:val="none" w:sz="0" w:space="0" w:color="auto"/>
        <w:bottom w:val="none" w:sz="0" w:space="0" w:color="auto"/>
        <w:right w:val="none" w:sz="0" w:space="0" w:color="auto"/>
      </w:divBdr>
    </w:div>
    <w:div w:id="565800189">
      <w:bodyDiv w:val="1"/>
      <w:marLeft w:val="0"/>
      <w:marRight w:val="0"/>
      <w:marTop w:val="0"/>
      <w:marBottom w:val="0"/>
      <w:divBdr>
        <w:top w:val="none" w:sz="0" w:space="0" w:color="auto"/>
        <w:left w:val="none" w:sz="0" w:space="0" w:color="auto"/>
        <w:bottom w:val="none" w:sz="0" w:space="0" w:color="auto"/>
        <w:right w:val="none" w:sz="0" w:space="0" w:color="auto"/>
      </w:divBdr>
    </w:div>
    <w:div w:id="565922070">
      <w:bodyDiv w:val="1"/>
      <w:marLeft w:val="0"/>
      <w:marRight w:val="0"/>
      <w:marTop w:val="0"/>
      <w:marBottom w:val="0"/>
      <w:divBdr>
        <w:top w:val="none" w:sz="0" w:space="0" w:color="auto"/>
        <w:left w:val="none" w:sz="0" w:space="0" w:color="auto"/>
        <w:bottom w:val="none" w:sz="0" w:space="0" w:color="auto"/>
        <w:right w:val="none" w:sz="0" w:space="0" w:color="auto"/>
      </w:divBdr>
    </w:div>
    <w:div w:id="577136603">
      <w:bodyDiv w:val="1"/>
      <w:marLeft w:val="0"/>
      <w:marRight w:val="0"/>
      <w:marTop w:val="0"/>
      <w:marBottom w:val="0"/>
      <w:divBdr>
        <w:top w:val="none" w:sz="0" w:space="0" w:color="auto"/>
        <w:left w:val="none" w:sz="0" w:space="0" w:color="auto"/>
        <w:bottom w:val="none" w:sz="0" w:space="0" w:color="auto"/>
        <w:right w:val="none" w:sz="0" w:space="0" w:color="auto"/>
      </w:divBdr>
    </w:div>
    <w:div w:id="623268278">
      <w:bodyDiv w:val="1"/>
      <w:marLeft w:val="0"/>
      <w:marRight w:val="0"/>
      <w:marTop w:val="0"/>
      <w:marBottom w:val="0"/>
      <w:divBdr>
        <w:top w:val="none" w:sz="0" w:space="0" w:color="auto"/>
        <w:left w:val="none" w:sz="0" w:space="0" w:color="auto"/>
        <w:bottom w:val="none" w:sz="0" w:space="0" w:color="auto"/>
        <w:right w:val="none" w:sz="0" w:space="0" w:color="auto"/>
      </w:divBdr>
    </w:div>
    <w:div w:id="624234111">
      <w:bodyDiv w:val="1"/>
      <w:marLeft w:val="0"/>
      <w:marRight w:val="0"/>
      <w:marTop w:val="0"/>
      <w:marBottom w:val="0"/>
      <w:divBdr>
        <w:top w:val="none" w:sz="0" w:space="0" w:color="auto"/>
        <w:left w:val="none" w:sz="0" w:space="0" w:color="auto"/>
        <w:bottom w:val="none" w:sz="0" w:space="0" w:color="auto"/>
        <w:right w:val="none" w:sz="0" w:space="0" w:color="auto"/>
      </w:divBdr>
    </w:div>
    <w:div w:id="627081046">
      <w:bodyDiv w:val="1"/>
      <w:marLeft w:val="0"/>
      <w:marRight w:val="0"/>
      <w:marTop w:val="0"/>
      <w:marBottom w:val="0"/>
      <w:divBdr>
        <w:top w:val="none" w:sz="0" w:space="0" w:color="auto"/>
        <w:left w:val="none" w:sz="0" w:space="0" w:color="auto"/>
        <w:bottom w:val="none" w:sz="0" w:space="0" w:color="auto"/>
        <w:right w:val="none" w:sz="0" w:space="0" w:color="auto"/>
      </w:divBdr>
    </w:div>
    <w:div w:id="634071179">
      <w:bodyDiv w:val="1"/>
      <w:marLeft w:val="0"/>
      <w:marRight w:val="0"/>
      <w:marTop w:val="0"/>
      <w:marBottom w:val="0"/>
      <w:divBdr>
        <w:top w:val="none" w:sz="0" w:space="0" w:color="auto"/>
        <w:left w:val="none" w:sz="0" w:space="0" w:color="auto"/>
        <w:bottom w:val="none" w:sz="0" w:space="0" w:color="auto"/>
        <w:right w:val="none" w:sz="0" w:space="0" w:color="auto"/>
      </w:divBdr>
    </w:div>
    <w:div w:id="655033377">
      <w:bodyDiv w:val="1"/>
      <w:marLeft w:val="0"/>
      <w:marRight w:val="0"/>
      <w:marTop w:val="0"/>
      <w:marBottom w:val="0"/>
      <w:divBdr>
        <w:top w:val="none" w:sz="0" w:space="0" w:color="auto"/>
        <w:left w:val="none" w:sz="0" w:space="0" w:color="auto"/>
        <w:bottom w:val="none" w:sz="0" w:space="0" w:color="auto"/>
        <w:right w:val="none" w:sz="0" w:space="0" w:color="auto"/>
      </w:divBdr>
    </w:div>
    <w:div w:id="685521728">
      <w:bodyDiv w:val="1"/>
      <w:marLeft w:val="0"/>
      <w:marRight w:val="0"/>
      <w:marTop w:val="0"/>
      <w:marBottom w:val="0"/>
      <w:divBdr>
        <w:top w:val="none" w:sz="0" w:space="0" w:color="auto"/>
        <w:left w:val="none" w:sz="0" w:space="0" w:color="auto"/>
        <w:bottom w:val="none" w:sz="0" w:space="0" w:color="auto"/>
        <w:right w:val="none" w:sz="0" w:space="0" w:color="auto"/>
      </w:divBdr>
    </w:div>
    <w:div w:id="686712426">
      <w:bodyDiv w:val="1"/>
      <w:marLeft w:val="0"/>
      <w:marRight w:val="0"/>
      <w:marTop w:val="0"/>
      <w:marBottom w:val="0"/>
      <w:divBdr>
        <w:top w:val="none" w:sz="0" w:space="0" w:color="auto"/>
        <w:left w:val="none" w:sz="0" w:space="0" w:color="auto"/>
        <w:bottom w:val="none" w:sz="0" w:space="0" w:color="auto"/>
        <w:right w:val="none" w:sz="0" w:space="0" w:color="auto"/>
      </w:divBdr>
    </w:div>
    <w:div w:id="690571203">
      <w:bodyDiv w:val="1"/>
      <w:marLeft w:val="0"/>
      <w:marRight w:val="0"/>
      <w:marTop w:val="0"/>
      <w:marBottom w:val="0"/>
      <w:divBdr>
        <w:top w:val="none" w:sz="0" w:space="0" w:color="auto"/>
        <w:left w:val="none" w:sz="0" w:space="0" w:color="auto"/>
        <w:bottom w:val="none" w:sz="0" w:space="0" w:color="auto"/>
        <w:right w:val="none" w:sz="0" w:space="0" w:color="auto"/>
      </w:divBdr>
    </w:div>
    <w:div w:id="706181718">
      <w:bodyDiv w:val="1"/>
      <w:marLeft w:val="0"/>
      <w:marRight w:val="0"/>
      <w:marTop w:val="0"/>
      <w:marBottom w:val="0"/>
      <w:divBdr>
        <w:top w:val="none" w:sz="0" w:space="0" w:color="auto"/>
        <w:left w:val="none" w:sz="0" w:space="0" w:color="auto"/>
        <w:bottom w:val="none" w:sz="0" w:space="0" w:color="auto"/>
        <w:right w:val="none" w:sz="0" w:space="0" w:color="auto"/>
      </w:divBdr>
    </w:div>
    <w:div w:id="710106876">
      <w:bodyDiv w:val="1"/>
      <w:marLeft w:val="0"/>
      <w:marRight w:val="0"/>
      <w:marTop w:val="0"/>
      <w:marBottom w:val="0"/>
      <w:divBdr>
        <w:top w:val="none" w:sz="0" w:space="0" w:color="auto"/>
        <w:left w:val="none" w:sz="0" w:space="0" w:color="auto"/>
        <w:bottom w:val="none" w:sz="0" w:space="0" w:color="auto"/>
        <w:right w:val="none" w:sz="0" w:space="0" w:color="auto"/>
      </w:divBdr>
    </w:div>
    <w:div w:id="742946411">
      <w:bodyDiv w:val="1"/>
      <w:marLeft w:val="0"/>
      <w:marRight w:val="0"/>
      <w:marTop w:val="0"/>
      <w:marBottom w:val="0"/>
      <w:divBdr>
        <w:top w:val="none" w:sz="0" w:space="0" w:color="auto"/>
        <w:left w:val="none" w:sz="0" w:space="0" w:color="auto"/>
        <w:bottom w:val="none" w:sz="0" w:space="0" w:color="auto"/>
        <w:right w:val="none" w:sz="0" w:space="0" w:color="auto"/>
      </w:divBdr>
    </w:div>
    <w:div w:id="765003925">
      <w:bodyDiv w:val="1"/>
      <w:marLeft w:val="0"/>
      <w:marRight w:val="0"/>
      <w:marTop w:val="0"/>
      <w:marBottom w:val="0"/>
      <w:divBdr>
        <w:top w:val="none" w:sz="0" w:space="0" w:color="auto"/>
        <w:left w:val="none" w:sz="0" w:space="0" w:color="auto"/>
        <w:bottom w:val="none" w:sz="0" w:space="0" w:color="auto"/>
        <w:right w:val="none" w:sz="0" w:space="0" w:color="auto"/>
      </w:divBdr>
    </w:div>
    <w:div w:id="768233687">
      <w:bodyDiv w:val="1"/>
      <w:marLeft w:val="0"/>
      <w:marRight w:val="0"/>
      <w:marTop w:val="0"/>
      <w:marBottom w:val="0"/>
      <w:divBdr>
        <w:top w:val="none" w:sz="0" w:space="0" w:color="auto"/>
        <w:left w:val="none" w:sz="0" w:space="0" w:color="auto"/>
        <w:bottom w:val="none" w:sz="0" w:space="0" w:color="auto"/>
        <w:right w:val="none" w:sz="0" w:space="0" w:color="auto"/>
      </w:divBdr>
    </w:div>
    <w:div w:id="771781145">
      <w:bodyDiv w:val="1"/>
      <w:marLeft w:val="0"/>
      <w:marRight w:val="0"/>
      <w:marTop w:val="0"/>
      <w:marBottom w:val="0"/>
      <w:divBdr>
        <w:top w:val="none" w:sz="0" w:space="0" w:color="auto"/>
        <w:left w:val="none" w:sz="0" w:space="0" w:color="auto"/>
        <w:bottom w:val="none" w:sz="0" w:space="0" w:color="auto"/>
        <w:right w:val="none" w:sz="0" w:space="0" w:color="auto"/>
      </w:divBdr>
    </w:div>
    <w:div w:id="775057374">
      <w:bodyDiv w:val="1"/>
      <w:marLeft w:val="0"/>
      <w:marRight w:val="0"/>
      <w:marTop w:val="0"/>
      <w:marBottom w:val="0"/>
      <w:divBdr>
        <w:top w:val="none" w:sz="0" w:space="0" w:color="auto"/>
        <w:left w:val="none" w:sz="0" w:space="0" w:color="auto"/>
        <w:bottom w:val="none" w:sz="0" w:space="0" w:color="auto"/>
        <w:right w:val="none" w:sz="0" w:space="0" w:color="auto"/>
      </w:divBdr>
    </w:div>
    <w:div w:id="777599762">
      <w:bodyDiv w:val="1"/>
      <w:marLeft w:val="0"/>
      <w:marRight w:val="0"/>
      <w:marTop w:val="0"/>
      <w:marBottom w:val="0"/>
      <w:divBdr>
        <w:top w:val="none" w:sz="0" w:space="0" w:color="auto"/>
        <w:left w:val="none" w:sz="0" w:space="0" w:color="auto"/>
        <w:bottom w:val="none" w:sz="0" w:space="0" w:color="auto"/>
        <w:right w:val="none" w:sz="0" w:space="0" w:color="auto"/>
      </w:divBdr>
    </w:div>
    <w:div w:id="816603744">
      <w:bodyDiv w:val="1"/>
      <w:marLeft w:val="0"/>
      <w:marRight w:val="0"/>
      <w:marTop w:val="0"/>
      <w:marBottom w:val="0"/>
      <w:divBdr>
        <w:top w:val="none" w:sz="0" w:space="0" w:color="auto"/>
        <w:left w:val="none" w:sz="0" w:space="0" w:color="auto"/>
        <w:bottom w:val="none" w:sz="0" w:space="0" w:color="auto"/>
        <w:right w:val="none" w:sz="0" w:space="0" w:color="auto"/>
      </w:divBdr>
    </w:div>
    <w:div w:id="821655555">
      <w:bodyDiv w:val="1"/>
      <w:marLeft w:val="0"/>
      <w:marRight w:val="0"/>
      <w:marTop w:val="0"/>
      <w:marBottom w:val="0"/>
      <w:divBdr>
        <w:top w:val="none" w:sz="0" w:space="0" w:color="auto"/>
        <w:left w:val="none" w:sz="0" w:space="0" w:color="auto"/>
        <w:bottom w:val="none" w:sz="0" w:space="0" w:color="auto"/>
        <w:right w:val="none" w:sz="0" w:space="0" w:color="auto"/>
      </w:divBdr>
    </w:div>
    <w:div w:id="837578081">
      <w:bodyDiv w:val="1"/>
      <w:marLeft w:val="0"/>
      <w:marRight w:val="0"/>
      <w:marTop w:val="0"/>
      <w:marBottom w:val="0"/>
      <w:divBdr>
        <w:top w:val="none" w:sz="0" w:space="0" w:color="auto"/>
        <w:left w:val="none" w:sz="0" w:space="0" w:color="auto"/>
        <w:bottom w:val="none" w:sz="0" w:space="0" w:color="auto"/>
        <w:right w:val="none" w:sz="0" w:space="0" w:color="auto"/>
      </w:divBdr>
    </w:div>
    <w:div w:id="854079268">
      <w:bodyDiv w:val="1"/>
      <w:marLeft w:val="0"/>
      <w:marRight w:val="0"/>
      <w:marTop w:val="0"/>
      <w:marBottom w:val="0"/>
      <w:divBdr>
        <w:top w:val="none" w:sz="0" w:space="0" w:color="auto"/>
        <w:left w:val="none" w:sz="0" w:space="0" w:color="auto"/>
        <w:bottom w:val="none" w:sz="0" w:space="0" w:color="auto"/>
        <w:right w:val="none" w:sz="0" w:space="0" w:color="auto"/>
      </w:divBdr>
    </w:div>
    <w:div w:id="862401397">
      <w:bodyDiv w:val="1"/>
      <w:marLeft w:val="0"/>
      <w:marRight w:val="0"/>
      <w:marTop w:val="0"/>
      <w:marBottom w:val="0"/>
      <w:divBdr>
        <w:top w:val="none" w:sz="0" w:space="0" w:color="auto"/>
        <w:left w:val="none" w:sz="0" w:space="0" w:color="auto"/>
        <w:bottom w:val="none" w:sz="0" w:space="0" w:color="auto"/>
        <w:right w:val="none" w:sz="0" w:space="0" w:color="auto"/>
      </w:divBdr>
    </w:div>
    <w:div w:id="862668917">
      <w:bodyDiv w:val="1"/>
      <w:marLeft w:val="0"/>
      <w:marRight w:val="0"/>
      <w:marTop w:val="0"/>
      <w:marBottom w:val="0"/>
      <w:divBdr>
        <w:top w:val="none" w:sz="0" w:space="0" w:color="auto"/>
        <w:left w:val="none" w:sz="0" w:space="0" w:color="auto"/>
        <w:bottom w:val="none" w:sz="0" w:space="0" w:color="auto"/>
        <w:right w:val="none" w:sz="0" w:space="0" w:color="auto"/>
      </w:divBdr>
    </w:div>
    <w:div w:id="862982457">
      <w:bodyDiv w:val="1"/>
      <w:marLeft w:val="0"/>
      <w:marRight w:val="0"/>
      <w:marTop w:val="0"/>
      <w:marBottom w:val="0"/>
      <w:divBdr>
        <w:top w:val="none" w:sz="0" w:space="0" w:color="auto"/>
        <w:left w:val="none" w:sz="0" w:space="0" w:color="auto"/>
        <w:bottom w:val="none" w:sz="0" w:space="0" w:color="auto"/>
        <w:right w:val="none" w:sz="0" w:space="0" w:color="auto"/>
      </w:divBdr>
    </w:div>
    <w:div w:id="878395858">
      <w:bodyDiv w:val="1"/>
      <w:marLeft w:val="0"/>
      <w:marRight w:val="0"/>
      <w:marTop w:val="0"/>
      <w:marBottom w:val="0"/>
      <w:divBdr>
        <w:top w:val="none" w:sz="0" w:space="0" w:color="auto"/>
        <w:left w:val="none" w:sz="0" w:space="0" w:color="auto"/>
        <w:bottom w:val="none" w:sz="0" w:space="0" w:color="auto"/>
        <w:right w:val="none" w:sz="0" w:space="0" w:color="auto"/>
      </w:divBdr>
    </w:div>
    <w:div w:id="891576068">
      <w:bodyDiv w:val="1"/>
      <w:marLeft w:val="0"/>
      <w:marRight w:val="0"/>
      <w:marTop w:val="0"/>
      <w:marBottom w:val="0"/>
      <w:divBdr>
        <w:top w:val="none" w:sz="0" w:space="0" w:color="auto"/>
        <w:left w:val="none" w:sz="0" w:space="0" w:color="auto"/>
        <w:bottom w:val="none" w:sz="0" w:space="0" w:color="auto"/>
        <w:right w:val="none" w:sz="0" w:space="0" w:color="auto"/>
      </w:divBdr>
    </w:div>
    <w:div w:id="921454571">
      <w:bodyDiv w:val="1"/>
      <w:marLeft w:val="0"/>
      <w:marRight w:val="0"/>
      <w:marTop w:val="0"/>
      <w:marBottom w:val="0"/>
      <w:divBdr>
        <w:top w:val="none" w:sz="0" w:space="0" w:color="auto"/>
        <w:left w:val="none" w:sz="0" w:space="0" w:color="auto"/>
        <w:bottom w:val="none" w:sz="0" w:space="0" w:color="auto"/>
        <w:right w:val="none" w:sz="0" w:space="0" w:color="auto"/>
      </w:divBdr>
    </w:div>
    <w:div w:id="930704991">
      <w:bodyDiv w:val="1"/>
      <w:marLeft w:val="0"/>
      <w:marRight w:val="0"/>
      <w:marTop w:val="0"/>
      <w:marBottom w:val="0"/>
      <w:divBdr>
        <w:top w:val="none" w:sz="0" w:space="0" w:color="auto"/>
        <w:left w:val="none" w:sz="0" w:space="0" w:color="auto"/>
        <w:bottom w:val="none" w:sz="0" w:space="0" w:color="auto"/>
        <w:right w:val="none" w:sz="0" w:space="0" w:color="auto"/>
      </w:divBdr>
    </w:div>
    <w:div w:id="934702876">
      <w:bodyDiv w:val="1"/>
      <w:marLeft w:val="0"/>
      <w:marRight w:val="0"/>
      <w:marTop w:val="0"/>
      <w:marBottom w:val="0"/>
      <w:divBdr>
        <w:top w:val="none" w:sz="0" w:space="0" w:color="auto"/>
        <w:left w:val="none" w:sz="0" w:space="0" w:color="auto"/>
        <w:bottom w:val="none" w:sz="0" w:space="0" w:color="auto"/>
        <w:right w:val="none" w:sz="0" w:space="0" w:color="auto"/>
      </w:divBdr>
    </w:div>
    <w:div w:id="935943076">
      <w:bodyDiv w:val="1"/>
      <w:marLeft w:val="0"/>
      <w:marRight w:val="0"/>
      <w:marTop w:val="0"/>
      <w:marBottom w:val="0"/>
      <w:divBdr>
        <w:top w:val="none" w:sz="0" w:space="0" w:color="auto"/>
        <w:left w:val="none" w:sz="0" w:space="0" w:color="auto"/>
        <w:bottom w:val="none" w:sz="0" w:space="0" w:color="auto"/>
        <w:right w:val="none" w:sz="0" w:space="0" w:color="auto"/>
      </w:divBdr>
    </w:div>
    <w:div w:id="947467733">
      <w:bodyDiv w:val="1"/>
      <w:marLeft w:val="0"/>
      <w:marRight w:val="0"/>
      <w:marTop w:val="0"/>
      <w:marBottom w:val="0"/>
      <w:divBdr>
        <w:top w:val="none" w:sz="0" w:space="0" w:color="auto"/>
        <w:left w:val="none" w:sz="0" w:space="0" w:color="auto"/>
        <w:bottom w:val="none" w:sz="0" w:space="0" w:color="auto"/>
        <w:right w:val="none" w:sz="0" w:space="0" w:color="auto"/>
      </w:divBdr>
    </w:div>
    <w:div w:id="948704977">
      <w:bodyDiv w:val="1"/>
      <w:marLeft w:val="0"/>
      <w:marRight w:val="0"/>
      <w:marTop w:val="0"/>
      <w:marBottom w:val="0"/>
      <w:divBdr>
        <w:top w:val="none" w:sz="0" w:space="0" w:color="auto"/>
        <w:left w:val="none" w:sz="0" w:space="0" w:color="auto"/>
        <w:bottom w:val="none" w:sz="0" w:space="0" w:color="auto"/>
        <w:right w:val="none" w:sz="0" w:space="0" w:color="auto"/>
      </w:divBdr>
    </w:div>
    <w:div w:id="957569737">
      <w:bodyDiv w:val="1"/>
      <w:marLeft w:val="0"/>
      <w:marRight w:val="0"/>
      <w:marTop w:val="0"/>
      <w:marBottom w:val="0"/>
      <w:divBdr>
        <w:top w:val="none" w:sz="0" w:space="0" w:color="auto"/>
        <w:left w:val="none" w:sz="0" w:space="0" w:color="auto"/>
        <w:bottom w:val="none" w:sz="0" w:space="0" w:color="auto"/>
        <w:right w:val="none" w:sz="0" w:space="0" w:color="auto"/>
      </w:divBdr>
    </w:div>
    <w:div w:id="1009257825">
      <w:bodyDiv w:val="1"/>
      <w:marLeft w:val="0"/>
      <w:marRight w:val="0"/>
      <w:marTop w:val="0"/>
      <w:marBottom w:val="0"/>
      <w:divBdr>
        <w:top w:val="none" w:sz="0" w:space="0" w:color="auto"/>
        <w:left w:val="none" w:sz="0" w:space="0" w:color="auto"/>
        <w:bottom w:val="none" w:sz="0" w:space="0" w:color="auto"/>
        <w:right w:val="none" w:sz="0" w:space="0" w:color="auto"/>
      </w:divBdr>
    </w:div>
    <w:div w:id="1021586012">
      <w:bodyDiv w:val="1"/>
      <w:marLeft w:val="0"/>
      <w:marRight w:val="0"/>
      <w:marTop w:val="0"/>
      <w:marBottom w:val="0"/>
      <w:divBdr>
        <w:top w:val="none" w:sz="0" w:space="0" w:color="auto"/>
        <w:left w:val="none" w:sz="0" w:space="0" w:color="auto"/>
        <w:bottom w:val="none" w:sz="0" w:space="0" w:color="auto"/>
        <w:right w:val="none" w:sz="0" w:space="0" w:color="auto"/>
      </w:divBdr>
    </w:div>
    <w:div w:id="1040670165">
      <w:bodyDiv w:val="1"/>
      <w:marLeft w:val="0"/>
      <w:marRight w:val="0"/>
      <w:marTop w:val="0"/>
      <w:marBottom w:val="0"/>
      <w:divBdr>
        <w:top w:val="none" w:sz="0" w:space="0" w:color="auto"/>
        <w:left w:val="none" w:sz="0" w:space="0" w:color="auto"/>
        <w:bottom w:val="none" w:sz="0" w:space="0" w:color="auto"/>
        <w:right w:val="none" w:sz="0" w:space="0" w:color="auto"/>
      </w:divBdr>
    </w:div>
    <w:div w:id="1054231666">
      <w:bodyDiv w:val="1"/>
      <w:marLeft w:val="0"/>
      <w:marRight w:val="0"/>
      <w:marTop w:val="0"/>
      <w:marBottom w:val="0"/>
      <w:divBdr>
        <w:top w:val="none" w:sz="0" w:space="0" w:color="auto"/>
        <w:left w:val="none" w:sz="0" w:space="0" w:color="auto"/>
        <w:bottom w:val="none" w:sz="0" w:space="0" w:color="auto"/>
        <w:right w:val="none" w:sz="0" w:space="0" w:color="auto"/>
      </w:divBdr>
    </w:div>
    <w:div w:id="1079255304">
      <w:bodyDiv w:val="1"/>
      <w:marLeft w:val="0"/>
      <w:marRight w:val="0"/>
      <w:marTop w:val="0"/>
      <w:marBottom w:val="0"/>
      <w:divBdr>
        <w:top w:val="none" w:sz="0" w:space="0" w:color="auto"/>
        <w:left w:val="none" w:sz="0" w:space="0" w:color="auto"/>
        <w:bottom w:val="none" w:sz="0" w:space="0" w:color="auto"/>
        <w:right w:val="none" w:sz="0" w:space="0" w:color="auto"/>
      </w:divBdr>
    </w:div>
    <w:div w:id="1128472419">
      <w:bodyDiv w:val="1"/>
      <w:marLeft w:val="0"/>
      <w:marRight w:val="0"/>
      <w:marTop w:val="0"/>
      <w:marBottom w:val="0"/>
      <w:divBdr>
        <w:top w:val="none" w:sz="0" w:space="0" w:color="auto"/>
        <w:left w:val="none" w:sz="0" w:space="0" w:color="auto"/>
        <w:bottom w:val="none" w:sz="0" w:space="0" w:color="auto"/>
        <w:right w:val="none" w:sz="0" w:space="0" w:color="auto"/>
      </w:divBdr>
    </w:div>
    <w:div w:id="1131442685">
      <w:bodyDiv w:val="1"/>
      <w:marLeft w:val="0"/>
      <w:marRight w:val="0"/>
      <w:marTop w:val="0"/>
      <w:marBottom w:val="0"/>
      <w:divBdr>
        <w:top w:val="none" w:sz="0" w:space="0" w:color="auto"/>
        <w:left w:val="none" w:sz="0" w:space="0" w:color="auto"/>
        <w:bottom w:val="none" w:sz="0" w:space="0" w:color="auto"/>
        <w:right w:val="none" w:sz="0" w:space="0" w:color="auto"/>
      </w:divBdr>
    </w:div>
    <w:div w:id="1137794629">
      <w:bodyDiv w:val="1"/>
      <w:marLeft w:val="0"/>
      <w:marRight w:val="0"/>
      <w:marTop w:val="0"/>
      <w:marBottom w:val="0"/>
      <w:divBdr>
        <w:top w:val="none" w:sz="0" w:space="0" w:color="auto"/>
        <w:left w:val="none" w:sz="0" w:space="0" w:color="auto"/>
        <w:bottom w:val="none" w:sz="0" w:space="0" w:color="auto"/>
        <w:right w:val="none" w:sz="0" w:space="0" w:color="auto"/>
      </w:divBdr>
    </w:div>
    <w:div w:id="1140417150">
      <w:bodyDiv w:val="1"/>
      <w:marLeft w:val="0"/>
      <w:marRight w:val="0"/>
      <w:marTop w:val="0"/>
      <w:marBottom w:val="0"/>
      <w:divBdr>
        <w:top w:val="none" w:sz="0" w:space="0" w:color="auto"/>
        <w:left w:val="none" w:sz="0" w:space="0" w:color="auto"/>
        <w:bottom w:val="none" w:sz="0" w:space="0" w:color="auto"/>
        <w:right w:val="none" w:sz="0" w:space="0" w:color="auto"/>
      </w:divBdr>
    </w:div>
    <w:div w:id="1143935179">
      <w:bodyDiv w:val="1"/>
      <w:marLeft w:val="0"/>
      <w:marRight w:val="0"/>
      <w:marTop w:val="0"/>
      <w:marBottom w:val="0"/>
      <w:divBdr>
        <w:top w:val="none" w:sz="0" w:space="0" w:color="auto"/>
        <w:left w:val="none" w:sz="0" w:space="0" w:color="auto"/>
        <w:bottom w:val="none" w:sz="0" w:space="0" w:color="auto"/>
        <w:right w:val="none" w:sz="0" w:space="0" w:color="auto"/>
      </w:divBdr>
    </w:div>
    <w:div w:id="1187595407">
      <w:bodyDiv w:val="1"/>
      <w:marLeft w:val="0"/>
      <w:marRight w:val="0"/>
      <w:marTop w:val="0"/>
      <w:marBottom w:val="0"/>
      <w:divBdr>
        <w:top w:val="none" w:sz="0" w:space="0" w:color="auto"/>
        <w:left w:val="none" w:sz="0" w:space="0" w:color="auto"/>
        <w:bottom w:val="none" w:sz="0" w:space="0" w:color="auto"/>
        <w:right w:val="none" w:sz="0" w:space="0" w:color="auto"/>
      </w:divBdr>
    </w:div>
    <w:div w:id="1190682486">
      <w:bodyDiv w:val="1"/>
      <w:marLeft w:val="0"/>
      <w:marRight w:val="0"/>
      <w:marTop w:val="0"/>
      <w:marBottom w:val="0"/>
      <w:divBdr>
        <w:top w:val="none" w:sz="0" w:space="0" w:color="auto"/>
        <w:left w:val="none" w:sz="0" w:space="0" w:color="auto"/>
        <w:bottom w:val="none" w:sz="0" w:space="0" w:color="auto"/>
        <w:right w:val="none" w:sz="0" w:space="0" w:color="auto"/>
      </w:divBdr>
    </w:div>
    <w:div w:id="1204488545">
      <w:bodyDiv w:val="1"/>
      <w:marLeft w:val="0"/>
      <w:marRight w:val="0"/>
      <w:marTop w:val="0"/>
      <w:marBottom w:val="0"/>
      <w:divBdr>
        <w:top w:val="none" w:sz="0" w:space="0" w:color="auto"/>
        <w:left w:val="none" w:sz="0" w:space="0" w:color="auto"/>
        <w:bottom w:val="none" w:sz="0" w:space="0" w:color="auto"/>
        <w:right w:val="none" w:sz="0" w:space="0" w:color="auto"/>
      </w:divBdr>
    </w:div>
    <w:div w:id="1210412400">
      <w:bodyDiv w:val="1"/>
      <w:marLeft w:val="0"/>
      <w:marRight w:val="0"/>
      <w:marTop w:val="0"/>
      <w:marBottom w:val="0"/>
      <w:divBdr>
        <w:top w:val="none" w:sz="0" w:space="0" w:color="auto"/>
        <w:left w:val="none" w:sz="0" w:space="0" w:color="auto"/>
        <w:bottom w:val="none" w:sz="0" w:space="0" w:color="auto"/>
        <w:right w:val="none" w:sz="0" w:space="0" w:color="auto"/>
      </w:divBdr>
    </w:div>
    <w:div w:id="1235582189">
      <w:bodyDiv w:val="1"/>
      <w:marLeft w:val="0"/>
      <w:marRight w:val="0"/>
      <w:marTop w:val="0"/>
      <w:marBottom w:val="0"/>
      <w:divBdr>
        <w:top w:val="none" w:sz="0" w:space="0" w:color="auto"/>
        <w:left w:val="none" w:sz="0" w:space="0" w:color="auto"/>
        <w:bottom w:val="none" w:sz="0" w:space="0" w:color="auto"/>
        <w:right w:val="none" w:sz="0" w:space="0" w:color="auto"/>
      </w:divBdr>
    </w:div>
    <w:div w:id="1263413200">
      <w:bodyDiv w:val="1"/>
      <w:marLeft w:val="0"/>
      <w:marRight w:val="0"/>
      <w:marTop w:val="0"/>
      <w:marBottom w:val="0"/>
      <w:divBdr>
        <w:top w:val="none" w:sz="0" w:space="0" w:color="auto"/>
        <w:left w:val="none" w:sz="0" w:space="0" w:color="auto"/>
        <w:bottom w:val="none" w:sz="0" w:space="0" w:color="auto"/>
        <w:right w:val="none" w:sz="0" w:space="0" w:color="auto"/>
      </w:divBdr>
    </w:div>
    <w:div w:id="1272199316">
      <w:bodyDiv w:val="1"/>
      <w:marLeft w:val="0"/>
      <w:marRight w:val="0"/>
      <w:marTop w:val="0"/>
      <w:marBottom w:val="0"/>
      <w:divBdr>
        <w:top w:val="none" w:sz="0" w:space="0" w:color="auto"/>
        <w:left w:val="none" w:sz="0" w:space="0" w:color="auto"/>
        <w:bottom w:val="none" w:sz="0" w:space="0" w:color="auto"/>
        <w:right w:val="none" w:sz="0" w:space="0" w:color="auto"/>
      </w:divBdr>
    </w:div>
    <w:div w:id="1311520765">
      <w:bodyDiv w:val="1"/>
      <w:marLeft w:val="0"/>
      <w:marRight w:val="0"/>
      <w:marTop w:val="0"/>
      <w:marBottom w:val="0"/>
      <w:divBdr>
        <w:top w:val="none" w:sz="0" w:space="0" w:color="auto"/>
        <w:left w:val="none" w:sz="0" w:space="0" w:color="auto"/>
        <w:bottom w:val="none" w:sz="0" w:space="0" w:color="auto"/>
        <w:right w:val="none" w:sz="0" w:space="0" w:color="auto"/>
      </w:divBdr>
    </w:div>
    <w:div w:id="1318262852">
      <w:bodyDiv w:val="1"/>
      <w:marLeft w:val="0"/>
      <w:marRight w:val="0"/>
      <w:marTop w:val="0"/>
      <w:marBottom w:val="0"/>
      <w:divBdr>
        <w:top w:val="none" w:sz="0" w:space="0" w:color="auto"/>
        <w:left w:val="none" w:sz="0" w:space="0" w:color="auto"/>
        <w:bottom w:val="none" w:sz="0" w:space="0" w:color="auto"/>
        <w:right w:val="none" w:sz="0" w:space="0" w:color="auto"/>
      </w:divBdr>
    </w:div>
    <w:div w:id="1319964530">
      <w:bodyDiv w:val="1"/>
      <w:marLeft w:val="0"/>
      <w:marRight w:val="0"/>
      <w:marTop w:val="0"/>
      <w:marBottom w:val="0"/>
      <w:divBdr>
        <w:top w:val="none" w:sz="0" w:space="0" w:color="auto"/>
        <w:left w:val="none" w:sz="0" w:space="0" w:color="auto"/>
        <w:bottom w:val="none" w:sz="0" w:space="0" w:color="auto"/>
        <w:right w:val="none" w:sz="0" w:space="0" w:color="auto"/>
      </w:divBdr>
    </w:div>
    <w:div w:id="1337419692">
      <w:bodyDiv w:val="1"/>
      <w:marLeft w:val="0"/>
      <w:marRight w:val="0"/>
      <w:marTop w:val="0"/>
      <w:marBottom w:val="0"/>
      <w:divBdr>
        <w:top w:val="none" w:sz="0" w:space="0" w:color="auto"/>
        <w:left w:val="none" w:sz="0" w:space="0" w:color="auto"/>
        <w:bottom w:val="none" w:sz="0" w:space="0" w:color="auto"/>
        <w:right w:val="none" w:sz="0" w:space="0" w:color="auto"/>
      </w:divBdr>
    </w:div>
    <w:div w:id="1349719304">
      <w:bodyDiv w:val="1"/>
      <w:marLeft w:val="0"/>
      <w:marRight w:val="0"/>
      <w:marTop w:val="0"/>
      <w:marBottom w:val="0"/>
      <w:divBdr>
        <w:top w:val="none" w:sz="0" w:space="0" w:color="auto"/>
        <w:left w:val="none" w:sz="0" w:space="0" w:color="auto"/>
        <w:bottom w:val="none" w:sz="0" w:space="0" w:color="auto"/>
        <w:right w:val="none" w:sz="0" w:space="0" w:color="auto"/>
      </w:divBdr>
    </w:div>
    <w:div w:id="1369377294">
      <w:bodyDiv w:val="1"/>
      <w:marLeft w:val="0"/>
      <w:marRight w:val="0"/>
      <w:marTop w:val="0"/>
      <w:marBottom w:val="0"/>
      <w:divBdr>
        <w:top w:val="none" w:sz="0" w:space="0" w:color="auto"/>
        <w:left w:val="none" w:sz="0" w:space="0" w:color="auto"/>
        <w:bottom w:val="none" w:sz="0" w:space="0" w:color="auto"/>
        <w:right w:val="none" w:sz="0" w:space="0" w:color="auto"/>
      </w:divBdr>
    </w:div>
    <w:div w:id="1370564336">
      <w:bodyDiv w:val="1"/>
      <w:marLeft w:val="0"/>
      <w:marRight w:val="0"/>
      <w:marTop w:val="0"/>
      <w:marBottom w:val="0"/>
      <w:divBdr>
        <w:top w:val="none" w:sz="0" w:space="0" w:color="auto"/>
        <w:left w:val="none" w:sz="0" w:space="0" w:color="auto"/>
        <w:bottom w:val="none" w:sz="0" w:space="0" w:color="auto"/>
        <w:right w:val="none" w:sz="0" w:space="0" w:color="auto"/>
      </w:divBdr>
    </w:div>
    <w:div w:id="1382366638">
      <w:bodyDiv w:val="1"/>
      <w:marLeft w:val="0"/>
      <w:marRight w:val="0"/>
      <w:marTop w:val="0"/>
      <w:marBottom w:val="0"/>
      <w:divBdr>
        <w:top w:val="none" w:sz="0" w:space="0" w:color="auto"/>
        <w:left w:val="none" w:sz="0" w:space="0" w:color="auto"/>
        <w:bottom w:val="none" w:sz="0" w:space="0" w:color="auto"/>
        <w:right w:val="none" w:sz="0" w:space="0" w:color="auto"/>
      </w:divBdr>
    </w:div>
    <w:div w:id="1393961968">
      <w:bodyDiv w:val="1"/>
      <w:marLeft w:val="0"/>
      <w:marRight w:val="0"/>
      <w:marTop w:val="0"/>
      <w:marBottom w:val="0"/>
      <w:divBdr>
        <w:top w:val="none" w:sz="0" w:space="0" w:color="auto"/>
        <w:left w:val="none" w:sz="0" w:space="0" w:color="auto"/>
        <w:bottom w:val="none" w:sz="0" w:space="0" w:color="auto"/>
        <w:right w:val="none" w:sz="0" w:space="0" w:color="auto"/>
      </w:divBdr>
    </w:div>
    <w:div w:id="1400713860">
      <w:bodyDiv w:val="1"/>
      <w:marLeft w:val="0"/>
      <w:marRight w:val="0"/>
      <w:marTop w:val="0"/>
      <w:marBottom w:val="0"/>
      <w:divBdr>
        <w:top w:val="none" w:sz="0" w:space="0" w:color="auto"/>
        <w:left w:val="none" w:sz="0" w:space="0" w:color="auto"/>
        <w:bottom w:val="none" w:sz="0" w:space="0" w:color="auto"/>
        <w:right w:val="none" w:sz="0" w:space="0" w:color="auto"/>
      </w:divBdr>
    </w:div>
    <w:div w:id="1401294932">
      <w:bodyDiv w:val="1"/>
      <w:marLeft w:val="0"/>
      <w:marRight w:val="0"/>
      <w:marTop w:val="0"/>
      <w:marBottom w:val="0"/>
      <w:divBdr>
        <w:top w:val="none" w:sz="0" w:space="0" w:color="auto"/>
        <w:left w:val="none" w:sz="0" w:space="0" w:color="auto"/>
        <w:bottom w:val="none" w:sz="0" w:space="0" w:color="auto"/>
        <w:right w:val="none" w:sz="0" w:space="0" w:color="auto"/>
      </w:divBdr>
    </w:div>
    <w:div w:id="1403914459">
      <w:bodyDiv w:val="1"/>
      <w:marLeft w:val="0"/>
      <w:marRight w:val="0"/>
      <w:marTop w:val="0"/>
      <w:marBottom w:val="0"/>
      <w:divBdr>
        <w:top w:val="none" w:sz="0" w:space="0" w:color="auto"/>
        <w:left w:val="none" w:sz="0" w:space="0" w:color="auto"/>
        <w:bottom w:val="none" w:sz="0" w:space="0" w:color="auto"/>
        <w:right w:val="none" w:sz="0" w:space="0" w:color="auto"/>
      </w:divBdr>
    </w:div>
    <w:div w:id="1404521358">
      <w:bodyDiv w:val="1"/>
      <w:marLeft w:val="0"/>
      <w:marRight w:val="0"/>
      <w:marTop w:val="0"/>
      <w:marBottom w:val="0"/>
      <w:divBdr>
        <w:top w:val="none" w:sz="0" w:space="0" w:color="auto"/>
        <w:left w:val="none" w:sz="0" w:space="0" w:color="auto"/>
        <w:bottom w:val="none" w:sz="0" w:space="0" w:color="auto"/>
        <w:right w:val="none" w:sz="0" w:space="0" w:color="auto"/>
      </w:divBdr>
    </w:div>
    <w:div w:id="1406762496">
      <w:bodyDiv w:val="1"/>
      <w:marLeft w:val="0"/>
      <w:marRight w:val="0"/>
      <w:marTop w:val="0"/>
      <w:marBottom w:val="0"/>
      <w:divBdr>
        <w:top w:val="none" w:sz="0" w:space="0" w:color="auto"/>
        <w:left w:val="none" w:sz="0" w:space="0" w:color="auto"/>
        <w:bottom w:val="none" w:sz="0" w:space="0" w:color="auto"/>
        <w:right w:val="none" w:sz="0" w:space="0" w:color="auto"/>
      </w:divBdr>
    </w:div>
    <w:div w:id="1412897739">
      <w:bodyDiv w:val="1"/>
      <w:marLeft w:val="0"/>
      <w:marRight w:val="0"/>
      <w:marTop w:val="0"/>
      <w:marBottom w:val="0"/>
      <w:divBdr>
        <w:top w:val="none" w:sz="0" w:space="0" w:color="auto"/>
        <w:left w:val="none" w:sz="0" w:space="0" w:color="auto"/>
        <w:bottom w:val="none" w:sz="0" w:space="0" w:color="auto"/>
        <w:right w:val="none" w:sz="0" w:space="0" w:color="auto"/>
      </w:divBdr>
    </w:div>
    <w:div w:id="1429546128">
      <w:bodyDiv w:val="1"/>
      <w:marLeft w:val="0"/>
      <w:marRight w:val="0"/>
      <w:marTop w:val="0"/>
      <w:marBottom w:val="0"/>
      <w:divBdr>
        <w:top w:val="none" w:sz="0" w:space="0" w:color="auto"/>
        <w:left w:val="none" w:sz="0" w:space="0" w:color="auto"/>
        <w:bottom w:val="none" w:sz="0" w:space="0" w:color="auto"/>
        <w:right w:val="none" w:sz="0" w:space="0" w:color="auto"/>
      </w:divBdr>
    </w:div>
    <w:div w:id="1449356866">
      <w:bodyDiv w:val="1"/>
      <w:marLeft w:val="0"/>
      <w:marRight w:val="0"/>
      <w:marTop w:val="0"/>
      <w:marBottom w:val="0"/>
      <w:divBdr>
        <w:top w:val="none" w:sz="0" w:space="0" w:color="auto"/>
        <w:left w:val="none" w:sz="0" w:space="0" w:color="auto"/>
        <w:bottom w:val="none" w:sz="0" w:space="0" w:color="auto"/>
        <w:right w:val="none" w:sz="0" w:space="0" w:color="auto"/>
      </w:divBdr>
    </w:div>
    <w:div w:id="1449423560">
      <w:bodyDiv w:val="1"/>
      <w:marLeft w:val="0"/>
      <w:marRight w:val="0"/>
      <w:marTop w:val="0"/>
      <w:marBottom w:val="0"/>
      <w:divBdr>
        <w:top w:val="none" w:sz="0" w:space="0" w:color="auto"/>
        <w:left w:val="none" w:sz="0" w:space="0" w:color="auto"/>
        <w:bottom w:val="none" w:sz="0" w:space="0" w:color="auto"/>
        <w:right w:val="none" w:sz="0" w:space="0" w:color="auto"/>
      </w:divBdr>
    </w:div>
    <w:div w:id="1454207112">
      <w:bodyDiv w:val="1"/>
      <w:marLeft w:val="0"/>
      <w:marRight w:val="0"/>
      <w:marTop w:val="0"/>
      <w:marBottom w:val="0"/>
      <w:divBdr>
        <w:top w:val="none" w:sz="0" w:space="0" w:color="auto"/>
        <w:left w:val="none" w:sz="0" w:space="0" w:color="auto"/>
        <w:bottom w:val="none" w:sz="0" w:space="0" w:color="auto"/>
        <w:right w:val="none" w:sz="0" w:space="0" w:color="auto"/>
      </w:divBdr>
    </w:div>
    <w:div w:id="1454518630">
      <w:bodyDiv w:val="1"/>
      <w:marLeft w:val="0"/>
      <w:marRight w:val="0"/>
      <w:marTop w:val="0"/>
      <w:marBottom w:val="0"/>
      <w:divBdr>
        <w:top w:val="none" w:sz="0" w:space="0" w:color="auto"/>
        <w:left w:val="none" w:sz="0" w:space="0" w:color="auto"/>
        <w:bottom w:val="none" w:sz="0" w:space="0" w:color="auto"/>
        <w:right w:val="none" w:sz="0" w:space="0" w:color="auto"/>
      </w:divBdr>
    </w:div>
    <w:div w:id="1456214566">
      <w:bodyDiv w:val="1"/>
      <w:marLeft w:val="0"/>
      <w:marRight w:val="0"/>
      <w:marTop w:val="0"/>
      <w:marBottom w:val="0"/>
      <w:divBdr>
        <w:top w:val="none" w:sz="0" w:space="0" w:color="auto"/>
        <w:left w:val="none" w:sz="0" w:space="0" w:color="auto"/>
        <w:bottom w:val="none" w:sz="0" w:space="0" w:color="auto"/>
        <w:right w:val="none" w:sz="0" w:space="0" w:color="auto"/>
      </w:divBdr>
    </w:div>
    <w:div w:id="1467698804">
      <w:bodyDiv w:val="1"/>
      <w:marLeft w:val="0"/>
      <w:marRight w:val="0"/>
      <w:marTop w:val="0"/>
      <w:marBottom w:val="0"/>
      <w:divBdr>
        <w:top w:val="none" w:sz="0" w:space="0" w:color="auto"/>
        <w:left w:val="none" w:sz="0" w:space="0" w:color="auto"/>
        <w:bottom w:val="none" w:sz="0" w:space="0" w:color="auto"/>
        <w:right w:val="none" w:sz="0" w:space="0" w:color="auto"/>
      </w:divBdr>
    </w:div>
    <w:div w:id="1472744654">
      <w:bodyDiv w:val="1"/>
      <w:marLeft w:val="0"/>
      <w:marRight w:val="0"/>
      <w:marTop w:val="0"/>
      <w:marBottom w:val="0"/>
      <w:divBdr>
        <w:top w:val="none" w:sz="0" w:space="0" w:color="auto"/>
        <w:left w:val="none" w:sz="0" w:space="0" w:color="auto"/>
        <w:bottom w:val="none" w:sz="0" w:space="0" w:color="auto"/>
        <w:right w:val="none" w:sz="0" w:space="0" w:color="auto"/>
      </w:divBdr>
    </w:div>
    <w:div w:id="1481463695">
      <w:bodyDiv w:val="1"/>
      <w:marLeft w:val="0"/>
      <w:marRight w:val="0"/>
      <w:marTop w:val="0"/>
      <w:marBottom w:val="0"/>
      <w:divBdr>
        <w:top w:val="none" w:sz="0" w:space="0" w:color="auto"/>
        <w:left w:val="none" w:sz="0" w:space="0" w:color="auto"/>
        <w:bottom w:val="none" w:sz="0" w:space="0" w:color="auto"/>
        <w:right w:val="none" w:sz="0" w:space="0" w:color="auto"/>
      </w:divBdr>
    </w:div>
    <w:div w:id="1483081606">
      <w:bodyDiv w:val="1"/>
      <w:marLeft w:val="0"/>
      <w:marRight w:val="0"/>
      <w:marTop w:val="0"/>
      <w:marBottom w:val="0"/>
      <w:divBdr>
        <w:top w:val="none" w:sz="0" w:space="0" w:color="auto"/>
        <w:left w:val="none" w:sz="0" w:space="0" w:color="auto"/>
        <w:bottom w:val="none" w:sz="0" w:space="0" w:color="auto"/>
        <w:right w:val="none" w:sz="0" w:space="0" w:color="auto"/>
      </w:divBdr>
    </w:div>
    <w:div w:id="1504785206">
      <w:bodyDiv w:val="1"/>
      <w:marLeft w:val="0"/>
      <w:marRight w:val="0"/>
      <w:marTop w:val="0"/>
      <w:marBottom w:val="0"/>
      <w:divBdr>
        <w:top w:val="none" w:sz="0" w:space="0" w:color="auto"/>
        <w:left w:val="none" w:sz="0" w:space="0" w:color="auto"/>
        <w:bottom w:val="none" w:sz="0" w:space="0" w:color="auto"/>
        <w:right w:val="none" w:sz="0" w:space="0" w:color="auto"/>
      </w:divBdr>
    </w:div>
    <w:div w:id="1505247524">
      <w:bodyDiv w:val="1"/>
      <w:marLeft w:val="0"/>
      <w:marRight w:val="0"/>
      <w:marTop w:val="0"/>
      <w:marBottom w:val="0"/>
      <w:divBdr>
        <w:top w:val="none" w:sz="0" w:space="0" w:color="auto"/>
        <w:left w:val="none" w:sz="0" w:space="0" w:color="auto"/>
        <w:bottom w:val="none" w:sz="0" w:space="0" w:color="auto"/>
        <w:right w:val="none" w:sz="0" w:space="0" w:color="auto"/>
      </w:divBdr>
    </w:div>
    <w:div w:id="1506439714">
      <w:bodyDiv w:val="1"/>
      <w:marLeft w:val="0"/>
      <w:marRight w:val="0"/>
      <w:marTop w:val="0"/>
      <w:marBottom w:val="0"/>
      <w:divBdr>
        <w:top w:val="none" w:sz="0" w:space="0" w:color="auto"/>
        <w:left w:val="none" w:sz="0" w:space="0" w:color="auto"/>
        <w:bottom w:val="none" w:sz="0" w:space="0" w:color="auto"/>
        <w:right w:val="none" w:sz="0" w:space="0" w:color="auto"/>
      </w:divBdr>
    </w:div>
    <w:div w:id="1515420451">
      <w:bodyDiv w:val="1"/>
      <w:marLeft w:val="0"/>
      <w:marRight w:val="0"/>
      <w:marTop w:val="0"/>
      <w:marBottom w:val="0"/>
      <w:divBdr>
        <w:top w:val="none" w:sz="0" w:space="0" w:color="auto"/>
        <w:left w:val="none" w:sz="0" w:space="0" w:color="auto"/>
        <w:bottom w:val="none" w:sz="0" w:space="0" w:color="auto"/>
        <w:right w:val="none" w:sz="0" w:space="0" w:color="auto"/>
      </w:divBdr>
    </w:div>
    <w:div w:id="1537960439">
      <w:bodyDiv w:val="1"/>
      <w:marLeft w:val="0"/>
      <w:marRight w:val="0"/>
      <w:marTop w:val="0"/>
      <w:marBottom w:val="0"/>
      <w:divBdr>
        <w:top w:val="none" w:sz="0" w:space="0" w:color="auto"/>
        <w:left w:val="none" w:sz="0" w:space="0" w:color="auto"/>
        <w:bottom w:val="none" w:sz="0" w:space="0" w:color="auto"/>
        <w:right w:val="none" w:sz="0" w:space="0" w:color="auto"/>
      </w:divBdr>
    </w:div>
    <w:div w:id="1541167761">
      <w:bodyDiv w:val="1"/>
      <w:marLeft w:val="0"/>
      <w:marRight w:val="0"/>
      <w:marTop w:val="0"/>
      <w:marBottom w:val="0"/>
      <w:divBdr>
        <w:top w:val="none" w:sz="0" w:space="0" w:color="auto"/>
        <w:left w:val="none" w:sz="0" w:space="0" w:color="auto"/>
        <w:bottom w:val="none" w:sz="0" w:space="0" w:color="auto"/>
        <w:right w:val="none" w:sz="0" w:space="0" w:color="auto"/>
      </w:divBdr>
    </w:div>
    <w:div w:id="1548950066">
      <w:bodyDiv w:val="1"/>
      <w:marLeft w:val="0"/>
      <w:marRight w:val="0"/>
      <w:marTop w:val="0"/>
      <w:marBottom w:val="0"/>
      <w:divBdr>
        <w:top w:val="none" w:sz="0" w:space="0" w:color="auto"/>
        <w:left w:val="none" w:sz="0" w:space="0" w:color="auto"/>
        <w:bottom w:val="none" w:sz="0" w:space="0" w:color="auto"/>
        <w:right w:val="none" w:sz="0" w:space="0" w:color="auto"/>
      </w:divBdr>
    </w:div>
    <w:div w:id="1558931158">
      <w:bodyDiv w:val="1"/>
      <w:marLeft w:val="0"/>
      <w:marRight w:val="0"/>
      <w:marTop w:val="0"/>
      <w:marBottom w:val="0"/>
      <w:divBdr>
        <w:top w:val="none" w:sz="0" w:space="0" w:color="auto"/>
        <w:left w:val="none" w:sz="0" w:space="0" w:color="auto"/>
        <w:bottom w:val="none" w:sz="0" w:space="0" w:color="auto"/>
        <w:right w:val="none" w:sz="0" w:space="0" w:color="auto"/>
      </w:divBdr>
    </w:div>
    <w:div w:id="1560092084">
      <w:bodyDiv w:val="1"/>
      <w:marLeft w:val="0"/>
      <w:marRight w:val="0"/>
      <w:marTop w:val="0"/>
      <w:marBottom w:val="0"/>
      <w:divBdr>
        <w:top w:val="none" w:sz="0" w:space="0" w:color="auto"/>
        <w:left w:val="none" w:sz="0" w:space="0" w:color="auto"/>
        <w:bottom w:val="none" w:sz="0" w:space="0" w:color="auto"/>
        <w:right w:val="none" w:sz="0" w:space="0" w:color="auto"/>
      </w:divBdr>
    </w:div>
    <w:div w:id="1572156871">
      <w:bodyDiv w:val="1"/>
      <w:marLeft w:val="0"/>
      <w:marRight w:val="0"/>
      <w:marTop w:val="0"/>
      <w:marBottom w:val="0"/>
      <w:divBdr>
        <w:top w:val="none" w:sz="0" w:space="0" w:color="auto"/>
        <w:left w:val="none" w:sz="0" w:space="0" w:color="auto"/>
        <w:bottom w:val="none" w:sz="0" w:space="0" w:color="auto"/>
        <w:right w:val="none" w:sz="0" w:space="0" w:color="auto"/>
      </w:divBdr>
    </w:div>
    <w:div w:id="1584992473">
      <w:bodyDiv w:val="1"/>
      <w:marLeft w:val="0"/>
      <w:marRight w:val="0"/>
      <w:marTop w:val="0"/>
      <w:marBottom w:val="0"/>
      <w:divBdr>
        <w:top w:val="none" w:sz="0" w:space="0" w:color="auto"/>
        <w:left w:val="none" w:sz="0" w:space="0" w:color="auto"/>
        <w:bottom w:val="none" w:sz="0" w:space="0" w:color="auto"/>
        <w:right w:val="none" w:sz="0" w:space="0" w:color="auto"/>
      </w:divBdr>
    </w:div>
    <w:div w:id="1586380812">
      <w:bodyDiv w:val="1"/>
      <w:marLeft w:val="0"/>
      <w:marRight w:val="0"/>
      <w:marTop w:val="0"/>
      <w:marBottom w:val="0"/>
      <w:divBdr>
        <w:top w:val="none" w:sz="0" w:space="0" w:color="auto"/>
        <w:left w:val="none" w:sz="0" w:space="0" w:color="auto"/>
        <w:bottom w:val="none" w:sz="0" w:space="0" w:color="auto"/>
        <w:right w:val="none" w:sz="0" w:space="0" w:color="auto"/>
      </w:divBdr>
    </w:div>
    <w:div w:id="1604142004">
      <w:bodyDiv w:val="1"/>
      <w:marLeft w:val="0"/>
      <w:marRight w:val="0"/>
      <w:marTop w:val="0"/>
      <w:marBottom w:val="0"/>
      <w:divBdr>
        <w:top w:val="none" w:sz="0" w:space="0" w:color="auto"/>
        <w:left w:val="none" w:sz="0" w:space="0" w:color="auto"/>
        <w:bottom w:val="none" w:sz="0" w:space="0" w:color="auto"/>
        <w:right w:val="none" w:sz="0" w:space="0" w:color="auto"/>
      </w:divBdr>
    </w:div>
    <w:div w:id="1604148857">
      <w:bodyDiv w:val="1"/>
      <w:marLeft w:val="0"/>
      <w:marRight w:val="0"/>
      <w:marTop w:val="0"/>
      <w:marBottom w:val="0"/>
      <w:divBdr>
        <w:top w:val="none" w:sz="0" w:space="0" w:color="auto"/>
        <w:left w:val="none" w:sz="0" w:space="0" w:color="auto"/>
        <w:bottom w:val="none" w:sz="0" w:space="0" w:color="auto"/>
        <w:right w:val="none" w:sz="0" w:space="0" w:color="auto"/>
      </w:divBdr>
    </w:div>
    <w:div w:id="1615673755">
      <w:bodyDiv w:val="1"/>
      <w:marLeft w:val="0"/>
      <w:marRight w:val="0"/>
      <w:marTop w:val="0"/>
      <w:marBottom w:val="0"/>
      <w:divBdr>
        <w:top w:val="none" w:sz="0" w:space="0" w:color="auto"/>
        <w:left w:val="none" w:sz="0" w:space="0" w:color="auto"/>
        <w:bottom w:val="none" w:sz="0" w:space="0" w:color="auto"/>
        <w:right w:val="none" w:sz="0" w:space="0" w:color="auto"/>
      </w:divBdr>
    </w:div>
    <w:div w:id="1629628093">
      <w:bodyDiv w:val="1"/>
      <w:marLeft w:val="0"/>
      <w:marRight w:val="0"/>
      <w:marTop w:val="0"/>
      <w:marBottom w:val="0"/>
      <w:divBdr>
        <w:top w:val="none" w:sz="0" w:space="0" w:color="auto"/>
        <w:left w:val="none" w:sz="0" w:space="0" w:color="auto"/>
        <w:bottom w:val="none" w:sz="0" w:space="0" w:color="auto"/>
        <w:right w:val="none" w:sz="0" w:space="0" w:color="auto"/>
      </w:divBdr>
    </w:div>
    <w:div w:id="1637181841">
      <w:bodyDiv w:val="1"/>
      <w:marLeft w:val="0"/>
      <w:marRight w:val="0"/>
      <w:marTop w:val="0"/>
      <w:marBottom w:val="0"/>
      <w:divBdr>
        <w:top w:val="none" w:sz="0" w:space="0" w:color="auto"/>
        <w:left w:val="none" w:sz="0" w:space="0" w:color="auto"/>
        <w:bottom w:val="none" w:sz="0" w:space="0" w:color="auto"/>
        <w:right w:val="none" w:sz="0" w:space="0" w:color="auto"/>
      </w:divBdr>
    </w:div>
    <w:div w:id="1685594132">
      <w:bodyDiv w:val="1"/>
      <w:marLeft w:val="0"/>
      <w:marRight w:val="0"/>
      <w:marTop w:val="0"/>
      <w:marBottom w:val="0"/>
      <w:divBdr>
        <w:top w:val="none" w:sz="0" w:space="0" w:color="auto"/>
        <w:left w:val="none" w:sz="0" w:space="0" w:color="auto"/>
        <w:bottom w:val="none" w:sz="0" w:space="0" w:color="auto"/>
        <w:right w:val="none" w:sz="0" w:space="0" w:color="auto"/>
      </w:divBdr>
    </w:div>
    <w:div w:id="1701781088">
      <w:bodyDiv w:val="1"/>
      <w:marLeft w:val="0"/>
      <w:marRight w:val="0"/>
      <w:marTop w:val="0"/>
      <w:marBottom w:val="0"/>
      <w:divBdr>
        <w:top w:val="none" w:sz="0" w:space="0" w:color="auto"/>
        <w:left w:val="none" w:sz="0" w:space="0" w:color="auto"/>
        <w:bottom w:val="none" w:sz="0" w:space="0" w:color="auto"/>
        <w:right w:val="none" w:sz="0" w:space="0" w:color="auto"/>
      </w:divBdr>
    </w:div>
    <w:div w:id="1703706472">
      <w:bodyDiv w:val="1"/>
      <w:marLeft w:val="0"/>
      <w:marRight w:val="0"/>
      <w:marTop w:val="0"/>
      <w:marBottom w:val="0"/>
      <w:divBdr>
        <w:top w:val="none" w:sz="0" w:space="0" w:color="auto"/>
        <w:left w:val="none" w:sz="0" w:space="0" w:color="auto"/>
        <w:bottom w:val="none" w:sz="0" w:space="0" w:color="auto"/>
        <w:right w:val="none" w:sz="0" w:space="0" w:color="auto"/>
      </w:divBdr>
    </w:div>
    <w:div w:id="1705783632">
      <w:bodyDiv w:val="1"/>
      <w:marLeft w:val="0"/>
      <w:marRight w:val="0"/>
      <w:marTop w:val="0"/>
      <w:marBottom w:val="0"/>
      <w:divBdr>
        <w:top w:val="none" w:sz="0" w:space="0" w:color="auto"/>
        <w:left w:val="none" w:sz="0" w:space="0" w:color="auto"/>
        <w:bottom w:val="none" w:sz="0" w:space="0" w:color="auto"/>
        <w:right w:val="none" w:sz="0" w:space="0" w:color="auto"/>
      </w:divBdr>
    </w:div>
    <w:div w:id="1716080004">
      <w:bodyDiv w:val="1"/>
      <w:marLeft w:val="0"/>
      <w:marRight w:val="0"/>
      <w:marTop w:val="0"/>
      <w:marBottom w:val="0"/>
      <w:divBdr>
        <w:top w:val="none" w:sz="0" w:space="0" w:color="auto"/>
        <w:left w:val="none" w:sz="0" w:space="0" w:color="auto"/>
        <w:bottom w:val="none" w:sz="0" w:space="0" w:color="auto"/>
        <w:right w:val="none" w:sz="0" w:space="0" w:color="auto"/>
      </w:divBdr>
    </w:div>
    <w:div w:id="1733306618">
      <w:bodyDiv w:val="1"/>
      <w:marLeft w:val="0"/>
      <w:marRight w:val="0"/>
      <w:marTop w:val="0"/>
      <w:marBottom w:val="0"/>
      <w:divBdr>
        <w:top w:val="none" w:sz="0" w:space="0" w:color="auto"/>
        <w:left w:val="none" w:sz="0" w:space="0" w:color="auto"/>
        <w:bottom w:val="none" w:sz="0" w:space="0" w:color="auto"/>
        <w:right w:val="none" w:sz="0" w:space="0" w:color="auto"/>
      </w:divBdr>
    </w:div>
    <w:div w:id="1763447617">
      <w:bodyDiv w:val="1"/>
      <w:marLeft w:val="0"/>
      <w:marRight w:val="0"/>
      <w:marTop w:val="0"/>
      <w:marBottom w:val="0"/>
      <w:divBdr>
        <w:top w:val="none" w:sz="0" w:space="0" w:color="auto"/>
        <w:left w:val="none" w:sz="0" w:space="0" w:color="auto"/>
        <w:bottom w:val="none" w:sz="0" w:space="0" w:color="auto"/>
        <w:right w:val="none" w:sz="0" w:space="0" w:color="auto"/>
      </w:divBdr>
    </w:div>
    <w:div w:id="1789230756">
      <w:bodyDiv w:val="1"/>
      <w:marLeft w:val="0"/>
      <w:marRight w:val="0"/>
      <w:marTop w:val="0"/>
      <w:marBottom w:val="0"/>
      <w:divBdr>
        <w:top w:val="none" w:sz="0" w:space="0" w:color="auto"/>
        <w:left w:val="none" w:sz="0" w:space="0" w:color="auto"/>
        <w:bottom w:val="none" w:sz="0" w:space="0" w:color="auto"/>
        <w:right w:val="none" w:sz="0" w:space="0" w:color="auto"/>
      </w:divBdr>
    </w:div>
    <w:div w:id="1800145861">
      <w:bodyDiv w:val="1"/>
      <w:marLeft w:val="0"/>
      <w:marRight w:val="0"/>
      <w:marTop w:val="0"/>
      <w:marBottom w:val="0"/>
      <w:divBdr>
        <w:top w:val="none" w:sz="0" w:space="0" w:color="auto"/>
        <w:left w:val="none" w:sz="0" w:space="0" w:color="auto"/>
        <w:bottom w:val="none" w:sz="0" w:space="0" w:color="auto"/>
        <w:right w:val="none" w:sz="0" w:space="0" w:color="auto"/>
      </w:divBdr>
    </w:div>
    <w:div w:id="1812792094">
      <w:bodyDiv w:val="1"/>
      <w:marLeft w:val="0"/>
      <w:marRight w:val="0"/>
      <w:marTop w:val="0"/>
      <w:marBottom w:val="0"/>
      <w:divBdr>
        <w:top w:val="none" w:sz="0" w:space="0" w:color="auto"/>
        <w:left w:val="none" w:sz="0" w:space="0" w:color="auto"/>
        <w:bottom w:val="none" w:sz="0" w:space="0" w:color="auto"/>
        <w:right w:val="none" w:sz="0" w:space="0" w:color="auto"/>
      </w:divBdr>
    </w:div>
    <w:div w:id="1829396986">
      <w:bodyDiv w:val="1"/>
      <w:marLeft w:val="0"/>
      <w:marRight w:val="0"/>
      <w:marTop w:val="0"/>
      <w:marBottom w:val="0"/>
      <w:divBdr>
        <w:top w:val="none" w:sz="0" w:space="0" w:color="auto"/>
        <w:left w:val="none" w:sz="0" w:space="0" w:color="auto"/>
        <w:bottom w:val="none" w:sz="0" w:space="0" w:color="auto"/>
        <w:right w:val="none" w:sz="0" w:space="0" w:color="auto"/>
      </w:divBdr>
    </w:div>
    <w:div w:id="1847356525">
      <w:bodyDiv w:val="1"/>
      <w:marLeft w:val="0"/>
      <w:marRight w:val="0"/>
      <w:marTop w:val="0"/>
      <w:marBottom w:val="0"/>
      <w:divBdr>
        <w:top w:val="none" w:sz="0" w:space="0" w:color="auto"/>
        <w:left w:val="none" w:sz="0" w:space="0" w:color="auto"/>
        <w:bottom w:val="none" w:sz="0" w:space="0" w:color="auto"/>
        <w:right w:val="none" w:sz="0" w:space="0" w:color="auto"/>
      </w:divBdr>
    </w:div>
    <w:div w:id="1858695348">
      <w:bodyDiv w:val="1"/>
      <w:marLeft w:val="0"/>
      <w:marRight w:val="0"/>
      <w:marTop w:val="0"/>
      <w:marBottom w:val="0"/>
      <w:divBdr>
        <w:top w:val="none" w:sz="0" w:space="0" w:color="auto"/>
        <w:left w:val="none" w:sz="0" w:space="0" w:color="auto"/>
        <w:bottom w:val="none" w:sz="0" w:space="0" w:color="auto"/>
        <w:right w:val="none" w:sz="0" w:space="0" w:color="auto"/>
      </w:divBdr>
    </w:div>
    <w:div w:id="1881239830">
      <w:bodyDiv w:val="1"/>
      <w:marLeft w:val="0"/>
      <w:marRight w:val="0"/>
      <w:marTop w:val="0"/>
      <w:marBottom w:val="0"/>
      <w:divBdr>
        <w:top w:val="none" w:sz="0" w:space="0" w:color="auto"/>
        <w:left w:val="none" w:sz="0" w:space="0" w:color="auto"/>
        <w:bottom w:val="none" w:sz="0" w:space="0" w:color="auto"/>
        <w:right w:val="none" w:sz="0" w:space="0" w:color="auto"/>
      </w:divBdr>
    </w:div>
    <w:div w:id="1886138054">
      <w:bodyDiv w:val="1"/>
      <w:marLeft w:val="0"/>
      <w:marRight w:val="0"/>
      <w:marTop w:val="0"/>
      <w:marBottom w:val="0"/>
      <w:divBdr>
        <w:top w:val="none" w:sz="0" w:space="0" w:color="auto"/>
        <w:left w:val="none" w:sz="0" w:space="0" w:color="auto"/>
        <w:bottom w:val="none" w:sz="0" w:space="0" w:color="auto"/>
        <w:right w:val="none" w:sz="0" w:space="0" w:color="auto"/>
      </w:divBdr>
    </w:div>
    <w:div w:id="1896046791">
      <w:bodyDiv w:val="1"/>
      <w:marLeft w:val="0"/>
      <w:marRight w:val="0"/>
      <w:marTop w:val="0"/>
      <w:marBottom w:val="0"/>
      <w:divBdr>
        <w:top w:val="none" w:sz="0" w:space="0" w:color="auto"/>
        <w:left w:val="none" w:sz="0" w:space="0" w:color="auto"/>
        <w:bottom w:val="none" w:sz="0" w:space="0" w:color="auto"/>
        <w:right w:val="none" w:sz="0" w:space="0" w:color="auto"/>
      </w:divBdr>
    </w:div>
    <w:div w:id="1907374459">
      <w:bodyDiv w:val="1"/>
      <w:marLeft w:val="0"/>
      <w:marRight w:val="0"/>
      <w:marTop w:val="0"/>
      <w:marBottom w:val="0"/>
      <w:divBdr>
        <w:top w:val="none" w:sz="0" w:space="0" w:color="auto"/>
        <w:left w:val="none" w:sz="0" w:space="0" w:color="auto"/>
        <w:bottom w:val="none" w:sz="0" w:space="0" w:color="auto"/>
        <w:right w:val="none" w:sz="0" w:space="0" w:color="auto"/>
      </w:divBdr>
    </w:div>
    <w:div w:id="1912961627">
      <w:bodyDiv w:val="1"/>
      <w:marLeft w:val="0"/>
      <w:marRight w:val="0"/>
      <w:marTop w:val="0"/>
      <w:marBottom w:val="0"/>
      <w:divBdr>
        <w:top w:val="none" w:sz="0" w:space="0" w:color="auto"/>
        <w:left w:val="none" w:sz="0" w:space="0" w:color="auto"/>
        <w:bottom w:val="none" w:sz="0" w:space="0" w:color="auto"/>
        <w:right w:val="none" w:sz="0" w:space="0" w:color="auto"/>
      </w:divBdr>
    </w:div>
    <w:div w:id="1917743074">
      <w:bodyDiv w:val="1"/>
      <w:marLeft w:val="0"/>
      <w:marRight w:val="0"/>
      <w:marTop w:val="0"/>
      <w:marBottom w:val="0"/>
      <w:divBdr>
        <w:top w:val="none" w:sz="0" w:space="0" w:color="auto"/>
        <w:left w:val="none" w:sz="0" w:space="0" w:color="auto"/>
        <w:bottom w:val="none" w:sz="0" w:space="0" w:color="auto"/>
        <w:right w:val="none" w:sz="0" w:space="0" w:color="auto"/>
      </w:divBdr>
    </w:div>
    <w:div w:id="1951889248">
      <w:bodyDiv w:val="1"/>
      <w:marLeft w:val="0"/>
      <w:marRight w:val="0"/>
      <w:marTop w:val="0"/>
      <w:marBottom w:val="0"/>
      <w:divBdr>
        <w:top w:val="none" w:sz="0" w:space="0" w:color="auto"/>
        <w:left w:val="none" w:sz="0" w:space="0" w:color="auto"/>
        <w:bottom w:val="none" w:sz="0" w:space="0" w:color="auto"/>
        <w:right w:val="none" w:sz="0" w:space="0" w:color="auto"/>
      </w:divBdr>
    </w:div>
    <w:div w:id="1961762059">
      <w:bodyDiv w:val="1"/>
      <w:marLeft w:val="0"/>
      <w:marRight w:val="0"/>
      <w:marTop w:val="0"/>
      <w:marBottom w:val="0"/>
      <w:divBdr>
        <w:top w:val="none" w:sz="0" w:space="0" w:color="auto"/>
        <w:left w:val="none" w:sz="0" w:space="0" w:color="auto"/>
        <w:bottom w:val="none" w:sz="0" w:space="0" w:color="auto"/>
        <w:right w:val="none" w:sz="0" w:space="0" w:color="auto"/>
      </w:divBdr>
    </w:div>
    <w:div w:id="1988902153">
      <w:bodyDiv w:val="1"/>
      <w:marLeft w:val="0"/>
      <w:marRight w:val="0"/>
      <w:marTop w:val="0"/>
      <w:marBottom w:val="0"/>
      <w:divBdr>
        <w:top w:val="none" w:sz="0" w:space="0" w:color="auto"/>
        <w:left w:val="none" w:sz="0" w:space="0" w:color="auto"/>
        <w:bottom w:val="none" w:sz="0" w:space="0" w:color="auto"/>
        <w:right w:val="none" w:sz="0" w:space="0" w:color="auto"/>
      </w:divBdr>
    </w:div>
    <w:div w:id="2010280836">
      <w:bodyDiv w:val="1"/>
      <w:marLeft w:val="0"/>
      <w:marRight w:val="0"/>
      <w:marTop w:val="0"/>
      <w:marBottom w:val="0"/>
      <w:divBdr>
        <w:top w:val="none" w:sz="0" w:space="0" w:color="auto"/>
        <w:left w:val="none" w:sz="0" w:space="0" w:color="auto"/>
        <w:bottom w:val="none" w:sz="0" w:space="0" w:color="auto"/>
        <w:right w:val="none" w:sz="0" w:space="0" w:color="auto"/>
      </w:divBdr>
    </w:div>
    <w:div w:id="2012561077">
      <w:bodyDiv w:val="1"/>
      <w:marLeft w:val="0"/>
      <w:marRight w:val="0"/>
      <w:marTop w:val="0"/>
      <w:marBottom w:val="0"/>
      <w:divBdr>
        <w:top w:val="none" w:sz="0" w:space="0" w:color="auto"/>
        <w:left w:val="none" w:sz="0" w:space="0" w:color="auto"/>
        <w:bottom w:val="none" w:sz="0" w:space="0" w:color="auto"/>
        <w:right w:val="none" w:sz="0" w:space="0" w:color="auto"/>
      </w:divBdr>
    </w:div>
    <w:div w:id="2015648872">
      <w:bodyDiv w:val="1"/>
      <w:marLeft w:val="0"/>
      <w:marRight w:val="0"/>
      <w:marTop w:val="0"/>
      <w:marBottom w:val="0"/>
      <w:divBdr>
        <w:top w:val="none" w:sz="0" w:space="0" w:color="auto"/>
        <w:left w:val="none" w:sz="0" w:space="0" w:color="auto"/>
        <w:bottom w:val="none" w:sz="0" w:space="0" w:color="auto"/>
        <w:right w:val="none" w:sz="0" w:space="0" w:color="auto"/>
      </w:divBdr>
    </w:div>
    <w:div w:id="2023049028">
      <w:bodyDiv w:val="1"/>
      <w:marLeft w:val="0"/>
      <w:marRight w:val="0"/>
      <w:marTop w:val="0"/>
      <w:marBottom w:val="0"/>
      <w:divBdr>
        <w:top w:val="none" w:sz="0" w:space="0" w:color="auto"/>
        <w:left w:val="none" w:sz="0" w:space="0" w:color="auto"/>
        <w:bottom w:val="none" w:sz="0" w:space="0" w:color="auto"/>
        <w:right w:val="none" w:sz="0" w:space="0" w:color="auto"/>
      </w:divBdr>
    </w:div>
    <w:div w:id="2035812320">
      <w:bodyDiv w:val="1"/>
      <w:marLeft w:val="0"/>
      <w:marRight w:val="0"/>
      <w:marTop w:val="0"/>
      <w:marBottom w:val="0"/>
      <w:divBdr>
        <w:top w:val="none" w:sz="0" w:space="0" w:color="auto"/>
        <w:left w:val="none" w:sz="0" w:space="0" w:color="auto"/>
        <w:bottom w:val="none" w:sz="0" w:space="0" w:color="auto"/>
        <w:right w:val="none" w:sz="0" w:space="0" w:color="auto"/>
      </w:divBdr>
    </w:div>
    <w:div w:id="2053773330">
      <w:bodyDiv w:val="1"/>
      <w:marLeft w:val="0"/>
      <w:marRight w:val="0"/>
      <w:marTop w:val="0"/>
      <w:marBottom w:val="0"/>
      <w:divBdr>
        <w:top w:val="none" w:sz="0" w:space="0" w:color="auto"/>
        <w:left w:val="none" w:sz="0" w:space="0" w:color="auto"/>
        <w:bottom w:val="none" w:sz="0" w:space="0" w:color="auto"/>
        <w:right w:val="none" w:sz="0" w:space="0" w:color="auto"/>
      </w:divBdr>
    </w:div>
    <w:div w:id="2060476773">
      <w:bodyDiv w:val="1"/>
      <w:marLeft w:val="0"/>
      <w:marRight w:val="0"/>
      <w:marTop w:val="0"/>
      <w:marBottom w:val="0"/>
      <w:divBdr>
        <w:top w:val="none" w:sz="0" w:space="0" w:color="auto"/>
        <w:left w:val="none" w:sz="0" w:space="0" w:color="auto"/>
        <w:bottom w:val="none" w:sz="0" w:space="0" w:color="auto"/>
        <w:right w:val="none" w:sz="0" w:space="0" w:color="auto"/>
      </w:divBdr>
    </w:div>
    <w:div w:id="2060549045">
      <w:bodyDiv w:val="1"/>
      <w:marLeft w:val="0"/>
      <w:marRight w:val="0"/>
      <w:marTop w:val="0"/>
      <w:marBottom w:val="0"/>
      <w:divBdr>
        <w:top w:val="none" w:sz="0" w:space="0" w:color="auto"/>
        <w:left w:val="none" w:sz="0" w:space="0" w:color="auto"/>
        <w:bottom w:val="none" w:sz="0" w:space="0" w:color="auto"/>
        <w:right w:val="none" w:sz="0" w:space="0" w:color="auto"/>
      </w:divBdr>
    </w:div>
    <w:div w:id="2060743044">
      <w:bodyDiv w:val="1"/>
      <w:marLeft w:val="0"/>
      <w:marRight w:val="0"/>
      <w:marTop w:val="0"/>
      <w:marBottom w:val="0"/>
      <w:divBdr>
        <w:top w:val="none" w:sz="0" w:space="0" w:color="auto"/>
        <w:left w:val="none" w:sz="0" w:space="0" w:color="auto"/>
        <w:bottom w:val="none" w:sz="0" w:space="0" w:color="auto"/>
        <w:right w:val="none" w:sz="0" w:space="0" w:color="auto"/>
      </w:divBdr>
    </w:div>
    <w:div w:id="2060981078">
      <w:bodyDiv w:val="1"/>
      <w:marLeft w:val="0"/>
      <w:marRight w:val="0"/>
      <w:marTop w:val="0"/>
      <w:marBottom w:val="0"/>
      <w:divBdr>
        <w:top w:val="none" w:sz="0" w:space="0" w:color="auto"/>
        <w:left w:val="none" w:sz="0" w:space="0" w:color="auto"/>
        <w:bottom w:val="none" w:sz="0" w:space="0" w:color="auto"/>
        <w:right w:val="none" w:sz="0" w:space="0" w:color="auto"/>
      </w:divBdr>
    </w:div>
    <w:div w:id="2094164250">
      <w:bodyDiv w:val="1"/>
      <w:marLeft w:val="0"/>
      <w:marRight w:val="0"/>
      <w:marTop w:val="0"/>
      <w:marBottom w:val="0"/>
      <w:divBdr>
        <w:top w:val="none" w:sz="0" w:space="0" w:color="auto"/>
        <w:left w:val="none" w:sz="0" w:space="0" w:color="auto"/>
        <w:bottom w:val="none" w:sz="0" w:space="0" w:color="auto"/>
        <w:right w:val="none" w:sz="0" w:space="0" w:color="auto"/>
      </w:divBdr>
    </w:div>
    <w:div w:id="2099909532">
      <w:bodyDiv w:val="1"/>
      <w:marLeft w:val="0"/>
      <w:marRight w:val="0"/>
      <w:marTop w:val="0"/>
      <w:marBottom w:val="0"/>
      <w:divBdr>
        <w:top w:val="none" w:sz="0" w:space="0" w:color="auto"/>
        <w:left w:val="none" w:sz="0" w:space="0" w:color="auto"/>
        <w:bottom w:val="none" w:sz="0" w:space="0" w:color="auto"/>
        <w:right w:val="none" w:sz="0" w:space="0" w:color="auto"/>
      </w:divBdr>
    </w:div>
    <w:div w:id="2108960080">
      <w:bodyDiv w:val="1"/>
      <w:marLeft w:val="0"/>
      <w:marRight w:val="0"/>
      <w:marTop w:val="0"/>
      <w:marBottom w:val="0"/>
      <w:divBdr>
        <w:top w:val="none" w:sz="0" w:space="0" w:color="auto"/>
        <w:left w:val="none" w:sz="0" w:space="0" w:color="auto"/>
        <w:bottom w:val="none" w:sz="0" w:space="0" w:color="auto"/>
        <w:right w:val="none" w:sz="0" w:space="0" w:color="auto"/>
      </w:divBdr>
    </w:div>
    <w:div w:id="2112318212">
      <w:bodyDiv w:val="1"/>
      <w:marLeft w:val="0"/>
      <w:marRight w:val="0"/>
      <w:marTop w:val="0"/>
      <w:marBottom w:val="0"/>
      <w:divBdr>
        <w:top w:val="none" w:sz="0" w:space="0" w:color="auto"/>
        <w:left w:val="none" w:sz="0" w:space="0" w:color="auto"/>
        <w:bottom w:val="none" w:sz="0" w:space="0" w:color="auto"/>
        <w:right w:val="none" w:sz="0" w:space="0" w:color="auto"/>
      </w:divBdr>
    </w:div>
    <w:div w:id="2112777466">
      <w:bodyDiv w:val="1"/>
      <w:marLeft w:val="0"/>
      <w:marRight w:val="0"/>
      <w:marTop w:val="0"/>
      <w:marBottom w:val="0"/>
      <w:divBdr>
        <w:top w:val="none" w:sz="0" w:space="0" w:color="auto"/>
        <w:left w:val="none" w:sz="0" w:space="0" w:color="auto"/>
        <w:bottom w:val="none" w:sz="0" w:space="0" w:color="auto"/>
        <w:right w:val="none" w:sz="0" w:space="0" w:color="auto"/>
      </w:divBdr>
    </w:div>
    <w:div w:id="2119062972">
      <w:bodyDiv w:val="1"/>
      <w:marLeft w:val="0"/>
      <w:marRight w:val="0"/>
      <w:marTop w:val="0"/>
      <w:marBottom w:val="0"/>
      <w:divBdr>
        <w:top w:val="none" w:sz="0" w:space="0" w:color="auto"/>
        <w:left w:val="none" w:sz="0" w:space="0" w:color="auto"/>
        <w:bottom w:val="none" w:sz="0" w:space="0" w:color="auto"/>
        <w:right w:val="none" w:sz="0" w:space="0" w:color="auto"/>
      </w:divBdr>
    </w:div>
    <w:div w:id="2119566653">
      <w:bodyDiv w:val="1"/>
      <w:marLeft w:val="0"/>
      <w:marRight w:val="0"/>
      <w:marTop w:val="0"/>
      <w:marBottom w:val="0"/>
      <w:divBdr>
        <w:top w:val="none" w:sz="0" w:space="0" w:color="auto"/>
        <w:left w:val="none" w:sz="0" w:space="0" w:color="auto"/>
        <w:bottom w:val="none" w:sz="0" w:space="0" w:color="auto"/>
        <w:right w:val="none" w:sz="0" w:space="0" w:color="auto"/>
      </w:divBdr>
    </w:div>
    <w:div w:id="2131509642">
      <w:bodyDiv w:val="1"/>
      <w:marLeft w:val="0"/>
      <w:marRight w:val="0"/>
      <w:marTop w:val="0"/>
      <w:marBottom w:val="0"/>
      <w:divBdr>
        <w:top w:val="none" w:sz="0" w:space="0" w:color="auto"/>
        <w:left w:val="none" w:sz="0" w:space="0" w:color="auto"/>
        <w:bottom w:val="none" w:sz="0" w:space="0" w:color="auto"/>
        <w:right w:val="none" w:sz="0" w:space="0" w:color="auto"/>
      </w:divBdr>
    </w:div>
    <w:div w:id="2140101961">
      <w:bodyDiv w:val="1"/>
      <w:marLeft w:val="0"/>
      <w:marRight w:val="0"/>
      <w:marTop w:val="0"/>
      <w:marBottom w:val="0"/>
      <w:divBdr>
        <w:top w:val="none" w:sz="0" w:space="0" w:color="auto"/>
        <w:left w:val="none" w:sz="0" w:space="0" w:color="auto"/>
        <w:bottom w:val="none" w:sz="0" w:space="0" w:color="auto"/>
        <w:right w:val="none" w:sz="0" w:space="0" w:color="auto"/>
      </w:divBdr>
    </w:div>
    <w:div w:id="21435713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si/2023/649"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lation.gov.uk/ukpga/2011/13/content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99/29/contents" TargetMode="External"/><Relationship Id="rId5" Type="http://schemas.openxmlformats.org/officeDocument/2006/relationships/webSettings" Target="webSettings.xml"/><Relationship Id="rId15" Type="http://schemas.openxmlformats.org/officeDocument/2006/relationships/hyperlink" Target="https://policyexchange.org.uk/publication/going-local-who-should-run-britainspolice/" TargetMode="External"/><Relationship Id="rId10" Type="http://schemas.openxmlformats.org/officeDocument/2006/relationships/hyperlink" Target="https://www.legislation.gov.uk/ukpga/1964/48/content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legislation.gov.uk%2Fukpga%2F1998%2F37%2Fsection%2F6&amp;data=05%7C02%7Cowen.stafford%40humberside.police.uk%7C797664402cc04822ef3608dd33147d1c%7Cb23255a18f784144890431f019036ade%7C0%7C0%7C638722885276597318%7CUnknown%7CTWFpbGZsb3d8eyJFbXB0eU1hcGkiOnRydWUsIlYiOiIwLjAuMDAwMCIsIlAiOiJXaW4zMiIsIkFOIjoiTWFpbCIsIldUIjoyfQ%3D%3D%7C0%7C%7C%7C&amp;sdata=NG6mXOoNXrUIBvl6FMJsNa%2ByTVP3xqsmGs2v7PgDoXE%3D&amp;reserved=0" TargetMode="External"/><Relationship Id="rId14" Type="http://schemas.openxmlformats.org/officeDocument/2006/relationships/hyperlink" Target="https://www.humberside-pcc.gov.uk/Our-Work/Police-and-Crime-Plan.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TRHarvard_.xsl" StyleName="Harvard - UHI CTR" Version="1">
  <b:Source>
    <b:Tag>Che12</b:Tag>
    <b:SourceType>DocumentFromInternetSite</b:SourceType>
    <b:Guid>{3644DE29-46AE-440E-AB3D-4B1431BECF79}</b:Guid>
    <b:Author>
      <b:Author>
        <b:NameList>
          <b:Person>
            <b:Last>Cheffins</b:Last>
            <b:First>Brian</b:First>
            <b:Middle>R</b:Middle>
          </b:Person>
        </b:NameList>
      </b:Author>
    </b:Author>
    <b:Title>The History of Corporate Governance</b:Title>
    <b:Year>2012</b:Year>
    <b:InternetSiteTitle>https://www.ecgi.global/</b:InternetSiteTitle>
    <b:ProductionCompany>European Corporate Governance Institute </b:ProductionCompany>
    <b:YearAccessed>2024</b:YearAccessed>
    <b:MonthAccessed> November </b:MonthAccessed>
    <b:DayAccessed>1</b:DayAccessed>
    <b:URL>https://www.ecgi.global/sites/default/files/working_papers/documents/SSRN-id1975404.pdf</b:URL>
    <b:RefOrder>2</b:RefOrder>
  </b:Source>
  <b:Source>
    <b:Tag>Bar03</b:Tag>
    <b:SourceType>Report</b:SourceType>
    <b:Guid>{1D248AE1-11A4-4E57-9C0D-680AAE1FECBD}</b:Guid>
    <b:Title>Going local: who shold run Britains Police?</b:Title>
    <b:Year>2003</b:Year>
    <b:Author>
      <b:Author>
        <b:NameList>
          <b:Person>
            <b:Last>Loveday</b:Last>
            <b:First>Barry </b:First>
          </b:Person>
          <b:Person>
            <b:Last>Reid </b:Last>
            <b:First>Anna </b:First>
          </b:Person>
        </b:NameList>
      </b:Author>
    </b:Author>
    <b:Institution>The Policy Exchange</b:Institution>
    <b:Publisher>The Policy Exchange</b:Publisher>
    <b:City>London</b:City>
    <b:RefOrder>3</b:RefOrder>
  </b:Source>
  <b:Source>
    <b:Tag>Pol</b:Tag>
    <b:SourceType>JournalArticle</b:SourceType>
    <b:Guid>{405984BD-3150-46FC-982A-0C3A5177346C}</b:Guid>
    <b:Title>‘Police and Crime Commissioners: The Americanization of Policing or a Very British Reform?’</b:Title>
    <b:JournalName>International Journal of Law Crime and Justice  </b:JournalName>
    <b:Year>2012</b:Year>
    <b:Author>
      <b:Author>
        <b:NameList>
          <b:Person>
            <b:Last>Newburn</b:Last>
            <b:First>T </b:First>
          </b:Person>
        </b:NameList>
      </b:Author>
    </b:Author>
    <b:Pages>31–46</b:Pages>
    <b:Issue>40</b:Issue>
    <b:RefOrder>4</b:RefOrder>
  </b:Source>
  <b:Source>
    <b:Tag>Mae17</b:Tag>
    <b:SourceType>Report</b:SourceType>
    <b:Guid>{0AC7073B-DD10-4017-AE53-9218038EBFDE}</b:Guid>
    <b:Title>Hung Parliments</b:Title>
    <b:Year>2017</b:Year>
    <b:Institution>House of Commons</b:Institution>
    <b:Publisher>House of Commons</b:Publisher>
    <b:City>London</b:City>
    <b:Author>
      <b:Author>
        <b:NameList>
          <b:Person>
            <b:Last>Maer </b:Last>
            <b:First>Lucinda </b:First>
          </b:Person>
          <b:Person>
            <b:Last>Kelly </b:Last>
            <b:First>Richard </b:First>
          </b:Person>
        </b:NameList>
      </b:Author>
    </b:Author>
    <b:RefOrder>5</b:RefOrder>
  </b:Source>
  <b:Source>
    <b:Tag>Mik</b:Tag>
    <b:SourceType>Book</b:SourceType>
    <b:Guid>{D5F3A199-F4CB-4787-A82D-6DD614538CE3}</b:Guid>
    <b:Author>
      <b:Author>
        <b:NameList>
          <b:Person>
            <b:Last>Rowe</b:Last>
            <b:First>Mike</b:First>
          </b:Person>
        </b:NameList>
      </b:Author>
    </b:Author>
    <b:Title>Policing the police : challenges of democracy and accountability</b:Title>
    <b:Year>2020</b:Year>
    <b:City>Bristol </b:City>
    <b:Publisher>Policy Press </b:Publisher>
    <b:RefOrder>6</b:RefOrder>
  </b:Source>
  <b:Source>
    <b:Tag>RRe13</b:Tag>
    <b:SourceType>JournalArticle</b:SourceType>
    <b:Guid>{5D14115E-71E0-4D78-8C91-3D4C33C5EACA}</b:Guid>
    <b:Author>
      <b:Author>
        <b:NameList>
          <b:Person>
            <b:Last>Reiner</b:Last>
            <b:First>R</b:First>
          </b:Person>
        </b:NameList>
      </b:Author>
    </b:Author>
    <b:Title>Who Governs? Democracy, Plutocracy, Science and Prophecy in Policing</b:Title>
    <b:JournalName>Criminology and Criminal Justice </b:JournalName>
    <b:Year>2013</b:Year>
    <b:Pages>161-180</b:Pages>
    <b:Volume>13</b:Volume>
    <b:Issue>2</b:Issue>
    <b:RefOrder>7</b:RefOrder>
  </b:Source>
  <b:Source>
    <b:Tag>SCh14</b:Tag>
    <b:SourceType>JournalArticle</b:SourceType>
    <b:Guid>{911DFD11-A6EE-46CF-A628-460DF174E8FA}</b:Guid>
    <b:Author>
      <b:Author>
        <b:NameList>
          <b:Person>
            <b:Last>Chambers</b:Last>
            <b:First>S</b:First>
          </b:Person>
        </b:NameList>
      </b:Author>
    </b:Author>
    <b:Title>Who is Policing the Police and Crime Commissioners? </b:Title>
    <b:JournalName>Safer Communities </b:JournalName>
    <b:Year>2014 </b:Year>
    <b:Pages>32-29 </b:Pages>
    <b:Volume>1</b:Volume>
    <b:Issue>13</b:Issue>
    <b:RefOrder>8</b:RefOrder>
  </b:Source>
  <b:Source>
    <b:Tag>Shi17</b:Tag>
    <b:SourceType>InternetSite</b:SourceType>
    <b:Guid>{21225A43-2133-45F4-8BC3-B824BF3EB102}</b:Guid>
    <b:Title>PCC's decision to force chief constable to rsign was irrational, perverse and wholly disproportionate </b:Title>
    <b:Year>2017</b:Year>
    <b:Author>
      <b:Author>
        <b:NameList>
          <b:Person>
            <b:Last>Shine</b:Last>
            <b:First>Joe</b:First>
          </b:Person>
          <b:Person>
            <b:Last>Lander </b:Last>
            <b:First>Paul </b:First>
          </b:Person>
        </b:NameList>
      </b:Author>
    </b:Author>
    <b:YearAccessed>2024</b:YearAccessed>
    <b:MonthAccessed>August </b:MonthAccessed>
    <b:DayAccessed>17</b:DayAccessed>
    <b:URL>https://policeprofessional.com/news/pcc%C2%92s-decision-to-force-chief-constable-to-resign-was-%C2%91irrational%C2%92-%C2%91perverse%C2%92-and-wholly-disproportionate-2/</b:URL>
    <b:RefOrder>9</b:RefOrder>
  </b:Source>
  <b:Source>
    <b:Tag>BBC13</b:Tag>
    <b:SourceType>InternetSite</b:SourceType>
    <b:Guid>{FE77067B-247C-4FD0-97C3-3A80F9E93374}</b:Guid>
    <b:Author>
      <b:Author>
        <b:NameList>
          <b:Person>
            <b:Last>BBC</b:Last>
          </b:Person>
        </b:NameList>
      </b:Author>
    </b:Author>
    <b:Title>Gwent Police: Carmel Napier's depature brings 'instability'</b:Title>
    <b:Year>2013 </b:Year>
    <b:YearAccessed>2024 </b:YearAccessed>
    <b:MonthAccessed>November </b:MonthAccessed>
    <b:DayAccessed>26</b:DayAccessed>
    <b:URL>https://www.bbc.co.uk/news/uk-wales-south-east-wales-23359838</b:URL>
    <b:RefOrder>10</b:RefOrder>
  </b:Source>
  <b:Source>
    <b:Tag>Dav14</b:Tag>
    <b:SourceType>ConferenceProceedings</b:SourceType>
    <b:Guid>{BDDBAE48-179F-4833-9DBF-B2A04755AE0A}</b:Guid>
    <b:Author>
      <b:Author>
        <b:NameList>
          <b:Person>
            <b:Last>Davies</b:Last>
            <b:First>Matthew</b:First>
          </b:Person>
        </b:NameList>
      </b:Author>
    </b:Author>
    <b:Title>Unravelling the role of Police and Crime Commissioners</b:Title>
    <b:Year>2014</b:Year>
    <b:Pages>17-30</b:Pages>
    <b:ConferenceName>British Criminology Confrence </b:ConferenceName>
    <b:City>Oxford </b:City>
    <b:Publisher>The British Society of Criminology </b:Publisher>
    <b:RefOrder>11</b:RefOrder>
  </b:Source>
  <b:Source>
    <b:Tag>Pet11</b:Tag>
    <b:SourceType>JournalArticle</b:SourceType>
    <b:Guid>{DAAF1802-75A0-4566-B6C5-D3BBBEE5C564}</b:Guid>
    <b:Title>Polcie reform: from the police authorities to police and crime commissioners </b:Title>
    <b:Pages>5-13 </b:Pages>
    <b:Year>2011</b:Year>
    <b:Author>
      <b:Author>
        <b:NameList>
          <b:Person>
            <b:Last>Joyce</b:Last>
            <b:First>Peter</b:First>
          </b:Person>
        </b:NameList>
      </b:Author>
    </b:Author>
    <b:JournalName>Safer communities </b:JournalName>
    <b:Volume>10</b:Volume>
    <b:Issue>4</b:Issue>
    <b:RefOrder>12</b:RefOrder>
  </b:Source>
  <b:Source>
    <b:Tag>Hom23</b:Tag>
    <b:SourceType>Report</b:SourceType>
    <b:Guid>{E5A88CB4-BB61-48BB-9C1B-24036E3EB134}</b:Guid>
    <b:Title>The Policing Protocal Order 2023</b:Title>
    <b:Year>2023</b:Year>
    <b:Author>
      <b:Author>
        <b:NameList>
          <b:Person>
            <b:Last>Home Office </b:Last>
          </b:Person>
        </b:NameList>
      </b:Author>
    </b:Author>
    <b:Institution>Home Office</b:Institution>
    <b:Publisher>Legislation.gov.uk</b:Publisher>
    <b:City>London </b:City>
    <b:ThesisType>Legislation </b:ThesisType>
    <b:RefOrder>13</b:RefOrder>
  </b:Source>
  <b:Source>
    <b:Tag>Hom64</b:Tag>
    <b:SourceType>Report</b:SourceType>
    <b:Guid>{8CB25B6E-AB80-480F-AB85-206511F6CBEF}</b:Guid>
    <b:Author>
      <b:Author>
        <b:Corporate>Home Office </b:Corporate>
      </b:Author>
    </b:Author>
    <b:Title>Police Act 1964</b:Title>
    <b:Year>1964</b:Year>
    <b:Institution>Home Officer</b:Institution>
    <b:Publisher>Legislation.gov.uk</b:Publisher>
    <b:City>London</b:City>
    <b:ThesisType>Legislation</b:ThesisType>
    <b:RefOrder>14</b:RefOrder>
  </b:Source>
  <b:Source>
    <b:Tag>Pol11</b:Tag>
    <b:SourceType>Report</b:SourceType>
    <b:Guid>{B845779E-5E9D-4C00-B145-616B9DE10A34}</b:Guid>
    <b:Title>Police Reform and Social Resposability Act</b:Title>
    <b:Year>2011</b:Year>
    <b:Publisher>Legislation.gov.uk</b:Publisher>
    <b:ThesisType>Legislation</b:ThesisType>
    <b:Author>
      <b:Author>
        <b:Corporate>Home Office </b:Corporate>
      </b:Author>
    </b:Author>
    <b:Institution>Home Office</b:Institution>
    <b:City>London</b:City>
    <b:RefOrder>15</b:RefOrder>
  </b:Source>
  <b:Source>
    <b:Tag>Ass24</b:Tag>
    <b:SourceType>InternetSite</b:SourceType>
    <b:Guid>{5BBCD3E2-1BAE-412B-8834-7E61357DC048}</b:Guid>
    <b:Title>Role of the PCC - Role of the PXX and his/her Office</b:Title>
    <b:Year>2024</b:Year>
    <b:Author>
      <b:Author>
        <b:Corporate>Association of Police and Crime Commissioners </b:Corporate>
      </b:Author>
    </b:Author>
    <b:YearAccessed>2024</b:YearAccessed>
    <b:MonthAccessed>November </b:MonthAccessed>
    <b:DayAccessed>27</b:DayAccessed>
    <b:URL>https://www.apccs.police.uk/role-of-the-pcc/</b:URL>
    <b:RefOrder>16</b:RefOrder>
  </b:Source>
  <b:Source>
    <b:Tag>New23</b:Tag>
    <b:SourceType>InternetSite</b:SourceType>
    <b:Guid>{DB220265-D6B6-4E95-8685-3F3A3D4C8DA8}</b:Guid>
    <b:Author>
      <b:Author>
        <b:NameList>
          <b:Person>
            <b:Last>Newson</b:Last>
            <b:First>Nicola</b:First>
          </b:Person>
        </b:NameList>
      </b:Author>
    </b:Author>
    <b:Title>Police and crime panels: Structure, purpose and powers</b:Title>
    <b:Year>2023</b:Year>
    <b:YearAccessed>2024</b:YearAccessed>
    <b:MonthAccessed>November</b:MonthAccessed>
    <b:DayAccessed>27</b:DayAccessed>
    <b:URL>https://lordslibrary.parliament.uk/police-and-crime-panels-structure-purpose-and-powers/#:~:text=Police%20and%20crime%20panels%20are%20the%20bodies%20that%20scrutinise%20police,police%20force%20for%20their%20area%E2%80%9D.</b:URL>
    <b:InternetSiteTitle>House of Lords Library </b:InternetSiteTitle>
    <b:RefOrder>17</b:RefOrder>
  </b:Source>
  <b:Source>
    <b:Tag>His24</b:Tag>
    <b:SourceType>InternetSite</b:SourceType>
    <b:Guid>{3D20200A-E12A-4B49-BBD7-74E1EB5226A2}</b:Guid>
    <b:Author>
      <b:Author>
        <b:Corporate>His Majesty’s Inspectorate of Constabulary and Fire &amp; Rescue Services</b:Corporate>
      </b:Author>
    </b:Author>
    <b:Title>What we do </b:Title>
    <b:Year>2024 </b:Year>
    <b:YearAccessed>2024 </b:YearAccessed>
    <b:MonthAccessed>November </b:MonthAccessed>
    <b:DayAccessed>27</b:DayAccessed>
    <b:URL>https://hmicfrs.justiceinspectorates.gov.uk/about-us/what-we-do/</b:URL>
    <b:RefOrder>18</b:RefOrder>
  </b:Source>
  <b:Source>
    <b:Tag>Ind23</b:Tag>
    <b:SourceType>InternetSite</b:SourceType>
    <b:Guid>{3E474777-1C7A-40E3-8930-205A88ADB0DD}</b:Guid>
    <b:Author>
      <b:Author>
        <b:Corporate>Independent Office for Police Conduct </b:Corporate>
      </b:Author>
    </b:Author>
    <b:Title>Independent Office for Police Conduct </b:Title>
    <b:Year>2023</b:Year>
    <b:YearAccessed>2024</b:YearAccessed>
    <b:MonthAccessed>November </b:MonthAccessed>
    <b:DayAccessed>27</b:DayAccessed>
    <b:URL>https://www.policeconduct.gov.uk/about-us</b:URL>
    <b:RefOrder>19</b:RefOrder>
  </b:Source>
  <b:Source>
    <b:Tag>Jon28</b:Tag>
    <b:SourceType>Report</b:SourceType>
    <b:Guid>{92428BB2-9E33-457E-BA90-1E8726110F10}</b:Guid>
    <b:Title>Police and Crime Plan</b:Title>
    <b:Year>2024 - 2028</b:Year>
    <b:Author>
      <b:Author>
        <b:Corporate>Humberside Police and Crime Commissioner</b:Corporate>
      </b:Author>
    </b:Author>
    <b:Institution>Office of the Police and Crime Commissioner</b:Institution>
    <b:Publisher>Jonathan Evison </b:Publisher>
    <b:RefOrder>20</b:RefOrder>
  </b:Source>
  <b:Source>
    <b:Tag>Nat24</b:Tag>
    <b:SourceType>DocumentFromInternetSite</b:SourceType>
    <b:Guid>{D282897D-65E9-4795-B041-5002E43188F2}</b:Guid>
    <b:Title>Policing Vision 2030 </b:Title>
    <b:Year>2024</b:Year>
    <b:Author>
      <b:Author>
        <b:Corporate>National Police Chiefs Council </b:Corporate>
      </b:Author>
    </b:Author>
    <b:InternetSiteTitle>National Police Chiefs Council</b:InternetSiteTitle>
    <b:ProductionCompany>National Police Chiefs Council</b:ProductionCompany>
    <b:YearAccessed>2024</b:YearAccessed>
    <b:MonthAccessed>December </b:MonthAccessed>
    <b:DayAccessed>1</b:DayAccessed>
    <b:URL>https://www.npcc.police.uk/SysSiteAssets/media/downloads/publications/policing-vision/policing-vision-2030.pdf</b:URL>
    <b:RefOrder>21</b:RefOrder>
  </b:Source>
  <b:Source>
    <b:Tag>Hul23</b:Tag>
    <b:SourceType>DocumentFromInternetSite</b:SourceType>
    <b:Guid>{D050AD8E-6FA4-4686-80BE-0238E87D3883}</b:Guid>
    <b:Author>
      <b:Author>
        <b:Corporate>Hull Collaborative Partnership </b:Corporate>
      </b:Author>
    </b:Author>
    <b:Title>Communiity Safety Partnerships </b:Title>
    <b:InternetSiteTitle>Hull Collaborative Partnership</b:InternetSiteTitle>
    <b:Year>2023</b:Year>
    <b:YearAccessed>2024</b:YearAccessed>
    <b:MonthAccessed>December </b:MonthAccessed>
    <b:DayAccessed>1</b:DayAccessed>
    <b:URL>https://www.hullcollaborativepartnership.org.uk/downloads/file/54/safer-hull-delivery-plan-2023-to-2024</b:URL>
    <b:RefOrder>22</b:RefOrder>
  </b:Source>
  <b:Source>
    <b:Tag>Cra</b:Tag>
    <b:SourceType>BookSection</b:SourceType>
    <b:Guid>{C62B6F29-33B0-4A86-92CF-CA20B23B8795}</b:Guid>
    <b:Title>The Challenges of Working Across Organsational Boundaries, Cultures and Practices</b:Title>
    <b:Author>
      <b:Author>
        <b:NameList>
          <b:Person>
            <b:Last>Crawford</b:Last>
            <b:First>Adam</b:First>
          </b:Person>
          <b:Person>
            <b:Last>Cunningham</b:Last>
            <b:First>Mike</b:First>
          </b:Person>
        </b:NameList>
      </b:Author>
      <b:Editor>
        <b:NameList>
          <b:Person>
            <b:Last>Fleming</b:Last>
            <b:First>Jenny</b:First>
          </b:Person>
        </b:NameList>
      </b:Editor>
    </b:Author>
    <b:Year>2015 </b:Year>
    <b:Pages>71 - 94</b:Pages>
    <b:BookTitle>Police Leadership - Rising to the Top</b:BookTitle>
    <b:Publisher>Oxford </b:Publisher>
    <b:RefOrder>23</b:RefOrder>
  </b:Source>
  <b:Source>
    <b:Tag>Hul24</b:Tag>
    <b:SourceType>InternetSite</b:SourceType>
    <b:Guid>{12E72BFB-9033-4527-9FDF-CA7DC9F5981C}</b:Guid>
    <b:Title>Area committees</b:Title>
    <b:Year>2024</b:Year>
    <b:Author>
      <b:Author>
        <b:Corporate>Hull City Council </b:Corporate>
      </b:Author>
    </b:Author>
    <b:YearAccessed>2024 </b:YearAccessed>
    <b:MonthAccessed>December </b:MonthAccessed>
    <b:DayAccessed>3</b:DayAccessed>
    <b:URL>https://www.hull.gov.uk/structure-decision-making/area-committees</b:URL>
    <b:RefOrder>24</b:RefOrder>
  </b:Source>
  <b:Source>
    <b:Tag>Hul21</b:Tag>
    <b:SourceType>InternetSite</b:SourceType>
    <b:Guid>{CA790C71-368B-40E5-8A2C-D4857EBE2C91}</b:Guid>
    <b:Author>
      <b:Author>
        <b:Corporate>Hull City Council</b:Corporate>
      </b:Author>
    </b:Author>
    <b:Title>Area Committees </b:Title>
    <b:Year>2021</b:Year>
    <b:YearAccessed>2024</b:YearAccessed>
    <b:MonthAccessed>December</b:MonthAccessed>
    <b:DayAccessed>3</b:DayAccessed>
    <b:URL>https://www.hull.gov.uk/structure-decision-making/area-committees/5</b:URL>
    <b:RefOrder>25</b:RefOrder>
  </b:Source>
  <b:Source>
    <b:Tag>Hom99</b:Tag>
    <b:SourceType>InternetSite</b:SourceType>
    <b:Guid>{3B5CC334-D39A-4AA4-A4CB-B538361AAD68}</b:Guid>
    <b:Author>
      <b:Author>
        <b:Corporate>Home Office </b:Corporate>
      </b:Author>
    </b:Author>
    <b:Title>The Stephen Lawrence Inquiry </b:Title>
    <b:Year>1999</b:Year>
    <b:YearAccessed>2024</b:YearAccessed>
    <b:MonthAccessed>December </b:MonthAccessed>
    <b:DayAccessed>4</b:DayAccessed>
    <b:URL>https://www.gov.uk/government/publications/the-stephen-lawrence-inquiry</b:URL>
    <b:RefOrder>26</b:RefOrder>
  </b:Source>
  <b:Source>
    <b:Tag>Hum241</b:Tag>
    <b:SourceType>InternetSite</b:SourceType>
    <b:Guid>{A73CDB5B-4F52-43FC-8A8B-0A59244B5117}</b:Guid>
    <b:Author>
      <b:Author>
        <b:Corporate>Humberside Police </b:Corporate>
      </b:Author>
    </b:Author>
    <b:Title>Independent Advisory Groups</b:Title>
    <b:Year>2024 </b:Year>
    <b:YearAccessed>2024</b:YearAccessed>
    <b:MonthAccessed>December </b:MonthAccessed>
    <b:DayAccessed>4</b:DayAccessed>
    <b:URL>https://www.humberside.police.uk/police-forces/humberside-police/areas/about-us/about-us/independent-advisory-groups/</b:URL>
    <b:RefOrder>27</b:RefOrder>
  </b:Source>
  <b:Source>
    <b:Tag>Dia09</b:Tag>
    <b:SourceType>DocumentFromInternetSite</b:SourceType>
    <b:Guid>{115476FE-D6C3-41CA-9797-F899D1CB0120}</b:Guid>
    <b:Title>Advancing Community Policing Through Community Governance: A Framework Document </b:Title>
    <b:Year>2009</b:Year>
    <b:YearAccessed>2024 </b:YearAccessed>
    <b:MonthAccessed>December </b:MonthAccessed>
    <b:DayAccessed>4 </b:DayAccessed>
    <b:URL>https://portal.cops.usdoj.gov/resourcecenter/content.ashx/cops-p161-pub.pdf</b:URL>
    <b:Author>
      <b:Author>
        <b:NameList>
          <b:Person>
            <b:Last>Diamon</b:Last>
            <b:First>Drew</b:First>
          </b:Person>
          <b:Person>
            <b:Last>Mead Weiss </b:Last>
            <b:First>Deirdre </b:First>
          </b:Person>
        </b:NameList>
      </b:Author>
    </b:Author>
    <b:InternetSiteTitle>United States Department of Justice </b:InternetSiteTitle>
    <b:ProductionCompany>Office of Community Oriented Policing Services </b:ProductionCompany>
    <b:RefOrder>28</b:RefOrder>
  </b:Source>
  <b:Source>
    <b:Tag>Bil18</b:Tag>
    <b:SourceType>JournalArticle</b:SourceType>
    <b:Guid>{AFC1CA19-31C4-419D-A5A1-F4341392ED11}</b:Guid>
    <b:Title>Who Needs Critical Friends? Independent Advisory Groups in the Age of the Police and Crime Commissioner</b:Title>
    <b:Year>2018 </b:Year>
    <b:Author>
      <b:Author>
        <b:NameList>
          <b:Person>
            <b:Last>Dixon</b:Last>
            <b:First>Bill</b:First>
          </b:Person>
        </b:NameList>
      </b:Author>
    </b:Author>
    <b:JournalName>Policing: A Journal of Policy and Practice</b:JournalName>
    <b:Pages>686 - 697 </b:Pages>
    <b:Volume>14</b:Volume>
    <b:Issue>3</b:Issue>
    <b:RefOrder>29</b:RefOrder>
  </b:Source>
  <b:Source>
    <b:Tag>Jon19</b:Tag>
    <b:SourceType>JournalArticle</b:SourceType>
    <b:Guid>{DA876718-8218-4916-A7EF-E1F89D6C72AA}</b:Guid>
    <b:Title>Localism and polcie governance in England and Wales: Exploring change </b:Title>
    <b:JournalName>European Journal of Criminology </b:JournalName>
    <b:Year>2019 </b:Year>
    <b:Pages>552 - 572 </b:Pages>
    <b:Volume>16</b:Volume>
    <b:Issue>5</b:Issue>
    <b:Author>
      <b:Author>
        <b:NameList>
          <b:Person>
            <b:Last>Jones </b:Last>
            <b:First>Trevor </b:First>
          </b:Person>
          <b:Person>
            <b:Last>Lister </b:Last>
            <b:First>Stuart </b:First>
          </b:Person>
        </b:NameList>
      </b:Author>
    </b:Author>
    <b:RefOrder>30</b:RefOrder>
  </b:Source>
  <b:Source>
    <b:Tag>Hom231</b:Tag>
    <b:SourceType>DocumentFromInternetSite</b:SourceType>
    <b:Guid>{13FF315A-8EF0-461E-AEC3-4ACC10E8AC64}</b:Guid>
    <b:Title>The transfer of Police and Crime Commissioner functions to the Mayor of the West Midlands </b:Title>
    <b:Year>2023 </b:Year>
    <b:Author>
      <b:Author>
        <b:Corporate>Home Office</b:Corporate>
      </b:Author>
    </b:Author>
    <b:InternetSiteTitle>Www.gov.uk</b:InternetSiteTitle>
    <b:ProductionCompany>Home Office </b:ProductionCompany>
    <b:YearAccessed>2024 </b:YearAccessed>
    <b:MonthAccessed>December </b:MonthAccessed>
    <b:DayAccessed>5 </b:DayAccessed>
    <b:URL>https://assets.publishing.service.gov.uk/media/6582dfbd23b70a000d234cf2/West_Midlands_Consultation_Document.pdf</b:URL>
    <b:RefOrder>31</b:RefOrder>
  </b:Source>
  <b:Source>
    <b:Tag>Ann04</b:Tag>
    <b:SourceType>Book</b:SourceType>
    <b:Guid>{7D9AFF53-AEAB-41B4-BB76-5BEBF11608D7}</b:Guid>
    <b:Title>Governance </b:Title>
    <b:Year>2004 </b:Year>
    <b:Author>
      <b:Author>
        <b:NameList>
          <b:Person>
            <b:Last>Kjaer</b:Last>
            <b:First>Ann</b:First>
            <b:Middle>Marie</b:Middle>
          </b:Person>
        </b:NameList>
      </b:Author>
    </b:Author>
    <b:City>Cambridge </b:City>
    <b:Publisher>Polity Press </b:Publisher>
    <b:RefOrder>32</b:RefOrder>
  </b:Source>
  <b:Source>
    <b:Tag>Bri14</b:Tag>
    <b:SourceType>ArticleInAPeriodical</b:SourceType>
    <b:Guid>{79587277-5727-4D49-8A00-D9F56901D80E}</b:Guid>
    <b:Title>The Future of Policing in England and Wales - Book Review</b:Title>
    <b:Year>2014</b:Year>
    <b:Author>
      <b:Author>
        <b:NameList>
          <b:Person>
            <b:Last>Brian</b:Last>
            <b:First>Timothy</b:First>
          </b:Person>
        </b:NameList>
      </b:Author>
    </b:Author>
    <b:Pages>115 - 116</b:Pages>
    <b:PeriodicalTitle>Policing </b:PeriodicalTitle>
    <b:Month>December </b:Month>
    <b:Day>10</b:Day>
    <b:RefOrder>33</b:RefOrder>
  </b:Source>
  <b:Source>
    <b:Tag>Hom14</b:Tag>
    <b:SourceType>InternetSite</b:SourceType>
    <b:Guid>{62C35BE9-24E1-4AEB-BCE5-E480B37CFC7A}</b:Guid>
    <b:Title>Home Secretary's Police Federation 2014 speech</b:Title>
    <b:Year>2014</b:Year>
    <b:Author>
      <b:Author>
        <b:Corporate>Home Office </b:Corporate>
      </b:Author>
    </b:Author>
    <b:YearAccessed>2024 </b:YearAccessed>
    <b:MonthAccessed>December </b:MonthAccessed>
    <b:DayAccessed>8</b:DayAccessed>
    <b:URL>https://www.gov.uk/government/speeches/home-secretarys-police-federation-2014-speech</b:URL>
    <b:RefOrder>34</b:RefOrder>
  </b:Source>
  <b:Source>
    <b:Tag>Tra17</b:Tag>
    <b:SourceType>InternetSite</b:SourceType>
    <b:Guid>{4E799207-3455-49B6-8737-F695143C5275}</b:Guid>
    <b:Author>
      <b:Author>
        <b:NameList>
          <b:Person>
            <b:Last>Travis</b:Last>
          </b:Person>
        </b:NameList>
      </b:Author>
    </b:Author>
    <b:Title>Simple numbers tell story of police cuts under Theresa May</b:Title>
    <b:Year>2017 </b:Year>
    <b:YearAccessed>2024 </b:YearAccessed>
    <b:MonthAccessed>December </b:MonthAccessed>
    <b:DayAccessed>8</b:DayAccessed>
    <b:URL>https://www.theguardian.com/uk-news/2017/jun/05/theresa-may-police-cuts-margaret-thatcher-budgets</b:URL>
    <b:RefOrder>35</b:RefOrder>
  </b:Source>
  <b:Source>
    <b:Tag>Nic16</b:Tag>
    <b:SourceType>InternetSite</b:SourceType>
    <b:Guid>{A57FF986-1F08-4721-B69E-E56E83418101}</b:Guid>
    <b:Title>National Archives: Thatcher's poll tax miscalculation</b:Title>
    <b:Year>2016</b:Year>
    <b:YearAccessed>2024 </b:YearAccessed>
    <b:MonthAccessed>December </b:MonthAccessed>
    <b:DayAccessed>8</b:DayAccessed>
    <b:URL>https://www.bbc.co.uk/news/uk-38382416</b:URL>
    <b:Author>
      <b:Author>
        <b:NameList>
          <b:Person>
            <b:Last>Higham</b:Last>
            <b:First>Nick</b:First>
          </b:Person>
        </b:NameList>
      </b:Author>
    </b:Author>
    <b:RefOrder>36</b:RefOrder>
  </b:Source>
  <b:Source>
    <b:Tag>Nat241</b:Tag>
    <b:SourceType>InternetSite</b:SourceType>
    <b:Guid>{9AE001D3-71E2-4D27-940B-1DF05B15D715}</b:Guid>
    <b:Title>Decision support tool</b:Title>
    <b:Year>2024</b:Year>
    <b:YearAccessed>2024</b:YearAccessed>
    <b:MonthAccessed>December </b:MonthAccessed>
    <b:DayAccessed>8</b:DayAccessed>
    <b:URL>https://www.nao.org.uk/decision-support-toolkit/introduction/general-principles/</b:URL>
    <b:Author>
      <b:Author>
        <b:Corporate>National Audit Office </b:Corporate>
      </b:Author>
    </b:Author>
    <b:RefOrder>37</b:RefOrder>
  </b:Source>
  <b:Source>
    <b:Tag>Hom24</b:Tag>
    <b:SourceType>InternetSite</b:SourceType>
    <b:Guid>{4ED3FD05-E409-4566-A0AA-7ACD2A6981A9}</b:Guid>
    <b:Author>
      <b:Author>
        <b:Corporate>Home Office</b:Corporate>
      </b:Author>
    </b:Author>
    <b:Title>Policing Productivity Review</b:Title>
    <b:Year>2024 </b:Year>
    <b:YearAccessed>2024</b:YearAccessed>
    <b:MonthAccessed>December </b:MonthAccessed>
    <b:DayAccessed>8</b:DayAccessed>
    <b:URL>https://www.gov.uk/government/publications/policing-productivity-review/policing-productivity-review-accessible</b:URL>
    <b:InternetSiteTitle>www.gov.uk </b:InternetSiteTitle>
    <b:RefOrder>38</b:RefOrder>
  </b:Source>
  <b:Source>
    <b:Tag>Gov24</b:Tag>
    <b:SourceType>InternetSite</b:SourceType>
    <b:Guid>{B4A40BE7-5D19-40BC-B641-05AEA989E3C3}</b:Guid>
    <b:Author>
      <b:Author>
        <b:Corporate>Governance International </b:Corporate>
      </b:Author>
    </b:Author>
    <b:Title>What does public governance of public service organisations involve?</b:Title>
    <b:Year>2024</b:Year>
    <b:YearAccessed>2024</b:YearAccessed>
    <b:MonthAccessed>December </b:MonthAccessed>
    <b:DayAccessed>8</b:DayAccessed>
    <b:URL>https://www.govint.org/our-expertise/public-governance</b:URL>
    <b:RefOrder>39</b:RefOrder>
  </b:Source>
  <b:Source>
    <b:Tag>Muh09</b:Tag>
    <b:SourceType>JournalArticle</b:SourceType>
    <b:Guid>{C4CAE3FF-0948-4BC5-829C-F872B1C2CA48}</b:Guid>
    <b:Title>Codes of Good Governance</b:Title>
    <b:Year>2009</b:Year>
    <b:Author>
      <b:Author>
        <b:NameList>
          <b:Person>
            <b:Last>Ali</b:Last>
            <b:First>Muhammad</b:First>
          </b:Person>
        </b:NameList>
      </b:Author>
    </b:Author>
    <b:JournalName>Corporate Governance An International Review </b:JournalName>
    <b:Pages>376 - 387</b:Pages>
    <b:Volume>17</b:Volume>
    <b:Issue>3</b:Issue>
    <b:RefOrder>40</b:RefOrder>
  </b:Source>
  <b:Source>
    <b:Tag>UKP23</b:Tag>
    <b:SourceType>InternetSite</b:SourceType>
    <b:Guid>{F734845C-8AB3-428E-8648-FBFBAAA42B31}</b:Guid>
    <b:Title>Police standards and culture: Restoring public trust</b:Title>
    <b:Year>2023 </b:Year>
    <b:Author>
      <b:Author>
        <b:Corporate>UK Parliment </b:Corporate>
      </b:Author>
    </b:Author>
    <b:YearAccessed>2024</b:YearAccessed>
    <b:MonthAccessed>December </b:MonthAccessed>
    <b:DayAccessed>8</b:DayAccessed>
    <b:URL>https://lordslibrary.parliament.uk/police-standards-and-culture-restoring-public-trust/#heading-1</b:URL>
    <b:RefOrder>41</b:RefOrder>
  </b:Source>
  <b:Source>
    <b:Tag>The24</b:Tag>
    <b:SourceType>InternetSite</b:SourceType>
    <b:Guid>{503E35B7-E938-4D3C-83E5-B9EB028200E6}</b:Guid>
    <b:Author>
      <b:Author>
        <b:Corporate>The Angiolini Inquiry </b:Corporate>
      </b:Author>
    </b:Author>
    <b:Title>The Angiolini Inquiry</b:Title>
    <b:Year>2024</b:Year>
    <b:YearAccessed>2024 </b:YearAccessed>
    <b:MonthAccessed>December </b:MonthAccessed>
    <b:DayAccessed>8 </b:DayAccessed>
    <b:URL>https://www.angiolini.independent-inquiry.uk/</b:URL>
    <b:RefOrder>42</b:RefOrder>
  </b:Source>
  <b:Source>
    <b:Tag>Hom991</b:Tag>
    <b:SourceType>Report</b:SourceType>
    <b:Guid>{1FEE4976-1FBB-485D-9ADD-850248643785}</b:Guid>
    <b:Author>
      <b:Author>
        <b:Corporate>Home Office </b:Corporate>
      </b:Author>
    </b:Author>
    <b:Title>Greater London Authority Act 1999</b:Title>
    <b:Year>1999</b:Year>
    <b:Institution>legislation.gov.uk</b:Institution>
    <b:Publisher>Home Office </b:Publisher>
    <b:City>London </b:City>
    <b:ThesisType>Legislation </b:ThesisType>
    <b:RefOrder>43</b:RefOrder>
  </b:Source>
  <b:Source>
    <b:Tag>Met24</b:Tag>
    <b:SourceType>InternetSite</b:SourceType>
    <b:Guid>{2E92DADD-F299-4C80-84CE-B3BE64301C00}</b:Guid>
    <b:Title>Governance </b:Title>
    <b:Year>2024</b:Year>
    <b:Author>
      <b:Author>
        <b:Corporate>Metropolitan Police</b:Corporate>
      </b:Author>
    </b:Author>
    <b:YearAccessed>2024 </b:YearAccessed>
    <b:MonthAccessed>December </b:MonthAccessed>
    <b:DayAccessed>8</b:DayAccessed>
    <b:URL>https://www.met.police.uk/police-forces/metropolitan-police/areas/about-us/about-the-met/governance/</b:URL>
    <b:RefOrder>44</b:RefOrder>
  </b:Source>
  <b:Source>
    <b:Tag>Dan22</b:Tag>
    <b:SourceType>InternetSite</b:SourceType>
    <b:Guid>{AD3D2A71-293A-43AC-A11F-6582A841B364}</b:Guid>
    <b:Author>
      <b:Author>
        <b:NameList>
          <b:Person>
            <b:Last>Stanford</b:Last>
            <b:First>Daniel</b:First>
          </b:Person>
        </b:NameList>
      </b:Author>
    </b:Author>
    <b:Title>Cressida Dick: Sadiq Khan intimidated Met chief into quitting- report</b:Title>
    <b:Year>2022</b:Year>
    <b:YearAccessed>2024</b:YearAccessed>
    <b:MonthAccessed>December </b:MonthAccessed>
    <b:DayAccessed>8</b:DayAccessed>
    <b:URL>https://www.bbc.co.uk/news/uk-england-london-62766240</b:URL>
    <b:RefOrder>45</b:RefOrder>
  </b:Source>
  <b:Source>
    <b:Tag>Onl03</b:Tag>
    <b:SourceType>InternetSite</b:SourceType>
    <b:Guid>{ABCCE8A8-DE6D-4C5B-A788-5F25AEC059EE}</b:Guid>
    <b:Author>
      <b:Author>
        <b:Corporate>Online Latin Dictionary </b:Corporate>
      </b:Author>
    </b:Author>
    <b:Title>Latin-English Dictonary </b:Title>
    <b:Year>2003</b:Year>
    <b:YearAccessed>2024</b:YearAccessed>
    <b:MonthAccessed>December </b:MonthAccessed>
    <b:DayAccessed>8</b:DayAccessed>
    <b:URL>https://www.online-latin-dictionary.com/latin-english-dictionary.php?lemma=GUBERNO100</b:URL>
    <b:RefOrder>46</b:RefOrder>
  </b:Source>
  <b:Source>
    <b:Tag>Int24</b:Tag>
    <b:SourceType>InternetSite</b:SourceType>
    <b:Guid>{2E232EEA-B5F1-42BC-A199-7D4E2F45EF43}</b:Guid>
    <b:Author>
      <b:Author>
        <b:Corporate>International Centre of Parlimentary Studies</b:Corporate>
      </b:Author>
    </b:Author>
    <b:Title>Governance</b:Title>
    <b:Year>2024</b:Year>
    <b:YearAccessed>2024</b:YearAccessed>
    <b:MonthAccessed>December </b:MonthAccessed>
    <b:DayAccessed>8</b:DayAccessed>
    <b:URL>https://www.parlicentre.org/about-us/area-expertise/governance</b:URL>
    <b:RefOrder>47</b:RefOrder>
  </b:Source>
  <b:Source>
    <b:Tag>Rai12</b:Tag>
    <b:SourceType>JournalArticle</b:SourceType>
    <b:Guid>{8D2BCDF8-3FB1-42B5-B7CF-37608CDA32CA}</b:Guid>
    <b:Title>From Police Authorities to Police and Crime Commissioners</b:Title>
    <b:Year>2012</b:Year>
    <b:JournalName>International Journal of Emergency Services </b:JournalName>
    <b:Pages>122-134</b:Pages>
    <b:Volume>1</b:Volume>
    <b:Issue>2</b:Issue>
    <b:Author>
      <b:Author>
        <b:NameList>
          <b:Person>
            <b:Last>Raine</b:Last>
            <b:First>John</b:First>
            <b:Middle>W</b:Middle>
          </b:Person>
          <b:Person>
            <b:Last>Keasey</b:Last>
            <b:First>Paul</b:First>
          </b:Person>
        </b:NameList>
      </b:Author>
    </b:Author>
    <b:YearAccessed>2024</b:YearAccessed>
    <b:MonthAccessed>December </b:MonthAccessed>
    <b:DayAccessed>8</b:DayAccessed>
    <b:URL>https://www.emerald.com/insight/content/doi/10.1108/20470891211275911/full/html</b:URL>
    <b:RefOrder>48</b:RefOrder>
  </b:Source>
  <b:Source>
    <b:Tag>UKP24</b:Tag>
    <b:SourceType>InternetSite</b:SourceType>
    <b:Guid>{6C6B91FA-DB02-4DA3-A861-23CFCCE69BFC}</b:Guid>
    <b:Title>UK Parliment The Two Tier System </b:Title>
    <b:Year>2024 </b:Year>
    <b:Author>
      <b:Author>
        <b:Corporate>UK Parliment </b:Corporate>
      </b:Author>
    </b:Author>
    <b:YearAccessed>2024 </b:YearAccessed>
    <b:MonthAccessed>December </b:MonthAccessed>
    <b:DayAccessed>9</b:DayAccessed>
    <b:URL>https://www.parliament.uk/about/how/role/system/</b:URL>
    <b:RefOrder>49</b:RefOrder>
  </b:Source>
  <b:Source>
    <b:Tag>His14</b:Tag>
    <b:SourceType>Report</b:SourceType>
    <b:Guid>{BBE46BE9-AAEF-4AD6-96ED-2AA0B009D1BA}</b:Guid>
    <b:Title>Crime-recording: making the victim count</b:Title>
    <b:Year>2014</b:Year>
    <b:YearAccessed>2024 </b:YearAccessed>
    <b:MonthAccessed>December </b:MonthAccessed>
    <b:DayAccessed>10</b:DayAccessed>
    <b:URL>https://hmicfrs.justiceinspectorates.gov.uk/publications/crime-recording-making-the-victim-count/</b:URL>
    <b:Author>
      <b:Author>
        <b:Corporate>His Majesty’s Inspectorate of Constabulary and Fire &amp; Rescue Services</b:Corporate>
      </b:Author>
    </b:Author>
    <b:Institution>His Majesty’s Inspectorate of Constabulary and Fire &amp; Rescue Services</b:Institution>
    <b:RefOrder>50</b:RefOrder>
  </b:Source>
  <b:Source>
    <b:Tag>The10</b:Tag>
    <b:SourceType>InternetSite</b:SourceType>
    <b:Guid>{A66AFF02-8DCD-47E8-8502-BC2A1DC4F049}</b:Guid>
    <b:Title>The Conservative manifesto at a glance</b:Title>
    <b:Year>2010</b:Year>
    <b:Author>
      <b:Author>
        <b:Corporate>The Guardian </b:Corporate>
      </b:Author>
    </b:Author>
    <b:YearAccessed>2024 </b:YearAccessed>
    <b:MonthAccessed>December </b:MonthAccessed>
    <b:DayAccessed>10</b:DayAccessed>
    <b:URL>https://www.theguardian.com/politics/2010/apr/13/conservative-manifesto-at-a-glance</b:URL>
    <b:InternetSiteTitle>theguardian.com</b:InternetSiteTitle>
    <b:Month>April </b:Month>
    <b:Day>13</b:Day>
    <b:RefOrder>51</b:RefOrder>
  </b:Source>
  <b:Source>
    <b:Tag>Hom96</b:Tag>
    <b:SourceType>InternetSite</b:SourceType>
    <b:Guid>{D117B600-172D-493F-B5B1-876EE8882662}</b:Guid>
    <b:Author>
      <b:Author>
        <b:Corporate>Home Office</b:Corporate>
      </b:Author>
    </b:Author>
    <b:Title>Police Act 1996</b:Title>
    <b:Year>1996</b:Year>
    <b:YearAccessed>2024</b:YearAccessed>
    <b:MonthAccessed>November</b:MonthAccessed>
    <b:DayAccessed>27</b:DayAccessed>
    <b:URL>https://www.legislation.gov.uk/ukpga/1996/16/section/40A</b:URL>
    <b:RefOrder>52</b:RefOrder>
  </b:Source>
  <b:Source>
    <b:Tag>Hom98</b:Tag>
    <b:SourceType>Report</b:SourceType>
    <b:Guid>{A909563B-5D95-48A7-9CF1-5CAB8F602817}</b:Guid>
    <b:Title>Crime and Disorder Act 1998</b:Title>
    <b:Year>1998</b:Year>
    <b:YearAccessed>2024</b:YearAccessed>
    <b:MonthAccessed>December </b:MonthAccessed>
    <b:DayAccessed>10</b:DayAccessed>
    <b:URL>https://www.legislation.gov.uk/ukpga/1998/37/contents</b:URL>
    <b:Author>
      <b:Author>
        <b:Corporate>Home Office</b:Corporate>
      </b:Author>
    </b:Author>
    <b:Institution>Home Office</b:Institution>
    <b:Publisher>Uk Goverment</b:Publisher>
    <b:RefOrder>53</b:RefOrder>
  </b:Source>
  <b:Source>
    <b:Tag>Hom12</b:Tag>
    <b:SourceType>Report</b:SourceType>
    <b:Guid>{9901E769-B773-4E0A-B080-E34B9D0B246F}</b:Guid>
    <b:Author>
      <b:Author>
        <b:Corporate>Home Office</b:Corporate>
      </b:Author>
    </b:Author>
    <b:Title>The Crime and Disorder (Formulation and Implementation of Strategy) (Amendment) Regulations 2012</b:Title>
    <b:Year>2012</b:Year>
    <b:Institution>UK goverment</b:Institution>
    <b:YearAccessed>2024</b:YearAccessed>
    <b:MonthAccessed>December</b:MonthAccessed>
    <b:DayAccessed>10</b:DayAccessed>
    <b:URL>https://www.legislation.gov.uk/uksi/2012/2660/made#:~:text=of%20the%20Regulations)-,The%20Crime%20and%20Disorder%20(Formulation%20and%20Implementation%20of%20Strategy)%20Regulations,disorder%20and%20for%20combating%20substance</b:URL>
    <b:RefOrder>54</b:RefOrder>
  </b:Source>
  <b:Source>
    <b:Tag>Cla13</b:Tag>
    <b:SourceType>JournalArticle</b:SourceType>
    <b:Guid>{21C228F1-CC88-46BC-B6D4-A16750E1D8B6}</b:Guid>
    <b:Title>Geographies and politics of localism: The localism of the United Kingdom's coalition government</b:Title>
    <b:Year>2013</b:Year>
    <b:Author>
      <b:Author>
        <b:NameList>
          <b:Person>
            <b:Last>Clarke</b:Last>
            <b:First>Nick</b:First>
          </b:Person>
          <b:Person>
            <b:Last>Cochrane</b:Last>
            <b:First>Allan</b:First>
          </b:Person>
        </b:NameList>
      </b:Author>
    </b:Author>
    <b:JournalName>Science Direct</b:JournalName>
    <b:Pages>10-23</b:Pages>
    <b:Volume>34</b:Volume>
    <b:Month>May</b:Month>
    <b:YearAccessed>2024</b:YearAccessed>
    <b:MonthAccessed>December</b:MonthAccessed>
    <b:DayAccessed>11</b:DayAccessed>
    <b:URL>https://www.sciencedirect.com/science/article/abs/pii/S0962629813000267</b:URL>
    <b:RefOrder>55</b:RefOrder>
  </b:Source>
  <b:Source>
    <b:Tag>Mic20</b:Tag>
    <b:SourceType>Book</b:SourceType>
    <b:Guid>{7F58C5DC-7A44-4D19-A84A-6E774E46B4D7}</b:Guid>
    <b:Title>Policing the police: challnegs of democracy and accountability</b:Title>
    <b:Year>2020</b:Year>
    <b:YearAccessed>2024</b:YearAccessed>
    <b:MonthAccessed>December </b:MonthAccessed>
    <b:DayAccessed>8</b:DayAccessed>
    <b:City>Bristol</b:City>
    <b:Publisher>The Policy Press</b:Publisher>
    <b:Edition>7th</b:Edition>
    <b:Author>
      <b:Author>
        <b:NameList>
          <b:Person>
            <b:Last>Rowe</b:Last>
            <b:First>Michael</b:First>
          </b:Person>
        </b:NameList>
      </b:Author>
    </b:Author>
    <b:Pages>36</b:Pages>
    <b:RefOrder>56</b:RefOrder>
  </b:Source>
  <b:Source>
    <b:Tag>Bov23</b:Tag>
    <b:SourceType>Book</b:SourceType>
    <b:Guid>{1E80C9FC-49B9-4EA0-9907-3702283E1D28}</b:Guid>
    <b:Title>Public Management and Governance</b:Title>
    <b:Year>2023</b:Year>
    <b:City>Routledge</b:City>
    <b:Publisher>Routledge</b:Publisher>
    <b:Edition>4th</b:Edition>
    <b:Author>
      <b:Author>
        <b:NameList>
          <b:Person>
            <b:Last>Bovaird </b:Last>
            <b:First>T</b:First>
          </b:Person>
          <b:Person>
            <b:Last>Loeffler</b:Last>
            <b:First>E</b:First>
          </b:Person>
        </b:NameList>
      </b:Author>
    </b:Author>
    <b:YearAccessed>2024</b:YearAccessed>
    <b:MonthAccessed>November</b:MonthAccessed>
    <b:DayAccessed>1</b:DayAccessed>
    <b:DOI>https://doi.org/10.4324/9781003282839</b:DOI>
    <b:RefOrder>57</b:RefOrder>
  </b:Source>
  <b:Source>
    <b:Tag>Rhe13</b:Tag>
    <b:SourceType>Report</b:SourceType>
    <b:Guid>{2BD5741B-D797-4D77-B2B8-0697FA38978E}</b:Guid>
    <b:Title>Changing attitudes towards sex, marriage and parenthood</b:Title>
    <b:Year>2013</b:Year>
    <b:Author>
      <b:Author>
        <b:NameList>
          <b:Person>
            <b:Last>Rhead</b:Last>
            <b:First>Rebecca</b:First>
          </b:Person>
          <b:Person>
            <b:Last>Park </b:Last>
            <b:First>A</b:First>
          </b:Person>
        </b:NameList>
      </b:Author>
    </b:Author>
    <b:Pages>1 - 33</b:Pages>
    <b:YearAccessed>2024</b:YearAccessed>
    <b:MonthAccessed>December </b:MonthAccessed>
    <b:DayAccessed>11</b:DayAccessed>
    <b:URL>https://kclpure.kcl.ac.uk/portal/en/publications/personal-relationships-changing-attitudes-towards-sex-marriage-an</b:URL>
    <b:Institution>British Social Attitudes, the 30 report</b:Institution>
    <b:RefOrder>58</b:RefOrder>
  </b:Source>
  <b:Source>
    <b:Tag>Moh11</b:Tag>
    <b:SourceType>Report</b:SourceType>
    <b:Guid>{12F687B1-DF05-4999-9F92-6D0512A1D5ED}</b:Guid>
    <b:Title>AN OVERVIEW OF CORPORATE GOVERNANCE: SOME ESSENTIALS</b:Title>
    <b:Year>2011</b:Year>
    <b:Institution>University Putra Malaysia - Graduate School of Management</b:Institution>
    <b:Publisher>SSRN</b:Publisher>
    <b:Author>
      <b:Author>
        <b:NameList>
          <b:Person>
            <b:Last>Mohamad</b:Last>
            <b:First>Shamsher</b:First>
          </b:Person>
          <b:Person>
            <b:Last>Sori</b:Last>
            <b:First>Zulkarnain Muhamad</b:First>
          </b:Person>
        </b:NameList>
      </b:Author>
    </b:Author>
    <b:URL>https://ssrn.com/abstract=1817091 or http://dx.doi.org/10.2139/ssrn.1817091</b:URL>
    <b:RefOrder>59</b:RefOrder>
  </b:Source>
  <b:Source>
    <b:Tag>Arm08</b:Tag>
    <b:SourceType>JournalArticle</b:SourceType>
    <b:Guid>{2BB5F05B-3520-4EB1-AA4C-20569DFECFD7}</b:Guid>
    <b:Title>Assessing Ethical Governance</b:Title>
    <b:Year>2008</b:Year>
    <b:JournalName>Assessing Ethical Governance</b:JournalName>
    <b:Pages>45 - 62</b:Pages>
    <b:Volume>3</b:Volume>
    <b:Issue>3</b:Issue>
    <b:Author>
      <b:Author>
        <b:NameList>
          <b:Person>
            <b:Last>Armstrong </b:Last>
            <b:First>Anona </b:First>
          </b:Person>
          <b:Person>
            <b:Last>Ronald Francis </b:Last>
          </b:Person>
        </b:NameList>
      </b:Author>
    </b:Author>
    <b:RefOrder>60</b:RefOrder>
  </b:Source>
  <b:Source>
    <b:Tag>Dun06</b:Tag>
    <b:SourceType>DocumentFromInternetSite</b:SourceType>
    <b:Guid>{F6657BAE-4525-42EB-90D4-C3909FCBA801}</b:Guid>
    <b:Title>Friedman’s “The Social Responsibility of Business is to Increase</b:Title>
    <b:Year>2006</b:Year>
    <b:PeriodicalTitle>Management </b:PeriodicalTitle>
    <b:Month>July </b:Month>
    <b:Author>
      <b:Author>
        <b:NameList>
          <b:Person>
            <b:Last>Dunn </b:Last>
            <b:Middle>P </b:Middle>
            <b:First>Craig </b:First>
          </b:Person>
          <b:Person>
            <b:Last>Burton </b:Last>
            <b:Middle>K</b:Middle>
            <b:First>Brian </b:First>
          </b:Person>
        </b:NameList>
      </b:Author>
    </b:Author>
    <b:InternetSiteTitle>Western Washington University </b:InternetSiteTitle>
    <b:ProductionCompany>College of Business and Economics at Western CEDAR</b:ProductionCompany>
    <b:YearAccessed>2025 </b:YearAccessed>
    <b:MonthAccessed>January </b:MonthAccessed>
    <b:DayAccessed>8th </b:DayAccessed>
    <b:URL>https://cedar.wwu.edu/mgmt_facpubs/7/?utm_source=cedar.wwu.edu%2Fmgmt_facpubs%2F7&amp;utm_medium=PDF&amp;utm_campaign=PDFCoverPages</b:URL>
    <b:RefOrder>61</b:RefOrder>
  </b:Source>
  <b:Source>
    <b:Tag>Hom25</b:Tag>
    <b:SourceType>InternetSite</b:SourceType>
    <b:Guid>{C6A3C04B-4E8B-417A-8372-36496DFE863B}</b:Guid>
    <b:Title>Independent report - Special commission on the resignation of the Commissioner of Police of the Metropolis: final report</b:Title>
    <b:Year>2022</b:Year>
    <b:YearAccessed>2025</b:YearAccessed>
    <b:MonthAccessed>January</b:MonthAccessed>
    <b:DayAccessed>11</b:DayAccessed>
    <b:URL>https://www.gov.uk/government/publications/commissioner-accountability-review/special-commission-on-the-resignation-of-the-commissioner-of-police-of-the-metropolis-final-report-accessible</b:URL>
    <b:Author>
      <b:Author>
        <b:Corporate>Home Office</b:Corporate>
      </b:Author>
    </b:Author>
    <b:RefOrder>62</b:RefOrder>
  </b:Source>
  <b:Source>
    <b:Tag>Han23</b:Tag>
    <b:SourceType>InternetSite</b:SourceType>
    <b:Guid>{3BC76568-6BA1-4A46-B682-40A7903A03B7}</b:Guid>
    <b:Title>Public perceptions of policing: A review of research and literature</b:Title>
    <b:Year>2023</b:Year>
    <b:YearAccessed>2023 </b:YearAccessed>
    <b:MonthAccessed>January </b:MonthAccessed>
    <b:DayAccessed>13 </b:DayAccessed>
    <b:URL>https://www.gov.uk/government/publications/public-perceptions-of-policing-a-review-of-research-and-literature/public-perceptions-of-policing-a-review-of-research-and-literature</b:URL>
    <b:Author>
      <b:Author>
        <b:NameList>
          <b:Person>
            <b:Last>Hanway </b:Last>
            <b:First>Pamela </b:First>
          </b:Person>
          <b:Person>
            <b:Last>Hambly </b:Last>
            <b:First>Olivia </b:First>
          </b:Person>
        </b:NameList>
      </b:Author>
    </b:Author>
    <b:RefOrder>63</b:RefOrder>
  </b:Source>
  <b:Source>
    <b:Tag>Ell21</b:Tag>
    <b:SourceType>JournalArticle</b:SourceType>
    <b:Guid>{EF39CD42-C7C7-45D0-985B-B2386DFFB4C5}</b:Guid>
    <b:Title>Understanding policing demand and deployment through the lens of the city and with the application of big data</b:Title>
    <b:Year>2021</b:Year>
    <b:YearAccessed>2025</b:YearAccessed>
    <b:MonthAccessed>January</b:MonthAccessed>
    <b:DayAccessed>13</b:DayAccessed>
    <b:JournalName>Urban Studies</b:JournalName>
    <b:Pages>3157–3175</b:Pages>
    <b:Volume>58</b:Volume>
    <b:Author>
      <b:Author>
        <b:NameList>
          <b:Person>
            <b:Last>Ellison</b:Last>
            <b:First>M</b:First>
          </b:Person>
          <b:Person>
            <b:Last>Bannister</b:Last>
            <b:First>J</b:First>
          </b:Person>
          <b:Person>
            <b:Last>Lee</b:Last>
            <b:First>W</b:First>
          </b:Person>
          <b:Person>
            <b:Last>Saleem</b:Last>
            <b:First>M</b:First>
          </b:Person>
        </b:NameList>
      </b:Author>
    </b:Author>
    <b:DOI>https://doi.org/10.1177/004209802098100</b:DOI>
    <b:RefOrder>1</b:RefOrder>
  </b:Source>
</b:Sources>
</file>

<file path=customXml/itemProps1.xml><?xml version="1.0" encoding="utf-8"?>
<ds:datastoreItem xmlns:ds="http://schemas.openxmlformats.org/officeDocument/2006/customXml" ds:itemID="{51692116-F294-4AD9-85CF-6D0481314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24</Pages>
  <Words>7044</Words>
  <Characters>40154</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Governance challenges of 21st century policing</vt:lpstr>
    </vt:vector>
  </TitlesOfParts>
  <Company>South Yorkshire Police</Company>
  <LinksUpToDate>false</LinksUpToDate>
  <CharactersWithSpaces>47104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Governance Challenges of 21st Century Policing</dc:title>
  <dc:subject>BMPO7002D</dc:subject>
  <dc:creator>Owen Stafford</dc:creator>
  <cp:keywords/>
  <dc:description/>
  <cp:lastModifiedBy>Owen Stafford</cp:lastModifiedBy>
  <cp:revision>2</cp:revision>
  <cp:lastPrinted>2025-01-02T16:22:00Z</cp:lastPrinted>
  <dcterms:created xsi:type="dcterms:W3CDTF">2025-01-13T18:07:00Z</dcterms:created>
  <dcterms:modified xsi:type="dcterms:W3CDTF">2025-01-13T18:07:00Z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etDate">
    <vt:lpwstr>2024-11-06T10:34:16Z</vt:lpwstr>
  </property>
  <property fmtid="{D5CDD505-2E9C-101B-9397-08002B2CF9AE}" pid="4" name="MSIP_Label_f529d828-a824-4b78-ab24-eaae5922aa38_Method">
    <vt:lpwstr>Standard</vt:lpwstr>
  </property>
  <property fmtid="{D5CDD505-2E9C-101B-9397-08002B2CF9AE}" pid="5" name="MSIP_Label_f529d828-a824-4b78-ab24-eaae5922aa38_Name">
    <vt:lpwstr>OFFICIAL</vt:lpwstr>
  </property>
  <property fmtid="{D5CDD505-2E9C-101B-9397-08002B2CF9AE}" pid="6" name="MSIP_Label_f529d828-a824-4b78-ab24-eaae5922aa38_SiteId">
    <vt:lpwstr>b23255a1-8f78-4144-8904-31f019036ade</vt:lpwstr>
  </property>
  <property fmtid="{D5CDD505-2E9C-101B-9397-08002B2CF9AE}" pid="7" name="MSIP_Label_f529d828-a824-4b78-ab24-eaae5922aa38_ActionId">
    <vt:lpwstr>b2205cd8-55a9-467d-8dfe-1bc97fdbde7a</vt:lpwstr>
  </property>
  <property fmtid="{D5CDD505-2E9C-101B-9397-08002B2CF9AE}" pid="8" name="MSIP_Label_f529d828-a824-4b78-ab24-eaae5922aa38_ContentBits">
    <vt:lpwstr>0</vt:lpwstr>
  </property>
</Properties>
</file>