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A6203"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441EE7D4"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70B08894"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3F748A6E"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74EF70C1" w14:textId="77777777" w:rsidR="0050578C" w:rsidRDefault="0050578C" w:rsidP="0050578C">
      <w:pPr>
        <w:spacing w:line="360" w:lineRule="auto"/>
        <w:jc w:val="center"/>
        <w:rPr>
          <w:rFonts w:ascii="Arial" w:eastAsia="Calibri" w:hAnsi="Arial" w:cs="Arial"/>
          <w:kern w:val="0"/>
          <w:sz w:val="28"/>
          <w:szCs w:val="28"/>
          <w14:ligatures w14:val="none"/>
        </w:rPr>
      </w:pPr>
    </w:p>
    <w:p w14:paraId="452658AB" w14:textId="77777777" w:rsidR="00792625" w:rsidRPr="0050578C" w:rsidRDefault="00792625" w:rsidP="0050578C">
      <w:pPr>
        <w:spacing w:line="360" w:lineRule="auto"/>
        <w:jc w:val="center"/>
        <w:rPr>
          <w:rFonts w:ascii="Arial" w:eastAsia="Calibri" w:hAnsi="Arial" w:cs="Arial"/>
          <w:kern w:val="0"/>
          <w:sz w:val="28"/>
          <w:szCs w:val="28"/>
          <w14:ligatures w14:val="none"/>
        </w:rPr>
      </w:pPr>
    </w:p>
    <w:p w14:paraId="20C5914E"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71471445" w14:textId="2674D384" w:rsidR="00AC55CA" w:rsidRPr="00AC55CA" w:rsidRDefault="00AC55CA" w:rsidP="00AC55CA">
      <w:pPr>
        <w:spacing w:line="360" w:lineRule="auto"/>
        <w:jc w:val="center"/>
        <w:rPr>
          <w:rFonts w:ascii="Arial" w:eastAsia="Calibri" w:hAnsi="Arial" w:cs="Arial"/>
          <w:kern w:val="0"/>
          <w:sz w:val="28"/>
          <w:szCs w:val="28"/>
          <w14:ligatures w14:val="none"/>
        </w:rPr>
      </w:pPr>
      <w:r w:rsidRPr="00AC55CA">
        <w:rPr>
          <w:rFonts w:ascii="Arial" w:eastAsia="Calibri" w:hAnsi="Arial" w:cs="Arial"/>
          <w:kern w:val="0"/>
          <w:sz w:val="28"/>
          <w:szCs w:val="28"/>
          <w14:ligatures w14:val="none"/>
        </w:rPr>
        <w:t>Corporate social responsibility (CSR) in</w:t>
      </w:r>
    </w:p>
    <w:p w14:paraId="5664141C" w14:textId="4EE1A1DD" w:rsidR="0050578C" w:rsidRPr="0050578C" w:rsidRDefault="00AC55CA" w:rsidP="00AC55CA">
      <w:pPr>
        <w:spacing w:line="360" w:lineRule="auto"/>
        <w:jc w:val="center"/>
        <w:rPr>
          <w:rFonts w:ascii="Arial" w:eastAsia="Calibri" w:hAnsi="Arial" w:cs="Arial"/>
          <w:kern w:val="0"/>
          <w:sz w:val="28"/>
          <w:szCs w:val="28"/>
          <w14:ligatures w14:val="none"/>
        </w:rPr>
      </w:pPr>
      <w:r w:rsidRPr="00AC55CA">
        <w:rPr>
          <w:rFonts w:ascii="Arial" w:eastAsia="Calibri" w:hAnsi="Arial" w:cs="Arial"/>
          <w:kern w:val="0"/>
          <w:sz w:val="28"/>
          <w:szCs w:val="28"/>
          <w14:ligatures w14:val="none"/>
        </w:rPr>
        <w:t>hospitality industry</w:t>
      </w:r>
    </w:p>
    <w:p w14:paraId="1A198361" w14:textId="1F51A2C2" w:rsidR="0050578C" w:rsidRPr="0050578C" w:rsidRDefault="00574011" w:rsidP="0050578C">
      <w:pPr>
        <w:spacing w:line="360" w:lineRule="auto"/>
        <w:jc w:val="center"/>
        <w:rPr>
          <w:rFonts w:ascii="Arial" w:eastAsia="Calibri" w:hAnsi="Arial" w:cs="Arial"/>
          <w:kern w:val="0"/>
          <w:sz w:val="28"/>
          <w:szCs w:val="28"/>
          <w14:ligatures w14:val="none"/>
        </w:rPr>
      </w:pPr>
      <w:r>
        <w:rPr>
          <w:rFonts w:ascii="Arial" w:eastAsia="Calibri" w:hAnsi="Arial" w:cs="Arial"/>
          <w:kern w:val="0"/>
          <w:sz w:val="28"/>
          <w:szCs w:val="28"/>
          <w14:ligatures w14:val="none"/>
        </w:rPr>
        <w:t>Sustainable Hospitality &amp;</w:t>
      </w:r>
      <w:r w:rsidR="004D42F1">
        <w:rPr>
          <w:rFonts w:ascii="Arial" w:eastAsia="Calibri" w:hAnsi="Arial" w:cs="Arial"/>
          <w:kern w:val="0"/>
          <w:sz w:val="28"/>
          <w:szCs w:val="28"/>
          <w14:ligatures w14:val="none"/>
        </w:rPr>
        <w:t xml:space="preserve"> </w:t>
      </w:r>
      <w:r w:rsidR="00604648">
        <w:rPr>
          <w:rFonts w:ascii="Arial" w:eastAsia="Calibri" w:hAnsi="Arial" w:cs="Arial"/>
          <w:kern w:val="0"/>
          <w:sz w:val="28"/>
          <w:szCs w:val="28"/>
          <w14:ligatures w14:val="none"/>
        </w:rPr>
        <w:t>T</w:t>
      </w:r>
      <w:r w:rsidR="004D42F1">
        <w:rPr>
          <w:rFonts w:ascii="Arial" w:eastAsia="Calibri" w:hAnsi="Arial" w:cs="Arial"/>
          <w:kern w:val="0"/>
          <w:sz w:val="28"/>
          <w:szCs w:val="28"/>
          <w14:ligatures w14:val="none"/>
        </w:rPr>
        <w:t>ourism Management</w:t>
      </w:r>
      <w:r w:rsidR="00D4180F">
        <w:rPr>
          <w:rFonts w:ascii="Arial" w:eastAsia="Calibri" w:hAnsi="Arial" w:cs="Arial"/>
          <w:kern w:val="0"/>
          <w:sz w:val="28"/>
          <w:szCs w:val="28"/>
          <w14:ligatures w14:val="none"/>
        </w:rPr>
        <w:t xml:space="preserve"> </w:t>
      </w:r>
      <w:r w:rsidR="0050578C" w:rsidRPr="0050578C">
        <w:rPr>
          <w:rFonts w:ascii="Arial" w:eastAsia="Calibri" w:hAnsi="Arial" w:cs="Arial"/>
          <w:kern w:val="0"/>
          <w:sz w:val="28"/>
          <w:szCs w:val="28"/>
          <w14:ligatures w14:val="none"/>
        </w:rPr>
        <w:t>BMIH50</w:t>
      </w:r>
      <w:r w:rsidR="004D42F1">
        <w:rPr>
          <w:rFonts w:ascii="Arial" w:eastAsia="Calibri" w:hAnsi="Arial" w:cs="Arial"/>
          <w:kern w:val="0"/>
          <w:sz w:val="28"/>
          <w:szCs w:val="28"/>
          <w14:ligatures w14:val="none"/>
        </w:rPr>
        <w:t>06</w:t>
      </w:r>
    </w:p>
    <w:p w14:paraId="612B492E" w14:textId="77777777" w:rsidR="00604648" w:rsidRDefault="008C7C9B" w:rsidP="0050578C">
      <w:pPr>
        <w:spacing w:line="360" w:lineRule="auto"/>
        <w:jc w:val="center"/>
        <w:rPr>
          <w:rFonts w:ascii="Arial" w:eastAsia="Calibri" w:hAnsi="Arial" w:cs="Arial"/>
          <w:kern w:val="0"/>
          <w:sz w:val="28"/>
          <w:szCs w:val="28"/>
          <w14:ligatures w14:val="none"/>
        </w:rPr>
      </w:pPr>
      <w:r w:rsidRPr="008C7C9B">
        <w:rPr>
          <w:rFonts w:ascii="Arial" w:eastAsia="Calibri" w:hAnsi="Arial" w:cs="Arial"/>
          <w:kern w:val="0"/>
          <w:sz w:val="28"/>
          <w:szCs w:val="28"/>
          <w14:ligatures w14:val="none"/>
        </w:rPr>
        <w:t>Ruth Taylor-Davies</w:t>
      </w:r>
    </w:p>
    <w:p w14:paraId="106EBCC0" w14:textId="03C96B70" w:rsidR="0050578C" w:rsidRPr="0050578C" w:rsidRDefault="0050578C" w:rsidP="0050578C">
      <w:pPr>
        <w:spacing w:line="360" w:lineRule="auto"/>
        <w:jc w:val="center"/>
        <w:rPr>
          <w:rFonts w:ascii="Arial" w:eastAsia="Calibri" w:hAnsi="Arial" w:cs="Arial"/>
          <w:kern w:val="0"/>
          <w:sz w:val="28"/>
          <w:szCs w:val="28"/>
          <w14:ligatures w14:val="none"/>
        </w:rPr>
      </w:pPr>
      <w:r w:rsidRPr="0050578C">
        <w:rPr>
          <w:rFonts w:ascii="Arial" w:eastAsia="Calibri" w:hAnsi="Arial" w:cs="Arial"/>
          <w:kern w:val="0"/>
          <w:sz w:val="28"/>
          <w:szCs w:val="28"/>
          <w14:ligatures w14:val="none"/>
        </w:rPr>
        <w:t>Gabriela Catalina Dumitru</w:t>
      </w:r>
    </w:p>
    <w:p w14:paraId="034BC574" w14:textId="77777777" w:rsidR="0050578C" w:rsidRPr="0050578C" w:rsidRDefault="0050578C" w:rsidP="0050578C">
      <w:pPr>
        <w:spacing w:line="360" w:lineRule="auto"/>
        <w:jc w:val="center"/>
        <w:rPr>
          <w:rFonts w:ascii="Arial" w:eastAsia="Calibri" w:hAnsi="Arial" w:cs="Arial"/>
          <w:kern w:val="0"/>
          <w:sz w:val="28"/>
          <w:szCs w:val="28"/>
          <w14:ligatures w14:val="none"/>
        </w:rPr>
      </w:pPr>
      <w:r w:rsidRPr="0050578C">
        <w:rPr>
          <w:rFonts w:ascii="Arial" w:eastAsia="Calibri" w:hAnsi="Arial" w:cs="Arial"/>
          <w:kern w:val="0"/>
          <w:sz w:val="28"/>
          <w:szCs w:val="28"/>
          <w14:ligatures w14:val="none"/>
        </w:rPr>
        <w:t>2209716</w:t>
      </w:r>
    </w:p>
    <w:p w14:paraId="0CE2B35C" w14:textId="77777777" w:rsidR="0050578C" w:rsidRPr="0050578C" w:rsidRDefault="0050578C" w:rsidP="0050578C">
      <w:pPr>
        <w:spacing w:line="360" w:lineRule="auto"/>
        <w:jc w:val="center"/>
        <w:rPr>
          <w:rFonts w:ascii="Arial" w:eastAsia="Calibri" w:hAnsi="Arial" w:cs="Arial"/>
          <w:kern w:val="0"/>
          <w:sz w:val="28"/>
          <w:szCs w:val="28"/>
          <w14:ligatures w14:val="none"/>
        </w:rPr>
      </w:pPr>
      <w:r w:rsidRPr="0050578C">
        <w:rPr>
          <w:rFonts w:ascii="Arial" w:eastAsia="Calibri" w:hAnsi="Arial" w:cs="Arial"/>
          <w:kern w:val="0"/>
          <w:sz w:val="28"/>
          <w:szCs w:val="28"/>
          <w14:ligatures w14:val="none"/>
        </w:rPr>
        <w:t>10/05/2024</w:t>
      </w:r>
    </w:p>
    <w:p w14:paraId="70077716" w14:textId="5C1A944A" w:rsidR="0050578C" w:rsidRPr="0050578C" w:rsidRDefault="0050578C" w:rsidP="0050578C">
      <w:pPr>
        <w:spacing w:line="360" w:lineRule="auto"/>
        <w:jc w:val="center"/>
        <w:rPr>
          <w:rFonts w:ascii="Arial" w:eastAsia="Calibri" w:hAnsi="Arial" w:cs="Arial"/>
          <w:kern w:val="0"/>
          <w:sz w:val="28"/>
          <w:szCs w:val="28"/>
          <w14:ligatures w14:val="none"/>
        </w:rPr>
      </w:pPr>
      <w:r w:rsidRPr="0050578C">
        <w:rPr>
          <w:rFonts w:ascii="Arial" w:eastAsia="Calibri" w:hAnsi="Arial" w:cs="Arial"/>
          <w:kern w:val="0"/>
          <w:sz w:val="28"/>
          <w:szCs w:val="28"/>
          <w14:ligatures w14:val="none"/>
        </w:rPr>
        <w:t>2</w:t>
      </w:r>
      <w:r w:rsidR="00465B7E">
        <w:rPr>
          <w:rFonts w:ascii="Arial" w:eastAsia="Calibri" w:hAnsi="Arial" w:cs="Arial"/>
          <w:kern w:val="0"/>
          <w:sz w:val="28"/>
          <w:szCs w:val="28"/>
          <w14:ligatures w14:val="none"/>
        </w:rPr>
        <w:t>12</w:t>
      </w:r>
      <w:r w:rsidRPr="0050578C">
        <w:rPr>
          <w:rFonts w:ascii="Arial" w:eastAsia="Calibri" w:hAnsi="Arial" w:cs="Arial"/>
          <w:kern w:val="0"/>
          <w:sz w:val="28"/>
          <w:szCs w:val="28"/>
          <w14:ligatures w14:val="none"/>
        </w:rPr>
        <w:t>4 words</w:t>
      </w:r>
    </w:p>
    <w:p w14:paraId="69706D55" w14:textId="77777777" w:rsidR="0050578C" w:rsidRPr="0050578C" w:rsidRDefault="0050578C" w:rsidP="0050578C">
      <w:pPr>
        <w:spacing w:line="360" w:lineRule="auto"/>
        <w:jc w:val="center"/>
        <w:rPr>
          <w:rFonts w:ascii="Arial" w:eastAsia="Calibri" w:hAnsi="Arial" w:cs="Arial"/>
          <w:kern w:val="0"/>
          <w:sz w:val="28"/>
          <w:szCs w:val="28"/>
          <w14:ligatures w14:val="none"/>
        </w:rPr>
      </w:pPr>
    </w:p>
    <w:p w14:paraId="191F4B98" w14:textId="77777777" w:rsidR="0050578C" w:rsidRPr="0050578C" w:rsidRDefault="0050578C" w:rsidP="0050578C">
      <w:pPr>
        <w:spacing w:line="360" w:lineRule="auto"/>
        <w:jc w:val="both"/>
        <w:rPr>
          <w:rFonts w:ascii="Arial" w:eastAsia="Calibri" w:hAnsi="Arial" w:cs="Arial"/>
          <w:kern w:val="0"/>
          <w:sz w:val="24"/>
          <w:szCs w:val="24"/>
          <w14:ligatures w14:val="none"/>
        </w:rPr>
      </w:pPr>
    </w:p>
    <w:p w14:paraId="60A3C768" w14:textId="77777777" w:rsidR="0050578C" w:rsidRPr="0050578C" w:rsidRDefault="0050578C" w:rsidP="0050578C">
      <w:pPr>
        <w:spacing w:line="360" w:lineRule="auto"/>
        <w:jc w:val="both"/>
        <w:rPr>
          <w:rFonts w:ascii="Arial" w:eastAsia="Calibri" w:hAnsi="Arial" w:cs="Arial"/>
          <w:kern w:val="0"/>
          <w:sz w:val="24"/>
          <w:szCs w:val="24"/>
          <w14:ligatures w14:val="none"/>
        </w:rPr>
      </w:pPr>
    </w:p>
    <w:p w14:paraId="0625BBAC" w14:textId="77777777" w:rsidR="0050578C" w:rsidRPr="0050578C" w:rsidRDefault="0050578C" w:rsidP="0050578C">
      <w:pPr>
        <w:spacing w:line="360" w:lineRule="auto"/>
        <w:jc w:val="both"/>
        <w:rPr>
          <w:rFonts w:ascii="Arial" w:eastAsia="Calibri" w:hAnsi="Arial" w:cs="Arial"/>
          <w:kern w:val="0"/>
          <w:sz w:val="24"/>
          <w:szCs w:val="24"/>
          <w14:ligatures w14:val="none"/>
        </w:rPr>
      </w:pPr>
    </w:p>
    <w:p w14:paraId="709D759F" w14:textId="77777777" w:rsidR="0050578C" w:rsidRPr="0050578C" w:rsidRDefault="0050578C" w:rsidP="0050578C">
      <w:pPr>
        <w:spacing w:line="360" w:lineRule="auto"/>
        <w:jc w:val="both"/>
        <w:rPr>
          <w:rFonts w:ascii="Arial" w:eastAsia="Calibri" w:hAnsi="Arial" w:cs="Arial"/>
          <w:kern w:val="0"/>
          <w:sz w:val="24"/>
          <w:szCs w:val="24"/>
          <w14:ligatures w14:val="none"/>
        </w:rPr>
      </w:pPr>
    </w:p>
    <w:p w14:paraId="63B6412E" w14:textId="77777777" w:rsidR="0050578C" w:rsidRPr="0050578C" w:rsidRDefault="0050578C" w:rsidP="0050578C">
      <w:pPr>
        <w:spacing w:line="360" w:lineRule="auto"/>
        <w:jc w:val="both"/>
        <w:rPr>
          <w:rFonts w:ascii="Arial" w:eastAsia="Calibri" w:hAnsi="Arial" w:cs="Arial"/>
          <w:kern w:val="0"/>
          <w:sz w:val="24"/>
          <w:szCs w:val="24"/>
          <w14:ligatures w14:val="none"/>
        </w:rPr>
      </w:pPr>
    </w:p>
    <w:p w14:paraId="61EF7B9E" w14:textId="77777777" w:rsidR="0050578C" w:rsidRDefault="0050578C" w:rsidP="0050578C">
      <w:pPr>
        <w:spacing w:line="360" w:lineRule="auto"/>
        <w:jc w:val="both"/>
        <w:rPr>
          <w:rFonts w:ascii="Arial" w:eastAsia="Calibri" w:hAnsi="Arial" w:cs="Arial"/>
          <w:kern w:val="0"/>
          <w:sz w:val="24"/>
          <w:szCs w:val="24"/>
          <w14:ligatures w14:val="none"/>
        </w:rPr>
      </w:pPr>
    </w:p>
    <w:p w14:paraId="0AE047A0" w14:textId="77777777" w:rsidR="004F5F8A" w:rsidRDefault="004F5F8A" w:rsidP="0050578C">
      <w:pPr>
        <w:spacing w:line="360" w:lineRule="auto"/>
        <w:jc w:val="both"/>
        <w:rPr>
          <w:rFonts w:ascii="Arial" w:eastAsia="Calibri" w:hAnsi="Arial" w:cs="Arial"/>
          <w:kern w:val="0"/>
          <w:sz w:val="24"/>
          <w:szCs w:val="24"/>
          <w14:ligatures w14:val="none"/>
        </w:rPr>
      </w:pPr>
    </w:p>
    <w:p w14:paraId="54C6A813" w14:textId="5306FD8C"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lastRenderedPageBreak/>
        <w:t xml:space="preserve">Sustainability in the context of hospitality and tourism management </w:t>
      </w:r>
      <w:r w:rsidR="005F274B">
        <w:rPr>
          <w:rFonts w:ascii="Arial" w:eastAsia="Calibri" w:hAnsi="Arial" w:cs="Arial"/>
          <w:kern w:val="0"/>
          <w:sz w:val="24"/>
          <w:szCs w:val="24"/>
          <w14:ligatures w14:val="none"/>
        </w:rPr>
        <w:t xml:space="preserve">it’s </w:t>
      </w:r>
      <w:r w:rsidR="0036511F">
        <w:rPr>
          <w:rFonts w:ascii="Arial" w:eastAsia="Calibri" w:hAnsi="Arial" w:cs="Arial"/>
          <w:kern w:val="0"/>
          <w:sz w:val="24"/>
          <w:szCs w:val="24"/>
          <w14:ligatures w14:val="none"/>
        </w:rPr>
        <w:t>concer</w:t>
      </w:r>
      <w:r w:rsidR="008A0A05">
        <w:rPr>
          <w:rFonts w:ascii="Arial" w:eastAsia="Calibri" w:hAnsi="Arial" w:cs="Arial"/>
          <w:kern w:val="0"/>
          <w:sz w:val="24"/>
          <w:szCs w:val="24"/>
          <w14:ligatures w14:val="none"/>
        </w:rPr>
        <w:t>n</w:t>
      </w:r>
      <w:r w:rsidR="005F274B">
        <w:rPr>
          <w:rFonts w:ascii="Arial" w:eastAsia="Calibri" w:hAnsi="Arial" w:cs="Arial"/>
          <w:kern w:val="0"/>
          <w:sz w:val="24"/>
          <w:szCs w:val="24"/>
          <w14:ligatures w14:val="none"/>
        </w:rPr>
        <w:t>ing</w:t>
      </w:r>
      <w:r w:rsidRPr="004F5F8A">
        <w:rPr>
          <w:rFonts w:ascii="Arial" w:eastAsia="Calibri" w:hAnsi="Arial" w:cs="Arial"/>
          <w:kern w:val="0"/>
          <w:sz w:val="24"/>
          <w:szCs w:val="24"/>
          <w14:ligatures w14:val="none"/>
        </w:rPr>
        <w:t xml:space="preserve"> to the responsible</w:t>
      </w:r>
      <w:r w:rsidR="005F274B">
        <w:rPr>
          <w:rFonts w:ascii="Arial" w:eastAsia="Calibri" w:hAnsi="Arial" w:cs="Arial"/>
          <w:kern w:val="0"/>
          <w:sz w:val="24"/>
          <w:szCs w:val="24"/>
          <w14:ligatures w14:val="none"/>
        </w:rPr>
        <w:t xml:space="preserve"> and </w:t>
      </w:r>
      <w:r w:rsidR="008E1268">
        <w:rPr>
          <w:rFonts w:ascii="Arial" w:eastAsia="Calibri" w:hAnsi="Arial" w:cs="Arial"/>
          <w:kern w:val="0"/>
          <w:sz w:val="24"/>
          <w:szCs w:val="24"/>
          <w14:ligatures w14:val="none"/>
        </w:rPr>
        <w:t>coordinated</w:t>
      </w:r>
      <w:r w:rsidRPr="004F5F8A">
        <w:rPr>
          <w:rFonts w:ascii="Arial" w:eastAsia="Calibri" w:hAnsi="Arial" w:cs="Arial"/>
          <w:kern w:val="0"/>
          <w:sz w:val="24"/>
          <w:szCs w:val="24"/>
          <w14:ligatures w14:val="none"/>
        </w:rPr>
        <w:t xml:space="preserve"> management of</w:t>
      </w:r>
      <w:r w:rsidR="008E1268">
        <w:rPr>
          <w:rFonts w:ascii="Arial" w:eastAsia="Calibri" w:hAnsi="Arial" w:cs="Arial"/>
          <w:kern w:val="0"/>
          <w:sz w:val="24"/>
          <w:szCs w:val="24"/>
          <w14:ligatures w14:val="none"/>
        </w:rPr>
        <w:t xml:space="preserve"> people,</w:t>
      </w:r>
      <w:r w:rsidRPr="004F5F8A">
        <w:rPr>
          <w:rFonts w:ascii="Arial" w:eastAsia="Calibri" w:hAnsi="Arial" w:cs="Arial"/>
          <w:kern w:val="0"/>
          <w:sz w:val="24"/>
          <w:szCs w:val="24"/>
          <w14:ligatures w14:val="none"/>
        </w:rPr>
        <w:t xml:space="preserve"> resources and activities to ensure that the needs of </w:t>
      </w:r>
      <w:r w:rsidR="00E37D01">
        <w:rPr>
          <w:rFonts w:ascii="Arial" w:eastAsia="Calibri" w:hAnsi="Arial" w:cs="Arial"/>
          <w:kern w:val="0"/>
          <w:sz w:val="24"/>
          <w:szCs w:val="24"/>
          <w14:ligatures w14:val="none"/>
        </w:rPr>
        <w:t>actual guest</w:t>
      </w:r>
      <w:r w:rsidRPr="004F5F8A">
        <w:rPr>
          <w:rFonts w:ascii="Arial" w:eastAsia="Calibri" w:hAnsi="Arial" w:cs="Arial"/>
          <w:kern w:val="0"/>
          <w:sz w:val="24"/>
          <w:szCs w:val="24"/>
          <w14:ligatures w14:val="none"/>
        </w:rPr>
        <w:t>s</w:t>
      </w:r>
      <w:r w:rsidR="00E37D01">
        <w:rPr>
          <w:rFonts w:ascii="Arial" w:eastAsia="Calibri" w:hAnsi="Arial" w:cs="Arial"/>
          <w:kern w:val="0"/>
          <w:sz w:val="24"/>
          <w:szCs w:val="24"/>
          <w14:ligatures w14:val="none"/>
        </w:rPr>
        <w:t>, customers</w:t>
      </w:r>
      <w:r w:rsidRPr="004F5F8A">
        <w:rPr>
          <w:rFonts w:ascii="Arial" w:eastAsia="Calibri" w:hAnsi="Arial" w:cs="Arial"/>
          <w:kern w:val="0"/>
          <w:sz w:val="24"/>
          <w:szCs w:val="24"/>
          <w14:ligatures w14:val="none"/>
        </w:rPr>
        <w:t xml:space="preserve"> and host communities are met without </w:t>
      </w:r>
      <w:r w:rsidR="008A0A05">
        <w:rPr>
          <w:rFonts w:ascii="Arial" w:eastAsia="Calibri" w:hAnsi="Arial" w:cs="Arial"/>
          <w:kern w:val="0"/>
          <w:sz w:val="24"/>
          <w:szCs w:val="24"/>
          <w14:ligatures w14:val="none"/>
        </w:rPr>
        <w:t>put</w:t>
      </w:r>
      <w:r w:rsidR="008A0A05" w:rsidRPr="004F5F8A">
        <w:rPr>
          <w:rFonts w:ascii="Arial" w:eastAsia="Calibri" w:hAnsi="Arial" w:cs="Arial"/>
          <w:kern w:val="0"/>
          <w:sz w:val="24"/>
          <w:szCs w:val="24"/>
          <w14:ligatures w14:val="none"/>
        </w:rPr>
        <w:t>ting</w:t>
      </w:r>
      <w:r w:rsidRPr="004F5F8A">
        <w:rPr>
          <w:rFonts w:ascii="Arial" w:eastAsia="Calibri" w:hAnsi="Arial" w:cs="Arial"/>
          <w:kern w:val="0"/>
          <w:sz w:val="24"/>
          <w:szCs w:val="24"/>
          <w14:ligatures w14:val="none"/>
        </w:rPr>
        <w:t xml:space="preserve"> </w:t>
      </w:r>
      <w:r w:rsidR="006544C3">
        <w:rPr>
          <w:rFonts w:ascii="Arial" w:eastAsia="Calibri" w:hAnsi="Arial" w:cs="Arial"/>
          <w:kern w:val="0"/>
          <w:sz w:val="24"/>
          <w:szCs w:val="24"/>
          <w14:ligatures w14:val="none"/>
        </w:rPr>
        <w:t xml:space="preserve">in danger </w:t>
      </w:r>
      <w:r w:rsidRPr="004F5F8A">
        <w:rPr>
          <w:rFonts w:ascii="Arial" w:eastAsia="Calibri" w:hAnsi="Arial" w:cs="Arial"/>
          <w:kern w:val="0"/>
          <w:sz w:val="24"/>
          <w:szCs w:val="24"/>
          <w14:ligatures w14:val="none"/>
        </w:rPr>
        <w:t xml:space="preserve">the ability of future generations to </w:t>
      </w:r>
      <w:r w:rsidR="008A0A05">
        <w:rPr>
          <w:rFonts w:ascii="Arial" w:eastAsia="Calibri" w:hAnsi="Arial" w:cs="Arial"/>
          <w:kern w:val="0"/>
          <w:sz w:val="24"/>
          <w:szCs w:val="24"/>
          <w14:ligatures w14:val="none"/>
        </w:rPr>
        <w:t xml:space="preserve">have equal chances </w:t>
      </w:r>
      <w:r w:rsidR="00962625">
        <w:rPr>
          <w:rFonts w:ascii="Arial" w:eastAsia="Calibri" w:hAnsi="Arial" w:cs="Arial"/>
          <w:kern w:val="0"/>
          <w:sz w:val="24"/>
          <w:szCs w:val="24"/>
          <w14:ligatures w14:val="none"/>
        </w:rPr>
        <w:t xml:space="preserve">to </w:t>
      </w:r>
      <w:r w:rsidRPr="004F5F8A">
        <w:rPr>
          <w:rFonts w:ascii="Arial" w:eastAsia="Calibri" w:hAnsi="Arial" w:cs="Arial"/>
          <w:kern w:val="0"/>
          <w:sz w:val="24"/>
          <w:szCs w:val="24"/>
          <w14:ligatures w14:val="none"/>
        </w:rPr>
        <w:t xml:space="preserve">meet their own needs. It involves </w:t>
      </w:r>
      <w:r w:rsidR="00962625">
        <w:rPr>
          <w:rFonts w:ascii="Arial" w:eastAsia="Calibri" w:hAnsi="Arial" w:cs="Arial"/>
          <w:kern w:val="0"/>
          <w:sz w:val="24"/>
          <w:szCs w:val="24"/>
          <w14:ligatures w14:val="none"/>
        </w:rPr>
        <w:t>all details related</w:t>
      </w:r>
      <w:r w:rsidRPr="004F5F8A">
        <w:rPr>
          <w:rFonts w:ascii="Arial" w:eastAsia="Calibri" w:hAnsi="Arial" w:cs="Arial"/>
          <w:kern w:val="0"/>
          <w:sz w:val="24"/>
          <w:szCs w:val="24"/>
          <w14:ligatures w14:val="none"/>
        </w:rPr>
        <w:t xml:space="preserve"> the economic, environmental and social impacts of tourism and hospitality operations, with the </w:t>
      </w:r>
      <w:r w:rsidR="003768F1">
        <w:rPr>
          <w:rFonts w:ascii="Arial" w:eastAsia="Calibri" w:hAnsi="Arial" w:cs="Arial"/>
          <w:kern w:val="0"/>
          <w:sz w:val="24"/>
          <w:szCs w:val="24"/>
          <w14:ligatures w14:val="none"/>
        </w:rPr>
        <w:t>purpose</w:t>
      </w:r>
      <w:r w:rsidRPr="004F5F8A">
        <w:rPr>
          <w:rFonts w:ascii="Arial" w:eastAsia="Calibri" w:hAnsi="Arial" w:cs="Arial"/>
          <w:kern w:val="0"/>
          <w:sz w:val="24"/>
          <w:szCs w:val="24"/>
          <w14:ligatures w14:val="none"/>
        </w:rPr>
        <w:t xml:space="preserve"> of minimizing negative effects and </w:t>
      </w:r>
      <w:r w:rsidR="003768F1">
        <w:rPr>
          <w:rFonts w:ascii="Arial" w:eastAsia="Calibri" w:hAnsi="Arial" w:cs="Arial"/>
          <w:kern w:val="0"/>
          <w:sz w:val="24"/>
          <w:szCs w:val="24"/>
          <w14:ligatures w14:val="none"/>
        </w:rPr>
        <w:t>opt</w:t>
      </w:r>
      <w:r w:rsidRPr="004F5F8A">
        <w:rPr>
          <w:rFonts w:ascii="Arial" w:eastAsia="Calibri" w:hAnsi="Arial" w:cs="Arial"/>
          <w:kern w:val="0"/>
          <w:sz w:val="24"/>
          <w:szCs w:val="24"/>
          <w14:ligatures w14:val="none"/>
        </w:rPr>
        <w:t xml:space="preserve">imizing </w:t>
      </w:r>
      <w:r w:rsidR="00622775">
        <w:rPr>
          <w:rFonts w:ascii="Arial" w:eastAsia="Calibri" w:hAnsi="Arial" w:cs="Arial"/>
          <w:kern w:val="0"/>
          <w:sz w:val="24"/>
          <w:szCs w:val="24"/>
          <w14:ligatures w14:val="none"/>
        </w:rPr>
        <w:t>work process, even reducing cost</w:t>
      </w:r>
      <w:r w:rsidRPr="004F5F8A">
        <w:rPr>
          <w:rFonts w:ascii="Arial" w:eastAsia="Calibri" w:hAnsi="Arial" w:cs="Arial"/>
          <w:kern w:val="0"/>
          <w:sz w:val="24"/>
          <w:szCs w:val="24"/>
          <w14:ligatures w14:val="none"/>
        </w:rPr>
        <w:t>s. A critical understanding of sustainability involves recognizing the interconnectedness of various systems and stakeholders involved in the tourism and hospitality industry. It requires acknowledging that actions taken in one area can have ripple effects throughout the entire ecosystem, affecting not only the environment but also local communities, economies, and cultural heritage.</w:t>
      </w:r>
    </w:p>
    <w:p w14:paraId="642AD4D1" w14:textId="091E9140"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Within the context of tourism and hospitality, sustainability can be applied in several ways, first, environmental sustainability, trying to minimize the ecological footprint of tourism and hospitality operations by reducing energy and water consumption, also minimizing waste generation, and preserving natural habitats and biodiversity. This include</w:t>
      </w:r>
      <w:r w:rsidR="00E27196">
        <w:rPr>
          <w:rFonts w:ascii="Arial" w:eastAsia="Calibri" w:hAnsi="Arial" w:cs="Arial"/>
          <w:kern w:val="0"/>
          <w:sz w:val="24"/>
          <w:szCs w:val="24"/>
          <w14:ligatures w14:val="none"/>
        </w:rPr>
        <w:t>s too</w:t>
      </w:r>
      <w:r w:rsidRPr="004F5F8A">
        <w:rPr>
          <w:rFonts w:ascii="Arial" w:eastAsia="Calibri" w:hAnsi="Arial" w:cs="Arial"/>
          <w:kern w:val="0"/>
          <w:sz w:val="24"/>
          <w:szCs w:val="24"/>
          <w14:ligatures w14:val="none"/>
        </w:rPr>
        <w:t xml:space="preserve"> initiatives such as using renewable</w:t>
      </w:r>
      <w:r w:rsidR="00E27196">
        <w:rPr>
          <w:rFonts w:ascii="Arial" w:eastAsia="Calibri" w:hAnsi="Arial" w:cs="Arial"/>
          <w:kern w:val="0"/>
          <w:sz w:val="24"/>
          <w:szCs w:val="24"/>
          <w14:ligatures w14:val="none"/>
        </w:rPr>
        <w:t xml:space="preserve"> water and</w:t>
      </w:r>
      <w:r w:rsidRPr="004F5F8A">
        <w:rPr>
          <w:rFonts w:ascii="Arial" w:eastAsia="Calibri" w:hAnsi="Arial" w:cs="Arial"/>
          <w:kern w:val="0"/>
          <w:sz w:val="24"/>
          <w:szCs w:val="24"/>
          <w14:ligatures w14:val="none"/>
        </w:rPr>
        <w:t xml:space="preserve"> energy sources, waste reduction and recycling programs and promoting eco-friendly transportation options. Secondly, social sustainability is about ensuring that tourism and hospitality activities benefit local communities by creating</w:t>
      </w:r>
      <w:r w:rsidR="00312E2C">
        <w:rPr>
          <w:rFonts w:ascii="Arial" w:eastAsia="Calibri" w:hAnsi="Arial" w:cs="Arial"/>
          <w:kern w:val="0"/>
          <w:sz w:val="24"/>
          <w:szCs w:val="24"/>
          <w14:ligatures w14:val="none"/>
        </w:rPr>
        <w:t xml:space="preserve"> jobs and</w:t>
      </w:r>
      <w:r w:rsidRPr="004F5F8A">
        <w:rPr>
          <w:rFonts w:ascii="Arial" w:eastAsia="Calibri" w:hAnsi="Arial" w:cs="Arial"/>
          <w:kern w:val="0"/>
          <w:sz w:val="24"/>
          <w:szCs w:val="24"/>
          <w14:ligatures w14:val="none"/>
        </w:rPr>
        <w:t xml:space="preserve"> employment opportunities, supporting local businesses, </w:t>
      </w:r>
      <w:r w:rsidR="00312E2C">
        <w:rPr>
          <w:rFonts w:ascii="Arial" w:eastAsia="Calibri" w:hAnsi="Arial" w:cs="Arial"/>
          <w:kern w:val="0"/>
          <w:sz w:val="24"/>
          <w:szCs w:val="24"/>
          <w14:ligatures w14:val="none"/>
        </w:rPr>
        <w:t>using local goods</w:t>
      </w:r>
      <w:r w:rsidR="00EE5472">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 xml:space="preserve">and respecting local cultures and traditions. It also involves promoting inclusive tourism practices that cater to the needs of diverse groups of tourists, including those with disabilities or from marginalized communities. Another tendence is economic sustainability, this involves ensuring that tourism and hospitality activities </w:t>
      </w:r>
      <w:r w:rsidR="00223C05">
        <w:rPr>
          <w:rFonts w:ascii="Arial" w:eastAsia="Calibri" w:hAnsi="Arial" w:cs="Arial"/>
          <w:kern w:val="0"/>
          <w:sz w:val="24"/>
          <w:szCs w:val="24"/>
          <w14:ligatures w14:val="none"/>
        </w:rPr>
        <w:t>doing the role in</w:t>
      </w:r>
      <w:r w:rsidRPr="004F5F8A">
        <w:rPr>
          <w:rFonts w:ascii="Arial" w:eastAsia="Calibri" w:hAnsi="Arial" w:cs="Arial"/>
          <w:kern w:val="0"/>
          <w:sz w:val="24"/>
          <w:szCs w:val="24"/>
          <w14:ligatures w14:val="none"/>
        </w:rPr>
        <w:t xml:space="preserve">to the long-term economic development of </w:t>
      </w:r>
      <w:r w:rsidR="007E3E1D">
        <w:rPr>
          <w:rFonts w:ascii="Arial" w:eastAsia="Calibri" w:hAnsi="Arial" w:cs="Arial"/>
          <w:kern w:val="0"/>
          <w:sz w:val="24"/>
          <w:szCs w:val="24"/>
          <w14:ligatures w14:val="none"/>
        </w:rPr>
        <w:t>facility</w:t>
      </w:r>
      <w:r w:rsidRPr="004F5F8A">
        <w:rPr>
          <w:rFonts w:ascii="Arial" w:eastAsia="Calibri" w:hAnsi="Arial" w:cs="Arial"/>
          <w:kern w:val="0"/>
          <w:sz w:val="24"/>
          <w:szCs w:val="24"/>
          <w14:ligatures w14:val="none"/>
        </w:rPr>
        <w:t xml:space="preserve"> in a way that benefits local residents. This can include initiatives such as promoting fair wages and working conditions for hospitality staff, investing in infrastructure development that benefits both tourists and locals, and diversifying the tourism product to reduce dependence on seasonal or unsustainable forms of tourism. In terms of sustainable good practices within the tourism and hospitality industry, these can vary depending on the specific context and location. In rural areas, for example, sustainable practices may include promoting agro-tourism initiatives that support local farmers and artisans, implementing conservation programs to protect natural resources, and offering authentic cultural experiences that showcase local traditions. In coastal areas, sustainable practices may involve implementing responsible coastal management strategies to protect sensitive marine ecosystems, promoting </w:t>
      </w:r>
      <w:r w:rsidRPr="004F5F8A">
        <w:rPr>
          <w:rFonts w:ascii="Arial" w:eastAsia="Calibri" w:hAnsi="Arial" w:cs="Arial"/>
          <w:kern w:val="0"/>
          <w:sz w:val="24"/>
          <w:szCs w:val="24"/>
          <w14:ligatures w14:val="none"/>
        </w:rPr>
        <w:lastRenderedPageBreak/>
        <w:t xml:space="preserve">sustainable fishing practices, and minimizing pollution from tourist activities such as boating and scuba diving/ exploring. In urban areas, sustainable practices may include investing in public transportation infrastructure to reduce reliance on private cars, promoting energy-efficient building designs for hotels and other tourism facilities, and supporting local </w:t>
      </w:r>
      <w:r w:rsidR="00864644">
        <w:rPr>
          <w:rFonts w:ascii="Arial" w:eastAsia="Calibri" w:hAnsi="Arial" w:cs="Arial"/>
          <w:kern w:val="0"/>
          <w:sz w:val="24"/>
          <w:szCs w:val="24"/>
          <w14:ligatures w14:val="none"/>
        </w:rPr>
        <w:t>activiti</w:t>
      </w:r>
      <w:r w:rsidR="00CE137B">
        <w:rPr>
          <w:rFonts w:ascii="Arial" w:eastAsia="Calibri" w:hAnsi="Arial" w:cs="Arial"/>
          <w:kern w:val="0"/>
          <w:sz w:val="24"/>
          <w:szCs w:val="24"/>
          <w14:ligatures w14:val="none"/>
        </w:rPr>
        <w:t>e</w:t>
      </w:r>
      <w:r w:rsidRPr="004F5F8A">
        <w:rPr>
          <w:rFonts w:ascii="Arial" w:eastAsia="Calibri" w:hAnsi="Arial" w:cs="Arial"/>
          <w:kern w:val="0"/>
          <w:sz w:val="24"/>
          <w:szCs w:val="24"/>
          <w14:ligatures w14:val="none"/>
        </w:rPr>
        <w:t xml:space="preserve">s </w:t>
      </w:r>
      <w:r w:rsidR="00CE137B">
        <w:rPr>
          <w:rFonts w:ascii="Arial" w:eastAsia="Calibri" w:hAnsi="Arial" w:cs="Arial"/>
          <w:kern w:val="0"/>
          <w:sz w:val="24"/>
          <w:szCs w:val="24"/>
          <w14:ligatures w14:val="none"/>
        </w:rPr>
        <w:t>which improve</w:t>
      </w:r>
      <w:r w:rsidRPr="004F5F8A">
        <w:rPr>
          <w:rFonts w:ascii="Arial" w:eastAsia="Calibri" w:hAnsi="Arial" w:cs="Arial"/>
          <w:kern w:val="0"/>
          <w:sz w:val="24"/>
          <w:szCs w:val="24"/>
          <w14:ligatures w14:val="none"/>
        </w:rPr>
        <w:t xml:space="preserve"> the life</w:t>
      </w:r>
      <w:r w:rsidR="00CE137B">
        <w:rPr>
          <w:rFonts w:ascii="Arial" w:eastAsia="Calibri" w:hAnsi="Arial" w:cs="Arial"/>
          <w:kern w:val="0"/>
          <w:sz w:val="24"/>
          <w:szCs w:val="24"/>
          <w14:ligatures w14:val="none"/>
        </w:rPr>
        <w:t xml:space="preserve"> quality</w:t>
      </w:r>
      <w:r w:rsidRPr="004F5F8A">
        <w:rPr>
          <w:rFonts w:ascii="Arial" w:eastAsia="Calibri" w:hAnsi="Arial" w:cs="Arial"/>
          <w:kern w:val="0"/>
          <w:sz w:val="24"/>
          <w:szCs w:val="24"/>
          <w14:ligatures w14:val="none"/>
        </w:rPr>
        <w:t xml:space="preserve"> for residents while also attracting tourists. Within the transport sector, sustainable practices can include investing in fuel-efficient vehicles, promoting alternative modes of transportation such as cycling or walking tours, and implementing carbon offset programs to </w:t>
      </w:r>
      <w:r w:rsidR="00780CAA">
        <w:rPr>
          <w:rFonts w:ascii="Arial" w:eastAsia="Calibri" w:hAnsi="Arial" w:cs="Arial"/>
          <w:kern w:val="0"/>
          <w:sz w:val="24"/>
          <w:szCs w:val="24"/>
          <w14:ligatures w14:val="none"/>
        </w:rPr>
        <w:t>limit</w:t>
      </w:r>
      <w:r w:rsidRPr="004F5F8A">
        <w:rPr>
          <w:rFonts w:ascii="Arial" w:eastAsia="Calibri" w:hAnsi="Arial" w:cs="Arial"/>
          <w:kern w:val="0"/>
          <w:sz w:val="24"/>
          <w:szCs w:val="24"/>
          <w14:ligatures w14:val="none"/>
        </w:rPr>
        <w:t xml:space="preserve"> the environmental impact of air travel. Additionally, efforts can be made to optimize transportation routes and schedules to minimize congestion and reduce emissions. Overall, adopting sustainable practices in hospitality, tourism, and transportation </w:t>
      </w:r>
      <w:r w:rsidR="00780CAA">
        <w:rPr>
          <w:rFonts w:ascii="Arial" w:eastAsia="Calibri" w:hAnsi="Arial" w:cs="Arial"/>
          <w:kern w:val="0"/>
          <w:sz w:val="24"/>
          <w:szCs w:val="24"/>
          <w14:ligatures w14:val="none"/>
        </w:rPr>
        <w:t>should be</w:t>
      </w:r>
      <w:r w:rsidR="006C33D5">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consider</w:t>
      </w:r>
      <w:r w:rsidR="006C33D5">
        <w:rPr>
          <w:rFonts w:ascii="Arial" w:eastAsia="Calibri" w:hAnsi="Arial" w:cs="Arial"/>
          <w:kern w:val="0"/>
          <w:sz w:val="24"/>
          <w:szCs w:val="24"/>
          <w14:ligatures w14:val="none"/>
        </w:rPr>
        <w:t>ed altogether with</w:t>
      </w:r>
      <w:r w:rsidRPr="004F5F8A">
        <w:rPr>
          <w:rFonts w:ascii="Arial" w:eastAsia="Calibri" w:hAnsi="Arial" w:cs="Arial"/>
          <w:kern w:val="0"/>
          <w:sz w:val="24"/>
          <w:szCs w:val="24"/>
          <w14:ligatures w14:val="none"/>
        </w:rPr>
        <w:t xml:space="preserve"> the environmental, social, and economic impacts of industry activities, and involves collaboration among stakeholders including government agencies, businesses, local communities, and tourists themselves.</w:t>
      </w:r>
    </w:p>
    <w:p w14:paraId="5A332FB0" w14:textId="676CE28B"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 xml:space="preserve">Corporate Social Responsibility (CSR) refers to a business </w:t>
      </w:r>
      <w:r w:rsidR="000C7CEB">
        <w:rPr>
          <w:rFonts w:ascii="Arial" w:eastAsia="Calibri" w:hAnsi="Arial" w:cs="Arial"/>
          <w:kern w:val="0"/>
          <w:sz w:val="24"/>
          <w:szCs w:val="24"/>
          <w14:ligatures w14:val="none"/>
        </w:rPr>
        <w:t>management</w:t>
      </w:r>
      <w:r w:rsidRPr="004F5F8A">
        <w:rPr>
          <w:rFonts w:ascii="Arial" w:eastAsia="Calibri" w:hAnsi="Arial" w:cs="Arial"/>
          <w:kern w:val="0"/>
          <w:sz w:val="24"/>
          <w:szCs w:val="24"/>
          <w14:ligatures w14:val="none"/>
        </w:rPr>
        <w:t xml:space="preserve"> that </w:t>
      </w:r>
      <w:r w:rsidR="000C7CEB">
        <w:rPr>
          <w:rFonts w:ascii="Arial" w:eastAsia="Calibri" w:hAnsi="Arial" w:cs="Arial"/>
          <w:kern w:val="0"/>
          <w:sz w:val="24"/>
          <w:szCs w:val="24"/>
          <w14:ligatures w14:val="none"/>
        </w:rPr>
        <w:t>consider all</w:t>
      </w:r>
      <w:r w:rsidRPr="004F5F8A">
        <w:rPr>
          <w:rFonts w:ascii="Arial" w:eastAsia="Calibri" w:hAnsi="Arial" w:cs="Arial"/>
          <w:kern w:val="0"/>
          <w:sz w:val="24"/>
          <w:szCs w:val="24"/>
          <w14:ligatures w14:val="none"/>
        </w:rPr>
        <w:t xml:space="preserve"> social and environmental </w:t>
      </w:r>
      <w:r w:rsidR="003D43A9">
        <w:rPr>
          <w:rFonts w:ascii="Arial" w:eastAsia="Calibri" w:hAnsi="Arial" w:cs="Arial"/>
          <w:kern w:val="0"/>
          <w:sz w:val="24"/>
          <w:szCs w:val="24"/>
          <w14:ligatures w14:val="none"/>
        </w:rPr>
        <w:t>rules</w:t>
      </w:r>
      <w:r w:rsidRPr="004F5F8A">
        <w:rPr>
          <w:rFonts w:ascii="Arial" w:eastAsia="Calibri" w:hAnsi="Arial" w:cs="Arial"/>
          <w:kern w:val="0"/>
          <w:sz w:val="24"/>
          <w:szCs w:val="24"/>
          <w14:ligatures w14:val="none"/>
        </w:rPr>
        <w:t xml:space="preserve"> into its operations and interactions with </w:t>
      </w:r>
      <w:r w:rsidR="003D43A9">
        <w:rPr>
          <w:rFonts w:ascii="Arial" w:eastAsia="Calibri" w:hAnsi="Arial" w:cs="Arial"/>
          <w:kern w:val="0"/>
          <w:sz w:val="24"/>
          <w:szCs w:val="24"/>
          <w14:ligatures w14:val="none"/>
        </w:rPr>
        <w:t xml:space="preserve">customers and </w:t>
      </w:r>
      <w:r w:rsidRPr="004F5F8A">
        <w:rPr>
          <w:rFonts w:ascii="Arial" w:eastAsia="Calibri" w:hAnsi="Arial" w:cs="Arial"/>
          <w:kern w:val="0"/>
          <w:sz w:val="24"/>
          <w:szCs w:val="24"/>
          <w14:ligatures w14:val="none"/>
        </w:rPr>
        <w:t xml:space="preserve">stakeholders. It </w:t>
      </w:r>
      <w:r w:rsidR="003D43A9">
        <w:rPr>
          <w:rFonts w:ascii="Arial" w:eastAsia="Calibri" w:hAnsi="Arial" w:cs="Arial"/>
          <w:kern w:val="0"/>
          <w:sz w:val="24"/>
          <w:szCs w:val="24"/>
          <w14:ligatures w14:val="none"/>
        </w:rPr>
        <w:t>presume</w:t>
      </w:r>
      <w:r w:rsidRPr="004F5F8A">
        <w:rPr>
          <w:rFonts w:ascii="Arial" w:eastAsia="Calibri" w:hAnsi="Arial" w:cs="Arial"/>
          <w:kern w:val="0"/>
          <w:sz w:val="24"/>
          <w:szCs w:val="24"/>
          <w14:ligatures w14:val="none"/>
        </w:rPr>
        <w:t xml:space="preserve">s </w:t>
      </w:r>
      <w:r w:rsidR="00BE256D">
        <w:rPr>
          <w:rFonts w:ascii="Arial" w:eastAsia="Calibri" w:hAnsi="Arial" w:cs="Arial"/>
          <w:kern w:val="0"/>
          <w:sz w:val="24"/>
          <w:szCs w:val="24"/>
          <w14:ligatures w14:val="none"/>
        </w:rPr>
        <w:t>will be</w:t>
      </w:r>
      <w:r w:rsidR="003D43A9">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 xml:space="preserve">going beyond legal obligations and taking voluntary actions to address societal and environmental issues. CSR </w:t>
      </w:r>
      <w:r w:rsidR="00BE256D">
        <w:rPr>
          <w:rFonts w:ascii="Arial" w:eastAsia="Calibri" w:hAnsi="Arial" w:cs="Arial"/>
          <w:kern w:val="0"/>
          <w:sz w:val="24"/>
          <w:szCs w:val="24"/>
          <w14:ligatures w14:val="none"/>
        </w:rPr>
        <w:t>content</w:t>
      </w:r>
      <w:r w:rsidRPr="004F5F8A">
        <w:rPr>
          <w:rFonts w:ascii="Arial" w:eastAsia="Calibri" w:hAnsi="Arial" w:cs="Arial"/>
          <w:kern w:val="0"/>
          <w:sz w:val="24"/>
          <w:szCs w:val="24"/>
          <w14:ligatures w14:val="none"/>
        </w:rPr>
        <w:t xml:space="preserve"> initiatives such as philanthropy, ethical labour practices, </w:t>
      </w:r>
      <w:r w:rsidR="003F06DB">
        <w:rPr>
          <w:rFonts w:ascii="Arial" w:eastAsia="Calibri" w:hAnsi="Arial" w:cs="Arial"/>
          <w:kern w:val="0"/>
          <w:sz w:val="24"/>
          <w:szCs w:val="24"/>
          <w14:ligatures w14:val="none"/>
        </w:rPr>
        <w:t>climate and zonal impact</w:t>
      </w:r>
      <w:r w:rsidRPr="004F5F8A">
        <w:rPr>
          <w:rFonts w:ascii="Arial" w:eastAsia="Calibri" w:hAnsi="Arial" w:cs="Arial"/>
          <w:kern w:val="0"/>
          <w:sz w:val="24"/>
          <w:szCs w:val="24"/>
          <w14:ligatures w14:val="none"/>
        </w:rPr>
        <w:t xml:space="preserve"> sustainability, and community </w:t>
      </w:r>
      <w:r w:rsidR="00D86860">
        <w:rPr>
          <w:rFonts w:ascii="Arial" w:eastAsia="Calibri" w:hAnsi="Arial" w:cs="Arial"/>
          <w:kern w:val="0"/>
          <w:sz w:val="24"/>
          <w:szCs w:val="24"/>
          <w14:ligatures w14:val="none"/>
        </w:rPr>
        <w:t>involv</w:t>
      </w:r>
      <w:r w:rsidRPr="004F5F8A">
        <w:rPr>
          <w:rFonts w:ascii="Arial" w:eastAsia="Calibri" w:hAnsi="Arial" w:cs="Arial"/>
          <w:kern w:val="0"/>
          <w:sz w:val="24"/>
          <w:szCs w:val="24"/>
          <w14:ligatures w14:val="none"/>
        </w:rPr>
        <w:t xml:space="preserve">ement. In the hospitality industry, CSR plays a significant role in promoting sustainability through several key mechanisms, as reducing the impact on environment, footprint, waste, energy and water consumption; or CSR initiatives to involve actively local communities, local businesses and suppliers in community development projects, and providing employment and training opportunities for locals. CSR in the hospitality industry also extends to ensuring the well-being and rights of employees, </w:t>
      </w:r>
      <w:r w:rsidR="009656A1">
        <w:rPr>
          <w:rFonts w:ascii="Arial" w:eastAsia="Calibri" w:hAnsi="Arial" w:cs="Arial"/>
          <w:kern w:val="0"/>
          <w:sz w:val="24"/>
          <w:szCs w:val="24"/>
          <w14:ligatures w14:val="none"/>
        </w:rPr>
        <w:t>offer</w:t>
      </w:r>
      <w:r w:rsidRPr="004F5F8A">
        <w:rPr>
          <w:rFonts w:ascii="Arial" w:eastAsia="Calibri" w:hAnsi="Arial" w:cs="Arial"/>
          <w:kern w:val="0"/>
          <w:sz w:val="24"/>
          <w:szCs w:val="24"/>
          <w14:ligatures w14:val="none"/>
        </w:rPr>
        <w:t xml:space="preserve">ing </w:t>
      </w:r>
      <w:r w:rsidR="009656A1">
        <w:rPr>
          <w:rFonts w:ascii="Arial" w:eastAsia="Calibri" w:hAnsi="Arial" w:cs="Arial"/>
          <w:kern w:val="0"/>
          <w:sz w:val="24"/>
          <w:szCs w:val="24"/>
          <w14:ligatures w14:val="none"/>
        </w:rPr>
        <w:t>competitive</w:t>
      </w:r>
      <w:r w:rsidRPr="004F5F8A">
        <w:rPr>
          <w:rFonts w:ascii="Arial" w:eastAsia="Calibri" w:hAnsi="Arial" w:cs="Arial"/>
          <w:kern w:val="0"/>
          <w:sz w:val="24"/>
          <w:szCs w:val="24"/>
          <w14:ligatures w14:val="none"/>
        </w:rPr>
        <w:t xml:space="preserve"> wages and </w:t>
      </w:r>
      <w:r w:rsidR="00BC04C3">
        <w:rPr>
          <w:rFonts w:ascii="Arial" w:eastAsia="Calibri" w:hAnsi="Arial" w:cs="Arial"/>
          <w:kern w:val="0"/>
          <w:sz w:val="24"/>
          <w:szCs w:val="24"/>
          <w14:ligatures w14:val="none"/>
        </w:rPr>
        <w:t>advantage</w:t>
      </w:r>
      <w:r w:rsidRPr="004F5F8A">
        <w:rPr>
          <w:rFonts w:ascii="Arial" w:eastAsia="Calibri" w:hAnsi="Arial" w:cs="Arial"/>
          <w:kern w:val="0"/>
          <w:sz w:val="24"/>
          <w:szCs w:val="24"/>
          <w14:ligatures w14:val="none"/>
        </w:rPr>
        <w:t xml:space="preserve">s, </w:t>
      </w:r>
      <w:r w:rsidR="00BC04C3">
        <w:rPr>
          <w:rFonts w:ascii="Arial" w:eastAsia="Calibri" w:hAnsi="Arial" w:cs="Arial"/>
          <w:kern w:val="0"/>
          <w:sz w:val="24"/>
          <w:szCs w:val="24"/>
          <w14:ligatures w14:val="none"/>
        </w:rPr>
        <w:t>ensur</w:t>
      </w:r>
      <w:r w:rsidRPr="004F5F8A">
        <w:rPr>
          <w:rFonts w:ascii="Arial" w:eastAsia="Calibri" w:hAnsi="Arial" w:cs="Arial"/>
          <w:kern w:val="0"/>
          <w:sz w:val="24"/>
          <w:szCs w:val="24"/>
          <w14:ligatures w14:val="none"/>
        </w:rPr>
        <w:t xml:space="preserve">ing workplace diversity and inclusion, and offering </w:t>
      </w:r>
      <w:r w:rsidR="00E11F85">
        <w:rPr>
          <w:rFonts w:ascii="Arial" w:eastAsia="Calibri" w:hAnsi="Arial" w:cs="Arial"/>
          <w:kern w:val="0"/>
          <w:sz w:val="24"/>
          <w:szCs w:val="24"/>
          <w14:ligatures w14:val="none"/>
        </w:rPr>
        <w:t xml:space="preserve">fair and equal </w:t>
      </w:r>
      <w:r w:rsidRPr="004F5F8A">
        <w:rPr>
          <w:rFonts w:ascii="Arial" w:eastAsia="Calibri" w:hAnsi="Arial" w:cs="Arial"/>
          <w:kern w:val="0"/>
          <w:sz w:val="24"/>
          <w:szCs w:val="24"/>
          <w14:ligatures w14:val="none"/>
        </w:rPr>
        <w:t xml:space="preserve">opportunities for professional development and advancement, all these leading to improved business performance; CSR entails upholding ethical standards and values in all aspects of business operations, by transparency and integrity in business dealings, adhering to ethical labour practices, and respecting human rights or could have initiatives of responsible tourism practices among guests and customers in raising awareness about environmental and cultural conservation, encouraging sustainable travel </w:t>
      </w:r>
      <w:r w:rsidR="004D2B85" w:rsidRPr="004F5F8A">
        <w:rPr>
          <w:rFonts w:ascii="Arial" w:eastAsia="Calibri" w:hAnsi="Arial" w:cs="Arial"/>
          <w:kern w:val="0"/>
          <w:sz w:val="24"/>
          <w:szCs w:val="24"/>
          <w14:ligatures w14:val="none"/>
        </w:rPr>
        <w:t>behaviours</w:t>
      </w:r>
      <w:r w:rsidRPr="004F5F8A">
        <w:rPr>
          <w:rFonts w:ascii="Arial" w:eastAsia="Calibri" w:hAnsi="Arial" w:cs="Arial"/>
          <w:kern w:val="0"/>
          <w:sz w:val="24"/>
          <w:szCs w:val="24"/>
          <w14:ligatures w14:val="none"/>
        </w:rPr>
        <w:t xml:space="preserve">, and offering eco-friendly amenities and activities. By promoting responsible tourism, hospitality businesses can help minimize negative impacts </w:t>
      </w:r>
      <w:r w:rsidRPr="004F5F8A">
        <w:rPr>
          <w:rFonts w:ascii="Arial" w:eastAsia="Calibri" w:hAnsi="Arial" w:cs="Arial"/>
          <w:kern w:val="0"/>
          <w:sz w:val="24"/>
          <w:szCs w:val="24"/>
          <w14:ligatures w14:val="none"/>
        </w:rPr>
        <w:lastRenderedPageBreak/>
        <w:t xml:space="preserve">on destinations and preserve their natural and cultural heritage for future generations. Overall, CSR plays a </w:t>
      </w:r>
      <w:r w:rsidR="004D2B85">
        <w:rPr>
          <w:rFonts w:ascii="Arial" w:eastAsia="Calibri" w:hAnsi="Arial" w:cs="Arial"/>
          <w:kern w:val="0"/>
          <w:sz w:val="24"/>
          <w:szCs w:val="24"/>
          <w14:ligatures w14:val="none"/>
        </w:rPr>
        <w:t>leading</w:t>
      </w:r>
      <w:r w:rsidRPr="004F5F8A">
        <w:rPr>
          <w:rFonts w:ascii="Arial" w:eastAsia="Calibri" w:hAnsi="Arial" w:cs="Arial"/>
          <w:kern w:val="0"/>
          <w:sz w:val="24"/>
          <w:szCs w:val="24"/>
          <w14:ligatures w14:val="none"/>
        </w:rPr>
        <w:t xml:space="preserve"> role in promoting sustainability in the hospitality industry by encouraging businesses to adopt environmentally sound practices, engage with local communities, support employee welfare, uphold ethical standards, and promote responsible tourism. By integrating CSR into their operations, hospitality businesses can </w:t>
      </w:r>
      <w:r w:rsidR="008369A0">
        <w:rPr>
          <w:rFonts w:ascii="Arial" w:eastAsia="Calibri" w:hAnsi="Arial" w:cs="Arial"/>
          <w:kern w:val="0"/>
          <w:sz w:val="24"/>
          <w:szCs w:val="24"/>
          <w14:ligatures w14:val="none"/>
        </w:rPr>
        <w:t>smoothing inherent</w:t>
      </w:r>
      <w:r w:rsidRPr="004F5F8A">
        <w:rPr>
          <w:rFonts w:ascii="Arial" w:eastAsia="Calibri" w:hAnsi="Arial" w:cs="Arial"/>
          <w:kern w:val="0"/>
          <w:sz w:val="24"/>
          <w:szCs w:val="24"/>
          <w14:ligatures w14:val="none"/>
        </w:rPr>
        <w:t xml:space="preserve"> </w:t>
      </w:r>
      <w:r w:rsidR="00C12A8A">
        <w:rPr>
          <w:rFonts w:ascii="Arial" w:eastAsia="Calibri" w:hAnsi="Arial" w:cs="Arial"/>
          <w:kern w:val="0"/>
          <w:sz w:val="24"/>
          <w:szCs w:val="24"/>
          <w14:ligatures w14:val="none"/>
        </w:rPr>
        <w:t>pea</w:t>
      </w:r>
      <w:r w:rsidRPr="004F5F8A">
        <w:rPr>
          <w:rFonts w:ascii="Arial" w:eastAsia="Calibri" w:hAnsi="Arial" w:cs="Arial"/>
          <w:kern w:val="0"/>
          <w:sz w:val="24"/>
          <w:szCs w:val="24"/>
          <w14:ligatures w14:val="none"/>
        </w:rPr>
        <w:t xml:space="preserve">ks and </w:t>
      </w:r>
      <w:r w:rsidR="00C12A8A">
        <w:rPr>
          <w:rFonts w:ascii="Arial" w:eastAsia="Calibri" w:hAnsi="Arial" w:cs="Arial"/>
          <w:kern w:val="0"/>
          <w:sz w:val="24"/>
          <w:szCs w:val="24"/>
          <w14:ligatures w14:val="none"/>
        </w:rPr>
        <w:t>being main</w:t>
      </w:r>
      <w:r w:rsidRPr="004F5F8A">
        <w:rPr>
          <w:rFonts w:ascii="Arial" w:eastAsia="Calibri" w:hAnsi="Arial" w:cs="Arial"/>
          <w:kern w:val="0"/>
          <w:sz w:val="24"/>
          <w:szCs w:val="24"/>
          <w14:ligatures w14:val="none"/>
        </w:rPr>
        <w:t xml:space="preserve"> contribut</w:t>
      </w:r>
      <w:r w:rsidR="00C12A8A">
        <w:rPr>
          <w:rFonts w:ascii="Arial" w:eastAsia="Calibri" w:hAnsi="Arial" w:cs="Arial"/>
          <w:kern w:val="0"/>
          <w:sz w:val="24"/>
          <w:szCs w:val="24"/>
          <w14:ligatures w14:val="none"/>
        </w:rPr>
        <w:t>or</w:t>
      </w:r>
      <w:r w:rsidRPr="004F5F8A">
        <w:rPr>
          <w:rFonts w:ascii="Arial" w:eastAsia="Calibri" w:hAnsi="Arial" w:cs="Arial"/>
          <w:kern w:val="0"/>
          <w:sz w:val="24"/>
          <w:szCs w:val="24"/>
          <w14:ligatures w14:val="none"/>
        </w:rPr>
        <w:t xml:space="preserve"> to the long-term sustainability of the industry and the communities in which they operate.</w:t>
      </w:r>
    </w:p>
    <w:p w14:paraId="78B96400" w14:textId="52A1FDEF"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The key areas where CSR initiatives can have a significant impact on sustainability practices in the hospitality industry are in Energy Efficiency and Renewable Energy Adoption, passing to energy efficiency measures such as</w:t>
      </w:r>
      <w:r w:rsidR="00392920">
        <w:rPr>
          <w:rFonts w:ascii="Arial" w:eastAsia="Calibri" w:hAnsi="Arial" w:cs="Arial"/>
          <w:kern w:val="0"/>
          <w:sz w:val="24"/>
          <w:szCs w:val="24"/>
          <w14:ligatures w14:val="none"/>
        </w:rPr>
        <w:t xml:space="preserve"> replacing old lights with</w:t>
      </w:r>
      <w:r w:rsidRPr="004F5F8A">
        <w:rPr>
          <w:rFonts w:ascii="Arial" w:eastAsia="Calibri" w:hAnsi="Arial" w:cs="Arial"/>
          <w:kern w:val="0"/>
          <w:sz w:val="24"/>
          <w:szCs w:val="24"/>
          <w14:ligatures w14:val="none"/>
        </w:rPr>
        <w:t xml:space="preserve"> LED lighting, </w:t>
      </w:r>
      <w:r w:rsidR="009131C7">
        <w:rPr>
          <w:rFonts w:ascii="Arial" w:eastAsia="Calibri" w:hAnsi="Arial" w:cs="Arial"/>
          <w:kern w:val="0"/>
          <w:sz w:val="24"/>
          <w:szCs w:val="24"/>
          <w14:ligatures w14:val="none"/>
        </w:rPr>
        <w:t xml:space="preserve">using </w:t>
      </w:r>
      <w:r w:rsidRPr="004F5F8A">
        <w:rPr>
          <w:rFonts w:ascii="Arial" w:eastAsia="Calibri" w:hAnsi="Arial" w:cs="Arial"/>
          <w:kern w:val="0"/>
          <w:sz w:val="24"/>
          <w:szCs w:val="24"/>
          <w14:ligatures w14:val="none"/>
        </w:rPr>
        <w:t xml:space="preserve">smart HVAC systems, and </w:t>
      </w:r>
      <w:r w:rsidR="009131C7">
        <w:rPr>
          <w:rFonts w:ascii="Arial" w:eastAsia="Calibri" w:hAnsi="Arial" w:cs="Arial"/>
          <w:kern w:val="0"/>
          <w:sz w:val="24"/>
          <w:szCs w:val="24"/>
          <w14:ligatures w14:val="none"/>
        </w:rPr>
        <w:t xml:space="preserve">high </w:t>
      </w:r>
      <w:r w:rsidRPr="004F5F8A">
        <w:rPr>
          <w:rFonts w:ascii="Arial" w:eastAsia="Calibri" w:hAnsi="Arial" w:cs="Arial"/>
          <w:kern w:val="0"/>
          <w:sz w:val="24"/>
          <w:szCs w:val="24"/>
          <w14:ligatures w14:val="none"/>
        </w:rPr>
        <w:t>energy-efficient appliances, hospitality businesses can significantly reduce their energy consumption and carbon emissions; adopting renewable energy sources such as solar panels or wind turbines can further decrease reliance on fossil fuels and promote cleaner energy production; making efforts in Waste Management and Recycling Programs, by implementing comprehensive waste management strategies</w:t>
      </w:r>
      <w:r w:rsidR="00981356">
        <w:rPr>
          <w:rFonts w:ascii="Arial" w:eastAsia="Calibri" w:hAnsi="Arial" w:cs="Arial"/>
          <w:kern w:val="0"/>
          <w:sz w:val="24"/>
          <w:szCs w:val="24"/>
          <w14:ligatures w14:val="none"/>
        </w:rPr>
        <w:t xml:space="preserve"> and programs</w:t>
      </w:r>
      <w:r w:rsidRPr="004F5F8A">
        <w:rPr>
          <w:rFonts w:ascii="Arial" w:eastAsia="Calibri" w:hAnsi="Arial" w:cs="Arial"/>
          <w:kern w:val="0"/>
          <w:sz w:val="24"/>
          <w:szCs w:val="24"/>
          <w14:ligatures w14:val="none"/>
        </w:rPr>
        <w:t>, including recycling, composting, and waste reduction initiatives, by partnering with local recycling facilities and educating guests and staff about proper waste disposal practices, hotels can divert significant amounts of waste from landfill disposal; could adopt Water Conservation Measures, implementing water-saving technologies such as low-flow faucets, water-efficient fixtures, and graywater recycling systems, even educating guests about the importance of water conservation through signage, in-room materials, and water-saving initiatives can further promote responsible water use; starting sourcing for food, beverages, and other products from sustainable sources can reduce the environmental and social impacts associated with the supply chain, and by prioritizing suppliers that adhere to ethical labour practices, promote fair trade, and minimize environmental harm, hospitality businesses can contribute to positive social and environmental outcomes. Nothing done without Community Engagement and Socio-economic Development, because engaging with local communities through partnerships, philanthropic initiatives, and community development projects can foster positive relationships and support socio-economic development, or, in same way, by supporting local businesses, artisans, and cultural initiatives can help preserve local traditions and contribute to the economic vitality of host communities.</w:t>
      </w:r>
    </w:p>
    <w:p w14:paraId="7B3E57DF" w14:textId="77777777"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lastRenderedPageBreak/>
        <w:t>In these areas, CSR initiatives can have a tangible and measurable impact on sustainability practices within the hospitality industry, leading to reduced environmental footprint, enhanced community relations, and improved social and economic outcomes.</w:t>
      </w:r>
    </w:p>
    <w:p w14:paraId="21BDFA3A" w14:textId="00F9E537"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 xml:space="preserve">If consider Premier Inn sample, the challenges mitigated by brand are resource constraints, Premier Inn's focus on budget-friendly accommodations may present challenges in allocating resources for CSR initiatives. Limited financial resources may constrain the implementation of comprehensive sustainability programs compared to larger hotel chains, also supply chain transparency, as Premier Inn's reliance on suppliers for various goods and services may pose challenges in ensuring supply chain transparency and ethical sourcing practices. Monitoring and vetting suppliers to comply with CSR standards require dedicated resources and expertise; in raise tendence guest expectations, meeting guest expectations for affordability and comfort while implementing CSR initiatives may pose challenges. Balancing cost-effectiveness with sustainability goals without compromising guest satisfaction requires careful planning and strategic decision-making. For Premier Inn, the opportunities are operational efficiency, Premier Inn can capitalize on opportunities to improve operational efficiency through sustainable practices. Implementing energy-saving </w:t>
      </w:r>
      <w:r w:rsidR="00EC2BE8">
        <w:rPr>
          <w:rFonts w:ascii="Arial" w:eastAsia="Calibri" w:hAnsi="Arial" w:cs="Arial"/>
          <w:kern w:val="0"/>
          <w:sz w:val="24"/>
          <w:szCs w:val="24"/>
          <w14:ligatures w14:val="none"/>
        </w:rPr>
        <w:t>rule</w:t>
      </w:r>
      <w:r w:rsidRPr="004F5F8A">
        <w:rPr>
          <w:rFonts w:ascii="Arial" w:eastAsia="Calibri" w:hAnsi="Arial" w:cs="Arial"/>
          <w:kern w:val="0"/>
          <w:sz w:val="24"/>
          <w:szCs w:val="24"/>
          <w14:ligatures w14:val="none"/>
        </w:rPr>
        <w:t xml:space="preserve">s, </w:t>
      </w:r>
      <w:r w:rsidR="00E22845">
        <w:rPr>
          <w:rFonts w:ascii="Arial" w:eastAsia="Calibri" w:hAnsi="Arial" w:cs="Arial"/>
          <w:kern w:val="0"/>
          <w:sz w:val="24"/>
          <w:szCs w:val="24"/>
          <w14:ligatures w14:val="none"/>
        </w:rPr>
        <w:t xml:space="preserve">also </w:t>
      </w:r>
      <w:r w:rsidRPr="004F5F8A">
        <w:rPr>
          <w:rFonts w:ascii="Arial" w:eastAsia="Calibri" w:hAnsi="Arial" w:cs="Arial"/>
          <w:kern w:val="0"/>
          <w:sz w:val="24"/>
          <w:szCs w:val="24"/>
          <w14:ligatures w14:val="none"/>
        </w:rPr>
        <w:t>waste reduction p</w:t>
      </w:r>
      <w:r w:rsidR="00E22845">
        <w:rPr>
          <w:rFonts w:ascii="Arial" w:eastAsia="Calibri" w:hAnsi="Arial" w:cs="Arial"/>
          <w:kern w:val="0"/>
          <w:sz w:val="24"/>
          <w:szCs w:val="24"/>
          <w14:ligatures w14:val="none"/>
        </w:rPr>
        <w:t>lan</w:t>
      </w:r>
      <w:r w:rsidRPr="004F5F8A">
        <w:rPr>
          <w:rFonts w:ascii="Arial" w:eastAsia="Calibri" w:hAnsi="Arial" w:cs="Arial"/>
          <w:kern w:val="0"/>
          <w:sz w:val="24"/>
          <w:szCs w:val="24"/>
          <w14:ligatures w14:val="none"/>
        </w:rPr>
        <w:t>s</w:t>
      </w:r>
      <w:r w:rsidR="00E22845">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 xml:space="preserve">and water </w:t>
      </w:r>
      <w:r w:rsidR="00E22845">
        <w:rPr>
          <w:rFonts w:ascii="Arial" w:eastAsia="Calibri" w:hAnsi="Arial" w:cs="Arial"/>
          <w:kern w:val="0"/>
          <w:sz w:val="24"/>
          <w:szCs w:val="24"/>
          <w14:ligatures w14:val="none"/>
        </w:rPr>
        <w:t>sal</w:t>
      </w:r>
      <w:r w:rsidRPr="004F5F8A">
        <w:rPr>
          <w:rFonts w:ascii="Arial" w:eastAsia="Calibri" w:hAnsi="Arial" w:cs="Arial"/>
          <w:kern w:val="0"/>
          <w:sz w:val="24"/>
          <w:szCs w:val="24"/>
          <w14:ligatures w14:val="none"/>
        </w:rPr>
        <w:t xml:space="preserve">vation </w:t>
      </w:r>
      <w:r w:rsidR="00E22845">
        <w:rPr>
          <w:rFonts w:ascii="Arial" w:eastAsia="Calibri" w:hAnsi="Arial" w:cs="Arial"/>
          <w:kern w:val="0"/>
          <w:sz w:val="24"/>
          <w:szCs w:val="24"/>
          <w14:ligatures w14:val="none"/>
        </w:rPr>
        <w:t>measur</w:t>
      </w:r>
      <w:r w:rsidRPr="004F5F8A">
        <w:rPr>
          <w:rFonts w:ascii="Arial" w:eastAsia="Calibri" w:hAnsi="Arial" w:cs="Arial"/>
          <w:kern w:val="0"/>
          <w:sz w:val="24"/>
          <w:szCs w:val="24"/>
          <w14:ligatures w14:val="none"/>
        </w:rPr>
        <w:t xml:space="preserve">es can lower operating costs and enhance profitability in the long run. Another advantage is differentiation in the market, Premier Inn can differentiate itself in the budget hotel segment by emphasizing its commitment to CSR. Communicating its sustainability efforts effectively to guests can attract environmentally conscious travellers seeking responsible accommodation options. In employee engagement chapter, Premier Inn can leverage its focus on employee training and development to promote CSR awareness among staff. </w:t>
      </w:r>
      <w:r w:rsidR="00E22845">
        <w:rPr>
          <w:rFonts w:ascii="Arial" w:eastAsia="Calibri" w:hAnsi="Arial" w:cs="Arial"/>
          <w:kern w:val="0"/>
          <w:sz w:val="24"/>
          <w:szCs w:val="24"/>
          <w14:ligatures w14:val="none"/>
        </w:rPr>
        <w:t>Involv</w:t>
      </w:r>
      <w:r w:rsidRPr="004F5F8A">
        <w:rPr>
          <w:rFonts w:ascii="Arial" w:eastAsia="Calibri" w:hAnsi="Arial" w:cs="Arial"/>
          <w:kern w:val="0"/>
          <w:sz w:val="24"/>
          <w:szCs w:val="24"/>
          <w14:ligatures w14:val="none"/>
        </w:rPr>
        <w:t>ing employees in</w:t>
      </w:r>
      <w:r w:rsidR="00E22845">
        <w:rPr>
          <w:rFonts w:ascii="Arial" w:eastAsia="Calibri" w:hAnsi="Arial" w:cs="Arial"/>
          <w:kern w:val="0"/>
          <w:sz w:val="24"/>
          <w:szCs w:val="24"/>
          <w14:ligatures w14:val="none"/>
        </w:rPr>
        <w:t xml:space="preserve"> hotel</w:t>
      </w:r>
      <w:r w:rsidRPr="004F5F8A">
        <w:rPr>
          <w:rFonts w:ascii="Arial" w:eastAsia="Calibri" w:hAnsi="Arial" w:cs="Arial"/>
          <w:kern w:val="0"/>
          <w:sz w:val="24"/>
          <w:szCs w:val="24"/>
          <w14:ligatures w14:val="none"/>
        </w:rPr>
        <w:t xml:space="preserve"> sustainability </w:t>
      </w:r>
      <w:r w:rsidR="00700CE4">
        <w:rPr>
          <w:rFonts w:ascii="Arial" w:eastAsia="Calibri" w:hAnsi="Arial" w:cs="Arial"/>
          <w:kern w:val="0"/>
          <w:sz w:val="24"/>
          <w:szCs w:val="24"/>
          <w14:ligatures w14:val="none"/>
        </w:rPr>
        <w:t>measur</w:t>
      </w:r>
      <w:r w:rsidRPr="004F5F8A">
        <w:rPr>
          <w:rFonts w:ascii="Arial" w:eastAsia="Calibri" w:hAnsi="Arial" w:cs="Arial"/>
          <w:kern w:val="0"/>
          <w:sz w:val="24"/>
          <w:szCs w:val="24"/>
          <w14:ligatures w14:val="none"/>
        </w:rPr>
        <w:t xml:space="preserve">es and </w:t>
      </w:r>
      <w:r w:rsidR="00700CE4">
        <w:rPr>
          <w:rFonts w:ascii="Arial" w:eastAsia="Calibri" w:hAnsi="Arial" w:cs="Arial"/>
          <w:kern w:val="0"/>
          <w:sz w:val="24"/>
          <w:szCs w:val="24"/>
          <w14:ligatures w14:val="none"/>
        </w:rPr>
        <w:t xml:space="preserve">stimulating and </w:t>
      </w:r>
      <w:r w:rsidRPr="004F5F8A">
        <w:rPr>
          <w:rFonts w:ascii="Arial" w:eastAsia="Calibri" w:hAnsi="Arial" w:cs="Arial"/>
          <w:kern w:val="0"/>
          <w:sz w:val="24"/>
          <w:szCs w:val="24"/>
          <w14:ligatures w14:val="none"/>
        </w:rPr>
        <w:t xml:space="preserve">recognizing their contributions </w:t>
      </w:r>
      <w:r w:rsidR="00700CE4">
        <w:rPr>
          <w:rFonts w:ascii="Arial" w:eastAsia="Calibri" w:hAnsi="Arial" w:cs="Arial"/>
          <w:kern w:val="0"/>
          <w:sz w:val="24"/>
          <w:szCs w:val="24"/>
          <w14:ligatures w14:val="none"/>
        </w:rPr>
        <w:t>could encourage</w:t>
      </w:r>
      <w:r w:rsidRPr="004F5F8A">
        <w:rPr>
          <w:rFonts w:ascii="Arial" w:eastAsia="Calibri" w:hAnsi="Arial" w:cs="Arial"/>
          <w:kern w:val="0"/>
          <w:sz w:val="24"/>
          <w:szCs w:val="24"/>
          <w14:ligatures w14:val="none"/>
        </w:rPr>
        <w:t xml:space="preserve"> a culture of environmental responsibility and enhance employee satisfaction.</w:t>
      </w:r>
    </w:p>
    <w:p w14:paraId="1035526C" w14:textId="77777777"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In conclusion, Premier Inn faces challenges and opportunities in implementing good CSR policies, Premier Inn can leverage its focus on operational efficiency and employee engagement to drive sustainability practices within its budget-friendly hotel offerings. Ultimately, the hotel chains have the potential to make significant contributions to CSR and sustainability in the hospitality industry</w:t>
      </w:r>
    </w:p>
    <w:p w14:paraId="68A7BA6B" w14:textId="4A08E46F"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 xml:space="preserve">Premier Inn have implemented initiatives to reduce their environmental footprint. They invest in </w:t>
      </w:r>
      <w:r w:rsidR="00700CE4">
        <w:rPr>
          <w:rFonts w:ascii="Arial" w:eastAsia="Calibri" w:hAnsi="Arial" w:cs="Arial"/>
          <w:kern w:val="0"/>
          <w:sz w:val="24"/>
          <w:szCs w:val="24"/>
          <w14:ligatures w14:val="none"/>
        </w:rPr>
        <w:t>high</w:t>
      </w:r>
      <w:r w:rsidR="000B2832">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energy</w:t>
      </w:r>
      <w:r w:rsidR="000B2832">
        <w:rPr>
          <w:rFonts w:ascii="Arial" w:eastAsia="Calibri" w:hAnsi="Arial" w:cs="Arial"/>
          <w:kern w:val="0"/>
          <w:sz w:val="24"/>
          <w:szCs w:val="24"/>
          <w14:ligatures w14:val="none"/>
        </w:rPr>
        <w:t xml:space="preserve"> </w:t>
      </w:r>
      <w:r w:rsidRPr="004F5F8A">
        <w:rPr>
          <w:rFonts w:ascii="Arial" w:eastAsia="Calibri" w:hAnsi="Arial" w:cs="Arial"/>
          <w:kern w:val="0"/>
          <w:sz w:val="24"/>
          <w:szCs w:val="24"/>
          <w14:ligatures w14:val="none"/>
        </w:rPr>
        <w:t xml:space="preserve">efficient technologies, implement waste reduction programs, and </w:t>
      </w:r>
      <w:r w:rsidRPr="004F5F8A">
        <w:rPr>
          <w:rFonts w:ascii="Arial" w:eastAsia="Calibri" w:hAnsi="Arial" w:cs="Arial"/>
          <w:kern w:val="0"/>
          <w:sz w:val="24"/>
          <w:szCs w:val="24"/>
          <w14:ligatures w14:val="none"/>
        </w:rPr>
        <w:lastRenderedPageBreak/>
        <w:t xml:space="preserve">promote water conservation measures across their properties. Also in community engagement programs, the hotel chains engage with local communities through philanthropic initiatives, community partnerships, and support for local charities and organizations. They prioritize giving back to the communities where they operate, contributing to social development and welfare, </w:t>
      </w:r>
    </w:p>
    <w:p w14:paraId="05A79C20" w14:textId="77777777"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Premier Inn: Premier Inn's focus on operational efficiency and community engagement has helped it establish a positive brand image as a responsible and value-driven hotel chain, Premier Inn's commitment to sustainability resonates with its target market of budget-conscious travellers. The impact of its CSR initiatives on brand image may be more localized but still significant in enhancing customer loyalty and attracting socially conscious guests within the UK market.</w:t>
      </w:r>
    </w:p>
    <w:p w14:paraId="0A1D37C4" w14:textId="5052546C"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In conclusion, Premier Inn share similarities in their commitment to environmental sustainability and community engagement, Premier Inn's focus on operational efficiency and value-driven services has contributed to a positive brand image within its target market. Overall, the hotel chains have successfully leveraged CSR initiatives to strengthen brand image and a</w:t>
      </w:r>
      <w:r w:rsidR="000B2832">
        <w:rPr>
          <w:rFonts w:ascii="Arial" w:eastAsia="Calibri" w:hAnsi="Arial" w:cs="Arial"/>
          <w:kern w:val="0"/>
          <w:sz w:val="24"/>
          <w:szCs w:val="24"/>
          <w14:ligatures w14:val="none"/>
        </w:rPr>
        <w:t>weak</w:t>
      </w:r>
      <w:r w:rsidRPr="004F5F8A">
        <w:rPr>
          <w:rFonts w:ascii="Arial" w:eastAsia="Calibri" w:hAnsi="Arial" w:cs="Arial"/>
          <w:kern w:val="0"/>
          <w:sz w:val="24"/>
          <w:szCs w:val="24"/>
          <w14:ligatures w14:val="none"/>
        </w:rPr>
        <w:t xml:space="preserve"> to socially conscious consumers, Premier Inn's CSR policy is a key focus for the company due to several reasons, and critically analysing it reveals both strengths and areas for potential improvement. Premier Inn places a strong emphasis on operational efficiency and resource management in its CSR policy. The company implements energy-saving </w:t>
      </w:r>
      <w:r w:rsidR="00490CD7">
        <w:rPr>
          <w:rFonts w:ascii="Arial" w:eastAsia="Calibri" w:hAnsi="Arial" w:cs="Arial"/>
          <w:kern w:val="0"/>
          <w:sz w:val="24"/>
          <w:szCs w:val="24"/>
          <w14:ligatures w14:val="none"/>
        </w:rPr>
        <w:t>program</w:t>
      </w:r>
      <w:r w:rsidRPr="004F5F8A">
        <w:rPr>
          <w:rFonts w:ascii="Arial" w:eastAsia="Calibri" w:hAnsi="Arial" w:cs="Arial"/>
          <w:kern w:val="0"/>
          <w:sz w:val="24"/>
          <w:szCs w:val="24"/>
          <w14:ligatures w14:val="none"/>
        </w:rPr>
        <w:t>s, waste reduction p</w:t>
      </w:r>
      <w:r w:rsidR="00490CD7">
        <w:rPr>
          <w:rFonts w:ascii="Arial" w:eastAsia="Calibri" w:hAnsi="Arial" w:cs="Arial"/>
          <w:kern w:val="0"/>
          <w:sz w:val="24"/>
          <w:szCs w:val="24"/>
          <w14:ligatures w14:val="none"/>
        </w:rPr>
        <w:t>lan</w:t>
      </w:r>
      <w:r w:rsidRPr="004F5F8A">
        <w:rPr>
          <w:rFonts w:ascii="Arial" w:eastAsia="Calibri" w:hAnsi="Arial" w:cs="Arial"/>
          <w:kern w:val="0"/>
          <w:sz w:val="24"/>
          <w:szCs w:val="24"/>
          <w14:ligatures w14:val="none"/>
        </w:rPr>
        <w:t xml:space="preserve">s, and water conservation </w:t>
      </w:r>
      <w:r w:rsidR="00490CD7">
        <w:rPr>
          <w:rFonts w:ascii="Arial" w:eastAsia="Calibri" w:hAnsi="Arial" w:cs="Arial"/>
          <w:kern w:val="0"/>
          <w:sz w:val="24"/>
          <w:szCs w:val="24"/>
          <w14:ligatures w14:val="none"/>
        </w:rPr>
        <w:t>rule</w:t>
      </w:r>
      <w:r w:rsidRPr="004F5F8A">
        <w:rPr>
          <w:rFonts w:ascii="Arial" w:eastAsia="Calibri" w:hAnsi="Arial" w:cs="Arial"/>
          <w:kern w:val="0"/>
          <w:sz w:val="24"/>
          <w:szCs w:val="24"/>
          <w14:ligatures w14:val="none"/>
        </w:rPr>
        <w:t>s across its properties, demonstrating a commitment to minimizing environmental impact. Premier Inn actively engages with local communities through philanthropic initiatives, community partnerships, and support for local charities and organizations. The company prioritizes giving back to the communities where it operates, contributing to social development and welfare. Premier Inn emphasizes the well-being and development of its employees in its CSR policy. The company provides fair wages, offers opportunities for training and advancement, and promotes a safe and inclusive work environment, fostering employee satisfaction and loyalty. Premier Inn's focus on offering budget-friendly accommodations aligns with sustainability principles by providing affordable options for travellers while minimizing resource consumption and environmental impact. Premier Inn demonstrates transparency and accountability in its CSR reporting, communicating its social and environmental performance to stakeholders. The company sets measurable targets, tracks progress, and engages with stakeholders to address concerns and feedback.</w:t>
      </w:r>
    </w:p>
    <w:p w14:paraId="1DF12043" w14:textId="77777777"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lastRenderedPageBreak/>
        <w:t xml:space="preserve">Some areas for Improvement as recommendation, supply chain transparency; to set new ambitious targets according with the times; bigger community impact empowering local hotels in local initiatives; climate change mitigation, reducing the company's environmental footprint; by employee engagement, staff involvement in CSR initiatives </w:t>
      </w:r>
    </w:p>
    <w:p w14:paraId="466F7DCF" w14:textId="06C4260E"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In conclusion, Premier Inn's CSR policy is a key focus for the company as it aligns with its commitment to operational efficiency, community engagement, employee well-being, and affordable accommodations. While the company has demonstrated strengths in these areas, there are also opportunities for improvement in supply chain transparency, setting ambitious targets, deepening community impact, mitigating climate change, and enhancing employee engagement. By addressing these areas, Premier Inn can further strengthen its CSR leadership</w:t>
      </w:r>
      <w:r w:rsidR="002733C6">
        <w:rPr>
          <w:rFonts w:ascii="Arial" w:eastAsia="Calibri" w:hAnsi="Arial" w:cs="Arial"/>
          <w:kern w:val="0"/>
          <w:sz w:val="24"/>
          <w:szCs w:val="24"/>
          <w14:ligatures w14:val="none"/>
        </w:rPr>
        <w:t>.</w:t>
      </w:r>
    </w:p>
    <w:p w14:paraId="3E3A5560" w14:textId="7A907A83" w:rsidR="004F5F8A" w:rsidRPr="004F5F8A" w:rsidRDefault="004F5F8A" w:rsidP="004F5F8A">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 xml:space="preserve">Premier Inn has shown a strong commitment to sustainability through its CSR policies and initiatives. By emphasizing operational efficiency, community engagement, and employee well-being, Premier Inn reduced its environmental impact </w:t>
      </w:r>
      <w:r w:rsidR="002733C6">
        <w:rPr>
          <w:rFonts w:ascii="Arial" w:eastAsia="Calibri" w:hAnsi="Arial" w:cs="Arial"/>
          <w:kern w:val="0"/>
          <w:sz w:val="24"/>
          <w:szCs w:val="24"/>
          <w14:ligatures w14:val="none"/>
        </w:rPr>
        <w:t>and</w:t>
      </w:r>
      <w:r w:rsidRPr="004F5F8A">
        <w:rPr>
          <w:rFonts w:ascii="Arial" w:eastAsia="Calibri" w:hAnsi="Arial" w:cs="Arial"/>
          <w:kern w:val="0"/>
          <w:sz w:val="24"/>
          <w:szCs w:val="24"/>
          <w14:ligatures w14:val="none"/>
        </w:rPr>
        <w:t xml:space="preserve"> also </w:t>
      </w:r>
      <w:r w:rsidR="002733C6">
        <w:rPr>
          <w:rFonts w:ascii="Arial" w:eastAsia="Calibri" w:hAnsi="Arial" w:cs="Arial"/>
          <w:kern w:val="0"/>
          <w:sz w:val="24"/>
          <w:szCs w:val="24"/>
          <w14:ligatures w14:val="none"/>
        </w:rPr>
        <w:t>improv</w:t>
      </w:r>
      <w:r w:rsidRPr="004F5F8A">
        <w:rPr>
          <w:rFonts w:ascii="Arial" w:eastAsia="Calibri" w:hAnsi="Arial" w:cs="Arial"/>
          <w:kern w:val="0"/>
          <w:sz w:val="24"/>
          <w:szCs w:val="24"/>
          <w14:ligatures w14:val="none"/>
        </w:rPr>
        <w:t>ed its brand reputation and contributed to positive social and economic outcomes. Through initiatives such as renewable energy integration, plastic reduction, and community engagement programs, Premier Inn has realized benefits such as cost savings, increased customer loyalty, and strengthened community relations. Looking ahead, Premier Inn's focus on sustainability will continue to drive innovation, promote collaboration, and position the company as a leader in responsible hospitality, benefiting both the organization and the wider community.</w:t>
      </w:r>
    </w:p>
    <w:p w14:paraId="5EEA2248" w14:textId="77777777" w:rsidR="004F5F8A" w:rsidRPr="004F5F8A" w:rsidRDefault="004F5F8A" w:rsidP="004F5F8A">
      <w:pPr>
        <w:spacing w:line="360" w:lineRule="auto"/>
        <w:jc w:val="both"/>
        <w:rPr>
          <w:rFonts w:ascii="Arial" w:eastAsia="Calibri" w:hAnsi="Arial" w:cs="Arial"/>
          <w:kern w:val="0"/>
          <w:sz w:val="24"/>
          <w:szCs w:val="24"/>
          <w14:ligatures w14:val="none"/>
        </w:rPr>
      </w:pPr>
    </w:p>
    <w:p w14:paraId="57321F43" w14:textId="77777777" w:rsidR="004F5F8A" w:rsidRPr="004F5F8A" w:rsidRDefault="004F5F8A" w:rsidP="004F5F8A">
      <w:pPr>
        <w:spacing w:line="360" w:lineRule="auto"/>
        <w:jc w:val="both"/>
        <w:rPr>
          <w:rFonts w:ascii="Arial" w:eastAsia="Calibri" w:hAnsi="Arial" w:cs="Arial"/>
          <w:kern w:val="0"/>
          <w:sz w:val="24"/>
          <w:szCs w:val="24"/>
          <w14:ligatures w14:val="none"/>
        </w:rPr>
      </w:pPr>
    </w:p>
    <w:p w14:paraId="0917F0A8" w14:textId="77777777" w:rsidR="0050578C" w:rsidRDefault="0050578C" w:rsidP="0050578C">
      <w:pPr>
        <w:spacing w:line="360" w:lineRule="auto"/>
        <w:jc w:val="both"/>
        <w:rPr>
          <w:rFonts w:ascii="Arial" w:eastAsia="Calibri" w:hAnsi="Arial" w:cs="Arial"/>
          <w:kern w:val="0"/>
          <w:sz w:val="24"/>
          <w:szCs w:val="24"/>
          <w14:ligatures w14:val="none"/>
        </w:rPr>
      </w:pPr>
    </w:p>
    <w:p w14:paraId="75901E2E" w14:textId="77777777" w:rsidR="00FF36CC" w:rsidRDefault="00FF36CC" w:rsidP="0050578C">
      <w:pPr>
        <w:spacing w:line="360" w:lineRule="auto"/>
        <w:jc w:val="both"/>
        <w:rPr>
          <w:rFonts w:ascii="Arial" w:eastAsia="Calibri" w:hAnsi="Arial" w:cs="Arial"/>
          <w:kern w:val="0"/>
          <w:sz w:val="24"/>
          <w:szCs w:val="24"/>
          <w14:ligatures w14:val="none"/>
        </w:rPr>
      </w:pPr>
    </w:p>
    <w:p w14:paraId="7C2D5DB7" w14:textId="77777777" w:rsidR="00FF36CC" w:rsidRDefault="00FF36CC" w:rsidP="0050578C">
      <w:pPr>
        <w:spacing w:line="360" w:lineRule="auto"/>
        <w:jc w:val="both"/>
        <w:rPr>
          <w:rFonts w:ascii="Arial" w:eastAsia="Calibri" w:hAnsi="Arial" w:cs="Arial"/>
          <w:kern w:val="0"/>
          <w:sz w:val="24"/>
          <w:szCs w:val="24"/>
          <w14:ligatures w14:val="none"/>
        </w:rPr>
      </w:pPr>
    </w:p>
    <w:p w14:paraId="55F21141" w14:textId="77777777" w:rsidR="00FF36CC" w:rsidRDefault="00FF36CC" w:rsidP="0050578C">
      <w:pPr>
        <w:spacing w:line="360" w:lineRule="auto"/>
        <w:jc w:val="both"/>
        <w:rPr>
          <w:rFonts w:ascii="Arial" w:eastAsia="Calibri" w:hAnsi="Arial" w:cs="Arial"/>
          <w:kern w:val="0"/>
          <w:sz w:val="24"/>
          <w:szCs w:val="24"/>
          <w14:ligatures w14:val="none"/>
        </w:rPr>
      </w:pPr>
    </w:p>
    <w:p w14:paraId="2D2B69E2" w14:textId="77777777" w:rsidR="00FF36CC" w:rsidRDefault="00FF36CC" w:rsidP="0050578C">
      <w:pPr>
        <w:spacing w:line="360" w:lineRule="auto"/>
        <w:jc w:val="both"/>
        <w:rPr>
          <w:rFonts w:ascii="Arial" w:eastAsia="Calibri" w:hAnsi="Arial" w:cs="Arial"/>
          <w:kern w:val="0"/>
          <w:sz w:val="24"/>
          <w:szCs w:val="24"/>
          <w14:ligatures w14:val="none"/>
        </w:rPr>
      </w:pPr>
    </w:p>
    <w:p w14:paraId="433EAE9F" w14:textId="77777777" w:rsidR="00FF36CC" w:rsidRDefault="00FF36CC" w:rsidP="0050578C">
      <w:pPr>
        <w:spacing w:line="360" w:lineRule="auto"/>
        <w:jc w:val="both"/>
        <w:rPr>
          <w:rFonts w:ascii="Arial" w:eastAsia="Calibri" w:hAnsi="Arial" w:cs="Arial"/>
          <w:kern w:val="0"/>
          <w:sz w:val="24"/>
          <w:szCs w:val="24"/>
          <w14:ligatures w14:val="none"/>
        </w:rPr>
      </w:pPr>
    </w:p>
    <w:p w14:paraId="4E66D5E4" w14:textId="77777777" w:rsidR="00FF36CC" w:rsidRDefault="00FF36CC" w:rsidP="0050578C">
      <w:pPr>
        <w:spacing w:line="360" w:lineRule="auto"/>
        <w:jc w:val="both"/>
        <w:rPr>
          <w:rFonts w:ascii="Arial" w:eastAsia="Calibri" w:hAnsi="Arial" w:cs="Arial"/>
          <w:kern w:val="0"/>
          <w:sz w:val="24"/>
          <w:szCs w:val="24"/>
          <w14:ligatures w14:val="none"/>
        </w:rPr>
      </w:pPr>
    </w:p>
    <w:p w14:paraId="5D214826" w14:textId="77777777" w:rsidR="00FF36CC" w:rsidRPr="0050578C" w:rsidRDefault="00FF36CC" w:rsidP="0050578C">
      <w:pPr>
        <w:spacing w:line="360" w:lineRule="auto"/>
        <w:jc w:val="both"/>
        <w:rPr>
          <w:rFonts w:ascii="Arial" w:eastAsia="Calibri" w:hAnsi="Arial" w:cs="Arial"/>
          <w:kern w:val="0"/>
          <w:sz w:val="24"/>
          <w:szCs w:val="24"/>
          <w14:ligatures w14:val="none"/>
        </w:rPr>
      </w:pPr>
    </w:p>
    <w:p w14:paraId="0608E7CE" w14:textId="77777777" w:rsidR="00792625" w:rsidRDefault="0050578C" w:rsidP="00792625">
      <w:pPr>
        <w:spacing w:line="360" w:lineRule="auto"/>
        <w:jc w:val="both"/>
        <w:rPr>
          <w:rFonts w:ascii="Arial" w:eastAsia="Calibri" w:hAnsi="Arial" w:cs="Arial"/>
          <w:kern w:val="0"/>
          <w:sz w:val="24"/>
          <w:szCs w:val="24"/>
          <w14:ligatures w14:val="none"/>
        </w:rPr>
      </w:pPr>
      <w:r w:rsidRPr="0050578C">
        <w:rPr>
          <w:rFonts w:ascii="Arial" w:eastAsia="Calibri" w:hAnsi="Arial" w:cs="Arial"/>
          <w:kern w:val="0"/>
          <w:sz w:val="24"/>
          <w:szCs w:val="24"/>
          <w14:ligatures w14:val="none"/>
        </w:rPr>
        <w:t>References</w:t>
      </w:r>
      <w:r w:rsidR="00792625" w:rsidRPr="00792625">
        <w:rPr>
          <w:rFonts w:ascii="Arial" w:eastAsia="Calibri" w:hAnsi="Arial" w:cs="Arial"/>
          <w:kern w:val="0"/>
          <w:sz w:val="24"/>
          <w:szCs w:val="24"/>
          <w14:ligatures w14:val="none"/>
        </w:rPr>
        <w:t xml:space="preserve"> </w:t>
      </w:r>
    </w:p>
    <w:p w14:paraId="357BDFE0" w14:textId="77777777" w:rsidR="00600944" w:rsidRDefault="00600944" w:rsidP="00792625">
      <w:pPr>
        <w:spacing w:line="360" w:lineRule="auto"/>
        <w:jc w:val="both"/>
        <w:rPr>
          <w:rFonts w:ascii="Arial" w:eastAsia="Calibri" w:hAnsi="Arial" w:cs="Arial"/>
          <w:kern w:val="0"/>
          <w:sz w:val="24"/>
          <w:szCs w:val="24"/>
          <w14:ligatures w14:val="none"/>
        </w:rPr>
      </w:pPr>
    </w:p>
    <w:p w14:paraId="4849EA46" w14:textId="5A22DC8A" w:rsidR="00FE19D1" w:rsidRDefault="00FE19D1" w:rsidP="00792625">
      <w:pPr>
        <w:spacing w:line="360" w:lineRule="auto"/>
        <w:jc w:val="both"/>
        <w:rPr>
          <w:rFonts w:ascii="Arial" w:eastAsia="Calibri" w:hAnsi="Arial" w:cs="Arial"/>
          <w:kern w:val="0"/>
          <w:sz w:val="24"/>
          <w:szCs w:val="24"/>
          <w14:ligatures w14:val="none"/>
        </w:rPr>
      </w:pPr>
      <w:r w:rsidRPr="00FE19D1">
        <w:rPr>
          <w:rFonts w:ascii="Arial" w:eastAsia="Calibri" w:hAnsi="Arial" w:cs="Arial"/>
          <w:kern w:val="0"/>
          <w:sz w:val="24"/>
          <w:szCs w:val="24"/>
          <w14:ligatures w14:val="none"/>
        </w:rPr>
        <w:t xml:space="preserve">Bathurst, R. and Eweje, G. (2017) </w:t>
      </w:r>
      <w:r w:rsidRPr="00FE19D1">
        <w:rPr>
          <w:rFonts w:ascii="Arial" w:eastAsia="Calibri" w:hAnsi="Arial" w:cs="Arial"/>
          <w:i/>
          <w:iCs/>
          <w:kern w:val="0"/>
          <w:sz w:val="24"/>
          <w:szCs w:val="24"/>
          <w14:ligatures w14:val="none"/>
        </w:rPr>
        <w:t>CSR, sustainability, and leadership</w:t>
      </w:r>
      <w:r w:rsidRPr="00FE19D1">
        <w:rPr>
          <w:rFonts w:ascii="Arial" w:eastAsia="Calibri" w:hAnsi="Arial" w:cs="Arial"/>
          <w:kern w:val="0"/>
          <w:sz w:val="24"/>
          <w:szCs w:val="24"/>
          <w14:ligatures w14:val="none"/>
        </w:rPr>
        <w:t>. New York: Routledge.</w:t>
      </w:r>
    </w:p>
    <w:p w14:paraId="301DF826" w14:textId="2AACF544" w:rsidR="00600944" w:rsidRDefault="00600944" w:rsidP="00792625">
      <w:pPr>
        <w:spacing w:line="360" w:lineRule="auto"/>
        <w:jc w:val="both"/>
        <w:rPr>
          <w:rFonts w:ascii="Arial" w:eastAsia="Calibri" w:hAnsi="Arial" w:cs="Arial"/>
          <w:kern w:val="0"/>
          <w:sz w:val="24"/>
          <w:szCs w:val="24"/>
          <w14:ligatures w14:val="none"/>
        </w:rPr>
      </w:pPr>
      <w:r w:rsidRPr="00600944">
        <w:rPr>
          <w:rFonts w:ascii="Arial" w:eastAsia="Calibri" w:hAnsi="Arial" w:cs="Arial"/>
          <w:kern w:val="0"/>
          <w:sz w:val="24"/>
          <w:szCs w:val="24"/>
          <w14:ligatures w14:val="none"/>
        </w:rPr>
        <w:t xml:space="preserve">Bhargava, A. and Ligade, P. (2023) ‘Corporate social responsibility (CSR) and sustainability – a scientometric analysis of the interrelationship’, </w:t>
      </w:r>
      <w:r w:rsidRPr="00600944">
        <w:rPr>
          <w:rFonts w:ascii="Arial" w:eastAsia="Calibri" w:hAnsi="Arial" w:cs="Arial"/>
          <w:i/>
          <w:iCs/>
          <w:kern w:val="0"/>
          <w:sz w:val="24"/>
          <w:szCs w:val="24"/>
          <w14:ligatures w14:val="none"/>
        </w:rPr>
        <w:t xml:space="preserve">Journal of Indian business research, </w:t>
      </w:r>
      <w:r w:rsidRPr="00600944">
        <w:rPr>
          <w:rFonts w:ascii="Arial" w:eastAsia="Calibri" w:hAnsi="Arial" w:cs="Arial"/>
          <w:kern w:val="0"/>
          <w:sz w:val="24"/>
          <w:szCs w:val="24"/>
          <w14:ligatures w14:val="none"/>
        </w:rPr>
        <w:t>15(1), pp. 110–124.</w:t>
      </w:r>
    </w:p>
    <w:p w14:paraId="53AD97CC" w14:textId="7EB7F3BF" w:rsidR="00906D48" w:rsidRDefault="00906D48" w:rsidP="00792625">
      <w:pPr>
        <w:spacing w:line="360" w:lineRule="auto"/>
        <w:jc w:val="both"/>
        <w:rPr>
          <w:rFonts w:ascii="Arial" w:eastAsia="Calibri" w:hAnsi="Arial" w:cs="Arial"/>
          <w:kern w:val="0"/>
          <w:sz w:val="24"/>
          <w:szCs w:val="24"/>
          <w14:ligatures w14:val="none"/>
        </w:rPr>
      </w:pPr>
      <w:r w:rsidRPr="00906D48">
        <w:rPr>
          <w:rFonts w:ascii="Arial" w:eastAsia="Calibri" w:hAnsi="Arial" w:cs="Arial"/>
          <w:kern w:val="0"/>
          <w:sz w:val="24"/>
          <w:szCs w:val="24"/>
          <w14:ligatures w14:val="none"/>
        </w:rPr>
        <w:t>Chatterjee, S., Chaudhuri, R. and Vrontis, D. (2023) ‘Investigating the impacts of microlevel CSR activities on firm sustainability: mediating role of CSR performance and moderating role of top management support’, Cross cultural &amp; strategic management, 30(1), pp. 123–141.</w:t>
      </w:r>
    </w:p>
    <w:p w14:paraId="1C829C52" w14:textId="35B74A63" w:rsidR="00792625" w:rsidRDefault="001A654F" w:rsidP="00792625">
      <w:pPr>
        <w:spacing w:line="360" w:lineRule="auto"/>
        <w:jc w:val="both"/>
        <w:rPr>
          <w:rFonts w:ascii="Arial" w:eastAsia="Calibri" w:hAnsi="Arial" w:cs="Arial"/>
          <w:kern w:val="0"/>
          <w:sz w:val="24"/>
          <w:szCs w:val="24"/>
          <w14:ligatures w14:val="none"/>
        </w:rPr>
      </w:pPr>
      <w:r w:rsidRPr="001A654F">
        <w:rPr>
          <w:rFonts w:ascii="Arial" w:eastAsia="Calibri" w:hAnsi="Arial" w:cs="Arial"/>
          <w:kern w:val="0"/>
          <w:sz w:val="24"/>
          <w:szCs w:val="24"/>
          <w14:ligatures w14:val="none"/>
        </w:rPr>
        <w:t xml:space="preserve">Christensen, H.B., Hail, L. and Leuz, C. (2021) ‘Mandatory CSR and sustainability reporting: economic analysis and literature review’, </w:t>
      </w:r>
      <w:r w:rsidRPr="001A654F">
        <w:rPr>
          <w:rFonts w:ascii="Arial" w:eastAsia="Calibri" w:hAnsi="Arial" w:cs="Arial"/>
          <w:i/>
          <w:iCs/>
          <w:kern w:val="0"/>
          <w:sz w:val="24"/>
          <w:szCs w:val="24"/>
          <w14:ligatures w14:val="none"/>
        </w:rPr>
        <w:t>Review of accounting studies</w:t>
      </w:r>
      <w:r w:rsidRPr="001A654F">
        <w:rPr>
          <w:rFonts w:ascii="Arial" w:eastAsia="Calibri" w:hAnsi="Arial" w:cs="Arial"/>
          <w:kern w:val="0"/>
          <w:sz w:val="24"/>
          <w:szCs w:val="24"/>
          <w14:ligatures w14:val="none"/>
        </w:rPr>
        <w:t>, 26(3), pp. 1176–1248.</w:t>
      </w:r>
    </w:p>
    <w:p w14:paraId="7E7C4CDD" w14:textId="5F89F9A7" w:rsidR="00D63704" w:rsidRDefault="00D63704" w:rsidP="00792625">
      <w:pPr>
        <w:spacing w:line="360" w:lineRule="auto"/>
        <w:jc w:val="both"/>
        <w:rPr>
          <w:rFonts w:ascii="Arial" w:eastAsia="Calibri" w:hAnsi="Arial" w:cs="Arial"/>
          <w:kern w:val="0"/>
          <w:sz w:val="24"/>
          <w:szCs w:val="24"/>
          <w14:ligatures w14:val="none"/>
        </w:rPr>
      </w:pPr>
      <w:r w:rsidRPr="00D63704">
        <w:rPr>
          <w:rFonts w:ascii="Arial" w:eastAsia="Calibri" w:hAnsi="Arial" w:cs="Arial"/>
          <w:kern w:val="0"/>
          <w:sz w:val="24"/>
          <w:szCs w:val="24"/>
          <w14:ligatures w14:val="none"/>
        </w:rPr>
        <w:t xml:space="preserve">Christensen, L.J. et al. (2007) ‘Ethics, CSR, and Sustainability Education in the “Financial Times” Top 50 Global Business Schools: Baseline Data and Future Research Directions’, </w:t>
      </w:r>
      <w:r w:rsidRPr="00D63704">
        <w:rPr>
          <w:rFonts w:ascii="Arial" w:eastAsia="Calibri" w:hAnsi="Arial" w:cs="Arial"/>
          <w:i/>
          <w:iCs/>
          <w:kern w:val="0"/>
          <w:sz w:val="24"/>
          <w:szCs w:val="24"/>
          <w14:ligatures w14:val="none"/>
        </w:rPr>
        <w:t>Journal of business ethics</w:t>
      </w:r>
      <w:r w:rsidRPr="00D63704">
        <w:rPr>
          <w:rFonts w:ascii="Arial" w:eastAsia="Calibri" w:hAnsi="Arial" w:cs="Arial"/>
          <w:kern w:val="0"/>
          <w:sz w:val="24"/>
          <w:szCs w:val="24"/>
          <w14:ligatures w14:val="none"/>
        </w:rPr>
        <w:t>, 73(4), pp. 347–368.</w:t>
      </w:r>
    </w:p>
    <w:p w14:paraId="3E19FDCF" w14:textId="5CF001A7" w:rsidR="00E03897" w:rsidRDefault="00E03897" w:rsidP="00792625">
      <w:pPr>
        <w:spacing w:line="360" w:lineRule="auto"/>
        <w:jc w:val="both"/>
        <w:rPr>
          <w:rFonts w:ascii="Arial" w:eastAsia="Calibri" w:hAnsi="Arial" w:cs="Arial"/>
          <w:kern w:val="0"/>
          <w:sz w:val="24"/>
          <w:szCs w:val="24"/>
          <w14:ligatures w14:val="none"/>
        </w:rPr>
      </w:pPr>
      <w:r w:rsidRPr="00E03897">
        <w:rPr>
          <w:rFonts w:ascii="Arial" w:eastAsia="Calibri" w:hAnsi="Arial" w:cs="Arial"/>
          <w:kern w:val="0"/>
          <w:sz w:val="24"/>
          <w:szCs w:val="24"/>
          <w14:ligatures w14:val="none"/>
        </w:rPr>
        <w:t>Ertuna, B., Karatas-Ozkan, M. and Yamak, S. (2019) ‘Diffusion of sustainability and CSR discourse in hospitality industry: Dynamics of local context’</w:t>
      </w:r>
      <w:r w:rsidRPr="00E03897">
        <w:rPr>
          <w:rFonts w:ascii="Arial" w:eastAsia="Calibri" w:hAnsi="Arial" w:cs="Arial"/>
          <w:i/>
          <w:iCs/>
          <w:kern w:val="0"/>
          <w:sz w:val="24"/>
          <w:szCs w:val="24"/>
          <w14:ligatures w14:val="none"/>
        </w:rPr>
        <w:t>, International journal of contemporary hospitality management,</w:t>
      </w:r>
      <w:r w:rsidRPr="00E03897">
        <w:rPr>
          <w:rFonts w:ascii="Arial" w:eastAsia="Calibri" w:hAnsi="Arial" w:cs="Arial"/>
          <w:kern w:val="0"/>
          <w:sz w:val="24"/>
          <w:szCs w:val="24"/>
          <w14:ligatures w14:val="none"/>
        </w:rPr>
        <w:t xml:space="preserve"> 31(6), pp. 2564–2581.</w:t>
      </w:r>
    </w:p>
    <w:p w14:paraId="24E6F125" w14:textId="3FAFA5D2" w:rsidR="005F2A86" w:rsidRDefault="005F2A86" w:rsidP="00792625">
      <w:pPr>
        <w:spacing w:line="360" w:lineRule="auto"/>
        <w:jc w:val="both"/>
        <w:rPr>
          <w:rFonts w:ascii="Arial" w:eastAsia="Calibri" w:hAnsi="Arial" w:cs="Arial"/>
          <w:kern w:val="0"/>
          <w:sz w:val="24"/>
          <w:szCs w:val="24"/>
          <w14:ligatures w14:val="none"/>
        </w:rPr>
      </w:pPr>
      <w:r w:rsidRPr="005F2A86">
        <w:rPr>
          <w:rFonts w:ascii="Arial" w:eastAsia="Calibri" w:hAnsi="Arial" w:cs="Arial"/>
          <w:kern w:val="0"/>
          <w:sz w:val="24"/>
          <w:szCs w:val="24"/>
          <w14:ligatures w14:val="none"/>
        </w:rPr>
        <w:t xml:space="preserve">Guliani, L.K. and Rizwan, S.A. (eds) (2016) </w:t>
      </w:r>
      <w:r w:rsidRPr="005F2A86">
        <w:rPr>
          <w:rFonts w:ascii="Arial" w:eastAsia="Calibri" w:hAnsi="Arial" w:cs="Arial"/>
          <w:i/>
          <w:iCs/>
          <w:kern w:val="0"/>
          <w:sz w:val="24"/>
          <w:szCs w:val="24"/>
          <w14:ligatures w14:val="none"/>
        </w:rPr>
        <w:t>Corporate social responsibility in the hospitality and tourism industry.</w:t>
      </w:r>
      <w:r w:rsidRPr="005F2A86">
        <w:rPr>
          <w:rFonts w:ascii="Arial" w:eastAsia="Calibri" w:hAnsi="Arial" w:cs="Arial"/>
          <w:kern w:val="0"/>
          <w:sz w:val="24"/>
          <w:szCs w:val="24"/>
          <w14:ligatures w14:val="none"/>
        </w:rPr>
        <w:t xml:space="preserve"> Hershey, PA: Business Science Reference, an imprint of IGI Global.</w:t>
      </w:r>
    </w:p>
    <w:p w14:paraId="5DAD9926" w14:textId="1FA20001" w:rsidR="00792625" w:rsidRDefault="00C36594" w:rsidP="00792625">
      <w:pPr>
        <w:spacing w:line="360" w:lineRule="auto"/>
        <w:jc w:val="both"/>
        <w:rPr>
          <w:rFonts w:ascii="Arial" w:eastAsia="Calibri" w:hAnsi="Arial" w:cs="Arial"/>
          <w:kern w:val="0"/>
          <w:sz w:val="24"/>
          <w:szCs w:val="24"/>
          <w14:ligatures w14:val="none"/>
        </w:rPr>
      </w:pPr>
      <w:r w:rsidRPr="00C36594">
        <w:rPr>
          <w:rFonts w:ascii="Arial" w:eastAsia="Calibri" w:hAnsi="Arial" w:cs="Arial"/>
          <w:kern w:val="0"/>
          <w:sz w:val="24"/>
          <w:szCs w:val="24"/>
          <w14:ligatures w14:val="none"/>
        </w:rPr>
        <w:t>Haski-Leventhal, D. (2018)</w:t>
      </w:r>
      <w:r w:rsidRPr="00C36594">
        <w:rPr>
          <w:rFonts w:ascii="Arial" w:eastAsia="Calibri" w:hAnsi="Arial" w:cs="Arial"/>
          <w:i/>
          <w:iCs/>
          <w:kern w:val="0"/>
          <w:sz w:val="24"/>
          <w:szCs w:val="24"/>
          <w14:ligatures w14:val="none"/>
        </w:rPr>
        <w:t xml:space="preserve"> Strategic corporate social responsibility : tools &amp; theories for responsible management.</w:t>
      </w:r>
      <w:r w:rsidRPr="00C36594">
        <w:rPr>
          <w:rFonts w:ascii="Arial" w:eastAsia="Calibri" w:hAnsi="Arial" w:cs="Arial"/>
          <w:kern w:val="0"/>
          <w:sz w:val="24"/>
          <w:szCs w:val="24"/>
          <w14:ligatures w14:val="none"/>
        </w:rPr>
        <w:t xml:space="preserve"> London: SAGE.</w:t>
      </w:r>
    </w:p>
    <w:p w14:paraId="444CE732" w14:textId="73638533" w:rsidR="00516B40" w:rsidRDefault="00516B40" w:rsidP="00792625">
      <w:pPr>
        <w:spacing w:line="360" w:lineRule="auto"/>
        <w:jc w:val="both"/>
        <w:rPr>
          <w:rFonts w:ascii="Arial" w:eastAsia="Calibri" w:hAnsi="Arial" w:cs="Arial"/>
          <w:kern w:val="0"/>
          <w:sz w:val="24"/>
          <w:szCs w:val="24"/>
          <w14:ligatures w14:val="none"/>
        </w:rPr>
      </w:pPr>
      <w:r w:rsidRPr="00516B40">
        <w:rPr>
          <w:rFonts w:ascii="Arial" w:eastAsia="Calibri" w:hAnsi="Arial" w:cs="Arial"/>
          <w:kern w:val="0"/>
          <w:sz w:val="24"/>
          <w:szCs w:val="24"/>
          <w14:ligatures w14:val="none"/>
        </w:rPr>
        <w:t xml:space="preserve">Haski-Leventhal, D. (2022) ‘Editorial: The role of CSR leadership’, </w:t>
      </w:r>
      <w:r w:rsidRPr="00516B40">
        <w:rPr>
          <w:rFonts w:ascii="Arial" w:eastAsia="Calibri" w:hAnsi="Arial" w:cs="Arial"/>
          <w:i/>
          <w:iCs/>
          <w:kern w:val="0"/>
          <w:sz w:val="24"/>
          <w:szCs w:val="24"/>
          <w14:ligatures w14:val="none"/>
        </w:rPr>
        <w:t>Society and business review,</w:t>
      </w:r>
      <w:r w:rsidRPr="00516B40">
        <w:rPr>
          <w:rFonts w:ascii="Arial" w:eastAsia="Calibri" w:hAnsi="Arial" w:cs="Arial"/>
          <w:kern w:val="0"/>
          <w:sz w:val="24"/>
          <w:szCs w:val="24"/>
          <w14:ligatures w14:val="none"/>
        </w:rPr>
        <w:t xml:space="preserve"> 17(2), pp. 157–159. </w:t>
      </w:r>
    </w:p>
    <w:p w14:paraId="255B7624" w14:textId="2E1C0263" w:rsidR="00AF2D1A" w:rsidRDefault="00AF2D1A" w:rsidP="00792625">
      <w:pPr>
        <w:spacing w:line="360" w:lineRule="auto"/>
        <w:jc w:val="both"/>
        <w:rPr>
          <w:rFonts w:ascii="Arial" w:eastAsia="Calibri" w:hAnsi="Arial" w:cs="Arial"/>
          <w:kern w:val="0"/>
          <w:sz w:val="24"/>
          <w:szCs w:val="24"/>
          <w14:ligatures w14:val="none"/>
        </w:rPr>
      </w:pPr>
      <w:r w:rsidRPr="00AF2D1A">
        <w:rPr>
          <w:rFonts w:ascii="Arial" w:eastAsia="Calibri" w:hAnsi="Arial" w:cs="Arial"/>
          <w:kern w:val="0"/>
          <w:sz w:val="24"/>
          <w:szCs w:val="24"/>
          <w14:ligatures w14:val="none"/>
        </w:rPr>
        <w:t xml:space="preserve">Haski-Leventhal, D. (2022) </w:t>
      </w:r>
      <w:r w:rsidRPr="00AF2D1A">
        <w:rPr>
          <w:rFonts w:ascii="Arial" w:eastAsia="Calibri" w:hAnsi="Arial" w:cs="Arial"/>
          <w:i/>
          <w:iCs/>
          <w:kern w:val="0"/>
          <w:sz w:val="24"/>
          <w:szCs w:val="24"/>
          <w14:ligatures w14:val="none"/>
        </w:rPr>
        <w:t>Strategic corporate social responsibility : a holistic approach to responsible &amp; sustainable business</w:t>
      </w:r>
      <w:r w:rsidRPr="00AF2D1A">
        <w:rPr>
          <w:rFonts w:ascii="Arial" w:eastAsia="Calibri" w:hAnsi="Arial" w:cs="Arial"/>
          <w:kern w:val="0"/>
          <w:sz w:val="24"/>
          <w:szCs w:val="24"/>
          <w14:ligatures w14:val="none"/>
        </w:rPr>
        <w:t>. Second edition. Los Angeles: SAGE.</w:t>
      </w:r>
    </w:p>
    <w:p w14:paraId="7933B636" w14:textId="6D636FED" w:rsidR="00886E97" w:rsidRDefault="00886E97" w:rsidP="00792625">
      <w:pPr>
        <w:spacing w:line="360" w:lineRule="auto"/>
        <w:jc w:val="both"/>
        <w:rPr>
          <w:rFonts w:ascii="Arial" w:eastAsia="Calibri" w:hAnsi="Arial" w:cs="Arial"/>
          <w:kern w:val="0"/>
          <w:sz w:val="24"/>
          <w:szCs w:val="24"/>
          <w14:ligatures w14:val="none"/>
        </w:rPr>
      </w:pPr>
      <w:r w:rsidRPr="00886E97">
        <w:rPr>
          <w:rFonts w:ascii="Arial" w:eastAsia="Calibri" w:hAnsi="Arial" w:cs="Arial"/>
          <w:kern w:val="0"/>
          <w:sz w:val="24"/>
          <w:szCs w:val="24"/>
          <w14:ligatures w14:val="none"/>
        </w:rPr>
        <w:lastRenderedPageBreak/>
        <w:t xml:space="preserve">Idowu, S.O. and Vertigans, Stephen. (eds) (2017) </w:t>
      </w:r>
      <w:r w:rsidRPr="00886E97">
        <w:rPr>
          <w:rFonts w:ascii="Arial" w:eastAsia="Calibri" w:hAnsi="Arial" w:cs="Arial"/>
          <w:i/>
          <w:iCs/>
          <w:kern w:val="0"/>
          <w:sz w:val="24"/>
          <w:szCs w:val="24"/>
          <w14:ligatures w14:val="none"/>
        </w:rPr>
        <w:t>Stages of Corporate Social Responsibility From Ideas to Impacts</w:t>
      </w:r>
      <w:r w:rsidRPr="00886E97">
        <w:rPr>
          <w:rFonts w:ascii="Arial" w:eastAsia="Calibri" w:hAnsi="Arial" w:cs="Arial"/>
          <w:kern w:val="0"/>
          <w:sz w:val="24"/>
          <w:szCs w:val="24"/>
          <w14:ligatures w14:val="none"/>
        </w:rPr>
        <w:t>. 1st ed. 2017. Cham: Springer International Publishing.</w:t>
      </w:r>
    </w:p>
    <w:p w14:paraId="47F5EA81" w14:textId="5971AE58" w:rsidR="00D721B6" w:rsidRDefault="00D721B6" w:rsidP="00792625">
      <w:pPr>
        <w:spacing w:line="360" w:lineRule="auto"/>
        <w:jc w:val="both"/>
        <w:rPr>
          <w:rFonts w:ascii="Arial" w:eastAsia="Calibri" w:hAnsi="Arial" w:cs="Arial"/>
          <w:kern w:val="0"/>
          <w:sz w:val="24"/>
          <w:szCs w:val="24"/>
          <w14:ligatures w14:val="none"/>
        </w:rPr>
      </w:pPr>
      <w:r w:rsidRPr="00D721B6">
        <w:rPr>
          <w:rFonts w:ascii="Arial" w:eastAsia="Calibri" w:hAnsi="Arial" w:cs="Arial"/>
          <w:kern w:val="0"/>
          <w:sz w:val="24"/>
          <w:szCs w:val="24"/>
          <w14:ligatures w14:val="none"/>
        </w:rPr>
        <w:t xml:space="preserve">Kaur, P. et al. (2022) ‘Corporate social responsibility (CSR) and hospitality sector: Charting new frontiers for restaurant businesses’, </w:t>
      </w:r>
      <w:r w:rsidRPr="00D721B6">
        <w:rPr>
          <w:rFonts w:ascii="Arial" w:eastAsia="Calibri" w:hAnsi="Arial" w:cs="Arial"/>
          <w:i/>
          <w:iCs/>
          <w:kern w:val="0"/>
          <w:sz w:val="24"/>
          <w:szCs w:val="24"/>
          <w14:ligatures w14:val="none"/>
        </w:rPr>
        <w:t>Journal of business research</w:t>
      </w:r>
      <w:r w:rsidRPr="00D721B6">
        <w:rPr>
          <w:rFonts w:ascii="Arial" w:eastAsia="Calibri" w:hAnsi="Arial" w:cs="Arial"/>
          <w:kern w:val="0"/>
          <w:sz w:val="24"/>
          <w:szCs w:val="24"/>
          <w14:ligatures w14:val="none"/>
        </w:rPr>
        <w:t>, 144, pp. 1234–1248.</w:t>
      </w:r>
    </w:p>
    <w:p w14:paraId="4AD6E52A" w14:textId="6AB54A72" w:rsidR="00C601CA" w:rsidRDefault="00C601CA" w:rsidP="00792625">
      <w:pPr>
        <w:spacing w:line="360" w:lineRule="auto"/>
        <w:jc w:val="both"/>
        <w:rPr>
          <w:rFonts w:ascii="Arial" w:eastAsia="Calibri" w:hAnsi="Arial" w:cs="Arial"/>
          <w:kern w:val="0"/>
          <w:sz w:val="24"/>
          <w:szCs w:val="24"/>
          <w14:ligatures w14:val="none"/>
        </w:rPr>
      </w:pPr>
      <w:r w:rsidRPr="00C601CA">
        <w:rPr>
          <w:rFonts w:ascii="Arial" w:eastAsia="Calibri" w:hAnsi="Arial" w:cs="Arial"/>
          <w:kern w:val="0"/>
          <w:sz w:val="24"/>
          <w:szCs w:val="24"/>
          <w14:ligatures w14:val="none"/>
        </w:rPr>
        <w:t xml:space="preserve">Khatter, A. et al. (2019) ‘Analysis of hotels’ environmentally sustainable policies and practices: Sustainability and corporate social responsibility in hospitality and tourism’, </w:t>
      </w:r>
      <w:r w:rsidRPr="00C601CA">
        <w:rPr>
          <w:rFonts w:ascii="Arial" w:eastAsia="Calibri" w:hAnsi="Arial" w:cs="Arial"/>
          <w:i/>
          <w:iCs/>
          <w:kern w:val="0"/>
          <w:sz w:val="24"/>
          <w:szCs w:val="24"/>
          <w14:ligatures w14:val="none"/>
        </w:rPr>
        <w:t>International journal of contemporary hospitality management,</w:t>
      </w:r>
      <w:r w:rsidRPr="00C601CA">
        <w:rPr>
          <w:rFonts w:ascii="Arial" w:eastAsia="Calibri" w:hAnsi="Arial" w:cs="Arial"/>
          <w:kern w:val="0"/>
          <w:sz w:val="24"/>
          <w:szCs w:val="24"/>
          <w14:ligatures w14:val="none"/>
        </w:rPr>
        <w:t xml:space="preserve"> 31(6), pp. 2394–2410.</w:t>
      </w:r>
    </w:p>
    <w:p w14:paraId="5B6D239B" w14:textId="5DACD792" w:rsidR="009D123A" w:rsidRDefault="009D123A" w:rsidP="00792625">
      <w:pPr>
        <w:spacing w:line="360" w:lineRule="auto"/>
        <w:jc w:val="both"/>
        <w:rPr>
          <w:rFonts w:ascii="Arial" w:eastAsia="Calibri" w:hAnsi="Arial" w:cs="Arial"/>
          <w:kern w:val="0"/>
          <w:sz w:val="24"/>
          <w:szCs w:val="24"/>
          <w14:ligatures w14:val="none"/>
        </w:rPr>
      </w:pPr>
      <w:r w:rsidRPr="009D123A">
        <w:rPr>
          <w:rFonts w:ascii="Arial" w:eastAsia="Calibri" w:hAnsi="Arial" w:cs="Arial"/>
          <w:kern w:val="0"/>
          <w:sz w:val="24"/>
          <w:szCs w:val="24"/>
          <w14:ligatures w14:val="none"/>
        </w:rPr>
        <w:t xml:space="preserve">Laasch, O. (2021) </w:t>
      </w:r>
      <w:r w:rsidRPr="00F76816">
        <w:rPr>
          <w:rFonts w:ascii="Arial" w:eastAsia="Calibri" w:hAnsi="Arial" w:cs="Arial"/>
          <w:i/>
          <w:iCs/>
          <w:kern w:val="0"/>
          <w:sz w:val="24"/>
          <w:szCs w:val="24"/>
          <w14:ligatures w14:val="none"/>
        </w:rPr>
        <w:t>Principles of management : practicing ethics, responsibility, sustainability.</w:t>
      </w:r>
      <w:r w:rsidRPr="009D123A">
        <w:rPr>
          <w:rFonts w:ascii="Arial" w:eastAsia="Calibri" w:hAnsi="Arial" w:cs="Arial"/>
          <w:kern w:val="0"/>
          <w:sz w:val="24"/>
          <w:szCs w:val="24"/>
          <w14:ligatures w14:val="none"/>
        </w:rPr>
        <w:t xml:space="preserve"> Second edition. London: SAGE.</w:t>
      </w:r>
    </w:p>
    <w:p w14:paraId="10C3203C" w14:textId="76ACBA1F" w:rsidR="00792625" w:rsidRDefault="00EE6CE8" w:rsidP="00792625">
      <w:pPr>
        <w:spacing w:line="360" w:lineRule="auto"/>
        <w:jc w:val="both"/>
        <w:rPr>
          <w:rFonts w:ascii="Arial" w:eastAsia="Calibri" w:hAnsi="Arial" w:cs="Arial"/>
          <w:kern w:val="0"/>
          <w:sz w:val="24"/>
          <w:szCs w:val="24"/>
          <w14:ligatures w14:val="none"/>
        </w:rPr>
      </w:pPr>
      <w:r w:rsidRPr="00EE6CE8">
        <w:rPr>
          <w:rFonts w:ascii="Arial" w:eastAsia="Calibri" w:hAnsi="Arial" w:cs="Arial"/>
          <w:kern w:val="0"/>
          <w:sz w:val="24"/>
          <w:szCs w:val="24"/>
          <w14:ligatures w14:val="none"/>
        </w:rPr>
        <w:t xml:space="preserve">Lee, S.Y., Zhang, W. and Abitbol, A. (2019) ‘What Makes CSR Communication Lead to CSR Participation? Testing the Mediating Effects of CSR Associations, CSR Credibility, and Organization-Public Relationships’, </w:t>
      </w:r>
      <w:r w:rsidRPr="005775E9">
        <w:rPr>
          <w:rFonts w:ascii="Arial" w:eastAsia="Calibri" w:hAnsi="Arial" w:cs="Arial"/>
          <w:i/>
          <w:iCs/>
          <w:kern w:val="0"/>
          <w:sz w:val="24"/>
          <w:szCs w:val="24"/>
          <w14:ligatures w14:val="none"/>
        </w:rPr>
        <w:t>Journal of business ethics,</w:t>
      </w:r>
      <w:r w:rsidRPr="00EE6CE8">
        <w:rPr>
          <w:rFonts w:ascii="Arial" w:eastAsia="Calibri" w:hAnsi="Arial" w:cs="Arial"/>
          <w:kern w:val="0"/>
          <w:sz w:val="24"/>
          <w:szCs w:val="24"/>
          <w14:ligatures w14:val="none"/>
        </w:rPr>
        <w:t xml:space="preserve"> 157(2), pp. 413–429. </w:t>
      </w:r>
    </w:p>
    <w:p w14:paraId="543A3D1A" w14:textId="341E38F2" w:rsidR="00FB004C" w:rsidRDefault="00FB004C" w:rsidP="00792625">
      <w:pPr>
        <w:spacing w:line="360" w:lineRule="auto"/>
        <w:jc w:val="both"/>
        <w:rPr>
          <w:rFonts w:ascii="Arial" w:eastAsia="Calibri" w:hAnsi="Arial" w:cs="Arial"/>
          <w:kern w:val="0"/>
          <w:sz w:val="24"/>
          <w:szCs w:val="24"/>
          <w14:ligatures w14:val="none"/>
        </w:rPr>
      </w:pPr>
      <w:r w:rsidRPr="00FB004C">
        <w:rPr>
          <w:rFonts w:ascii="Arial" w:eastAsia="Calibri" w:hAnsi="Arial" w:cs="Arial"/>
          <w:kern w:val="0"/>
          <w:sz w:val="24"/>
          <w:szCs w:val="24"/>
          <w14:ligatures w14:val="none"/>
        </w:rPr>
        <w:t xml:space="preserve">Perez, A. (ed.) (2022) </w:t>
      </w:r>
      <w:r w:rsidRPr="00FB004C">
        <w:rPr>
          <w:rFonts w:ascii="Arial" w:eastAsia="Calibri" w:hAnsi="Arial" w:cs="Arial"/>
          <w:i/>
          <w:iCs/>
          <w:kern w:val="0"/>
          <w:sz w:val="24"/>
          <w:szCs w:val="24"/>
          <w14:ligatures w14:val="none"/>
        </w:rPr>
        <w:t>Future advancements for CSR and the sustainable development goals in a post-COVID-19 world</w:t>
      </w:r>
      <w:r w:rsidRPr="00FB004C">
        <w:rPr>
          <w:rFonts w:ascii="Arial" w:eastAsia="Calibri" w:hAnsi="Arial" w:cs="Arial"/>
          <w:kern w:val="0"/>
          <w:sz w:val="24"/>
          <w:szCs w:val="24"/>
          <w14:ligatures w14:val="none"/>
        </w:rPr>
        <w:t>. Hershey, Pennsylvania: Business Science Reference.</w:t>
      </w:r>
    </w:p>
    <w:p w14:paraId="3B8B2AA1" w14:textId="17813E28" w:rsidR="00CA1DAD" w:rsidRDefault="00CA1DAD" w:rsidP="00792625">
      <w:pPr>
        <w:spacing w:line="360" w:lineRule="auto"/>
        <w:jc w:val="both"/>
        <w:rPr>
          <w:rFonts w:ascii="Arial" w:eastAsia="Calibri" w:hAnsi="Arial" w:cs="Arial"/>
          <w:kern w:val="0"/>
          <w:sz w:val="24"/>
          <w:szCs w:val="24"/>
          <w14:ligatures w14:val="none"/>
        </w:rPr>
      </w:pPr>
      <w:r w:rsidRPr="00CA1DAD">
        <w:rPr>
          <w:rFonts w:ascii="Arial" w:eastAsia="Calibri" w:hAnsi="Arial" w:cs="Arial"/>
          <w:kern w:val="0"/>
          <w:sz w:val="24"/>
          <w:szCs w:val="24"/>
          <w14:ligatures w14:val="none"/>
        </w:rPr>
        <w:t xml:space="preserve">Oncioiu, I. (ed.) (2021) </w:t>
      </w:r>
      <w:r w:rsidRPr="00336826">
        <w:rPr>
          <w:rFonts w:ascii="Arial" w:eastAsia="Calibri" w:hAnsi="Arial" w:cs="Arial"/>
          <w:i/>
          <w:iCs/>
          <w:kern w:val="0"/>
          <w:sz w:val="24"/>
          <w:szCs w:val="24"/>
          <w14:ligatures w14:val="none"/>
        </w:rPr>
        <w:t>CSR and management accounting challenges in a time of global crises</w:t>
      </w:r>
      <w:r w:rsidRPr="00CA1DAD">
        <w:rPr>
          <w:rFonts w:ascii="Arial" w:eastAsia="Calibri" w:hAnsi="Arial" w:cs="Arial"/>
          <w:kern w:val="0"/>
          <w:sz w:val="24"/>
          <w:szCs w:val="24"/>
          <w14:ligatures w14:val="none"/>
        </w:rPr>
        <w:t xml:space="preserve">. Hershey, Pennsylvania: Business Science Reference. </w:t>
      </w:r>
    </w:p>
    <w:p w14:paraId="75C49907" w14:textId="272C1993" w:rsidR="00772A9E" w:rsidRDefault="00772A9E" w:rsidP="00792625">
      <w:pPr>
        <w:spacing w:line="360" w:lineRule="auto"/>
        <w:jc w:val="both"/>
        <w:rPr>
          <w:rFonts w:ascii="Arial" w:eastAsia="Calibri" w:hAnsi="Arial" w:cs="Arial"/>
          <w:kern w:val="0"/>
          <w:sz w:val="24"/>
          <w:szCs w:val="24"/>
          <w14:ligatures w14:val="none"/>
        </w:rPr>
      </w:pPr>
      <w:r w:rsidRPr="00772A9E">
        <w:rPr>
          <w:rFonts w:ascii="Arial" w:eastAsia="Calibri" w:hAnsi="Arial" w:cs="Arial"/>
          <w:kern w:val="0"/>
          <w:sz w:val="24"/>
          <w:szCs w:val="24"/>
          <w14:ligatures w14:val="none"/>
        </w:rPr>
        <w:t xml:space="preserve">Sánchez-Teba, E.M. et al. (2021) </w:t>
      </w:r>
      <w:r w:rsidRPr="00772A9E">
        <w:rPr>
          <w:rFonts w:ascii="Arial" w:eastAsia="Calibri" w:hAnsi="Arial" w:cs="Arial"/>
          <w:i/>
          <w:iCs/>
          <w:kern w:val="0"/>
          <w:sz w:val="24"/>
          <w:szCs w:val="24"/>
          <w14:ligatures w14:val="none"/>
        </w:rPr>
        <w:t>‘Mapping the Knowledge of CSR and Sustainability’</w:t>
      </w:r>
      <w:r w:rsidRPr="00772A9E">
        <w:rPr>
          <w:rFonts w:ascii="Arial" w:eastAsia="Calibri" w:hAnsi="Arial" w:cs="Arial"/>
          <w:kern w:val="0"/>
          <w:sz w:val="24"/>
          <w:szCs w:val="24"/>
          <w14:ligatures w14:val="none"/>
        </w:rPr>
        <w:t>, Sustainability (Basel, Switzerland), 13(18), pp. 10106-</w:t>
      </w:r>
    </w:p>
    <w:p w14:paraId="661A5E15" w14:textId="1E6DCFAB" w:rsidR="00EA0A76" w:rsidRDefault="00EA0A76" w:rsidP="00792625">
      <w:pPr>
        <w:spacing w:line="360" w:lineRule="auto"/>
        <w:jc w:val="both"/>
        <w:rPr>
          <w:rFonts w:ascii="Arial" w:eastAsia="Calibri" w:hAnsi="Arial" w:cs="Arial"/>
          <w:kern w:val="0"/>
          <w:sz w:val="24"/>
          <w:szCs w:val="24"/>
          <w14:ligatures w14:val="none"/>
        </w:rPr>
      </w:pPr>
      <w:r w:rsidRPr="00EA0A76">
        <w:rPr>
          <w:rFonts w:ascii="Arial" w:eastAsia="Calibri" w:hAnsi="Arial" w:cs="Arial"/>
          <w:kern w:val="0"/>
          <w:sz w:val="24"/>
          <w:szCs w:val="24"/>
          <w14:ligatures w14:val="none"/>
        </w:rPr>
        <w:t xml:space="preserve">Sardana, D. et al. (2020) ‘CSR “sustainability” practices and firm performance in an emerging economy’, </w:t>
      </w:r>
      <w:r w:rsidRPr="00EA0A76">
        <w:rPr>
          <w:rFonts w:ascii="Arial" w:eastAsia="Calibri" w:hAnsi="Arial" w:cs="Arial"/>
          <w:i/>
          <w:iCs/>
          <w:kern w:val="0"/>
          <w:sz w:val="24"/>
          <w:szCs w:val="24"/>
          <w14:ligatures w14:val="none"/>
        </w:rPr>
        <w:t>Journal of cleaner production</w:t>
      </w:r>
      <w:r w:rsidRPr="00EA0A76">
        <w:rPr>
          <w:rFonts w:ascii="Arial" w:eastAsia="Calibri" w:hAnsi="Arial" w:cs="Arial"/>
          <w:kern w:val="0"/>
          <w:sz w:val="24"/>
          <w:szCs w:val="24"/>
          <w14:ligatures w14:val="none"/>
        </w:rPr>
        <w:t>, 258, pp. 120766-</w:t>
      </w:r>
    </w:p>
    <w:p w14:paraId="64E1E42B" w14:textId="6F3F2FD1" w:rsidR="00A14371" w:rsidRDefault="00A14371" w:rsidP="00792625">
      <w:pPr>
        <w:spacing w:line="360" w:lineRule="auto"/>
        <w:jc w:val="both"/>
        <w:rPr>
          <w:rFonts w:ascii="Arial" w:eastAsia="Calibri" w:hAnsi="Arial" w:cs="Arial"/>
          <w:kern w:val="0"/>
          <w:sz w:val="24"/>
          <w:szCs w:val="24"/>
          <w14:ligatures w14:val="none"/>
        </w:rPr>
      </w:pPr>
      <w:r w:rsidRPr="00A14371">
        <w:rPr>
          <w:rFonts w:ascii="Arial" w:eastAsia="Calibri" w:hAnsi="Arial" w:cs="Arial"/>
          <w:kern w:val="0"/>
          <w:sz w:val="24"/>
          <w:szCs w:val="24"/>
          <w14:ligatures w14:val="none"/>
        </w:rPr>
        <w:t xml:space="preserve">Sloan, P., Legrand, W. and Chen, J.S. (2009) </w:t>
      </w:r>
      <w:r w:rsidRPr="00A14371">
        <w:rPr>
          <w:rFonts w:ascii="Arial" w:eastAsia="Calibri" w:hAnsi="Arial" w:cs="Arial"/>
          <w:i/>
          <w:iCs/>
          <w:kern w:val="0"/>
          <w:sz w:val="24"/>
          <w:szCs w:val="24"/>
          <w14:ligatures w14:val="none"/>
        </w:rPr>
        <w:t>Sustainability in the hospitality industry : principles of sustainable operations.</w:t>
      </w:r>
      <w:r w:rsidRPr="00A14371">
        <w:rPr>
          <w:rFonts w:ascii="Arial" w:eastAsia="Calibri" w:hAnsi="Arial" w:cs="Arial"/>
          <w:kern w:val="0"/>
          <w:sz w:val="24"/>
          <w:szCs w:val="24"/>
          <w14:ligatures w14:val="none"/>
        </w:rPr>
        <w:t xml:space="preserve"> London: Butterworth-Heinemann.</w:t>
      </w:r>
    </w:p>
    <w:p w14:paraId="3064D6F1" w14:textId="06B18FAF" w:rsidR="00792625" w:rsidRPr="0050578C" w:rsidRDefault="00792625" w:rsidP="00792625">
      <w:pPr>
        <w:spacing w:line="360" w:lineRule="auto"/>
        <w:jc w:val="both"/>
        <w:rPr>
          <w:rFonts w:ascii="Arial" w:eastAsia="Calibri" w:hAnsi="Arial" w:cs="Arial"/>
          <w:kern w:val="0"/>
          <w:sz w:val="24"/>
          <w:szCs w:val="24"/>
          <w14:ligatures w14:val="none"/>
        </w:rPr>
      </w:pPr>
      <w:r w:rsidRPr="004F5F8A">
        <w:rPr>
          <w:rFonts w:ascii="Arial" w:eastAsia="Calibri" w:hAnsi="Arial" w:cs="Arial"/>
          <w:kern w:val="0"/>
          <w:sz w:val="24"/>
          <w:szCs w:val="24"/>
          <w14:ligatures w14:val="none"/>
        </w:rPr>
        <w:t xml:space="preserve">Susila, I., et al (2024). Does interconnectivity matter? An integration model of agro-tourism development. </w:t>
      </w:r>
      <w:r w:rsidRPr="00EE6CE8">
        <w:rPr>
          <w:rFonts w:ascii="Arial" w:eastAsia="Calibri" w:hAnsi="Arial" w:cs="Arial"/>
          <w:i/>
          <w:iCs/>
          <w:kern w:val="0"/>
          <w:sz w:val="24"/>
          <w:szCs w:val="24"/>
          <w14:ligatures w14:val="none"/>
        </w:rPr>
        <w:t>Asia Pacific Management Review</w:t>
      </w:r>
      <w:r w:rsidRPr="004F5F8A">
        <w:rPr>
          <w:rFonts w:ascii="Arial" w:eastAsia="Calibri" w:hAnsi="Arial" w:cs="Arial"/>
          <w:kern w:val="0"/>
          <w:sz w:val="24"/>
          <w:szCs w:val="24"/>
          <w14:ligatures w14:val="none"/>
        </w:rPr>
        <w:t>, 29(1), 104-114.</w:t>
      </w:r>
    </w:p>
    <w:p w14:paraId="27969D31" w14:textId="77777777" w:rsidR="00792625" w:rsidRPr="0050578C" w:rsidRDefault="00792625" w:rsidP="00792625">
      <w:pPr>
        <w:spacing w:line="360" w:lineRule="auto"/>
        <w:jc w:val="both"/>
        <w:rPr>
          <w:rFonts w:ascii="Arial" w:eastAsia="Calibri" w:hAnsi="Arial" w:cs="Arial"/>
          <w:kern w:val="0"/>
          <w:sz w:val="24"/>
          <w:szCs w:val="24"/>
          <w14:ligatures w14:val="none"/>
        </w:rPr>
      </w:pPr>
    </w:p>
    <w:p w14:paraId="76781706" w14:textId="581918C5" w:rsidR="0050578C" w:rsidRPr="0050578C" w:rsidRDefault="0050578C" w:rsidP="0050578C">
      <w:pPr>
        <w:spacing w:line="360" w:lineRule="auto"/>
        <w:jc w:val="both"/>
        <w:rPr>
          <w:rFonts w:ascii="Arial" w:eastAsia="Calibri" w:hAnsi="Arial" w:cs="Arial"/>
          <w:kern w:val="0"/>
          <w:sz w:val="24"/>
          <w:szCs w:val="24"/>
          <w14:ligatures w14:val="none"/>
        </w:rPr>
      </w:pPr>
    </w:p>
    <w:sectPr w:rsidR="0050578C" w:rsidRPr="0050578C" w:rsidSect="0050578C">
      <w:pgSz w:w="11906" w:h="16838"/>
      <w:pgMar w:top="1418" w:right="1134"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78C"/>
    <w:rsid w:val="000172FF"/>
    <w:rsid w:val="000538ED"/>
    <w:rsid w:val="000B2832"/>
    <w:rsid w:val="000C7CEB"/>
    <w:rsid w:val="00142C2F"/>
    <w:rsid w:val="001455BC"/>
    <w:rsid w:val="00165F4D"/>
    <w:rsid w:val="00171CA5"/>
    <w:rsid w:val="001A4631"/>
    <w:rsid w:val="001A654F"/>
    <w:rsid w:val="001F384A"/>
    <w:rsid w:val="00210119"/>
    <w:rsid w:val="002202D9"/>
    <w:rsid w:val="00220995"/>
    <w:rsid w:val="00223C05"/>
    <w:rsid w:val="002557AA"/>
    <w:rsid w:val="002733C6"/>
    <w:rsid w:val="0028626C"/>
    <w:rsid w:val="002D3BC4"/>
    <w:rsid w:val="00312E2C"/>
    <w:rsid w:val="00336826"/>
    <w:rsid w:val="0036511F"/>
    <w:rsid w:val="003768F1"/>
    <w:rsid w:val="00392920"/>
    <w:rsid w:val="003D43A9"/>
    <w:rsid w:val="003F06DB"/>
    <w:rsid w:val="00416A03"/>
    <w:rsid w:val="00436AD8"/>
    <w:rsid w:val="00465B7E"/>
    <w:rsid w:val="00490CD7"/>
    <w:rsid w:val="004B61E6"/>
    <w:rsid w:val="004D2B85"/>
    <w:rsid w:val="004D42F1"/>
    <w:rsid w:val="004E7CB9"/>
    <w:rsid w:val="004F5F8A"/>
    <w:rsid w:val="0050578C"/>
    <w:rsid w:val="00512262"/>
    <w:rsid w:val="00516B40"/>
    <w:rsid w:val="00565FF0"/>
    <w:rsid w:val="00574011"/>
    <w:rsid w:val="005775E9"/>
    <w:rsid w:val="005D0C3A"/>
    <w:rsid w:val="005E3BF2"/>
    <w:rsid w:val="005F274B"/>
    <w:rsid w:val="005F2A86"/>
    <w:rsid w:val="00600944"/>
    <w:rsid w:val="00604648"/>
    <w:rsid w:val="00622775"/>
    <w:rsid w:val="0063653F"/>
    <w:rsid w:val="006544C3"/>
    <w:rsid w:val="00690E86"/>
    <w:rsid w:val="006C33D5"/>
    <w:rsid w:val="006C49CD"/>
    <w:rsid w:val="006C4DB7"/>
    <w:rsid w:val="006D1832"/>
    <w:rsid w:val="00700CE4"/>
    <w:rsid w:val="00734943"/>
    <w:rsid w:val="00744CED"/>
    <w:rsid w:val="00772A9E"/>
    <w:rsid w:val="00774C56"/>
    <w:rsid w:val="00780CAA"/>
    <w:rsid w:val="007906A5"/>
    <w:rsid w:val="00792625"/>
    <w:rsid w:val="007B45AA"/>
    <w:rsid w:val="007E19A7"/>
    <w:rsid w:val="007E3E1D"/>
    <w:rsid w:val="0083300F"/>
    <w:rsid w:val="008369A0"/>
    <w:rsid w:val="00840BB5"/>
    <w:rsid w:val="00864644"/>
    <w:rsid w:val="00886E97"/>
    <w:rsid w:val="008A0A05"/>
    <w:rsid w:val="008A583D"/>
    <w:rsid w:val="008C7C9B"/>
    <w:rsid w:val="008E1268"/>
    <w:rsid w:val="00906D48"/>
    <w:rsid w:val="009131C7"/>
    <w:rsid w:val="00957CA6"/>
    <w:rsid w:val="00962625"/>
    <w:rsid w:val="009656A1"/>
    <w:rsid w:val="00981356"/>
    <w:rsid w:val="009D123A"/>
    <w:rsid w:val="009E0C7D"/>
    <w:rsid w:val="00A1130E"/>
    <w:rsid w:val="00A14371"/>
    <w:rsid w:val="00A970A4"/>
    <w:rsid w:val="00AA52B0"/>
    <w:rsid w:val="00AC55CA"/>
    <w:rsid w:val="00AF2D1A"/>
    <w:rsid w:val="00BB4180"/>
    <w:rsid w:val="00BC04C3"/>
    <w:rsid w:val="00BE256D"/>
    <w:rsid w:val="00BE51A0"/>
    <w:rsid w:val="00C12A8A"/>
    <w:rsid w:val="00C36594"/>
    <w:rsid w:val="00C601CA"/>
    <w:rsid w:val="00CA1DAD"/>
    <w:rsid w:val="00CE137B"/>
    <w:rsid w:val="00D4180F"/>
    <w:rsid w:val="00D63704"/>
    <w:rsid w:val="00D721B6"/>
    <w:rsid w:val="00D7457D"/>
    <w:rsid w:val="00D86860"/>
    <w:rsid w:val="00D94CD4"/>
    <w:rsid w:val="00DB4A21"/>
    <w:rsid w:val="00E00FC5"/>
    <w:rsid w:val="00E03897"/>
    <w:rsid w:val="00E11F85"/>
    <w:rsid w:val="00E22845"/>
    <w:rsid w:val="00E27196"/>
    <w:rsid w:val="00E37D01"/>
    <w:rsid w:val="00E478DC"/>
    <w:rsid w:val="00EA0A76"/>
    <w:rsid w:val="00EC2BE8"/>
    <w:rsid w:val="00EE5472"/>
    <w:rsid w:val="00EE6CE8"/>
    <w:rsid w:val="00F675F1"/>
    <w:rsid w:val="00F76816"/>
    <w:rsid w:val="00FA214C"/>
    <w:rsid w:val="00FB004C"/>
    <w:rsid w:val="00FC2537"/>
    <w:rsid w:val="00FE19D1"/>
    <w:rsid w:val="00FF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43F7"/>
  <w15:chartTrackingRefBased/>
  <w15:docId w15:val="{C09E3193-DC2E-45E3-A836-6DD7A5A6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78C"/>
    <w:rPr>
      <w:rFonts w:eastAsiaTheme="majorEastAsia" w:cstheme="majorBidi"/>
      <w:color w:val="272727" w:themeColor="text1" w:themeTint="D8"/>
    </w:rPr>
  </w:style>
  <w:style w:type="paragraph" w:styleId="Title">
    <w:name w:val="Title"/>
    <w:basedOn w:val="Normal"/>
    <w:next w:val="Normal"/>
    <w:link w:val="TitleChar"/>
    <w:uiPriority w:val="10"/>
    <w:qFormat/>
    <w:rsid w:val="00505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78C"/>
    <w:pPr>
      <w:spacing w:before="160"/>
      <w:jc w:val="center"/>
    </w:pPr>
    <w:rPr>
      <w:i/>
      <w:iCs/>
      <w:color w:val="404040" w:themeColor="text1" w:themeTint="BF"/>
    </w:rPr>
  </w:style>
  <w:style w:type="character" w:customStyle="1" w:styleId="QuoteChar">
    <w:name w:val="Quote Char"/>
    <w:basedOn w:val="DefaultParagraphFont"/>
    <w:link w:val="Quote"/>
    <w:uiPriority w:val="29"/>
    <w:rsid w:val="0050578C"/>
    <w:rPr>
      <w:i/>
      <w:iCs/>
      <w:color w:val="404040" w:themeColor="text1" w:themeTint="BF"/>
    </w:rPr>
  </w:style>
  <w:style w:type="paragraph" w:styleId="ListParagraph">
    <w:name w:val="List Paragraph"/>
    <w:basedOn w:val="Normal"/>
    <w:uiPriority w:val="34"/>
    <w:qFormat/>
    <w:rsid w:val="0050578C"/>
    <w:pPr>
      <w:ind w:left="720"/>
      <w:contextualSpacing/>
    </w:pPr>
  </w:style>
  <w:style w:type="character" w:styleId="IntenseEmphasis">
    <w:name w:val="Intense Emphasis"/>
    <w:basedOn w:val="DefaultParagraphFont"/>
    <w:uiPriority w:val="21"/>
    <w:qFormat/>
    <w:rsid w:val="0050578C"/>
    <w:rPr>
      <w:i/>
      <w:iCs/>
      <w:color w:val="0F4761" w:themeColor="accent1" w:themeShade="BF"/>
    </w:rPr>
  </w:style>
  <w:style w:type="paragraph" w:styleId="IntenseQuote">
    <w:name w:val="Intense Quote"/>
    <w:basedOn w:val="Normal"/>
    <w:next w:val="Normal"/>
    <w:link w:val="IntenseQuoteChar"/>
    <w:uiPriority w:val="30"/>
    <w:qFormat/>
    <w:rsid w:val="00505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78C"/>
    <w:rPr>
      <w:i/>
      <w:iCs/>
      <w:color w:val="0F4761" w:themeColor="accent1" w:themeShade="BF"/>
    </w:rPr>
  </w:style>
  <w:style w:type="character" w:styleId="IntenseReference">
    <w:name w:val="Intense Reference"/>
    <w:basedOn w:val="DefaultParagraphFont"/>
    <w:uiPriority w:val="32"/>
    <w:qFormat/>
    <w:rsid w:val="005057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2944</Words>
  <Characters>16781</Characters>
  <Application>Microsoft Office Word</Application>
  <DocSecurity>0</DocSecurity>
  <Lines>139</Lines>
  <Paragraphs>39</Paragraphs>
  <ScaleCrop>false</ScaleCrop>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74</cp:revision>
  <dcterms:created xsi:type="dcterms:W3CDTF">2024-05-13T16:53:00Z</dcterms:created>
  <dcterms:modified xsi:type="dcterms:W3CDTF">2024-05-13T18:24:00Z</dcterms:modified>
</cp:coreProperties>
</file>