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ackground w:color="FFFFFF"/>
  <w:body>
    <w:p w:rsidR="00000000" w:rsidDel="00000000" w:rsidP="00000000" w:rsidRDefault="00000000" w:rsidRPr="00000000" w14:paraId="00000001">
      <w:pPr>
        <w:spacing w:line="432" w:lineRule="auto"/>
        <w:jc w:val="center"/>
        <w:rPr>
          <w:sz w:val="27"/>
          <w:szCs w:val="27"/>
        </w:rPr>
      </w:pPr>
      <w:r w:rsidDel="00000000" w:rsidR="00000000" w:rsidRPr="00000000">
        <w:rPr>
          <w:sz w:val="27"/>
          <w:szCs w:val="27"/>
          <w:rtl w:val="0"/>
        </w:rPr>
        <w:t xml:space="preserve"> </w:t>
      </w:r>
    </w:p>
    <w:p w:rsidR="00000000" w:rsidDel="00000000" w:rsidP="00000000" w:rsidRDefault="00000000" w:rsidRPr="00000000" w14:paraId="00000002">
      <w:pPr>
        <w:spacing w:line="432" w:lineRule="auto"/>
        <w:jc w:val="center"/>
        <w:rPr>
          <w:sz w:val="27"/>
          <w:szCs w:val="27"/>
        </w:rPr>
      </w:pPr>
      <w:r w:rsidDel="00000000" w:rsidR="00000000" w:rsidRPr="00000000">
        <w:rPr>
          <w:sz w:val="27"/>
          <w:szCs w:val="27"/>
          <w:rtl w:val="0"/>
        </w:rPr>
        <w:t xml:space="preserve"> </w:t>
      </w:r>
    </w:p>
    <w:p w:rsidR="00000000" w:rsidDel="00000000" w:rsidP="00000000" w:rsidRDefault="00000000" w:rsidRPr="00000000" w14:paraId="00000003">
      <w:pPr>
        <w:spacing w:line="432" w:lineRule="auto"/>
        <w:jc w:val="both"/>
        <w:rPr>
          <w:sz w:val="27"/>
          <w:szCs w:val="27"/>
        </w:rPr>
      </w:pPr>
      <w:r w:rsidDel="00000000" w:rsidR="00000000" w:rsidRPr="00000000">
        <w:rPr>
          <w:sz w:val="27"/>
          <w:szCs w:val="27"/>
          <w:rtl w:val="0"/>
        </w:rPr>
        <w:t xml:space="preserve"> </w:t>
      </w:r>
    </w:p>
    <w:p w:rsidR="00000000" w:rsidDel="00000000" w:rsidP="00000000" w:rsidRDefault="00000000" w:rsidRPr="00000000" w14:paraId="00000004">
      <w:pPr>
        <w:spacing w:line="432" w:lineRule="auto"/>
        <w:jc w:val="center"/>
        <w:rPr>
          <w:sz w:val="27"/>
          <w:szCs w:val="27"/>
        </w:rPr>
      </w:pPr>
      <w:r w:rsidDel="00000000" w:rsidR="00000000" w:rsidRPr="00000000">
        <w:rPr>
          <w:sz w:val="27"/>
          <w:szCs w:val="27"/>
          <w:rtl w:val="0"/>
        </w:rPr>
        <w:t xml:space="preserve"> </w:t>
      </w:r>
    </w:p>
    <w:p w:rsidR="00000000" w:rsidDel="00000000" w:rsidP="00000000" w:rsidRDefault="00000000" w:rsidRPr="00000000" w14:paraId="00000005">
      <w:pPr>
        <w:spacing w:line="432" w:lineRule="auto"/>
        <w:jc w:val="center"/>
        <w:rPr>
          <w:sz w:val="27"/>
          <w:szCs w:val="27"/>
        </w:rPr>
      </w:pPr>
      <w:r w:rsidDel="00000000" w:rsidR="00000000" w:rsidRPr="00000000">
        <w:rPr>
          <w:sz w:val="27"/>
          <w:szCs w:val="27"/>
          <w:rtl w:val="0"/>
        </w:rPr>
        <w:t xml:space="preserve"> </w:t>
      </w:r>
    </w:p>
    <w:p w:rsidR="00000000" w:rsidDel="00000000" w:rsidP="00000000" w:rsidRDefault="00000000" w:rsidRPr="00000000" w14:paraId="00000006">
      <w:pPr>
        <w:spacing w:line="432" w:lineRule="auto"/>
        <w:jc w:val="center"/>
        <w:rPr>
          <w:rFonts w:ascii="Times New Roman" w:cs="Times New Roman" w:eastAsia="Times New Roman" w:hAnsi="Times New Roman"/>
          <w:b w:val="1"/>
          <w:sz w:val="30"/>
          <w:szCs w:val="30"/>
        </w:rPr>
      </w:pPr>
      <w:r w:rsidDel="00000000" w:rsidR="00000000" w:rsidRPr="00000000">
        <w:rPr>
          <w:rFonts w:ascii="Times New Roman" w:cs="Times New Roman" w:eastAsia="Times New Roman" w:hAnsi="Times New Roman"/>
          <w:b w:val="1"/>
          <w:sz w:val="30"/>
          <w:szCs w:val="30"/>
          <w:rtl w:val="0"/>
        </w:rPr>
        <w:t xml:space="preserve">Management &amp; Organisational Behaviour(BMIH5004)</w:t>
      </w:r>
    </w:p>
    <w:p w:rsidR="00000000" w:rsidDel="00000000" w:rsidP="00000000" w:rsidRDefault="00000000" w:rsidRPr="00000000" w14:paraId="00000007">
      <w:pPr>
        <w:spacing w:line="432" w:lineRule="auto"/>
        <w:jc w:val="center"/>
        <w:rPr>
          <w:rFonts w:ascii="Times New Roman" w:cs="Times New Roman" w:eastAsia="Times New Roman" w:hAnsi="Times New Roman"/>
          <w:b w:val="1"/>
          <w:sz w:val="30"/>
          <w:szCs w:val="30"/>
        </w:rPr>
      </w:pPr>
      <w:r w:rsidDel="00000000" w:rsidR="00000000" w:rsidRPr="00000000">
        <w:rPr>
          <w:rFonts w:ascii="Times New Roman" w:cs="Times New Roman" w:eastAsia="Times New Roman" w:hAnsi="Times New Roman"/>
          <w:b w:val="1"/>
          <w:sz w:val="30"/>
          <w:szCs w:val="30"/>
          <w:rtl w:val="0"/>
        </w:rPr>
        <w:t xml:space="preserve">Academic Essay</w:t>
      </w:r>
    </w:p>
    <w:p w:rsidR="00000000" w:rsidDel="00000000" w:rsidP="00000000" w:rsidRDefault="00000000" w:rsidRPr="00000000" w14:paraId="00000008">
      <w:pPr>
        <w:spacing w:line="432" w:lineRule="auto"/>
        <w:jc w:val="center"/>
        <w:rPr>
          <w:rFonts w:ascii="Times New Roman" w:cs="Times New Roman" w:eastAsia="Times New Roman" w:hAnsi="Times New Roman"/>
          <w:sz w:val="36"/>
          <w:szCs w:val="36"/>
        </w:rPr>
      </w:pPr>
      <w:r w:rsidDel="00000000" w:rsidR="00000000" w:rsidRPr="00000000">
        <w:rPr>
          <w:rFonts w:ascii="Times New Roman" w:cs="Times New Roman" w:eastAsia="Times New Roman" w:hAnsi="Times New Roman"/>
          <w:b w:val="1"/>
          <w:sz w:val="36"/>
          <w:szCs w:val="36"/>
          <w:rtl w:val="0"/>
        </w:rPr>
        <w:t xml:space="preserve">Lecturer Name: </w:t>
      </w:r>
      <w:r w:rsidDel="00000000" w:rsidR="00000000" w:rsidRPr="00000000">
        <w:rPr>
          <w:rFonts w:ascii="Times New Roman" w:cs="Times New Roman" w:eastAsia="Times New Roman" w:hAnsi="Times New Roman"/>
          <w:sz w:val="36"/>
          <w:szCs w:val="36"/>
          <w:rtl w:val="0"/>
        </w:rPr>
        <w:t xml:space="preserve">Daniel Payne</w:t>
      </w:r>
    </w:p>
    <w:p w:rsidR="00000000" w:rsidDel="00000000" w:rsidP="00000000" w:rsidRDefault="00000000" w:rsidRPr="00000000" w14:paraId="00000009">
      <w:pPr>
        <w:spacing w:line="432" w:lineRule="auto"/>
        <w:jc w:val="center"/>
        <w:rPr>
          <w:rFonts w:ascii="Times New Roman" w:cs="Times New Roman" w:eastAsia="Times New Roman" w:hAnsi="Times New Roman"/>
          <w:sz w:val="36"/>
          <w:szCs w:val="36"/>
          <w:highlight w:val="white"/>
        </w:rPr>
      </w:pPr>
      <w:r w:rsidDel="00000000" w:rsidR="00000000" w:rsidRPr="00000000">
        <w:rPr>
          <w:rFonts w:ascii="Times New Roman" w:cs="Times New Roman" w:eastAsia="Times New Roman" w:hAnsi="Times New Roman"/>
          <w:b w:val="1"/>
          <w:sz w:val="36"/>
          <w:szCs w:val="36"/>
          <w:rtl w:val="0"/>
        </w:rPr>
        <w:t xml:space="preserve">Student Name</w:t>
      </w:r>
      <w:r w:rsidDel="00000000" w:rsidR="00000000" w:rsidRPr="00000000">
        <w:rPr>
          <w:rFonts w:ascii="Times New Roman" w:cs="Times New Roman" w:eastAsia="Times New Roman" w:hAnsi="Times New Roman"/>
          <w:sz w:val="36"/>
          <w:szCs w:val="36"/>
          <w:rtl w:val="0"/>
        </w:rPr>
        <w:t xml:space="preserve">: </w:t>
      </w:r>
      <w:r w:rsidDel="00000000" w:rsidR="00000000" w:rsidRPr="00000000">
        <w:rPr>
          <w:rFonts w:ascii="Times New Roman" w:cs="Times New Roman" w:eastAsia="Times New Roman" w:hAnsi="Times New Roman"/>
          <w:sz w:val="36"/>
          <w:szCs w:val="36"/>
          <w:highlight w:val="white"/>
          <w:rtl w:val="0"/>
        </w:rPr>
        <w:t xml:space="preserve">Salman Ali</w:t>
      </w:r>
    </w:p>
    <w:p w:rsidR="00000000" w:rsidDel="00000000" w:rsidP="00000000" w:rsidRDefault="00000000" w:rsidRPr="00000000" w14:paraId="0000000A">
      <w:pPr>
        <w:spacing w:line="432" w:lineRule="auto"/>
        <w:jc w:val="center"/>
        <w:rPr>
          <w:rFonts w:ascii="Times New Roman" w:cs="Times New Roman" w:eastAsia="Times New Roman" w:hAnsi="Times New Roman"/>
          <w:sz w:val="36"/>
          <w:szCs w:val="36"/>
        </w:rPr>
      </w:pPr>
      <w:r w:rsidDel="00000000" w:rsidR="00000000" w:rsidRPr="00000000">
        <w:rPr>
          <w:rFonts w:ascii="Times New Roman" w:cs="Times New Roman" w:eastAsia="Times New Roman" w:hAnsi="Times New Roman"/>
          <w:b w:val="1"/>
          <w:sz w:val="36"/>
          <w:szCs w:val="36"/>
          <w:rtl w:val="0"/>
        </w:rPr>
        <w:t xml:space="preserve">Student ID</w:t>
      </w:r>
      <w:r w:rsidDel="00000000" w:rsidR="00000000" w:rsidRPr="00000000">
        <w:rPr>
          <w:rFonts w:ascii="Times New Roman" w:cs="Times New Roman" w:eastAsia="Times New Roman" w:hAnsi="Times New Roman"/>
          <w:sz w:val="36"/>
          <w:szCs w:val="36"/>
          <w:rtl w:val="0"/>
        </w:rPr>
        <w:t xml:space="preserve">: 2119165</w:t>
      </w:r>
    </w:p>
    <w:p w:rsidR="00000000" w:rsidDel="00000000" w:rsidP="00000000" w:rsidRDefault="00000000" w:rsidRPr="00000000" w14:paraId="0000000B">
      <w:pPr>
        <w:spacing w:line="432" w:lineRule="auto"/>
        <w:jc w:val="center"/>
        <w:rPr>
          <w:sz w:val="27"/>
          <w:szCs w:val="27"/>
        </w:rPr>
      </w:pPr>
      <w:r w:rsidDel="00000000" w:rsidR="00000000" w:rsidRPr="00000000">
        <w:rPr>
          <w:sz w:val="27"/>
          <w:szCs w:val="27"/>
          <w:rtl w:val="0"/>
        </w:rPr>
        <w:t xml:space="preserve"> </w:t>
      </w:r>
    </w:p>
    <w:p w:rsidR="00000000" w:rsidDel="00000000" w:rsidP="00000000" w:rsidRDefault="00000000" w:rsidRPr="00000000" w14:paraId="0000000C">
      <w:pPr>
        <w:spacing w:line="432" w:lineRule="auto"/>
        <w:jc w:val="center"/>
        <w:rPr>
          <w:rFonts w:ascii="Times New Roman" w:cs="Times New Roman" w:eastAsia="Times New Roman" w:hAnsi="Times New Roman"/>
          <w:b w:val="1"/>
          <w:sz w:val="32"/>
          <w:szCs w:val="32"/>
        </w:rPr>
      </w:pPr>
      <w:r w:rsidDel="00000000" w:rsidR="00000000" w:rsidRPr="00000000">
        <w:rPr>
          <w:rFonts w:ascii="Times New Roman" w:cs="Times New Roman" w:eastAsia="Times New Roman" w:hAnsi="Times New Roman"/>
          <w:b w:val="1"/>
          <w:sz w:val="32"/>
          <w:szCs w:val="32"/>
          <w:rtl w:val="0"/>
        </w:rPr>
        <w:t xml:space="preserve">Declaration</w:t>
      </w:r>
    </w:p>
    <w:p w:rsidR="00000000" w:rsidDel="00000000" w:rsidP="00000000" w:rsidRDefault="00000000" w:rsidRPr="00000000" w14:paraId="0000000D">
      <w:pPr>
        <w:spacing w:line="432" w:lineRule="auto"/>
        <w:jc w:val="both"/>
        <w:rPr>
          <w:rFonts w:ascii="Times New Roman" w:cs="Times New Roman" w:eastAsia="Times New Roman" w:hAnsi="Times New Roman"/>
          <w:sz w:val="32"/>
          <w:szCs w:val="32"/>
          <w:highlight w:val="white"/>
        </w:rPr>
      </w:pPr>
      <w:r w:rsidDel="00000000" w:rsidR="00000000" w:rsidRPr="00000000">
        <w:rPr>
          <w:rFonts w:ascii="Times New Roman" w:cs="Times New Roman" w:eastAsia="Times New Roman" w:hAnsi="Times New Roman"/>
          <w:sz w:val="32"/>
          <w:szCs w:val="32"/>
          <w:highlight w:val="white"/>
          <w:rtl w:val="0"/>
        </w:rPr>
        <w:t xml:space="preserve">I confirm that I have not used any AI tools in the research and creation of this assignment. I confirm that I have not presented any AI-generated materials as my own work. I confirm I have copies of my drafts, notes, and other resources I used, which I may be asked to provide in evidence.</w:t>
      </w:r>
    </w:p>
    <w:p w:rsidR="00000000" w:rsidDel="00000000" w:rsidP="00000000" w:rsidRDefault="00000000" w:rsidRPr="00000000" w14:paraId="0000000E">
      <w:pPr>
        <w:spacing w:line="432" w:lineRule="auto"/>
        <w:jc w:val="both"/>
        <w:rPr>
          <w:sz w:val="27"/>
          <w:szCs w:val="27"/>
        </w:rPr>
      </w:pPr>
      <w:r w:rsidDel="00000000" w:rsidR="00000000" w:rsidRPr="00000000">
        <w:rPr>
          <w:sz w:val="27"/>
          <w:szCs w:val="27"/>
          <w:rtl w:val="0"/>
        </w:rPr>
        <w:t xml:space="preserve"> </w:t>
      </w:r>
    </w:p>
    <w:p w:rsidR="00000000" w:rsidDel="00000000" w:rsidP="00000000" w:rsidRDefault="00000000" w:rsidRPr="00000000" w14:paraId="0000000F">
      <w:pPr>
        <w:spacing w:line="432" w:lineRule="auto"/>
        <w:jc w:val="both"/>
        <w:rPr>
          <w:sz w:val="27"/>
          <w:szCs w:val="27"/>
        </w:rPr>
      </w:pPr>
      <w:r w:rsidDel="00000000" w:rsidR="00000000" w:rsidRPr="00000000">
        <w:rPr>
          <w:sz w:val="27"/>
          <w:szCs w:val="27"/>
          <w:rtl w:val="0"/>
        </w:rPr>
        <w:t xml:space="preserve"> </w:t>
      </w:r>
    </w:p>
    <w:p w:rsidR="00000000" w:rsidDel="00000000" w:rsidP="00000000" w:rsidRDefault="00000000" w:rsidRPr="00000000" w14:paraId="00000010">
      <w:pPr>
        <w:spacing w:line="432" w:lineRule="auto"/>
        <w:jc w:val="both"/>
        <w:rPr>
          <w:rFonts w:ascii="Times New Roman" w:cs="Times New Roman" w:eastAsia="Times New Roman" w:hAnsi="Times New Roman"/>
          <w:sz w:val="27"/>
          <w:szCs w:val="27"/>
        </w:rPr>
      </w:pPr>
      <w:r w:rsidDel="00000000" w:rsidR="00000000" w:rsidRPr="00000000">
        <w:rPr>
          <w:rFonts w:ascii="Times New Roman" w:cs="Times New Roman" w:eastAsia="Times New Roman" w:hAnsi="Times New Roman"/>
          <w:sz w:val="27"/>
          <w:szCs w:val="27"/>
          <w:rtl w:val="0"/>
        </w:rPr>
        <w:t xml:space="preserve">In the hospitality industry, leadership affects teamwork and morale. 70% of workers credit their manager for job satisfaction(Sobaih </w:t>
      </w:r>
      <w:r w:rsidDel="00000000" w:rsidR="00000000" w:rsidRPr="00000000">
        <w:rPr>
          <w:rFonts w:ascii="Times New Roman" w:cs="Times New Roman" w:eastAsia="Times New Roman" w:hAnsi="Times New Roman"/>
          <w:i w:val="1"/>
          <w:sz w:val="27"/>
          <w:szCs w:val="27"/>
          <w:rtl w:val="0"/>
        </w:rPr>
        <w:t xml:space="preserve">et al</w:t>
      </w:r>
      <w:r w:rsidDel="00000000" w:rsidR="00000000" w:rsidRPr="00000000">
        <w:rPr>
          <w:rFonts w:ascii="Times New Roman" w:cs="Times New Roman" w:eastAsia="Times New Roman" w:hAnsi="Times New Roman"/>
          <w:sz w:val="27"/>
          <w:szCs w:val="27"/>
          <w:rtl w:val="0"/>
        </w:rPr>
        <w:t xml:space="preserve">., 2020). This evidence shows that leadership strongly impacts company culture and employee engagement. Hospitality leaders say supportive and empowered leadership boosts employee retention and client satisfaction. High staff turnover and changing demand require effective leadership to motivate hospitality workers. CIPD research reveals that good leadership boosts worker performance, retention, and customer satisfaction. This highlights leadership styles and their influence on teamwork and morale. This essay discusses Adair's Action-Centred Leadership Model, Lewin's leadership styles, and McGregor's X and Y Theory. The study will evaluate how different styles improve hospitality and workplace positivity. This article investigates how leadership styles and team dynamics affect employee happiness and company performance. </w:t>
      </w:r>
    </w:p>
    <w:p w:rsidR="00000000" w:rsidDel="00000000" w:rsidP="00000000" w:rsidRDefault="00000000" w:rsidRPr="00000000" w14:paraId="00000011">
      <w:pPr>
        <w:spacing w:line="432" w:lineRule="auto"/>
        <w:jc w:val="both"/>
        <w:rPr>
          <w:rFonts w:ascii="Times New Roman" w:cs="Times New Roman" w:eastAsia="Times New Roman" w:hAnsi="Times New Roman"/>
          <w:sz w:val="27"/>
          <w:szCs w:val="27"/>
        </w:rPr>
      </w:pPr>
      <w:r w:rsidDel="00000000" w:rsidR="00000000" w:rsidRPr="00000000">
        <w:rPr>
          <w:rFonts w:ascii="Times New Roman" w:cs="Times New Roman" w:eastAsia="Times New Roman" w:hAnsi="Times New Roman"/>
          <w:sz w:val="27"/>
          <w:szCs w:val="27"/>
          <w:rtl w:val="0"/>
        </w:rPr>
        <w:t xml:space="preserve">Leadership theories can be utilised to explain how styles affect morale and teamwork. Examples include Adair's Action-Centred Leadership. This method promotes task completion, teamwork, and personal improvement (Mullins, 2019). Adair advises CEOs to balance these factors to maximise productivity. Leaders emphasise task completion and teamwork to boost performance. Lewis characterises leadership as autocratic, democratic, or laissez-faire. Rapid CEO Decisions may hinder team innovation and feedback. Democracy boosts employee morale and ownership through involvement and collaboration (Chang et al., 2019). Team members have a lot of autonomy under laissez-faire bosses, which can stimulate innovation but also lead to directionless-ness. Each hospitality style has its place, but context and staff make it work. The McGregor X/Y Theory contrasts human motivation to extend leadership styles. Theory X claims workers are lethargic and need strict supervision, while Theory Y claims they are self-motivated and thrive in autonomy and teamwork (Nazarian </w:t>
      </w:r>
      <w:r w:rsidDel="00000000" w:rsidR="00000000" w:rsidRPr="00000000">
        <w:rPr>
          <w:rFonts w:ascii="Times New Roman" w:cs="Times New Roman" w:eastAsia="Times New Roman" w:hAnsi="Times New Roman"/>
          <w:i w:val="1"/>
          <w:sz w:val="27"/>
          <w:szCs w:val="27"/>
          <w:rtl w:val="0"/>
        </w:rPr>
        <w:t xml:space="preserve">et al</w:t>
      </w:r>
      <w:r w:rsidDel="00000000" w:rsidR="00000000" w:rsidRPr="00000000">
        <w:rPr>
          <w:rFonts w:ascii="Times New Roman" w:cs="Times New Roman" w:eastAsia="Times New Roman" w:hAnsi="Times New Roman"/>
          <w:sz w:val="27"/>
          <w:szCs w:val="27"/>
          <w:rtl w:val="0"/>
        </w:rPr>
        <w:t xml:space="preserve">., 2021). Motivated hospitality workers benefit from Theory Y bosses' morale and job satisfaction. Popular leadership paradigms include the Blake and Mouton Managerial Grid, which examines people and production leadership. The grid shows impoverished, country club, produce or perish, middle-of-the-road, and team management leadership styles. This paradigm suggests executives care about people and production when managing teams (Eid and Agag, 2020). This balance promotes support and organisational goals in high-stakes hospitality. </w:t>
      </w:r>
    </w:p>
    <w:p w:rsidR="00000000" w:rsidDel="00000000" w:rsidP="00000000" w:rsidRDefault="00000000" w:rsidRPr="00000000" w14:paraId="00000012">
      <w:pPr>
        <w:spacing w:line="432" w:lineRule="auto"/>
        <w:jc w:val="both"/>
        <w:rPr>
          <w:rFonts w:ascii="Times New Roman" w:cs="Times New Roman" w:eastAsia="Times New Roman" w:hAnsi="Times New Roman"/>
          <w:sz w:val="27"/>
          <w:szCs w:val="27"/>
        </w:rPr>
      </w:pPr>
      <w:r w:rsidDel="00000000" w:rsidR="00000000" w:rsidRPr="00000000">
        <w:rPr>
          <w:rFonts w:ascii="Times New Roman" w:cs="Times New Roman" w:eastAsia="Times New Roman" w:hAnsi="Times New Roman"/>
          <w:sz w:val="27"/>
          <w:szCs w:val="27"/>
          <w:rtl w:val="0"/>
        </w:rPr>
        <w:t xml:space="preserve">The Great Man Theory says outstanding leaders are charismatic, smart, and determined. Critics say it simplifies leadership and overlooks context. It emphasises human traits in leadership and how excellent leadership motivates teams (Reidhead, 2020). Through leader-follower relationships and rewards and sanctions, transactional leadership affects behaviour. Set goals, reward success, and punish failure with this leadership approach. This method can improve performance and accountability in clear-metric industries like hospitality, where service quality affects customer happiness. Outside these ideologies, other leadership frameworks explain effective leadership tactics. The Servant Leadership Theory implies that leaders should help team members improve and prioritise their needs (Mullins, 2019). Empowerment-based leaders create a supportive, engaged workplace. Hotels value service and servant leadership pushes executives to prioritise guest and employee pleasure. Situational Leadership Theory by Hersey and Blanchard says circumstance and follower preparation dictate leadership. Leaders must match team members' talents and dedication. This method allows leaders to guide and aid by promoting flexibility and adaptability. Hospitality teams change often, so situational leadership helps. Transformational Leadership motivates staff by envisioning the future. Under transformational leaders, trust and collaboration foster innovation and change (Sobaih et al., 2020). Transformational leaders promote intrinsic motivation and urge team members to exceed their standards to adapt to the changing hospitality sector and customer-centricity. Finally, leadership theories offer hospitality leaders many options. Each hypothesis explains how leadership styles affect team performance and stresses team-specific characteristics. These theories are needed to create hospitality leaders who boost morale and success. Leaders who use Laissez-Faire Leadership make their own decisions. Many contrast this with transactional or autocratic leadership. Laissez-faire management lets workers use their skills to prosper (Wellman and LePine, 2017). This method can empower workers, but it can also cause problems, especially in fast-paced, service-oriented businesses like the UK hotel industry, where teamwork and morale are crucial. Laissez-faire management empowers workers. Front-line hotel staff can make decisions without administrative approval since they must respond quickly to visitor requests. UK luxury hotel general managers sometimes neglect experienced department heads(Pęciak, 2016). Event managers and food and beverage directors can work independently, enhancing job satisfaction and innovation. McGregor's Theory Y promotes laissez-faire leadership and keen learning in autonomous workers. Trusted teammates prioritise responsibility, improving creativity and problem-solving. </w:t>
      </w:r>
    </w:p>
    <w:p w:rsidR="00000000" w:rsidDel="00000000" w:rsidP="00000000" w:rsidRDefault="00000000" w:rsidRPr="00000000" w14:paraId="00000013">
      <w:pPr>
        <w:spacing w:line="432" w:lineRule="auto"/>
        <w:jc w:val="both"/>
        <w:rPr>
          <w:rFonts w:ascii="Times New Roman" w:cs="Times New Roman" w:eastAsia="Times New Roman" w:hAnsi="Times New Roman"/>
          <w:sz w:val="27"/>
          <w:szCs w:val="27"/>
        </w:rPr>
      </w:pPr>
      <w:r w:rsidDel="00000000" w:rsidR="00000000" w:rsidRPr="00000000">
        <w:rPr>
          <w:rFonts w:ascii="Times New Roman" w:cs="Times New Roman" w:eastAsia="Times New Roman" w:hAnsi="Times New Roman"/>
          <w:sz w:val="27"/>
          <w:szCs w:val="27"/>
          <w:rtl w:val="0"/>
        </w:rPr>
        <w:t xml:space="preserve">Staff morale and team cohesion suffer under lax leadership. A lack of direction might hurt teamwork. Hotel activities are interrelated, therefore this leadership style may cause confusion and inefficiency. Such an environment may hurt unmotivated or unskilled workers. Lewin et al. (1939), who defined ‘laissez-faire leadership,’ found unguided teams less productive and unhappy (Bergen and Bressler, 2019). Unregulated hotel departments may lower housekeeping and service quality, hurting employee morale and customer satisfaction. Experienced workers flourish under laissez-faire leadership, but less experienced workers may feel abandoned. The UK hotel sector has substantial turnover, especially in entry-level jobs, therefore this tactic may increase disengagement (Jones and Rudd, 2018). Allowing new front desk staff to conduct peak-time check-ins without supervision may demoralise them. Poor leadership and staff training can cause operational inefficiencies in budget hotels. Teamwork can suffer when leadership prioritises individuality over collaboration. Great hotel service requires teamwork. Individual autonomy can separate departments under laissez-faire leadership. Not all teams can work with reception and housekeeping (Al-Malki and Juan, 2018). Mismatches can interrupt operations, degrade service quality, and lower morale. Personal growth and lower-level leadership can boost staff morale under laissez-faire leadership. Some UK boutique hotel managers let department heads control their workforce and operations. Sir Rocco Forte trusted hotel managers to take market-specific actions. Trust empowers and rewards workers, boosting morale. In conclusion, laissez-faire leadership encourages creativity and individuality but can strain team dynamics and morale, especially in the highly networked hotel business (Hahang, Bayraktar and Jiménez, 2022). This leadership style monitors team competencies and motivation to reduce miscommunication, inefficiencies, and morale loss. Laissez-faire leadership can hurt teamwork and engagement without periodic guidance. Leadership styles affect UK hotel productivity, morale, and customer satisfaction. Transactional and transformational leadership affect hotel team performance. This program uses case studies to study hotel leadership (Xu, Stienmetz and Ashton, 2020). Belfast's Malone Lodge Hotel illustrates transformational leadership. The hotel empowers and collaborates through staff development. Leadership encourages staff input and creative decision-making. Interactive tactics boost employee retention and happiness. Respected and motivated staff improve guest experiences. Malone Lodge management promotes training and promotion. Staff are encouraged to take on new duties to advance professionally. Human capital investment improves morale and teamwork through transformative leadership (Riva, Magrizos and Rubel, 2021). Service and leadership improve guest happiness, as shown by high guest ratings. Premier Inn's management is transactional. Performance drives this hotel chain's management. Premier Inn has strict service, cleanliness, and labour efficiency standards. Showing employees how their work supports business goals inspires and holds them accountable. </w:t>
      </w:r>
    </w:p>
    <w:p w:rsidR="00000000" w:rsidDel="00000000" w:rsidP="00000000" w:rsidRDefault="00000000" w:rsidRPr="00000000" w14:paraId="00000014">
      <w:pPr>
        <w:spacing w:line="432" w:lineRule="auto"/>
        <w:jc w:val="both"/>
        <w:rPr>
          <w:rFonts w:ascii="Times New Roman" w:cs="Times New Roman" w:eastAsia="Times New Roman" w:hAnsi="Times New Roman"/>
          <w:sz w:val="27"/>
          <w:szCs w:val="27"/>
        </w:rPr>
      </w:pPr>
      <w:r w:rsidDel="00000000" w:rsidR="00000000" w:rsidRPr="00000000">
        <w:rPr>
          <w:rFonts w:ascii="Times New Roman" w:cs="Times New Roman" w:eastAsia="Times New Roman" w:hAnsi="Times New Roman"/>
          <w:sz w:val="27"/>
          <w:szCs w:val="27"/>
          <w:rtl w:val="0"/>
        </w:rPr>
        <w:t xml:space="preserve">Premier Inn executives celebrate top performers. A KPI bonus promotes transactional ideas. Performance focus boosts hospitality and operational efficiency (Jackson, 2018). This method may put employees under pressure to perform during peak demand. Transactional tactics can enhance performance, but they need accompanying measures to inspire staff. Hilton Hotels leads its employees using both transactional and transformational leadership. The Hilton brand values consumer and employee pleasure. Hilton management should encourage worker collaboration and innovation to change. Hampton by Hilton's "Hamptonality" promotes personal service and relationships with guests, like transformative leadership(Chakravarti, 2018). Standard procedures and performance reviews at Hilton contain transactional aspects. Staff must satisfy guests and operate efficiently to guarantee brand continuity. Hilton may use both leadership styles to develop a flexible team that matches guest needs. Hotels' COVID-19 responses are proactive. Transformational leaders enhanced team morale during the crisis. Hotels held monthly check-ins and support sessions to boost staff well-being. This method helped staff cope with pandemic uncertainty and fear through trust and open communication (Amiri, Rahim and Ahmed, 2020). They were crucial as transactional executive’s enhanced safety and operations. Transactional CEOs accelerate hotel change by setting new standards. This scientific approach helps hotels maintain service quality health and safety, demonstrating crisis management leadership. Leadership adaptability is shown by UK hotel management's transformational and transactional strategies. A welcoming and engaging atmosphere with transformative leadership boosts employee morale and guest satisfaction (Tan and Despotis, 2021). Transactional leadership manages operational goals. A mix of both lets hotel management adapt to changing hospitality while prioritising guest and employee happiness. Understanding leadership dynamics helps build strong teams and succeed in the competitive UK hotel sector. </w:t>
      </w:r>
    </w:p>
    <w:p w:rsidR="00000000" w:rsidDel="00000000" w:rsidP="00000000" w:rsidRDefault="00000000" w:rsidRPr="00000000" w14:paraId="00000015">
      <w:pPr>
        <w:spacing w:line="432" w:lineRule="auto"/>
        <w:jc w:val="both"/>
        <w:rPr>
          <w:rFonts w:ascii="Times New Roman" w:cs="Times New Roman" w:eastAsia="Times New Roman" w:hAnsi="Times New Roman"/>
          <w:sz w:val="27"/>
          <w:szCs w:val="27"/>
        </w:rPr>
      </w:pPr>
      <w:r w:rsidDel="00000000" w:rsidR="00000000" w:rsidRPr="00000000">
        <w:rPr>
          <w:rFonts w:ascii="Times New Roman" w:cs="Times New Roman" w:eastAsia="Times New Roman" w:hAnsi="Times New Roman"/>
          <w:sz w:val="27"/>
          <w:szCs w:val="27"/>
          <w:rtl w:val="0"/>
        </w:rPr>
        <w:t xml:space="preserve">Hospitality leadership styles greatly affect teamwork and employee satisfaction. Individual leadership can save or ruin companies. This study examines teamwork and employee satisfaction with transformational, transactional, and other leadership styles (Zhang et al., 2020). Team performance and employee satisfaction improve under transformative leadership. Leaders must motivate team members to succeed. Transformational leaders give employees ownership and vision. Participation makes team members feel valued, boosting job satisfaction. Leadership transformation promotes personal and professional progress. Leaders who develop others foster innovation (Guchait et al., 2023). Employee appreciation and empowerment boost morale. Goal-oriented workers help teams. Transformative leadership may boost hospitality customer loyalty. </w:t>
      </w:r>
    </w:p>
    <w:p w:rsidR="00000000" w:rsidDel="00000000" w:rsidP="00000000" w:rsidRDefault="00000000" w:rsidRPr="00000000" w14:paraId="00000016">
      <w:pPr>
        <w:spacing w:line="432" w:lineRule="auto"/>
        <w:jc w:val="both"/>
        <w:rPr>
          <w:rFonts w:ascii="Times New Roman" w:cs="Times New Roman" w:eastAsia="Times New Roman" w:hAnsi="Times New Roman"/>
          <w:sz w:val="27"/>
          <w:szCs w:val="27"/>
        </w:rPr>
      </w:pPr>
      <w:r w:rsidDel="00000000" w:rsidR="00000000" w:rsidRPr="00000000">
        <w:rPr>
          <w:rFonts w:ascii="Times New Roman" w:cs="Times New Roman" w:eastAsia="Times New Roman" w:hAnsi="Times New Roman"/>
          <w:sz w:val="27"/>
          <w:szCs w:val="27"/>
          <w:rtl w:val="0"/>
        </w:rPr>
        <w:t xml:space="preserve">Structured transactional leadership evaluates performance. Though less engaging than transformational leadership, this technique produces instant results and team accountability. Transactional leaders set objectives and rewards (Xu, Stienmetzand Ashton, 2020). This management style improves hotel service. Management by transaction may diminish employee satisfaction. Employee motivation may suffer from extrinsic rewards. Team members who value money over personal growth may inhibit innovation. This situation may cause job dissatisfaction and burnout. Transactional leadership encourages competition and individualism. Teamwork and employee happiness are affected by servant leadership (Wellman and LePine, 2017). This team-serving leadership style prioritises employee well-being. In supportive workplaces, servant leaders foster open communication and collaboration. Leadership that values people improves job satisfaction and teamwork. The study indicated servant leadership promotes employee morale and engagement. Leader-backed personnel work harder and cooperate better. Hospitality teams work together and servant leadership improves staff loyalty to provide great tourist experiences. Happy workers are more motivated to excel, enhancing team performance (Tan and Despotis, 2021). Autocrats make decisions and govern teams. This strategy improves emergency decision-making but may hurt employee morale and teamwork. Autocratic leaders rarely ask for team input, disempowering staff. Worker engagement and inventiveness increase tourist experiences, but autocratic leadership hurts hospitality morale. Devaluing and disengaging workers may increase turnover. Autocratic leaders can succeed, but they harm morale and teamwork. Democratic leaders must decide together. Leadership this way encourages teamwork and accountability. Different viewpoints help Democrats collaborate and make decisions. Included workers are happier because their perspectives matter (Sobaih et al., 2020). Democratic hospitality leadership solicits employee involvement. This collaborative environment promotes morale because employees value company growth. Democratically led teams adapt effectively and perform well. Lastly, hospitality leadership styles strongly impact teamwork and employee satisfaction. Transformational leadership boosts motivation, engagement, and job satisfaction. Transactional leadership boosts performance but hurts teamwork and drive (Riva, Magrizos and Rubel, 2021). Worker morale is low under autocracy, but servant leadership unites. Democracy boosts teamwork by encouraging happiness and cooperation. Leaders in the hospitality sector need these talents to establish effective teams and compete. </w:t>
      </w:r>
    </w:p>
    <w:p w:rsidR="00000000" w:rsidDel="00000000" w:rsidP="00000000" w:rsidRDefault="00000000" w:rsidRPr="00000000" w14:paraId="00000017">
      <w:pPr>
        <w:spacing w:line="432" w:lineRule="auto"/>
        <w:jc w:val="both"/>
        <w:rPr>
          <w:rFonts w:ascii="Times New Roman" w:cs="Times New Roman" w:eastAsia="Times New Roman" w:hAnsi="Times New Roman"/>
          <w:sz w:val="27"/>
          <w:szCs w:val="27"/>
        </w:rPr>
      </w:pPr>
      <w:r w:rsidDel="00000000" w:rsidR="00000000" w:rsidRPr="00000000">
        <w:rPr>
          <w:rFonts w:ascii="Times New Roman" w:cs="Times New Roman" w:eastAsia="Times New Roman" w:hAnsi="Times New Roman"/>
          <w:sz w:val="27"/>
          <w:szCs w:val="27"/>
          <w:rtl w:val="0"/>
        </w:rPr>
        <w:t xml:space="preserve">In summary, leadership styles used by hotel and hospitality leaders strongly impact hospitality staff morale and team performance. Democratic and transformational leadership boosts company culture and employee satisfaction. They empower employees to improve performance and service through belonging and engagement. Authoritarian rule can speed up decision-making. Disengagement and high turnover may result from poor teamwork and morale. The findings emphasise the importance of matching leadership styles to team needs to improve performance. Leadership theories are essential to producing resilient hospitality leaders. Leaders who understand their teams' motivations and dynamics foster collaboration, innovation, and job happiness. These conclusions require leadership evaluation and change to compete. Leadership inclusion and support boost hospitality business performance, employee engagement, and happiness. This leadership will shape hospitality management to provide the greatest service to tourists and staff. </w:t>
      </w:r>
    </w:p>
    <w:p w:rsidR="00000000" w:rsidDel="00000000" w:rsidP="00000000" w:rsidRDefault="00000000" w:rsidRPr="00000000" w14:paraId="00000018">
      <w:pPr>
        <w:spacing w:line="432" w:lineRule="auto"/>
        <w:jc w:val="both"/>
        <w:rPr>
          <w:sz w:val="27"/>
          <w:szCs w:val="27"/>
        </w:rPr>
      </w:pPr>
      <w:r w:rsidDel="00000000" w:rsidR="00000000" w:rsidRPr="00000000">
        <w:rPr>
          <w:sz w:val="27"/>
          <w:szCs w:val="27"/>
          <w:rtl w:val="0"/>
        </w:rPr>
        <w:t xml:space="preserve"> </w:t>
      </w:r>
    </w:p>
    <w:p w:rsidR="00000000" w:rsidDel="00000000" w:rsidP="00000000" w:rsidRDefault="00000000" w:rsidRPr="00000000" w14:paraId="00000019">
      <w:pPr>
        <w:spacing w:line="432" w:lineRule="auto"/>
        <w:jc w:val="both"/>
        <w:rPr>
          <w:sz w:val="27"/>
          <w:szCs w:val="27"/>
        </w:rPr>
      </w:pPr>
      <w:r w:rsidDel="00000000" w:rsidR="00000000" w:rsidRPr="00000000">
        <w:rPr>
          <w:sz w:val="27"/>
          <w:szCs w:val="27"/>
          <w:rtl w:val="0"/>
        </w:rPr>
        <w:t xml:space="preserve"> </w:t>
      </w:r>
    </w:p>
    <w:p w:rsidR="00000000" w:rsidDel="00000000" w:rsidP="00000000" w:rsidRDefault="00000000" w:rsidRPr="00000000" w14:paraId="0000001A">
      <w:pPr>
        <w:spacing w:line="432" w:lineRule="auto"/>
        <w:jc w:val="both"/>
        <w:rPr>
          <w:sz w:val="27"/>
          <w:szCs w:val="27"/>
        </w:rPr>
      </w:pPr>
      <w:r w:rsidDel="00000000" w:rsidR="00000000" w:rsidRPr="00000000">
        <w:rPr>
          <w:sz w:val="27"/>
          <w:szCs w:val="27"/>
          <w:rtl w:val="0"/>
        </w:rPr>
        <w:t xml:space="preserve"> </w:t>
      </w:r>
    </w:p>
    <w:p w:rsidR="00000000" w:rsidDel="00000000" w:rsidP="00000000" w:rsidRDefault="00000000" w:rsidRPr="00000000" w14:paraId="0000001B">
      <w:pPr>
        <w:spacing w:line="432" w:lineRule="auto"/>
        <w:jc w:val="both"/>
        <w:rPr>
          <w:sz w:val="27"/>
          <w:szCs w:val="27"/>
        </w:rPr>
      </w:pPr>
      <w:r w:rsidDel="00000000" w:rsidR="00000000" w:rsidRPr="00000000">
        <w:rPr>
          <w:sz w:val="27"/>
          <w:szCs w:val="27"/>
          <w:rtl w:val="0"/>
        </w:rPr>
        <w:t xml:space="preserve"> </w:t>
      </w:r>
    </w:p>
    <w:p w:rsidR="00000000" w:rsidDel="00000000" w:rsidP="00000000" w:rsidRDefault="00000000" w:rsidRPr="00000000" w14:paraId="0000001C">
      <w:pPr>
        <w:spacing w:line="432" w:lineRule="auto"/>
        <w:jc w:val="both"/>
        <w:rPr>
          <w:sz w:val="27"/>
          <w:szCs w:val="27"/>
        </w:rPr>
      </w:pPr>
      <w:r w:rsidDel="00000000" w:rsidR="00000000" w:rsidRPr="00000000">
        <w:rPr>
          <w:sz w:val="27"/>
          <w:szCs w:val="27"/>
          <w:rtl w:val="0"/>
        </w:rPr>
        <w:t xml:space="preserve"> </w:t>
      </w:r>
    </w:p>
    <w:p w:rsidR="00000000" w:rsidDel="00000000" w:rsidP="00000000" w:rsidRDefault="00000000" w:rsidRPr="00000000" w14:paraId="0000001D">
      <w:pPr>
        <w:spacing w:line="432" w:lineRule="auto"/>
        <w:jc w:val="both"/>
        <w:rPr>
          <w:sz w:val="27"/>
          <w:szCs w:val="27"/>
        </w:rPr>
      </w:pPr>
      <w:r w:rsidDel="00000000" w:rsidR="00000000" w:rsidRPr="00000000">
        <w:rPr>
          <w:sz w:val="27"/>
          <w:szCs w:val="27"/>
          <w:rtl w:val="0"/>
        </w:rPr>
        <w:t xml:space="preserve"> </w:t>
      </w:r>
    </w:p>
    <w:p w:rsidR="00000000" w:rsidDel="00000000" w:rsidP="00000000" w:rsidRDefault="00000000" w:rsidRPr="00000000" w14:paraId="0000001E">
      <w:pPr>
        <w:spacing w:line="432" w:lineRule="auto"/>
        <w:jc w:val="both"/>
        <w:rPr>
          <w:sz w:val="27"/>
          <w:szCs w:val="27"/>
        </w:rPr>
      </w:pPr>
      <w:r w:rsidDel="00000000" w:rsidR="00000000" w:rsidRPr="00000000">
        <w:rPr>
          <w:sz w:val="27"/>
          <w:szCs w:val="27"/>
          <w:rtl w:val="0"/>
        </w:rPr>
        <w:t xml:space="preserve"> </w:t>
      </w:r>
    </w:p>
    <w:p w:rsidR="00000000" w:rsidDel="00000000" w:rsidP="00000000" w:rsidRDefault="00000000" w:rsidRPr="00000000" w14:paraId="0000001F">
      <w:pPr>
        <w:spacing w:line="432" w:lineRule="auto"/>
        <w:jc w:val="both"/>
        <w:rPr>
          <w:sz w:val="27"/>
          <w:szCs w:val="27"/>
        </w:rPr>
      </w:pPr>
      <w:r w:rsidDel="00000000" w:rsidR="00000000" w:rsidRPr="00000000">
        <w:rPr>
          <w:sz w:val="27"/>
          <w:szCs w:val="27"/>
          <w:rtl w:val="0"/>
        </w:rPr>
        <w:t xml:space="preserve"> </w:t>
      </w:r>
    </w:p>
    <w:p w:rsidR="00000000" w:rsidDel="00000000" w:rsidP="00000000" w:rsidRDefault="00000000" w:rsidRPr="00000000" w14:paraId="00000020">
      <w:pPr>
        <w:spacing w:line="432" w:lineRule="auto"/>
        <w:jc w:val="both"/>
        <w:rPr>
          <w:sz w:val="27"/>
          <w:szCs w:val="27"/>
        </w:rPr>
      </w:pPr>
      <w:r w:rsidDel="00000000" w:rsidR="00000000" w:rsidRPr="00000000">
        <w:rPr>
          <w:sz w:val="27"/>
          <w:szCs w:val="27"/>
          <w:rtl w:val="0"/>
        </w:rPr>
        <w:t xml:space="preserve"> </w:t>
      </w:r>
    </w:p>
    <w:p w:rsidR="00000000" w:rsidDel="00000000" w:rsidP="00000000" w:rsidRDefault="00000000" w:rsidRPr="00000000" w14:paraId="00000021">
      <w:pPr>
        <w:spacing w:before="180" w:line="432" w:lineRule="auto"/>
        <w:jc w:val="both"/>
        <w:rPr>
          <w:rFonts w:ascii="Times New Roman" w:cs="Times New Roman" w:eastAsia="Times New Roman" w:hAnsi="Times New Roman"/>
          <w:b w:val="1"/>
          <w:sz w:val="36"/>
          <w:szCs w:val="36"/>
        </w:rPr>
      </w:pPr>
      <w:r w:rsidDel="00000000" w:rsidR="00000000" w:rsidRPr="00000000">
        <w:rPr>
          <w:rFonts w:ascii="Times New Roman" w:cs="Times New Roman" w:eastAsia="Times New Roman" w:hAnsi="Times New Roman"/>
          <w:b w:val="1"/>
          <w:sz w:val="36"/>
          <w:szCs w:val="36"/>
          <w:rtl w:val="0"/>
        </w:rPr>
        <w:t xml:space="preserve">References</w:t>
      </w:r>
    </w:p>
    <w:p w:rsidR="00000000" w:rsidDel="00000000" w:rsidP="00000000" w:rsidRDefault="00000000" w:rsidRPr="00000000" w14:paraId="00000022">
      <w:pPr>
        <w:spacing w:after="180" w:line="432" w:lineRule="auto"/>
        <w:jc w:val="both"/>
        <w:rPr>
          <w:rFonts w:ascii="Times New Roman" w:cs="Times New Roman" w:eastAsia="Times New Roman" w:hAnsi="Times New Roman"/>
          <w:sz w:val="27"/>
          <w:szCs w:val="27"/>
        </w:rPr>
      </w:pPr>
      <w:r w:rsidDel="00000000" w:rsidR="00000000" w:rsidRPr="00000000">
        <w:rPr>
          <w:rFonts w:ascii="Times New Roman" w:cs="Times New Roman" w:eastAsia="Times New Roman" w:hAnsi="Times New Roman"/>
          <w:sz w:val="27"/>
          <w:szCs w:val="27"/>
          <w:rtl w:val="0"/>
        </w:rPr>
        <w:t xml:space="preserve">Al-Malki, M. and Juan, W. (2018). Impact of Laissez-Faire Leadership on Role Ambiguity and Role Conflict: Implications for Job Performance. </w:t>
      </w:r>
      <w:r w:rsidDel="00000000" w:rsidR="00000000" w:rsidRPr="00000000">
        <w:rPr>
          <w:rFonts w:ascii="Times New Roman" w:cs="Times New Roman" w:eastAsia="Times New Roman" w:hAnsi="Times New Roman"/>
          <w:i w:val="1"/>
          <w:sz w:val="27"/>
          <w:szCs w:val="27"/>
          <w:rtl w:val="0"/>
        </w:rPr>
        <w:t xml:space="preserve">INTERNATIONAL JOURNAL OF INNOVATION AND ECONOMIC DEVELOPMENT</w:t>
      </w:r>
      <w:r w:rsidDel="00000000" w:rsidR="00000000" w:rsidRPr="00000000">
        <w:rPr>
          <w:rFonts w:ascii="Times New Roman" w:cs="Times New Roman" w:eastAsia="Times New Roman" w:hAnsi="Times New Roman"/>
          <w:sz w:val="27"/>
          <w:szCs w:val="27"/>
          <w:rtl w:val="0"/>
        </w:rPr>
        <w:t xml:space="preserve">, [online] 4(1), pp.29–43. doi:https://doi.org/10.18775/ijied.1849-7551-7020.2015.41.2003.</w:t>
      </w:r>
    </w:p>
    <w:p w:rsidR="00000000" w:rsidDel="00000000" w:rsidP="00000000" w:rsidRDefault="00000000" w:rsidRPr="00000000" w14:paraId="00000023">
      <w:pPr>
        <w:spacing w:after="180" w:line="432" w:lineRule="auto"/>
        <w:jc w:val="both"/>
        <w:rPr>
          <w:rFonts w:ascii="Times New Roman" w:cs="Times New Roman" w:eastAsia="Times New Roman" w:hAnsi="Times New Roman"/>
          <w:sz w:val="27"/>
          <w:szCs w:val="27"/>
        </w:rPr>
      </w:pPr>
      <w:r w:rsidDel="00000000" w:rsidR="00000000" w:rsidRPr="00000000">
        <w:rPr>
          <w:rFonts w:ascii="Times New Roman" w:cs="Times New Roman" w:eastAsia="Times New Roman" w:hAnsi="Times New Roman"/>
          <w:sz w:val="27"/>
          <w:szCs w:val="27"/>
          <w:rtl w:val="0"/>
        </w:rPr>
        <w:t xml:space="preserve">Amiri, N., Rahim, R.E. and Ahmed, G. (2020). Leadership Styles and Organizational Knowledge Management Activities: A Systematic Review. </w:t>
      </w:r>
      <w:r w:rsidDel="00000000" w:rsidR="00000000" w:rsidRPr="00000000">
        <w:rPr>
          <w:rFonts w:ascii="Times New Roman" w:cs="Times New Roman" w:eastAsia="Times New Roman" w:hAnsi="Times New Roman"/>
          <w:i w:val="1"/>
          <w:sz w:val="27"/>
          <w:szCs w:val="27"/>
          <w:rtl w:val="0"/>
        </w:rPr>
        <w:t xml:space="preserve">Gadjah Mada International Journal of Business</w:t>
      </w:r>
      <w:r w:rsidDel="00000000" w:rsidR="00000000" w:rsidRPr="00000000">
        <w:rPr>
          <w:rFonts w:ascii="Times New Roman" w:cs="Times New Roman" w:eastAsia="Times New Roman" w:hAnsi="Times New Roman"/>
          <w:sz w:val="27"/>
          <w:szCs w:val="27"/>
          <w:rtl w:val="0"/>
        </w:rPr>
        <w:t xml:space="preserve">, 22(3), p.250. doi:https://doi.org/10.22146/gamaijb.49903.</w:t>
      </w:r>
    </w:p>
    <w:p w:rsidR="00000000" w:rsidDel="00000000" w:rsidP="00000000" w:rsidRDefault="00000000" w:rsidRPr="00000000" w14:paraId="00000024">
      <w:pPr>
        <w:spacing w:after="180" w:line="432" w:lineRule="auto"/>
        <w:jc w:val="both"/>
        <w:rPr>
          <w:rFonts w:ascii="Times New Roman" w:cs="Times New Roman" w:eastAsia="Times New Roman" w:hAnsi="Times New Roman"/>
          <w:sz w:val="27"/>
          <w:szCs w:val="27"/>
        </w:rPr>
      </w:pPr>
      <w:r w:rsidDel="00000000" w:rsidR="00000000" w:rsidRPr="00000000">
        <w:rPr>
          <w:rFonts w:ascii="Times New Roman" w:cs="Times New Roman" w:eastAsia="Times New Roman" w:hAnsi="Times New Roman"/>
          <w:sz w:val="27"/>
          <w:szCs w:val="27"/>
          <w:rtl w:val="0"/>
        </w:rPr>
        <w:t xml:space="preserve">Bergen, C. and Bressler, M. (2019). LAISSEZ-FAIRE LEADERSHIP: DOING NOTHING AND ITS DESTRUCTIVE EFFECTS. </w:t>
      </w:r>
      <w:r w:rsidDel="00000000" w:rsidR="00000000" w:rsidRPr="00000000">
        <w:rPr>
          <w:rFonts w:ascii="Times New Roman" w:cs="Times New Roman" w:eastAsia="Times New Roman" w:hAnsi="Times New Roman"/>
          <w:i w:val="1"/>
          <w:sz w:val="27"/>
          <w:szCs w:val="27"/>
          <w:rtl w:val="0"/>
        </w:rPr>
        <w:t xml:space="preserve">European Journal of Management</w:t>
      </w:r>
      <w:r w:rsidDel="00000000" w:rsidR="00000000" w:rsidRPr="00000000">
        <w:rPr>
          <w:rFonts w:ascii="Times New Roman" w:cs="Times New Roman" w:eastAsia="Times New Roman" w:hAnsi="Times New Roman"/>
          <w:sz w:val="27"/>
          <w:szCs w:val="27"/>
          <w:rtl w:val="0"/>
        </w:rPr>
        <w:t xml:space="preserve">, 14(1), pp.83–94. doi:https://doi.org/10.18374/ejm-14-1.7.</w:t>
      </w:r>
    </w:p>
    <w:p w:rsidR="00000000" w:rsidDel="00000000" w:rsidP="00000000" w:rsidRDefault="00000000" w:rsidRPr="00000000" w14:paraId="00000025">
      <w:pPr>
        <w:spacing w:after="180" w:line="432" w:lineRule="auto"/>
        <w:jc w:val="both"/>
        <w:rPr>
          <w:rFonts w:ascii="Times New Roman" w:cs="Times New Roman" w:eastAsia="Times New Roman" w:hAnsi="Times New Roman"/>
          <w:sz w:val="27"/>
          <w:szCs w:val="27"/>
        </w:rPr>
      </w:pPr>
      <w:r w:rsidDel="00000000" w:rsidR="00000000" w:rsidRPr="00000000">
        <w:rPr>
          <w:rFonts w:ascii="Times New Roman" w:cs="Times New Roman" w:eastAsia="Times New Roman" w:hAnsi="Times New Roman"/>
          <w:sz w:val="27"/>
          <w:szCs w:val="27"/>
          <w:rtl w:val="0"/>
        </w:rPr>
        <w:t xml:space="preserve">Chakravarti, B.K. (2018). </w:t>
      </w:r>
      <w:r w:rsidDel="00000000" w:rsidR="00000000" w:rsidRPr="00000000">
        <w:rPr>
          <w:rFonts w:ascii="Times New Roman" w:cs="Times New Roman" w:eastAsia="Times New Roman" w:hAnsi="Times New Roman"/>
          <w:i w:val="1"/>
          <w:sz w:val="27"/>
          <w:szCs w:val="27"/>
          <w:rtl w:val="0"/>
        </w:rPr>
        <w:t xml:space="preserve">Hotel management</w:t>
      </w:r>
      <w:r w:rsidDel="00000000" w:rsidR="00000000" w:rsidRPr="00000000">
        <w:rPr>
          <w:rFonts w:ascii="Times New Roman" w:cs="Times New Roman" w:eastAsia="Times New Roman" w:hAnsi="Times New Roman"/>
          <w:sz w:val="27"/>
          <w:szCs w:val="27"/>
          <w:rtl w:val="0"/>
        </w:rPr>
        <w:t xml:space="preserve">. New Delhi: A.P.H. Pub. Corp.</w:t>
      </w:r>
    </w:p>
    <w:p w:rsidR="00000000" w:rsidDel="00000000" w:rsidP="00000000" w:rsidRDefault="00000000" w:rsidRPr="00000000" w14:paraId="00000026">
      <w:pPr>
        <w:spacing w:after="180" w:line="432" w:lineRule="auto"/>
        <w:jc w:val="both"/>
        <w:rPr>
          <w:rFonts w:ascii="Times New Roman" w:cs="Times New Roman" w:eastAsia="Times New Roman" w:hAnsi="Times New Roman"/>
          <w:sz w:val="27"/>
          <w:szCs w:val="27"/>
        </w:rPr>
      </w:pPr>
      <w:r w:rsidDel="00000000" w:rsidR="00000000" w:rsidRPr="00000000">
        <w:rPr>
          <w:rFonts w:ascii="Times New Roman" w:cs="Times New Roman" w:eastAsia="Times New Roman" w:hAnsi="Times New Roman"/>
          <w:sz w:val="27"/>
          <w:szCs w:val="27"/>
          <w:rtl w:val="0"/>
        </w:rPr>
        <w:t xml:space="preserve">Chang, H.-T., Chou, Y.-J., Miao, M.-C. and Liou, J.-W. (2019). The effects of leadership style on service quality: enrichment or depletion of innovation behaviour and job standardisation. </w:t>
      </w:r>
      <w:r w:rsidDel="00000000" w:rsidR="00000000" w:rsidRPr="00000000">
        <w:rPr>
          <w:rFonts w:ascii="Times New Roman" w:cs="Times New Roman" w:eastAsia="Times New Roman" w:hAnsi="Times New Roman"/>
          <w:i w:val="1"/>
          <w:sz w:val="27"/>
          <w:szCs w:val="27"/>
          <w:rtl w:val="0"/>
        </w:rPr>
        <w:t xml:space="preserve">Total Quality Management &amp; Business Excellence</w:t>
      </w:r>
      <w:r w:rsidDel="00000000" w:rsidR="00000000" w:rsidRPr="00000000">
        <w:rPr>
          <w:rFonts w:ascii="Times New Roman" w:cs="Times New Roman" w:eastAsia="Times New Roman" w:hAnsi="Times New Roman"/>
          <w:sz w:val="27"/>
          <w:szCs w:val="27"/>
          <w:rtl w:val="0"/>
        </w:rPr>
        <w:t xml:space="preserve">, 32(5-6), pp.1–17. doi:https://doi.org/10.1080/14783363.2019.1626708.</w:t>
      </w:r>
    </w:p>
    <w:p w:rsidR="00000000" w:rsidDel="00000000" w:rsidP="00000000" w:rsidRDefault="00000000" w:rsidRPr="00000000" w14:paraId="00000027">
      <w:pPr>
        <w:spacing w:after="180" w:line="432" w:lineRule="auto"/>
        <w:jc w:val="both"/>
        <w:rPr>
          <w:rFonts w:ascii="Times New Roman" w:cs="Times New Roman" w:eastAsia="Times New Roman" w:hAnsi="Times New Roman"/>
          <w:sz w:val="27"/>
          <w:szCs w:val="27"/>
        </w:rPr>
      </w:pPr>
      <w:r w:rsidDel="00000000" w:rsidR="00000000" w:rsidRPr="00000000">
        <w:rPr>
          <w:rFonts w:ascii="Times New Roman" w:cs="Times New Roman" w:eastAsia="Times New Roman" w:hAnsi="Times New Roman"/>
          <w:sz w:val="27"/>
          <w:szCs w:val="27"/>
          <w:rtl w:val="0"/>
        </w:rPr>
        <w:t xml:space="preserve">Eid, R. and Agag, G. (2020). Determinants of Innovative Behaviour in the Hotel Industry: A cross-Cultural Study. </w:t>
      </w:r>
      <w:r w:rsidDel="00000000" w:rsidR="00000000" w:rsidRPr="00000000">
        <w:rPr>
          <w:rFonts w:ascii="Times New Roman" w:cs="Times New Roman" w:eastAsia="Times New Roman" w:hAnsi="Times New Roman"/>
          <w:i w:val="1"/>
          <w:sz w:val="27"/>
          <w:szCs w:val="27"/>
          <w:rtl w:val="0"/>
        </w:rPr>
        <w:t xml:space="preserve">International Journal of Hospitality Management</w:t>
      </w:r>
      <w:r w:rsidDel="00000000" w:rsidR="00000000" w:rsidRPr="00000000">
        <w:rPr>
          <w:rFonts w:ascii="Times New Roman" w:cs="Times New Roman" w:eastAsia="Times New Roman" w:hAnsi="Times New Roman"/>
          <w:sz w:val="27"/>
          <w:szCs w:val="27"/>
          <w:rtl w:val="0"/>
        </w:rPr>
        <w:t xml:space="preserve">, 91, p.102642.</w:t>
      </w:r>
    </w:p>
    <w:p w:rsidR="00000000" w:rsidDel="00000000" w:rsidP="00000000" w:rsidRDefault="00000000" w:rsidRPr="00000000" w14:paraId="00000028">
      <w:pPr>
        <w:spacing w:after="180" w:line="432" w:lineRule="auto"/>
        <w:jc w:val="both"/>
        <w:rPr>
          <w:rFonts w:ascii="Times New Roman" w:cs="Times New Roman" w:eastAsia="Times New Roman" w:hAnsi="Times New Roman"/>
          <w:sz w:val="27"/>
          <w:szCs w:val="27"/>
        </w:rPr>
      </w:pPr>
      <w:r w:rsidDel="00000000" w:rsidR="00000000" w:rsidRPr="00000000">
        <w:rPr>
          <w:rFonts w:ascii="Times New Roman" w:cs="Times New Roman" w:eastAsia="Times New Roman" w:hAnsi="Times New Roman"/>
          <w:sz w:val="27"/>
          <w:szCs w:val="27"/>
          <w:rtl w:val="0"/>
        </w:rPr>
        <w:t xml:space="preserve">Guchait, P., Peyton, T., Madera, J.M., Gip, H. and Molina-Collado, A. (2023). 21st century leadership research in hospitality management: a state-of-the-art systematic literature review. </w:t>
      </w:r>
      <w:r w:rsidDel="00000000" w:rsidR="00000000" w:rsidRPr="00000000">
        <w:rPr>
          <w:rFonts w:ascii="Times New Roman" w:cs="Times New Roman" w:eastAsia="Times New Roman" w:hAnsi="Times New Roman"/>
          <w:i w:val="1"/>
          <w:sz w:val="27"/>
          <w:szCs w:val="27"/>
          <w:rtl w:val="0"/>
        </w:rPr>
        <w:t xml:space="preserve">International Journal of Contemporary Hospitality Management</w:t>
      </w:r>
      <w:r w:rsidDel="00000000" w:rsidR="00000000" w:rsidRPr="00000000">
        <w:rPr>
          <w:rFonts w:ascii="Times New Roman" w:cs="Times New Roman" w:eastAsia="Times New Roman" w:hAnsi="Times New Roman"/>
          <w:sz w:val="27"/>
          <w:szCs w:val="27"/>
          <w:rtl w:val="0"/>
        </w:rPr>
        <w:t xml:space="preserve">, 35(12). doi:https://doi.org/10.1108/ijchm-05-2022-0620.</w:t>
      </w:r>
    </w:p>
    <w:p w:rsidR="00000000" w:rsidDel="00000000" w:rsidP="00000000" w:rsidRDefault="00000000" w:rsidRPr="00000000" w14:paraId="00000029">
      <w:pPr>
        <w:spacing w:after="180" w:line="432" w:lineRule="auto"/>
        <w:jc w:val="both"/>
        <w:rPr>
          <w:rFonts w:ascii="Times New Roman" w:cs="Times New Roman" w:eastAsia="Times New Roman" w:hAnsi="Times New Roman"/>
          <w:sz w:val="27"/>
          <w:szCs w:val="27"/>
        </w:rPr>
      </w:pPr>
      <w:r w:rsidDel="00000000" w:rsidR="00000000" w:rsidRPr="00000000">
        <w:rPr>
          <w:rFonts w:ascii="Times New Roman" w:cs="Times New Roman" w:eastAsia="Times New Roman" w:hAnsi="Times New Roman"/>
          <w:sz w:val="27"/>
          <w:szCs w:val="27"/>
          <w:rtl w:val="0"/>
        </w:rPr>
        <w:t xml:space="preserve">Hahang, E., Bayraktar, S. and Jiménez, A. (2022). Early evidence of leadership skills and strategies in managing the impact of COVID-19 pandemic in the hospitality industry. </w:t>
      </w:r>
      <w:r w:rsidDel="00000000" w:rsidR="00000000" w:rsidRPr="00000000">
        <w:rPr>
          <w:rFonts w:ascii="Times New Roman" w:cs="Times New Roman" w:eastAsia="Times New Roman" w:hAnsi="Times New Roman"/>
          <w:i w:val="1"/>
          <w:sz w:val="27"/>
          <w:szCs w:val="27"/>
          <w:rtl w:val="0"/>
        </w:rPr>
        <w:t xml:space="preserve">Cross Cultural &amp; Strategic Management</w:t>
      </w:r>
      <w:r w:rsidDel="00000000" w:rsidR="00000000" w:rsidRPr="00000000">
        <w:rPr>
          <w:rFonts w:ascii="Times New Roman" w:cs="Times New Roman" w:eastAsia="Times New Roman" w:hAnsi="Times New Roman"/>
          <w:sz w:val="27"/>
          <w:szCs w:val="27"/>
          <w:rtl w:val="0"/>
        </w:rPr>
        <w:t xml:space="preserve">, ahead-of-print(ahead-of-print). doi:https://doi.org/10.1108/ccsm-03-2021-0041.</w:t>
      </w:r>
    </w:p>
    <w:p w:rsidR="00000000" w:rsidDel="00000000" w:rsidP="00000000" w:rsidRDefault="00000000" w:rsidRPr="00000000" w14:paraId="0000002A">
      <w:pPr>
        <w:spacing w:after="180" w:line="432" w:lineRule="auto"/>
        <w:jc w:val="both"/>
        <w:rPr>
          <w:rFonts w:ascii="Times New Roman" w:cs="Times New Roman" w:eastAsia="Times New Roman" w:hAnsi="Times New Roman"/>
          <w:sz w:val="27"/>
          <w:szCs w:val="27"/>
        </w:rPr>
      </w:pPr>
      <w:r w:rsidDel="00000000" w:rsidR="00000000" w:rsidRPr="00000000">
        <w:rPr>
          <w:rFonts w:ascii="Times New Roman" w:cs="Times New Roman" w:eastAsia="Times New Roman" w:hAnsi="Times New Roman"/>
          <w:sz w:val="27"/>
          <w:szCs w:val="27"/>
          <w:rtl w:val="0"/>
        </w:rPr>
        <w:t xml:space="preserve">Jackson, E. (2018). </w:t>
      </w:r>
      <w:r w:rsidDel="00000000" w:rsidR="00000000" w:rsidRPr="00000000">
        <w:rPr>
          <w:rFonts w:ascii="Times New Roman" w:cs="Times New Roman" w:eastAsia="Times New Roman" w:hAnsi="Times New Roman"/>
          <w:i w:val="1"/>
          <w:sz w:val="27"/>
          <w:szCs w:val="27"/>
          <w:rtl w:val="0"/>
        </w:rPr>
        <w:t xml:space="preserve">Hotel management</w:t>
      </w:r>
      <w:r w:rsidDel="00000000" w:rsidR="00000000" w:rsidRPr="00000000">
        <w:rPr>
          <w:rFonts w:ascii="Times New Roman" w:cs="Times New Roman" w:eastAsia="Times New Roman" w:hAnsi="Times New Roman"/>
          <w:sz w:val="27"/>
          <w:szCs w:val="27"/>
          <w:rtl w:val="0"/>
        </w:rPr>
        <w:t xml:space="preserve">. New York, Ny: Larsen &amp; Keller.</w:t>
      </w:r>
    </w:p>
    <w:p w:rsidR="00000000" w:rsidDel="00000000" w:rsidP="00000000" w:rsidRDefault="00000000" w:rsidRPr="00000000" w14:paraId="0000002B">
      <w:pPr>
        <w:spacing w:after="180" w:line="432" w:lineRule="auto"/>
        <w:jc w:val="both"/>
        <w:rPr>
          <w:rFonts w:ascii="Times New Roman" w:cs="Times New Roman" w:eastAsia="Times New Roman" w:hAnsi="Times New Roman"/>
          <w:sz w:val="27"/>
          <w:szCs w:val="27"/>
        </w:rPr>
      </w:pPr>
      <w:r w:rsidDel="00000000" w:rsidR="00000000" w:rsidRPr="00000000">
        <w:rPr>
          <w:rFonts w:ascii="Times New Roman" w:cs="Times New Roman" w:eastAsia="Times New Roman" w:hAnsi="Times New Roman"/>
          <w:sz w:val="27"/>
          <w:szCs w:val="27"/>
          <w:rtl w:val="0"/>
        </w:rPr>
        <w:t xml:space="preserve">Jones, D. and Rudd, R. (2018). Transactional, Transformational, or Laissez-Faire Leadership: An Assessment of College of Agriculture Academic Program Leaders’ (Deans) Leadership Styles. </w:t>
      </w:r>
      <w:r w:rsidDel="00000000" w:rsidR="00000000" w:rsidRPr="00000000">
        <w:rPr>
          <w:rFonts w:ascii="Times New Roman" w:cs="Times New Roman" w:eastAsia="Times New Roman" w:hAnsi="Times New Roman"/>
          <w:i w:val="1"/>
          <w:sz w:val="27"/>
          <w:szCs w:val="27"/>
          <w:rtl w:val="0"/>
        </w:rPr>
        <w:t xml:space="preserve">Journal of Agricultural Education</w:t>
      </w:r>
      <w:r w:rsidDel="00000000" w:rsidR="00000000" w:rsidRPr="00000000">
        <w:rPr>
          <w:rFonts w:ascii="Times New Roman" w:cs="Times New Roman" w:eastAsia="Times New Roman" w:hAnsi="Times New Roman"/>
          <w:sz w:val="27"/>
          <w:szCs w:val="27"/>
          <w:rtl w:val="0"/>
        </w:rPr>
        <w:t xml:space="preserve">, 49(2), pp.88–97. doi:https://doi.org/10.5032/jae.2008.02088.</w:t>
      </w:r>
    </w:p>
    <w:p w:rsidR="00000000" w:rsidDel="00000000" w:rsidP="00000000" w:rsidRDefault="00000000" w:rsidRPr="00000000" w14:paraId="0000002C">
      <w:pPr>
        <w:spacing w:after="180" w:line="432" w:lineRule="auto"/>
        <w:jc w:val="both"/>
        <w:rPr>
          <w:rFonts w:ascii="Times New Roman" w:cs="Times New Roman" w:eastAsia="Times New Roman" w:hAnsi="Times New Roman"/>
          <w:sz w:val="27"/>
          <w:szCs w:val="27"/>
        </w:rPr>
      </w:pPr>
      <w:r w:rsidDel="00000000" w:rsidR="00000000" w:rsidRPr="00000000">
        <w:rPr>
          <w:rFonts w:ascii="Times New Roman" w:cs="Times New Roman" w:eastAsia="Times New Roman" w:hAnsi="Times New Roman"/>
          <w:sz w:val="27"/>
          <w:szCs w:val="27"/>
          <w:rtl w:val="0"/>
        </w:rPr>
        <w:t xml:space="preserve">Mullins, L.J. (2019). </w:t>
      </w:r>
      <w:r w:rsidDel="00000000" w:rsidR="00000000" w:rsidRPr="00000000">
        <w:rPr>
          <w:rFonts w:ascii="Times New Roman" w:cs="Times New Roman" w:eastAsia="Times New Roman" w:hAnsi="Times New Roman"/>
          <w:i w:val="1"/>
          <w:sz w:val="27"/>
          <w:szCs w:val="27"/>
          <w:rtl w:val="0"/>
        </w:rPr>
        <w:t xml:space="preserve">Organisational Behaviour in the Workplace</w:t>
      </w:r>
      <w:r w:rsidDel="00000000" w:rsidR="00000000" w:rsidRPr="00000000">
        <w:rPr>
          <w:rFonts w:ascii="Times New Roman" w:cs="Times New Roman" w:eastAsia="Times New Roman" w:hAnsi="Times New Roman"/>
          <w:sz w:val="27"/>
          <w:szCs w:val="27"/>
          <w:rtl w:val="0"/>
        </w:rPr>
        <w:t xml:space="preserve">. 12th ed. Harlow: Pearson.</w:t>
      </w:r>
    </w:p>
    <w:p w:rsidR="00000000" w:rsidDel="00000000" w:rsidP="00000000" w:rsidRDefault="00000000" w:rsidRPr="00000000" w14:paraId="0000002D">
      <w:pPr>
        <w:spacing w:after="180" w:line="432" w:lineRule="auto"/>
        <w:jc w:val="both"/>
        <w:rPr>
          <w:rFonts w:ascii="Times New Roman" w:cs="Times New Roman" w:eastAsia="Times New Roman" w:hAnsi="Times New Roman"/>
          <w:sz w:val="27"/>
          <w:szCs w:val="27"/>
        </w:rPr>
      </w:pPr>
      <w:r w:rsidDel="00000000" w:rsidR="00000000" w:rsidRPr="00000000">
        <w:rPr>
          <w:rFonts w:ascii="Times New Roman" w:cs="Times New Roman" w:eastAsia="Times New Roman" w:hAnsi="Times New Roman"/>
          <w:sz w:val="27"/>
          <w:szCs w:val="27"/>
          <w:rtl w:val="0"/>
        </w:rPr>
        <w:t xml:space="preserve">Nazarian, A., Velayati, R., Foroudi, P., Edirisinghe, D. and Atkinson, P. (2021). Organizational justice in the hotel industry: revisiting GLOBE from a national culture perspective. </w:t>
      </w:r>
      <w:r w:rsidDel="00000000" w:rsidR="00000000" w:rsidRPr="00000000">
        <w:rPr>
          <w:rFonts w:ascii="Times New Roman" w:cs="Times New Roman" w:eastAsia="Times New Roman" w:hAnsi="Times New Roman"/>
          <w:i w:val="1"/>
          <w:sz w:val="27"/>
          <w:szCs w:val="27"/>
          <w:rtl w:val="0"/>
        </w:rPr>
        <w:t xml:space="preserve">International Journal of Contemporary Hospitality Management</w:t>
      </w:r>
      <w:r w:rsidDel="00000000" w:rsidR="00000000" w:rsidRPr="00000000">
        <w:rPr>
          <w:rFonts w:ascii="Times New Roman" w:cs="Times New Roman" w:eastAsia="Times New Roman" w:hAnsi="Times New Roman"/>
          <w:sz w:val="27"/>
          <w:szCs w:val="27"/>
          <w:rtl w:val="0"/>
        </w:rPr>
        <w:t xml:space="preserve">, 33(12), pp.4418–4438. doi:https://doi.org/10.1108/ijchm-04-2021-0449.</w:t>
      </w:r>
    </w:p>
    <w:p w:rsidR="00000000" w:rsidDel="00000000" w:rsidP="00000000" w:rsidRDefault="00000000" w:rsidRPr="00000000" w14:paraId="0000002E">
      <w:pPr>
        <w:spacing w:after="180" w:line="432" w:lineRule="auto"/>
        <w:jc w:val="both"/>
        <w:rPr>
          <w:rFonts w:ascii="Times New Roman" w:cs="Times New Roman" w:eastAsia="Times New Roman" w:hAnsi="Times New Roman"/>
          <w:sz w:val="27"/>
          <w:szCs w:val="27"/>
        </w:rPr>
      </w:pPr>
      <w:r w:rsidDel="00000000" w:rsidR="00000000" w:rsidRPr="00000000">
        <w:rPr>
          <w:rFonts w:ascii="Times New Roman" w:cs="Times New Roman" w:eastAsia="Times New Roman" w:hAnsi="Times New Roman"/>
          <w:sz w:val="27"/>
          <w:szCs w:val="27"/>
          <w:rtl w:val="0"/>
        </w:rPr>
        <w:t xml:space="preserve">Pęciak, R. (2016). The reflections on maxims laissez-faire, laissez-passer genesis. </w:t>
      </w:r>
      <w:r w:rsidDel="00000000" w:rsidR="00000000" w:rsidRPr="00000000">
        <w:rPr>
          <w:rFonts w:ascii="Times New Roman" w:cs="Times New Roman" w:eastAsia="Times New Roman" w:hAnsi="Times New Roman"/>
          <w:i w:val="1"/>
          <w:sz w:val="27"/>
          <w:szCs w:val="27"/>
          <w:rtl w:val="0"/>
        </w:rPr>
        <w:t xml:space="preserve">Współczesne Problemy Ekonomiczne</w:t>
      </w:r>
      <w:r w:rsidDel="00000000" w:rsidR="00000000" w:rsidRPr="00000000">
        <w:rPr>
          <w:rFonts w:ascii="Times New Roman" w:cs="Times New Roman" w:eastAsia="Times New Roman" w:hAnsi="Times New Roman"/>
          <w:sz w:val="27"/>
          <w:szCs w:val="27"/>
          <w:rtl w:val="0"/>
        </w:rPr>
        <w:t xml:space="preserve">, 13(1), pp.123–131. doi:https://doi.org/10.18276/wpe.2016.13-11.</w:t>
      </w:r>
    </w:p>
    <w:p w:rsidR="00000000" w:rsidDel="00000000" w:rsidP="00000000" w:rsidRDefault="00000000" w:rsidRPr="00000000" w14:paraId="0000002F">
      <w:pPr>
        <w:spacing w:after="180" w:line="432" w:lineRule="auto"/>
        <w:jc w:val="both"/>
        <w:rPr>
          <w:rFonts w:ascii="Times New Roman" w:cs="Times New Roman" w:eastAsia="Times New Roman" w:hAnsi="Times New Roman"/>
          <w:sz w:val="27"/>
          <w:szCs w:val="27"/>
        </w:rPr>
      </w:pPr>
      <w:r w:rsidDel="00000000" w:rsidR="00000000" w:rsidRPr="00000000">
        <w:rPr>
          <w:rFonts w:ascii="Times New Roman" w:cs="Times New Roman" w:eastAsia="Times New Roman" w:hAnsi="Times New Roman"/>
          <w:sz w:val="27"/>
          <w:szCs w:val="27"/>
          <w:rtl w:val="0"/>
        </w:rPr>
        <w:t xml:space="preserve">Reidhead, C. (2020). </w:t>
      </w:r>
      <w:r w:rsidDel="00000000" w:rsidR="00000000" w:rsidRPr="00000000">
        <w:rPr>
          <w:rFonts w:ascii="Times New Roman" w:cs="Times New Roman" w:eastAsia="Times New Roman" w:hAnsi="Times New Roman"/>
          <w:i w:val="1"/>
          <w:sz w:val="27"/>
          <w:szCs w:val="27"/>
          <w:rtl w:val="0"/>
        </w:rPr>
        <w:t xml:space="preserve">Impact of Organizational Culture on Employee Satisfaction: A Case of Hilton Hotel, United Kingdom</w:t>
      </w:r>
      <w:r w:rsidDel="00000000" w:rsidR="00000000" w:rsidRPr="00000000">
        <w:rPr>
          <w:rFonts w:ascii="Times New Roman" w:cs="Times New Roman" w:eastAsia="Times New Roman" w:hAnsi="Times New Roman"/>
          <w:sz w:val="27"/>
          <w:szCs w:val="27"/>
          <w:rtl w:val="0"/>
        </w:rPr>
        <w:t xml:space="preserve">. [online] papers.ssrn.com. Available at: https://papers.ssrn.com/sol3/papers.cfm?abstract_id=3563546.</w:t>
      </w:r>
    </w:p>
    <w:p w:rsidR="00000000" w:rsidDel="00000000" w:rsidP="00000000" w:rsidRDefault="00000000" w:rsidRPr="00000000" w14:paraId="00000030">
      <w:pPr>
        <w:spacing w:after="180" w:line="432" w:lineRule="auto"/>
        <w:jc w:val="both"/>
        <w:rPr>
          <w:rFonts w:ascii="Times New Roman" w:cs="Times New Roman" w:eastAsia="Times New Roman" w:hAnsi="Times New Roman"/>
          <w:sz w:val="27"/>
          <w:szCs w:val="27"/>
        </w:rPr>
      </w:pPr>
      <w:r w:rsidDel="00000000" w:rsidR="00000000" w:rsidRPr="00000000">
        <w:rPr>
          <w:rFonts w:ascii="Times New Roman" w:cs="Times New Roman" w:eastAsia="Times New Roman" w:hAnsi="Times New Roman"/>
          <w:sz w:val="27"/>
          <w:szCs w:val="27"/>
          <w:rtl w:val="0"/>
        </w:rPr>
        <w:t xml:space="preserve">Riva, F., Magrizos, S. and Rubel, M.R.B. (2021). Investigating the link between managers’ green knowledge and leadership style, and their firms’ environmental performance: The mediation role of green creativity. </w:t>
      </w:r>
      <w:r w:rsidDel="00000000" w:rsidR="00000000" w:rsidRPr="00000000">
        <w:rPr>
          <w:rFonts w:ascii="Times New Roman" w:cs="Times New Roman" w:eastAsia="Times New Roman" w:hAnsi="Times New Roman"/>
          <w:i w:val="1"/>
          <w:sz w:val="27"/>
          <w:szCs w:val="27"/>
          <w:rtl w:val="0"/>
        </w:rPr>
        <w:t xml:space="preserve">Business Strategy and the Environment</w:t>
      </w:r>
      <w:r w:rsidDel="00000000" w:rsidR="00000000" w:rsidRPr="00000000">
        <w:rPr>
          <w:rFonts w:ascii="Times New Roman" w:cs="Times New Roman" w:eastAsia="Times New Roman" w:hAnsi="Times New Roman"/>
          <w:sz w:val="27"/>
          <w:szCs w:val="27"/>
          <w:rtl w:val="0"/>
        </w:rPr>
        <w:t xml:space="preserve">, [online] 30(7), pp.3228–3240. doi:https://doi.org/10.1002/bse.2799.</w:t>
      </w:r>
    </w:p>
    <w:p w:rsidR="00000000" w:rsidDel="00000000" w:rsidP="00000000" w:rsidRDefault="00000000" w:rsidRPr="00000000" w14:paraId="00000031">
      <w:pPr>
        <w:spacing w:after="180" w:line="432" w:lineRule="auto"/>
        <w:jc w:val="both"/>
        <w:rPr>
          <w:rFonts w:ascii="Times New Roman" w:cs="Times New Roman" w:eastAsia="Times New Roman" w:hAnsi="Times New Roman"/>
          <w:sz w:val="27"/>
          <w:szCs w:val="27"/>
        </w:rPr>
      </w:pPr>
      <w:r w:rsidDel="00000000" w:rsidR="00000000" w:rsidRPr="00000000">
        <w:rPr>
          <w:rFonts w:ascii="Times New Roman" w:cs="Times New Roman" w:eastAsia="Times New Roman" w:hAnsi="Times New Roman"/>
          <w:sz w:val="27"/>
          <w:szCs w:val="27"/>
          <w:rtl w:val="0"/>
        </w:rPr>
        <w:t xml:space="preserve">Sobaih, A.E.E., Hasanein, A.M., Aliedan, M.M. and Abdallah, H.S. (2020). The impact of transactional and transformational leadership on employee intention to stay in deluxe hotels: Mediating role of organisational commitment. </w:t>
      </w:r>
      <w:r w:rsidDel="00000000" w:rsidR="00000000" w:rsidRPr="00000000">
        <w:rPr>
          <w:rFonts w:ascii="Times New Roman" w:cs="Times New Roman" w:eastAsia="Times New Roman" w:hAnsi="Times New Roman"/>
          <w:i w:val="1"/>
          <w:sz w:val="27"/>
          <w:szCs w:val="27"/>
          <w:rtl w:val="0"/>
        </w:rPr>
        <w:t xml:space="preserve">Tourism and Hospitality Research</w:t>
      </w:r>
      <w:r w:rsidDel="00000000" w:rsidR="00000000" w:rsidRPr="00000000">
        <w:rPr>
          <w:rFonts w:ascii="Times New Roman" w:cs="Times New Roman" w:eastAsia="Times New Roman" w:hAnsi="Times New Roman"/>
          <w:sz w:val="27"/>
          <w:szCs w:val="27"/>
          <w:rtl w:val="0"/>
        </w:rPr>
        <w:t xml:space="preserve">, 22(3), p.146735842097215. doi:https://doi.org/10.1177/1467358420972156.</w:t>
      </w:r>
    </w:p>
    <w:p w:rsidR="00000000" w:rsidDel="00000000" w:rsidP="00000000" w:rsidRDefault="00000000" w:rsidRPr="00000000" w14:paraId="00000032">
      <w:pPr>
        <w:spacing w:after="180" w:line="432" w:lineRule="auto"/>
        <w:jc w:val="both"/>
        <w:rPr>
          <w:rFonts w:ascii="Times New Roman" w:cs="Times New Roman" w:eastAsia="Times New Roman" w:hAnsi="Times New Roman"/>
          <w:sz w:val="27"/>
          <w:szCs w:val="27"/>
        </w:rPr>
      </w:pPr>
      <w:r w:rsidDel="00000000" w:rsidR="00000000" w:rsidRPr="00000000">
        <w:rPr>
          <w:rFonts w:ascii="Times New Roman" w:cs="Times New Roman" w:eastAsia="Times New Roman" w:hAnsi="Times New Roman"/>
          <w:sz w:val="27"/>
          <w:szCs w:val="27"/>
          <w:rtl w:val="0"/>
        </w:rPr>
        <w:t xml:space="preserve">Tan, Y. and Despotis, D. (2021). Investigation of efficiency in the UK hotel industry: a network data envelopment analysis approach. </w:t>
      </w:r>
      <w:r w:rsidDel="00000000" w:rsidR="00000000" w:rsidRPr="00000000">
        <w:rPr>
          <w:rFonts w:ascii="Times New Roman" w:cs="Times New Roman" w:eastAsia="Times New Roman" w:hAnsi="Times New Roman"/>
          <w:i w:val="1"/>
          <w:sz w:val="27"/>
          <w:szCs w:val="27"/>
          <w:rtl w:val="0"/>
        </w:rPr>
        <w:t xml:space="preserve">International Journal of Contemporary Hospitality Management</w:t>
      </w:r>
      <w:r w:rsidDel="00000000" w:rsidR="00000000" w:rsidRPr="00000000">
        <w:rPr>
          <w:rFonts w:ascii="Times New Roman" w:cs="Times New Roman" w:eastAsia="Times New Roman" w:hAnsi="Times New Roman"/>
          <w:sz w:val="27"/>
          <w:szCs w:val="27"/>
          <w:rtl w:val="0"/>
        </w:rPr>
        <w:t xml:space="preserve">, 33(3), pp.1080–1104.</w:t>
      </w:r>
    </w:p>
    <w:p w:rsidR="00000000" w:rsidDel="00000000" w:rsidP="00000000" w:rsidRDefault="00000000" w:rsidRPr="00000000" w14:paraId="00000033">
      <w:pPr>
        <w:spacing w:after="180" w:line="432" w:lineRule="auto"/>
        <w:jc w:val="both"/>
        <w:rPr>
          <w:rFonts w:ascii="Times New Roman" w:cs="Times New Roman" w:eastAsia="Times New Roman" w:hAnsi="Times New Roman"/>
          <w:sz w:val="27"/>
          <w:szCs w:val="27"/>
        </w:rPr>
      </w:pPr>
      <w:r w:rsidDel="00000000" w:rsidR="00000000" w:rsidRPr="00000000">
        <w:rPr>
          <w:rFonts w:ascii="Times New Roman" w:cs="Times New Roman" w:eastAsia="Times New Roman" w:hAnsi="Times New Roman"/>
          <w:sz w:val="27"/>
          <w:szCs w:val="27"/>
          <w:rtl w:val="0"/>
        </w:rPr>
        <w:t xml:space="preserve">Wellman, E.M. and LePine, J. (2017). Laissez-Faire Leadership and Informal Leadership Behavior. </w:t>
      </w:r>
      <w:r w:rsidDel="00000000" w:rsidR="00000000" w:rsidRPr="00000000">
        <w:rPr>
          <w:rFonts w:ascii="Times New Roman" w:cs="Times New Roman" w:eastAsia="Times New Roman" w:hAnsi="Times New Roman"/>
          <w:i w:val="1"/>
          <w:sz w:val="27"/>
          <w:szCs w:val="27"/>
          <w:rtl w:val="0"/>
        </w:rPr>
        <w:t xml:space="preserve">Academy of Management Proceedings</w:t>
      </w:r>
      <w:r w:rsidDel="00000000" w:rsidR="00000000" w:rsidRPr="00000000">
        <w:rPr>
          <w:rFonts w:ascii="Times New Roman" w:cs="Times New Roman" w:eastAsia="Times New Roman" w:hAnsi="Times New Roman"/>
          <w:sz w:val="27"/>
          <w:szCs w:val="27"/>
          <w:rtl w:val="0"/>
        </w:rPr>
        <w:t xml:space="preserve">, 2017(1), p.11499. doi:https://doi.org/10.5465/ambpp.2017.11499abstract.</w:t>
      </w:r>
    </w:p>
    <w:p w:rsidR="00000000" w:rsidDel="00000000" w:rsidP="00000000" w:rsidRDefault="00000000" w:rsidRPr="00000000" w14:paraId="00000034">
      <w:pPr>
        <w:spacing w:after="180" w:line="432" w:lineRule="auto"/>
        <w:jc w:val="both"/>
        <w:rPr>
          <w:rFonts w:ascii="Times New Roman" w:cs="Times New Roman" w:eastAsia="Times New Roman" w:hAnsi="Times New Roman"/>
          <w:sz w:val="27"/>
          <w:szCs w:val="27"/>
        </w:rPr>
      </w:pPr>
      <w:r w:rsidDel="00000000" w:rsidR="00000000" w:rsidRPr="00000000">
        <w:rPr>
          <w:rFonts w:ascii="Times New Roman" w:cs="Times New Roman" w:eastAsia="Times New Roman" w:hAnsi="Times New Roman"/>
          <w:sz w:val="27"/>
          <w:szCs w:val="27"/>
          <w:rtl w:val="0"/>
        </w:rPr>
        <w:t xml:space="preserve">Xu, S., Stienmetz, J. and Ashton, M. (2020). How will service robots redefine leadership in hotel management? A Delphi approach. </w:t>
      </w:r>
      <w:r w:rsidDel="00000000" w:rsidR="00000000" w:rsidRPr="00000000">
        <w:rPr>
          <w:rFonts w:ascii="Times New Roman" w:cs="Times New Roman" w:eastAsia="Times New Roman" w:hAnsi="Times New Roman"/>
          <w:i w:val="1"/>
          <w:sz w:val="27"/>
          <w:szCs w:val="27"/>
          <w:rtl w:val="0"/>
        </w:rPr>
        <w:t xml:space="preserve">International Journal of Contemporary Hospitality Management</w:t>
      </w:r>
      <w:r w:rsidDel="00000000" w:rsidR="00000000" w:rsidRPr="00000000">
        <w:rPr>
          <w:rFonts w:ascii="Times New Roman" w:cs="Times New Roman" w:eastAsia="Times New Roman" w:hAnsi="Times New Roman"/>
          <w:sz w:val="27"/>
          <w:szCs w:val="27"/>
          <w:rtl w:val="0"/>
        </w:rPr>
        <w:t xml:space="preserve">, 32(6), pp.2217–2237. doi:https://doi.org/10.1108/ijchm-05-2019-0505.</w:t>
      </w:r>
    </w:p>
    <w:p w:rsidR="00000000" w:rsidDel="00000000" w:rsidP="00000000" w:rsidRDefault="00000000" w:rsidRPr="00000000" w14:paraId="00000035">
      <w:pPr>
        <w:spacing w:after="180" w:line="432" w:lineRule="auto"/>
        <w:jc w:val="both"/>
        <w:rPr>
          <w:rFonts w:ascii="Times New Roman" w:cs="Times New Roman" w:eastAsia="Times New Roman" w:hAnsi="Times New Roman"/>
          <w:sz w:val="27"/>
          <w:szCs w:val="27"/>
        </w:rPr>
      </w:pPr>
      <w:r w:rsidDel="00000000" w:rsidR="00000000" w:rsidRPr="00000000">
        <w:rPr>
          <w:rFonts w:ascii="Times New Roman" w:cs="Times New Roman" w:eastAsia="Times New Roman" w:hAnsi="Times New Roman"/>
          <w:sz w:val="27"/>
          <w:szCs w:val="27"/>
          <w:rtl w:val="0"/>
        </w:rPr>
        <w:t xml:space="preserve">Zhang, J., Xie, C., Wang, J., Morrison, A.M. and Coca-Stefaniak, J.A. (2020). Responding to a major global crisis: the effects of hotel safety leadership on employee safety behavior during COVID-19. </w:t>
      </w:r>
      <w:r w:rsidDel="00000000" w:rsidR="00000000" w:rsidRPr="00000000">
        <w:rPr>
          <w:rFonts w:ascii="Times New Roman" w:cs="Times New Roman" w:eastAsia="Times New Roman" w:hAnsi="Times New Roman"/>
          <w:i w:val="1"/>
          <w:sz w:val="27"/>
          <w:szCs w:val="27"/>
          <w:rtl w:val="0"/>
        </w:rPr>
        <w:t xml:space="preserve">International Journal of Contemporary Hospitality Management</w:t>
      </w:r>
      <w:r w:rsidDel="00000000" w:rsidR="00000000" w:rsidRPr="00000000">
        <w:rPr>
          <w:rFonts w:ascii="Times New Roman" w:cs="Times New Roman" w:eastAsia="Times New Roman" w:hAnsi="Times New Roman"/>
          <w:sz w:val="27"/>
          <w:szCs w:val="27"/>
          <w:rtl w:val="0"/>
        </w:rPr>
        <w:t xml:space="preserve">, ahead-of-print(ahead-of-print). doi:https://doi.org/10.1108/ijchm-04-2020-0335.</w:t>
      </w:r>
    </w:p>
    <w:p w:rsidR="00000000" w:rsidDel="00000000" w:rsidP="00000000" w:rsidRDefault="00000000" w:rsidRPr="00000000" w14:paraId="00000036">
      <w:pPr>
        <w:rPr/>
      </w:pPr>
      <w:r w:rsidDel="00000000" w:rsidR="00000000" w:rsidRPr="00000000">
        <w:rPr>
          <w:rtl w:val="0"/>
        </w:rPr>
      </w:r>
    </w:p>
    <w:p w:rsidR="00000000" w:rsidDel="00000000" w:rsidP="00000000" w:rsidRDefault="00000000" w:rsidRPr="00000000" w14:paraId="00000037">
      <w:pPr>
        <w:rPr/>
      </w:pPr>
      <w:r w:rsidDel="00000000" w:rsidR="00000000" w:rsidRPr="00000000">
        <w:rPr>
          <w:rtl w:val="0"/>
        </w:rPr>
      </w:r>
    </w:p>
    <w:sectPr>
      <w:pgSz w:h="11906" w:w="8391"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Times New Roman"/>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isplayBackgroundShape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customXml" Target="../customXML/item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u4SzxRpoINtxdLjrQwbW89Sj0hA==">CgMxLjA4AHIhMVNvXzNOVlZjUWVOWmJPWTlTaEZUeTZjV0RJVjZlTkR6</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