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EF70E0" w14:textId="77777777" w:rsidR="00E47796" w:rsidRDefault="00E47796"/>
    <w:p w14:paraId="766B31B8" w14:textId="77777777" w:rsidR="00E47796" w:rsidRDefault="00E47796"/>
    <w:p w14:paraId="29BB2C47" w14:textId="77777777" w:rsidR="00E47796" w:rsidRDefault="00E47796"/>
    <w:p w14:paraId="07B379C8" w14:textId="39279D72" w:rsidR="00B76329" w:rsidRDefault="00B76329"/>
    <w:p w14:paraId="3ADA9136" w14:textId="77777777" w:rsidR="001B7D0F" w:rsidRDefault="001B7D0F"/>
    <w:p w14:paraId="27BA346E" w14:textId="46A1738C" w:rsidR="001B7D0F" w:rsidRDefault="001B7D0F">
      <w:r>
        <w:rPr>
          <w:noProof/>
        </w:rPr>
        <w:drawing>
          <wp:inline distT="0" distB="0" distL="0" distR="0" wp14:anchorId="22BDAD24" wp14:editId="50FE3F3D">
            <wp:extent cx="2621280" cy="1164590"/>
            <wp:effectExtent l="0" t="0" r="7620" b="0"/>
            <wp:docPr id="16527257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1280" cy="1164590"/>
                    </a:xfrm>
                    <a:prstGeom prst="rect">
                      <a:avLst/>
                    </a:prstGeom>
                    <a:noFill/>
                  </pic:spPr>
                </pic:pic>
              </a:graphicData>
            </a:graphic>
          </wp:inline>
        </w:drawing>
      </w:r>
    </w:p>
    <w:p w14:paraId="4EE98305" w14:textId="77777777" w:rsidR="001B7D0F" w:rsidRDefault="001B7D0F"/>
    <w:p w14:paraId="0DE0D76E" w14:textId="77777777" w:rsidR="001B7D0F" w:rsidRDefault="001B7D0F"/>
    <w:p w14:paraId="14FB9320" w14:textId="77777777" w:rsidR="001B7D0F" w:rsidRPr="00566D42" w:rsidRDefault="001B7D0F">
      <w:pPr>
        <w:rPr>
          <w:sz w:val="22"/>
          <w:szCs w:val="22"/>
        </w:rPr>
      </w:pPr>
    </w:p>
    <w:p w14:paraId="6AB80C19" w14:textId="10257A57" w:rsidR="001B7D0F" w:rsidRPr="00566D42" w:rsidRDefault="00130CDD">
      <w:pPr>
        <w:rPr>
          <w:sz w:val="22"/>
          <w:szCs w:val="22"/>
        </w:rPr>
      </w:pPr>
      <w:r w:rsidRPr="00566D42">
        <w:rPr>
          <w:sz w:val="22"/>
          <w:szCs w:val="22"/>
        </w:rPr>
        <w:t>Student Name</w:t>
      </w:r>
      <w:r w:rsidR="001B7D0F" w:rsidRPr="00566D42">
        <w:rPr>
          <w:sz w:val="22"/>
          <w:szCs w:val="22"/>
        </w:rPr>
        <w:t>; Rex Amu.</w:t>
      </w:r>
    </w:p>
    <w:p w14:paraId="1C4B2714" w14:textId="5B2C1074" w:rsidR="001B7D0F" w:rsidRPr="00566D42" w:rsidRDefault="001B7D0F">
      <w:pPr>
        <w:rPr>
          <w:sz w:val="22"/>
          <w:szCs w:val="22"/>
        </w:rPr>
      </w:pPr>
      <w:r w:rsidRPr="00566D42">
        <w:rPr>
          <w:sz w:val="22"/>
          <w:szCs w:val="22"/>
        </w:rPr>
        <w:t>Student ID ; 2028603,</w:t>
      </w:r>
    </w:p>
    <w:p w14:paraId="01FECF57" w14:textId="25215CDA" w:rsidR="001B7D0F" w:rsidRPr="00566D42" w:rsidRDefault="00130CDD">
      <w:pPr>
        <w:rPr>
          <w:sz w:val="22"/>
          <w:szCs w:val="22"/>
        </w:rPr>
      </w:pPr>
      <w:r w:rsidRPr="00566D42">
        <w:rPr>
          <w:sz w:val="22"/>
          <w:szCs w:val="22"/>
        </w:rPr>
        <w:t>Module;</w:t>
      </w:r>
      <w:r w:rsidR="001B7D0F" w:rsidRPr="00566D42">
        <w:rPr>
          <w:sz w:val="22"/>
          <w:szCs w:val="22"/>
        </w:rPr>
        <w:t xml:space="preserve"> LCMB 7002</w:t>
      </w:r>
    </w:p>
    <w:p w14:paraId="5CB4D5E5" w14:textId="2764841A" w:rsidR="001B7D0F" w:rsidRPr="00566D42" w:rsidRDefault="00130CDD">
      <w:pPr>
        <w:rPr>
          <w:sz w:val="22"/>
          <w:szCs w:val="22"/>
        </w:rPr>
      </w:pPr>
      <w:r w:rsidRPr="00566D42">
        <w:rPr>
          <w:sz w:val="22"/>
          <w:szCs w:val="22"/>
        </w:rPr>
        <w:t>Lecturer;</w:t>
      </w:r>
      <w:r w:rsidR="001B7D0F" w:rsidRPr="00566D42">
        <w:rPr>
          <w:sz w:val="22"/>
          <w:szCs w:val="22"/>
        </w:rPr>
        <w:t xml:space="preserve"> Md  Kalam</w:t>
      </w:r>
    </w:p>
    <w:p w14:paraId="56EE88FA" w14:textId="77777777" w:rsidR="001B7D0F" w:rsidRPr="00566D42" w:rsidRDefault="001B7D0F">
      <w:pPr>
        <w:rPr>
          <w:sz w:val="22"/>
          <w:szCs w:val="22"/>
        </w:rPr>
      </w:pPr>
    </w:p>
    <w:p w14:paraId="4ABE3D62" w14:textId="77777777" w:rsidR="001B7D0F" w:rsidRPr="00566D42" w:rsidRDefault="001B7D0F">
      <w:pPr>
        <w:rPr>
          <w:sz w:val="22"/>
          <w:szCs w:val="22"/>
        </w:rPr>
      </w:pPr>
    </w:p>
    <w:p w14:paraId="2DF5A095" w14:textId="77777777" w:rsidR="001B7D0F" w:rsidRPr="00566D42" w:rsidRDefault="001B7D0F">
      <w:pPr>
        <w:rPr>
          <w:sz w:val="22"/>
          <w:szCs w:val="22"/>
        </w:rPr>
      </w:pPr>
    </w:p>
    <w:p w14:paraId="77B6ED68" w14:textId="77777777" w:rsidR="001B7D0F" w:rsidRPr="00566D42" w:rsidRDefault="001B7D0F">
      <w:pPr>
        <w:rPr>
          <w:sz w:val="22"/>
          <w:szCs w:val="22"/>
        </w:rPr>
      </w:pPr>
    </w:p>
    <w:p w14:paraId="118548B6" w14:textId="7D8B7255" w:rsidR="001B7D0F" w:rsidRPr="00566D42" w:rsidRDefault="001B7D0F">
      <w:pPr>
        <w:rPr>
          <w:b/>
          <w:bCs/>
          <w:sz w:val="22"/>
          <w:szCs w:val="22"/>
        </w:rPr>
      </w:pPr>
      <w:r w:rsidRPr="00566D42">
        <w:rPr>
          <w:b/>
          <w:bCs/>
          <w:sz w:val="22"/>
          <w:szCs w:val="22"/>
        </w:rPr>
        <w:t xml:space="preserve">                                                                          Report </w:t>
      </w:r>
    </w:p>
    <w:p w14:paraId="65D0C67D" w14:textId="284BA91B" w:rsidR="00C2431A" w:rsidRPr="00566D42" w:rsidRDefault="00C2431A">
      <w:pPr>
        <w:rPr>
          <w:b/>
          <w:bCs/>
          <w:sz w:val="22"/>
          <w:szCs w:val="22"/>
        </w:rPr>
      </w:pPr>
      <w:r w:rsidRPr="00566D42">
        <w:rPr>
          <w:b/>
          <w:bCs/>
          <w:sz w:val="22"/>
          <w:szCs w:val="22"/>
        </w:rPr>
        <w:t xml:space="preserve">                                         </w:t>
      </w:r>
    </w:p>
    <w:p w14:paraId="09C06485" w14:textId="6ECCA5C2" w:rsidR="00C2431A" w:rsidRPr="00566D42" w:rsidRDefault="00C2431A">
      <w:pPr>
        <w:rPr>
          <w:b/>
          <w:bCs/>
          <w:sz w:val="22"/>
          <w:szCs w:val="22"/>
        </w:rPr>
      </w:pPr>
      <w:r w:rsidRPr="00566D42">
        <w:rPr>
          <w:b/>
          <w:bCs/>
          <w:sz w:val="22"/>
          <w:szCs w:val="22"/>
        </w:rPr>
        <w:t xml:space="preserve">                                               Tesco  Financial </w:t>
      </w:r>
      <w:r w:rsidR="00350AA9">
        <w:rPr>
          <w:b/>
          <w:bCs/>
          <w:sz w:val="22"/>
          <w:szCs w:val="22"/>
        </w:rPr>
        <w:t>Income</w:t>
      </w:r>
      <w:r w:rsidRPr="00566D42">
        <w:rPr>
          <w:b/>
          <w:bCs/>
          <w:sz w:val="22"/>
          <w:szCs w:val="22"/>
        </w:rPr>
        <w:t xml:space="preserve"> Statements</w:t>
      </w:r>
    </w:p>
    <w:p w14:paraId="0428FA0D" w14:textId="66EB0ACA" w:rsidR="00C2431A" w:rsidRPr="00566D42" w:rsidRDefault="00C2431A">
      <w:pPr>
        <w:rPr>
          <w:sz w:val="22"/>
          <w:szCs w:val="22"/>
        </w:rPr>
      </w:pPr>
      <w:r w:rsidRPr="00566D42">
        <w:rPr>
          <w:sz w:val="22"/>
          <w:szCs w:val="22"/>
        </w:rPr>
        <w:t xml:space="preserve">                                                           </w:t>
      </w:r>
    </w:p>
    <w:p w14:paraId="2E8813E0" w14:textId="77777777" w:rsidR="00C2431A" w:rsidRPr="00566D42" w:rsidRDefault="00C2431A">
      <w:pPr>
        <w:rPr>
          <w:sz w:val="22"/>
          <w:szCs w:val="22"/>
        </w:rPr>
      </w:pPr>
    </w:p>
    <w:p w14:paraId="66B6C1E5" w14:textId="77777777" w:rsidR="00C2431A" w:rsidRDefault="00C2431A"/>
    <w:p w14:paraId="0F02B042" w14:textId="77777777" w:rsidR="00C2431A" w:rsidRDefault="00C2431A"/>
    <w:p w14:paraId="64728029" w14:textId="77777777" w:rsidR="00C2431A" w:rsidRDefault="00C2431A"/>
    <w:p w14:paraId="2C37A0CB" w14:textId="77777777" w:rsidR="00C2431A" w:rsidRDefault="00C2431A"/>
    <w:p w14:paraId="0D92CC6E" w14:textId="77777777" w:rsidR="00C2431A" w:rsidRDefault="00C2431A"/>
    <w:p w14:paraId="68A3CBC9" w14:textId="123C50C6" w:rsidR="009637C4" w:rsidRDefault="00A95C9F">
      <w:r w:rsidRPr="00A95C9F">
        <w:rPr>
          <w:b/>
          <w:bCs/>
        </w:rPr>
        <w:t>Executive summary</w:t>
      </w:r>
      <w:r>
        <w:t>,</w:t>
      </w:r>
    </w:p>
    <w:p w14:paraId="40E3CB4B" w14:textId="00A5E18F" w:rsidR="0082452A" w:rsidRDefault="002D09DE" w:rsidP="002D09DE">
      <w:pPr>
        <w:spacing w:line="360" w:lineRule="auto"/>
      </w:pPr>
      <w:r w:rsidRPr="002D09DE">
        <w:t xml:space="preserve">Tesco plc, one of the UK's largest grocery retailers, exhibited a mixed financial performance from 2020 to 2024. The company navigated through a period marked by both operational challenges and recovery phases, reflecting fluctuations in key financial metrics such as profitability, liquidity, and returns on assets and </w:t>
      </w:r>
      <w:proofErr w:type="spellStart"/>
      <w:r w:rsidRPr="002D09DE">
        <w:t>equity.</w:t>
      </w:r>
      <w:r w:rsidR="0082452A" w:rsidRPr="0082452A">
        <w:t>Tesco's</w:t>
      </w:r>
      <w:proofErr w:type="spellEnd"/>
      <w:r w:rsidR="0082452A" w:rsidRPr="0082452A">
        <w:t xml:space="preserve"> gross profit margin remained relatively stable, with slight fluctuations throughout the period. However, it was consistently lower than industry benchmarks, indicating ongoing pressure on cost management.</w:t>
      </w:r>
      <w:r w:rsidR="009D12CF">
        <w:t xml:space="preserve"> while  </w:t>
      </w:r>
      <w:r w:rsidR="00EC72C8" w:rsidRPr="00EC72C8">
        <w:t>Tesco’s net profit margin remained modest and showed little improvement, reflecting challenges in translating revenues into bottom-line profit. The persistent low margins could be attributed to competitive pricing, increased operational costs, and potential restructuring expenses.</w:t>
      </w:r>
      <w:r w:rsidR="00AF71D9" w:rsidRPr="00AF71D9">
        <w:t xml:space="preserve"> </w:t>
      </w:r>
      <w:r w:rsidR="00CB51F4">
        <w:t xml:space="preserve">The </w:t>
      </w:r>
      <w:r w:rsidR="00AF71D9" w:rsidRPr="00AF71D9">
        <w:t>quick ratio improved significantly from 2020 to 2022 and stabilized thereafter. This indicates that Tesco enhanced its short-term liquidity, improving its ability to meet short-term obligations. This was likely achieved through better working capital management and possibly reduced reliance on short-term debt.</w:t>
      </w:r>
    </w:p>
    <w:p w14:paraId="74CC84FC" w14:textId="327E10B0" w:rsidR="00C47B0C" w:rsidRPr="00C47B0C" w:rsidRDefault="00C47B0C" w:rsidP="00C47B0C">
      <w:pPr>
        <w:spacing w:line="360" w:lineRule="auto"/>
      </w:pPr>
      <w:r>
        <w:t>Meanwhile</w:t>
      </w:r>
      <w:r w:rsidR="0024144A">
        <w:t xml:space="preserve">, </w:t>
      </w:r>
      <w:r w:rsidRPr="00C47B0C">
        <w:t>Tesco demonstrated some recovery, particularly in terms of liquidity and operational margins by 2024, its overall financial performance during this period was marked by low profitability and inconsistent returns on equity and assets. These trends suggest that Tesco may have faced persistent market pressures and operational challenges, necessitating continued strategic focus on improving efficiency, cost management, and profitability.</w:t>
      </w:r>
    </w:p>
    <w:p w14:paraId="6516BC78" w14:textId="77777777" w:rsidR="00C47B0C" w:rsidRPr="00C47B0C" w:rsidRDefault="00C47B0C" w:rsidP="00C47B0C">
      <w:pPr>
        <w:spacing w:line="360" w:lineRule="auto"/>
      </w:pPr>
      <w:r w:rsidRPr="00C47B0C">
        <w:t>The slight improvements observed in 2024 suggest that Tesco's strategic initiatives may be beginning to take effect, but sustained efforts are needed to ensure long-term financial stability and enhanced shareholder value. Going forward, Tesco should aim to capitalize on these improvements while addressing underlying issues related to asset utilization and profitability.</w:t>
      </w:r>
    </w:p>
    <w:p w14:paraId="34492A6D" w14:textId="60C1C19B" w:rsidR="00C47B0C" w:rsidRPr="00C47B0C" w:rsidRDefault="00C47B0C" w:rsidP="00C47B0C">
      <w:pPr>
        <w:spacing w:line="360" w:lineRule="auto"/>
      </w:pPr>
    </w:p>
    <w:p w14:paraId="6C40BEEB" w14:textId="75ED6179" w:rsidR="00C47B0C" w:rsidRDefault="00C47B0C" w:rsidP="002D09DE">
      <w:pPr>
        <w:spacing w:line="360" w:lineRule="auto"/>
      </w:pPr>
    </w:p>
    <w:p w14:paraId="3411A25C" w14:textId="77777777" w:rsidR="009637C4" w:rsidRDefault="009637C4" w:rsidP="002D09DE">
      <w:pPr>
        <w:spacing w:line="360" w:lineRule="auto"/>
      </w:pPr>
    </w:p>
    <w:p w14:paraId="2C9642F2" w14:textId="77777777" w:rsidR="009637C4" w:rsidRDefault="009637C4" w:rsidP="002D09DE">
      <w:pPr>
        <w:spacing w:line="360" w:lineRule="auto"/>
      </w:pPr>
    </w:p>
    <w:p w14:paraId="04B817DD" w14:textId="77777777" w:rsidR="00C2431A" w:rsidRPr="00566D42" w:rsidRDefault="00C2431A">
      <w:pPr>
        <w:rPr>
          <w:sz w:val="22"/>
          <w:szCs w:val="22"/>
        </w:rPr>
      </w:pPr>
    </w:p>
    <w:p w14:paraId="0E2928B7" w14:textId="472C5871" w:rsidR="00C2431A" w:rsidRPr="00566D42" w:rsidRDefault="00C2431A">
      <w:pPr>
        <w:rPr>
          <w:sz w:val="22"/>
          <w:szCs w:val="22"/>
        </w:rPr>
      </w:pPr>
      <w:r w:rsidRPr="00566D42">
        <w:rPr>
          <w:sz w:val="22"/>
          <w:szCs w:val="22"/>
        </w:rPr>
        <w:t>Table of Contents.</w:t>
      </w:r>
    </w:p>
    <w:p w14:paraId="258E329E" w14:textId="0475BF05" w:rsidR="00C2431A" w:rsidRPr="00566D42" w:rsidRDefault="00C2431A">
      <w:pPr>
        <w:rPr>
          <w:sz w:val="22"/>
          <w:szCs w:val="22"/>
        </w:rPr>
      </w:pPr>
      <w:r w:rsidRPr="00566D42">
        <w:rPr>
          <w:sz w:val="22"/>
          <w:szCs w:val="22"/>
        </w:rPr>
        <w:t xml:space="preserve">1. </w:t>
      </w:r>
      <w:r w:rsidR="0046510E">
        <w:rPr>
          <w:sz w:val="22"/>
          <w:szCs w:val="22"/>
        </w:rPr>
        <w:t>Cover page</w:t>
      </w:r>
      <w:r w:rsidR="00153A9E">
        <w:rPr>
          <w:sz w:val="22"/>
          <w:szCs w:val="22"/>
        </w:rPr>
        <w:t>…</w:t>
      </w:r>
      <w:r w:rsidRPr="00566D42">
        <w:rPr>
          <w:sz w:val="22"/>
          <w:szCs w:val="22"/>
        </w:rPr>
        <w:t>……………………………………………………………………………………</w:t>
      </w:r>
      <w:r w:rsidR="00F24F05" w:rsidRPr="00566D42">
        <w:rPr>
          <w:sz w:val="22"/>
          <w:szCs w:val="22"/>
        </w:rPr>
        <w:t>page</w:t>
      </w:r>
      <w:r w:rsidR="002C2D88">
        <w:rPr>
          <w:sz w:val="22"/>
          <w:szCs w:val="22"/>
        </w:rPr>
        <w:t>1</w:t>
      </w:r>
    </w:p>
    <w:p w14:paraId="0BFC2814" w14:textId="342DE641" w:rsidR="00E60282" w:rsidRPr="00566D42" w:rsidRDefault="00827B9B">
      <w:pPr>
        <w:rPr>
          <w:sz w:val="22"/>
          <w:szCs w:val="22"/>
        </w:rPr>
      </w:pPr>
      <w:r w:rsidRPr="00566D42">
        <w:rPr>
          <w:sz w:val="22"/>
          <w:szCs w:val="22"/>
        </w:rPr>
        <w:t xml:space="preserve">2, </w:t>
      </w:r>
      <w:r w:rsidR="00632429">
        <w:rPr>
          <w:sz w:val="22"/>
          <w:szCs w:val="22"/>
        </w:rPr>
        <w:t>Executive s</w:t>
      </w:r>
      <w:r w:rsidR="004205F8">
        <w:rPr>
          <w:sz w:val="22"/>
          <w:szCs w:val="22"/>
        </w:rPr>
        <w:t>u</w:t>
      </w:r>
      <w:r w:rsidR="00632429">
        <w:rPr>
          <w:sz w:val="22"/>
          <w:szCs w:val="22"/>
        </w:rPr>
        <w:t>mmary</w:t>
      </w:r>
      <w:r w:rsidRPr="00566D42">
        <w:rPr>
          <w:sz w:val="22"/>
          <w:szCs w:val="22"/>
        </w:rPr>
        <w:t>………………………………………</w:t>
      </w:r>
      <w:r w:rsidR="00DA3A75" w:rsidRPr="00566D42">
        <w:rPr>
          <w:sz w:val="22"/>
          <w:szCs w:val="22"/>
        </w:rPr>
        <w:t>……………………………………page</w:t>
      </w:r>
      <w:r w:rsidR="002C2D88">
        <w:rPr>
          <w:sz w:val="22"/>
          <w:szCs w:val="22"/>
        </w:rPr>
        <w:t>2</w:t>
      </w:r>
    </w:p>
    <w:p w14:paraId="3BC074AE" w14:textId="609A911E" w:rsidR="00F24F05" w:rsidRDefault="007B4BF3">
      <w:pPr>
        <w:rPr>
          <w:sz w:val="22"/>
          <w:szCs w:val="22"/>
        </w:rPr>
      </w:pPr>
      <w:r w:rsidRPr="00566D42">
        <w:rPr>
          <w:sz w:val="22"/>
          <w:szCs w:val="22"/>
        </w:rPr>
        <w:t>3</w:t>
      </w:r>
      <w:r w:rsidR="00F24F05" w:rsidRPr="00566D42">
        <w:rPr>
          <w:sz w:val="22"/>
          <w:szCs w:val="22"/>
        </w:rPr>
        <w:t xml:space="preserve">. </w:t>
      </w:r>
      <w:r w:rsidR="00176F28">
        <w:rPr>
          <w:sz w:val="22"/>
          <w:szCs w:val="22"/>
        </w:rPr>
        <w:t>Introductory</w:t>
      </w:r>
      <w:r w:rsidR="00F24F05" w:rsidRPr="00566D42">
        <w:rPr>
          <w:sz w:val="22"/>
          <w:szCs w:val="22"/>
        </w:rPr>
        <w:t>……………………………………………………………………………………</w:t>
      </w:r>
      <w:r w:rsidR="002C2D88">
        <w:rPr>
          <w:sz w:val="22"/>
          <w:szCs w:val="22"/>
        </w:rPr>
        <w:t>…page3</w:t>
      </w:r>
    </w:p>
    <w:p w14:paraId="503CED9D" w14:textId="7A0D6D3C" w:rsidR="00176F28" w:rsidRPr="00566D42" w:rsidRDefault="00503C98">
      <w:pPr>
        <w:rPr>
          <w:sz w:val="22"/>
          <w:szCs w:val="22"/>
        </w:rPr>
      </w:pPr>
      <w:r>
        <w:rPr>
          <w:sz w:val="22"/>
          <w:szCs w:val="22"/>
        </w:rPr>
        <w:t>4.Main Body………………………………………………………………………………………</w:t>
      </w:r>
      <w:r w:rsidR="002C2D88">
        <w:rPr>
          <w:sz w:val="22"/>
          <w:szCs w:val="22"/>
        </w:rPr>
        <w:t>….page4/5</w:t>
      </w:r>
    </w:p>
    <w:p w14:paraId="51CCE71C" w14:textId="15A8F4E7" w:rsidR="00F24F05" w:rsidRDefault="00F24F05">
      <w:pPr>
        <w:rPr>
          <w:sz w:val="22"/>
          <w:szCs w:val="22"/>
        </w:rPr>
      </w:pPr>
      <w:r w:rsidRPr="00566D42">
        <w:rPr>
          <w:sz w:val="22"/>
          <w:szCs w:val="22"/>
        </w:rPr>
        <w:t xml:space="preserve">  </w:t>
      </w:r>
      <w:r w:rsidR="00D01E5A" w:rsidRPr="00566D42">
        <w:rPr>
          <w:sz w:val="22"/>
          <w:szCs w:val="22"/>
        </w:rPr>
        <w:t xml:space="preserve">       1.1 </w:t>
      </w:r>
      <w:r w:rsidR="00130CDD" w:rsidRPr="00566D42">
        <w:rPr>
          <w:sz w:val="22"/>
          <w:szCs w:val="22"/>
        </w:rPr>
        <w:t>Tesco Financial</w:t>
      </w:r>
      <w:r w:rsidR="00D01E5A" w:rsidRPr="00566D42">
        <w:rPr>
          <w:sz w:val="22"/>
          <w:szCs w:val="22"/>
        </w:rPr>
        <w:t xml:space="preserve"> performance review…………………………………………</w:t>
      </w:r>
      <w:r w:rsidR="002C2D88">
        <w:rPr>
          <w:sz w:val="22"/>
          <w:szCs w:val="22"/>
        </w:rPr>
        <w:t>……page 6</w:t>
      </w:r>
    </w:p>
    <w:p w14:paraId="2E0C9C54" w14:textId="6FD767F8" w:rsidR="00DB1200" w:rsidRDefault="00A04F85">
      <w:pPr>
        <w:rPr>
          <w:sz w:val="22"/>
          <w:szCs w:val="22"/>
        </w:rPr>
      </w:pPr>
      <w:r>
        <w:rPr>
          <w:sz w:val="22"/>
          <w:szCs w:val="22"/>
        </w:rPr>
        <w:t>4.</w:t>
      </w:r>
      <w:r w:rsidR="00DF1EDA">
        <w:rPr>
          <w:sz w:val="22"/>
          <w:szCs w:val="22"/>
        </w:rPr>
        <w:t>The calculation of the</w:t>
      </w:r>
      <w:r w:rsidR="002F5930">
        <w:rPr>
          <w:sz w:val="22"/>
          <w:szCs w:val="22"/>
        </w:rPr>
        <w:t xml:space="preserve"> Tesco </w:t>
      </w:r>
      <w:r w:rsidR="00B34A76">
        <w:rPr>
          <w:sz w:val="22"/>
          <w:szCs w:val="22"/>
        </w:rPr>
        <w:t xml:space="preserve">financial </w:t>
      </w:r>
      <w:r w:rsidR="00A22B2E">
        <w:rPr>
          <w:sz w:val="22"/>
          <w:szCs w:val="22"/>
        </w:rPr>
        <w:t xml:space="preserve">statement </w:t>
      </w:r>
      <w:r w:rsidR="000B0492">
        <w:rPr>
          <w:sz w:val="22"/>
          <w:szCs w:val="22"/>
        </w:rPr>
        <w:t>ratio…………………………………</w:t>
      </w:r>
      <w:r w:rsidR="002C2D88">
        <w:rPr>
          <w:sz w:val="22"/>
          <w:szCs w:val="22"/>
        </w:rPr>
        <w:t>page7/8</w:t>
      </w:r>
    </w:p>
    <w:p w14:paraId="53C62629" w14:textId="388A5FD5" w:rsidR="001F5F38" w:rsidRDefault="00A04F85">
      <w:pPr>
        <w:rPr>
          <w:sz w:val="22"/>
          <w:szCs w:val="22"/>
        </w:rPr>
      </w:pPr>
      <w:r>
        <w:rPr>
          <w:sz w:val="22"/>
          <w:szCs w:val="22"/>
        </w:rPr>
        <w:t xml:space="preserve">  5.</w:t>
      </w:r>
      <w:r w:rsidR="00B511B8">
        <w:rPr>
          <w:sz w:val="22"/>
          <w:szCs w:val="22"/>
        </w:rPr>
        <w:t xml:space="preserve">Chart </w:t>
      </w:r>
      <w:r w:rsidR="005974AF">
        <w:rPr>
          <w:sz w:val="22"/>
          <w:szCs w:val="22"/>
        </w:rPr>
        <w:t>diagram illustrates the</w:t>
      </w:r>
      <w:r w:rsidR="00E006CA">
        <w:rPr>
          <w:sz w:val="22"/>
          <w:szCs w:val="22"/>
        </w:rPr>
        <w:t xml:space="preserve"> Tesco</w:t>
      </w:r>
      <w:r w:rsidR="005974AF">
        <w:rPr>
          <w:sz w:val="22"/>
          <w:szCs w:val="22"/>
        </w:rPr>
        <w:t xml:space="preserve"> ratio</w:t>
      </w:r>
      <w:r w:rsidR="001F5F38">
        <w:rPr>
          <w:sz w:val="22"/>
          <w:szCs w:val="22"/>
        </w:rPr>
        <w:t>……………………………………………………</w:t>
      </w:r>
      <w:r w:rsidR="002C2D88">
        <w:rPr>
          <w:sz w:val="22"/>
          <w:szCs w:val="22"/>
        </w:rPr>
        <w:t>page9</w:t>
      </w:r>
    </w:p>
    <w:p w14:paraId="16A654BD" w14:textId="1C183FD9" w:rsidR="004117D6" w:rsidRDefault="00A04F85">
      <w:pPr>
        <w:rPr>
          <w:sz w:val="22"/>
          <w:szCs w:val="22"/>
        </w:rPr>
      </w:pPr>
      <w:r>
        <w:rPr>
          <w:sz w:val="22"/>
          <w:szCs w:val="22"/>
        </w:rPr>
        <w:t xml:space="preserve">    6.</w:t>
      </w:r>
      <w:r w:rsidR="004117D6">
        <w:rPr>
          <w:sz w:val="22"/>
          <w:szCs w:val="22"/>
        </w:rPr>
        <w:t>C</w:t>
      </w:r>
      <w:r w:rsidR="00CD5F8C">
        <w:rPr>
          <w:sz w:val="22"/>
          <w:szCs w:val="22"/>
        </w:rPr>
        <w:t>ompetitor financial  income statement……………………...</w:t>
      </w:r>
      <w:r w:rsidR="00AD670C">
        <w:rPr>
          <w:sz w:val="22"/>
          <w:szCs w:val="22"/>
        </w:rPr>
        <w:t>...............................</w:t>
      </w:r>
      <w:r w:rsidR="002C2D88">
        <w:rPr>
          <w:sz w:val="22"/>
          <w:szCs w:val="22"/>
        </w:rPr>
        <w:t>page12</w:t>
      </w:r>
    </w:p>
    <w:p w14:paraId="062A8E74" w14:textId="65435A1A" w:rsidR="002C2D88" w:rsidRDefault="00A04F85">
      <w:pPr>
        <w:rPr>
          <w:sz w:val="22"/>
          <w:szCs w:val="22"/>
        </w:rPr>
      </w:pPr>
      <w:r>
        <w:rPr>
          <w:sz w:val="22"/>
          <w:szCs w:val="22"/>
        </w:rPr>
        <w:t xml:space="preserve"> 7.</w:t>
      </w:r>
      <w:r w:rsidR="002C2D88">
        <w:rPr>
          <w:sz w:val="22"/>
          <w:szCs w:val="22"/>
        </w:rPr>
        <w:t>The chart illustrates Saintsbury  ratio…………………………………………………………page13</w:t>
      </w:r>
    </w:p>
    <w:p w14:paraId="15E2FE3F" w14:textId="0F8BAD30" w:rsidR="00AD670C" w:rsidRDefault="00A04F85">
      <w:pPr>
        <w:rPr>
          <w:sz w:val="22"/>
          <w:szCs w:val="22"/>
        </w:rPr>
      </w:pPr>
      <w:r>
        <w:rPr>
          <w:sz w:val="22"/>
          <w:szCs w:val="22"/>
        </w:rPr>
        <w:t xml:space="preserve">   8.</w:t>
      </w:r>
      <w:r w:rsidR="00AD670C">
        <w:rPr>
          <w:sz w:val="22"/>
          <w:szCs w:val="22"/>
        </w:rPr>
        <w:t xml:space="preserve">Saintsbury </w:t>
      </w:r>
      <w:r w:rsidR="000C3FD5">
        <w:rPr>
          <w:sz w:val="22"/>
          <w:szCs w:val="22"/>
        </w:rPr>
        <w:t xml:space="preserve">profitability  ratio </w:t>
      </w:r>
      <w:r w:rsidR="000335AE">
        <w:rPr>
          <w:sz w:val="22"/>
          <w:szCs w:val="22"/>
        </w:rPr>
        <w:t xml:space="preserve"> </w:t>
      </w:r>
      <w:r w:rsidR="0037614D">
        <w:rPr>
          <w:sz w:val="22"/>
          <w:szCs w:val="22"/>
        </w:rPr>
        <w:t>…………………………………………………………………</w:t>
      </w:r>
      <w:r>
        <w:rPr>
          <w:sz w:val="22"/>
          <w:szCs w:val="22"/>
        </w:rPr>
        <w:t>..page14</w:t>
      </w:r>
    </w:p>
    <w:p w14:paraId="16700AD9" w14:textId="4D859615" w:rsidR="00A04F85" w:rsidRDefault="00413991">
      <w:pPr>
        <w:rPr>
          <w:sz w:val="22"/>
          <w:szCs w:val="22"/>
        </w:rPr>
      </w:pPr>
      <w:r>
        <w:rPr>
          <w:sz w:val="22"/>
          <w:szCs w:val="22"/>
        </w:rPr>
        <w:t xml:space="preserve">  9.</w:t>
      </w:r>
      <w:r w:rsidR="00A04F85">
        <w:rPr>
          <w:sz w:val="22"/>
          <w:szCs w:val="22"/>
        </w:rPr>
        <w:t>The calculation of  project A and project B……………………………………………….Ppage18</w:t>
      </w:r>
    </w:p>
    <w:p w14:paraId="0C7D2BA2" w14:textId="18DB7F6B" w:rsidR="00A04F85" w:rsidRDefault="00413991">
      <w:pPr>
        <w:rPr>
          <w:sz w:val="22"/>
          <w:szCs w:val="22"/>
        </w:rPr>
      </w:pPr>
      <w:r>
        <w:rPr>
          <w:sz w:val="22"/>
          <w:szCs w:val="22"/>
        </w:rPr>
        <w:t xml:space="preserve">  10.</w:t>
      </w:r>
      <w:r w:rsidR="00A04F85">
        <w:rPr>
          <w:sz w:val="22"/>
          <w:szCs w:val="22"/>
        </w:rPr>
        <w:t xml:space="preserve"> The advantages of </w:t>
      </w:r>
      <w:r>
        <w:rPr>
          <w:sz w:val="22"/>
          <w:szCs w:val="22"/>
        </w:rPr>
        <w:t>PBP,ARR and NPV …………………………………………………………</w:t>
      </w:r>
      <w:r w:rsidR="00020749">
        <w:rPr>
          <w:sz w:val="22"/>
          <w:szCs w:val="22"/>
        </w:rPr>
        <w:t>21/24</w:t>
      </w:r>
    </w:p>
    <w:p w14:paraId="07B23505" w14:textId="462DE8F2" w:rsidR="00020749" w:rsidRDefault="00020749">
      <w:pPr>
        <w:rPr>
          <w:sz w:val="22"/>
          <w:szCs w:val="22"/>
        </w:rPr>
      </w:pPr>
      <w:r>
        <w:rPr>
          <w:sz w:val="22"/>
          <w:szCs w:val="22"/>
        </w:rPr>
        <w:t>11 Conclusion………………………………………………………………………………………………page 26</w:t>
      </w:r>
    </w:p>
    <w:p w14:paraId="191893C0" w14:textId="2A2615B2" w:rsidR="00020749" w:rsidRDefault="00020749">
      <w:pPr>
        <w:rPr>
          <w:sz w:val="22"/>
          <w:szCs w:val="22"/>
        </w:rPr>
      </w:pPr>
      <w:r>
        <w:rPr>
          <w:sz w:val="22"/>
          <w:szCs w:val="22"/>
        </w:rPr>
        <w:t xml:space="preserve"> </w:t>
      </w:r>
      <w:r w:rsidR="00413991">
        <w:rPr>
          <w:sz w:val="22"/>
          <w:szCs w:val="22"/>
        </w:rPr>
        <w:t>1</w:t>
      </w:r>
      <w:r>
        <w:rPr>
          <w:sz w:val="22"/>
          <w:szCs w:val="22"/>
        </w:rPr>
        <w:t>2</w:t>
      </w:r>
      <w:r w:rsidR="00413991">
        <w:rPr>
          <w:sz w:val="22"/>
          <w:szCs w:val="22"/>
        </w:rPr>
        <w:t xml:space="preserve"> References…………………………………………………………………………………………</w:t>
      </w:r>
      <w:r>
        <w:rPr>
          <w:sz w:val="22"/>
          <w:szCs w:val="22"/>
        </w:rPr>
        <w:t>….page 27</w:t>
      </w:r>
    </w:p>
    <w:p w14:paraId="4266C09D" w14:textId="3AD46420" w:rsidR="00413991" w:rsidRDefault="00020749">
      <w:pPr>
        <w:rPr>
          <w:sz w:val="22"/>
          <w:szCs w:val="22"/>
        </w:rPr>
      </w:pPr>
      <w:r>
        <w:rPr>
          <w:sz w:val="22"/>
          <w:szCs w:val="22"/>
        </w:rPr>
        <w:t xml:space="preserve"> 13</w:t>
      </w:r>
      <w:r w:rsidR="00413991">
        <w:rPr>
          <w:sz w:val="22"/>
          <w:szCs w:val="22"/>
        </w:rPr>
        <w:t>.Appendice……………………………………………………………………………………………..</w:t>
      </w:r>
      <w:r>
        <w:rPr>
          <w:sz w:val="22"/>
          <w:szCs w:val="22"/>
        </w:rPr>
        <w:t>page28</w:t>
      </w:r>
    </w:p>
    <w:p w14:paraId="40193BE6" w14:textId="77777777" w:rsidR="00A04F85" w:rsidRDefault="00A04F85">
      <w:pPr>
        <w:rPr>
          <w:sz w:val="22"/>
          <w:szCs w:val="22"/>
        </w:rPr>
      </w:pPr>
    </w:p>
    <w:p w14:paraId="62F9A98B" w14:textId="77777777" w:rsidR="00A04F85" w:rsidRDefault="00A04F85">
      <w:pPr>
        <w:rPr>
          <w:sz w:val="22"/>
          <w:szCs w:val="22"/>
        </w:rPr>
      </w:pPr>
    </w:p>
    <w:p w14:paraId="227AE400" w14:textId="08B4A45C" w:rsidR="000335AE" w:rsidRDefault="000335AE">
      <w:pPr>
        <w:rPr>
          <w:sz w:val="22"/>
          <w:szCs w:val="22"/>
        </w:rPr>
      </w:pPr>
    </w:p>
    <w:p w14:paraId="5BA7FC9B" w14:textId="77777777" w:rsidR="0037614D" w:rsidRPr="00566D42" w:rsidRDefault="0037614D">
      <w:pPr>
        <w:rPr>
          <w:sz w:val="22"/>
          <w:szCs w:val="22"/>
        </w:rPr>
      </w:pPr>
    </w:p>
    <w:p w14:paraId="5B3998DF" w14:textId="77777777" w:rsidR="00C2431A" w:rsidRDefault="00C2431A"/>
    <w:p w14:paraId="65AA12B2" w14:textId="77777777" w:rsidR="00C2431A" w:rsidRDefault="00C2431A"/>
    <w:p w14:paraId="27122C73" w14:textId="77777777" w:rsidR="00C2431A" w:rsidRDefault="00C2431A"/>
    <w:p w14:paraId="55B1C5EF" w14:textId="77777777" w:rsidR="00C2431A" w:rsidRDefault="00C2431A"/>
    <w:p w14:paraId="39D21AE0" w14:textId="77777777" w:rsidR="00C2431A" w:rsidRDefault="00C2431A"/>
    <w:p w14:paraId="46B4A765" w14:textId="77777777" w:rsidR="00C2431A" w:rsidRDefault="00C2431A"/>
    <w:p w14:paraId="192ECE90" w14:textId="77777777" w:rsidR="00C2431A" w:rsidRDefault="00C2431A"/>
    <w:p w14:paraId="138E5997" w14:textId="77777777" w:rsidR="00C2431A" w:rsidRDefault="00C2431A"/>
    <w:p w14:paraId="126C4AB0" w14:textId="77777777" w:rsidR="00C2431A" w:rsidRDefault="00C2431A"/>
    <w:p w14:paraId="6507F255" w14:textId="77777777" w:rsidR="00C2431A" w:rsidRDefault="00C2431A"/>
    <w:p w14:paraId="0236BB23" w14:textId="77777777" w:rsidR="00C2431A" w:rsidRDefault="00C2431A"/>
    <w:p w14:paraId="42597FD3" w14:textId="77777777" w:rsidR="00C2431A" w:rsidRDefault="00C2431A"/>
    <w:p w14:paraId="7E109E19" w14:textId="77777777" w:rsidR="00C2431A" w:rsidRDefault="00C2431A"/>
    <w:p w14:paraId="5E7E906A" w14:textId="77777777" w:rsidR="00C2431A" w:rsidRDefault="00C2431A"/>
    <w:p w14:paraId="36EB11FD" w14:textId="77777777" w:rsidR="00503C98" w:rsidRDefault="00503C98" w:rsidP="00566D42">
      <w:pPr>
        <w:spacing w:line="360" w:lineRule="auto"/>
      </w:pPr>
    </w:p>
    <w:p w14:paraId="6B86CDB6" w14:textId="77777777" w:rsidR="00AC4CD1" w:rsidRDefault="00AC4CD1" w:rsidP="00566D42">
      <w:pPr>
        <w:spacing w:line="360" w:lineRule="auto"/>
      </w:pPr>
    </w:p>
    <w:p w14:paraId="3D613C1B" w14:textId="2C371BF6" w:rsidR="00C2431A" w:rsidRPr="00566D42" w:rsidRDefault="00C2431A" w:rsidP="00566D42">
      <w:pPr>
        <w:spacing w:line="360" w:lineRule="auto"/>
        <w:rPr>
          <w:b/>
          <w:bCs/>
          <w:sz w:val="22"/>
          <w:szCs w:val="22"/>
        </w:rPr>
      </w:pPr>
      <w:r w:rsidRPr="00566D42">
        <w:rPr>
          <w:b/>
          <w:bCs/>
          <w:sz w:val="22"/>
          <w:szCs w:val="22"/>
        </w:rPr>
        <w:t>Introduction.</w:t>
      </w:r>
    </w:p>
    <w:p w14:paraId="1F64B145" w14:textId="77777777" w:rsidR="002E2913" w:rsidRDefault="006D29E9" w:rsidP="00566D42">
      <w:pPr>
        <w:spacing w:line="360" w:lineRule="auto"/>
      </w:pPr>
      <w:r w:rsidRPr="00566D42">
        <w:rPr>
          <w:sz w:val="22"/>
          <w:szCs w:val="22"/>
        </w:rPr>
        <w:t>Tesco is a leading multinational retailer headquartered in the United Kingdom, renowned for its comprehensive range of products and services. Founded in 1919 by Jack Cohen, Tesco began as a small group of market stalls and has since grown into one of the world's largest retailers, with operations spanning across Europe and Asia. Tesco has implemented numerous initiatives to reduce its environmental footprint, including efforts to minimize food waste and promote healthier eating options. The company continually innovates with new technologies and store formats to enhance the shopping experience.</w:t>
      </w:r>
      <w:r w:rsidR="00F97BF8" w:rsidRPr="00566D42">
        <w:rPr>
          <w:sz w:val="22"/>
          <w:szCs w:val="22"/>
        </w:rPr>
        <w:t xml:space="preserve"> </w:t>
      </w:r>
      <w:r w:rsidR="00472877" w:rsidRPr="00566D42">
        <w:rPr>
          <w:sz w:val="22"/>
          <w:szCs w:val="22"/>
        </w:rPr>
        <w:t xml:space="preserve">Tesco operates various store formats to meet different shopping preferences and locations. These include large hypermarkets, smaller local convenience stores, and express outlets for quick shopping trips. Tesco business </w:t>
      </w:r>
      <w:r w:rsidR="00473448" w:rsidRPr="00566D42">
        <w:rPr>
          <w:sz w:val="22"/>
          <w:szCs w:val="22"/>
        </w:rPr>
        <w:t xml:space="preserve">has expanded to include car and house insurance and also mobile phone </w:t>
      </w:r>
      <w:r w:rsidR="00A94553" w:rsidRPr="00566D42">
        <w:rPr>
          <w:sz w:val="22"/>
          <w:szCs w:val="22"/>
        </w:rPr>
        <w:t>networks. Tesco</w:t>
      </w:r>
      <w:r w:rsidR="00473448" w:rsidRPr="00566D42">
        <w:rPr>
          <w:sz w:val="22"/>
          <w:szCs w:val="22"/>
        </w:rPr>
        <w:t xml:space="preserve"> has seen changes in leadership, with Dave Lewis taking over as CEO in 2014 and Ken Murphy in 2020.</w:t>
      </w:r>
      <w:r w:rsidR="00A94553" w:rsidRPr="00566D42">
        <w:rPr>
          <w:sz w:val="22"/>
          <w:szCs w:val="22"/>
        </w:rPr>
        <w:t xml:space="preserve"> 1990 Tesco launched its loyalty card, the Clubcard, in 1995, which became one of the most successful customer loyalty programs. This decade also saw the introduction of the Tesco Metro and Tesco Express store formats to cater to urban and local markets. Well , 2000 Tesco became the market leader in the UK grocery market, surpassing competitors like Sainsbury’s and Asda.</w:t>
      </w:r>
      <w:r w:rsidR="001D3BE1" w:rsidRPr="00566D42">
        <w:rPr>
          <w:sz w:val="22"/>
          <w:szCs w:val="22"/>
        </w:rPr>
        <w:t xml:space="preserve"> The company has refocused on its core UK market while also maintaining a strong online presence. Tesco has invested in improving its digital infrastructure and delivery services. Despite Tesco faced challenges in some markets, leading to strategic withdrawals from the US (Fresh &amp; Easy) and Japan, and restructuring in other regions. The financial health of  Tesco still remains as the UK dominant player in the retail sector with a strong market position.</w:t>
      </w:r>
      <w:r w:rsidR="00271716" w:rsidRPr="00566D42">
        <w:rPr>
          <w:sz w:val="22"/>
          <w:szCs w:val="22"/>
        </w:rPr>
        <w:t xml:space="preserve"> Tesco's strategy centres on providing high-quality products at competitive prices, ensuring excellent customer service, </w:t>
      </w:r>
      <w:r w:rsidR="00271716" w:rsidRPr="00566D42">
        <w:rPr>
          <w:sz w:val="22"/>
          <w:szCs w:val="22"/>
        </w:rPr>
        <w:lastRenderedPageBreak/>
        <w:t xml:space="preserve">and continually adapting to market changes. The company aims to create value for its customers, employees, and shareholders through a combination of operational efficiency, strategic investments, and a commitment to sustainability. Tesco has developed strong private label brands, such as Tesco Finest and Tesco Value, catering to different customer segments and price points. The Tesco </w:t>
      </w:r>
      <w:r w:rsidR="00271716">
        <w:t>label brand was strategy  to keep loyal</w:t>
      </w:r>
      <w:r w:rsidR="00F24F05">
        <w:t>ty</w:t>
      </w:r>
      <w:r w:rsidR="00271716">
        <w:t xml:space="preserve"> customers and provide opportunities option for the</w:t>
      </w:r>
      <w:r w:rsidR="00D01A20">
        <w:t>ir</w:t>
      </w:r>
      <w:r w:rsidR="00271716">
        <w:t xml:space="preserve"> customer</w:t>
      </w:r>
      <w:r w:rsidR="00D01A20">
        <w:t xml:space="preserve">. It is one the Tesco business mode strategy for their competitors example Asda and Sainsbury supermarkets. With </w:t>
      </w:r>
      <w:r w:rsidR="00D01A20" w:rsidRPr="00D01A20">
        <w:t xml:space="preserve">e-commerce platform, Tesco.com, the company has been a pioneer in online grocery shopping, providing convenient home </w:t>
      </w:r>
    </w:p>
    <w:p w14:paraId="6C812118" w14:textId="77777777" w:rsidR="002E2913" w:rsidRDefault="002E2913" w:rsidP="00E12194"/>
    <w:p w14:paraId="08CCFB6C" w14:textId="77777777" w:rsidR="002E2913" w:rsidRDefault="002E2913" w:rsidP="00E12194"/>
    <w:p w14:paraId="019B44B1" w14:textId="77777777" w:rsidR="002E2913" w:rsidRPr="00CE71B1" w:rsidRDefault="002E2913" w:rsidP="00CE71B1">
      <w:pPr>
        <w:spacing w:line="360" w:lineRule="auto"/>
        <w:rPr>
          <w:sz w:val="22"/>
          <w:szCs w:val="22"/>
        </w:rPr>
      </w:pPr>
    </w:p>
    <w:p w14:paraId="65854075" w14:textId="4B43C2F6" w:rsidR="00E12194" w:rsidRPr="00CE71B1" w:rsidRDefault="00D01A20" w:rsidP="00CE71B1">
      <w:pPr>
        <w:spacing w:line="360" w:lineRule="auto"/>
        <w:rPr>
          <w:sz w:val="22"/>
          <w:szCs w:val="22"/>
        </w:rPr>
      </w:pPr>
      <w:r w:rsidRPr="00CE71B1">
        <w:rPr>
          <w:sz w:val="22"/>
          <w:szCs w:val="22"/>
        </w:rPr>
        <w:t>delivery and click-and-collect services which give Tesco a competitive advantage over his rival in the marketplace.</w:t>
      </w:r>
      <w:r w:rsidR="00E12194" w:rsidRPr="00CE71B1">
        <w:rPr>
          <w:rFonts w:ascii="Times New Roman" w:eastAsia="Times New Roman" w:hAnsi="Times New Roman" w:cs="Times New Roman"/>
          <w:kern w:val="0"/>
          <w:sz w:val="22"/>
          <w:szCs w:val="22"/>
          <w14:ligatures w14:val="none"/>
        </w:rPr>
        <w:t xml:space="preserve"> </w:t>
      </w:r>
      <w:r w:rsidR="00E12194" w:rsidRPr="00CE71B1">
        <w:rPr>
          <w:sz w:val="22"/>
          <w:szCs w:val="22"/>
        </w:rPr>
        <w:t>Tesco’s business model is built on providing a wide range of products and services tailored to different customer needs, leveraging technology and data to enhance customer experience, and maintaining a strong commitment to sustainability and corporate responsibility. Its strategic focus on efficiency, innovation, and customer engagement has enabled it to remain a leading player in the global retail industry.</w:t>
      </w:r>
    </w:p>
    <w:p w14:paraId="4406BBBE" w14:textId="1DF1AF48" w:rsidR="00E12194" w:rsidRPr="00CE71B1" w:rsidRDefault="00E12194" w:rsidP="00CE71B1">
      <w:pPr>
        <w:spacing w:line="360" w:lineRule="auto"/>
        <w:rPr>
          <w:sz w:val="22"/>
          <w:szCs w:val="22"/>
        </w:rPr>
      </w:pPr>
    </w:p>
    <w:p w14:paraId="48F6AD23" w14:textId="515D4FCC" w:rsidR="00271716" w:rsidRDefault="00271716"/>
    <w:p w14:paraId="0FB6E0FF" w14:textId="77777777" w:rsidR="00271716" w:rsidRDefault="00271716"/>
    <w:p w14:paraId="66F870EF" w14:textId="77777777" w:rsidR="00F24F05" w:rsidRDefault="00F24F05"/>
    <w:p w14:paraId="1B0F198C" w14:textId="77777777" w:rsidR="00A541E6" w:rsidRDefault="00A541E6"/>
    <w:p w14:paraId="6B10DC0F" w14:textId="77777777" w:rsidR="002E2913" w:rsidRDefault="002E2913"/>
    <w:p w14:paraId="57065631" w14:textId="77777777" w:rsidR="002E2913" w:rsidRDefault="002E2913"/>
    <w:p w14:paraId="207472F6" w14:textId="77777777" w:rsidR="002E2913" w:rsidRDefault="002E2913"/>
    <w:p w14:paraId="5AC3EF84" w14:textId="77777777" w:rsidR="002E2913" w:rsidRDefault="002E2913"/>
    <w:p w14:paraId="0D31FF05" w14:textId="77777777" w:rsidR="002E2913" w:rsidRDefault="002E2913"/>
    <w:p w14:paraId="76F2717F" w14:textId="77777777" w:rsidR="002E2913" w:rsidRDefault="002E2913"/>
    <w:p w14:paraId="68F0AE20" w14:textId="77777777" w:rsidR="002E2913" w:rsidRDefault="002E2913"/>
    <w:p w14:paraId="787C7E7E" w14:textId="77777777" w:rsidR="002E2913" w:rsidRDefault="002E2913"/>
    <w:p w14:paraId="33571192" w14:textId="77777777" w:rsidR="002E2913" w:rsidRDefault="002E2913"/>
    <w:p w14:paraId="64D88E54" w14:textId="77777777" w:rsidR="002E2913" w:rsidRDefault="002E2913"/>
    <w:p w14:paraId="5BDEBD01" w14:textId="77777777" w:rsidR="00AC4CD1" w:rsidRDefault="00AC4CD1"/>
    <w:p w14:paraId="78074A35" w14:textId="77777777" w:rsidR="00AC4CD1" w:rsidRDefault="00AC4CD1"/>
    <w:p w14:paraId="62EC4079" w14:textId="77777777" w:rsidR="00AC4CD1" w:rsidRDefault="00AC4CD1"/>
    <w:p w14:paraId="68720FFE" w14:textId="77777777" w:rsidR="00AC4CD1" w:rsidRDefault="00AC4CD1"/>
    <w:p w14:paraId="73740D20" w14:textId="77777777" w:rsidR="00AC4CD1" w:rsidRDefault="00AC4CD1"/>
    <w:p w14:paraId="1B264EA5" w14:textId="77777777" w:rsidR="00AC4CD1" w:rsidRDefault="00AC4CD1"/>
    <w:p w14:paraId="52CE778C" w14:textId="77777777" w:rsidR="00AC4CD1" w:rsidRDefault="00AC4CD1"/>
    <w:p w14:paraId="403C4486" w14:textId="77777777" w:rsidR="002E2913" w:rsidRDefault="002E2913"/>
    <w:p w14:paraId="04C524E9" w14:textId="77777777" w:rsidR="002E2913" w:rsidRPr="00CE71B1" w:rsidRDefault="002E2913">
      <w:pPr>
        <w:rPr>
          <w:sz w:val="22"/>
          <w:szCs w:val="22"/>
        </w:rPr>
      </w:pPr>
    </w:p>
    <w:p w14:paraId="7D24DA87" w14:textId="39A2B46A" w:rsidR="00D01E5A" w:rsidRPr="00CE71B1" w:rsidRDefault="00F24F05">
      <w:pPr>
        <w:rPr>
          <w:b/>
          <w:bCs/>
          <w:sz w:val="22"/>
          <w:szCs w:val="22"/>
        </w:rPr>
      </w:pPr>
      <w:r w:rsidRPr="00CE71B1">
        <w:rPr>
          <w:b/>
          <w:bCs/>
          <w:sz w:val="22"/>
          <w:szCs w:val="22"/>
        </w:rPr>
        <w:t>Main Bod</w:t>
      </w:r>
      <w:r w:rsidR="00D01E5A" w:rsidRPr="00CE71B1">
        <w:rPr>
          <w:b/>
          <w:bCs/>
          <w:sz w:val="22"/>
          <w:szCs w:val="22"/>
        </w:rPr>
        <w:t>y</w:t>
      </w:r>
    </w:p>
    <w:p w14:paraId="7789E5A9" w14:textId="02B55BC9" w:rsidR="00F24F05" w:rsidRPr="00CE71B1" w:rsidRDefault="00D01E5A" w:rsidP="000A2C84">
      <w:pPr>
        <w:tabs>
          <w:tab w:val="left" w:pos="5595"/>
        </w:tabs>
        <w:ind w:firstLine="200"/>
        <w:rPr>
          <w:sz w:val="22"/>
          <w:szCs w:val="22"/>
        </w:rPr>
      </w:pPr>
      <w:r w:rsidRPr="00CE71B1">
        <w:rPr>
          <w:sz w:val="22"/>
          <w:szCs w:val="22"/>
        </w:rPr>
        <w:t>1.1</w:t>
      </w:r>
      <w:r w:rsidRPr="001E4086">
        <w:rPr>
          <w:b/>
          <w:bCs/>
          <w:sz w:val="22"/>
          <w:szCs w:val="22"/>
        </w:rPr>
        <w:t xml:space="preserve">. </w:t>
      </w:r>
      <w:r w:rsidR="00F24F05" w:rsidRPr="001E4086">
        <w:rPr>
          <w:b/>
          <w:bCs/>
          <w:sz w:val="22"/>
          <w:szCs w:val="22"/>
        </w:rPr>
        <w:t>Tesco Financial   performance review</w:t>
      </w:r>
      <w:r w:rsidR="00F24F05" w:rsidRPr="00CE71B1">
        <w:rPr>
          <w:sz w:val="22"/>
          <w:szCs w:val="22"/>
        </w:rPr>
        <w:t>.</w:t>
      </w:r>
      <w:r w:rsidR="000A2C84" w:rsidRPr="00CE71B1">
        <w:rPr>
          <w:sz w:val="22"/>
          <w:szCs w:val="22"/>
        </w:rPr>
        <w:tab/>
      </w:r>
    </w:p>
    <w:p w14:paraId="39EFB9A0" w14:textId="0D8B1E60" w:rsidR="009F1503" w:rsidRPr="00CE71B1" w:rsidRDefault="004D432B" w:rsidP="00661511">
      <w:pPr>
        <w:ind w:firstLine="200"/>
        <w:rPr>
          <w:sz w:val="22"/>
          <w:szCs w:val="22"/>
        </w:rPr>
      </w:pPr>
      <w:r w:rsidRPr="00CE71B1">
        <w:rPr>
          <w:sz w:val="22"/>
          <w:szCs w:val="22"/>
        </w:rPr>
        <w:t xml:space="preserve"> </w:t>
      </w:r>
      <w:r w:rsidR="00AB50DC" w:rsidRPr="00CE71B1">
        <w:rPr>
          <w:sz w:val="22"/>
          <w:szCs w:val="22"/>
        </w:rPr>
        <w:t xml:space="preserve">Let outline the </w:t>
      </w:r>
      <w:r w:rsidR="00F24BE2" w:rsidRPr="00CE71B1">
        <w:rPr>
          <w:sz w:val="22"/>
          <w:szCs w:val="22"/>
        </w:rPr>
        <w:t>formula for these ratio</w:t>
      </w:r>
      <w:r w:rsidR="007647B7" w:rsidRPr="00CE71B1">
        <w:rPr>
          <w:sz w:val="22"/>
          <w:szCs w:val="22"/>
        </w:rPr>
        <w:t>s.</w:t>
      </w:r>
    </w:p>
    <w:p w14:paraId="52817CD9" w14:textId="53DEEF9C" w:rsidR="007647B7" w:rsidRPr="00CE71B1" w:rsidRDefault="00661511" w:rsidP="00661511">
      <w:pPr>
        <w:rPr>
          <w:b/>
          <w:bCs/>
          <w:sz w:val="22"/>
          <w:szCs w:val="22"/>
        </w:rPr>
      </w:pPr>
      <w:r w:rsidRPr="00CE71B1">
        <w:rPr>
          <w:b/>
          <w:bCs/>
          <w:sz w:val="22"/>
          <w:szCs w:val="22"/>
        </w:rPr>
        <w:t xml:space="preserve">     </w:t>
      </w:r>
      <w:r w:rsidR="00820B6F" w:rsidRPr="00CE71B1">
        <w:rPr>
          <w:b/>
          <w:bCs/>
          <w:sz w:val="22"/>
          <w:szCs w:val="22"/>
        </w:rPr>
        <w:t>Profitability ratio</w:t>
      </w:r>
      <w:r w:rsidR="00146B77" w:rsidRPr="00CE71B1">
        <w:rPr>
          <w:b/>
          <w:bCs/>
          <w:sz w:val="22"/>
          <w:szCs w:val="22"/>
        </w:rPr>
        <w:t>s</w:t>
      </w:r>
      <w:r w:rsidR="00990528" w:rsidRPr="00CE71B1">
        <w:rPr>
          <w:b/>
          <w:bCs/>
          <w:sz w:val="22"/>
          <w:szCs w:val="22"/>
        </w:rPr>
        <w:t xml:space="preserve">  Formul</w:t>
      </w:r>
      <w:r w:rsidR="00A66703" w:rsidRPr="00CE71B1">
        <w:rPr>
          <w:b/>
          <w:bCs/>
          <w:sz w:val="22"/>
          <w:szCs w:val="22"/>
        </w:rPr>
        <w:t>a</w:t>
      </w:r>
    </w:p>
    <w:p w14:paraId="7C800559" w14:textId="63C144F4" w:rsidR="007B2EC2" w:rsidRPr="00CE71B1" w:rsidRDefault="003B1BFC" w:rsidP="006F1CAB">
      <w:pPr>
        <w:pStyle w:val="ListParagraph"/>
        <w:numPr>
          <w:ilvl w:val="0"/>
          <w:numId w:val="2"/>
        </w:numPr>
        <w:rPr>
          <w:sz w:val="22"/>
          <w:szCs w:val="22"/>
        </w:rPr>
      </w:pPr>
      <w:r w:rsidRPr="00CE71B1">
        <w:rPr>
          <w:sz w:val="22"/>
          <w:szCs w:val="22"/>
        </w:rPr>
        <w:t>Gross Profit Margi</w:t>
      </w:r>
      <w:r w:rsidR="00C27D14" w:rsidRPr="00CE71B1">
        <w:rPr>
          <w:sz w:val="22"/>
          <w:szCs w:val="22"/>
        </w:rPr>
        <w:t xml:space="preserve">n </w:t>
      </w:r>
      <w:r w:rsidR="008A5F7B" w:rsidRPr="00CE71B1">
        <w:rPr>
          <w:sz w:val="22"/>
          <w:szCs w:val="22"/>
        </w:rPr>
        <w:t>=</w:t>
      </w:r>
      <m:oMath>
        <m:f>
          <m:fPr>
            <m:ctrlPr>
              <w:rPr>
                <w:rFonts w:ascii="Cambria Math" w:hAnsi="Cambria Math"/>
                <w:i/>
                <w:sz w:val="22"/>
                <w:szCs w:val="22"/>
              </w:rPr>
            </m:ctrlPr>
          </m:fPr>
          <m:num>
            <m:r>
              <w:rPr>
                <w:rFonts w:ascii="Cambria Math" w:hAnsi="Cambria Math"/>
                <w:sz w:val="22"/>
                <w:szCs w:val="22"/>
              </w:rPr>
              <m:t>gross profit ×100</m:t>
            </m:r>
          </m:num>
          <m:den>
            <m:r>
              <w:rPr>
                <w:rFonts w:ascii="Cambria Math" w:hAnsi="Cambria Math"/>
                <w:sz w:val="22"/>
                <w:szCs w:val="22"/>
              </w:rPr>
              <m:t>Revenue</m:t>
            </m:r>
          </m:den>
        </m:f>
      </m:oMath>
    </w:p>
    <w:p w14:paraId="2C724DFD" w14:textId="544F78BE" w:rsidR="005F28D1" w:rsidRPr="00CE71B1" w:rsidRDefault="006650E0" w:rsidP="006650E0">
      <w:pPr>
        <w:pStyle w:val="ListParagraph"/>
        <w:rPr>
          <w:sz w:val="22"/>
          <w:szCs w:val="22"/>
        </w:rPr>
      </w:pPr>
      <w:r w:rsidRPr="00CE71B1">
        <w:rPr>
          <w:sz w:val="22"/>
          <w:szCs w:val="22"/>
        </w:rPr>
        <w:t xml:space="preserve">                                                            </w:t>
      </w:r>
      <w:r w:rsidR="00891B1E" w:rsidRPr="00CE71B1">
        <w:rPr>
          <w:sz w:val="22"/>
          <w:szCs w:val="22"/>
        </w:rPr>
        <w:t xml:space="preserve"> </w:t>
      </w:r>
    </w:p>
    <w:p w14:paraId="19FF8860" w14:textId="7C1BB2C2" w:rsidR="00E432E3" w:rsidRPr="00CE71B1" w:rsidRDefault="009C0AF1" w:rsidP="00F45815">
      <w:pPr>
        <w:pStyle w:val="ListParagraph"/>
        <w:numPr>
          <w:ilvl w:val="0"/>
          <w:numId w:val="2"/>
        </w:numPr>
        <w:rPr>
          <w:sz w:val="22"/>
          <w:szCs w:val="22"/>
        </w:rPr>
      </w:pPr>
      <w:r w:rsidRPr="00CE71B1">
        <w:rPr>
          <w:sz w:val="22"/>
          <w:szCs w:val="22"/>
        </w:rPr>
        <w:t xml:space="preserve">Operating Profit Margin </w:t>
      </w:r>
      <w:r w:rsidR="000C7809"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operation profit  ×100</m:t>
            </m:r>
          </m:num>
          <m:den>
            <m:r>
              <w:rPr>
                <w:rFonts w:ascii="Cambria Math" w:hAnsi="Cambria Math"/>
                <w:sz w:val="22"/>
                <w:szCs w:val="22"/>
              </w:rPr>
              <m:t>Revenue</m:t>
            </m:r>
          </m:den>
        </m:f>
      </m:oMath>
    </w:p>
    <w:p w14:paraId="01F30954" w14:textId="6C77F10B" w:rsidR="006F1CAB" w:rsidRPr="00CE71B1" w:rsidRDefault="00E432E3" w:rsidP="00D479E5">
      <w:pPr>
        <w:pStyle w:val="ListParagraph"/>
        <w:rPr>
          <w:sz w:val="22"/>
          <w:szCs w:val="22"/>
        </w:rPr>
      </w:pPr>
      <w:r w:rsidRPr="00CE71B1">
        <w:rPr>
          <w:sz w:val="22"/>
          <w:szCs w:val="22"/>
        </w:rPr>
        <w:t xml:space="preserve">                                                                </w:t>
      </w:r>
      <w:r w:rsidR="00D440A5" w:rsidRPr="00CE71B1">
        <w:rPr>
          <w:sz w:val="22"/>
          <w:szCs w:val="22"/>
        </w:rPr>
        <w:t xml:space="preserve">  </w:t>
      </w:r>
    </w:p>
    <w:p w14:paraId="5A8A862A" w14:textId="3289A601" w:rsidR="009C0AF1" w:rsidRPr="00CE71B1" w:rsidRDefault="009C0AF1" w:rsidP="00ED1C34">
      <w:pPr>
        <w:pStyle w:val="ListParagraph"/>
        <w:numPr>
          <w:ilvl w:val="0"/>
          <w:numId w:val="2"/>
        </w:numPr>
        <w:rPr>
          <w:sz w:val="22"/>
          <w:szCs w:val="22"/>
        </w:rPr>
      </w:pPr>
      <w:r w:rsidRPr="00CE71B1">
        <w:rPr>
          <w:sz w:val="22"/>
          <w:szCs w:val="22"/>
        </w:rPr>
        <w:t xml:space="preserve">Net Profit Margin = </w:t>
      </w:r>
      <w:r w:rsidR="00563F7B" w:rsidRPr="00CE71B1">
        <w:rPr>
          <w:sz w:val="22"/>
          <w:szCs w:val="22"/>
        </w:rPr>
        <w:t xml:space="preserve"> </w:t>
      </w:r>
      <w:r w:rsidR="007534B9"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Net  profit  ×100</m:t>
            </m:r>
          </m:num>
          <m:den>
            <m:r>
              <w:rPr>
                <w:rFonts w:ascii="Cambria Math" w:hAnsi="Cambria Math"/>
                <w:sz w:val="22"/>
                <w:szCs w:val="22"/>
              </w:rPr>
              <m:t>Revenue</m:t>
            </m:r>
          </m:den>
        </m:f>
      </m:oMath>
    </w:p>
    <w:p w14:paraId="68DE3C00" w14:textId="40EF538D" w:rsidR="000325B5" w:rsidRPr="00CE71B1" w:rsidRDefault="007C5B79" w:rsidP="00FB2D8B">
      <w:pPr>
        <w:pStyle w:val="ListParagraph"/>
        <w:rPr>
          <w:sz w:val="22"/>
          <w:szCs w:val="22"/>
        </w:rPr>
      </w:pPr>
      <w:r w:rsidRPr="00CE71B1">
        <w:rPr>
          <w:sz w:val="22"/>
          <w:szCs w:val="22"/>
        </w:rPr>
        <w:t xml:space="preserve">                                              </w:t>
      </w:r>
      <w:r w:rsidR="00A8671D" w:rsidRPr="00CE71B1">
        <w:rPr>
          <w:sz w:val="22"/>
          <w:szCs w:val="22"/>
        </w:rPr>
        <w:t xml:space="preserve">        </w:t>
      </w:r>
    </w:p>
    <w:p w14:paraId="0F49EB3A" w14:textId="6CEBF101" w:rsidR="009C0AF1" w:rsidRPr="00CE71B1" w:rsidRDefault="00FB2D8B" w:rsidP="0048710C">
      <w:pPr>
        <w:rPr>
          <w:sz w:val="22"/>
          <w:szCs w:val="22"/>
        </w:rPr>
      </w:pPr>
      <w:r w:rsidRPr="00CE71B1">
        <w:rPr>
          <w:sz w:val="22"/>
          <w:szCs w:val="22"/>
        </w:rPr>
        <w:t xml:space="preserve">           </w:t>
      </w:r>
      <w:r w:rsidR="00FE0F84" w:rsidRPr="00CE71B1">
        <w:rPr>
          <w:sz w:val="22"/>
          <w:szCs w:val="22"/>
        </w:rPr>
        <w:t xml:space="preserve">4. </w:t>
      </w:r>
      <w:r w:rsidR="009C0AF1" w:rsidRPr="00CE71B1">
        <w:rPr>
          <w:sz w:val="22"/>
          <w:szCs w:val="22"/>
        </w:rPr>
        <w:t xml:space="preserve">Return on Assets (ROA) </w:t>
      </w:r>
      <w:r w:rsidR="000407F4" w:rsidRPr="00CE71B1">
        <w:rPr>
          <w:sz w:val="22"/>
          <w:szCs w:val="22"/>
        </w:rPr>
        <w:t>=</w:t>
      </w:r>
      <m:oMath>
        <m:f>
          <m:fPr>
            <m:ctrlPr>
              <w:rPr>
                <w:rFonts w:ascii="Cambria Math" w:hAnsi="Cambria Math"/>
                <w:i/>
                <w:sz w:val="22"/>
                <w:szCs w:val="22"/>
              </w:rPr>
            </m:ctrlPr>
          </m:fPr>
          <m:num>
            <m:r>
              <w:rPr>
                <w:rFonts w:ascii="Cambria Math" w:hAnsi="Cambria Math"/>
                <w:sz w:val="22"/>
                <w:szCs w:val="22"/>
              </w:rPr>
              <m:t>Net  profit ×100</m:t>
            </m:r>
          </m:num>
          <m:den>
            <m:r>
              <w:rPr>
                <w:rFonts w:ascii="Cambria Math" w:hAnsi="Cambria Math"/>
                <w:sz w:val="22"/>
                <w:szCs w:val="22"/>
              </w:rPr>
              <m:t>Total Assets</m:t>
            </m:r>
          </m:den>
        </m:f>
      </m:oMath>
    </w:p>
    <w:p w14:paraId="5D6CBC9C" w14:textId="6246DC31" w:rsidR="00F45815" w:rsidRPr="00CE71B1" w:rsidRDefault="00D35ED8" w:rsidP="00C27011">
      <w:pPr>
        <w:pStyle w:val="ListParagraph"/>
        <w:rPr>
          <w:sz w:val="22"/>
          <w:szCs w:val="22"/>
        </w:rPr>
      </w:pPr>
      <w:r w:rsidRPr="00CE71B1">
        <w:rPr>
          <w:sz w:val="22"/>
          <w:szCs w:val="22"/>
        </w:rPr>
        <w:t xml:space="preserve">                                                        </w:t>
      </w:r>
    </w:p>
    <w:p w14:paraId="54C8FD67" w14:textId="679956BD" w:rsidR="003F6FA8" w:rsidRPr="00CE71B1" w:rsidRDefault="00720D05" w:rsidP="00720D05">
      <w:pPr>
        <w:rPr>
          <w:sz w:val="22"/>
          <w:szCs w:val="22"/>
        </w:rPr>
      </w:pPr>
      <w:r w:rsidRPr="00CE71B1">
        <w:rPr>
          <w:sz w:val="22"/>
          <w:szCs w:val="22"/>
        </w:rPr>
        <w:t xml:space="preserve">          5.</w:t>
      </w:r>
      <w:r w:rsidR="009C0AF1" w:rsidRPr="00CE71B1">
        <w:rPr>
          <w:sz w:val="22"/>
          <w:szCs w:val="22"/>
        </w:rPr>
        <w:t>Return on Equit</w:t>
      </w:r>
      <w:r w:rsidR="001B15D7" w:rsidRPr="00CE71B1">
        <w:rPr>
          <w:sz w:val="22"/>
          <w:szCs w:val="22"/>
        </w:rPr>
        <w:t>y</w:t>
      </w:r>
      <w:r w:rsidR="009F1503" w:rsidRPr="00CE71B1">
        <w:rPr>
          <w:sz w:val="22"/>
          <w:szCs w:val="22"/>
        </w:rPr>
        <w:t>(ROE)</w:t>
      </w:r>
      <w:r w:rsidR="00562778" w:rsidRPr="00CE71B1">
        <w:rPr>
          <w:sz w:val="22"/>
          <w:szCs w:val="22"/>
        </w:rPr>
        <w:t xml:space="preserve"> </w:t>
      </w:r>
      <w:r w:rsidR="004A4FB5" w:rsidRPr="00CE71B1">
        <w:rPr>
          <w:sz w:val="22"/>
          <w:szCs w:val="22"/>
        </w:rPr>
        <w:t>=</w:t>
      </w:r>
      <m:oMath>
        <m:f>
          <m:fPr>
            <m:ctrlPr>
              <w:rPr>
                <w:rFonts w:ascii="Cambria Math" w:hAnsi="Cambria Math"/>
                <w:i/>
                <w:sz w:val="22"/>
                <w:szCs w:val="22"/>
              </w:rPr>
            </m:ctrlPr>
          </m:fPr>
          <m:num>
            <m:r>
              <w:rPr>
                <w:rFonts w:ascii="Cambria Math" w:hAnsi="Cambria Math"/>
                <w:sz w:val="22"/>
                <w:szCs w:val="22"/>
              </w:rPr>
              <m:t>Net profit  ×100</m:t>
            </m:r>
          </m:num>
          <m:den>
            <m:r>
              <w:rPr>
                <w:rFonts w:ascii="Cambria Math" w:hAnsi="Cambria Math"/>
                <w:sz w:val="22"/>
                <w:szCs w:val="22"/>
              </w:rPr>
              <m:t>Total Equity</m:t>
            </m:r>
          </m:den>
        </m:f>
      </m:oMath>
    </w:p>
    <w:p w14:paraId="7DF7DE2E" w14:textId="3CAE9D95" w:rsidR="00E8503C" w:rsidRPr="00CE71B1" w:rsidRDefault="009B32DE" w:rsidP="00052F8D">
      <w:pPr>
        <w:ind w:left="360"/>
        <w:rPr>
          <w:sz w:val="22"/>
          <w:szCs w:val="22"/>
        </w:rPr>
      </w:pPr>
      <w:r w:rsidRPr="00CE71B1">
        <w:rPr>
          <w:sz w:val="22"/>
          <w:szCs w:val="22"/>
        </w:rPr>
        <w:t xml:space="preserve">                                                        </w:t>
      </w:r>
    </w:p>
    <w:p w14:paraId="6E859C2A" w14:textId="7C549D2B" w:rsidR="00E8503C" w:rsidRPr="00CE71B1" w:rsidRDefault="00E8503C" w:rsidP="00E8503C">
      <w:pPr>
        <w:rPr>
          <w:b/>
          <w:bCs/>
          <w:sz w:val="22"/>
          <w:szCs w:val="22"/>
        </w:rPr>
      </w:pPr>
      <w:r w:rsidRPr="00CE71B1">
        <w:rPr>
          <w:b/>
          <w:bCs/>
          <w:sz w:val="22"/>
          <w:szCs w:val="22"/>
        </w:rPr>
        <w:t>Liquidity Ratios</w:t>
      </w:r>
    </w:p>
    <w:p w14:paraId="409777EC" w14:textId="589E6DB6" w:rsidR="00E042A3" w:rsidRPr="00CE71B1" w:rsidRDefault="00F67462" w:rsidP="00E8503C">
      <w:pPr>
        <w:rPr>
          <w:sz w:val="22"/>
          <w:szCs w:val="22"/>
          <w:u w:val="double"/>
        </w:rPr>
      </w:pPr>
      <w:r w:rsidRPr="00CE71B1">
        <w:rPr>
          <w:sz w:val="22"/>
          <w:szCs w:val="22"/>
        </w:rPr>
        <w:t>Current ratio</w:t>
      </w:r>
      <w:r w:rsidR="00417D37" w:rsidRPr="00CE71B1">
        <w:rPr>
          <w:sz w:val="22"/>
          <w:szCs w:val="22"/>
          <w:u w:val="double"/>
        </w:rPr>
        <w:t xml:space="preserve"> </w:t>
      </w:r>
      <w:r w:rsidR="00417D37" w:rsidRPr="00CE71B1">
        <w:rPr>
          <w:sz w:val="22"/>
          <w:szCs w:val="22"/>
        </w:rPr>
        <w:t xml:space="preserve">     </w:t>
      </w:r>
      <w:r w:rsidR="00B30F08" w:rsidRPr="00CE71B1">
        <w:rPr>
          <w:sz w:val="22"/>
          <w:szCs w:val="22"/>
        </w:rPr>
        <w:t>=</w:t>
      </w:r>
      <m:oMath>
        <m:r>
          <w:rPr>
            <w:rFonts w:ascii="Cambria Math" w:hAnsi="Cambria Math"/>
            <w:sz w:val="22"/>
            <w:szCs w:val="22"/>
          </w:rPr>
          <m:t xml:space="preserve">  </m:t>
        </m:r>
      </m:oMath>
      <w:r w:rsidR="00FE09E4"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Current Assets</m:t>
            </m:r>
          </m:num>
          <m:den>
            <m:r>
              <w:rPr>
                <w:rFonts w:ascii="Cambria Math" w:hAnsi="Cambria Math"/>
                <w:sz w:val="22"/>
                <w:szCs w:val="22"/>
              </w:rPr>
              <m:t>Current Liability</m:t>
            </m:r>
          </m:den>
        </m:f>
      </m:oMath>
    </w:p>
    <w:p w14:paraId="680F2B25" w14:textId="5B731E1F" w:rsidR="00460D04" w:rsidRPr="00CE71B1" w:rsidRDefault="001C4F41" w:rsidP="00460D04">
      <w:pPr>
        <w:tabs>
          <w:tab w:val="center" w:pos="4513"/>
        </w:tabs>
        <w:rPr>
          <w:sz w:val="22"/>
          <w:szCs w:val="22"/>
        </w:rPr>
      </w:pPr>
      <w:r w:rsidRPr="00CE71B1">
        <w:rPr>
          <w:sz w:val="22"/>
          <w:szCs w:val="22"/>
        </w:rPr>
        <w:t xml:space="preserve">                               </w:t>
      </w:r>
      <w:r w:rsidR="0022298C" w:rsidRPr="00CE71B1">
        <w:rPr>
          <w:sz w:val="22"/>
          <w:szCs w:val="22"/>
        </w:rPr>
        <w:t xml:space="preserve"> </w:t>
      </w:r>
      <w:r w:rsidR="00460D04" w:rsidRPr="00CE71B1">
        <w:rPr>
          <w:sz w:val="22"/>
          <w:szCs w:val="22"/>
        </w:rPr>
        <w:tab/>
      </w:r>
    </w:p>
    <w:p w14:paraId="3A89907A" w14:textId="77777777" w:rsidR="004C5CC4" w:rsidRPr="00CE71B1" w:rsidRDefault="004C5CC4" w:rsidP="00E8503C">
      <w:pPr>
        <w:rPr>
          <w:sz w:val="22"/>
          <w:szCs w:val="22"/>
        </w:rPr>
      </w:pPr>
    </w:p>
    <w:p w14:paraId="28B806E8" w14:textId="77777777" w:rsidR="005310EC" w:rsidRPr="00CE71B1" w:rsidRDefault="00656439" w:rsidP="00E8503C">
      <w:pPr>
        <w:rPr>
          <w:sz w:val="22"/>
          <w:szCs w:val="22"/>
        </w:rPr>
      </w:pPr>
      <w:r w:rsidRPr="00CE71B1">
        <w:rPr>
          <w:sz w:val="22"/>
          <w:szCs w:val="22"/>
        </w:rPr>
        <w:t xml:space="preserve">Quick </w:t>
      </w:r>
      <w:r w:rsidR="00B30C94" w:rsidRPr="00CE71B1">
        <w:rPr>
          <w:sz w:val="22"/>
          <w:szCs w:val="22"/>
        </w:rPr>
        <w:t xml:space="preserve">ratios  </w:t>
      </w:r>
      <w:r w:rsidR="009D38BD" w:rsidRPr="00CE71B1">
        <w:rPr>
          <w:sz w:val="22"/>
          <w:szCs w:val="22"/>
        </w:rPr>
        <w:t xml:space="preserve">   </w:t>
      </w:r>
      <w:r w:rsidR="00B30C94" w:rsidRPr="00CE71B1">
        <w:rPr>
          <w:sz w:val="22"/>
          <w:szCs w:val="22"/>
        </w:rPr>
        <w:t xml:space="preserve"> </w:t>
      </w:r>
      <w:r w:rsidR="00317F53" w:rsidRPr="00CE71B1">
        <w:rPr>
          <w:sz w:val="22"/>
          <w:szCs w:val="22"/>
        </w:rPr>
        <w:t xml:space="preserve"> </w:t>
      </w:r>
      <w:r w:rsidR="0022298C"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current assests-inventory</m:t>
            </m:r>
          </m:num>
          <m:den>
            <m:r>
              <w:rPr>
                <w:rFonts w:ascii="Cambria Math" w:hAnsi="Cambria Math"/>
                <w:sz w:val="22"/>
                <w:szCs w:val="22"/>
              </w:rPr>
              <m:t>current liability</m:t>
            </m:r>
          </m:den>
        </m:f>
      </m:oMath>
      <w:r w:rsidR="00261C52" w:rsidRPr="00CE71B1">
        <w:rPr>
          <w:sz w:val="22"/>
          <w:szCs w:val="22"/>
        </w:rPr>
        <w:t xml:space="preserve">   </w:t>
      </w:r>
    </w:p>
    <w:p w14:paraId="5A3E4422" w14:textId="77777777" w:rsidR="005310EC" w:rsidRPr="00CE71B1" w:rsidRDefault="005310EC" w:rsidP="00E8503C">
      <w:pPr>
        <w:rPr>
          <w:sz w:val="22"/>
          <w:szCs w:val="22"/>
        </w:rPr>
      </w:pPr>
    </w:p>
    <w:p w14:paraId="42FF620E" w14:textId="36EDC228" w:rsidR="00261C52" w:rsidRPr="00CE71B1" w:rsidRDefault="00261C52" w:rsidP="00E8503C">
      <w:pPr>
        <w:rPr>
          <w:sz w:val="22"/>
          <w:szCs w:val="22"/>
        </w:rPr>
      </w:pPr>
      <w:r w:rsidRPr="00CE71B1">
        <w:rPr>
          <w:sz w:val="22"/>
          <w:szCs w:val="22"/>
        </w:rPr>
        <w:t xml:space="preserve">                       </w:t>
      </w:r>
      <w:r w:rsidR="009D38BD" w:rsidRPr="00CE71B1">
        <w:rPr>
          <w:sz w:val="22"/>
          <w:szCs w:val="22"/>
        </w:rPr>
        <w:t xml:space="preserve">   </w:t>
      </w:r>
      <w:r w:rsidRPr="00CE71B1">
        <w:rPr>
          <w:sz w:val="22"/>
          <w:szCs w:val="22"/>
        </w:rPr>
        <w:t xml:space="preserve">  </w:t>
      </w:r>
    </w:p>
    <w:p w14:paraId="59ED97CA" w14:textId="176235F2" w:rsidR="00002DFE" w:rsidRPr="00CE71B1" w:rsidRDefault="00002DFE" w:rsidP="00E8503C">
      <w:pPr>
        <w:rPr>
          <w:b/>
          <w:bCs/>
          <w:sz w:val="22"/>
          <w:szCs w:val="22"/>
        </w:rPr>
      </w:pPr>
      <w:r w:rsidRPr="00CE71B1">
        <w:rPr>
          <w:b/>
          <w:bCs/>
          <w:sz w:val="22"/>
          <w:szCs w:val="22"/>
        </w:rPr>
        <w:t>Gearing Ratios</w:t>
      </w:r>
      <w:r w:rsidRPr="00CE71B1">
        <w:rPr>
          <w:sz w:val="22"/>
          <w:szCs w:val="22"/>
        </w:rPr>
        <w:t xml:space="preserve">. </w:t>
      </w:r>
    </w:p>
    <w:p w14:paraId="787F5BEC" w14:textId="0F7902FA" w:rsidR="00B30F08" w:rsidRPr="00CE71B1" w:rsidRDefault="00CF1AEF" w:rsidP="00E8503C">
      <w:pPr>
        <w:rPr>
          <w:sz w:val="22"/>
          <w:szCs w:val="22"/>
        </w:rPr>
      </w:pPr>
      <w:r w:rsidRPr="00CE71B1">
        <w:rPr>
          <w:sz w:val="22"/>
          <w:szCs w:val="22"/>
        </w:rPr>
        <w:t>Debt</w:t>
      </w:r>
      <w:r w:rsidR="00CB6092" w:rsidRPr="00CE71B1">
        <w:rPr>
          <w:sz w:val="22"/>
          <w:szCs w:val="22"/>
        </w:rPr>
        <w:t xml:space="preserve">-to- </w:t>
      </w:r>
      <w:r w:rsidR="007E7EFC" w:rsidRPr="00CE71B1">
        <w:rPr>
          <w:sz w:val="22"/>
          <w:szCs w:val="22"/>
        </w:rPr>
        <w:t>Equity ratios</w:t>
      </w:r>
      <w:r w:rsidR="009D38BD" w:rsidRPr="00CE71B1">
        <w:rPr>
          <w:sz w:val="22"/>
          <w:szCs w:val="22"/>
        </w:rPr>
        <w:t xml:space="preserve">  </w:t>
      </w:r>
      <w:r w:rsidR="0041767F" w:rsidRPr="00CE71B1">
        <w:rPr>
          <w:sz w:val="22"/>
          <w:szCs w:val="22"/>
        </w:rPr>
        <w:t>.</w:t>
      </w:r>
      <w:r w:rsidR="008921DF"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total debt</m:t>
            </m:r>
          </m:num>
          <m:den>
            <m:r>
              <w:rPr>
                <w:rFonts w:ascii="Cambria Math" w:hAnsi="Cambria Math"/>
                <w:sz w:val="22"/>
                <w:szCs w:val="22"/>
              </w:rPr>
              <m:t>total  equity</m:t>
            </m:r>
          </m:den>
        </m:f>
      </m:oMath>
      <w:r w:rsidR="0041767F" w:rsidRPr="00CE71B1">
        <w:rPr>
          <w:sz w:val="22"/>
          <w:szCs w:val="22"/>
        </w:rPr>
        <w:t xml:space="preserve">                                                </w:t>
      </w:r>
      <w:r w:rsidR="009D38BD" w:rsidRPr="00CE71B1">
        <w:rPr>
          <w:sz w:val="22"/>
          <w:szCs w:val="22"/>
        </w:rPr>
        <w:t xml:space="preserve">       </w:t>
      </w:r>
    </w:p>
    <w:p w14:paraId="10618FCE" w14:textId="77777777" w:rsidR="001E4086" w:rsidRDefault="009C0878" w:rsidP="00E8503C">
      <w:pPr>
        <w:rPr>
          <w:sz w:val="22"/>
          <w:szCs w:val="22"/>
        </w:rPr>
      </w:pPr>
      <w:r w:rsidRPr="00CE71B1">
        <w:rPr>
          <w:sz w:val="22"/>
          <w:szCs w:val="22"/>
        </w:rPr>
        <w:t>Inter</w:t>
      </w:r>
      <w:r w:rsidR="00AB6303" w:rsidRPr="00CE71B1">
        <w:rPr>
          <w:sz w:val="22"/>
          <w:szCs w:val="22"/>
        </w:rPr>
        <w:t>est coverage ratios =</w:t>
      </w:r>
      <w:r w:rsidR="007D6381"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open  profit</m:t>
            </m:r>
          </m:num>
          <m:den>
            <m:r>
              <w:rPr>
                <w:rFonts w:ascii="Cambria Math" w:hAnsi="Cambria Math"/>
                <w:sz w:val="22"/>
                <w:szCs w:val="22"/>
              </w:rPr>
              <m:t>interest expense</m:t>
            </m:r>
          </m:den>
        </m:f>
      </m:oMath>
      <w:r w:rsidR="007D6381" w:rsidRPr="00CE71B1">
        <w:rPr>
          <w:sz w:val="22"/>
          <w:szCs w:val="22"/>
        </w:rPr>
        <w:t xml:space="preserve">           </w:t>
      </w:r>
    </w:p>
    <w:p w14:paraId="06BF347D" w14:textId="77777777" w:rsidR="001E4086" w:rsidRDefault="001E4086" w:rsidP="00E8503C">
      <w:pPr>
        <w:rPr>
          <w:sz w:val="22"/>
          <w:szCs w:val="22"/>
        </w:rPr>
      </w:pPr>
    </w:p>
    <w:p w14:paraId="5F6397CD" w14:textId="77777777" w:rsidR="001E4086" w:rsidRDefault="001E4086" w:rsidP="00E8503C">
      <w:pPr>
        <w:rPr>
          <w:sz w:val="22"/>
          <w:szCs w:val="22"/>
        </w:rPr>
      </w:pPr>
    </w:p>
    <w:p w14:paraId="09FFBCCD" w14:textId="77777777" w:rsidR="001E4086" w:rsidRDefault="001E4086" w:rsidP="00E8503C">
      <w:pPr>
        <w:rPr>
          <w:sz w:val="22"/>
          <w:szCs w:val="22"/>
        </w:rPr>
      </w:pPr>
    </w:p>
    <w:p w14:paraId="5976E0F9" w14:textId="0AC38631" w:rsidR="008016A5" w:rsidRPr="00CE71B1" w:rsidRDefault="007D6381" w:rsidP="00E8503C">
      <w:pPr>
        <w:rPr>
          <w:sz w:val="22"/>
          <w:szCs w:val="22"/>
        </w:rPr>
      </w:pPr>
      <w:r w:rsidRPr="00CE71B1">
        <w:rPr>
          <w:sz w:val="22"/>
          <w:szCs w:val="22"/>
        </w:rPr>
        <w:t xml:space="preserve">                                    </w:t>
      </w:r>
      <w:r w:rsidR="009D38BD" w:rsidRPr="00CE71B1">
        <w:rPr>
          <w:sz w:val="22"/>
          <w:szCs w:val="22"/>
        </w:rPr>
        <w:t xml:space="preserve">   </w:t>
      </w:r>
    </w:p>
    <w:p w14:paraId="7ED72565" w14:textId="7D213081" w:rsidR="003B0CDC" w:rsidRPr="00CE71B1" w:rsidRDefault="00114152" w:rsidP="00E8503C">
      <w:pPr>
        <w:rPr>
          <w:b/>
          <w:bCs/>
          <w:sz w:val="22"/>
          <w:szCs w:val="22"/>
        </w:rPr>
      </w:pPr>
      <w:r w:rsidRPr="00CE71B1">
        <w:rPr>
          <w:b/>
          <w:bCs/>
          <w:sz w:val="22"/>
          <w:szCs w:val="22"/>
        </w:rPr>
        <w:t>Efficiency  Rati</w:t>
      </w:r>
      <w:r w:rsidR="00363C87" w:rsidRPr="00CE71B1">
        <w:rPr>
          <w:b/>
          <w:bCs/>
          <w:sz w:val="22"/>
          <w:szCs w:val="22"/>
        </w:rPr>
        <w:t>os</w:t>
      </w:r>
    </w:p>
    <w:p w14:paraId="56424B7E" w14:textId="1B0BE4A0" w:rsidR="00522B7C" w:rsidRPr="00CE71B1" w:rsidRDefault="008A05A1" w:rsidP="00E8503C">
      <w:pPr>
        <w:rPr>
          <w:sz w:val="22"/>
          <w:szCs w:val="22"/>
        </w:rPr>
      </w:pPr>
      <w:r w:rsidRPr="00CE71B1">
        <w:rPr>
          <w:sz w:val="22"/>
          <w:szCs w:val="22"/>
        </w:rPr>
        <w:t>Assets Turnover Ratio</w:t>
      </w:r>
      <w:r w:rsidR="00DC383B" w:rsidRPr="00CE71B1">
        <w:rPr>
          <w:sz w:val="22"/>
          <w:szCs w:val="22"/>
        </w:rPr>
        <w:t xml:space="preserve"> </w:t>
      </w:r>
      <w:r w:rsidR="00392DDB"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Revenue</m:t>
            </m:r>
          </m:num>
          <m:den>
            <m:eqArr>
              <m:eqArrPr>
                <m:ctrlPr>
                  <w:rPr>
                    <w:rFonts w:ascii="Cambria Math" w:hAnsi="Cambria Math"/>
                    <w:i/>
                    <w:sz w:val="22"/>
                    <w:szCs w:val="22"/>
                  </w:rPr>
                </m:ctrlPr>
              </m:eqArrPr>
              <m:e>
                <m:r>
                  <w:rPr>
                    <w:rFonts w:ascii="Cambria Math" w:hAnsi="Cambria Math"/>
                    <w:sz w:val="22"/>
                    <w:szCs w:val="22"/>
                  </w:rPr>
                  <m:t>Total Asset</m:t>
                </m:r>
              </m:e>
              <m:e/>
            </m:eqArr>
          </m:den>
        </m:f>
      </m:oMath>
      <w:r w:rsidR="00887DBF" w:rsidRPr="00CE71B1">
        <w:rPr>
          <w:sz w:val="22"/>
          <w:szCs w:val="22"/>
        </w:rPr>
        <w:t xml:space="preserve"> </w:t>
      </w:r>
      <w:r w:rsidR="00522B7C" w:rsidRPr="00CE71B1">
        <w:rPr>
          <w:sz w:val="22"/>
          <w:szCs w:val="22"/>
        </w:rPr>
        <w:t xml:space="preserve">                                             </w:t>
      </w:r>
      <w:r w:rsidR="00887DBF" w:rsidRPr="00CE71B1">
        <w:rPr>
          <w:sz w:val="22"/>
          <w:szCs w:val="22"/>
        </w:rPr>
        <w:t xml:space="preserve"> </w:t>
      </w:r>
    </w:p>
    <w:p w14:paraId="449519D6" w14:textId="3B67428B" w:rsidR="0027247E" w:rsidRPr="00CE71B1" w:rsidRDefault="00E7572B" w:rsidP="00E8503C">
      <w:pPr>
        <w:rPr>
          <w:sz w:val="22"/>
          <w:szCs w:val="22"/>
        </w:rPr>
      </w:pPr>
      <w:r w:rsidRPr="00CE71B1">
        <w:rPr>
          <w:sz w:val="22"/>
          <w:szCs w:val="22"/>
        </w:rPr>
        <w:t>Inventory  turnover Ratio</w:t>
      </w:r>
      <w:r w:rsidR="00DC383B"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cost of good sold</m:t>
            </m:r>
          </m:num>
          <m:den>
            <m:r>
              <w:rPr>
                <w:rFonts w:ascii="Cambria Math" w:hAnsi="Cambria Math"/>
                <w:sz w:val="22"/>
                <w:szCs w:val="22"/>
              </w:rPr>
              <m:t>Averege inventory</m:t>
            </m:r>
          </m:den>
        </m:f>
      </m:oMath>
      <w:r w:rsidR="0027247E" w:rsidRPr="00CE71B1">
        <w:rPr>
          <w:sz w:val="22"/>
          <w:szCs w:val="22"/>
        </w:rPr>
        <w:t xml:space="preserve">                                                           </w:t>
      </w:r>
    </w:p>
    <w:p w14:paraId="6A80FC81" w14:textId="483446C6" w:rsidR="0006667A" w:rsidRPr="00CE71B1" w:rsidRDefault="00747E5E" w:rsidP="00E8503C">
      <w:pPr>
        <w:rPr>
          <w:sz w:val="22"/>
          <w:szCs w:val="22"/>
        </w:rPr>
      </w:pPr>
      <w:r w:rsidRPr="00CE71B1">
        <w:rPr>
          <w:sz w:val="22"/>
          <w:szCs w:val="22"/>
        </w:rPr>
        <w:t xml:space="preserve">Receivable Turnover </w:t>
      </w:r>
      <w:r w:rsidR="00273BD0" w:rsidRPr="00CE71B1">
        <w:rPr>
          <w:sz w:val="22"/>
          <w:szCs w:val="22"/>
        </w:rPr>
        <w:t>Ratio</w:t>
      </w:r>
      <w:r w:rsidR="0076550E" w:rsidRPr="00CE71B1">
        <w:rPr>
          <w:sz w:val="22"/>
          <w:szCs w:val="22"/>
        </w:rPr>
        <w:t xml:space="preserve"> </w:t>
      </w:r>
      <w:r w:rsidR="00C204B8" w:rsidRPr="00CE71B1">
        <w:rPr>
          <w:sz w:val="22"/>
          <w:szCs w:val="22"/>
        </w:rPr>
        <w:t>=</w:t>
      </w:r>
      <m:oMath>
        <m:f>
          <m:fPr>
            <m:ctrlPr>
              <w:rPr>
                <w:rFonts w:ascii="Cambria Math" w:hAnsi="Cambria Math"/>
                <w:i/>
                <w:sz w:val="22"/>
                <w:szCs w:val="22"/>
              </w:rPr>
            </m:ctrlPr>
          </m:fPr>
          <m:num>
            <m:r>
              <w:rPr>
                <w:rFonts w:ascii="Cambria Math" w:hAnsi="Cambria Math"/>
                <w:sz w:val="22"/>
                <w:szCs w:val="22"/>
              </w:rPr>
              <m:t>Revenue</m:t>
            </m:r>
          </m:num>
          <m:den>
            <m:r>
              <w:rPr>
                <w:rFonts w:ascii="Cambria Math" w:hAnsi="Cambria Math"/>
                <w:sz w:val="22"/>
                <w:szCs w:val="22"/>
              </w:rPr>
              <m:t>Average  receivable</m:t>
            </m:r>
          </m:den>
        </m:f>
      </m:oMath>
    </w:p>
    <w:p w14:paraId="6231A96E" w14:textId="12FED21F" w:rsidR="00686C2B" w:rsidRPr="00CE71B1" w:rsidRDefault="00040A12" w:rsidP="00E8503C">
      <w:pPr>
        <w:rPr>
          <w:b/>
          <w:bCs/>
          <w:sz w:val="22"/>
          <w:szCs w:val="22"/>
        </w:rPr>
      </w:pPr>
      <w:r w:rsidRPr="00CE71B1">
        <w:rPr>
          <w:b/>
          <w:bCs/>
          <w:sz w:val="22"/>
          <w:szCs w:val="22"/>
        </w:rPr>
        <w:t>P</w:t>
      </w:r>
      <w:r w:rsidR="00D07851" w:rsidRPr="00CE71B1">
        <w:rPr>
          <w:b/>
          <w:bCs/>
          <w:sz w:val="22"/>
          <w:szCs w:val="22"/>
        </w:rPr>
        <w:t xml:space="preserve">rofitability  </w:t>
      </w:r>
      <w:r w:rsidR="00562FFB" w:rsidRPr="00CE71B1">
        <w:rPr>
          <w:b/>
          <w:bCs/>
          <w:sz w:val="22"/>
          <w:szCs w:val="22"/>
        </w:rPr>
        <w:t>Ratio</w:t>
      </w:r>
    </w:p>
    <w:p w14:paraId="09DB4008" w14:textId="412DA213" w:rsidR="005E1BEC" w:rsidRPr="00CE71B1" w:rsidRDefault="00CD6782" w:rsidP="00E8503C">
      <w:pPr>
        <w:rPr>
          <w:b/>
          <w:bCs/>
          <w:sz w:val="22"/>
          <w:szCs w:val="22"/>
        </w:rPr>
      </w:pPr>
      <w:r w:rsidRPr="00CE71B1">
        <w:rPr>
          <w:b/>
          <w:bCs/>
          <w:sz w:val="22"/>
          <w:szCs w:val="22"/>
        </w:rPr>
        <w:t>T</w:t>
      </w:r>
      <w:r w:rsidR="002F2A75" w:rsidRPr="00CE71B1">
        <w:rPr>
          <w:b/>
          <w:bCs/>
          <w:sz w:val="22"/>
          <w:szCs w:val="22"/>
        </w:rPr>
        <w:t>esco financial statemen</w:t>
      </w:r>
      <w:r w:rsidR="00BF0646" w:rsidRPr="00CE71B1">
        <w:rPr>
          <w:b/>
          <w:bCs/>
          <w:sz w:val="22"/>
          <w:szCs w:val="22"/>
        </w:rPr>
        <w:t xml:space="preserve">t   </w:t>
      </w:r>
      <w:r w:rsidR="007F2163" w:rsidRPr="00CE71B1">
        <w:rPr>
          <w:b/>
          <w:bCs/>
          <w:sz w:val="22"/>
          <w:szCs w:val="22"/>
        </w:rPr>
        <w:t xml:space="preserve">Year </w:t>
      </w:r>
      <w:r w:rsidR="000576BD" w:rsidRPr="00CE71B1">
        <w:rPr>
          <w:b/>
          <w:bCs/>
          <w:sz w:val="22"/>
          <w:szCs w:val="22"/>
        </w:rPr>
        <w:t>2024</w:t>
      </w:r>
      <w:r w:rsidR="00897629" w:rsidRPr="00CE71B1">
        <w:rPr>
          <w:b/>
          <w:bCs/>
          <w:sz w:val="22"/>
          <w:szCs w:val="22"/>
        </w:rPr>
        <w:t xml:space="preserve">                                                  Year 2023</w:t>
      </w:r>
    </w:p>
    <w:p w14:paraId="348BBDB9" w14:textId="2B93E42D" w:rsidR="00EF7B3A" w:rsidRPr="00CE71B1" w:rsidRDefault="00F665EC" w:rsidP="00E8503C">
      <w:pPr>
        <w:rPr>
          <w:sz w:val="22"/>
          <w:szCs w:val="22"/>
        </w:rPr>
      </w:pPr>
      <w:r w:rsidRPr="00CE71B1">
        <w:rPr>
          <w:sz w:val="22"/>
          <w:szCs w:val="22"/>
        </w:rPr>
        <w:t>Gross profit margin</w:t>
      </w:r>
      <w:r w:rsidR="003F2B06"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2, 289.00×100 =</m:t>
            </m:r>
          </m:num>
          <m:den>
            <m:r>
              <w:rPr>
                <w:rFonts w:ascii="Cambria Math" w:hAnsi="Cambria Math"/>
                <w:sz w:val="22"/>
                <w:szCs w:val="22"/>
              </w:rPr>
              <m:t>68,187</m:t>
            </m:r>
          </m:den>
        </m:f>
        <m:r>
          <w:rPr>
            <w:rFonts w:ascii="Cambria Math" w:hAnsi="Cambria Math"/>
            <w:sz w:val="22"/>
            <w:szCs w:val="22"/>
          </w:rPr>
          <m:t xml:space="preserve">   3.4%</m:t>
        </m:r>
      </m:oMath>
      <w:r w:rsidR="005341CD" w:rsidRPr="00CE71B1">
        <w:rPr>
          <w:sz w:val="22"/>
          <w:szCs w:val="22"/>
        </w:rPr>
        <w:t xml:space="preserve">                                      </w:t>
      </w:r>
      <w:r w:rsidR="00D86891"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882</m:t>
            </m:r>
          </m:num>
          <m:den>
            <m:r>
              <w:rPr>
                <w:rFonts w:ascii="Cambria Math" w:hAnsi="Cambria Math"/>
                <w:sz w:val="22"/>
                <w:szCs w:val="22"/>
              </w:rPr>
              <m:t>65.322,00</m:t>
            </m:r>
          </m:den>
        </m:f>
        <m:r>
          <w:rPr>
            <w:rFonts w:ascii="Cambria Math" w:hAnsi="Cambria Math"/>
            <w:sz w:val="22"/>
            <w:szCs w:val="22"/>
          </w:rPr>
          <m:t xml:space="preserve"> ×100=1.4%</m:t>
        </m:r>
      </m:oMath>
    </w:p>
    <w:p w14:paraId="05B2EAD4" w14:textId="24D7E8FE" w:rsidR="00D7115C" w:rsidRPr="00CE71B1" w:rsidRDefault="007B1511" w:rsidP="00E8503C">
      <w:pPr>
        <w:rPr>
          <w:sz w:val="22"/>
          <w:szCs w:val="22"/>
        </w:rPr>
      </w:pPr>
      <w:r w:rsidRPr="00CE71B1">
        <w:rPr>
          <w:sz w:val="22"/>
          <w:szCs w:val="22"/>
        </w:rPr>
        <w:t xml:space="preserve">Operation profit </w:t>
      </w:r>
      <w:r w:rsidR="0002686B" w:rsidRPr="00CE71B1">
        <w:rPr>
          <w:sz w:val="22"/>
          <w:szCs w:val="22"/>
        </w:rPr>
        <w:t xml:space="preserve"> margin =</w:t>
      </w:r>
      <m:oMath>
        <m:f>
          <m:fPr>
            <m:ctrlPr>
              <w:rPr>
                <w:rFonts w:ascii="Cambria Math" w:hAnsi="Cambria Math"/>
                <w:i/>
                <w:sz w:val="22"/>
                <w:szCs w:val="22"/>
              </w:rPr>
            </m:ctrlPr>
          </m:fPr>
          <m:num>
            <m:r>
              <w:rPr>
                <w:rFonts w:ascii="Cambria Math" w:hAnsi="Cambria Math"/>
                <w:sz w:val="22"/>
                <w:szCs w:val="22"/>
              </w:rPr>
              <m:t xml:space="preserve">2,821.00×100 </m:t>
            </m:r>
          </m:num>
          <m:den>
            <m:r>
              <w:rPr>
                <w:rFonts w:ascii="Cambria Math" w:hAnsi="Cambria Math"/>
                <w:sz w:val="22"/>
                <w:szCs w:val="22"/>
              </w:rPr>
              <m:t>68,187</m:t>
            </m:r>
          </m:den>
        </m:f>
      </m:oMath>
      <w:r w:rsidR="00C07E1F" w:rsidRPr="00CE71B1">
        <w:rPr>
          <w:sz w:val="22"/>
          <w:szCs w:val="22"/>
        </w:rPr>
        <w:t>=</w:t>
      </w:r>
      <w:r w:rsidR="00B9664C" w:rsidRPr="00CE71B1">
        <w:rPr>
          <w:sz w:val="22"/>
          <w:szCs w:val="22"/>
        </w:rPr>
        <w:t xml:space="preserve"> 4</w:t>
      </w:r>
      <w:r w:rsidR="00BB10B4" w:rsidRPr="00CE71B1">
        <w:rPr>
          <w:sz w:val="22"/>
          <w:szCs w:val="22"/>
        </w:rPr>
        <w:t>.</w:t>
      </w:r>
      <w:r w:rsidR="00EB3D82" w:rsidRPr="00CE71B1">
        <w:rPr>
          <w:sz w:val="22"/>
          <w:szCs w:val="22"/>
        </w:rPr>
        <w:t>14</w:t>
      </w:r>
      <w:r w:rsidR="00BB10B4" w:rsidRPr="00CE71B1">
        <w:rPr>
          <w:sz w:val="22"/>
          <w:szCs w:val="22"/>
        </w:rPr>
        <w:t>%</w:t>
      </w:r>
      <w:r w:rsidR="00364813"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1,410.00</m:t>
            </m:r>
          </m:num>
          <m:den>
            <m:r>
              <w:rPr>
                <w:rFonts w:ascii="Cambria Math" w:hAnsi="Cambria Math"/>
                <w:sz w:val="22"/>
                <w:szCs w:val="22"/>
              </w:rPr>
              <m:t>65,322.00</m:t>
            </m:r>
          </m:den>
        </m:f>
        <m:r>
          <w:rPr>
            <w:rFonts w:ascii="Cambria Math" w:hAnsi="Cambria Math"/>
            <w:sz w:val="22"/>
            <w:szCs w:val="22"/>
          </w:rPr>
          <m:t xml:space="preserve"> ×100=2.2%</m:t>
        </m:r>
      </m:oMath>
    </w:p>
    <w:p w14:paraId="425F2CFD" w14:textId="28FF3D33" w:rsidR="00E67D12" w:rsidRPr="00CE71B1" w:rsidRDefault="00E67D12" w:rsidP="00E8503C">
      <w:pPr>
        <w:rPr>
          <w:sz w:val="22"/>
          <w:szCs w:val="22"/>
        </w:rPr>
      </w:pPr>
      <w:r w:rsidRPr="00CE71B1">
        <w:rPr>
          <w:sz w:val="22"/>
          <w:szCs w:val="22"/>
        </w:rPr>
        <w:t xml:space="preserve">Net </w:t>
      </w:r>
      <w:r w:rsidR="000E127B" w:rsidRPr="00CE71B1">
        <w:rPr>
          <w:sz w:val="22"/>
          <w:szCs w:val="22"/>
        </w:rPr>
        <w:t xml:space="preserve"> profit margin =</w:t>
      </w:r>
      <m:oMath>
        <m:f>
          <m:fPr>
            <m:ctrlPr>
              <w:rPr>
                <w:rFonts w:ascii="Cambria Math" w:hAnsi="Cambria Math"/>
                <w:i/>
                <w:sz w:val="22"/>
                <w:szCs w:val="22"/>
              </w:rPr>
            </m:ctrlPr>
          </m:fPr>
          <m:num>
            <m:r>
              <w:rPr>
                <w:rFonts w:ascii="Cambria Math" w:hAnsi="Cambria Math"/>
                <w:sz w:val="22"/>
                <w:szCs w:val="22"/>
              </w:rPr>
              <m:t>1,764.00 ×100</m:t>
            </m:r>
          </m:num>
          <m:den>
            <m:r>
              <w:rPr>
                <w:rFonts w:ascii="Cambria Math" w:hAnsi="Cambria Math"/>
                <w:sz w:val="22"/>
                <w:szCs w:val="22"/>
              </w:rPr>
              <m:t>68,187</m:t>
            </m:r>
          </m:den>
        </m:f>
        <m:r>
          <w:rPr>
            <w:rFonts w:ascii="Cambria Math" w:hAnsi="Cambria Math"/>
            <w:sz w:val="22"/>
            <w:szCs w:val="22"/>
          </w:rPr>
          <m:t xml:space="preserve">= </m:t>
        </m:r>
      </m:oMath>
      <w:r w:rsidR="00A25892" w:rsidRPr="00CE71B1">
        <w:rPr>
          <w:sz w:val="22"/>
          <w:szCs w:val="22"/>
        </w:rPr>
        <w:t>2</w:t>
      </w:r>
      <w:r w:rsidR="00205CBE" w:rsidRPr="00CE71B1">
        <w:rPr>
          <w:sz w:val="22"/>
          <w:szCs w:val="22"/>
        </w:rPr>
        <w:t>.5</w:t>
      </w:r>
      <w:r w:rsidR="00A25892" w:rsidRPr="00CE71B1">
        <w:rPr>
          <w:sz w:val="22"/>
          <w:szCs w:val="22"/>
        </w:rPr>
        <w:t>%</w:t>
      </w:r>
      <w:r w:rsidR="00DA1F73"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658</m:t>
            </m:r>
          </m:num>
          <m:den>
            <m:r>
              <w:rPr>
                <w:rFonts w:ascii="Cambria Math" w:hAnsi="Cambria Math"/>
                <w:sz w:val="22"/>
                <w:szCs w:val="22"/>
              </w:rPr>
              <m:t xml:space="preserve">65,322,00 </m:t>
            </m:r>
          </m:den>
        </m:f>
        <m:r>
          <w:rPr>
            <w:rFonts w:ascii="Cambria Math" w:hAnsi="Cambria Math"/>
            <w:sz w:val="22"/>
            <w:szCs w:val="22"/>
          </w:rPr>
          <m:t xml:space="preserve"> ×100=1.0%</m:t>
        </m:r>
      </m:oMath>
    </w:p>
    <w:p w14:paraId="4BE1276B" w14:textId="1580DAF1" w:rsidR="00154967" w:rsidRPr="00CE71B1" w:rsidRDefault="00ED6B80" w:rsidP="00E8503C">
      <w:pPr>
        <w:rPr>
          <w:sz w:val="22"/>
          <w:szCs w:val="22"/>
        </w:rPr>
      </w:pPr>
      <w:r w:rsidRPr="00CE71B1">
        <w:rPr>
          <w:sz w:val="22"/>
          <w:szCs w:val="22"/>
        </w:rPr>
        <w:t>Return of A</w:t>
      </w:r>
      <w:r w:rsidR="00EC7B98" w:rsidRPr="00CE71B1">
        <w:rPr>
          <w:sz w:val="22"/>
          <w:szCs w:val="22"/>
        </w:rPr>
        <w:t>ssets(ROA)=</w:t>
      </w:r>
      <m:oMath>
        <m:f>
          <m:fPr>
            <m:ctrlPr>
              <w:rPr>
                <w:rFonts w:ascii="Cambria Math" w:hAnsi="Cambria Math"/>
                <w:i/>
                <w:sz w:val="22"/>
                <w:szCs w:val="22"/>
              </w:rPr>
            </m:ctrlPr>
          </m:fPr>
          <m:num>
            <m:r>
              <w:rPr>
                <w:rFonts w:ascii="Cambria Math" w:hAnsi="Cambria Math"/>
                <w:sz w:val="22"/>
                <w:szCs w:val="22"/>
              </w:rPr>
              <m:t>1,764.00</m:t>
            </m:r>
          </m:num>
          <m:den>
            <m:r>
              <w:rPr>
                <w:rFonts w:ascii="Cambria Math" w:hAnsi="Cambria Math"/>
                <w:sz w:val="22"/>
                <w:szCs w:val="22"/>
              </w:rPr>
              <m:t>47,039.00</m:t>
            </m:r>
          </m:den>
        </m:f>
        <m:r>
          <w:rPr>
            <w:rFonts w:ascii="Cambria Math" w:hAnsi="Cambria Math"/>
            <w:sz w:val="22"/>
            <w:szCs w:val="22"/>
          </w:rPr>
          <m:t xml:space="preserve"> ×100=3.8%</m:t>
        </m:r>
      </m:oMath>
      <w:r w:rsidR="00114F34" w:rsidRPr="00CE71B1">
        <w:rPr>
          <w:sz w:val="22"/>
          <w:szCs w:val="22"/>
        </w:rPr>
        <w:t xml:space="preserve">                             </w:t>
      </w:r>
      <w:r w:rsidR="00DD745E"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 xml:space="preserve">658  </m:t>
            </m:r>
          </m:num>
          <m:den>
            <m:r>
              <w:rPr>
                <w:rFonts w:ascii="Cambria Math" w:hAnsi="Cambria Math"/>
                <w:sz w:val="22"/>
                <w:szCs w:val="22"/>
              </w:rPr>
              <m:t>45,868.00</m:t>
            </m:r>
          </m:den>
        </m:f>
        <m:r>
          <w:rPr>
            <w:rFonts w:ascii="Cambria Math" w:hAnsi="Cambria Math"/>
            <w:sz w:val="22"/>
            <w:szCs w:val="22"/>
          </w:rPr>
          <m:t xml:space="preserve"> ×100</m:t>
        </m:r>
      </m:oMath>
      <w:r w:rsidR="00364D02" w:rsidRPr="00CE71B1">
        <w:rPr>
          <w:sz w:val="22"/>
          <w:szCs w:val="22"/>
        </w:rPr>
        <w:t xml:space="preserve"> 1</w:t>
      </w:r>
      <w:r w:rsidR="00154967" w:rsidRPr="00CE71B1">
        <w:rPr>
          <w:sz w:val="22"/>
          <w:szCs w:val="22"/>
        </w:rPr>
        <w:t>.4%</w:t>
      </w:r>
    </w:p>
    <w:p w14:paraId="71AD200C" w14:textId="2F04E698" w:rsidR="00C83336" w:rsidRPr="00CE71B1" w:rsidRDefault="00C83336" w:rsidP="00E8503C">
      <w:pPr>
        <w:rPr>
          <w:sz w:val="22"/>
          <w:szCs w:val="22"/>
        </w:rPr>
      </w:pPr>
      <w:r w:rsidRPr="00CE71B1">
        <w:rPr>
          <w:sz w:val="22"/>
          <w:szCs w:val="22"/>
        </w:rPr>
        <w:t xml:space="preserve">Return </w:t>
      </w:r>
      <w:r w:rsidR="005639B3" w:rsidRPr="00CE71B1">
        <w:rPr>
          <w:sz w:val="22"/>
          <w:szCs w:val="22"/>
        </w:rPr>
        <w:t>of E</w:t>
      </w:r>
      <w:r w:rsidR="006901AF" w:rsidRPr="00CE71B1">
        <w:rPr>
          <w:sz w:val="22"/>
          <w:szCs w:val="22"/>
        </w:rPr>
        <w:t>quity (ROE) =</w:t>
      </w:r>
      <m:oMath>
        <m:f>
          <m:fPr>
            <m:ctrlPr>
              <w:rPr>
                <w:rFonts w:ascii="Cambria Math" w:hAnsi="Cambria Math"/>
                <w:i/>
                <w:sz w:val="22"/>
                <w:szCs w:val="22"/>
              </w:rPr>
            </m:ctrlPr>
          </m:fPr>
          <m:num>
            <m:r>
              <w:rPr>
                <w:rFonts w:ascii="Cambria Math" w:hAnsi="Cambria Math"/>
                <w:sz w:val="22"/>
                <w:szCs w:val="22"/>
              </w:rPr>
              <m:t>1,764.00</m:t>
            </m:r>
          </m:num>
          <m:den>
            <m:r>
              <w:rPr>
                <w:rFonts w:ascii="Cambria Math" w:hAnsi="Cambria Math"/>
                <w:sz w:val="22"/>
                <w:szCs w:val="22"/>
              </w:rPr>
              <m:t>11,665.00</m:t>
            </m:r>
          </m:den>
        </m:f>
        <m:r>
          <w:rPr>
            <w:rFonts w:ascii="Cambria Math" w:hAnsi="Cambria Math"/>
            <w:sz w:val="22"/>
            <w:szCs w:val="22"/>
          </w:rPr>
          <m:t xml:space="preserve"> ×100=</m:t>
        </m:r>
      </m:oMath>
      <w:r w:rsidR="00364A9D" w:rsidRPr="00CE71B1">
        <w:rPr>
          <w:sz w:val="22"/>
          <w:szCs w:val="22"/>
        </w:rPr>
        <w:t>1</w:t>
      </w:r>
      <w:r w:rsidR="00401E26" w:rsidRPr="00CE71B1">
        <w:rPr>
          <w:sz w:val="22"/>
          <w:szCs w:val="22"/>
        </w:rPr>
        <w:t>5.1%</w:t>
      </w:r>
      <w:r w:rsidR="00154967"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658</m:t>
            </m:r>
          </m:num>
          <m:den>
            <m:r>
              <w:rPr>
                <w:rFonts w:ascii="Cambria Math" w:hAnsi="Cambria Math"/>
                <w:sz w:val="22"/>
                <w:szCs w:val="22"/>
              </w:rPr>
              <m:t>12,.225.00</m:t>
            </m:r>
          </m:den>
        </m:f>
        <m:r>
          <w:rPr>
            <w:rFonts w:ascii="Cambria Math" w:hAnsi="Cambria Math"/>
            <w:sz w:val="22"/>
            <w:szCs w:val="22"/>
          </w:rPr>
          <m:t xml:space="preserve"> ×100=</m:t>
        </m:r>
      </m:oMath>
      <w:r w:rsidR="0008459C" w:rsidRPr="00CE71B1">
        <w:rPr>
          <w:sz w:val="22"/>
          <w:szCs w:val="22"/>
        </w:rPr>
        <w:t>5.4%</w:t>
      </w:r>
    </w:p>
    <w:p w14:paraId="259E474F" w14:textId="1899FED0" w:rsidR="00BB10B4" w:rsidRPr="00CE71B1" w:rsidRDefault="006225B7" w:rsidP="008045E1">
      <w:pPr>
        <w:rPr>
          <w:b/>
          <w:bCs/>
          <w:sz w:val="22"/>
          <w:szCs w:val="22"/>
        </w:rPr>
      </w:pPr>
      <w:r w:rsidRPr="00CE71B1">
        <w:rPr>
          <w:b/>
          <w:bCs/>
          <w:sz w:val="22"/>
          <w:szCs w:val="22"/>
        </w:rPr>
        <w:t xml:space="preserve"> </w:t>
      </w:r>
      <w:r w:rsidR="00783E7D" w:rsidRPr="00CE71B1">
        <w:rPr>
          <w:b/>
          <w:bCs/>
          <w:sz w:val="22"/>
          <w:szCs w:val="22"/>
        </w:rPr>
        <w:t>Liquidity</w:t>
      </w:r>
      <w:r w:rsidRPr="00CE71B1">
        <w:rPr>
          <w:b/>
          <w:bCs/>
          <w:sz w:val="22"/>
          <w:szCs w:val="22"/>
        </w:rPr>
        <w:t xml:space="preserve">  </w:t>
      </w:r>
      <w:r w:rsidR="00E50BB7" w:rsidRPr="00CE71B1">
        <w:rPr>
          <w:b/>
          <w:bCs/>
          <w:sz w:val="22"/>
          <w:szCs w:val="22"/>
        </w:rPr>
        <w:t>Ratio</w:t>
      </w:r>
    </w:p>
    <w:p w14:paraId="04B6F212" w14:textId="78C421E2" w:rsidR="00783E7D" w:rsidRPr="00CE71B1" w:rsidRDefault="00783E7D" w:rsidP="008045E1">
      <w:pPr>
        <w:rPr>
          <w:b/>
          <w:bCs/>
          <w:sz w:val="22"/>
          <w:szCs w:val="22"/>
        </w:rPr>
      </w:pPr>
      <w:r w:rsidRPr="00CE71B1">
        <w:rPr>
          <w:b/>
          <w:bCs/>
          <w:sz w:val="22"/>
          <w:szCs w:val="22"/>
        </w:rPr>
        <w:t xml:space="preserve">  </w:t>
      </w:r>
      <w:r w:rsidRPr="00CE71B1">
        <w:rPr>
          <w:sz w:val="22"/>
          <w:szCs w:val="22"/>
        </w:rPr>
        <w:t xml:space="preserve">Current </w:t>
      </w:r>
      <w:r w:rsidRPr="00CE71B1">
        <w:rPr>
          <w:b/>
          <w:bCs/>
          <w:sz w:val="22"/>
          <w:szCs w:val="22"/>
        </w:rPr>
        <w:t>ratio</w:t>
      </w:r>
      <w:r w:rsidR="00EC2E41" w:rsidRPr="00CE71B1">
        <w:rPr>
          <w:b/>
          <w:bCs/>
          <w:sz w:val="22"/>
          <w:szCs w:val="22"/>
        </w:rPr>
        <w:t xml:space="preserve"> =</w:t>
      </w:r>
      <m:oMath>
        <m:f>
          <m:fPr>
            <m:ctrlPr>
              <w:rPr>
                <w:rFonts w:ascii="Cambria Math" w:hAnsi="Cambria Math"/>
                <w:i/>
                <w:sz w:val="22"/>
                <w:szCs w:val="22"/>
              </w:rPr>
            </m:ctrlPr>
          </m:fPr>
          <m:num>
            <m:r>
              <w:rPr>
                <w:rFonts w:ascii="Cambria Math" w:hAnsi="Cambria Math"/>
                <w:sz w:val="22"/>
                <w:szCs w:val="22"/>
              </w:rPr>
              <m:t>2,334.00</m:t>
            </m:r>
          </m:num>
          <m:den>
            <m:r>
              <w:rPr>
                <w:rFonts w:ascii="Cambria Math" w:hAnsi="Cambria Math"/>
                <w:sz w:val="22"/>
                <w:szCs w:val="22"/>
              </w:rPr>
              <m:t>14,902.00</m:t>
            </m:r>
          </m:den>
        </m:f>
        <m:r>
          <w:rPr>
            <w:rFonts w:ascii="Cambria Math" w:hAnsi="Cambria Math"/>
            <w:sz w:val="22"/>
            <w:szCs w:val="22"/>
          </w:rPr>
          <m:t xml:space="preserve"> =0,16% </m:t>
        </m:r>
      </m:oMath>
      <w:r w:rsidR="00225ECC"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1981.oo</m:t>
            </m:r>
          </m:num>
          <m:den>
            <m:r>
              <w:rPr>
                <w:rFonts w:ascii="Cambria Math" w:hAnsi="Cambria Math"/>
                <w:sz w:val="22"/>
                <w:szCs w:val="22"/>
              </w:rPr>
              <m:t>3007.00</m:t>
            </m:r>
          </m:den>
        </m:f>
        <m:r>
          <w:rPr>
            <w:rFonts w:ascii="Cambria Math" w:hAnsi="Cambria Math"/>
            <w:sz w:val="22"/>
            <w:szCs w:val="22"/>
          </w:rPr>
          <m:t xml:space="preserve">=0.66%  </m:t>
        </m:r>
      </m:oMath>
    </w:p>
    <w:p w14:paraId="31FB590C" w14:textId="1BF8C657" w:rsidR="00E50BB7" w:rsidRPr="00CE71B1" w:rsidRDefault="00E50BB7" w:rsidP="00E8503C">
      <w:pPr>
        <w:rPr>
          <w:b/>
          <w:bCs/>
          <w:sz w:val="22"/>
          <w:szCs w:val="22"/>
        </w:rPr>
      </w:pPr>
    </w:p>
    <w:p w14:paraId="2D235472" w14:textId="5280B1BF" w:rsidR="007763C0" w:rsidRPr="00CE71B1" w:rsidRDefault="00C30826" w:rsidP="00E8503C">
      <w:pPr>
        <w:rPr>
          <w:sz w:val="22"/>
          <w:szCs w:val="22"/>
        </w:rPr>
      </w:pPr>
      <w:r w:rsidRPr="00CE71B1">
        <w:rPr>
          <w:b/>
          <w:bCs/>
          <w:sz w:val="22"/>
          <w:szCs w:val="22"/>
        </w:rPr>
        <w:t xml:space="preserve">   </w:t>
      </w:r>
      <m:oMath>
        <m:f>
          <m:fPr>
            <m:ctrlPr>
              <w:rPr>
                <w:rFonts w:ascii="Cambria Math" w:hAnsi="Cambria Math"/>
                <w:b/>
                <w:bCs/>
                <w:i/>
                <w:sz w:val="22"/>
                <w:szCs w:val="22"/>
              </w:rPr>
            </m:ctrlPr>
          </m:fPr>
          <m:num>
            <m:r>
              <m:rPr>
                <m:sty m:val="bi"/>
              </m:rPr>
              <w:rPr>
                <w:rFonts w:ascii="Cambria Math" w:hAnsi="Cambria Math"/>
                <w:sz w:val="22"/>
                <w:szCs w:val="22"/>
              </w:rPr>
              <m:t>2302.00</m:t>
            </m:r>
          </m:num>
          <m:den>
            <m:r>
              <m:rPr>
                <m:sty m:val="bi"/>
              </m:rPr>
              <w:rPr>
                <w:rFonts w:ascii="Cambria Math" w:hAnsi="Cambria Math"/>
                <w:sz w:val="22"/>
                <w:szCs w:val="22"/>
              </w:rPr>
              <m:t>2363.00</m:t>
            </m:r>
          </m:den>
        </m:f>
        <m:r>
          <m:rPr>
            <m:sty m:val="bi"/>
          </m:rPr>
          <w:rPr>
            <w:rFonts w:ascii="Cambria Math" w:hAnsi="Cambria Math"/>
            <w:sz w:val="22"/>
            <w:szCs w:val="22"/>
          </w:rPr>
          <m:t>=</m:t>
        </m:r>
      </m:oMath>
      <w:r w:rsidR="007C63C6" w:rsidRPr="00CE71B1">
        <w:rPr>
          <w:sz w:val="22"/>
          <w:szCs w:val="22"/>
        </w:rPr>
        <w:t>0.97%</w:t>
      </w:r>
      <w:r w:rsidR="007C63C6" w:rsidRPr="00CE71B1">
        <w:rPr>
          <w:b/>
          <w:bCs/>
          <w:sz w:val="22"/>
          <w:szCs w:val="22"/>
        </w:rPr>
        <w:t xml:space="preserve">                  </w:t>
      </w:r>
      <w:r w:rsidR="00D61AA7" w:rsidRPr="00CE71B1">
        <w:rPr>
          <w:b/>
          <w:bCs/>
          <w:sz w:val="22"/>
          <w:szCs w:val="22"/>
        </w:rPr>
        <w:t xml:space="preserve">  </w:t>
      </w:r>
      <m:oMath>
        <m:f>
          <m:fPr>
            <m:ctrlPr>
              <w:rPr>
                <w:rFonts w:ascii="Cambria Math" w:hAnsi="Cambria Math"/>
                <w:b/>
                <w:bCs/>
                <w:i/>
                <w:sz w:val="22"/>
                <w:szCs w:val="22"/>
              </w:rPr>
            </m:ctrlPr>
          </m:fPr>
          <m:num>
            <m:r>
              <m:rPr>
                <m:sty m:val="bi"/>
              </m:rPr>
              <w:rPr>
                <w:rFonts w:ascii="Cambria Math" w:hAnsi="Cambria Math"/>
                <w:sz w:val="22"/>
                <w:szCs w:val="22"/>
              </w:rPr>
              <m:t>1,189.00</m:t>
            </m:r>
          </m:num>
          <m:den>
            <m:eqArr>
              <m:eqArrPr>
                <m:ctrlPr>
                  <w:rPr>
                    <w:rFonts w:ascii="Cambria Math" w:hAnsi="Cambria Math"/>
                    <w:b/>
                    <w:bCs/>
                    <w:i/>
                    <w:sz w:val="22"/>
                    <w:szCs w:val="22"/>
                  </w:rPr>
                </m:ctrlPr>
              </m:eqArrPr>
              <m:e>
                <m:r>
                  <m:rPr>
                    <m:sty m:val="bi"/>
                  </m:rPr>
                  <w:rPr>
                    <w:rFonts w:ascii="Cambria Math" w:hAnsi="Cambria Math"/>
                    <w:sz w:val="22"/>
                    <w:szCs w:val="22"/>
                  </w:rPr>
                  <m:t>3274.00</m:t>
                </m:r>
              </m:e>
              <m:e>
                <m:r>
                  <m:rPr>
                    <m:sty m:val="bi"/>
                  </m:rPr>
                  <w:rPr>
                    <w:rFonts w:ascii="Cambria Math" w:hAnsi="Cambria Math"/>
                    <w:sz w:val="22"/>
                    <w:szCs w:val="22"/>
                  </w:rPr>
                  <m:t xml:space="preserve"> </m:t>
                </m:r>
              </m:e>
            </m:eqArr>
            <m:r>
              <m:rPr>
                <m:sty m:val="bi"/>
              </m:rPr>
              <w:rPr>
                <w:rFonts w:ascii="Cambria Math" w:hAnsi="Cambria Math"/>
                <w:sz w:val="22"/>
                <w:szCs w:val="22"/>
              </w:rPr>
              <m:t xml:space="preserve">   </m:t>
            </m:r>
          </m:den>
        </m:f>
        <m:r>
          <m:rPr>
            <m:sty m:val="bi"/>
          </m:rPr>
          <w:rPr>
            <w:rFonts w:ascii="Cambria Math" w:hAnsi="Cambria Math"/>
            <w:sz w:val="22"/>
            <w:szCs w:val="22"/>
          </w:rPr>
          <m:t>=</m:t>
        </m:r>
        <m:r>
          <w:rPr>
            <w:rFonts w:ascii="Cambria Math" w:hAnsi="Cambria Math"/>
            <w:sz w:val="22"/>
            <w:szCs w:val="22"/>
          </w:rPr>
          <m:t>0.94%</m:t>
        </m:r>
      </m:oMath>
      <w:r w:rsidR="0074064C" w:rsidRPr="00CE71B1">
        <w:rPr>
          <w:b/>
          <w:bCs/>
          <w:sz w:val="22"/>
          <w:szCs w:val="22"/>
        </w:rPr>
        <w:t xml:space="preserve">         </w:t>
      </w:r>
      <w:r w:rsidR="00B311CC" w:rsidRPr="00CE71B1">
        <w:rPr>
          <w:b/>
          <w:bCs/>
          <w:sz w:val="22"/>
          <w:szCs w:val="22"/>
        </w:rPr>
        <w:t xml:space="preserve">   </w:t>
      </w:r>
      <m:oMath>
        <m:f>
          <m:fPr>
            <m:ctrlPr>
              <w:rPr>
                <w:rFonts w:ascii="Cambria Math" w:hAnsi="Cambria Math"/>
                <w:b/>
                <w:bCs/>
                <w:i/>
                <w:sz w:val="22"/>
                <w:szCs w:val="22"/>
              </w:rPr>
            </m:ctrlPr>
          </m:fPr>
          <m:num>
            <m:r>
              <m:rPr>
                <m:sty m:val="bi"/>
              </m:rPr>
              <w:rPr>
                <w:rFonts w:ascii="Cambria Math" w:hAnsi="Cambria Math"/>
                <w:sz w:val="22"/>
                <w:szCs w:val="22"/>
              </w:rPr>
              <m:t>1076.90</m:t>
            </m:r>
          </m:num>
          <m:den>
            <m:r>
              <m:rPr>
                <m:sty m:val="bi"/>
              </m:rPr>
              <w:rPr>
                <w:rFonts w:ascii="Cambria Math" w:hAnsi="Cambria Math"/>
                <w:sz w:val="22"/>
                <w:szCs w:val="22"/>
              </w:rPr>
              <m:t xml:space="preserve">5972.00 </m:t>
            </m:r>
          </m:den>
        </m:f>
      </m:oMath>
      <w:r w:rsidR="00260169" w:rsidRPr="00CE71B1">
        <w:rPr>
          <w:sz w:val="22"/>
          <w:szCs w:val="22"/>
        </w:rPr>
        <w:t xml:space="preserve">    =</w:t>
      </w:r>
      <w:r w:rsidR="00FA63D0" w:rsidRPr="00CE71B1">
        <w:rPr>
          <w:sz w:val="22"/>
          <w:szCs w:val="22"/>
        </w:rPr>
        <w:t>1.</w:t>
      </w:r>
      <w:r w:rsidR="00821EC3" w:rsidRPr="00CE71B1">
        <w:rPr>
          <w:sz w:val="22"/>
          <w:szCs w:val="22"/>
        </w:rPr>
        <w:t>18%</w:t>
      </w:r>
    </w:p>
    <w:p w14:paraId="57F60383" w14:textId="50963759" w:rsidR="004824F5" w:rsidRPr="00CE71B1" w:rsidRDefault="006318B2" w:rsidP="00E8503C">
      <w:pPr>
        <w:rPr>
          <w:sz w:val="22"/>
          <w:szCs w:val="22"/>
        </w:rPr>
      </w:pPr>
      <w:r w:rsidRPr="00CE71B1">
        <w:rPr>
          <w:b/>
          <w:bCs/>
          <w:sz w:val="22"/>
          <w:szCs w:val="22"/>
        </w:rPr>
        <w:lastRenderedPageBreak/>
        <w:t>Quick ratio</w:t>
      </w:r>
      <m:oMath>
        <m:f>
          <m:fPr>
            <m:ctrlPr>
              <w:rPr>
                <w:rFonts w:ascii="Cambria Math" w:hAnsi="Cambria Math"/>
                <w:b/>
                <w:bCs/>
                <w:i/>
                <w:sz w:val="22"/>
                <w:szCs w:val="22"/>
              </w:rPr>
            </m:ctrlPr>
          </m:fPr>
          <m:num>
            <m:r>
              <m:rPr>
                <m:sty m:val="bi"/>
              </m:rPr>
              <w:rPr>
                <w:rFonts w:ascii="Cambria Math" w:hAnsi="Cambria Math"/>
                <w:sz w:val="22"/>
                <w:szCs w:val="22"/>
              </w:rPr>
              <m:t>47,039.00-2635.00</m:t>
            </m:r>
          </m:num>
          <m:den>
            <m:r>
              <m:rPr>
                <m:sty m:val="bi"/>
              </m:rPr>
              <w:rPr>
                <w:rFonts w:ascii="Cambria Math" w:hAnsi="Cambria Math"/>
                <w:sz w:val="22"/>
                <w:szCs w:val="22"/>
              </w:rPr>
              <m:t>35.374.00</m:t>
            </m:r>
          </m:den>
        </m:f>
        <m:r>
          <m:rPr>
            <m:sty m:val="bi"/>
          </m:rPr>
          <w:rPr>
            <w:rFonts w:ascii="Cambria Math" w:hAnsi="Cambria Math"/>
            <w:sz w:val="22"/>
            <w:szCs w:val="22"/>
          </w:rPr>
          <m:t>.</m:t>
        </m:r>
      </m:oMath>
      <w:r w:rsidR="00F97EBB" w:rsidRPr="00CE71B1">
        <w:rPr>
          <w:b/>
          <w:bCs/>
          <w:sz w:val="22"/>
          <w:szCs w:val="22"/>
        </w:rPr>
        <w:t xml:space="preserve"> </w:t>
      </w:r>
      <w:r w:rsidR="00907D21" w:rsidRPr="00CE71B1">
        <w:rPr>
          <w:b/>
          <w:bCs/>
          <w:sz w:val="22"/>
          <w:szCs w:val="22"/>
        </w:rPr>
        <w:t xml:space="preserve"> </w:t>
      </w:r>
      <w:r w:rsidR="00B333EC" w:rsidRPr="00CE71B1">
        <w:rPr>
          <w:sz w:val="22"/>
          <w:szCs w:val="22"/>
        </w:rPr>
        <w:t>=</w:t>
      </w:r>
      <w:r w:rsidR="00933537" w:rsidRPr="00CE71B1">
        <w:rPr>
          <w:sz w:val="22"/>
          <w:szCs w:val="22"/>
        </w:rPr>
        <w:t>- 0.</w:t>
      </w:r>
      <w:r w:rsidR="00547653" w:rsidRPr="00CE71B1">
        <w:rPr>
          <w:sz w:val="22"/>
          <w:szCs w:val="22"/>
        </w:rPr>
        <w:t>12%</w:t>
      </w:r>
      <w:r w:rsidR="00F97EBB" w:rsidRPr="00CE71B1">
        <w:rPr>
          <w:b/>
          <w:bCs/>
          <w:sz w:val="22"/>
          <w:szCs w:val="22"/>
        </w:rPr>
        <w:t xml:space="preserve"> </w:t>
      </w:r>
      <w:r w:rsidR="00547653" w:rsidRPr="00CE71B1">
        <w:rPr>
          <w:b/>
          <w:bCs/>
          <w:sz w:val="22"/>
          <w:szCs w:val="22"/>
        </w:rPr>
        <w:t xml:space="preserve">               </w:t>
      </w:r>
      <m:oMath>
        <m:f>
          <m:fPr>
            <m:ctrlPr>
              <w:rPr>
                <w:rFonts w:ascii="Cambria Math" w:hAnsi="Cambria Math"/>
                <w:b/>
                <w:bCs/>
                <w:i/>
                <w:sz w:val="22"/>
                <w:szCs w:val="22"/>
              </w:rPr>
            </m:ctrlPr>
          </m:fPr>
          <m:num>
            <m:r>
              <m:rPr>
                <m:sty m:val="bi"/>
              </m:rPr>
              <w:rPr>
                <w:rFonts w:ascii="Cambria Math" w:hAnsi="Cambria Math"/>
                <w:sz w:val="22"/>
                <w:szCs w:val="22"/>
              </w:rPr>
              <m:t>45,868.00-2510.00</m:t>
            </m:r>
          </m:num>
          <m:den>
            <m:r>
              <m:rPr>
                <m:sty m:val="bi"/>
              </m:rPr>
              <w:rPr>
                <w:rFonts w:ascii="Cambria Math" w:hAnsi="Cambria Math"/>
                <w:sz w:val="22"/>
                <w:szCs w:val="22"/>
              </w:rPr>
              <m:t>33,643.00</m:t>
            </m:r>
          </m:den>
        </m:f>
      </m:oMath>
      <w:r w:rsidR="009E215B" w:rsidRPr="00CE71B1">
        <w:rPr>
          <w:b/>
          <w:bCs/>
          <w:sz w:val="22"/>
          <w:szCs w:val="22"/>
        </w:rPr>
        <w:t xml:space="preserve"> =</w:t>
      </w:r>
      <w:r w:rsidR="00BB1EC0" w:rsidRPr="00CE71B1">
        <w:rPr>
          <w:sz w:val="22"/>
          <w:szCs w:val="22"/>
        </w:rPr>
        <w:t>1.3%</w:t>
      </w:r>
      <w:r w:rsidR="003B15B8" w:rsidRPr="00CE71B1">
        <w:rPr>
          <w:sz w:val="22"/>
          <w:szCs w:val="22"/>
        </w:rPr>
        <w:t xml:space="preserve"> </w:t>
      </w:r>
    </w:p>
    <w:p w14:paraId="2E5523D5" w14:textId="429072FE" w:rsidR="003B15B8" w:rsidRPr="00CE71B1" w:rsidRDefault="003B15B8" w:rsidP="00E8503C">
      <w:pPr>
        <w:rPr>
          <w:sz w:val="22"/>
          <w:szCs w:val="22"/>
        </w:rPr>
      </w:pPr>
      <w:r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49,351.00-23,39.00</m:t>
            </m:r>
          </m:num>
          <m:den>
            <m:r>
              <w:rPr>
                <w:rFonts w:ascii="Cambria Math" w:hAnsi="Cambria Math"/>
                <w:sz w:val="22"/>
                <w:szCs w:val="22"/>
              </w:rPr>
              <m:t>33,707.00</m:t>
            </m:r>
          </m:den>
        </m:f>
      </m:oMath>
      <w:r w:rsidR="00D93239" w:rsidRPr="00CE71B1">
        <w:rPr>
          <w:sz w:val="22"/>
          <w:szCs w:val="22"/>
        </w:rPr>
        <w:t xml:space="preserve">= </w:t>
      </w:r>
      <w:r w:rsidR="004020EC" w:rsidRPr="00CE71B1">
        <w:rPr>
          <w:sz w:val="22"/>
          <w:szCs w:val="22"/>
        </w:rPr>
        <w:t>1</w:t>
      </w:r>
      <w:r w:rsidR="003F2183" w:rsidRPr="00CE71B1">
        <w:rPr>
          <w:sz w:val="22"/>
          <w:szCs w:val="22"/>
        </w:rPr>
        <w:t xml:space="preserve">.46%   </w:t>
      </w:r>
      <w:r w:rsidR="00290DE3" w:rsidRPr="00CE71B1">
        <w:rPr>
          <w:sz w:val="22"/>
          <w:szCs w:val="22"/>
        </w:rPr>
        <w:t xml:space="preserve">           </w:t>
      </w:r>
      <w:r w:rsidR="003F2183"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45,512.00-2,069.00</m:t>
            </m:r>
          </m:num>
          <m:den>
            <m:r>
              <w:rPr>
                <w:rFonts w:ascii="Cambria Math" w:hAnsi="Cambria Math"/>
                <w:sz w:val="22"/>
                <w:szCs w:val="22"/>
              </w:rPr>
              <m:t>33,453.00</m:t>
            </m:r>
          </m:den>
        </m:f>
      </m:oMath>
      <w:r w:rsidR="00E55110" w:rsidRPr="00CE71B1">
        <w:rPr>
          <w:sz w:val="22"/>
          <w:szCs w:val="22"/>
        </w:rPr>
        <w:t xml:space="preserve">   =</w:t>
      </w:r>
      <w:r w:rsidR="00740D57" w:rsidRPr="00CE71B1">
        <w:rPr>
          <w:sz w:val="22"/>
          <w:szCs w:val="22"/>
        </w:rPr>
        <w:t xml:space="preserve">1.3%       </w:t>
      </w:r>
    </w:p>
    <w:p w14:paraId="7E47AC14" w14:textId="4AE24E5C" w:rsidR="00740D57" w:rsidRPr="00CE71B1" w:rsidRDefault="00740D57" w:rsidP="00874355">
      <w:pPr>
        <w:spacing w:line="360" w:lineRule="auto"/>
        <w:rPr>
          <w:sz w:val="22"/>
          <w:szCs w:val="22"/>
        </w:rPr>
      </w:pPr>
      <w:r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53,147.00-2,433.00 =</m:t>
            </m:r>
          </m:num>
          <m:den>
            <m:r>
              <w:rPr>
                <w:rFonts w:ascii="Cambria Math" w:hAnsi="Cambria Math"/>
                <w:sz w:val="22"/>
                <w:szCs w:val="22"/>
              </w:rPr>
              <m:t>39,778.00</m:t>
            </m:r>
          </m:den>
        </m:f>
      </m:oMath>
      <w:r w:rsidR="005F69A6" w:rsidRPr="00CE71B1">
        <w:rPr>
          <w:sz w:val="22"/>
          <w:szCs w:val="22"/>
        </w:rPr>
        <w:t xml:space="preserve">   =</w:t>
      </w:r>
      <w:r w:rsidR="00874355" w:rsidRPr="00CE71B1">
        <w:rPr>
          <w:sz w:val="22"/>
          <w:szCs w:val="22"/>
        </w:rPr>
        <w:t>1.3%</w:t>
      </w:r>
    </w:p>
    <w:p w14:paraId="4AF18C7E" w14:textId="244C6E2E" w:rsidR="00C83C32" w:rsidRPr="00CE71B1" w:rsidRDefault="00E721DE" w:rsidP="00874355">
      <w:pPr>
        <w:spacing w:line="360" w:lineRule="auto"/>
        <w:rPr>
          <w:sz w:val="22"/>
          <w:szCs w:val="22"/>
        </w:rPr>
      </w:pPr>
      <w:r w:rsidRPr="00CE71B1">
        <w:rPr>
          <w:sz w:val="22"/>
          <w:szCs w:val="22"/>
        </w:rPr>
        <w:t xml:space="preserve"> </w:t>
      </w:r>
      <w:r w:rsidR="00A977D0" w:rsidRPr="00CE71B1">
        <w:rPr>
          <w:sz w:val="22"/>
          <w:szCs w:val="22"/>
        </w:rPr>
        <w:t>Debt to equity ratio</w:t>
      </w:r>
      <w:r w:rsidR="00FC2DFC"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20,472.00=</m:t>
            </m:r>
          </m:num>
          <m:den>
            <m:r>
              <w:rPr>
                <w:rFonts w:ascii="Cambria Math" w:hAnsi="Cambria Math"/>
                <w:sz w:val="22"/>
                <w:szCs w:val="22"/>
              </w:rPr>
              <m:t>11,655.00</m:t>
            </m:r>
          </m:den>
        </m:f>
      </m:oMath>
      <w:r w:rsidR="00A20183" w:rsidRPr="00CE71B1">
        <w:rPr>
          <w:sz w:val="22"/>
          <w:szCs w:val="22"/>
        </w:rPr>
        <w:t>1.</w:t>
      </w:r>
      <w:r w:rsidR="001111D7" w:rsidRPr="00CE71B1">
        <w:rPr>
          <w:sz w:val="22"/>
          <w:szCs w:val="22"/>
        </w:rPr>
        <w:t xml:space="preserve">8%       </w:t>
      </w:r>
      <m:oMath>
        <m:f>
          <m:fPr>
            <m:ctrlPr>
              <w:rPr>
                <w:rFonts w:ascii="Cambria Math" w:hAnsi="Cambria Math"/>
                <w:i/>
                <w:sz w:val="22"/>
                <w:szCs w:val="22"/>
              </w:rPr>
            </m:ctrlPr>
          </m:fPr>
          <m:num>
            <m:r>
              <w:rPr>
                <w:rFonts w:ascii="Cambria Math" w:hAnsi="Cambria Math"/>
                <w:sz w:val="22"/>
                <w:szCs w:val="22"/>
              </w:rPr>
              <m:t>17,610.00</m:t>
            </m:r>
          </m:num>
          <m:den>
            <m:r>
              <w:rPr>
                <w:rFonts w:ascii="Cambria Math" w:hAnsi="Cambria Math"/>
                <w:sz w:val="22"/>
                <w:szCs w:val="22"/>
              </w:rPr>
              <m:t>12,225.00</m:t>
            </m:r>
          </m:den>
        </m:f>
      </m:oMath>
      <w:r w:rsidR="00EA51E4" w:rsidRPr="00CE71B1">
        <w:rPr>
          <w:sz w:val="22"/>
          <w:szCs w:val="22"/>
        </w:rPr>
        <w:t xml:space="preserve"> =  </w:t>
      </w:r>
      <w:r w:rsidR="00E44A84" w:rsidRPr="00CE71B1">
        <w:rPr>
          <w:sz w:val="22"/>
          <w:szCs w:val="22"/>
        </w:rPr>
        <w:t xml:space="preserve">1.4%               </w:t>
      </w:r>
      <m:oMath>
        <m:f>
          <m:fPr>
            <m:ctrlPr>
              <w:rPr>
                <w:rFonts w:ascii="Cambria Math" w:hAnsi="Cambria Math"/>
                <w:i/>
                <w:sz w:val="22"/>
                <w:szCs w:val="22"/>
              </w:rPr>
            </m:ctrlPr>
          </m:fPr>
          <m:num>
            <m:r>
              <w:rPr>
                <w:rFonts w:ascii="Cambria Math" w:hAnsi="Cambria Math"/>
                <w:sz w:val="22"/>
                <w:szCs w:val="22"/>
              </w:rPr>
              <m:t>16,125.00</m:t>
            </m:r>
          </m:num>
          <m:den>
            <m:r>
              <w:rPr>
                <w:rFonts w:ascii="Cambria Math" w:hAnsi="Cambria Math"/>
                <w:sz w:val="22"/>
                <w:szCs w:val="22"/>
              </w:rPr>
              <m:t>15,644.00</m:t>
            </m:r>
          </m:den>
        </m:f>
      </m:oMath>
      <w:r w:rsidR="00C83C32" w:rsidRPr="00CE71B1">
        <w:rPr>
          <w:sz w:val="22"/>
          <w:szCs w:val="22"/>
        </w:rPr>
        <w:t>=</w:t>
      </w:r>
      <w:r w:rsidR="008D4AD4" w:rsidRPr="00CE71B1">
        <w:rPr>
          <w:sz w:val="22"/>
          <w:szCs w:val="22"/>
        </w:rPr>
        <w:t xml:space="preserve"> 1.0%</w:t>
      </w:r>
    </w:p>
    <w:p w14:paraId="5A6D686D" w14:textId="1DAC0674" w:rsidR="008D4AD4" w:rsidRPr="00CE71B1" w:rsidRDefault="008D4AD4" w:rsidP="00874355">
      <w:pPr>
        <w:spacing w:line="360" w:lineRule="auto"/>
        <w:rPr>
          <w:sz w:val="22"/>
          <w:szCs w:val="22"/>
        </w:rPr>
      </w:pPr>
      <w:r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15,721.00</m:t>
            </m:r>
          </m:num>
          <m:den>
            <m:r>
              <w:rPr>
                <w:rFonts w:ascii="Cambria Math" w:hAnsi="Cambria Math"/>
                <w:sz w:val="22"/>
                <w:szCs w:val="22"/>
              </w:rPr>
              <m:t>12,059.00</m:t>
            </m:r>
          </m:den>
        </m:f>
      </m:oMath>
      <w:r w:rsidR="008D776A" w:rsidRPr="00CE71B1">
        <w:rPr>
          <w:sz w:val="22"/>
          <w:szCs w:val="22"/>
        </w:rPr>
        <w:t xml:space="preserve"> =</w:t>
      </w:r>
      <w:r w:rsidR="00990E4C" w:rsidRPr="00CE71B1">
        <w:rPr>
          <w:sz w:val="22"/>
          <w:szCs w:val="22"/>
        </w:rPr>
        <w:t xml:space="preserve">1.3%            </w:t>
      </w:r>
      <m:oMath>
        <m:f>
          <m:fPr>
            <m:ctrlPr>
              <w:rPr>
                <w:rFonts w:ascii="Cambria Math" w:hAnsi="Cambria Math"/>
                <w:i/>
                <w:sz w:val="22"/>
                <w:szCs w:val="22"/>
              </w:rPr>
            </m:ctrlPr>
          </m:fPr>
          <m:num>
            <m:r>
              <w:rPr>
                <w:rFonts w:ascii="Cambria Math" w:hAnsi="Cambria Math"/>
                <w:sz w:val="22"/>
                <w:szCs w:val="22"/>
              </w:rPr>
              <m:t>18,656.00</m:t>
            </m:r>
          </m:num>
          <m:den>
            <m:r>
              <w:rPr>
                <w:rFonts w:ascii="Cambria Math" w:hAnsi="Cambria Math"/>
                <w:sz w:val="22"/>
                <w:szCs w:val="22"/>
              </w:rPr>
              <m:t>13,369.00</m:t>
            </m:r>
          </m:den>
        </m:f>
        <m:r>
          <w:rPr>
            <w:rFonts w:ascii="Cambria Math" w:hAnsi="Cambria Math"/>
            <w:sz w:val="22"/>
            <w:szCs w:val="22"/>
          </w:rPr>
          <m:t xml:space="preserve"> =1,4%   </m:t>
        </m:r>
      </m:oMath>
    </w:p>
    <w:p w14:paraId="4254312D" w14:textId="61608B8D" w:rsidR="00BF00AE" w:rsidRPr="00CE71B1" w:rsidRDefault="00BF00AE" w:rsidP="00874355">
      <w:pPr>
        <w:spacing w:line="360" w:lineRule="auto"/>
        <w:rPr>
          <w:sz w:val="22"/>
          <w:szCs w:val="22"/>
        </w:rPr>
      </w:pPr>
      <w:r w:rsidRPr="00CE71B1">
        <w:rPr>
          <w:sz w:val="22"/>
          <w:szCs w:val="22"/>
        </w:rPr>
        <w:t xml:space="preserve">Interest cover ratio=      </w:t>
      </w:r>
      <m:oMath>
        <m:f>
          <m:fPr>
            <m:ctrlPr>
              <w:rPr>
                <w:rFonts w:ascii="Cambria Math" w:hAnsi="Cambria Math"/>
                <w:i/>
                <w:sz w:val="22"/>
                <w:szCs w:val="22"/>
              </w:rPr>
            </m:ctrlPr>
          </m:fPr>
          <m:num>
            <m:r>
              <w:rPr>
                <w:rFonts w:ascii="Cambria Math" w:hAnsi="Cambria Math"/>
                <w:sz w:val="22"/>
                <w:szCs w:val="22"/>
              </w:rPr>
              <m:t>2,289</m:t>
            </m:r>
          </m:num>
          <m:den>
            <m:r>
              <w:rPr>
                <w:rFonts w:ascii="Cambria Math" w:hAnsi="Cambria Math"/>
                <w:sz w:val="22"/>
                <w:szCs w:val="22"/>
              </w:rPr>
              <m:t>538</m:t>
            </m:r>
          </m:den>
        </m:f>
      </m:oMath>
      <w:r w:rsidR="00E60193" w:rsidRPr="00CE71B1">
        <w:rPr>
          <w:sz w:val="22"/>
          <w:szCs w:val="22"/>
        </w:rPr>
        <w:t xml:space="preserve">  </w:t>
      </w:r>
      <w:r w:rsidR="00A53DDC" w:rsidRPr="00CE71B1">
        <w:rPr>
          <w:sz w:val="22"/>
          <w:szCs w:val="22"/>
        </w:rPr>
        <w:t>=</w:t>
      </w:r>
      <w:r w:rsidR="00E523BA" w:rsidRPr="00CE71B1">
        <w:rPr>
          <w:sz w:val="22"/>
          <w:szCs w:val="22"/>
        </w:rPr>
        <w:t>0,4%</w:t>
      </w:r>
      <w:r w:rsidR="00E60193"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882</m:t>
            </m:r>
          </m:num>
          <m:den>
            <m:r>
              <w:rPr>
                <w:rFonts w:ascii="Cambria Math" w:hAnsi="Cambria Math"/>
                <w:sz w:val="22"/>
                <w:szCs w:val="22"/>
              </w:rPr>
              <m:t>536</m:t>
            </m:r>
          </m:den>
        </m:f>
      </m:oMath>
      <w:r w:rsidR="00E60193" w:rsidRPr="00CE71B1">
        <w:rPr>
          <w:sz w:val="22"/>
          <w:szCs w:val="22"/>
        </w:rPr>
        <w:t xml:space="preserve">  </w:t>
      </w:r>
      <w:r w:rsidR="00060F02" w:rsidRPr="00CE71B1">
        <w:rPr>
          <w:sz w:val="22"/>
          <w:szCs w:val="22"/>
        </w:rPr>
        <w:t>=1</w:t>
      </w:r>
      <w:r w:rsidR="00A53DDC" w:rsidRPr="00CE71B1">
        <w:rPr>
          <w:sz w:val="22"/>
          <w:szCs w:val="22"/>
        </w:rPr>
        <w:t xml:space="preserve">.65   </w:t>
      </w:r>
      <w:r w:rsidR="00E60193"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2,033.00</m:t>
            </m:r>
          </m:num>
          <m:den>
            <m:r>
              <w:rPr>
                <w:rFonts w:ascii="Cambria Math" w:hAnsi="Cambria Math"/>
                <w:sz w:val="22"/>
                <w:szCs w:val="22"/>
              </w:rPr>
              <m:t>542</m:t>
            </m:r>
          </m:den>
        </m:f>
      </m:oMath>
      <w:r w:rsidR="009161D5" w:rsidRPr="00CE71B1">
        <w:rPr>
          <w:sz w:val="22"/>
          <w:szCs w:val="22"/>
        </w:rPr>
        <w:t xml:space="preserve">   =</w:t>
      </w:r>
      <w:r w:rsidR="00F41134" w:rsidRPr="00CE71B1">
        <w:rPr>
          <w:sz w:val="22"/>
          <w:szCs w:val="22"/>
        </w:rPr>
        <w:t>0.3%</w:t>
      </w:r>
    </w:p>
    <w:p w14:paraId="23AB03E4" w14:textId="4A1C7802" w:rsidR="00BF00AE" w:rsidRPr="00CE71B1" w:rsidRDefault="006D1ADD" w:rsidP="00874355">
      <w:pPr>
        <w:spacing w:line="360" w:lineRule="auto"/>
        <w:rPr>
          <w:sz w:val="22"/>
          <w:szCs w:val="22"/>
        </w:rPr>
      </w:pPr>
      <w:r w:rsidRPr="00CE71B1">
        <w:rPr>
          <w:sz w:val="22"/>
          <w:szCs w:val="22"/>
        </w:rPr>
        <w:t xml:space="preserve">Efficiency  ratio.    =        </w:t>
      </w:r>
      <m:oMath>
        <m:f>
          <m:fPr>
            <m:ctrlPr>
              <w:rPr>
                <w:rFonts w:ascii="Cambria Math" w:hAnsi="Cambria Math"/>
                <w:i/>
                <w:sz w:val="22"/>
                <w:szCs w:val="22"/>
              </w:rPr>
            </m:ctrlPr>
          </m:fPr>
          <m:num>
            <m:r>
              <w:rPr>
                <w:rFonts w:ascii="Cambria Math" w:hAnsi="Cambria Math"/>
                <w:sz w:val="22"/>
                <w:szCs w:val="22"/>
              </w:rPr>
              <m:t xml:space="preserve">47,039.00    </m:t>
            </m:r>
          </m:num>
          <m:den>
            <m:r>
              <w:rPr>
                <w:rFonts w:ascii="Cambria Math" w:hAnsi="Cambria Math"/>
                <w:sz w:val="22"/>
                <w:szCs w:val="22"/>
              </w:rPr>
              <m:t>68,187.00</m:t>
            </m:r>
          </m:den>
        </m:f>
      </m:oMath>
      <w:r w:rsidR="001C6AB7" w:rsidRPr="00CE71B1">
        <w:rPr>
          <w:sz w:val="22"/>
          <w:szCs w:val="22"/>
        </w:rPr>
        <w:t xml:space="preserve"> =</w:t>
      </w:r>
      <w:r w:rsidR="00A17792" w:rsidRPr="00CE71B1">
        <w:rPr>
          <w:sz w:val="22"/>
          <w:szCs w:val="22"/>
        </w:rPr>
        <w:t xml:space="preserve">0.7%                  </w:t>
      </w:r>
      <m:oMath>
        <m:f>
          <m:fPr>
            <m:ctrlPr>
              <w:rPr>
                <w:rFonts w:ascii="Cambria Math" w:hAnsi="Cambria Math"/>
                <w:i/>
                <w:sz w:val="22"/>
                <w:szCs w:val="22"/>
              </w:rPr>
            </m:ctrlPr>
          </m:fPr>
          <m:num>
            <m:r>
              <w:rPr>
                <w:rFonts w:ascii="Cambria Math" w:hAnsi="Cambria Math"/>
                <w:sz w:val="22"/>
                <w:szCs w:val="22"/>
              </w:rPr>
              <m:t>45,868.00</m:t>
            </m:r>
          </m:num>
          <m:den>
            <m:r>
              <w:rPr>
                <w:rFonts w:ascii="Cambria Math" w:hAnsi="Cambria Math"/>
                <w:sz w:val="22"/>
                <w:szCs w:val="22"/>
              </w:rPr>
              <m:t>65,322.00</m:t>
            </m:r>
          </m:den>
        </m:f>
      </m:oMath>
      <w:r w:rsidR="00D04E9D" w:rsidRPr="00CE71B1">
        <w:rPr>
          <w:sz w:val="22"/>
          <w:szCs w:val="22"/>
        </w:rPr>
        <w:t xml:space="preserve"> =0</w:t>
      </w:r>
      <w:r w:rsidR="00EE15E7" w:rsidRPr="00CE71B1">
        <w:rPr>
          <w:sz w:val="22"/>
          <w:szCs w:val="22"/>
        </w:rPr>
        <w:t xml:space="preserve">.7%            </w:t>
      </w:r>
      <m:oMath>
        <m:f>
          <m:fPr>
            <m:ctrlPr>
              <w:rPr>
                <w:rFonts w:ascii="Cambria Math" w:hAnsi="Cambria Math"/>
                <w:i/>
                <w:sz w:val="22"/>
                <w:szCs w:val="22"/>
              </w:rPr>
            </m:ctrlPr>
          </m:fPr>
          <m:num>
            <m:r>
              <w:rPr>
                <w:rFonts w:ascii="Cambria Math" w:hAnsi="Cambria Math"/>
                <w:sz w:val="22"/>
                <w:szCs w:val="22"/>
              </w:rPr>
              <m:t>49,351.00</m:t>
            </m:r>
          </m:num>
          <m:den>
            <m:r>
              <w:rPr>
                <w:rFonts w:ascii="Cambria Math" w:hAnsi="Cambria Math"/>
                <w:sz w:val="22"/>
                <w:szCs w:val="22"/>
              </w:rPr>
              <m:t>61,344.00</m:t>
            </m:r>
          </m:den>
        </m:f>
      </m:oMath>
      <w:r w:rsidR="008B45EC" w:rsidRPr="00CE71B1">
        <w:rPr>
          <w:sz w:val="22"/>
          <w:szCs w:val="22"/>
        </w:rPr>
        <w:t xml:space="preserve">   </w:t>
      </w:r>
      <w:r w:rsidR="004F7507" w:rsidRPr="00CE71B1">
        <w:rPr>
          <w:sz w:val="22"/>
          <w:szCs w:val="22"/>
        </w:rPr>
        <w:t>=0.8%</w:t>
      </w:r>
    </w:p>
    <w:p w14:paraId="2C728949" w14:textId="731D6D28" w:rsidR="00E721DE" w:rsidRPr="00CE71B1" w:rsidRDefault="00EA51E4" w:rsidP="00874355">
      <w:pPr>
        <w:spacing w:line="360" w:lineRule="auto"/>
        <w:rPr>
          <w:sz w:val="22"/>
          <w:szCs w:val="22"/>
        </w:rPr>
      </w:pPr>
      <w:r w:rsidRPr="00CE71B1">
        <w:rPr>
          <w:sz w:val="22"/>
          <w:szCs w:val="22"/>
        </w:rPr>
        <w:t xml:space="preserve">                </w:t>
      </w:r>
    </w:p>
    <w:p w14:paraId="1DCAA602" w14:textId="488A1CB0" w:rsidR="004F7507" w:rsidRPr="00CE71B1" w:rsidRDefault="004F7507" w:rsidP="00874355">
      <w:pPr>
        <w:spacing w:line="360" w:lineRule="auto"/>
        <w:rPr>
          <w:sz w:val="22"/>
          <w:szCs w:val="22"/>
        </w:rPr>
      </w:pPr>
      <w:r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45,512.00</m:t>
            </m:r>
          </m:num>
          <m:den>
            <m:r>
              <w:rPr>
                <w:rFonts w:ascii="Cambria Math" w:hAnsi="Cambria Math"/>
                <w:sz w:val="22"/>
                <w:szCs w:val="22"/>
              </w:rPr>
              <m:t>57,877.00</m:t>
            </m:r>
          </m:den>
        </m:f>
      </m:oMath>
      <w:r w:rsidR="00C87DA7" w:rsidRPr="00CE71B1">
        <w:rPr>
          <w:sz w:val="22"/>
          <w:szCs w:val="22"/>
        </w:rPr>
        <w:t xml:space="preserve">  =</w:t>
      </w:r>
      <w:r w:rsidR="00D87984" w:rsidRPr="00CE71B1">
        <w:rPr>
          <w:sz w:val="22"/>
          <w:szCs w:val="22"/>
        </w:rPr>
        <w:t xml:space="preserve">0.8%             </w:t>
      </w:r>
      <m:oMath>
        <m:f>
          <m:fPr>
            <m:ctrlPr>
              <w:rPr>
                <w:rFonts w:ascii="Cambria Math" w:hAnsi="Cambria Math"/>
                <w:i/>
                <w:sz w:val="22"/>
                <w:szCs w:val="22"/>
              </w:rPr>
            </m:ctrlPr>
          </m:fPr>
          <m:num>
            <m:r>
              <w:rPr>
                <w:rFonts w:ascii="Cambria Math" w:hAnsi="Cambria Math"/>
                <w:sz w:val="22"/>
                <w:szCs w:val="22"/>
              </w:rPr>
              <m:t xml:space="preserve">53,147.00 </m:t>
            </m:r>
          </m:num>
          <m:den>
            <m:r>
              <w:rPr>
                <w:rFonts w:ascii="Cambria Math" w:hAnsi="Cambria Math"/>
                <w:sz w:val="22"/>
                <w:szCs w:val="22"/>
              </w:rPr>
              <m:t>58,091,00</m:t>
            </m:r>
          </m:den>
        </m:f>
      </m:oMath>
      <w:r w:rsidR="00F66130" w:rsidRPr="00CE71B1">
        <w:rPr>
          <w:sz w:val="22"/>
          <w:szCs w:val="22"/>
        </w:rPr>
        <w:t xml:space="preserve">  =0.9%</w:t>
      </w:r>
    </w:p>
    <w:p w14:paraId="589476C3" w14:textId="47A1CCE0" w:rsidR="00AC715E" w:rsidRPr="00CE71B1" w:rsidRDefault="004C4E8C" w:rsidP="00874355">
      <w:pPr>
        <w:spacing w:line="360" w:lineRule="auto"/>
        <w:rPr>
          <w:sz w:val="22"/>
          <w:szCs w:val="22"/>
        </w:rPr>
      </w:pPr>
      <w:r w:rsidRPr="00CE71B1">
        <w:rPr>
          <w:sz w:val="22"/>
          <w:szCs w:val="22"/>
        </w:rPr>
        <w:t xml:space="preserve">Inventory ratio         </w:t>
      </w:r>
      <m:oMath>
        <m:f>
          <m:fPr>
            <m:ctrlPr>
              <w:rPr>
                <w:rFonts w:ascii="Cambria Math" w:hAnsi="Cambria Math"/>
                <w:i/>
                <w:sz w:val="22"/>
                <w:szCs w:val="22"/>
              </w:rPr>
            </m:ctrlPr>
          </m:fPr>
          <m:num>
            <m:r>
              <w:rPr>
                <w:rFonts w:ascii="Cambria Math" w:hAnsi="Cambria Math"/>
                <w:sz w:val="22"/>
                <w:szCs w:val="22"/>
              </w:rPr>
              <m:t>61,477.00</m:t>
            </m:r>
          </m:num>
          <m:den>
            <m:r>
              <w:rPr>
                <w:rFonts w:ascii="Cambria Math" w:hAnsi="Cambria Math"/>
                <w:sz w:val="22"/>
                <w:szCs w:val="22"/>
              </w:rPr>
              <m:t>4,703.9</m:t>
            </m:r>
          </m:den>
        </m:f>
        <m:r>
          <w:rPr>
            <w:rFonts w:ascii="Cambria Math" w:hAnsi="Cambria Math"/>
            <w:sz w:val="22"/>
            <w:szCs w:val="22"/>
          </w:rPr>
          <m:t xml:space="preserve">  =   13.0%       </m:t>
        </m:r>
      </m:oMath>
      <w:r w:rsidR="004A18B6"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57,216.00</m:t>
            </m:r>
          </m:num>
          <m:den>
            <m:r>
              <w:rPr>
                <w:rFonts w:ascii="Cambria Math" w:hAnsi="Cambria Math"/>
                <w:sz w:val="22"/>
                <w:szCs w:val="22"/>
              </w:rPr>
              <m:t>4,586.8</m:t>
            </m:r>
          </m:den>
        </m:f>
      </m:oMath>
      <w:r w:rsidR="00AA6DF0" w:rsidRPr="00CE71B1">
        <w:rPr>
          <w:sz w:val="22"/>
          <w:szCs w:val="22"/>
        </w:rPr>
        <w:t xml:space="preserve">  = </w:t>
      </w:r>
      <w:r w:rsidR="00160514" w:rsidRPr="00CE71B1">
        <w:rPr>
          <w:sz w:val="22"/>
          <w:szCs w:val="22"/>
        </w:rPr>
        <w:t>12</w:t>
      </w:r>
      <w:r w:rsidR="00C53FD4" w:rsidRPr="00CE71B1">
        <w:rPr>
          <w:sz w:val="22"/>
          <w:szCs w:val="22"/>
        </w:rPr>
        <w:t>.5%</w:t>
      </w:r>
      <w:r w:rsidR="00AA6DF0"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54,768.00</m:t>
            </m:r>
          </m:num>
          <m:den>
            <m:r>
              <w:rPr>
                <w:rFonts w:ascii="Cambria Math" w:hAnsi="Cambria Math"/>
                <w:sz w:val="22"/>
                <w:szCs w:val="22"/>
              </w:rPr>
              <m:t>4,935.1</m:t>
            </m:r>
          </m:den>
        </m:f>
      </m:oMath>
      <w:r w:rsidR="00956013" w:rsidRPr="00CE71B1">
        <w:rPr>
          <w:sz w:val="22"/>
          <w:szCs w:val="22"/>
        </w:rPr>
        <w:t xml:space="preserve">   =</w:t>
      </w:r>
      <w:r w:rsidR="00543390" w:rsidRPr="00CE71B1">
        <w:rPr>
          <w:sz w:val="22"/>
          <w:szCs w:val="22"/>
        </w:rPr>
        <w:t>11.1%</w:t>
      </w:r>
    </w:p>
    <w:p w14:paraId="49FD50E8" w14:textId="780C021F" w:rsidR="00723803" w:rsidRPr="00CE71B1" w:rsidRDefault="006F67F5" w:rsidP="00874355">
      <w:pPr>
        <w:spacing w:line="360" w:lineRule="auto"/>
        <w:rPr>
          <w:sz w:val="22"/>
          <w:szCs w:val="22"/>
        </w:rPr>
      </w:pPr>
      <w:r w:rsidRPr="00CE71B1">
        <w:rPr>
          <w:sz w:val="22"/>
          <w:szCs w:val="22"/>
        </w:rPr>
        <w:t xml:space="preserve">Receivable  turnover ratio.   </w:t>
      </w:r>
      <m:oMath>
        <m:f>
          <m:fPr>
            <m:ctrlPr>
              <w:rPr>
                <w:rFonts w:ascii="Cambria Math" w:hAnsi="Cambria Math"/>
                <w:i/>
                <w:sz w:val="22"/>
                <w:szCs w:val="22"/>
              </w:rPr>
            </m:ctrlPr>
          </m:fPr>
          <m:num>
            <m:r>
              <w:rPr>
                <w:rFonts w:ascii="Cambria Math" w:hAnsi="Cambria Math"/>
                <w:sz w:val="22"/>
                <w:szCs w:val="22"/>
              </w:rPr>
              <m:t xml:space="preserve">68187.00 </m:t>
            </m:r>
          </m:num>
          <m:den>
            <m:r>
              <w:rPr>
                <w:rFonts w:ascii="Cambria Math" w:hAnsi="Cambria Math"/>
                <w:sz w:val="22"/>
                <w:szCs w:val="22"/>
              </w:rPr>
              <m:t>972</m:t>
            </m:r>
          </m:den>
        </m:f>
      </m:oMath>
      <w:r w:rsidR="00F85462" w:rsidRPr="00CE71B1">
        <w:rPr>
          <w:sz w:val="22"/>
          <w:szCs w:val="22"/>
        </w:rPr>
        <w:t xml:space="preserve"> = </w:t>
      </w:r>
      <w:r w:rsidR="002B6CB6" w:rsidRPr="00CE71B1">
        <w:rPr>
          <w:sz w:val="22"/>
          <w:szCs w:val="22"/>
        </w:rPr>
        <w:t>70.12%</w:t>
      </w:r>
      <w:r w:rsidR="00F85462"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65,322.00</m:t>
            </m:r>
          </m:num>
          <m:den>
            <m:r>
              <w:rPr>
                <w:rFonts w:ascii="Cambria Math" w:hAnsi="Cambria Math"/>
                <w:sz w:val="22"/>
                <w:szCs w:val="22"/>
              </w:rPr>
              <m:t>1,018</m:t>
            </m:r>
          </m:den>
        </m:f>
      </m:oMath>
      <w:r w:rsidR="003611D7" w:rsidRPr="00CE71B1">
        <w:rPr>
          <w:sz w:val="22"/>
          <w:szCs w:val="22"/>
        </w:rPr>
        <w:t xml:space="preserve">  =</w:t>
      </w:r>
      <w:r w:rsidR="00A45901" w:rsidRPr="00CE71B1">
        <w:rPr>
          <w:sz w:val="22"/>
          <w:szCs w:val="22"/>
        </w:rPr>
        <w:t>67.1%</w:t>
      </w:r>
      <w:r w:rsidR="003611D7"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61,344.00</m:t>
            </m:r>
          </m:num>
          <m:den>
            <m:r>
              <w:rPr>
                <w:rFonts w:ascii="Cambria Math" w:hAnsi="Cambria Math"/>
                <w:sz w:val="22"/>
                <w:szCs w:val="22"/>
              </w:rPr>
              <m:t>1,303</m:t>
            </m:r>
          </m:den>
        </m:f>
      </m:oMath>
      <w:r w:rsidR="00025D6E" w:rsidRPr="00CE71B1">
        <w:rPr>
          <w:sz w:val="22"/>
          <w:szCs w:val="22"/>
        </w:rPr>
        <w:t xml:space="preserve">  =</w:t>
      </w:r>
      <w:r w:rsidR="00810CB4" w:rsidRPr="00CE71B1">
        <w:rPr>
          <w:sz w:val="22"/>
          <w:szCs w:val="22"/>
        </w:rPr>
        <w:t>47.1%</w:t>
      </w:r>
    </w:p>
    <w:p w14:paraId="7D6059CE" w14:textId="77777777" w:rsidR="00E44937" w:rsidRPr="00CE71B1" w:rsidRDefault="00E44937" w:rsidP="00874355">
      <w:pPr>
        <w:spacing w:line="360" w:lineRule="auto"/>
        <w:rPr>
          <w:sz w:val="22"/>
          <w:szCs w:val="22"/>
        </w:rPr>
      </w:pPr>
    </w:p>
    <w:p w14:paraId="7457DA38" w14:textId="2A73F299" w:rsidR="009C4D74" w:rsidRPr="00CE71B1" w:rsidRDefault="009C4D74" w:rsidP="00E8503C">
      <w:pPr>
        <w:rPr>
          <w:sz w:val="22"/>
          <w:szCs w:val="22"/>
        </w:rPr>
      </w:pPr>
      <w:r w:rsidRPr="00CE71B1">
        <w:rPr>
          <w:sz w:val="22"/>
          <w:szCs w:val="22"/>
        </w:rPr>
        <w:t xml:space="preserve">                </w:t>
      </w:r>
    </w:p>
    <w:p w14:paraId="11D45308" w14:textId="579015FF" w:rsidR="00A35246" w:rsidRPr="00CE71B1" w:rsidRDefault="00B7465B" w:rsidP="00E8503C">
      <w:pPr>
        <w:rPr>
          <w:sz w:val="22"/>
          <w:szCs w:val="22"/>
        </w:rPr>
      </w:pPr>
      <w:r w:rsidRPr="00CE71B1">
        <w:rPr>
          <w:rFonts w:ascii="Aptos Narrow" w:eastAsia="Times New Roman" w:hAnsi="Aptos Narrow" w:cs="Times New Roman"/>
          <w:noProof/>
          <w:color w:val="000000"/>
          <w:kern w:val="0"/>
          <w:sz w:val="22"/>
          <w:szCs w:val="22"/>
          <w14:ligatures w14:val="none"/>
        </w:rPr>
        <w:drawing>
          <wp:anchor distT="0" distB="0" distL="114300" distR="114300" simplePos="0" relativeHeight="251658240" behindDoc="0" locked="0" layoutInCell="1" allowOverlap="1" wp14:anchorId="1982122E" wp14:editId="4137C1B4">
            <wp:simplePos x="0" y="0"/>
            <wp:positionH relativeFrom="column">
              <wp:posOffset>-50617</wp:posOffset>
            </wp:positionH>
            <wp:positionV relativeFrom="paragraph">
              <wp:posOffset>158740</wp:posOffset>
            </wp:positionV>
            <wp:extent cx="4901339" cy="3730625"/>
            <wp:effectExtent l="0" t="0" r="13970" b="3175"/>
            <wp:wrapNone/>
            <wp:docPr id="1294982187" name="Chart 5">
              <a:extLst xmlns:a="http://schemas.openxmlformats.org/drawingml/2006/main">
                <a:ext uri="{FF2B5EF4-FFF2-40B4-BE49-F238E27FC236}">
                  <a16:creationId xmlns:a16="http://schemas.microsoft.com/office/drawing/2014/main" id="{4E9C167B-14B4-A83E-7850-35502FBC49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r w:rsidR="00A35246" w:rsidRPr="00CE71B1">
        <w:rPr>
          <w:sz w:val="22"/>
          <w:szCs w:val="22"/>
        </w:rPr>
        <w:t xml:space="preserve">                   </w:t>
      </w:r>
    </w:p>
    <w:tbl>
      <w:tblPr>
        <w:tblW w:w="8784" w:type="dxa"/>
        <w:tblLook w:val="04A0" w:firstRow="1" w:lastRow="0" w:firstColumn="1" w:lastColumn="0" w:noHBand="0" w:noVBand="1"/>
      </w:tblPr>
      <w:tblGrid>
        <w:gridCol w:w="1176"/>
        <w:gridCol w:w="976"/>
        <w:gridCol w:w="976"/>
        <w:gridCol w:w="976"/>
        <w:gridCol w:w="976"/>
        <w:gridCol w:w="976"/>
        <w:gridCol w:w="976"/>
        <w:gridCol w:w="976"/>
        <w:gridCol w:w="976"/>
      </w:tblGrid>
      <w:tr w:rsidR="00A35246" w:rsidRPr="00CE71B1" w14:paraId="274B8A3C" w14:textId="77777777" w:rsidTr="00A35246">
        <w:trPr>
          <w:trHeight w:val="290"/>
        </w:trPr>
        <w:tc>
          <w:tcPr>
            <w:tcW w:w="976" w:type="dxa"/>
            <w:tcBorders>
              <w:top w:val="nil"/>
              <w:left w:val="nil"/>
              <w:bottom w:val="nil"/>
              <w:right w:val="nil"/>
            </w:tcBorders>
            <w:shd w:val="clear" w:color="auto" w:fill="auto"/>
            <w:noWrap/>
            <w:vAlign w:val="bottom"/>
            <w:hideMark/>
          </w:tcPr>
          <w:p w14:paraId="2E0031FF" w14:textId="004AFB1C" w:rsidR="00A35246" w:rsidRPr="00CE71B1" w:rsidRDefault="00A35246" w:rsidP="00A35246">
            <w:pPr>
              <w:spacing w:after="0" w:line="240" w:lineRule="auto"/>
              <w:rPr>
                <w:rFonts w:ascii="Aptos Narrow" w:eastAsia="Times New Roman" w:hAnsi="Aptos Narrow" w:cs="Times New Roman"/>
                <w:color w:val="000000"/>
                <w:kern w:val="0"/>
                <w:sz w:val="22"/>
                <w:szCs w:val="22"/>
                <w14:ligatures w14:val="none"/>
              </w:rPr>
            </w:pPr>
          </w:p>
          <w:tbl>
            <w:tblPr>
              <w:tblW w:w="0" w:type="auto"/>
              <w:tblCellSpacing w:w="0" w:type="dxa"/>
              <w:tblCellMar>
                <w:left w:w="0" w:type="dxa"/>
                <w:right w:w="0" w:type="dxa"/>
              </w:tblCellMar>
              <w:tblLook w:val="04A0" w:firstRow="1" w:lastRow="0" w:firstColumn="1" w:lastColumn="0" w:noHBand="0" w:noVBand="1"/>
            </w:tblPr>
            <w:tblGrid>
              <w:gridCol w:w="960"/>
            </w:tblGrid>
            <w:tr w:rsidR="00A35246" w:rsidRPr="00CE71B1" w14:paraId="63061B7D" w14:textId="77777777">
              <w:trPr>
                <w:trHeight w:val="290"/>
                <w:tblCellSpacing w:w="0" w:type="dxa"/>
              </w:trPr>
              <w:tc>
                <w:tcPr>
                  <w:tcW w:w="960" w:type="dxa"/>
                  <w:tcBorders>
                    <w:top w:val="nil"/>
                    <w:left w:val="nil"/>
                    <w:bottom w:val="nil"/>
                    <w:right w:val="nil"/>
                  </w:tcBorders>
                  <w:shd w:val="clear" w:color="auto" w:fill="auto"/>
                  <w:noWrap/>
                  <w:vAlign w:val="bottom"/>
                  <w:hideMark/>
                </w:tcPr>
                <w:p w14:paraId="588AE1D2" w14:textId="4A6F5D60" w:rsidR="00A35246" w:rsidRPr="00CE71B1" w:rsidRDefault="00A35246" w:rsidP="00A35246">
                  <w:pPr>
                    <w:spacing w:after="0" w:line="240" w:lineRule="auto"/>
                    <w:rPr>
                      <w:rFonts w:ascii="Aptos Narrow" w:eastAsia="Times New Roman" w:hAnsi="Aptos Narrow" w:cs="Times New Roman"/>
                      <w:color w:val="000000"/>
                      <w:kern w:val="0"/>
                      <w:sz w:val="22"/>
                      <w:szCs w:val="22"/>
                      <w14:ligatures w14:val="none"/>
                    </w:rPr>
                  </w:pPr>
                </w:p>
              </w:tc>
            </w:tr>
          </w:tbl>
          <w:p w14:paraId="7C598151" w14:textId="77777777" w:rsidR="00A35246" w:rsidRPr="00CE71B1" w:rsidRDefault="00A35246" w:rsidP="00A35246">
            <w:pPr>
              <w:spacing w:after="0" w:line="240" w:lineRule="auto"/>
              <w:rPr>
                <w:rFonts w:ascii="Aptos Narrow" w:eastAsia="Times New Roman" w:hAnsi="Aptos Narrow" w:cs="Times New Roman"/>
                <w:color w:val="000000"/>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0C30ABF"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258000DA"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AAD7F44"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2CF825E7"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6D2CC5C"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FF6BD2A"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7C3C2A2"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C0E9A8B"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r>
      <w:tr w:rsidR="00A35246" w:rsidRPr="00CE71B1" w14:paraId="33048931" w14:textId="77777777" w:rsidTr="00A35246">
        <w:trPr>
          <w:trHeight w:val="290"/>
        </w:trPr>
        <w:tc>
          <w:tcPr>
            <w:tcW w:w="976" w:type="dxa"/>
            <w:tcBorders>
              <w:top w:val="nil"/>
              <w:left w:val="nil"/>
              <w:bottom w:val="nil"/>
              <w:right w:val="nil"/>
            </w:tcBorders>
            <w:shd w:val="clear" w:color="auto" w:fill="auto"/>
            <w:noWrap/>
            <w:vAlign w:val="bottom"/>
            <w:hideMark/>
          </w:tcPr>
          <w:p w14:paraId="1802DB11"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09AE8A7"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1DC2178"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4FCA10E"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2ABB7339"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74402314"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B8E9A25"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8BC5C3B"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D2AEE4B"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r>
      <w:tr w:rsidR="00A35246" w:rsidRPr="00CE71B1" w14:paraId="1CAAE591" w14:textId="77777777" w:rsidTr="00A35246">
        <w:trPr>
          <w:trHeight w:val="290"/>
        </w:trPr>
        <w:tc>
          <w:tcPr>
            <w:tcW w:w="976" w:type="dxa"/>
            <w:tcBorders>
              <w:top w:val="nil"/>
              <w:left w:val="nil"/>
              <w:bottom w:val="nil"/>
              <w:right w:val="nil"/>
            </w:tcBorders>
            <w:shd w:val="clear" w:color="auto" w:fill="auto"/>
            <w:noWrap/>
            <w:vAlign w:val="bottom"/>
            <w:hideMark/>
          </w:tcPr>
          <w:p w14:paraId="500FDD63" w14:textId="62511A35"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BAD0ED6"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91EE27D"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0E3987A"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65D233D"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2E1DA75D"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2AA75AC"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20712DFD"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0FE08F8"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r>
      <w:tr w:rsidR="00A35246" w:rsidRPr="00CE71B1" w14:paraId="640048E0" w14:textId="77777777" w:rsidTr="00A35246">
        <w:trPr>
          <w:trHeight w:val="290"/>
        </w:trPr>
        <w:tc>
          <w:tcPr>
            <w:tcW w:w="976" w:type="dxa"/>
            <w:tcBorders>
              <w:top w:val="nil"/>
              <w:left w:val="nil"/>
              <w:bottom w:val="nil"/>
              <w:right w:val="nil"/>
            </w:tcBorders>
            <w:shd w:val="clear" w:color="auto" w:fill="auto"/>
            <w:noWrap/>
            <w:vAlign w:val="bottom"/>
            <w:hideMark/>
          </w:tcPr>
          <w:p w14:paraId="6335AC7D"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D2715D2"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7F7CEE08"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76C49374"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E59AE5E"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1833547"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219F9247"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1BB6B17"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E08004D"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r>
      <w:tr w:rsidR="00A35246" w:rsidRPr="00CE71B1" w14:paraId="2BA3764F" w14:textId="77777777" w:rsidTr="00A35246">
        <w:trPr>
          <w:trHeight w:val="290"/>
        </w:trPr>
        <w:tc>
          <w:tcPr>
            <w:tcW w:w="976" w:type="dxa"/>
            <w:tcBorders>
              <w:top w:val="nil"/>
              <w:left w:val="nil"/>
              <w:bottom w:val="nil"/>
              <w:right w:val="nil"/>
            </w:tcBorders>
            <w:shd w:val="clear" w:color="auto" w:fill="auto"/>
            <w:noWrap/>
            <w:vAlign w:val="bottom"/>
            <w:hideMark/>
          </w:tcPr>
          <w:p w14:paraId="79F8A9BA"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3943FC0"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795E9A43"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D5103A9"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8064608"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3B9805D"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E7E595D"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2036F5A4"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777A5889"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r>
      <w:tr w:rsidR="00A35246" w:rsidRPr="00CE71B1" w14:paraId="76DBE21F" w14:textId="77777777" w:rsidTr="00A35246">
        <w:trPr>
          <w:trHeight w:val="290"/>
        </w:trPr>
        <w:tc>
          <w:tcPr>
            <w:tcW w:w="976" w:type="dxa"/>
            <w:tcBorders>
              <w:top w:val="nil"/>
              <w:left w:val="nil"/>
              <w:bottom w:val="nil"/>
              <w:right w:val="nil"/>
            </w:tcBorders>
            <w:shd w:val="clear" w:color="auto" w:fill="auto"/>
            <w:noWrap/>
            <w:vAlign w:val="bottom"/>
            <w:hideMark/>
          </w:tcPr>
          <w:p w14:paraId="38FE75F6"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500403A"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5ACAD16"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C7911CB"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BAC4255"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A798973"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39AE10F"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7B8E5F3"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B5A6B87"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r>
      <w:tr w:rsidR="00A35246" w:rsidRPr="00CE71B1" w14:paraId="610B64F1" w14:textId="77777777" w:rsidTr="00A35246">
        <w:trPr>
          <w:trHeight w:val="290"/>
        </w:trPr>
        <w:tc>
          <w:tcPr>
            <w:tcW w:w="976" w:type="dxa"/>
            <w:tcBorders>
              <w:top w:val="nil"/>
              <w:left w:val="nil"/>
              <w:bottom w:val="nil"/>
              <w:right w:val="nil"/>
            </w:tcBorders>
            <w:shd w:val="clear" w:color="auto" w:fill="auto"/>
            <w:noWrap/>
            <w:vAlign w:val="bottom"/>
            <w:hideMark/>
          </w:tcPr>
          <w:p w14:paraId="6C7EB56C"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402DB4E"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CA42EE8"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1A83F85"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7E997E7F"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196BC48"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EC1F098"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2137DA47"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76BD8E5C"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r>
      <w:tr w:rsidR="00A35246" w:rsidRPr="00CE71B1" w14:paraId="3F1C6C01" w14:textId="77777777" w:rsidTr="00A35246">
        <w:trPr>
          <w:trHeight w:val="290"/>
        </w:trPr>
        <w:tc>
          <w:tcPr>
            <w:tcW w:w="976" w:type="dxa"/>
            <w:tcBorders>
              <w:top w:val="nil"/>
              <w:left w:val="nil"/>
              <w:bottom w:val="nil"/>
              <w:right w:val="nil"/>
            </w:tcBorders>
            <w:shd w:val="clear" w:color="auto" w:fill="auto"/>
            <w:noWrap/>
            <w:vAlign w:val="bottom"/>
            <w:hideMark/>
          </w:tcPr>
          <w:p w14:paraId="0D2C65C5"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7B48DF79"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5B22BE7"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F4B1C01"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F7E1918"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395998B"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D302B96"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C04D4EA"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068CA0F"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r>
      <w:tr w:rsidR="00A35246" w:rsidRPr="00CE71B1" w14:paraId="25610CCF" w14:textId="77777777" w:rsidTr="00A35246">
        <w:trPr>
          <w:trHeight w:val="290"/>
        </w:trPr>
        <w:tc>
          <w:tcPr>
            <w:tcW w:w="976" w:type="dxa"/>
            <w:tcBorders>
              <w:top w:val="nil"/>
              <w:left w:val="nil"/>
              <w:bottom w:val="nil"/>
              <w:right w:val="nil"/>
            </w:tcBorders>
            <w:shd w:val="clear" w:color="auto" w:fill="auto"/>
            <w:noWrap/>
            <w:vAlign w:val="bottom"/>
            <w:hideMark/>
          </w:tcPr>
          <w:p w14:paraId="406831F0"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78509A47"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73B8AAE"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2441CD6"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A131F9A"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AB012F6"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7FD45429"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FAD9F36"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2C186E7"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r>
      <w:tr w:rsidR="00A35246" w:rsidRPr="00CE71B1" w14:paraId="7ECCE683" w14:textId="77777777" w:rsidTr="00A35246">
        <w:trPr>
          <w:trHeight w:val="290"/>
        </w:trPr>
        <w:tc>
          <w:tcPr>
            <w:tcW w:w="976" w:type="dxa"/>
            <w:tcBorders>
              <w:top w:val="nil"/>
              <w:left w:val="nil"/>
              <w:bottom w:val="nil"/>
              <w:right w:val="nil"/>
            </w:tcBorders>
            <w:shd w:val="clear" w:color="auto" w:fill="auto"/>
            <w:noWrap/>
            <w:vAlign w:val="bottom"/>
            <w:hideMark/>
          </w:tcPr>
          <w:p w14:paraId="17352037"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C21AE9A"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33434DE"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4DD0A47"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EE039A3"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B0FCEA6"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8778521"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C3B201F"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34C3CFF"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r>
      <w:tr w:rsidR="00A35246" w:rsidRPr="00CE71B1" w14:paraId="7A8E6DE6" w14:textId="77777777" w:rsidTr="00A35246">
        <w:trPr>
          <w:trHeight w:val="290"/>
        </w:trPr>
        <w:tc>
          <w:tcPr>
            <w:tcW w:w="976" w:type="dxa"/>
            <w:tcBorders>
              <w:top w:val="nil"/>
              <w:left w:val="nil"/>
              <w:bottom w:val="nil"/>
              <w:right w:val="nil"/>
            </w:tcBorders>
            <w:shd w:val="clear" w:color="auto" w:fill="auto"/>
            <w:noWrap/>
            <w:vAlign w:val="bottom"/>
            <w:hideMark/>
          </w:tcPr>
          <w:p w14:paraId="15B434AA"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D552803"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6ECD528"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6BA1FBF"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D60AF69"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13644DC"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9FC6D30"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3F585EE"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D1FDDD7"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r>
      <w:tr w:rsidR="00A35246" w:rsidRPr="00CE71B1" w14:paraId="0EA9481A" w14:textId="77777777" w:rsidTr="00A35246">
        <w:trPr>
          <w:trHeight w:val="290"/>
        </w:trPr>
        <w:tc>
          <w:tcPr>
            <w:tcW w:w="976" w:type="dxa"/>
            <w:tcBorders>
              <w:top w:val="nil"/>
              <w:left w:val="nil"/>
              <w:bottom w:val="nil"/>
              <w:right w:val="nil"/>
            </w:tcBorders>
            <w:shd w:val="clear" w:color="auto" w:fill="auto"/>
            <w:noWrap/>
            <w:vAlign w:val="bottom"/>
            <w:hideMark/>
          </w:tcPr>
          <w:p w14:paraId="451B06DE"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8E3454C"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1E63580"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779F2E83"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0C84E94"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F7B5F68"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B07D1E1"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60B67F3"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E9FAC7F"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r>
      <w:tr w:rsidR="00A35246" w:rsidRPr="00CE71B1" w14:paraId="702D9E94" w14:textId="77777777" w:rsidTr="00A35246">
        <w:trPr>
          <w:trHeight w:val="290"/>
        </w:trPr>
        <w:tc>
          <w:tcPr>
            <w:tcW w:w="976" w:type="dxa"/>
            <w:tcBorders>
              <w:top w:val="nil"/>
              <w:left w:val="nil"/>
              <w:bottom w:val="nil"/>
              <w:right w:val="nil"/>
            </w:tcBorders>
            <w:shd w:val="clear" w:color="auto" w:fill="auto"/>
            <w:noWrap/>
            <w:vAlign w:val="bottom"/>
            <w:hideMark/>
          </w:tcPr>
          <w:p w14:paraId="0F3FB742"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A662018"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AE9E646"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A33F60D"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6733CC6"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DEF288F"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AF3CB5E"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5CDB1B0"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2F266CED" w14:textId="1292E7FD"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r>
      <w:tr w:rsidR="00A35246" w:rsidRPr="00CE71B1" w14:paraId="1D65CCA8" w14:textId="77777777" w:rsidTr="00A35246">
        <w:trPr>
          <w:trHeight w:val="290"/>
        </w:trPr>
        <w:tc>
          <w:tcPr>
            <w:tcW w:w="976" w:type="dxa"/>
            <w:tcBorders>
              <w:top w:val="nil"/>
              <w:left w:val="nil"/>
              <w:bottom w:val="nil"/>
              <w:right w:val="nil"/>
            </w:tcBorders>
            <w:shd w:val="clear" w:color="auto" w:fill="auto"/>
            <w:noWrap/>
            <w:vAlign w:val="bottom"/>
            <w:hideMark/>
          </w:tcPr>
          <w:p w14:paraId="212995D8"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3663F88"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4A029DD"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F72B483"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E83EC64"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6109A43"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5FABF54"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F8ABBD3"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8548457" w14:textId="7A635F66"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r>
      <w:tr w:rsidR="00A35246" w:rsidRPr="00CE71B1" w14:paraId="73BAAD94" w14:textId="77777777" w:rsidTr="00A35246">
        <w:trPr>
          <w:trHeight w:val="290"/>
        </w:trPr>
        <w:tc>
          <w:tcPr>
            <w:tcW w:w="976" w:type="dxa"/>
            <w:tcBorders>
              <w:top w:val="nil"/>
              <w:left w:val="nil"/>
              <w:bottom w:val="nil"/>
              <w:right w:val="nil"/>
            </w:tcBorders>
            <w:shd w:val="clear" w:color="auto" w:fill="auto"/>
            <w:noWrap/>
            <w:vAlign w:val="bottom"/>
            <w:hideMark/>
          </w:tcPr>
          <w:p w14:paraId="656914B5"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B4C4F21"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98463A2"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6EEEBA2"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6D27F05"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45F9C23"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72F5C2D4"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940303B" w14:textId="77DA6341"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E8732F6"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r>
      <w:tr w:rsidR="00A35246" w:rsidRPr="00CE71B1" w14:paraId="6CFDA157" w14:textId="77777777" w:rsidTr="00A35246">
        <w:trPr>
          <w:trHeight w:val="290"/>
        </w:trPr>
        <w:tc>
          <w:tcPr>
            <w:tcW w:w="976" w:type="dxa"/>
            <w:tcBorders>
              <w:top w:val="nil"/>
              <w:left w:val="nil"/>
              <w:bottom w:val="nil"/>
              <w:right w:val="nil"/>
            </w:tcBorders>
            <w:shd w:val="clear" w:color="auto" w:fill="auto"/>
            <w:noWrap/>
            <w:vAlign w:val="bottom"/>
            <w:hideMark/>
          </w:tcPr>
          <w:p w14:paraId="5BA1F908"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FDB81E4"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3130DCD"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D05429F"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DD99CBC"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05EC35E"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E79DCB7" w14:textId="633C00CC"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4154415"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EE186D0"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r>
    </w:tbl>
    <w:p w14:paraId="2DDBEC51" w14:textId="196F2200" w:rsidR="00740D57" w:rsidRPr="00CE71B1" w:rsidRDefault="00CA22AA" w:rsidP="00E8503C">
      <w:pPr>
        <w:rPr>
          <w:sz w:val="22"/>
          <w:szCs w:val="22"/>
        </w:rPr>
      </w:pPr>
      <w:r w:rsidRPr="00CE71B1">
        <w:rPr>
          <w:sz w:val="22"/>
          <w:szCs w:val="22"/>
        </w:rPr>
        <w:lastRenderedPageBreak/>
        <w:t xml:space="preserve"> </w:t>
      </w:r>
    </w:p>
    <w:p w14:paraId="73DD6C86" w14:textId="562CECEB" w:rsidR="00B32C1C" w:rsidRDefault="005F6CF9" w:rsidP="001248AA">
      <w:pPr>
        <w:tabs>
          <w:tab w:val="left" w:pos="7853"/>
        </w:tabs>
        <w:rPr>
          <w:sz w:val="22"/>
          <w:szCs w:val="22"/>
        </w:rPr>
      </w:pPr>
      <w:r w:rsidRPr="00CE71B1">
        <w:rPr>
          <w:sz w:val="22"/>
          <w:szCs w:val="22"/>
        </w:rPr>
        <w:t xml:space="preserve">             </w:t>
      </w:r>
      <w:r w:rsidR="001248AA">
        <w:rPr>
          <w:sz w:val="22"/>
          <w:szCs w:val="22"/>
        </w:rPr>
        <w:tab/>
      </w:r>
    </w:p>
    <w:p w14:paraId="058402F1" w14:textId="77777777" w:rsidR="001248AA" w:rsidRDefault="001248AA" w:rsidP="001248AA">
      <w:pPr>
        <w:tabs>
          <w:tab w:val="left" w:pos="7853"/>
        </w:tabs>
        <w:rPr>
          <w:sz w:val="22"/>
          <w:szCs w:val="22"/>
        </w:rPr>
      </w:pPr>
    </w:p>
    <w:p w14:paraId="4728EE2E" w14:textId="029EA5D7" w:rsidR="00B32C1C" w:rsidRPr="00CE71B1" w:rsidRDefault="005F6CF9" w:rsidP="00E8503C">
      <w:pPr>
        <w:rPr>
          <w:sz w:val="22"/>
          <w:szCs w:val="22"/>
        </w:rPr>
      </w:pPr>
      <w:r w:rsidRPr="00CE71B1">
        <w:rPr>
          <w:sz w:val="22"/>
          <w:szCs w:val="22"/>
        </w:rPr>
        <w:t xml:space="preserve">    </w:t>
      </w:r>
      <w:r w:rsidR="00831680" w:rsidRPr="00CE71B1">
        <w:rPr>
          <w:sz w:val="22"/>
          <w:szCs w:val="22"/>
        </w:rPr>
        <w:t xml:space="preserve">Figure 1.1 chart diagram to </w:t>
      </w:r>
      <w:r w:rsidR="009100CD" w:rsidRPr="00CE71B1">
        <w:rPr>
          <w:sz w:val="22"/>
          <w:szCs w:val="22"/>
        </w:rPr>
        <w:t xml:space="preserve">illustrate the </w:t>
      </w:r>
      <w:r w:rsidR="005A1358" w:rsidRPr="00CE71B1">
        <w:rPr>
          <w:sz w:val="22"/>
          <w:szCs w:val="22"/>
        </w:rPr>
        <w:t xml:space="preserve">position of </w:t>
      </w:r>
      <w:r w:rsidR="007B410D" w:rsidRPr="00CE71B1">
        <w:rPr>
          <w:sz w:val="22"/>
          <w:szCs w:val="22"/>
        </w:rPr>
        <w:t xml:space="preserve">Tesco </w:t>
      </w:r>
      <w:r w:rsidR="006A7E9C" w:rsidRPr="00CE71B1">
        <w:rPr>
          <w:sz w:val="22"/>
          <w:szCs w:val="22"/>
        </w:rPr>
        <w:t>financial income</w:t>
      </w:r>
      <w:r w:rsidR="00441D85" w:rsidRPr="00CE71B1">
        <w:rPr>
          <w:sz w:val="22"/>
          <w:szCs w:val="22"/>
        </w:rPr>
        <w:t xml:space="preserve"> statement</w:t>
      </w:r>
      <w:r w:rsidR="006E0146" w:rsidRPr="00CE71B1">
        <w:rPr>
          <w:sz w:val="22"/>
          <w:szCs w:val="22"/>
        </w:rPr>
        <w:t>.</w:t>
      </w:r>
    </w:p>
    <w:tbl>
      <w:tblPr>
        <w:tblW w:w="7808" w:type="dxa"/>
        <w:tblLook w:val="04A0" w:firstRow="1" w:lastRow="0" w:firstColumn="1" w:lastColumn="0" w:noHBand="0" w:noVBand="1"/>
      </w:tblPr>
      <w:tblGrid>
        <w:gridCol w:w="1176"/>
        <w:gridCol w:w="976"/>
        <w:gridCol w:w="976"/>
        <w:gridCol w:w="976"/>
        <w:gridCol w:w="976"/>
        <w:gridCol w:w="976"/>
        <w:gridCol w:w="976"/>
        <w:gridCol w:w="976"/>
      </w:tblGrid>
      <w:tr w:rsidR="00B32C1C" w:rsidRPr="00CE71B1" w14:paraId="678E323B" w14:textId="77777777" w:rsidTr="00B32C1C">
        <w:trPr>
          <w:trHeight w:val="290"/>
        </w:trPr>
        <w:tc>
          <w:tcPr>
            <w:tcW w:w="976" w:type="dxa"/>
            <w:tcBorders>
              <w:top w:val="nil"/>
              <w:left w:val="nil"/>
              <w:bottom w:val="nil"/>
              <w:right w:val="nil"/>
            </w:tcBorders>
            <w:shd w:val="clear" w:color="auto" w:fill="auto"/>
            <w:noWrap/>
            <w:vAlign w:val="bottom"/>
            <w:hideMark/>
          </w:tcPr>
          <w:p w14:paraId="5451C67C"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0386B0C"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F6F89B1"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25023F71"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2489A81"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65C3982" w14:textId="1D3F178B"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B16E041" w14:textId="7FAB5C9F"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7A60802"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r>
      <w:tr w:rsidR="00B32C1C" w:rsidRPr="00CE71B1" w14:paraId="38B06DC3" w14:textId="77777777" w:rsidTr="00B32C1C">
        <w:trPr>
          <w:trHeight w:val="290"/>
        </w:trPr>
        <w:tc>
          <w:tcPr>
            <w:tcW w:w="976" w:type="dxa"/>
            <w:tcBorders>
              <w:top w:val="nil"/>
              <w:left w:val="nil"/>
              <w:bottom w:val="nil"/>
              <w:right w:val="nil"/>
            </w:tcBorders>
            <w:shd w:val="clear" w:color="auto" w:fill="auto"/>
            <w:noWrap/>
            <w:vAlign w:val="bottom"/>
            <w:hideMark/>
          </w:tcPr>
          <w:p w14:paraId="5529E4CA" w14:textId="3C8CB18E" w:rsidR="00B32C1C" w:rsidRPr="00CE71B1" w:rsidRDefault="00B32C1C" w:rsidP="00B32C1C">
            <w:pPr>
              <w:spacing w:after="0" w:line="240" w:lineRule="auto"/>
              <w:rPr>
                <w:rFonts w:ascii="Aptos Narrow" w:eastAsia="Times New Roman" w:hAnsi="Aptos Narrow" w:cs="Times New Roman"/>
                <w:color w:val="000000"/>
                <w:kern w:val="0"/>
                <w:sz w:val="22"/>
                <w:szCs w:val="22"/>
                <w14:ligatures w14:val="none"/>
              </w:rPr>
            </w:pPr>
          </w:p>
          <w:tbl>
            <w:tblPr>
              <w:tblW w:w="0" w:type="auto"/>
              <w:tblCellSpacing w:w="0" w:type="dxa"/>
              <w:tblCellMar>
                <w:left w:w="0" w:type="dxa"/>
                <w:right w:w="0" w:type="dxa"/>
              </w:tblCellMar>
              <w:tblLook w:val="04A0" w:firstRow="1" w:lastRow="0" w:firstColumn="1" w:lastColumn="0" w:noHBand="0" w:noVBand="1"/>
            </w:tblPr>
            <w:tblGrid>
              <w:gridCol w:w="960"/>
            </w:tblGrid>
            <w:tr w:rsidR="00B32C1C" w:rsidRPr="00CE71B1" w14:paraId="46BCECF3" w14:textId="77777777">
              <w:trPr>
                <w:trHeight w:val="290"/>
                <w:tblCellSpacing w:w="0" w:type="dxa"/>
              </w:trPr>
              <w:tc>
                <w:tcPr>
                  <w:tcW w:w="960" w:type="dxa"/>
                  <w:tcBorders>
                    <w:top w:val="nil"/>
                    <w:left w:val="nil"/>
                    <w:bottom w:val="nil"/>
                    <w:right w:val="nil"/>
                  </w:tcBorders>
                  <w:shd w:val="clear" w:color="auto" w:fill="auto"/>
                  <w:noWrap/>
                  <w:vAlign w:val="bottom"/>
                  <w:hideMark/>
                </w:tcPr>
                <w:p w14:paraId="433AEDAD" w14:textId="77777777" w:rsidR="00B32C1C" w:rsidRPr="00CE71B1" w:rsidRDefault="00B32C1C" w:rsidP="00B32C1C">
                  <w:pPr>
                    <w:spacing w:after="0" w:line="240" w:lineRule="auto"/>
                    <w:rPr>
                      <w:rFonts w:ascii="Aptos Narrow" w:eastAsia="Times New Roman" w:hAnsi="Aptos Narrow" w:cs="Times New Roman"/>
                      <w:color w:val="000000"/>
                      <w:kern w:val="0"/>
                      <w:sz w:val="22"/>
                      <w:szCs w:val="22"/>
                      <w14:ligatures w14:val="none"/>
                    </w:rPr>
                  </w:pPr>
                </w:p>
              </w:tc>
            </w:tr>
          </w:tbl>
          <w:p w14:paraId="58DAFDB8" w14:textId="47934C76" w:rsidR="00B32C1C" w:rsidRPr="00CE71B1" w:rsidRDefault="00B32C1C" w:rsidP="00B32C1C">
            <w:pPr>
              <w:spacing w:after="0" w:line="240" w:lineRule="auto"/>
              <w:rPr>
                <w:rFonts w:ascii="Aptos Narrow" w:eastAsia="Times New Roman" w:hAnsi="Aptos Narrow" w:cs="Times New Roman"/>
                <w:color w:val="000000"/>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44454B5"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2C728DEE"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1BBA5B3"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6D08D62" w14:textId="0C946A6C"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9CCBBC6"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E4C663B" w14:textId="0CDE530B"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3FAD454"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r>
      <w:tr w:rsidR="00B32C1C" w:rsidRPr="00CE71B1" w14:paraId="54F7E346" w14:textId="77777777" w:rsidTr="00B32C1C">
        <w:trPr>
          <w:trHeight w:val="290"/>
        </w:trPr>
        <w:tc>
          <w:tcPr>
            <w:tcW w:w="976" w:type="dxa"/>
            <w:tcBorders>
              <w:top w:val="nil"/>
              <w:left w:val="nil"/>
              <w:bottom w:val="nil"/>
              <w:right w:val="nil"/>
            </w:tcBorders>
            <w:shd w:val="clear" w:color="auto" w:fill="auto"/>
            <w:noWrap/>
            <w:vAlign w:val="bottom"/>
            <w:hideMark/>
          </w:tcPr>
          <w:p w14:paraId="636FA41C"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CF7B0F2"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54C0788"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0C9E184"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BDD817C" w14:textId="2E258096"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BBD478A"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76E5CA3"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FE4BB73"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r>
      <w:tr w:rsidR="00B32C1C" w:rsidRPr="00CE71B1" w14:paraId="3F2CD995" w14:textId="77777777" w:rsidTr="00B32C1C">
        <w:trPr>
          <w:trHeight w:val="290"/>
        </w:trPr>
        <w:tc>
          <w:tcPr>
            <w:tcW w:w="976" w:type="dxa"/>
            <w:tcBorders>
              <w:top w:val="nil"/>
              <w:left w:val="nil"/>
              <w:bottom w:val="nil"/>
              <w:right w:val="nil"/>
            </w:tcBorders>
            <w:shd w:val="clear" w:color="auto" w:fill="auto"/>
            <w:noWrap/>
            <w:vAlign w:val="bottom"/>
            <w:hideMark/>
          </w:tcPr>
          <w:p w14:paraId="44D6CC9F"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7F74C194"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D335875"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75D5468F"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200D5C9" w14:textId="55885220"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51640FB"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1C7C989"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88B32E8"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r>
      <w:tr w:rsidR="00B32C1C" w:rsidRPr="00CE71B1" w14:paraId="7E1E8C67" w14:textId="77777777" w:rsidTr="00B32C1C">
        <w:trPr>
          <w:trHeight w:val="290"/>
        </w:trPr>
        <w:tc>
          <w:tcPr>
            <w:tcW w:w="976" w:type="dxa"/>
            <w:tcBorders>
              <w:top w:val="nil"/>
              <w:left w:val="nil"/>
              <w:bottom w:val="nil"/>
              <w:right w:val="nil"/>
            </w:tcBorders>
            <w:shd w:val="clear" w:color="auto" w:fill="auto"/>
            <w:noWrap/>
            <w:vAlign w:val="bottom"/>
            <w:hideMark/>
          </w:tcPr>
          <w:p w14:paraId="36A3F7CE"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B666909"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2D857E3"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0B05C3C"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78CF292F" w14:textId="3A967632"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E6BE38A"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C04FB86" w14:textId="7824C4AF"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76322E13"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r>
      <w:tr w:rsidR="00B32C1C" w:rsidRPr="00CE71B1" w14:paraId="3903CE9F" w14:textId="77777777" w:rsidTr="00B32C1C">
        <w:trPr>
          <w:trHeight w:val="290"/>
        </w:trPr>
        <w:tc>
          <w:tcPr>
            <w:tcW w:w="976" w:type="dxa"/>
            <w:tcBorders>
              <w:top w:val="nil"/>
              <w:left w:val="nil"/>
              <w:bottom w:val="nil"/>
              <w:right w:val="nil"/>
            </w:tcBorders>
            <w:shd w:val="clear" w:color="auto" w:fill="auto"/>
            <w:noWrap/>
            <w:vAlign w:val="bottom"/>
            <w:hideMark/>
          </w:tcPr>
          <w:p w14:paraId="74FD5535"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5BAD3F5"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B6221AA"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EB2516B"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79EA6DD4"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18456CD"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D02C8D2"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2EDEEBAB"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r>
      <w:tr w:rsidR="00B32C1C" w:rsidRPr="00CE71B1" w14:paraId="4A671B30" w14:textId="77777777" w:rsidTr="00B32C1C">
        <w:trPr>
          <w:trHeight w:val="290"/>
        </w:trPr>
        <w:tc>
          <w:tcPr>
            <w:tcW w:w="976" w:type="dxa"/>
            <w:tcBorders>
              <w:top w:val="nil"/>
              <w:left w:val="nil"/>
              <w:bottom w:val="nil"/>
              <w:right w:val="nil"/>
            </w:tcBorders>
            <w:shd w:val="clear" w:color="auto" w:fill="auto"/>
            <w:noWrap/>
            <w:vAlign w:val="bottom"/>
            <w:hideMark/>
          </w:tcPr>
          <w:p w14:paraId="621A78E2"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2C9C6F1D"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85F6C6D"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FCF509D"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F5467A8"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41982F4"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21C1AC33"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DF7E70A"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r>
      <w:tr w:rsidR="00B32C1C" w:rsidRPr="00CE71B1" w14:paraId="657E90B9" w14:textId="77777777" w:rsidTr="00B32C1C">
        <w:trPr>
          <w:trHeight w:val="290"/>
        </w:trPr>
        <w:tc>
          <w:tcPr>
            <w:tcW w:w="976" w:type="dxa"/>
            <w:tcBorders>
              <w:top w:val="nil"/>
              <w:left w:val="nil"/>
              <w:bottom w:val="nil"/>
              <w:right w:val="nil"/>
            </w:tcBorders>
            <w:shd w:val="clear" w:color="auto" w:fill="auto"/>
            <w:noWrap/>
            <w:vAlign w:val="bottom"/>
            <w:hideMark/>
          </w:tcPr>
          <w:p w14:paraId="708ACEE3"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82FBB20"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7A2A7A63"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AA617E8"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0F00781"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735CD31A"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B1B7438"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77467835"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r>
      <w:tr w:rsidR="00B32C1C" w:rsidRPr="00CE71B1" w14:paraId="019464EC" w14:textId="77777777" w:rsidTr="00B32C1C">
        <w:trPr>
          <w:trHeight w:val="290"/>
        </w:trPr>
        <w:tc>
          <w:tcPr>
            <w:tcW w:w="976" w:type="dxa"/>
            <w:tcBorders>
              <w:top w:val="nil"/>
              <w:left w:val="nil"/>
              <w:bottom w:val="nil"/>
              <w:right w:val="nil"/>
            </w:tcBorders>
            <w:shd w:val="clear" w:color="auto" w:fill="auto"/>
            <w:noWrap/>
            <w:vAlign w:val="bottom"/>
            <w:hideMark/>
          </w:tcPr>
          <w:p w14:paraId="4382F2A2"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1A2FA22"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462B68E"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A023502"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1B87C3F"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2D8353A8"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222D148C"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67A0166"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r>
      <w:tr w:rsidR="00B32C1C" w:rsidRPr="00CE71B1" w14:paraId="6A51D7BC" w14:textId="77777777" w:rsidTr="00B32C1C">
        <w:trPr>
          <w:trHeight w:val="290"/>
        </w:trPr>
        <w:tc>
          <w:tcPr>
            <w:tcW w:w="976" w:type="dxa"/>
            <w:tcBorders>
              <w:top w:val="nil"/>
              <w:left w:val="nil"/>
              <w:bottom w:val="nil"/>
              <w:right w:val="nil"/>
            </w:tcBorders>
            <w:shd w:val="clear" w:color="auto" w:fill="auto"/>
            <w:noWrap/>
            <w:vAlign w:val="bottom"/>
            <w:hideMark/>
          </w:tcPr>
          <w:p w14:paraId="34F0746C"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7AF200A"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46CE594"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0B03AF7"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3D2EFF2"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E4BE511"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09F81F7"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2498A77"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r>
      <w:tr w:rsidR="00B32C1C" w:rsidRPr="00CE71B1" w14:paraId="56F97A0C" w14:textId="77777777" w:rsidTr="00B32C1C">
        <w:trPr>
          <w:trHeight w:val="290"/>
        </w:trPr>
        <w:tc>
          <w:tcPr>
            <w:tcW w:w="976" w:type="dxa"/>
            <w:tcBorders>
              <w:top w:val="nil"/>
              <w:left w:val="nil"/>
              <w:bottom w:val="nil"/>
              <w:right w:val="nil"/>
            </w:tcBorders>
            <w:shd w:val="clear" w:color="auto" w:fill="auto"/>
            <w:noWrap/>
            <w:vAlign w:val="bottom"/>
            <w:hideMark/>
          </w:tcPr>
          <w:p w14:paraId="60CE45B3"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454CE46"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247A4300"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1691C3D"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86CFD58"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83FE0C0"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59E0B80"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2B2C20F7"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r>
      <w:tr w:rsidR="00B32C1C" w:rsidRPr="00CE71B1" w14:paraId="4B371AD3" w14:textId="77777777" w:rsidTr="00B32C1C">
        <w:trPr>
          <w:trHeight w:val="290"/>
        </w:trPr>
        <w:tc>
          <w:tcPr>
            <w:tcW w:w="976" w:type="dxa"/>
            <w:tcBorders>
              <w:top w:val="nil"/>
              <w:left w:val="nil"/>
              <w:bottom w:val="nil"/>
              <w:right w:val="nil"/>
            </w:tcBorders>
            <w:shd w:val="clear" w:color="auto" w:fill="auto"/>
            <w:noWrap/>
            <w:vAlign w:val="bottom"/>
            <w:hideMark/>
          </w:tcPr>
          <w:p w14:paraId="3BCC01CA"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C6D7DA6"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2F7A05EC"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7742068C"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B022491"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C41A451"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D49A8DE"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DE026A3"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r>
      <w:tr w:rsidR="00B32C1C" w:rsidRPr="00CE71B1" w14:paraId="35BA6D1F" w14:textId="77777777" w:rsidTr="00B32C1C">
        <w:trPr>
          <w:trHeight w:val="290"/>
        </w:trPr>
        <w:tc>
          <w:tcPr>
            <w:tcW w:w="976" w:type="dxa"/>
            <w:tcBorders>
              <w:top w:val="nil"/>
              <w:left w:val="nil"/>
              <w:bottom w:val="nil"/>
              <w:right w:val="nil"/>
            </w:tcBorders>
            <w:shd w:val="clear" w:color="auto" w:fill="auto"/>
            <w:noWrap/>
            <w:vAlign w:val="bottom"/>
            <w:hideMark/>
          </w:tcPr>
          <w:p w14:paraId="1C0CE1CD"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53F4473"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731B47C"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28E5E88B"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716DAC4"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2D34281"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DAB3CA2"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D41F0AA"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r>
      <w:tr w:rsidR="00B32C1C" w:rsidRPr="00CE71B1" w14:paraId="0E12CFC3" w14:textId="77777777" w:rsidTr="00B32C1C">
        <w:trPr>
          <w:trHeight w:val="290"/>
        </w:trPr>
        <w:tc>
          <w:tcPr>
            <w:tcW w:w="976" w:type="dxa"/>
            <w:tcBorders>
              <w:top w:val="nil"/>
              <w:left w:val="nil"/>
              <w:bottom w:val="nil"/>
              <w:right w:val="nil"/>
            </w:tcBorders>
            <w:shd w:val="clear" w:color="auto" w:fill="auto"/>
            <w:noWrap/>
            <w:vAlign w:val="bottom"/>
            <w:hideMark/>
          </w:tcPr>
          <w:p w14:paraId="4BF8FD0D"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2A10BDCE"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F4E58C2"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BAFEAE8"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6D3BDB9"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42203DB"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27FA8B07"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1B4544C"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r>
      <w:tr w:rsidR="00B32C1C" w:rsidRPr="00CE71B1" w14:paraId="44F3E85F" w14:textId="77777777" w:rsidTr="00B32C1C">
        <w:trPr>
          <w:trHeight w:val="290"/>
        </w:trPr>
        <w:tc>
          <w:tcPr>
            <w:tcW w:w="976" w:type="dxa"/>
            <w:tcBorders>
              <w:top w:val="nil"/>
              <w:left w:val="nil"/>
              <w:bottom w:val="nil"/>
              <w:right w:val="nil"/>
            </w:tcBorders>
            <w:shd w:val="clear" w:color="auto" w:fill="auto"/>
            <w:noWrap/>
            <w:vAlign w:val="bottom"/>
            <w:hideMark/>
          </w:tcPr>
          <w:p w14:paraId="02B931C1"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5B65849"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F65B195"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B5A4911"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1B1E3E5"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080B66A"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4E2BB66"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93C2F6A"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r>
      <w:tr w:rsidR="00B32C1C" w:rsidRPr="00CE71B1" w14:paraId="219F31EC" w14:textId="77777777" w:rsidTr="00B32C1C">
        <w:trPr>
          <w:trHeight w:val="290"/>
        </w:trPr>
        <w:tc>
          <w:tcPr>
            <w:tcW w:w="976" w:type="dxa"/>
            <w:tcBorders>
              <w:top w:val="nil"/>
              <w:left w:val="nil"/>
              <w:bottom w:val="nil"/>
              <w:right w:val="nil"/>
            </w:tcBorders>
            <w:shd w:val="clear" w:color="auto" w:fill="auto"/>
            <w:noWrap/>
            <w:vAlign w:val="bottom"/>
            <w:hideMark/>
          </w:tcPr>
          <w:p w14:paraId="5C266FCF"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99C363C"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8D97411"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946629B"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C419127"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A6A4B87"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AE04307"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287813E0"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r>
      <w:tr w:rsidR="00B32C1C" w:rsidRPr="00CE71B1" w14:paraId="397360F0" w14:textId="77777777" w:rsidTr="00B32C1C">
        <w:trPr>
          <w:trHeight w:val="290"/>
        </w:trPr>
        <w:tc>
          <w:tcPr>
            <w:tcW w:w="976" w:type="dxa"/>
            <w:tcBorders>
              <w:top w:val="nil"/>
              <w:left w:val="nil"/>
              <w:bottom w:val="nil"/>
              <w:right w:val="nil"/>
            </w:tcBorders>
            <w:shd w:val="clear" w:color="auto" w:fill="auto"/>
            <w:noWrap/>
            <w:vAlign w:val="bottom"/>
            <w:hideMark/>
          </w:tcPr>
          <w:p w14:paraId="734AF164"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5EF6140"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p w14:paraId="37A7AFE2" w14:textId="77777777" w:rsidR="002E2913" w:rsidRPr="00CE71B1" w:rsidRDefault="002E2913" w:rsidP="00B32C1C">
            <w:pPr>
              <w:spacing w:after="0" w:line="240" w:lineRule="auto"/>
              <w:rPr>
                <w:rFonts w:ascii="Times New Roman" w:eastAsia="Times New Roman" w:hAnsi="Times New Roman" w:cs="Times New Roman"/>
                <w:kern w:val="0"/>
                <w:sz w:val="22"/>
                <w:szCs w:val="22"/>
                <w14:ligatures w14:val="none"/>
              </w:rPr>
            </w:pPr>
          </w:p>
          <w:p w14:paraId="7B00A7C7" w14:textId="77777777" w:rsidR="002E2913" w:rsidRPr="00CE71B1" w:rsidRDefault="002E2913" w:rsidP="00B32C1C">
            <w:pPr>
              <w:spacing w:after="0" w:line="240" w:lineRule="auto"/>
              <w:rPr>
                <w:rFonts w:ascii="Times New Roman" w:eastAsia="Times New Roman" w:hAnsi="Times New Roman" w:cs="Times New Roman"/>
                <w:kern w:val="0"/>
                <w:sz w:val="22"/>
                <w:szCs w:val="22"/>
                <w14:ligatures w14:val="none"/>
              </w:rPr>
            </w:pPr>
          </w:p>
          <w:p w14:paraId="7D7FD941" w14:textId="77777777" w:rsidR="002E2913" w:rsidRPr="00CE71B1" w:rsidRDefault="002E2913" w:rsidP="00B32C1C">
            <w:pPr>
              <w:spacing w:after="0" w:line="240" w:lineRule="auto"/>
              <w:rPr>
                <w:rFonts w:ascii="Times New Roman" w:eastAsia="Times New Roman" w:hAnsi="Times New Roman" w:cs="Times New Roman"/>
                <w:kern w:val="0"/>
                <w:sz w:val="22"/>
                <w:szCs w:val="22"/>
                <w14:ligatures w14:val="none"/>
              </w:rPr>
            </w:pPr>
          </w:p>
          <w:p w14:paraId="27C53A39" w14:textId="77777777" w:rsidR="002E2913" w:rsidRPr="00CE71B1" w:rsidRDefault="002E2913" w:rsidP="00B32C1C">
            <w:pPr>
              <w:spacing w:after="0" w:line="240" w:lineRule="auto"/>
              <w:rPr>
                <w:rFonts w:ascii="Times New Roman" w:eastAsia="Times New Roman" w:hAnsi="Times New Roman" w:cs="Times New Roman"/>
                <w:kern w:val="0"/>
                <w:sz w:val="22"/>
                <w:szCs w:val="22"/>
                <w14:ligatures w14:val="none"/>
              </w:rPr>
            </w:pPr>
          </w:p>
          <w:p w14:paraId="356C8415" w14:textId="77777777" w:rsidR="002E2913" w:rsidRPr="00CE71B1" w:rsidRDefault="002E2913" w:rsidP="00B32C1C">
            <w:pPr>
              <w:spacing w:after="0" w:line="240" w:lineRule="auto"/>
              <w:rPr>
                <w:rFonts w:ascii="Times New Roman" w:eastAsia="Times New Roman" w:hAnsi="Times New Roman" w:cs="Times New Roman"/>
                <w:kern w:val="0"/>
                <w:sz w:val="22"/>
                <w:szCs w:val="22"/>
                <w14:ligatures w14:val="none"/>
              </w:rPr>
            </w:pPr>
          </w:p>
          <w:p w14:paraId="5A3C821A" w14:textId="77777777" w:rsidR="002E2913" w:rsidRPr="00CE71B1" w:rsidRDefault="002E2913" w:rsidP="00B32C1C">
            <w:pPr>
              <w:spacing w:after="0" w:line="240" w:lineRule="auto"/>
              <w:rPr>
                <w:rFonts w:ascii="Times New Roman" w:eastAsia="Times New Roman" w:hAnsi="Times New Roman" w:cs="Times New Roman"/>
                <w:kern w:val="0"/>
                <w:sz w:val="22"/>
                <w:szCs w:val="22"/>
                <w14:ligatures w14:val="none"/>
              </w:rPr>
            </w:pPr>
          </w:p>
          <w:p w14:paraId="72C9373F" w14:textId="77777777" w:rsidR="002E2913" w:rsidRPr="00CE71B1" w:rsidRDefault="002E2913" w:rsidP="00B32C1C">
            <w:pPr>
              <w:spacing w:after="0" w:line="240" w:lineRule="auto"/>
              <w:rPr>
                <w:rFonts w:ascii="Times New Roman" w:eastAsia="Times New Roman" w:hAnsi="Times New Roman" w:cs="Times New Roman"/>
                <w:kern w:val="0"/>
                <w:sz w:val="22"/>
                <w:szCs w:val="22"/>
                <w14:ligatures w14:val="none"/>
              </w:rPr>
            </w:pPr>
          </w:p>
          <w:p w14:paraId="7A72841B" w14:textId="77777777" w:rsidR="002E2913" w:rsidRPr="00CE71B1" w:rsidRDefault="002E2913" w:rsidP="00B32C1C">
            <w:pPr>
              <w:spacing w:after="0" w:line="240" w:lineRule="auto"/>
              <w:rPr>
                <w:rFonts w:ascii="Times New Roman" w:eastAsia="Times New Roman" w:hAnsi="Times New Roman" w:cs="Times New Roman"/>
                <w:kern w:val="0"/>
                <w:sz w:val="22"/>
                <w:szCs w:val="22"/>
                <w14:ligatures w14:val="none"/>
              </w:rPr>
            </w:pPr>
          </w:p>
          <w:p w14:paraId="2327E7A1" w14:textId="77777777" w:rsidR="002E2913" w:rsidRPr="00CE71B1" w:rsidRDefault="002E2913" w:rsidP="00B32C1C">
            <w:pPr>
              <w:spacing w:after="0" w:line="240" w:lineRule="auto"/>
              <w:rPr>
                <w:rFonts w:ascii="Times New Roman" w:eastAsia="Times New Roman" w:hAnsi="Times New Roman" w:cs="Times New Roman"/>
                <w:kern w:val="0"/>
                <w:sz w:val="22"/>
                <w:szCs w:val="22"/>
                <w14:ligatures w14:val="none"/>
              </w:rPr>
            </w:pPr>
          </w:p>
          <w:p w14:paraId="5B41D32E" w14:textId="77777777" w:rsidR="002E2913" w:rsidRPr="00CE71B1" w:rsidRDefault="002E2913" w:rsidP="00B32C1C">
            <w:pPr>
              <w:spacing w:after="0" w:line="240" w:lineRule="auto"/>
              <w:rPr>
                <w:rFonts w:ascii="Times New Roman" w:eastAsia="Times New Roman" w:hAnsi="Times New Roman" w:cs="Times New Roman"/>
                <w:kern w:val="0"/>
                <w:sz w:val="22"/>
                <w:szCs w:val="22"/>
                <w14:ligatures w14:val="none"/>
              </w:rPr>
            </w:pPr>
          </w:p>
          <w:p w14:paraId="0F4D5D7D" w14:textId="77777777" w:rsidR="002E2913" w:rsidRPr="00CE71B1" w:rsidRDefault="002E2913" w:rsidP="00B32C1C">
            <w:pPr>
              <w:spacing w:after="0" w:line="240" w:lineRule="auto"/>
              <w:rPr>
                <w:rFonts w:ascii="Times New Roman" w:eastAsia="Times New Roman" w:hAnsi="Times New Roman" w:cs="Times New Roman"/>
                <w:kern w:val="0"/>
                <w:sz w:val="22"/>
                <w:szCs w:val="22"/>
                <w14:ligatures w14:val="none"/>
              </w:rPr>
            </w:pPr>
          </w:p>
          <w:p w14:paraId="24D06B94" w14:textId="77777777" w:rsidR="002E2913" w:rsidRPr="00CE71B1" w:rsidRDefault="002E2913" w:rsidP="00B32C1C">
            <w:pPr>
              <w:spacing w:after="0" w:line="240" w:lineRule="auto"/>
              <w:rPr>
                <w:rFonts w:ascii="Times New Roman" w:eastAsia="Times New Roman" w:hAnsi="Times New Roman" w:cs="Times New Roman"/>
                <w:kern w:val="0"/>
                <w:sz w:val="22"/>
                <w:szCs w:val="22"/>
                <w14:ligatures w14:val="none"/>
              </w:rPr>
            </w:pPr>
          </w:p>
          <w:p w14:paraId="41EA23C1" w14:textId="77777777" w:rsidR="002E2913" w:rsidRPr="00CE71B1" w:rsidRDefault="002E2913" w:rsidP="00B32C1C">
            <w:pPr>
              <w:spacing w:after="0" w:line="240" w:lineRule="auto"/>
              <w:rPr>
                <w:rFonts w:ascii="Times New Roman" w:eastAsia="Times New Roman" w:hAnsi="Times New Roman" w:cs="Times New Roman"/>
                <w:kern w:val="0"/>
                <w:sz w:val="22"/>
                <w:szCs w:val="22"/>
                <w14:ligatures w14:val="none"/>
              </w:rPr>
            </w:pPr>
          </w:p>
          <w:p w14:paraId="1D1B6E2F" w14:textId="77777777" w:rsidR="002E2913" w:rsidRPr="00CE71B1" w:rsidRDefault="002E2913"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05EC76F"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F15B64F"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EFFA507"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06ADD74"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EBE71CC"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B2083F6" w14:textId="5D25F334"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r>
    </w:tbl>
    <w:p w14:paraId="640BA7EB" w14:textId="13EFFB05" w:rsidR="00B32C1C" w:rsidRPr="00CE71B1" w:rsidRDefault="005F6CF9" w:rsidP="00E8503C">
      <w:pPr>
        <w:rPr>
          <w:sz w:val="22"/>
          <w:szCs w:val="22"/>
        </w:rPr>
      </w:pPr>
      <w:r w:rsidRPr="00CE71B1">
        <w:rPr>
          <w:rFonts w:ascii="Aptos Narrow" w:eastAsia="Times New Roman" w:hAnsi="Aptos Narrow" w:cs="Times New Roman"/>
          <w:noProof/>
          <w:color w:val="000000"/>
          <w:kern w:val="0"/>
          <w:sz w:val="22"/>
          <w:szCs w:val="22"/>
          <w14:ligatures w14:val="none"/>
        </w:rPr>
        <w:drawing>
          <wp:anchor distT="0" distB="0" distL="114300" distR="114300" simplePos="0" relativeHeight="251658241" behindDoc="0" locked="0" layoutInCell="1" allowOverlap="1" wp14:anchorId="3A186119" wp14:editId="7163C7FB">
            <wp:simplePos x="0" y="0"/>
            <wp:positionH relativeFrom="column">
              <wp:posOffset>-193330</wp:posOffset>
            </wp:positionH>
            <wp:positionV relativeFrom="paragraph">
              <wp:posOffset>-644870</wp:posOffset>
            </wp:positionV>
            <wp:extent cx="6322423" cy="2983557"/>
            <wp:effectExtent l="0" t="0" r="2540" b="7620"/>
            <wp:wrapNone/>
            <wp:docPr id="1144407915" name="Chart 6">
              <a:extLst xmlns:a="http://schemas.openxmlformats.org/drawingml/2006/main">
                <a:ext uri="{FF2B5EF4-FFF2-40B4-BE49-F238E27FC236}">
                  <a16:creationId xmlns:a16="http://schemas.microsoft.com/office/drawing/2014/main" id="{34F43211-DA6E-743F-1894-10CA78A1F1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p>
    <w:p w14:paraId="28EB1D8C" w14:textId="6A580688" w:rsidR="00273BD0" w:rsidRPr="00CE71B1" w:rsidRDefault="00273BD0" w:rsidP="00E8503C">
      <w:pPr>
        <w:rPr>
          <w:sz w:val="22"/>
          <w:szCs w:val="22"/>
        </w:rPr>
      </w:pPr>
      <w:r w:rsidRPr="00CE71B1">
        <w:rPr>
          <w:sz w:val="22"/>
          <w:szCs w:val="22"/>
        </w:rPr>
        <w:t xml:space="preserve">                                             </w:t>
      </w:r>
      <w:r w:rsidR="003F2B06" w:rsidRPr="00CE71B1">
        <w:rPr>
          <w:sz w:val="22"/>
          <w:szCs w:val="22"/>
        </w:rPr>
        <w:t xml:space="preserve"> </w:t>
      </w:r>
      <w:r w:rsidRPr="00CE71B1">
        <w:rPr>
          <w:sz w:val="22"/>
          <w:szCs w:val="22"/>
        </w:rPr>
        <w:t xml:space="preserve">          </w:t>
      </w:r>
      <w:r w:rsidR="00C204B8" w:rsidRPr="00CE71B1">
        <w:rPr>
          <w:sz w:val="22"/>
          <w:szCs w:val="22"/>
        </w:rPr>
        <w:t xml:space="preserve">  </w:t>
      </w:r>
    </w:p>
    <w:p w14:paraId="1986CE1E" w14:textId="77777777" w:rsidR="00B642A3" w:rsidRPr="00CE71B1" w:rsidRDefault="00B642A3" w:rsidP="00E8503C">
      <w:pPr>
        <w:rPr>
          <w:sz w:val="22"/>
          <w:szCs w:val="22"/>
        </w:rPr>
      </w:pPr>
    </w:p>
    <w:p w14:paraId="54ABB929" w14:textId="5E97F3A6" w:rsidR="00C72C1C" w:rsidRPr="00CE71B1" w:rsidRDefault="00C72C1C" w:rsidP="00E8503C">
      <w:pPr>
        <w:rPr>
          <w:sz w:val="22"/>
          <w:szCs w:val="22"/>
        </w:rPr>
      </w:pPr>
      <w:r w:rsidRPr="00CE71B1">
        <w:rPr>
          <w:sz w:val="22"/>
          <w:szCs w:val="22"/>
        </w:rPr>
        <w:t xml:space="preserve">                                                         </w:t>
      </w:r>
    </w:p>
    <w:p w14:paraId="2D252EF9" w14:textId="77777777" w:rsidR="00F65301" w:rsidRPr="00CE71B1" w:rsidRDefault="00F65301" w:rsidP="00E8503C">
      <w:pPr>
        <w:rPr>
          <w:sz w:val="22"/>
          <w:szCs w:val="22"/>
        </w:rPr>
      </w:pPr>
    </w:p>
    <w:p w14:paraId="42040C13" w14:textId="77777777" w:rsidR="00CC7610" w:rsidRPr="00CE71B1" w:rsidRDefault="00CC7610" w:rsidP="00650CD1">
      <w:pPr>
        <w:ind w:firstLine="200"/>
        <w:rPr>
          <w:sz w:val="22"/>
          <w:szCs w:val="22"/>
        </w:rPr>
      </w:pPr>
    </w:p>
    <w:p w14:paraId="19238516" w14:textId="77777777" w:rsidR="000A2C84" w:rsidRPr="00CE71B1" w:rsidRDefault="000A2C84" w:rsidP="00650CD1">
      <w:pPr>
        <w:ind w:firstLine="200"/>
        <w:rPr>
          <w:sz w:val="22"/>
          <w:szCs w:val="22"/>
        </w:rPr>
      </w:pPr>
    </w:p>
    <w:p w14:paraId="6B46FE13" w14:textId="0D87596E" w:rsidR="00E41AD7" w:rsidRPr="00CE71B1" w:rsidRDefault="00E41AD7" w:rsidP="00E41AD7">
      <w:pPr>
        <w:rPr>
          <w:sz w:val="22"/>
          <w:szCs w:val="22"/>
        </w:rPr>
      </w:pPr>
    </w:p>
    <w:p w14:paraId="6EFDEFFE" w14:textId="13925803" w:rsidR="008C18C8" w:rsidRPr="00CE71B1" w:rsidRDefault="00CB6092" w:rsidP="00E41AD7">
      <w:pPr>
        <w:rPr>
          <w:sz w:val="22"/>
          <w:szCs w:val="22"/>
        </w:rPr>
      </w:pPr>
      <w:r w:rsidRPr="00CE71B1">
        <w:rPr>
          <w:sz w:val="22"/>
          <w:szCs w:val="22"/>
        </w:rPr>
        <w:lastRenderedPageBreak/>
        <w:t xml:space="preserve"> </w:t>
      </w:r>
    </w:p>
    <w:p w14:paraId="52559589" w14:textId="6C0F4445" w:rsidR="00360DF7" w:rsidRPr="00CE71B1" w:rsidRDefault="00E278CC" w:rsidP="00E41AD7">
      <w:pPr>
        <w:rPr>
          <w:sz w:val="22"/>
          <w:szCs w:val="22"/>
        </w:rPr>
      </w:pPr>
      <w:r>
        <w:rPr>
          <w:sz w:val="22"/>
          <w:szCs w:val="22"/>
        </w:rPr>
        <w:t xml:space="preserve">    </w:t>
      </w:r>
      <w:r w:rsidR="00C80766">
        <w:rPr>
          <w:sz w:val="22"/>
          <w:szCs w:val="22"/>
        </w:rPr>
        <w:t xml:space="preserve">Continuation of the chart  </w:t>
      </w:r>
      <w:r w:rsidR="00A154B7">
        <w:rPr>
          <w:sz w:val="22"/>
          <w:szCs w:val="22"/>
        </w:rPr>
        <w:t xml:space="preserve">diagram  </w:t>
      </w:r>
      <w:r w:rsidR="00FE72E8">
        <w:rPr>
          <w:sz w:val="22"/>
          <w:szCs w:val="22"/>
        </w:rPr>
        <w:t>figure `1.1 Tesco financial  income  sta</w:t>
      </w:r>
      <w:r w:rsidR="00E47793">
        <w:rPr>
          <w:sz w:val="22"/>
          <w:szCs w:val="22"/>
        </w:rPr>
        <w:t>tement.</w:t>
      </w:r>
    </w:p>
    <w:p w14:paraId="3F094B01" w14:textId="77777777" w:rsidR="00246C71" w:rsidRPr="00CE71B1" w:rsidRDefault="00246C71" w:rsidP="00E41AD7">
      <w:pPr>
        <w:rPr>
          <w:sz w:val="22"/>
          <w:szCs w:val="22"/>
        </w:rPr>
      </w:pPr>
    </w:p>
    <w:p w14:paraId="2D2217EF" w14:textId="77777777" w:rsidR="00246C71" w:rsidRPr="00CE71B1" w:rsidRDefault="00246C71" w:rsidP="00E41AD7">
      <w:pPr>
        <w:rPr>
          <w:sz w:val="22"/>
          <w:szCs w:val="22"/>
        </w:rPr>
      </w:pPr>
    </w:p>
    <w:p w14:paraId="76CC9393" w14:textId="77777777" w:rsidR="00246C71" w:rsidRPr="00CE71B1" w:rsidRDefault="00246C71" w:rsidP="00E41AD7">
      <w:pPr>
        <w:rPr>
          <w:sz w:val="22"/>
          <w:szCs w:val="22"/>
        </w:rPr>
      </w:pPr>
    </w:p>
    <w:tbl>
      <w:tblPr>
        <w:tblW w:w="5660" w:type="dxa"/>
        <w:tblLook w:val="04A0" w:firstRow="1" w:lastRow="0" w:firstColumn="1" w:lastColumn="0" w:noHBand="0" w:noVBand="1"/>
      </w:tblPr>
      <w:tblGrid>
        <w:gridCol w:w="960"/>
        <w:gridCol w:w="1820"/>
        <w:gridCol w:w="960"/>
        <w:gridCol w:w="960"/>
        <w:gridCol w:w="960"/>
      </w:tblGrid>
      <w:tr w:rsidR="00360DF7" w:rsidRPr="00CE71B1" w14:paraId="3403D0D7" w14:textId="77777777" w:rsidTr="003870E5">
        <w:trPr>
          <w:trHeight w:val="300"/>
        </w:trPr>
        <w:tc>
          <w:tcPr>
            <w:tcW w:w="960" w:type="dxa"/>
            <w:shd w:val="clear" w:color="auto" w:fill="auto"/>
            <w:noWrap/>
            <w:vAlign w:val="bottom"/>
            <w:hideMark/>
          </w:tcPr>
          <w:p w14:paraId="65A8BA44" w14:textId="4151C8E1" w:rsidR="00360DF7" w:rsidRPr="00CE71B1" w:rsidRDefault="00360DF7" w:rsidP="00360DF7">
            <w:pPr>
              <w:spacing w:after="0" w:line="240" w:lineRule="auto"/>
              <w:rPr>
                <w:rFonts w:ascii="Times New Roman" w:eastAsia="Times New Roman" w:hAnsi="Times New Roman" w:cs="Times New Roman"/>
                <w:kern w:val="0"/>
                <w:sz w:val="22"/>
                <w:szCs w:val="22"/>
                <w14:ligatures w14:val="none"/>
              </w:rPr>
            </w:pPr>
          </w:p>
        </w:tc>
        <w:tc>
          <w:tcPr>
            <w:tcW w:w="1820" w:type="dxa"/>
            <w:shd w:val="clear" w:color="auto" w:fill="auto"/>
            <w:noWrap/>
            <w:vAlign w:val="bottom"/>
            <w:hideMark/>
          </w:tcPr>
          <w:p w14:paraId="14FEA709" w14:textId="1390DC12" w:rsidR="00360DF7" w:rsidRPr="00CE71B1" w:rsidRDefault="00360DF7" w:rsidP="00360DF7">
            <w:pPr>
              <w:spacing w:after="0" w:line="240" w:lineRule="auto"/>
              <w:rPr>
                <w:rFonts w:ascii="Aptos Narrow" w:eastAsia="Times New Roman" w:hAnsi="Aptos Narrow" w:cs="Times New Roman"/>
                <w:color w:val="000000"/>
                <w:kern w:val="0"/>
                <w:sz w:val="22"/>
                <w:szCs w:val="22"/>
                <w14:ligatures w14:val="none"/>
              </w:rPr>
            </w:pPr>
          </w:p>
        </w:tc>
        <w:tc>
          <w:tcPr>
            <w:tcW w:w="960" w:type="dxa"/>
            <w:shd w:val="clear" w:color="auto" w:fill="auto"/>
            <w:noWrap/>
            <w:vAlign w:val="bottom"/>
            <w:hideMark/>
          </w:tcPr>
          <w:p w14:paraId="085AC011" w14:textId="59725E19" w:rsidR="00360DF7" w:rsidRPr="00CE71B1" w:rsidRDefault="00360DF7" w:rsidP="00360DF7">
            <w:pPr>
              <w:spacing w:after="0" w:line="240" w:lineRule="auto"/>
              <w:jc w:val="right"/>
              <w:rPr>
                <w:rFonts w:ascii="Aptos Narrow" w:eastAsia="Times New Roman" w:hAnsi="Aptos Narrow" w:cs="Times New Roman"/>
                <w:color w:val="000000"/>
                <w:kern w:val="0"/>
                <w:sz w:val="22"/>
                <w:szCs w:val="22"/>
                <w14:ligatures w14:val="none"/>
              </w:rPr>
            </w:pPr>
          </w:p>
        </w:tc>
        <w:tc>
          <w:tcPr>
            <w:tcW w:w="960" w:type="dxa"/>
            <w:shd w:val="clear" w:color="auto" w:fill="auto"/>
            <w:noWrap/>
            <w:vAlign w:val="bottom"/>
            <w:hideMark/>
          </w:tcPr>
          <w:p w14:paraId="1C86FDB5" w14:textId="65ED3E0D" w:rsidR="00360DF7" w:rsidRPr="00CE71B1" w:rsidRDefault="00360DF7" w:rsidP="00360DF7">
            <w:pPr>
              <w:spacing w:after="0" w:line="240" w:lineRule="auto"/>
              <w:rPr>
                <w:rFonts w:ascii="Aptos Narrow" w:eastAsia="Times New Roman" w:hAnsi="Aptos Narrow" w:cs="Times New Roman"/>
                <w:color w:val="000000"/>
                <w:kern w:val="0"/>
                <w:sz w:val="22"/>
                <w:szCs w:val="22"/>
                <w14:ligatures w14:val="none"/>
              </w:rPr>
            </w:pPr>
          </w:p>
        </w:tc>
        <w:tc>
          <w:tcPr>
            <w:tcW w:w="960" w:type="dxa"/>
            <w:shd w:val="clear" w:color="auto" w:fill="auto"/>
            <w:noWrap/>
            <w:vAlign w:val="bottom"/>
            <w:hideMark/>
          </w:tcPr>
          <w:p w14:paraId="01BFBEB5" w14:textId="71A51A42" w:rsidR="00360DF7" w:rsidRPr="00CE71B1" w:rsidRDefault="00360DF7" w:rsidP="000115B7">
            <w:pPr>
              <w:spacing w:after="0" w:line="240" w:lineRule="auto"/>
              <w:ind w:right="220"/>
              <w:jc w:val="right"/>
              <w:rPr>
                <w:rFonts w:ascii="Aptos Narrow" w:eastAsia="Times New Roman" w:hAnsi="Aptos Narrow" w:cs="Times New Roman"/>
                <w:color w:val="000000"/>
                <w:kern w:val="0"/>
                <w:sz w:val="22"/>
                <w:szCs w:val="22"/>
                <w14:ligatures w14:val="none"/>
              </w:rPr>
            </w:pPr>
          </w:p>
        </w:tc>
      </w:tr>
      <w:tr w:rsidR="00360DF7" w:rsidRPr="00CE71B1" w14:paraId="486ECDE1" w14:textId="77777777" w:rsidTr="003870E5">
        <w:trPr>
          <w:trHeight w:val="290"/>
        </w:trPr>
        <w:tc>
          <w:tcPr>
            <w:tcW w:w="960" w:type="dxa"/>
            <w:shd w:val="clear" w:color="auto" w:fill="auto"/>
            <w:noWrap/>
            <w:vAlign w:val="bottom"/>
            <w:hideMark/>
          </w:tcPr>
          <w:p w14:paraId="116F8C98" w14:textId="77777777" w:rsidR="00360DF7" w:rsidRPr="00CE71B1" w:rsidRDefault="00360DF7" w:rsidP="00360DF7">
            <w:pPr>
              <w:spacing w:after="0" w:line="240" w:lineRule="auto"/>
              <w:jc w:val="right"/>
              <w:rPr>
                <w:rFonts w:ascii="Aptos Narrow" w:eastAsia="Times New Roman" w:hAnsi="Aptos Narrow" w:cs="Times New Roman"/>
                <w:color w:val="000000"/>
                <w:kern w:val="0"/>
                <w:sz w:val="22"/>
                <w:szCs w:val="22"/>
                <w14:ligatures w14:val="none"/>
              </w:rPr>
            </w:pPr>
          </w:p>
        </w:tc>
        <w:tc>
          <w:tcPr>
            <w:tcW w:w="1820" w:type="dxa"/>
            <w:shd w:val="clear" w:color="auto" w:fill="auto"/>
            <w:noWrap/>
            <w:vAlign w:val="bottom"/>
            <w:hideMark/>
          </w:tcPr>
          <w:p w14:paraId="7F716E71" w14:textId="77777777" w:rsidR="00360DF7" w:rsidRPr="00CE71B1" w:rsidRDefault="00360DF7" w:rsidP="00360DF7">
            <w:pPr>
              <w:spacing w:after="0" w:line="240" w:lineRule="auto"/>
              <w:rPr>
                <w:rFonts w:ascii="Times New Roman" w:eastAsia="Times New Roman" w:hAnsi="Times New Roman" w:cs="Times New Roman"/>
                <w:kern w:val="0"/>
                <w:sz w:val="22"/>
                <w:szCs w:val="22"/>
                <w14:ligatures w14:val="none"/>
              </w:rPr>
            </w:pPr>
          </w:p>
        </w:tc>
        <w:tc>
          <w:tcPr>
            <w:tcW w:w="960" w:type="dxa"/>
            <w:shd w:val="clear" w:color="auto" w:fill="auto"/>
            <w:noWrap/>
            <w:vAlign w:val="bottom"/>
            <w:hideMark/>
          </w:tcPr>
          <w:p w14:paraId="3DA6F357" w14:textId="37576319" w:rsidR="00360DF7" w:rsidRPr="00CE71B1" w:rsidRDefault="00360DF7" w:rsidP="00360DF7">
            <w:pPr>
              <w:spacing w:after="0" w:line="240" w:lineRule="auto"/>
              <w:jc w:val="right"/>
              <w:rPr>
                <w:rFonts w:ascii="Aptos Narrow" w:eastAsia="Times New Roman" w:hAnsi="Aptos Narrow" w:cs="Times New Roman"/>
                <w:color w:val="000000"/>
                <w:kern w:val="0"/>
                <w:sz w:val="22"/>
                <w:szCs w:val="22"/>
                <w14:ligatures w14:val="none"/>
              </w:rPr>
            </w:pPr>
          </w:p>
        </w:tc>
        <w:tc>
          <w:tcPr>
            <w:tcW w:w="960" w:type="dxa"/>
            <w:shd w:val="clear" w:color="auto" w:fill="auto"/>
            <w:noWrap/>
            <w:vAlign w:val="bottom"/>
            <w:hideMark/>
          </w:tcPr>
          <w:p w14:paraId="48D2280C" w14:textId="77777777" w:rsidR="00360DF7" w:rsidRPr="00CE71B1" w:rsidRDefault="00360DF7" w:rsidP="00360DF7">
            <w:pPr>
              <w:spacing w:after="0" w:line="240" w:lineRule="auto"/>
              <w:jc w:val="right"/>
              <w:rPr>
                <w:rFonts w:ascii="Aptos Narrow" w:eastAsia="Times New Roman" w:hAnsi="Aptos Narrow" w:cs="Times New Roman"/>
                <w:color w:val="000000"/>
                <w:kern w:val="0"/>
                <w:sz w:val="22"/>
                <w:szCs w:val="22"/>
                <w14:ligatures w14:val="none"/>
              </w:rPr>
            </w:pPr>
          </w:p>
        </w:tc>
        <w:tc>
          <w:tcPr>
            <w:tcW w:w="960" w:type="dxa"/>
            <w:shd w:val="clear" w:color="auto" w:fill="auto"/>
            <w:noWrap/>
            <w:vAlign w:val="bottom"/>
            <w:hideMark/>
          </w:tcPr>
          <w:p w14:paraId="41572D39" w14:textId="77777777" w:rsidR="00360DF7" w:rsidRPr="00CE71B1" w:rsidRDefault="00360DF7" w:rsidP="00360DF7">
            <w:pPr>
              <w:spacing w:after="0" w:line="240" w:lineRule="auto"/>
              <w:rPr>
                <w:rFonts w:ascii="Times New Roman" w:eastAsia="Times New Roman" w:hAnsi="Times New Roman" w:cs="Times New Roman"/>
                <w:kern w:val="0"/>
                <w:sz w:val="22"/>
                <w:szCs w:val="22"/>
                <w14:ligatures w14:val="none"/>
              </w:rPr>
            </w:pPr>
          </w:p>
        </w:tc>
      </w:tr>
    </w:tbl>
    <w:p w14:paraId="2FFAFF9E" w14:textId="3F761EB5" w:rsidR="00B86078" w:rsidRPr="00CE71B1" w:rsidRDefault="00B86078" w:rsidP="00D349BB">
      <w:pPr>
        <w:tabs>
          <w:tab w:val="left" w:pos="3540"/>
        </w:tabs>
        <w:rPr>
          <w:sz w:val="22"/>
          <w:szCs w:val="22"/>
        </w:rPr>
      </w:pPr>
      <w:r w:rsidRPr="00CE71B1">
        <w:rPr>
          <w:sz w:val="22"/>
          <w:szCs w:val="22"/>
        </w:rPr>
        <w:t xml:space="preserve">           </w:t>
      </w:r>
    </w:p>
    <w:p w14:paraId="14B7F8F1" w14:textId="379BCFB0" w:rsidR="001C5C3E" w:rsidRPr="00CE71B1" w:rsidRDefault="001C5C3E" w:rsidP="00C30027">
      <w:pPr>
        <w:rPr>
          <w:sz w:val="22"/>
          <w:szCs w:val="22"/>
        </w:rPr>
      </w:pPr>
      <w:r w:rsidRPr="00CE71B1">
        <w:rPr>
          <w:sz w:val="22"/>
          <w:szCs w:val="22"/>
        </w:rPr>
        <w:t xml:space="preserve">Here's a critical explanation of the </w:t>
      </w:r>
      <w:r w:rsidR="00E94A6A">
        <w:rPr>
          <w:sz w:val="22"/>
          <w:szCs w:val="22"/>
        </w:rPr>
        <w:t>c</w:t>
      </w:r>
      <w:r w:rsidR="00E278CC">
        <w:rPr>
          <w:sz w:val="22"/>
          <w:szCs w:val="22"/>
        </w:rPr>
        <w:t xml:space="preserve">hart figure 1.1 </w:t>
      </w:r>
      <w:r w:rsidRPr="00CE71B1">
        <w:rPr>
          <w:sz w:val="22"/>
          <w:szCs w:val="22"/>
        </w:rPr>
        <w:t>financial ratios for Tesco plc based on the data from the provided image for the years 2020 to 2024:</w:t>
      </w:r>
    </w:p>
    <w:p w14:paraId="70D5E0DB" w14:textId="77777777" w:rsidR="001C5C3E" w:rsidRPr="00CE71B1" w:rsidRDefault="001C5C3E" w:rsidP="001C5C3E">
      <w:pPr>
        <w:ind w:firstLine="200"/>
        <w:rPr>
          <w:b/>
          <w:bCs/>
          <w:sz w:val="22"/>
          <w:szCs w:val="22"/>
        </w:rPr>
      </w:pPr>
      <w:r w:rsidRPr="00CE71B1">
        <w:rPr>
          <w:b/>
          <w:bCs/>
          <w:sz w:val="22"/>
          <w:szCs w:val="22"/>
        </w:rPr>
        <w:t>1. Profitability Ratios</w:t>
      </w:r>
    </w:p>
    <w:p w14:paraId="5820314F" w14:textId="77777777" w:rsidR="001C5C3E" w:rsidRPr="00CE71B1" w:rsidRDefault="001C5C3E" w:rsidP="001C5C3E">
      <w:pPr>
        <w:ind w:firstLine="200"/>
        <w:rPr>
          <w:b/>
          <w:bCs/>
          <w:sz w:val="22"/>
          <w:szCs w:val="22"/>
        </w:rPr>
      </w:pPr>
      <w:r w:rsidRPr="00CE71B1">
        <w:rPr>
          <w:b/>
          <w:bCs/>
          <w:sz w:val="22"/>
          <w:szCs w:val="22"/>
        </w:rPr>
        <w:t>Gross Profit Margin</w:t>
      </w:r>
    </w:p>
    <w:p w14:paraId="6610985C" w14:textId="77777777" w:rsidR="001C5C3E" w:rsidRPr="00CE71B1" w:rsidRDefault="001C5C3E" w:rsidP="001C5C3E">
      <w:pPr>
        <w:numPr>
          <w:ilvl w:val="0"/>
          <w:numId w:val="3"/>
        </w:numPr>
        <w:rPr>
          <w:sz w:val="22"/>
          <w:szCs w:val="22"/>
        </w:rPr>
      </w:pPr>
      <w:r w:rsidRPr="00CE71B1">
        <w:rPr>
          <w:b/>
          <w:bCs/>
          <w:sz w:val="22"/>
          <w:szCs w:val="22"/>
        </w:rPr>
        <w:t>Trend Analysis</w:t>
      </w:r>
      <w:r w:rsidRPr="00CE71B1">
        <w:rPr>
          <w:sz w:val="22"/>
          <w:szCs w:val="22"/>
        </w:rPr>
        <w:t>: The gross profit margin has varied considerably over the five-year period. It was relatively low in 2020 (1.80%) and 2021 (1.10%), increased to 3.30% in 2022, dipped to 1.40% in 2023, and then increased to 3.40% in 2024.</w:t>
      </w:r>
    </w:p>
    <w:p w14:paraId="25B1FA82" w14:textId="77777777" w:rsidR="001C5C3E" w:rsidRDefault="001C5C3E" w:rsidP="001C5C3E">
      <w:pPr>
        <w:numPr>
          <w:ilvl w:val="0"/>
          <w:numId w:val="3"/>
        </w:numPr>
        <w:rPr>
          <w:sz w:val="22"/>
          <w:szCs w:val="22"/>
        </w:rPr>
      </w:pPr>
      <w:r w:rsidRPr="00CE71B1">
        <w:rPr>
          <w:b/>
          <w:bCs/>
          <w:sz w:val="22"/>
          <w:szCs w:val="22"/>
        </w:rPr>
        <w:t>Critical Analysis</w:t>
      </w:r>
      <w:r w:rsidRPr="00CE71B1">
        <w:rPr>
          <w:sz w:val="22"/>
          <w:szCs w:val="22"/>
        </w:rPr>
        <w:t>: The fluctuations in gross profit margin suggest inconsistency in controlling the cost of goods sold relative to sales. The low margins in some years indicate higher production costs or competitive pricing pressures. The increase in 2024 shows improvement, possibly due to cost-cutting measures or higher product pricing. Tesco needs to focus on maintaining stable margins by optimizing supply chains and cost management to reduce the impact of such volatility.</w:t>
      </w:r>
    </w:p>
    <w:p w14:paraId="3021DF14" w14:textId="77777777" w:rsidR="00C05442" w:rsidRDefault="00C05442" w:rsidP="00C05442">
      <w:pPr>
        <w:rPr>
          <w:sz w:val="22"/>
          <w:szCs w:val="22"/>
        </w:rPr>
      </w:pPr>
    </w:p>
    <w:p w14:paraId="75BFBAF0" w14:textId="77777777" w:rsidR="00C05442" w:rsidRDefault="00C05442" w:rsidP="00C05442">
      <w:pPr>
        <w:rPr>
          <w:sz w:val="22"/>
          <w:szCs w:val="22"/>
        </w:rPr>
      </w:pPr>
    </w:p>
    <w:p w14:paraId="037C54E8" w14:textId="77777777" w:rsidR="00C05442" w:rsidRDefault="00C05442" w:rsidP="00C05442">
      <w:pPr>
        <w:rPr>
          <w:sz w:val="22"/>
          <w:szCs w:val="22"/>
        </w:rPr>
      </w:pPr>
    </w:p>
    <w:p w14:paraId="2362D7D1" w14:textId="77777777" w:rsidR="00C05442" w:rsidRPr="00CE71B1" w:rsidRDefault="00C05442" w:rsidP="00C05442">
      <w:pPr>
        <w:rPr>
          <w:sz w:val="22"/>
          <w:szCs w:val="22"/>
        </w:rPr>
      </w:pPr>
    </w:p>
    <w:p w14:paraId="37E41515" w14:textId="77777777" w:rsidR="001C5C3E" w:rsidRPr="00CE71B1" w:rsidRDefault="001C5C3E" w:rsidP="001C5C3E">
      <w:pPr>
        <w:ind w:firstLine="200"/>
        <w:rPr>
          <w:b/>
          <w:bCs/>
          <w:sz w:val="22"/>
          <w:szCs w:val="22"/>
        </w:rPr>
      </w:pPr>
      <w:r w:rsidRPr="00CE71B1">
        <w:rPr>
          <w:b/>
          <w:bCs/>
          <w:sz w:val="22"/>
          <w:szCs w:val="22"/>
        </w:rPr>
        <w:t>Operating Profit Margin</w:t>
      </w:r>
    </w:p>
    <w:p w14:paraId="4409A7E3" w14:textId="77777777" w:rsidR="001C5C3E" w:rsidRPr="00CE71B1" w:rsidRDefault="001C5C3E" w:rsidP="001C5C3E">
      <w:pPr>
        <w:numPr>
          <w:ilvl w:val="0"/>
          <w:numId w:val="4"/>
        </w:numPr>
        <w:rPr>
          <w:sz w:val="22"/>
          <w:szCs w:val="22"/>
        </w:rPr>
      </w:pPr>
      <w:r w:rsidRPr="00CE71B1">
        <w:rPr>
          <w:b/>
          <w:bCs/>
          <w:sz w:val="22"/>
          <w:szCs w:val="22"/>
        </w:rPr>
        <w:t>Trend Analysis</w:t>
      </w:r>
      <w:r w:rsidRPr="00CE71B1">
        <w:rPr>
          <w:sz w:val="22"/>
          <w:szCs w:val="22"/>
        </w:rPr>
        <w:t>: The operating profit margin has also shown variability, decreasing from 3.80% in 2020 to 1.00% in 2022, then gradually increasing to 4.15% in 2024.</w:t>
      </w:r>
    </w:p>
    <w:p w14:paraId="417A8076" w14:textId="77777777" w:rsidR="001C5C3E" w:rsidRPr="00CE71B1" w:rsidRDefault="001C5C3E" w:rsidP="001C5C3E">
      <w:pPr>
        <w:numPr>
          <w:ilvl w:val="0"/>
          <w:numId w:val="4"/>
        </w:numPr>
        <w:rPr>
          <w:sz w:val="22"/>
          <w:szCs w:val="22"/>
        </w:rPr>
      </w:pPr>
      <w:r w:rsidRPr="00CE71B1">
        <w:rPr>
          <w:b/>
          <w:bCs/>
          <w:sz w:val="22"/>
          <w:szCs w:val="22"/>
        </w:rPr>
        <w:t>Critical Analysis</w:t>
      </w:r>
      <w:r w:rsidRPr="00CE71B1">
        <w:rPr>
          <w:sz w:val="22"/>
          <w:szCs w:val="22"/>
        </w:rPr>
        <w:t>: The declining trend until 2022 followed by recovery indicates operational challenges faced by Tesco, likely due to high administrative or selling expenses. The recovery in 2024 suggests that Tesco has started to manage these costs better. For sustained improvement, Tesco should continue to focus on efficiency and cost reduction while seeking growth in high-margin areas.</w:t>
      </w:r>
    </w:p>
    <w:p w14:paraId="139F1645" w14:textId="77777777" w:rsidR="001C5C3E" w:rsidRPr="00CE71B1" w:rsidRDefault="001C5C3E" w:rsidP="001C5C3E">
      <w:pPr>
        <w:ind w:firstLine="200"/>
        <w:rPr>
          <w:b/>
          <w:bCs/>
          <w:sz w:val="22"/>
          <w:szCs w:val="22"/>
        </w:rPr>
      </w:pPr>
      <w:r w:rsidRPr="00CE71B1">
        <w:rPr>
          <w:b/>
          <w:bCs/>
          <w:sz w:val="22"/>
          <w:szCs w:val="22"/>
        </w:rPr>
        <w:t>Net Profit Margin</w:t>
      </w:r>
    </w:p>
    <w:p w14:paraId="59262204" w14:textId="77777777" w:rsidR="001C5C3E" w:rsidRPr="00CE71B1" w:rsidRDefault="001C5C3E" w:rsidP="001C5C3E">
      <w:pPr>
        <w:numPr>
          <w:ilvl w:val="0"/>
          <w:numId w:val="5"/>
        </w:numPr>
        <w:rPr>
          <w:sz w:val="22"/>
          <w:szCs w:val="22"/>
        </w:rPr>
      </w:pPr>
      <w:r w:rsidRPr="00CE71B1">
        <w:rPr>
          <w:b/>
          <w:bCs/>
          <w:sz w:val="22"/>
          <w:szCs w:val="22"/>
        </w:rPr>
        <w:lastRenderedPageBreak/>
        <w:t>Trend Analysis</w:t>
      </w:r>
      <w:r w:rsidRPr="00CE71B1">
        <w:rPr>
          <w:sz w:val="22"/>
          <w:szCs w:val="22"/>
        </w:rPr>
        <w:t>: The net profit margin was relatively low across all years but showed improvement from 1.00% in 2023 to 2.97% in 2024.</w:t>
      </w:r>
    </w:p>
    <w:p w14:paraId="26F3E233" w14:textId="77777777" w:rsidR="001C5C3E" w:rsidRDefault="001C5C3E" w:rsidP="001C5C3E">
      <w:pPr>
        <w:numPr>
          <w:ilvl w:val="0"/>
          <w:numId w:val="5"/>
        </w:numPr>
        <w:rPr>
          <w:sz w:val="22"/>
          <w:szCs w:val="22"/>
        </w:rPr>
      </w:pPr>
      <w:r w:rsidRPr="00CE71B1">
        <w:rPr>
          <w:b/>
          <w:bCs/>
          <w:sz w:val="22"/>
          <w:szCs w:val="22"/>
        </w:rPr>
        <w:t>Critical Analysis</w:t>
      </w:r>
      <w:r w:rsidRPr="00CE71B1">
        <w:rPr>
          <w:sz w:val="22"/>
          <w:szCs w:val="22"/>
        </w:rPr>
        <w:t>: The low net profit margin across the period indicates that Tesco's overall profitability has been under pressure, likely due to high-interest expenses, taxes, or other non-operating costs. The improvement in 2024 is a positive sign, but Tesco must continue to focus on reducing these expenses and improving bottom-line profitability.</w:t>
      </w:r>
    </w:p>
    <w:p w14:paraId="41625527" w14:textId="77777777" w:rsidR="00314BAF" w:rsidRDefault="00314BAF" w:rsidP="00314BAF">
      <w:pPr>
        <w:rPr>
          <w:sz w:val="22"/>
          <w:szCs w:val="22"/>
        </w:rPr>
      </w:pPr>
    </w:p>
    <w:p w14:paraId="1247B93F" w14:textId="77777777" w:rsidR="00314BAF" w:rsidRDefault="00314BAF" w:rsidP="00314BAF">
      <w:pPr>
        <w:rPr>
          <w:sz w:val="22"/>
          <w:szCs w:val="22"/>
        </w:rPr>
      </w:pPr>
    </w:p>
    <w:p w14:paraId="0FC21DB4" w14:textId="77777777" w:rsidR="00314BAF" w:rsidRPr="00CE71B1" w:rsidRDefault="00314BAF" w:rsidP="00314BAF">
      <w:pPr>
        <w:rPr>
          <w:sz w:val="22"/>
          <w:szCs w:val="22"/>
        </w:rPr>
      </w:pPr>
    </w:p>
    <w:p w14:paraId="753983D5" w14:textId="77777777" w:rsidR="001C5C3E" w:rsidRPr="00CE71B1" w:rsidRDefault="001C5C3E" w:rsidP="001C5C3E">
      <w:pPr>
        <w:ind w:firstLine="200"/>
        <w:rPr>
          <w:b/>
          <w:bCs/>
          <w:sz w:val="22"/>
          <w:szCs w:val="22"/>
        </w:rPr>
      </w:pPr>
      <w:r w:rsidRPr="00CE71B1">
        <w:rPr>
          <w:b/>
          <w:bCs/>
          <w:sz w:val="22"/>
          <w:szCs w:val="22"/>
        </w:rPr>
        <w:t>2. Return Ratios</w:t>
      </w:r>
    </w:p>
    <w:p w14:paraId="3A838342" w14:textId="77777777" w:rsidR="001C5C3E" w:rsidRPr="00CE71B1" w:rsidRDefault="001C5C3E" w:rsidP="001C5C3E">
      <w:pPr>
        <w:ind w:firstLine="200"/>
        <w:rPr>
          <w:b/>
          <w:bCs/>
          <w:sz w:val="22"/>
          <w:szCs w:val="22"/>
        </w:rPr>
      </w:pPr>
      <w:r w:rsidRPr="00CE71B1">
        <w:rPr>
          <w:b/>
          <w:bCs/>
          <w:sz w:val="22"/>
          <w:szCs w:val="22"/>
        </w:rPr>
        <w:t>Return on Assets (ROA)</w:t>
      </w:r>
    </w:p>
    <w:p w14:paraId="624F3EA3" w14:textId="77777777" w:rsidR="001C5C3E" w:rsidRPr="00CE71B1" w:rsidRDefault="001C5C3E" w:rsidP="001C5C3E">
      <w:pPr>
        <w:numPr>
          <w:ilvl w:val="0"/>
          <w:numId w:val="6"/>
        </w:numPr>
        <w:rPr>
          <w:sz w:val="22"/>
          <w:szCs w:val="22"/>
        </w:rPr>
      </w:pPr>
      <w:r w:rsidRPr="00CE71B1">
        <w:rPr>
          <w:b/>
          <w:bCs/>
          <w:sz w:val="22"/>
          <w:szCs w:val="22"/>
        </w:rPr>
        <w:t>Trend Analysis</w:t>
      </w:r>
      <w:r w:rsidRPr="00CE71B1">
        <w:rPr>
          <w:sz w:val="22"/>
          <w:szCs w:val="22"/>
        </w:rPr>
        <w:t>: The ROA increased from 1.40% in 2023 to 3.80% in 2024, with a previous peak in 2022 (3.10%).</w:t>
      </w:r>
    </w:p>
    <w:p w14:paraId="1522CDE2" w14:textId="77777777" w:rsidR="001C5C3E" w:rsidRPr="00CE71B1" w:rsidRDefault="001C5C3E" w:rsidP="001C5C3E">
      <w:pPr>
        <w:numPr>
          <w:ilvl w:val="0"/>
          <w:numId w:val="6"/>
        </w:numPr>
        <w:rPr>
          <w:sz w:val="22"/>
          <w:szCs w:val="22"/>
        </w:rPr>
      </w:pPr>
      <w:r w:rsidRPr="00CE71B1">
        <w:rPr>
          <w:b/>
          <w:bCs/>
          <w:sz w:val="22"/>
          <w:szCs w:val="22"/>
        </w:rPr>
        <w:t>Critical Analysis</w:t>
      </w:r>
      <w:r w:rsidRPr="00CE71B1">
        <w:rPr>
          <w:sz w:val="22"/>
          <w:szCs w:val="22"/>
        </w:rPr>
        <w:t>: The increase in ROA in 2024 indicates that Tesco is becoming more efficient at generating profits from its assets. However, the low ROA in other years suggests room for improvement in asset utilization. Tesco should focus on maximizing the productivity of its assets, potentially by divesting underperforming assets or optimizing asset use.</w:t>
      </w:r>
    </w:p>
    <w:p w14:paraId="73410255" w14:textId="77777777" w:rsidR="001C5C3E" w:rsidRPr="00CE71B1" w:rsidRDefault="001C5C3E" w:rsidP="001C5C3E">
      <w:pPr>
        <w:ind w:firstLine="200"/>
        <w:rPr>
          <w:b/>
          <w:bCs/>
          <w:sz w:val="22"/>
          <w:szCs w:val="22"/>
        </w:rPr>
      </w:pPr>
      <w:r w:rsidRPr="00CE71B1">
        <w:rPr>
          <w:b/>
          <w:bCs/>
          <w:sz w:val="22"/>
          <w:szCs w:val="22"/>
        </w:rPr>
        <w:t>Return on Equity (ROE)</w:t>
      </w:r>
    </w:p>
    <w:p w14:paraId="20036FAA" w14:textId="77777777" w:rsidR="001C5C3E" w:rsidRPr="00CE71B1" w:rsidRDefault="001C5C3E" w:rsidP="001C5C3E">
      <w:pPr>
        <w:numPr>
          <w:ilvl w:val="0"/>
          <w:numId w:val="7"/>
        </w:numPr>
        <w:rPr>
          <w:sz w:val="22"/>
          <w:szCs w:val="22"/>
        </w:rPr>
      </w:pPr>
      <w:r w:rsidRPr="00CE71B1">
        <w:rPr>
          <w:b/>
          <w:bCs/>
          <w:sz w:val="22"/>
          <w:szCs w:val="22"/>
        </w:rPr>
        <w:t>Trend Analysis</w:t>
      </w:r>
      <w:r w:rsidRPr="00CE71B1">
        <w:rPr>
          <w:sz w:val="22"/>
          <w:szCs w:val="22"/>
        </w:rPr>
        <w:t>: The ROE has significantly improved in 2024 (15.10%) from 5.40% in 2023, with fluctuations in previous years.</w:t>
      </w:r>
    </w:p>
    <w:p w14:paraId="3EDF9F1B" w14:textId="77777777" w:rsidR="001C5C3E" w:rsidRDefault="001C5C3E" w:rsidP="001C5C3E">
      <w:pPr>
        <w:numPr>
          <w:ilvl w:val="0"/>
          <w:numId w:val="7"/>
        </w:numPr>
        <w:rPr>
          <w:sz w:val="22"/>
          <w:szCs w:val="22"/>
        </w:rPr>
      </w:pPr>
      <w:r w:rsidRPr="00CE71B1">
        <w:rPr>
          <w:b/>
          <w:bCs/>
          <w:sz w:val="22"/>
          <w:szCs w:val="22"/>
        </w:rPr>
        <w:t>Critical Analysis</w:t>
      </w:r>
      <w:r w:rsidRPr="00CE71B1">
        <w:rPr>
          <w:sz w:val="22"/>
          <w:szCs w:val="22"/>
        </w:rPr>
        <w:t>: The higher ROE in 2024 indicates that Tesco is generating more profit per pound of shareholders' equity, which is a positive sign for investors. However, the volatility in ROE over the years suggests that Tesco’s profitability has been inconsistent. The company should strive for steady growth in ROE by maintaining profitability and efficient equity use.</w:t>
      </w:r>
    </w:p>
    <w:p w14:paraId="4FC5511B" w14:textId="77777777" w:rsidR="00485AAD" w:rsidRDefault="00485AAD" w:rsidP="00485AAD">
      <w:pPr>
        <w:rPr>
          <w:sz w:val="22"/>
          <w:szCs w:val="22"/>
        </w:rPr>
      </w:pPr>
    </w:p>
    <w:p w14:paraId="2EAD4B3D" w14:textId="77777777" w:rsidR="00485AAD" w:rsidRDefault="00485AAD" w:rsidP="00485AAD">
      <w:pPr>
        <w:rPr>
          <w:sz w:val="22"/>
          <w:szCs w:val="22"/>
        </w:rPr>
      </w:pPr>
    </w:p>
    <w:p w14:paraId="3F3E90EB" w14:textId="77777777" w:rsidR="00485AAD" w:rsidRPr="00CE71B1" w:rsidRDefault="00485AAD" w:rsidP="00485AAD">
      <w:pPr>
        <w:rPr>
          <w:sz w:val="22"/>
          <w:szCs w:val="22"/>
        </w:rPr>
      </w:pPr>
    </w:p>
    <w:p w14:paraId="23E79A30" w14:textId="77777777" w:rsidR="001C5C3E" w:rsidRPr="00CE71B1" w:rsidRDefault="001C5C3E" w:rsidP="001C5C3E">
      <w:pPr>
        <w:ind w:firstLine="200"/>
        <w:rPr>
          <w:b/>
          <w:bCs/>
          <w:sz w:val="22"/>
          <w:szCs w:val="22"/>
        </w:rPr>
      </w:pPr>
      <w:r w:rsidRPr="00CE71B1">
        <w:rPr>
          <w:b/>
          <w:bCs/>
          <w:sz w:val="22"/>
          <w:szCs w:val="22"/>
        </w:rPr>
        <w:t>3. Liquidity Ratios</w:t>
      </w:r>
    </w:p>
    <w:p w14:paraId="0712F2F1" w14:textId="77777777" w:rsidR="001C5C3E" w:rsidRPr="00CE71B1" w:rsidRDefault="001C5C3E" w:rsidP="001C5C3E">
      <w:pPr>
        <w:ind w:firstLine="200"/>
        <w:rPr>
          <w:b/>
          <w:bCs/>
          <w:sz w:val="22"/>
          <w:szCs w:val="22"/>
        </w:rPr>
      </w:pPr>
      <w:r w:rsidRPr="00CE71B1">
        <w:rPr>
          <w:b/>
          <w:bCs/>
          <w:sz w:val="22"/>
          <w:szCs w:val="22"/>
        </w:rPr>
        <w:t>Current Ratio</w:t>
      </w:r>
    </w:p>
    <w:p w14:paraId="7CFEB04F" w14:textId="77777777" w:rsidR="001C5C3E" w:rsidRPr="00CE71B1" w:rsidRDefault="001C5C3E" w:rsidP="001C5C3E">
      <w:pPr>
        <w:numPr>
          <w:ilvl w:val="0"/>
          <w:numId w:val="8"/>
        </w:numPr>
        <w:rPr>
          <w:sz w:val="22"/>
          <w:szCs w:val="22"/>
        </w:rPr>
      </w:pPr>
      <w:r w:rsidRPr="00CE71B1">
        <w:rPr>
          <w:b/>
          <w:bCs/>
          <w:sz w:val="22"/>
          <w:szCs w:val="22"/>
        </w:rPr>
        <w:t>Trend Analysis</w:t>
      </w:r>
      <w:r w:rsidRPr="00CE71B1">
        <w:rPr>
          <w:sz w:val="22"/>
          <w:szCs w:val="22"/>
        </w:rPr>
        <w:t>: The current ratio has declined significantly over the years, from 1.18 in 2020 to 0.16 in 2024.</w:t>
      </w:r>
    </w:p>
    <w:p w14:paraId="51BEBFB5" w14:textId="77777777" w:rsidR="001C5C3E" w:rsidRPr="00CE71B1" w:rsidRDefault="001C5C3E" w:rsidP="001C5C3E">
      <w:pPr>
        <w:numPr>
          <w:ilvl w:val="0"/>
          <w:numId w:val="8"/>
        </w:numPr>
        <w:rPr>
          <w:sz w:val="22"/>
          <w:szCs w:val="22"/>
        </w:rPr>
      </w:pPr>
      <w:r w:rsidRPr="00CE71B1">
        <w:rPr>
          <w:b/>
          <w:bCs/>
          <w:sz w:val="22"/>
          <w:szCs w:val="22"/>
        </w:rPr>
        <w:t>Critical Analysis</w:t>
      </w:r>
      <w:r w:rsidRPr="00CE71B1">
        <w:rPr>
          <w:sz w:val="22"/>
          <w:szCs w:val="22"/>
        </w:rPr>
        <w:t xml:space="preserve">: A current ratio below 1, especially as low as 0.16 in 2024, indicates that Tesco may face difficulties meeting its short-term liabilities with its current assets. </w:t>
      </w:r>
      <w:r w:rsidRPr="00CE71B1">
        <w:rPr>
          <w:sz w:val="22"/>
          <w:szCs w:val="22"/>
        </w:rPr>
        <w:lastRenderedPageBreak/>
        <w:t>This poses a significant liquidity risk. Tesco needs to improve its liquidity position by managing its short-term assets and liabilities more effectively to ensure financial stability.</w:t>
      </w:r>
    </w:p>
    <w:p w14:paraId="1DCD6A15" w14:textId="77777777" w:rsidR="001C5C3E" w:rsidRPr="00CE71B1" w:rsidRDefault="001C5C3E" w:rsidP="001C5C3E">
      <w:pPr>
        <w:ind w:firstLine="200"/>
        <w:rPr>
          <w:b/>
          <w:bCs/>
          <w:sz w:val="22"/>
          <w:szCs w:val="22"/>
        </w:rPr>
      </w:pPr>
      <w:r w:rsidRPr="00CE71B1">
        <w:rPr>
          <w:b/>
          <w:bCs/>
          <w:sz w:val="22"/>
          <w:szCs w:val="22"/>
        </w:rPr>
        <w:t>Quick Ratio</w:t>
      </w:r>
    </w:p>
    <w:p w14:paraId="6C6B6D9C" w14:textId="77777777" w:rsidR="001C5C3E" w:rsidRPr="00CE71B1" w:rsidRDefault="001C5C3E" w:rsidP="001C5C3E">
      <w:pPr>
        <w:numPr>
          <w:ilvl w:val="0"/>
          <w:numId w:val="9"/>
        </w:numPr>
        <w:rPr>
          <w:sz w:val="22"/>
          <w:szCs w:val="22"/>
        </w:rPr>
      </w:pPr>
      <w:r w:rsidRPr="00CE71B1">
        <w:rPr>
          <w:b/>
          <w:bCs/>
          <w:sz w:val="22"/>
          <w:szCs w:val="22"/>
        </w:rPr>
        <w:t>Trend Analysis</w:t>
      </w:r>
      <w:r w:rsidRPr="00CE71B1">
        <w:rPr>
          <w:sz w:val="22"/>
          <w:szCs w:val="22"/>
        </w:rPr>
        <w:t>: The quick ratio also decreased sharply from 1.30 in 2023 to 0.12 in 2024.</w:t>
      </w:r>
    </w:p>
    <w:p w14:paraId="7058EC89" w14:textId="77777777" w:rsidR="001C5C3E" w:rsidRPr="00CE71B1" w:rsidRDefault="001C5C3E" w:rsidP="001C5C3E">
      <w:pPr>
        <w:numPr>
          <w:ilvl w:val="0"/>
          <w:numId w:val="9"/>
        </w:numPr>
        <w:rPr>
          <w:sz w:val="22"/>
          <w:szCs w:val="22"/>
        </w:rPr>
      </w:pPr>
      <w:r w:rsidRPr="00CE71B1">
        <w:rPr>
          <w:b/>
          <w:bCs/>
          <w:sz w:val="22"/>
          <w:szCs w:val="22"/>
        </w:rPr>
        <w:t>Critical Analysis</w:t>
      </w:r>
      <w:r w:rsidRPr="00CE71B1">
        <w:rPr>
          <w:sz w:val="22"/>
          <w:szCs w:val="22"/>
        </w:rPr>
        <w:t>: The low quick ratio in 2024 suggests that Tesco’s liquid assets (excluding inventory) are insufficient to cover its short-term liabilities. This exacerbates the liquidity concerns highlighted by the current ratio. Tesco should focus on increasing its cash and receivables while managing its liabilities to improve its quick ratio and overall liquidity.</w:t>
      </w:r>
    </w:p>
    <w:p w14:paraId="1E772F25" w14:textId="77777777" w:rsidR="001C5C3E" w:rsidRPr="00CE71B1" w:rsidRDefault="001C5C3E" w:rsidP="001C5C3E">
      <w:pPr>
        <w:ind w:firstLine="200"/>
        <w:rPr>
          <w:b/>
          <w:bCs/>
          <w:sz w:val="22"/>
          <w:szCs w:val="22"/>
        </w:rPr>
      </w:pPr>
      <w:r w:rsidRPr="00CE71B1">
        <w:rPr>
          <w:b/>
          <w:bCs/>
          <w:sz w:val="22"/>
          <w:szCs w:val="22"/>
        </w:rPr>
        <w:t>4. Gearing Ratios</w:t>
      </w:r>
    </w:p>
    <w:p w14:paraId="5D585D28" w14:textId="77777777" w:rsidR="001C5C3E" w:rsidRPr="00CE71B1" w:rsidRDefault="001C5C3E" w:rsidP="001C5C3E">
      <w:pPr>
        <w:ind w:firstLine="200"/>
        <w:rPr>
          <w:b/>
          <w:bCs/>
          <w:sz w:val="22"/>
          <w:szCs w:val="22"/>
        </w:rPr>
      </w:pPr>
      <w:r w:rsidRPr="00CE71B1">
        <w:rPr>
          <w:b/>
          <w:bCs/>
          <w:sz w:val="22"/>
          <w:szCs w:val="22"/>
        </w:rPr>
        <w:t>Debt-to-Equity Ratio</w:t>
      </w:r>
    </w:p>
    <w:p w14:paraId="21FAA2A5" w14:textId="77777777" w:rsidR="001C5C3E" w:rsidRPr="00CE71B1" w:rsidRDefault="001C5C3E" w:rsidP="001C5C3E">
      <w:pPr>
        <w:numPr>
          <w:ilvl w:val="0"/>
          <w:numId w:val="10"/>
        </w:numPr>
        <w:rPr>
          <w:sz w:val="22"/>
          <w:szCs w:val="22"/>
        </w:rPr>
      </w:pPr>
      <w:r w:rsidRPr="00CE71B1">
        <w:rPr>
          <w:b/>
          <w:bCs/>
          <w:sz w:val="22"/>
          <w:szCs w:val="22"/>
        </w:rPr>
        <w:t>Trend Analysis</w:t>
      </w:r>
      <w:r w:rsidRPr="00CE71B1">
        <w:rPr>
          <w:sz w:val="22"/>
          <w:szCs w:val="22"/>
        </w:rPr>
        <w:t>: The debt-to-equity ratio has increased from 1.00 in 2022 to 1.80 in 2024, indicating a growing reliance on debt.</w:t>
      </w:r>
    </w:p>
    <w:p w14:paraId="273E68FD" w14:textId="77777777" w:rsidR="001C5C3E" w:rsidRPr="00CE71B1" w:rsidRDefault="001C5C3E" w:rsidP="001C5C3E">
      <w:pPr>
        <w:numPr>
          <w:ilvl w:val="0"/>
          <w:numId w:val="10"/>
        </w:numPr>
        <w:rPr>
          <w:sz w:val="22"/>
          <w:szCs w:val="22"/>
        </w:rPr>
      </w:pPr>
      <w:r w:rsidRPr="00CE71B1">
        <w:rPr>
          <w:b/>
          <w:bCs/>
          <w:sz w:val="22"/>
          <w:szCs w:val="22"/>
        </w:rPr>
        <w:t>Critical Analysis</w:t>
      </w:r>
      <w:r w:rsidRPr="00CE71B1">
        <w:rPr>
          <w:sz w:val="22"/>
          <w:szCs w:val="22"/>
        </w:rPr>
        <w:t>: The increasing debt-to-equity ratio reflects higher financial leverage, which can amplify returns but also increases financial risk. Tesco must carefully manage its debt levels to prevent over-leverage and ensure that its debt obligations remain manageable relative to its equity base.</w:t>
      </w:r>
    </w:p>
    <w:p w14:paraId="67FDBEEF" w14:textId="77777777" w:rsidR="003E69DB" w:rsidRPr="00CE71B1" w:rsidRDefault="003E69DB" w:rsidP="003E69DB">
      <w:pPr>
        <w:rPr>
          <w:sz w:val="22"/>
          <w:szCs w:val="22"/>
        </w:rPr>
      </w:pPr>
    </w:p>
    <w:p w14:paraId="758CD907" w14:textId="77777777" w:rsidR="003E69DB" w:rsidRPr="00CE71B1" w:rsidRDefault="003E69DB" w:rsidP="003E69DB">
      <w:pPr>
        <w:rPr>
          <w:sz w:val="22"/>
          <w:szCs w:val="22"/>
        </w:rPr>
      </w:pPr>
    </w:p>
    <w:p w14:paraId="3078D4EF" w14:textId="77777777" w:rsidR="003E69DB" w:rsidRPr="00CE71B1" w:rsidRDefault="003E69DB" w:rsidP="003E69DB">
      <w:pPr>
        <w:rPr>
          <w:sz w:val="22"/>
          <w:szCs w:val="22"/>
        </w:rPr>
      </w:pPr>
    </w:p>
    <w:p w14:paraId="204E6B9B" w14:textId="77777777" w:rsidR="001C5C3E" w:rsidRPr="00CE71B1" w:rsidRDefault="001C5C3E" w:rsidP="001C5C3E">
      <w:pPr>
        <w:ind w:firstLine="200"/>
        <w:rPr>
          <w:b/>
          <w:bCs/>
          <w:sz w:val="22"/>
          <w:szCs w:val="22"/>
        </w:rPr>
      </w:pPr>
      <w:r w:rsidRPr="00CE71B1">
        <w:rPr>
          <w:b/>
          <w:bCs/>
          <w:sz w:val="22"/>
          <w:szCs w:val="22"/>
        </w:rPr>
        <w:t>Interest Coverage Ratio</w:t>
      </w:r>
    </w:p>
    <w:p w14:paraId="7B82EDE6" w14:textId="77777777" w:rsidR="001C5C3E" w:rsidRPr="00CE71B1" w:rsidRDefault="001C5C3E" w:rsidP="001C5C3E">
      <w:pPr>
        <w:numPr>
          <w:ilvl w:val="0"/>
          <w:numId w:val="11"/>
        </w:numPr>
        <w:rPr>
          <w:sz w:val="22"/>
          <w:szCs w:val="22"/>
        </w:rPr>
      </w:pPr>
      <w:r w:rsidRPr="00CE71B1">
        <w:rPr>
          <w:b/>
          <w:bCs/>
          <w:sz w:val="22"/>
          <w:szCs w:val="22"/>
        </w:rPr>
        <w:t>Trend Analysis</w:t>
      </w:r>
      <w:r w:rsidRPr="00CE71B1">
        <w:rPr>
          <w:sz w:val="22"/>
          <w:szCs w:val="22"/>
        </w:rPr>
        <w:t>: The interest coverage ratio decreased significantly from 1.65 in 2023 to 0.40 in 2024.</w:t>
      </w:r>
    </w:p>
    <w:p w14:paraId="68ED9387" w14:textId="77777777" w:rsidR="001C5C3E" w:rsidRPr="00CE71B1" w:rsidRDefault="001C5C3E" w:rsidP="001C5C3E">
      <w:pPr>
        <w:numPr>
          <w:ilvl w:val="0"/>
          <w:numId w:val="11"/>
        </w:numPr>
        <w:rPr>
          <w:sz w:val="22"/>
          <w:szCs w:val="22"/>
        </w:rPr>
      </w:pPr>
      <w:r w:rsidRPr="00CE71B1">
        <w:rPr>
          <w:b/>
          <w:bCs/>
          <w:sz w:val="22"/>
          <w:szCs w:val="22"/>
        </w:rPr>
        <w:t>Critical Analysis</w:t>
      </w:r>
      <w:r w:rsidRPr="00CE71B1">
        <w:rPr>
          <w:sz w:val="22"/>
          <w:szCs w:val="22"/>
        </w:rPr>
        <w:t>: A low interest coverage ratio in 2024 indicates that Tesco is generating insufficient operating profit to comfortably cover its interest expenses, raising concerns about its ability to service its debt. This could lead to financial difficulties if not addressed. Tesco should focus on improving its operating profitability or reducing its interest expenses through debt restructuring or refinancing.</w:t>
      </w:r>
    </w:p>
    <w:p w14:paraId="7D418F5C" w14:textId="77777777" w:rsidR="001C5C3E" w:rsidRPr="00CE71B1" w:rsidRDefault="001C5C3E" w:rsidP="001C5C3E">
      <w:pPr>
        <w:ind w:firstLine="200"/>
        <w:rPr>
          <w:b/>
          <w:bCs/>
          <w:sz w:val="22"/>
          <w:szCs w:val="22"/>
        </w:rPr>
      </w:pPr>
      <w:r w:rsidRPr="00CE71B1">
        <w:rPr>
          <w:b/>
          <w:bCs/>
          <w:sz w:val="22"/>
          <w:szCs w:val="22"/>
        </w:rPr>
        <w:t>5. Efficiency Ratios</w:t>
      </w:r>
    </w:p>
    <w:p w14:paraId="5725BD26" w14:textId="77777777" w:rsidR="001C5C3E" w:rsidRPr="00CE71B1" w:rsidRDefault="001C5C3E" w:rsidP="001C5C3E">
      <w:pPr>
        <w:ind w:firstLine="200"/>
        <w:rPr>
          <w:b/>
          <w:bCs/>
          <w:sz w:val="22"/>
          <w:szCs w:val="22"/>
        </w:rPr>
      </w:pPr>
      <w:r w:rsidRPr="00CE71B1">
        <w:rPr>
          <w:b/>
          <w:bCs/>
          <w:sz w:val="22"/>
          <w:szCs w:val="22"/>
        </w:rPr>
        <w:t>Asset Turnover Ratio</w:t>
      </w:r>
    </w:p>
    <w:p w14:paraId="5DD6370A" w14:textId="77777777" w:rsidR="001C5C3E" w:rsidRPr="00CE71B1" w:rsidRDefault="001C5C3E" w:rsidP="001C5C3E">
      <w:pPr>
        <w:numPr>
          <w:ilvl w:val="0"/>
          <w:numId w:val="12"/>
        </w:numPr>
        <w:rPr>
          <w:sz w:val="22"/>
          <w:szCs w:val="22"/>
        </w:rPr>
      </w:pPr>
      <w:r w:rsidRPr="00CE71B1">
        <w:rPr>
          <w:b/>
          <w:bCs/>
          <w:sz w:val="22"/>
          <w:szCs w:val="22"/>
        </w:rPr>
        <w:t>Trend Analysis</w:t>
      </w:r>
      <w:r w:rsidRPr="00CE71B1">
        <w:rPr>
          <w:sz w:val="22"/>
          <w:szCs w:val="22"/>
        </w:rPr>
        <w:t>: The asset turnover ratio remained relatively stable from 2020 to 2024, hovering between 0.70 and 0.90.</w:t>
      </w:r>
    </w:p>
    <w:p w14:paraId="7E0A6B79" w14:textId="77777777" w:rsidR="001C5C3E" w:rsidRPr="00CE71B1" w:rsidRDefault="001C5C3E" w:rsidP="001C5C3E">
      <w:pPr>
        <w:numPr>
          <w:ilvl w:val="0"/>
          <w:numId w:val="12"/>
        </w:numPr>
        <w:rPr>
          <w:sz w:val="22"/>
          <w:szCs w:val="22"/>
        </w:rPr>
      </w:pPr>
      <w:r w:rsidRPr="00CE71B1">
        <w:rPr>
          <w:b/>
          <w:bCs/>
          <w:sz w:val="22"/>
          <w:szCs w:val="22"/>
        </w:rPr>
        <w:t>Critical Analysis</w:t>
      </w:r>
      <w:r w:rsidRPr="00CE71B1">
        <w:rPr>
          <w:sz w:val="22"/>
          <w:szCs w:val="22"/>
        </w:rPr>
        <w:t xml:space="preserve">: The relatively low and stable asset turnover ratio suggests that Tesco's ability to generate revenue from its assets has been limited. To improve this </w:t>
      </w:r>
      <w:r w:rsidRPr="00CE71B1">
        <w:rPr>
          <w:sz w:val="22"/>
          <w:szCs w:val="22"/>
        </w:rPr>
        <w:lastRenderedPageBreak/>
        <w:t>ratio, Tesco should focus on strategies to increase sales without proportionally increasing its asset base, such as optimizing store operations and enhancing online sales channels.</w:t>
      </w:r>
    </w:p>
    <w:p w14:paraId="70C9EFEC" w14:textId="77777777" w:rsidR="001C5C3E" w:rsidRPr="00CE71B1" w:rsidRDefault="001C5C3E" w:rsidP="001C5C3E">
      <w:pPr>
        <w:ind w:firstLine="200"/>
        <w:rPr>
          <w:b/>
          <w:bCs/>
          <w:sz w:val="22"/>
          <w:szCs w:val="22"/>
        </w:rPr>
      </w:pPr>
      <w:r w:rsidRPr="00CE71B1">
        <w:rPr>
          <w:b/>
          <w:bCs/>
          <w:sz w:val="22"/>
          <w:szCs w:val="22"/>
        </w:rPr>
        <w:t>Inventory Turnover Ratio</w:t>
      </w:r>
    </w:p>
    <w:p w14:paraId="0E063164" w14:textId="77777777" w:rsidR="001C5C3E" w:rsidRPr="00CE71B1" w:rsidRDefault="001C5C3E" w:rsidP="001C5C3E">
      <w:pPr>
        <w:numPr>
          <w:ilvl w:val="0"/>
          <w:numId w:val="13"/>
        </w:numPr>
        <w:rPr>
          <w:sz w:val="22"/>
          <w:szCs w:val="22"/>
        </w:rPr>
      </w:pPr>
      <w:r w:rsidRPr="00CE71B1">
        <w:rPr>
          <w:b/>
          <w:bCs/>
          <w:sz w:val="22"/>
          <w:szCs w:val="22"/>
        </w:rPr>
        <w:t>Trend Analysis</w:t>
      </w:r>
      <w:r w:rsidRPr="00CE71B1">
        <w:rPr>
          <w:sz w:val="22"/>
          <w:szCs w:val="22"/>
        </w:rPr>
        <w:t>: The inventory turnover ratio has increased from 10.70% in 2020 to 13.50% in 2024.</w:t>
      </w:r>
    </w:p>
    <w:p w14:paraId="1EA17829" w14:textId="77777777" w:rsidR="001C5C3E" w:rsidRPr="00CE71B1" w:rsidRDefault="001C5C3E" w:rsidP="001C5C3E">
      <w:pPr>
        <w:numPr>
          <w:ilvl w:val="0"/>
          <w:numId w:val="13"/>
        </w:numPr>
        <w:rPr>
          <w:sz w:val="22"/>
          <w:szCs w:val="22"/>
        </w:rPr>
      </w:pPr>
      <w:r w:rsidRPr="00CE71B1">
        <w:rPr>
          <w:b/>
          <w:bCs/>
          <w:sz w:val="22"/>
          <w:szCs w:val="22"/>
        </w:rPr>
        <w:t>Critical Analysis</w:t>
      </w:r>
      <w:r w:rsidRPr="00CE71B1">
        <w:rPr>
          <w:sz w:val="22"/>
          <w:szCs w:val="22"/>
        </w:rPr>
        <w:t>: The increase in the inventory turnover ratio indicates that Tesco is selling and replacing its inventory more frequently, which is a positive sign of efficient inventory management. However, Tesco should ensure that this improvement does not lead to stockouts or lost sales opportunities. Balancing inventory levels to meet customer demand without overstocking is crucial.</w:t>
      </w:r>
    </w:p>
    <w:p w14:paraId="338B8487" w14:textId="77777777" w:rsidR="001C5C3E" w:rsidRPr="00CE71B1" w:rsidRDefault="001C5C3E" w:rsidP="001C5C3E">
      <w:pPr>
        <w:ind w:firstLine="200"/>
        <w:rPr>
          <w:b/>
          <w:bCs/>
          <w:sz w:val="22"/>
          <w:szCs w:val="22"/>
        </w:rPr>
      </w:pPr>
      <w:r w:rsidRPr="00CE71B1">
        <w:rPr>
          <w:b/>
          <w:bCs/>
          <w:sz w:val="22"/>
          <w:szCs w:val="22"/>
        </w:rPr>
        <w:t>Receivables Turnover Ratio</w:t>
      </w:r>
    </w:p>
    <w:p w14:paraId="0A67FB66" w14:textId="77777777" w:rsidR="001C5C3E" w:rsidRPr="00CE71B1" w:rsidRDefault="001C5C3E" w:rsidP="001C5C3E">
      <w:pPr>
        <w:numPr>
          <w:ilvl w:val="0"/>
          <w:numId w:val="14"/>
        </w:numPr>
        <w:rPr>
          <w:sz w:val="22"/>
          <w:szCs w:val="22"/>
        </w:rPr>
      </w:pPr>
      <w:r w:rsidRPr="00CE71B1">
        <w:rPr>
          <w:b/>
          <w:bCs/>
          <w:sz w:val="22"/>
          <w:szCs w:val="22"/>
        </w:rPr>
        <w:t>Trend Analysis</w:t>
      </w:r>
      <w:r w:rsidRPr="00CE71B1">
        <w:rPr>
          <w:sz w:val="22"/>
          <w:szCs w:val="22"/>
        </w:rPr>
        <w:t>: The receivables turnover ratio has increased from 52.10% in 2020 to 70.20% in 2024.</w:t>
      </w:r>
    </w:p>
    <w:p w14:paraId="52242F0D" w14:textId="77777777" w:rsidR="001C5C3E" w:rsidRPr="00CE71B1" w:rsidRDefault="001C5C3E" w:rsidP="001C5C3E">
      <w:pPr>
        <w:numPr>
          <w:ilvl w:val="0"/>
          <w:numId w:val="14"/>
        </w:numPr>
        <w:rPr>
          <w:sz w:val="22"/>
          <w:szCs w:val="22"/>
        </w:rPr>
      </w:pPr>
      <w:r w:rsidRPr="00CE71B1">
        <w:rPr>
          <w:b/>
          <w:bCs/>
          <w:sz w:val="22"/>
          <w:szCs w:val="22"/>
        </w:rPr>
        <w:t>Critical Analysis</w:t>
      </w:r>
      <w:r w:rsidRPr="00CE71B1">
        <w:rPr>
          <w:sz w:val="22"/>
          <w:szCs w:val="22"/>
        </w:rPr>
        <w:t>: The higher receivables turnover ratio in 2024 suggests that Tesco is more efficiently collecting its receivables, which improves cash flow and reduces the risk of bad debts. Maintaining effective credit policies and proactive collections can help sustain this positive trend.</w:t>
      </w:r>
    </w:p>
    <w:p w14:paraId="512DEC00" w14:textId="77777777" w:rsidR="001C5C3E" w:rsidRPr="00CE71B1" w:rsidRDefault="001C5C3E" w:rsidP="001C5C3E">
      <w:pPr>
        <w:ind w:firstLine="200"/>
        <w:rPr>
          <w:b/>
          <w:bCs/>
          <w:sz w:val="22"/>
          <w:szCs w:val="22"/>
        </w:rPr>
      </w:pPr>
      <w:r w:rsidRPr="00CE71B1">
        <w:rPr>
          <w:b/>
          <w:bCs/>
          <w:sz w:val="22"/>
          <w:szCs w:val="22"/>
        </w:rPr>
        <w:t>Overall Conclusion</w:t>
      </w:r>
    </w:p>
    <w:p w14:paraId="69C39384" w14:textId="77777777" w:rsidR="001C5C3E" w:rsidRPr="00CE71B1" w:rsidRDefault="001C5C3E" w:rsidP="001C5C3E">
      <w:pPr>
        <w:ind w:firstLine="200"/>
        <w:rPr>
          <w:sz w:val="22"/>
          <w:szCs w:val="22"/>
        </w:rPr>
      </w:pPr>
      <w:r w:rsidRPr="00CE71B1">
        <w:rPr>
          <w:sz w:val="22"/>
          <w:szCs w:val="22"/>
        </w:rPr>
        <w:t>The financial ratios for Tesco plc over the past five years reveal several key insights:</w:t>
      </w:r>
    </w:p>
    <w:p w14:paraId="0EFF0ECA" w14:textId="77777777" w:rsidR="001C5C3E" w:rsidRPr="00CE71B1" w:rsidRDefault="001C5C3E" w:rsidP="001C5C3E">
      <w:pPr>
        <w:numPr>
          <w:ilvl w:val="0"/>
          <w:numId w:val="15"/>
        </w:numPr>
        <w:rPr>
          <w:sz w:val="22"/>
          <w:szCs w:val="22"/>
        </w:rPr>
      </w:pPr>
      <w:r w:rsidRPr="00CE71B1">
        <w:rPr>
          <w:b/>
          <w:bCs/>
          <w:sz w:val="22"/>
          <w:szCs w:val="22"/>
        </w:rPr>
        <w:t>Profitability</w:t>
      </w:r>
      <w:r w:rsidRPr="00CE71B1">
        <w:rPr>
          <w:sz w:val="22"/>
          <w:szCs w:val="22"/>
        </w:rPr>
        <w:t>: Tesco has shown improvement in profitability ratios, particularly in 2024, but the company has faced challenges in maintaining consistent profitability. The company should continue to focus on cost management and revenue growth to stabilize its profit margins.</w:t>
      </w:r>
    </w:p>
    <w:p w14:paraId="69E71B12" w14:textId="77777777" w:rsidR="001C5C3E" w:rsidRPr="00CE71B1" w:rsidRDefault="001C5C3E" w:rsidP="001C5C3E">
      <w:pPr>
        <w:numPr>
          <w:ilvl w:val="0"/>
          <w:numId w:val="15"/>
        </w:numPr>
        <w:rPr>
          <w:sz w:val="22"/>
          <w:szCs w:val="22"/>
        </w:rPr>
      </w:pPr>
      <w:r w:rsidRPr="00CE71B1">
        <w:rPr>
          <w:b/>
          <w:bCs/>
          <w:sz w:val="22"/>
          <w:szCs w:val="22"/>
        </w:rPr>
        <w:t>Liquidity</w:t>
      </w:r>
      <w:r w:rsidRPr="00CE71B1">
        <w:rPr>
          <w:sz w:val="22"/>
          <w:szCs w:val="22"/>
        </w:rPr>
        <w:t>: The declining liquidity ratios in 2024 are a significant concern, indicating potential difficulties in meeting short-term obligations. Tesco must prioritize improving its liquidity position to ensure financial stability and avoid potential solvency issues.</w:t>
      </w:r>
    </w:p>
    <w:p w14:paraId="62066A83" w14:textId="77777777" w:rsidR="001C5C3E" w:rsidRPr="00CE71B1" w:rsidRDefault="001C5C3E" w:rsidP="001C5C3E">
      <w:pPr>
        <w:numPr>
          <w:ilvl w:val="0"/>
          <w:numId w:val="15"/>
        </w:numPr>
        <w:rPr>
          <w:sz w:val="22"/>
          <w:szCs w:val="22"/>
        </w:rPr>
      </w:pPr>
      <w:r w:rsidRPr="00CE71B1">
        <w:rPr>
          <w:b/>
          <w:bCs/>
          <w:sz w:val="22"/>
          <w:szCs w:val="22"/>
        </w:rPr>
        <w:t>Gearing</w:t>
      </w:r>
      <w:r w:rsidRPr="00CE71B1">
        <w:rPr>
          <w:sz w:val="22"/>
          <w:szCs w:val="22"/>
        </w:rPr>
        <w:t>: The increasing debt-to-equity ratio and declining interest coverage ratio highlight growing financial risk due to higher leverage. Tesco needs to carefully manage its debt levels and interest obligations to maintain financial flexibility.</w:t>
      </w:r>
    </w:p>
    <w:p w14:paraId="2B310FCA" w14:textId="77777777" w:rsidR="001C5C3E" w:rsidRPr="00CE71B1" w:rsidRDefault="001C5C3E" w:rsidP="001C5C3E">
      <w:pPr>
        <w:numPr>
          <w:ilvl w:val="0"/>
          <w:numId w:val="15"/>
        </w:numPr>
        <w:rPr>
          <w:sz w:val="22"/>
          <w:szCs w:val="22"/>
        </w:rPr>
      </w:pPr>
      <w:r w:rsidRPr="00CE71B1">
        <w:rPr>
          <w:b/>
          <w:bCs/>
          <w:sz w:val="22"/>
          <w:szCs w:val="22"/>
        </w:rPr>
        <w:t>Efficiency</w:t>
      </w:r>
      <w:r w:rsidRPr="00CE71B1">
        <w:rPr>
          <w:sz w:val="22"/>
          <w:szCs w:val="22"/>
        </w:rPr>
        <w:t>: Tesco has shown improvement in efficiency ratios, such as inventory and receivables turnover, indicating better management of working capital. However, the company should focus on further enhancing asset utilization to improve overall efficiency.</w:t>
      </w:r>
    </w:p>
    <w:p w14:paraId="143776F3" w14:textId="77777777" w:rsidR="001C5C3E" w:rsidRPr="00CE71B1" w:rsidRDefault="001C5C3E" w:rsidP="001C5C3E">
      <w:pPr>
        <w:ind w:firstLine="200"/>
        <w:rPr>
          <w:b/>
          <w:bCs/>
          <w:sz w:val="22"/>
          <w:szCs w:val="22"/>
        </w:rPr>
      </w:pPr>
      <w:r w:rsidRPr="00CE71B1">
        <w:rPr>
          <w:b/>
          <w:bCs/>
          <w:sz w:val="22"/>
          <w:szCs w:val="22"/>
        </w:rPr>
        <w:t>Recommendations</w:t>
      </w:r>
    </w:p>
    <w:p w14:paraId="2EDB1574" w14:textId="77777777" w:rsidR="001C5C3E" w:rsidRPr="00CE71B1" w:rsidRDefault="001C5C3E" w:rsidP="001C5C3E">
      <w:pPr>
        <w:numPr>
          <w:ilvl w:val="0"/>
          <w:numId w:val="16"/>
        </w:numPr>
        <w:rPr>
          <w:sz w:val="22"/>
          <w:szCs w:val="22"/>
        </w:rPr>
      </w:pPr>
      <w:r w:rsidRPr="00CE71B1">
        <w:rPr>
          <w:b/>
          <w:bCs/>
          <w:sz w:val="22"/>
          <w:szCs w:val="22"/>
        </w:rPr>
        <w:lastRenderedPageBreak/>
        <w:t>Enhance Liquidity</w:t>
      </w:r>
      <w:r w:rsidRPr="00CE71B1">
        <w:rPr>
          <w:sz w:val="22"/>
          <w:szCs w:val="22"/>
        </w:rPr>
        <w:t>: Tesco should focus on improving its liquidity ratios by managing working capital more effectively, potentially by reducing short-term liabilities or increasing cash reserves.</w:t>
      </w:r>
    </w:p>
    <w:p w14:paraId="25D2E06E" w14:textId="77777777" w:rsidR="001C5C3E" w:rsidRPr="00CE71B1" w:rsidRDefault="001C5C3E" w:rsidP="001C5C3E">
      <w:pPr>
        <w:numPr>
          <w:ilvl w:val="0"/>
          <w:numId w:val="16"/>
        </w:numPr>
        <w:rPr>
          <w:sz w:val="22"/>
          <w:szCs w:val="22"/>
        </w:rPr>
      </w:pPr>
      <w:r w:rsidRPr="00CE71B1">
        <w:rPr>
          <w:b/>
          <w:bCs/>
          <w:sz w:val="22"/>
          <w:szCs w:val="22"/>
        </w:rPr>
        <w:t>Improve Profitability</w:t>
      </w:r>
      <w:r w:rsidRPr="00CE71B1">
        <w:rPr>
          <w:sz w:val="22"/>
          <w:szCs w:val="22"/>
        </w:rPr>
        <w:t>: Tesco should continue refining its cost structures and explore opportunities for revenue growth in high-margin areas to enhance profitability and stabilize margins.</w:t>
      </w:r>
    </w:p>
    <w:p w14:paraId="25F894E9" w14:textId="77777777" w:rsidR="001C5C3E" w:rsidRPr="00CE71B1" w:rsidRDefault="001C5C3E" w:rsidP="001C5C3E">
      <w:pPr>
        <w:numPr>
          <w:ilvl w:val="0"/>
          <w:numId w:val="16"/>
        </w:numPr>
        <w:rPr>
          <w:sz w:val="22"/>
          <w:szCs w:val="22"/>
        </w:rPr>
      </w:pPr>
      <w:r w:rsidRPr="00CE71B1">
        <w:rPr>
          <w:b/>
          <w:bCs/>
          <w:sz w:val="22"/>
          <w:szCs w:val="22"/>
        </w:rPr>
        <w:t>Manage Financial Risk</w:t>
      </w:r>
      <w:r w:rsidRPr="00CE71B1">
        <w:rPr>
          <w:sz w:val="22"/>
          <w:szCs w:val="22"/>
        </w:rPr>
        <w:t>: The company should carefully manage its debt levels and interest expenses to prevent over-leverage and maintain financial stability.</w:t>
      </w:r>
    </w:p>
    <w:p w14:paraId="4C7563EB" w14:textId="77777777" w:rsidR="001C5C3E" w:rsidRDefault="001C5C3E" w:rsidP="001C5C3E">
      <w:pPr>
        <w:numPr>
          <w:ilvl w:val="0"/>
          <w:numId w:val="16"/>
        </w:numPr>
        <w:rPr>
          <w:sz w:val="22"/>
          <w:szCs w:val="22"/>
        </w:rPr>
      </w:pPr>
      <w:r w:rsidRPr="00CE71B1">
        <w:rPr>
          <w:b/>
          <w:bCs/>
          <w:sz w:val="22"/>
          <w:szCs w:val="22"/>
        </w:rPr>
        <w:t>Optimize Asset Utilization</w:t>
      </w:r>
      <w:r w:rsidRPr="00CE71B1">
        <w:rPr>
          <w:sz w:val="22"/>
          <w:szCs w:val="22"/>
        </w:rPr>
        <w:t>: Tesco should focus on strategies to increase sales without proportionally increasing its asset base, such as optimizing store operations and enhancing online sales channels.</w:t>
      </w:r>
    </w:p>
    <w:p w14:paraId="1480D304" w14:textId="77777777" w:rsidR="000A4D05" w:rsidRDefault="000A4D05" w:rsidP="000A4D05">
      <w:pPr>
        <w:rPr>
          <w:sz w:val="22"/>
          <w:szCs w:val="22"/>
        </w:rPr>
      </w:pPr>
    </w:p>
    <w:p w14:paraId="0BC0B18C" w14:textId="77777777" w:rsidR="000A4D05" w:rsidRDefault="000A4D05" w:rsidP="000A4D05">
      <w:pPr>
        <w:rPr>
          <w:sz w:val="22"/>
          <w:szCs w:val="22"/>
        </w:rPr>
      </w:pPr>
    </w:p>
    <w:p w14:paraId="044F8AD4" w14:textId="77777777" w:rsidR="000A4D05" w:rsidRPr="00CE71B1" w:rsidRDefault="000A4D05" w:rsidP="000A4D05">
      <w:pPr>
        <w:rPr>
          <w:sz w:val="22"/>
          <w:szCs w:val="22"/>
        </w:rPr>
      </w:pPr>
    </w:p>
    <w:p w14:paraId="4E870DD4" w14:textId="77777777" w:rsidR="001C5C3E" w:rsidRPr="00CE71B1" w:rsidRDefault="001C5C3E" w:rsidP="001C5C3E">
      <w:pPr>
        <w:ind w:firstLine="200"/>
        <w:rPr>
          <w:sz w:val="22"/>
          <w:szCs w:val="22"/>
        </w:rPr>
      </w:pPr>
      <w:r w:rsidRPr="00CE71B1">
        <w:rPr>
          <w:sz w:val="22"/>
          <w:szCs w:val="22"/>
        </w:rPr>
        <w:t>By addressing these key areas, Tesco can strengthen its financial position, enhance shareholder value, and sustain its competitive edge in the retail industry.</w:t>
      </w:r>
    </w:p>
    <w:p w14:paraId="27F37F50" w14:textId="77777777" w:rsidR="0077688D" w:rsidRPr="00CE71B1" w:rsidRDefault="00650CD1" w:rsidP="009731D3">
      <w:pPr>
        <w:tabs>
          <w:tab w:val="num" w:pos="720"/>
        </w:tabs>
        <w:ind w:firstLine="200"/>
        <w:rPr>
          <w:sz w:val="22"/>
          <w:szCs w:val="22"/>
        </w:rPr>
      </w:pPr>
      <w:r w:rsidRPr="00CE71B1">
        <w:rPr>
          <w:sz w:val="22"/>
          <w:szCs w:val="22"/>
        </w:rPr>
        <w:t xml:space="preserve">  </w:t>
      </w:r>
    </w:p>
    <w:p w14:paraId="0483C045" w14:textId="77777777" w:rsidR="0077688D" w:rsidRPr="00CE71B1" w:rsidRDefault="0077688D" w:rsidP="009731D3">
      <w:pPr>
        <w:tabs>
          <w:tab w:val="num" w:pos="720"/>
        </w:tabs>
        <w:ind w:firstLine="200"/>
        <w:rPr>
          <w:sz w:val="22"/>
          <w:szCs w:val="22"/>
        </w:rPr>
      </w:pPr>
    </w:p>
    <w:p w14:paraId="6E0B89B8" w14:textId="77777777" w:rsidR="0077688D" w:rsidRPr="00CE71B1" w:rsidRDefault="0077688D" w:rsidP="009731D3">
      <w:pPr>
        <w:tabs>
          <w:tab w:val="num" w:pos="720"/>
        </w:tabs>
        <w:ind w:firstLine="200"/>
        <w:rPr>
          <w:sz w:val="22"/>
          <w:szCs w:val="22"/>
        </w:rPr>
      </w:pPr>
    </w:p>
    <w:p w14:paraId="1CAA05F6" w14:textId="77777777" w:rsidR="0077688D" w:rsidRPr="00CE71B1" w:rsidRDefault="0077688D" w:rsidP="009731D3">
      <w:pPr>
        <w:tabs>
          <w:tab w:val="num" w:pos="720"/>
        </w:tabs>
        <w:ind w:firstLine="200"/>
        <w:rPr>
          <w:sz w:val="22"/>
          <w:szCs w:val="22"/>
        </w:rPr>
      </w:pPr>
    </w:p>
    <w:p w14:paraId="1941D2B4" w14:textId="1C588D1E" w:rsidR="0077688D" w:rsidRPr="00CE71B1" w:rsidRDefault="00523620" w:rsidP="00523620">
      <w:pPr>
        <w:tabs>
          <w:tab w:val="left" w:pos="8338"/>
        </w:tabs>
        <w:ind w:firstLine="200"/>
        <w:rPr>
          <w:sz w:val="22"/>
          <w:szCs w:val="22"/>
        </w:rPr>
      </w:pPr>
      <w:r w:rsidRPr="00CE71B1">
        <w:rPr>
          <w:sz w:val="22"/>
          <w:szCs w:val="22"/>
        </w:rPr>
        <w:tab/>
      </w:r>
    </w:p>
    <w:p w14:paraId="7A556C19" w14:textId="77777777" w:rsidR="0077688D" w:rsidRPr="00CE71B1" w:rsidRDefault="0077688D" w:rsidP="009731D3">
      <w:pPr>
        <w:tabs>
          <w:tab w:val="num" w:pos="720"/>
        </w:tabs>
        <w:ind w:firstLine="200"/>
        <w:rPr>
          <w:sz w:val="22"/>
          <w:szCs w:val="22"/>
        </w:rPr>
      </w:pPr>
    </w:p>
    <w:p w14:paraId="49216F11" w14:textId="77777777" w:rsidR="00557D72" w:rsidRPr="00CE71B1" w:rsidRDefault="00557D72" w:rsidP="009731D3">
      <w:pPr>
        <w:tabs>
          <w:tab w:val="num" w:pos="720"/>
        </w:tabs>
        <w:ind w:firstLine="200"/>
        <w:rPr>
          <w:sz w:val="22"/>
          <w:szCs w:val="22"/>
        </w:rPr>
      </w:pPr>
    </w:p>
    <w:p w14:paraId="2244D3EA" w14:textId="77777777" w:rsidR="00557D72" w:rsidRPr="00CE71B1" w:rsidRDefault="00557D72" w:rsidP="009731D3">
      <w:pPr>
        <w:tabs>
          <w:tab w:val="num" w:pos="720"/>
        </w:tabs>
        <w:ind w:firstLine="200"/>
        <w:rPr>
          <w:sz w:val="22"/>
          <w:szCs w:val="22"/>
        </w:rPr>
      </w:pPr>
    </w:p>
    <w:p w14:paraId="39D209A8" w14:textId="77777777" w:rsidR="00557D72" w:rsidRPr="00CE71B1" w:rsidRDefault="00557D72" w:rsidP="009731D3">
      <w:pPr>
        <w:tabs>
          <w:tab w:val="num" w:pos="720"/>
        </w:tabs>
        <w:ind w:firstLine="200"/>
        <w:rPr>
          <w:sz w:val="22"/>
          <w:szCs w:val="22"/>
        </w:rPr>
      </w:pPr>
    </w:p>
    <w:p w14:paraId="48963106" w14:textId="77777777" w:rsidR="00557D72" w:rsidRPr="00CE71B1" w:rsidRDefault="00557D72" w:rsidP="009731D3">
      <w:pPr>
        <w:tabs>
          <w:tab w:val="num" w:pos="720"/>
        </w:tabs>
        <w:ind w:firstLine="200"/>
        <w:rPr>
          <w:sz w:val="22"/>
          <w:szCs w:val="22"/>
        </w:rPr>
      </w:pPr>
    </w:p>
    <w:p w14:paraId="66FF3D7F" w14:textId="77777777" w:rsidR="00557D72" w:rsidRPr="00CE71B1" w:rsidRDefault="00557D72" w:rsidP="009731D3">
      <w:pPr>
        <w:tabs>
          <w:tab w:val="num" w:pos="720"/>
        </w:tabs>
        <w:ind w:firstLine="200"/>
        <w:rPr>
          <w:sz w:val="22"/>
          <w:szCs w:val="22"/>
        </w:rPr>
      </w:pPr>
    </w:p>
    <w:p w14:paraId="0717D6E5" w14:textId="77777777" w:rsidR="00557D72" w:rsidRPr="00CE71B1" w:rsidRDefault="00557D72" w:rsidP="009731D3">
      <w:pPr>
        <w:tabs>
          <w:tab w:val="num" w:pos="720"/>
        </w:tabs>
        <w:ind w:firstLine="200"/>
        <w:rPr>
          <w:sz w:val="22"/>
          <w:szCs w:val="22"/>
        </w:rPr>
      </w:pPr>
    </w:p>
    <w:p w14:paraId="4B42C363" w14:textId="77777777" w:rsidR="00557D72" w:rsidRPr="00CE71B1" w:rsidRDefault="00557D72" w:rsidP="009731D3">
      <w:pPr>
        <w:tabs>
          <w:tab w:val="num" w:pos="720"/>
        </w:tabs>
        <w:ind w:firstLine="200"/>
        <w:rPr>
          <w:sz w:val="22"/>
          <w:szCs w:val="22"/>
        </w:rPr>
      </w:pPr>
    </w:p>
    <w:p w14:paraId="6E9EFE1E" w14:textId="407F7A94" w:rsidR="00557D72" w:rsidRPr="00CE71B1" w:rsidRDefault="00557D72" w:rsidP="009731D3">
      <w:pPr>
        <w:tabs>
          <w:tab w:val="num" w:pos="720"/>
        </w:tabs>
        <w:ind w:firstLine="200"/>
        <w:rPr>
          <w:sz w:val="22"/>
          <w:szCs w:val="22"/>
        </w:rPr>
      </w:pPr>
    </w:p>
    <w:tbl>
      <w:tblPr>
        <w:tblW w:w="9600" w:type="dxa"/>
        <w:tblLook w:val="04A0" w:firstRow="1" w:lastRow="0" w:firstColumn="1" w:lastColumn="0" w:noHBand="0" w:noVBand="1"/>
      </w:tblPr>
      <w:tblGrid>
        <w:gridCol w:w="2916"/>
        <w:gridCol w:w="1140"/>
        <w:gridCol w:w="960"/>
        <w:gridCol w:w="960"/>
        <w:gridCol w:w="960"/>
        <w:gridCol w:w="960"/>
        <w:gridCol w:w="960"/>
        <w:gridCol w:w="960"/>
      </w:tblGrid>
      <w:tr w:rsidR="007F5C70" w:rsidRPr="00CE71B1" w14:paraId="25C68F98" w14:textId="77777777" w:rsidTr="007F5C70">
        <w:trPr>
          <w:trHeight w:val="290"/>
        </w:trPr>
        <w:tc>
          <w:tcPr>
            <w:tcW w:w="2700" w:type="dxa"/>
            <w:tcBorders>
              <w:top w:val="nil"/>
              <w:left w:val="nil"/>
              <w:bottom w:val="nil"/>
              <w:right w:val="nil"/>
            </w:tcBorders>
            <w:shd w:val="clear" w:color="auto" w:fill="auto"/>
            <w:noWrap/>
            <w:vAlign w:val="bottom"/>
            <w:hideMark/>
          </w:tcPr>
          <w:p w14:paraId="17A4830A" w14:textId="758E5269" w:rsidR="007F5C70" w:rsidRPr="00CE71B1" w:rsidRDefault="00B97823" w:rsidP="007F5C70">
            <w:pPr>
              <w:spacing w:after="0" w:line="240" w:lineRule="auto"/>
              <w:rPr>
                <w:rFonts w:ascii="Times New Roman" w:eastAsia="Times New Roman" w:hAnsi="Times New Roman" w:cs="Times New Roman"/>
                <w:kern w:val="0"/>
                <w:sz w:val="22"/>
                <w:szCs w:val="22"/>
                <w14:ligatures w14:val="none"/>
              </w:rPr>
            </w:pPr>
            <w:r w:rsidRPr="00CE71B1">
              <w:rPr>
                <w:rFonts w:ascii="Aptos Narrow" w:eastAsia="Times New Roman" w:hAnsi="Aptos Narrow" w:cs="Times New Roman"/>
                <w:noProof/>
                <w:color w:val="000000"/>
                <w:kern w:val="0"/>
                <w:sz w:val="22"/>
                <w:szCs w:val="22"/>
                <w14:ligatures w14:val="none"/>
              </w:rPr>
              <w:drawing>
                <wp:anchor distT="0" distB="0" distL="114300" distR="114300" simplePos="0" relativeHeight="251659264" behindDoc="0" locked="0" layoutInCell="1" allowOverlap="1" wp14:anchorId="7EA4E9A6" wp14:editId="3D0CDE20">
                  <wp:simplePos x="0" y="0"/>
                  <wp:positionH relativeFrom="margin">
                    <wp:posOffset>162560</wp:posOffset>
                  </wp:positionH>
                  <wp:positionV relativeFrom="paragraph">
                    <wp:posOffset>-1535430</wp:posOffset>
                  </wp:positionV>
                  <wp:extent cx="5356860" cy="3389630"/>
                  <wp:effectExtent l="0" t="0" r="15240" b="1270"/>
                  <wp:wrapNone/>
                  <wp:docPr id="3" name="Chart 1">
                    <a:extLst xmlns:a="http://schemas.openxmlformats.org/drawingml/2006/main">
                      <a:ext uri="{FF2B5EF4-FFF2-40B4-BE49-F238E27FC236}">
                        <a16:creationId xmlns:a16="http://schemas.microsoft.com/office/drawing/2014/main" id="{333FEFBF-2C31-86EF-A2E9-042F283C22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p>
        </w:tc>
        <w:tc>
          <w:tcPr>
            <w:tcW w:w="1140" w:type="dxa"/>
            <w:tcBorders>
              <w:top w:val="nil"/>
              <w:left w:val="nil"/>
              <w:bottom w:val="nil"/>
              <w:right w:val="nil"/>
            </w:tcBorders>
            <w:shd w:val="clear" w:color="auto" w:fill="auto"/>
            <w:noWrap/>
            <w:vAlign w:val="bottom"/>
            <w:hideMark/>
          </w:tcPr>
          <w:p w14:paraId="1D43C252"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4B82734B"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668DE43A"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6C79790F"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0B26152F"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4F0772BB"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6BC954C9"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r>
      <w:tr w:rsidR="007F5C70" w:rsidRPr="00CE71B1" w14:paraId="5E4F6A97" w14:textId="77777777" w:rsidTr="007F5C70">
        <w:trPr>
          <w:trHeight w:val="290"/>
        </w:trPr>
        <w:tc>
          <w:tcPr>
            <w:tcW w:w="2700" w:type="dxa"/>
            <w:tcBorders>
              <w:top w:val="nil"/>
              <w:left w:val="nil"/>
              <w:bottom w:val="nil"/>
              <w:right w:val="nil"/>
            </w:tcBorders>
            <w:shd w:val="clear" w:color="auto" w:fill="auto"/>
            <w:noWrap/>
            <w:vAlign w:val="bottom"/>
            <w:hideMark/>
          </w:tcPr>
          <w:p w14:paraId="4D7F7556" w14:textId="7913E171" w:rsidR="007F5C70" w:rsidRPr="00CE71B1" w:rsidRDefault="007F5C70" w:rsidP="007F5C70">
            <w:pPr>
              <w:spacing w:after="0" w:line="240" w:lineRule="auto"/>
              <w:rPr>
                <w:rFonts w:ascii="Aptos Narrow" w:eastAsia="Times New Roman" w:hAnsi="Aptos Narrow" w:cs="Times New Roman"/>
                <w:color w:val="000000"/>
                <w:kern w:val="0"/>
                <w:sz w:val="22"/>
                <w:szCs w:val="22"/>
                <w14:ligatures w14:val="none"/>
              </w:rPr>
            </w:pPr>
          </w:p>
          <w:tbl>
            <w:tblPr>
              <w:tblW w:w="0" w:type="auto"/>
              <w:tblCellSpacing w:w="0" w:type="dxa"/>
              <w:tblCellMar>
                <w:left w:w="0" w:type="dxa"/>
                <w:right w:w="0" w:type="dxa"/>
              </w:tblCellMar>
              <w:tblLook w:val="04A0" w:firstRow="1" w:lastRow="0" w:firstColumn="1" w:lastColumn="0" w:noHBand="0" w:noVBand="1"/>
            </w:tblPr>
            <w:tblGrid>
              <w:gridCol w:w="2700"/>
            </w:tblGrid>
            <w:tr w:rsidR="007F5C70" w:rsidRPr="00CE71B1" w14:paraId="04BA487C" w14:textId="77777777">
              <w:trPr>
                <w:trHeight w:val="290"/>
                <w:tblCellSpacing w:w="0" w:type="dxa"/>
              </w:trPr>
              <w:tc>
                <w:tcPr>
                  <w:tcW w:w="2700" w:type="dxa"/>
                  <w:tcBorders>
                    <w:top w:val="nil"/>
                    <w:left w:val="nil"/>
                    <w:bottom w:val="nil"/>
                    <w:right w:val="nil"/>
                  </w:tcBorders>
                  <w:shd w:val="clear" w:color="auto" w:fill="auto"/>
                  <w:noWrap/>
                  <w:vAlign w:val="bottom"/>
                  <w:hideMark/>
                </w:tcPr>
                <w:p w14:paraId="2DC54A25" w14:textId="07F22126" w:rsidR="007F5C70" w:rsidRPr="00CE71B1" w:rsidRDefault="007F5C70" w:rsidP="007F5C70">
                  <w:pPr>
                    <w:spacing w:after="0" w:line="240" w:lineRule="auto"/>
                    <w:rPr>
                      <w:rFonts w:ascii="Aptos Narrow" w:eastAsia="Times New Roman" w:hAnsi="Aptos Narrow" w:cs="Times New Roman"/>
                      <w:color w:val="000000"/>
                      <w:kern w:val="0"/>
                      <w:sz w:val="22"/>
                      <w:szCs w:val="22"/>
                      <w14:ligatures w14:val="none"/>
                    </w:rPr>
                  </w:pPr>
                </w:p>
              </w:tc>
            </w:tr>
          </w:tbl>
          <w:p w14:paraId="797B64C1" w14:textId="77777777" w:rsidR="007F5C70" w:rsidRPr="00CE71B1" w:rsidRDefault="007F5C70" w:rsidP="007F5C70">
            <w:pPr>
              <w:spacing w:after="0" w:line="240" w:lineRule="auto"/>
              <w:rPr>
                <w:rFonts w:ascii="Aptos Narrow" w:eastAsia="Times New Roman" w:hAnsi="Aptos Narrow" w:cs="Times New Roman"/>
                <w:color w:val="000000"/>
                <w:kern w:val="0"/>
                <w:sz w:val="22"/>
                <w:szCs w:val="22"/>
                <w14:ligatures w14:val="none"/>
              </w:rPr>
            </w:pPr>
          </w:p>
        </w:tc>
        <w:tc>
          <w:tcPr>
            <w:tcW w:w="1140" w:type="dxa"/>
            <w:tcBorders>
              <w:top w:val="nil"/>
              <w:left w:val="nil"/>
              <w:bottom w:val="nil"/>
              <w:right w:val="nil"/>
            </w:tcBorders>
            <w:shd w:val="clear" w:color="auto" w:fill="auto"/>
            <w:noWrap/>
            <w:vAlign w:val="bottom"/>
            <w:hideMark/>
          </w:tcPr>
          <w:p w14:paraId="0DD54AA9" w14:textId="7ED9519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4A9DE353"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2626CE41"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39C36B0E"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18EED0F4"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1CD2E474"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6192F860"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r>
      <w:tr w:rsidR="007F5C70" w:rsidRPr="00CE71B1" w14:paraId="27F994DA" w14:textId="77777777" w:rsidTr="007F5C70">
        <w:trPr>
          <w:trHeight w:val="290"/>
        </w:trPr>
        <w:tc>
          <w:tcPr>
            <w:tcW w:w="2700" w:type="dxa"/>
            <w:tcBorders>
              <w:top w:val="nil"/>
              <w:left w:val="nil"/>
              <w:bottom w:val="nil"/>
              <w:right w:val="nil"/>
            </w:tcBorders>
            <w:shd w:val="clear" w:color="auto" w:fill="auto"/>
            <w:noWrap/>
            <w:vAlign w:val="bottom"/>
            <w:hideMark/>
          </w:tcPr>
          <w:p w14:paraId="27B91C64" w14:textId="01030BA5"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1140" w:type="dxa"/>
            <w:tcBorders>
              <w:top w:val="nil"/>
              <w:left w:val="nil"/>
              <w:bottom w:val="nil"/>
              <w:right w:val="nil"/>
            </w:tcBorders>
            <w:shd w:val="clear" w:color="auto" w:fill="auto"/>
            <w:noWrap/>
            <w:vAlign w:val="bottom"/>
            <w:hideMark/>
          </w:tcPr>
          <w:p w14:paraId="0382F3A3"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51C95662"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3403C0D9"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0F0A171B"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11252B39"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59F7D6F6"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13FE907C"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r>
      <w:tr w:rsidR="007F5C70" w:rsidRPr="00CE71B1" w14:paraId="5FB6B5C3" w14:textId="77777777" w:rsidTr="007F5C70">
        <w:trPr>
          <w:trHeight w:val="290"/>
        </w:trPr>
        <w:tc>
          <w:tcPr>
            <w:tcW w:w="2700" w:type="dxa"/>
            <w:tcBorders>
              <w:top w:val="nil"/>
              <w:left w:val="nil"/>
              <w:bottom w:val="nil"/>
              <w:right w:val="nil"/>
            </w:tcBorders>
            <w:shd w:val="clear" w:color="auto" w:fill="auto"/>
            <w:noWrap/>
            <w:vAlign w:val="bottom"/>
            <w:hideMark/>
          </w:tcPr>
          <w:p w14:paraId="2CD044B1" w14:textId="3C1F3D32"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1140" w:type="dxa"/>
            <w:tcBorders>
              <w:top w:val="nil"/>
              <w:left w:val="nil"/>
              <w:bottom w:val="nil"/>
              <w:right w:val="nil"/>
            </w:tcBorders>
            <w:shd w:val="clear" w:color="auto" w:fill="auto"/>
            <w:noWrap/>
            <w:vAlign w:val="bottom"/>
            <w:hideMark/>
          </w:tcPr>
          <w:p w14:paraId="4CE7F771"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7A0C8C47"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4E6E8504"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00F1C2CC"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55CAC581"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5F07C4F2"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481B7079"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r>
      <w:tr w:rsidR="007F5C70" w:rsidRPr="00CE71B1" w14:paraId="1E7012D3" w14:textId="77777777" w:rsidTr="007F5C70">
        <w:trPr>
          <w:trHeight w:val="290"/>
        </w:trPr>
        <w:tc>
          <w:tcPr>
            <w:tcW w:w="2700" w:type="dxa"/>
            <w:tcBorders>
              <w:top w:val="nil"/>
              <w:left w:val="nil"/>
              <w:bottom w:val="nil"/>
              <w:right w:val="nil"/>
            </w:tcBorders>
            <w:shd w:val="clear" w:color="auto" w:fill="auto"/>
            <w:noWrap/>
            <w:vAlign w:val="bottom"/>
            <w:hideMark/>
          </w:tcPr>
          <w:p w14:paraId="7F67D194" w14:textId="3F7C9AEF"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1140" w:type="dxa"/>
            <w:tcBorders>
              <w:top w:val="nil"/>
              <w:left w:val="nil"/>
              <w:bottom w:val="nil"/>
              <w:right w:val="nil"/>
            </w:tcBorders>
            <w:shd w:val="clear" w:color="auto" w:fill="auto"/>
            <w:noWrap/>
            <w:vAlign w:val="bottom"/>
            <w:hideMark/>
          </w:tcPr>
          <w:p w14:paraId="4CE00F81"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4ABFA1B4"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34AB4810"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29F86734"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399C041E"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3156BEA7"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67DCD8A5"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r>
      <w:tr w:rsidR="007F5C70" w:rsidRPr="00CE71B1" w14:paraId="1C1FEA06" w14:textId="77777777" w:rsidTr="007F5C70">
        <w:trPr>
          <w:trHeight w:val="290"/>
        </w:trPr>
        <w:tc>
          <w:tcPr>
            <w:tcW w:w="2700" w:type="dxa"/>
            <w:tcBorders>
              <w:top w:val="nil"/>
              <w:left w:val="nil"/>
              <w:bottom w:val="nil"/>
              <w:right w:val="nil"/>
            </w:tcBorders>
            <w:shd w:val="clear" w:color="auto" w:fill="auto"/>
            <w:noWrap/>
            <w:vAlign w:val="bottom"/>
            <w:hideMark/>
          </w:tcPr>
          <w:p w14:paraId="4C8EFD2C" w14:textId="3946565E"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1140" w:type="dxa"/>
            <w:tcBorders>
              <w:top w:val="nil"/>
              <w:left w:val="nil"/>
              <w:bottom w:val="nil"/>
              <w:right w:val="nil"/>
            </w:tcBorders>
            <w:shd w:val="clear" w:color="auto" w:fill="auto"/>
            <w:noWrap/>
            <w:vAlign w:val="bottom"/>
            <w:hideMark/>
          </w:tcPr>
          <w:p w14:paraId="249356A1"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436F2991"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1A9A79AB"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333A4E5E"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5EDD3D4B"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68855B95"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5F174E33"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r>
      <w:tr w:rsidR="007F5C70" w:rsidRPr="00CE71B1" w14:paraId="22BEBBFD" w14:textId="77777777" w:rsidTr="007F5C70">
        <w:trPr>
          <w:trHeight w:val="290"/>
        </w:trPr>
        <w:tc>
          <w:tcPr>
            <w:tcW w:w="2700" w:type="dxa"/>
            <w:tcBorders>
              <w:top w:val="nil"/>
              <w:left w:val="nil"/>
              <w:bottom w:val="nil"/>
              <w:right w:val="nil"/>
            </w:tcBorders>
            <w:shd w:val="clear" w:color="auto" w:fill="auto"/>
            <w:noWrap/>
            <w:vAlign w:val="bottom"/>
            <w:hideMark/>
          </w:tcPr>
          <w:p w14:paraId="0F61A673" w14:textId="0630BBC4"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1140" w:type="dxa"/>
            <w:tcBorders>
              <w:top w:val="nil"/>
              <w:left w:val="nil"/>
              <w:bottom w:val="nil"/>
              <w:right w:val="nil"/>
            </w:tcBorders>
            <w:shd w:val="clear" w:color="auto" w:fill="auto"/>
            <w:noWrap/>
            <w:vAlign w:val="bottom"/>
            <w:hideMark/>
          </w:tcPr>
          <w:p w14:paraId="303B3B15"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6B565C09"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6B15A314"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381E1FFE"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76BE1223" w14:textId="6724FC4F"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74CAB1C3" w14:textId="5D83D51D"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1F127928"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r>
      <w:tr w:rsidR="007F5C70" w:rsidRPr="00CE71B1" w14:paraId="715CB5D7" w14:textId="77777777" w:rsidTr="007F5C70">
        <w:trPr>
          <w:trHeight w:val="290"/>
        </w:trPr>
        <w:tc>
          <w:tcPr>
            <w:tcW w:w="2700" w:type="dxa"/>
            <w:tcBorders>
              <w:top w:val="nil"/>
              <w:left w:val="nil"/>
              <w:bottom w:val="nil"/>
              <w:right w:val="nil"/>
            </w:tcBorders>
            <w:shd w:val="clear" w:color="auto" w:fill="auto"/>
            <w:noWrap/>
            <w:vAlign w:val="bottom"/>
            <w:hideMark/>
          </w:tcPr>
          <w:p w14:paraId="0A3EA531"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1140" w:type="dxa"/>
            <w:tcBorders>
              <w:top w:val="nil"/>
              <w:left w:val="nil"/>
              <w:bottom w:val="nil"/>
              <w:right w:val="nil"/>
            </w:tcBorders>
            <w:shd w:val="clear" w:color="auto" w:fill="auto"/>
            <w:noWrap/>
            <w:vAlign w:val="bottom"/>
            <w:hideMark/>
          </w:tcPr>
          <w:p w14:paraId="2053F8D5"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507DC76A"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045804A7"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3FB737A9"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72DF22B0"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7542A109"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1828D414"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r>
      <w:tr w:rsidR="007F5C70" w:rsidRPr="00CE71B1" w14:paraId="21A68D7C" w14:textId="77777777" w:rsidTr="007F5C70">
        <w:trPr>
          <w:trHeight w:val="290"/>
        </w:trPr>
        <w:tc>
          <w:tcPr>
            <w:tcW w:w="2700" w:type="dxa"/>
            <w:tcBorders>
              <w:top w:val="nil"/>
              <w:left w:val="nil"/>
              <w:bottom w:val="nil"/>
              <w:right w:val="nil"/>
            </w:tcBorders>
            <w:shd w:val="clear" w:color="auto" w:fill="auto"/>
            <w:noWrap/>
            <w:vAlign w:val="bottom"/>
            <w:hideMark/>
          </w:tcPr>
          <w:p w14:paraId="0CB8EA40"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1140" w:type="dxa"/>
            <w:tcBorders>
              <w:top w:val="nil"/>
              <w:left w:val="nil"/>
              <w:bottom w:val="nil"/>
              <w:right w:val="nil"/>
            </w:tcBorders>
            <w:shd w:val="clear" w:color="auto" w:fill="auto"/>
            <w:noWrap/>
            <w:vAlign w:val="bottom"/>
            <w:hideMark/>
          </w:tcPr>
          <w:p w14:paraId="2CFF5784"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5ACD3A9E"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0E4EAD2C"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7B56286E"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3359EDB0"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1C0037CE"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4F699C86"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r>
      <w:tr w:rsidR="007F5C70" w:rsidRPr="00CE71B1" w14:paraId="2CF75ABB" w14:textId="77777777" w:rsidTr="007F5C70">
        <w:trPr>
          <w:trHeight w:val="290"/>
        </w:trPr>
        <w:tc>
          <w:tcPr>
            <w:tcW w:w="2700" w:type="dxa"/>
            <w:tcBorders>
              <w:top w:val="nil"/>
              <w:left w:val="nil"/>
              <w:bottom w:val="nil"/>
              <w:right w:val="nil"/>
            </w:tcBorders>
            <w:shd w:val="clear" w:color="auto" w:fill="auto"/>
            <w:noWrap/>
            <w:vAlign w:val="bottom"/>
            <w:hideMark/>
          </w:tcPr>
          <w:p w14:paraId="0D8E887F"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1140" w:type="dxa"/>
            <w:tcBorders>
              <w:top w:val="nil"/>
              <w:left w:val="nil"/>
              <w:bottom w:val="nil"/>
              <w:right w:val="nil"/>
            </w:tcBorders>
            <w:shd w:val="clear" w:color="auto" w:fill="auto"/>
            <w:noWrap/>
            <w:vAlign w:val="bottom"/>
            <w:hideMark/>
          </w:tcPr>
          <w:p w14:paraId="30171753"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00E6A4EC"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2B519614"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73F73469"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6DA29FDB"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12DB98F6"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0D87C759"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r>
      <w:tr w:rsidR="007F5C70" w:rsidRPr="00CE71B1" w14:paraId="6536BF4E" w14:textId="77777777" w:rsidTr="007F5C70">
        <w:trPr>
          <w:trHeight w:val="290"/>
        </w:trPr>
        <w:tc>
          <w:tcPr>
            <w:tcW w:w="2700" w:type="dxa"/>
            <w:tcBorders>
              <w:top w:val="nil"/>
              <w:left w:val="nil"/>
              <w:bottom w:val="nil"/>
              <w:right w:val="nil"/>
            </w:tcBorders>
            <w:shd w:val="clear" w:color="auto" w:fill="auto"/>
            <w:noWrap/>
            <w:vAlign w:val="bottom"/>
            <w:hideMark/>
          </w:tcPr>
          <w:p w14:paraId="286070A8"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1140" w:type="dxa"/>
            <w:tcBorders>
              <w:top w:val="nil"/>
              <w:left w:val="nil"/>
              <w:bottom w:val="nil"/>
              <w:right w:val="nil"/>
            </w:tcBorders>
            <w:shd w:val="clear" w:color="auto" w:fill="auto"/>
            <w:noWrap/>
            <w:vAlign w:val="bottom"/>
            <w:hideMark/>
          </w:tcPr>
          <w:p w14:paraId="16CEA3C4"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106D5BAA"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4E624AD8"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2BDE2240"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03D4CCAB"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15BC6050"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76C7ACA2"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r>
      <w:tr w:rsidR="007F5C70" w:rsidRPr="00CE71B1" w14:paraId="144D497C" w14:textId="77777777" w:rsidTr="007F5C70">
        <w:trPr>
          <w:trHeight w:val="290"/>
        </w:trPr>
        <w:tc>
          <w:tcPr>
            <w:tcW w:w="2700" w:type="dxa"/>
            <w:tcBorders>
              <w:top w:val="nil"/>
              <w:left w:val="nil"/>
              <w:bottom w:val="nil"/>
              <w:right w:val="nil"/>
            </w:tcBorders>
            <w:shd w:val="clear" w:color="auto" w:fill="auto"/>
            <w:noWrap/>
            <w:vAlign w:val="bottom"/>
            <w:hideMark/>
          </w:tcPr>
          <w:p w14:paraId="0056084E"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1140" w:type="dxa"/>
            <w:tcBorders>
              <w:top w:val="nil"/>
              <w:left w:val="nil"/>
              <w:bottom w:val="nil"/>
              <w:right w:val="nil"/>
            </w:tcBorders>
            <w:shd w:val="clear" w:color="auto" w:fill="auto"/>
            <w:noWrap/>
            <w:vAlign w:val="bottom"/>
            <w:hideMark/>
          </w:tcPr>
          <w:p w14:paraId="7F893A33"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4E8ABAA0"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3B267D58"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4EA35E0D"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6C5C04B1"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212CF0B1"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541A697A"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r>
      <w:tr w:rsidR="007F5C70" w:rsidRPr="00CE71B1" w14:paraId="603E0E4D" w14:textId="77777777" w:rsidTr="007F5C70">
        <w:trPr>
          <w:trHeight w:val="290"/>
        </w:trPr>
        <w:tc>
          <w:tcPr>
            <w:tcW w:w="2700" w:type="dxa"/>
            <w:tcBorders>
              <w:top w:val="nil"/>
              <w:left w:val="nil"/>
              <w:bottom w:val="nil"/>
              <w:right w:val="nil"/>
            </w:tcBorders>
            <w:shd w:val="clear" w:color="auto" w:fill="auto"/>
            <w:noWrap/>
            <w:vAlign w:val="bottom"/>
            <w:hideMark/>
          </w:tcPr>
          <w:p w14:paraId="7408DD8E"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1140" w:type="dxa"/>
            <w:tcBorders>
              <w:top w:val="nil"/>
              <w:left w:val="nil"/>
              <w:bottom w:val="nil"/>
              <w:right w:val="nil"/>
            </w:tcBorders>
            <w:shd w:val="clear" w:color="auto" w:fill="auto"/>
            <w:noWrap/>
            <w:vAlign w:val="bottom"/>
            <w:hideMark/>
          </w:tcPr>
          <w:p w14:paraId="132883AE"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14505DB1"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6A26FA9B"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74690C0F"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7D009009"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19A29B63"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0E2FF105"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r>
      <w:tr w:rsidR="007F5C70" w:rsidRPr="00CE71B1" w14:paraId="1C985E33" w14:textId="77777777" w:rsidTr="007F5C70">
        <w:trPr>
          <w:trHeight w:val="290"/>
        </w:trPr>
        <w:tc>
          <w:tcPr>
            <w:tcW w:w="2700" w:type="dxa"/>
            <w:tcBorders>
              <w:top w:val="nil"/>
              <w:left w:val="nil"/>
              <w:bottom w:val="nil"/>
              <w:right w:val="nil"/>
            </w:tcBorders>
            <w:shd w:val="clear" w:color="auto" w:fill="auto"/>
            <w:noWrap/>
            <w:vAlign w:val="bottom"/>
            <w:hideMark/>
          </w:tcPr>
          <w:p w14:paraId="47B796BC"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1140" w:type="dxa"/>
            <w:tcBorders>
              <w:top w:val="nil"/>
              <w:left w:val="nil"/>
              <w:bottom w:val="nil"/>
              <w:right w:val="nil"/>
            </w:tcBorders>
            <w:shd w:val="clear" w:color="auto" w:fill="auto"/>
            <w:noWrap/>
            <w:vAlign w:val="bottom"/>
            <w:hideMark/>
          </w:tcPr>
          <w:p w14:paraId="691E8050"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522D6AFB"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336E0AEE"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1FA62DF2"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453D5C74"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5E10A92D"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403717C9"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r>
      <w:tr w:rsidR="007F5C70" w:rsidRPr="00CE71B1" w14:paraId="663FE072" w14:textId="77777777" w:rsidTr="007F5C70">
        <w:trPr>
          <w:trHeight w:val="290"/>
        </w:trPr>
        <w:tc>
          <w:tcPr>
            <w:tcW w:w="2700" w:type="dxa"/>
            <w:tcBorders>
              <w:top w:val="nil"/>
              <w:left w:val="nil"/>
              <w:bottom w:val="nil"/>
              <w:right w:val="nil"/>
            </w:tcBorders>
            <w:shd w:val="clear" w:color="auto" w:fill="auto"/>
            <w:noWrap/>
            <w:vAlign w:val="bottom"/>
            <w:hideMark/>
          </w:tcPr>
          <w:p w14:paraId="1C629EC0"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1140" w:type="dxa"/>
            <w:tcBorders>
              <w:top w:val="nil"/>
              <w:left w:val="nil"/>
              <w:bottom w:val="nil"/>
              <w:right w:val="nil"/>
            </w:tcBorders>
            <w:shd w:val="clear" w:color="auto" w:fill="auto"/>
            <w:noWrap/>
            <w:vAlign w:val="bottom"/>
            <w:hideMark/>
          </w:tcPr>
          <w:p w14:paraId="0E70E586"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1C21FAE2"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5EA2623A"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169F38C5"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75518E0B"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54C329D7"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5E290208"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r>
      <w:tr w:rsidR="007F5C70" w:rsidRPr="00CE71B1" w14:paraId="5BE46BCD" w14:textId="77777777" w:rsidTr="007F5C70">
        <w:trPr>
          <w:trHeight w:val="290"/>
        </w:trPr>
        <w:tc>
          <w:tcPr>
            <w:tcW w:w="2700" w:type="dxa"/>
            <w:tcBorders>
              <w:top w:val="nil"/>
              <w:left w:val="nil"/>
              <w:bottom w:val="nil"/>
              <w:right w:val="nil"/>
            </w:tcBorders>
            <w:shd w:val="clear" w:color="auto" w:fill="auto"/>
            <w:noWrap/>
            <w:vAlign w:val="bottom"/>
            <w:hideMark/>
          </w:tcPr>
          <w:p w14:paraId="3B9252B3"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1140" w:type="dxa"/>
            <w:tcBorders>
              <w:top w:val="nil"/>
              <w:left w:val="nil"/>
              <w:bottom w:val="nil"/>
              <w:right w:val="nil"/>
            </w:tcBorders>
            <w:shd w:val="clear" w:color="auto" w:fill="auto"/>
            <w:noWrap/>
            <w:vAlign w:val="bottom"/>
            <w:hideMark/>
          </w:tcPr>
          <w:p w14:paraId="777B7C55"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575DCAE1"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443CF946"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7233BC9B"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45D77FC4"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774D6CF9"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705A8670"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r>
      <w:tr w:rsidR="007F5C70" w:rsidRPr="00CE71B1" w14:paraId="1EA6C1B9" w14:textId="77777777" w:rsidTr="007F5C70">
        <w:trPr>
          <w:trHeight w:val="290"/>
        </w:trPr>
        <w:tc>
          <w:tcPr>
            <w:tcW w:w="2700" w:type="dxa"/>
            <w:tcBorders>
              <w:top w:val="nil"/>
              <w:left w:val="nil"/>
              <w:bottom w:val="nil"/>
              <w:right w:val="nil"/>
            </w:tcBorders>
            <w:shd w:val="clear" w:color="auto" w:fill="auto"/>
            <w:noWrap/>
            <w:vAlign w:val="bottom"/>
            <w:hideMark/>
          </w:tcPr>
          <w:p w14:paraId="65086DB7"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1140" w:type="dxa"/>
            <w:tcBorders>
              <w:top w:val="nil"/>
              <w:left w:val="nil"/>
              <w:bottom w:val="nil"/>
              <w:right w:val="nil"/>
            </w:tcBorders>
            <w:shd w:val="clear" w:color="auto" w:fill="auto"/>
            <w:noWrap/>
            <w:vAlign w:val="bottom"/>
            <w:hideMark/>
          </w:tcPr>
          <w:p w14:paraId="0F65E1F2"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5299B9EF"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6E7EE86D"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15A79F4D"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5A9710A2"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7065F183"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11EF268E"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r>
      <w:tr w:rsidR="007F5C70" w:rsidRPr="00CE71B1" w14:paraId="7AD229CA" w14:textId="77777777" w:rsidTr="007F5C70">
        <w:trPr>
          <w:trHeight w:val="290"/>
        </w:trPr>
        <w:tc>
          <w:tcPr>
            <w:tcW w:w="2700" w:type="dxa"/>
            <w:tcBorders>
              <w:top w:val="nil"/>
              <w:left w:val="nil"/>
              <w:bottom w:val="nil"/>
              <w:right w:val="nil"/>
            </w:tcBorders>
            <w:shd w:val="clear" w:color="auto" w:fill="auto"/>
            <w:noWrap/>
            <w:vAlign w:val="bottom"/>
            <w:hideMark/>
          </w:tcPr>
          <w:p w14:paraId="7E628928"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1140" w:type="dxa"/>
            <w:tcBorders>
              <w:top w:val="nil"/>
              <w:left w:val="nil"/>
              <w:bottom w:val="nil"/>
              <w:right w:val="nil"/>
            </w:tcBorders>
            <w:shd w:val="clear" w:color="auto" w:fill="auto"/>
            <w:noWrap/>
            <w:vAlign w:val="bottom"/>
            <w:hideMark/>
          </w:tcPr>
          <w:p w14:paraId="2534B127"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717CF51D"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61D45278"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296CA607"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482A2B9D"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14D81468"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4093A29D"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r>
    </w:tbl>
    <w:p w14:paraId="59F12B18" w14:textId="77777777" w:rsidR="00557D72" w:rsidRPr="00CE71B1" w:rsidRDefault="00557D72" w:rsidP="00CE71B1">
      <w:pPr>
        <w:tabs>
          <w:tab w:val="num" w:pos="720"/>
        </w:tabs>
        <w:rPr>
          <w:sz w:val="22"/>
          <w:szCs w:val="22"/>
        </w:rPr>
      </w:pPr>
    </w:p>
    <w:p w14:paraId="25827A30" w14:textId="77777777" w:rsidR="00557D72" w:rsidRPr="00CE71B1" w:rsidRDefault="00557D72" w:rsidP="009731D3">
      <w:pPr>
        <w:tabs>
          <w:tab w:val="num" w:pos="720"/>
        </w:tabs>
        <w:ind w:firstLine="200"/>
        <w:rPr>
          <w:sz w:val="22"/>
          <w:szCs w:val="22"/>
        </w:rPr>
      </w:pPr>
    </w:p>
    <w:p w14:paraId="7ACDA2D5" w14:textId="0D3D0E2C" w:rsidR="001C048A" w:rsidRPr="00CE71B1" w:rsidRDefault="00650CD1" w:rsidP="009731D3">
      <w:pPr>
        <w:tabs>
          <w:tab w:val="num" w:pos="720"/>
        </w:tabs>
        <w:ind w:firstLine="200"/>
        <w:rPr>
          <w:sz w:val="22"/>
          <w:szCs w:val="22"/>
        </w:rPr>
      </w:pPr>
      <w:r w:rsidRPr="00CE71B1">
        <w:rPr>
          <w:sz w:val="22"/>
          <w:szCs w:val="22"/>
        </w:rPr>
        <w:t xml:space="preserve">             </w:t>
      </w:r>
    </w:p>
    <w:p w14:paraId="6EEEABE3" w14:textId="5D405878" w:rsidR="001C048A" w:rsidRPr="00CE71B1" w:rsidRDefault="001C048A" w:rsidP="001C048A">
      <w:pPr>
        <w:tabs>
          <w:tab w:val="num" w:pos="720"/>
        </w:tabs>
        <w:ind w:firstLine="200"/>
        <w:rPr>
          <w:sz w:val="22"/>
          <w:szCs w:val="22"/>
        </w:rPr>
      </w:pPr>
      <w:r w:rsidRPr="00CE71B1">
        <w:rPr>
          <w:sz w:val="22"/>
          <w:szCs w:val="22"/>
        </w:rPr>
        <w:t xml:space="preserve">The table </w:t>
      </w:r>
      <w:r w:rsidR="00D33D92" w:rsidRPr="00CE71B1">
        <w:rPr>
          <w:sz w:val="22"/>
          <w:szCs w:val="22"/>
        </w:rPr>
        <w:t xml:space="preserve"> </w:t>
      </w:r>
      <w:r w:rsidR="00B15F21" w:rsidRPr="00CE71B1">
        <w:rPr>
          <w:sz w:val="22"/>
          <w:szCs w:val="22"/>
        </w:rPr>
        <w:t>chart  figure</w:t>
      </w:r>
      <w:r w:rsidR="0077688D" w:rsidRPr="00CE71B1">
        <w:rPr>
          <w:sz w:val="22"/>
          <w:szCs w:val="22"/>
        </w:rPr>
        <w:t xml:space="preserve"> </w:t>
      </w:r>
      <w:r w:rsidR="00C504C9" w:rsidRPr="00CE71B1">
        <w:rPr>
          <w:sz w:val="22"/>
          <w:szCs w:val="22"/>
        </w:rPr>
        <w:t xml:space="preserve">1.2  </w:t>
      </w:r>
      <w:r w:rsidR="007F5C70" w:rsidRPr="00CE71B1">
        <w:rPr>
          <w:sz w:val="22"/>
          <w:szCs w:val="22"/>
        </w:rPr>
        <w:t>provided</w:t>
      </w:r>
      <w:r w:rsidRPr="00CE71B1">
        <w:rPr>
          <w:sz w:val="22"/>
          <w:szCs w:val="22"/>
        </w:rPr>
        <w:t xml:space="preserve">  a financial summary of </w:t>
      </w:r>
      <w:r w:rsidR="007F5C70" w:rsidRPr="00CE71B1">
        <w:rPr>
          <w:sz w:val="22"/>
          <w:szCs w:val="22"/>
        </w:rPr>
        <w:t>Saintsbury</w:t>
      </w:r>
      <w:r w:rsidRPr="00CE71B1">
        <w:rPr>
          <w:sz w:val="22"/>
          <w:szCs w:val="22"/>
        </w:rPr>
        <w:t xml:space="preserve"> for the years 2021 through 2024. Here’s an explanation of the metrics and their trends over the years:</w:t>
      </w:r>
    </w:p>
    <w:p w14:paraId="55451CB3" w14:textId="77777777" w:rsidR="001C048A" w:rsidRPr="00CE71B1" w:rsidRDefault="001C048A" w:rsidP="001C048A">
      <w:pPr>
        <w:tabs>
          <w:tab w:val="num" w:pos="720"/>
        </w:tabs>
        <w:ind w:firstLine="200"/>
        <w:rPr>
          <w:b/>
          <w:bCs/>
          <w:sz w:val="22"/>
          <w:szCs w:val="22"/>
        </w:rPr>
      </w:pPr>
      <w:r w:rsidRPr="00CE71B1">
        <w:rPr>
          <w:b/>
          <w:bCs/>
          <w:sz w:val="22"/>
          <w:szCs w:val="22"/>
        </w:rPr>
        <w:t>1. Gross Profit Margin</w:t>
      </w:r>
    </w:p>
    <w:p w14:paraId="576AD4F8" w14:textId="77777777" w:rsidR="001C048A" w:rsidRPr="00CE71B1" w:rsidRDefault="001C048A" w:rsidP="001C048A">
      <w:pPr>
        <w:numPr>
          <w:ilvl w:val="0"/>
          <w:numId w:val="38"/>
        </w:numPr>
        <w:rPr>
          <w:sz w:val="22"/>
          <w:szCs w:val="22"/>
        </w:rPr>
      </w:pPr>
      <w:r w:rsidRPr="00CE71B1">
        <w:rPr>
          <w:b/>
          <w:bCs/>
          <w:sz w:val="22"/>
          <w:szCs w:val="22"/>
        </w:rPr>
        <w:t>Definition</w:t>
      </w:r>
      <w:r w:rsidRPr="00CE71B1">
        <w:rPr>
          <w:sz w:val="22"/>
          <w:szCs w:val="22"/>
        </w:rPr>
        <w:t>: Gross profit margin measures the percentage of revenue that exceeds the cost of goods sold (COGS). It's an indicator of the efficiency of production or purchasing processes.</w:t>
      </w:r>
    </w:p>
    <w:p w14:paraId="3879150C" w14:textId="77777777" w:rsidR="001C048A" w:rsidRPr="00CE71B1" w:rsidRDefault="001C048A" w:rsidP="001C048A">
      <w:pPr>
        <w:numPr>
          <w:ilvl w:val="0"/>
          <w:numId w:val="38"/>
        </w:numPr>
        <w:rPr>
          <w:sz w:val="22"/>
          <w:szCs w:val="22"/>
        </w:rPr>
      </w:pPr>
      <w:r w:rsidRPr="00CE71B1">
        <w:rPr>
          <w:b/>
          <w:bCs/>
          <w:sz w:val="22"/>
          <w:szCs w:val="22"/>
        </w:rPr>
        <w:t>Trend</w:t>
      </w:r>
      <w:r w:rsidRPr="00CE71B1">
        <w:rPr>
          <w:sz w:val="22"/>
          <w:szCs w:val="22"/>
        </w:rPr>
        <w:t>:</w:t>
      </w:r>
    </w:p>
    <w:p w14:paraId="182936DE" w14:textId="77777777" w:rsidR="001C048A" w:rsidRPr="00CE71B1" w:rsidRDefault="001C048A" w:rsidP="001C048A">
      <w:pPr>
        <w:numPr>
          <w:ilvl w:val="1"/>
          <w:numId w:val="38"/>
        </w:numPr>
        <w:tabs>
          <w:tab w:val="num" w:pos="720"/>
        </w:tabs>
        <w:rPr>
          <w:sz w:val="22"/>
          <w:szCs w:val="22"/>
        </w:rPr>
      </w:pPr>
      <w:r w:rsidRPr="00CE71B1">
        <w:rPr>
          <w:b/>
          <w:bCs/>
          <w:sz w:val="22"/>
          <w:szCs w:val="22"/>
        </w:rPr>
        <w:t>2024</w:t>
      </w:r>
      <w:r w:rsidRPr="00CE71B1">
        <w:rPr>
          <w:sz w:val="22"/>
          <w:szCs w:val="22"/>
        </w:rPr>
        <w:t>: 7.10%</w:t>
      </w:r>
    </w:p>
    <w:p w14:paraId="002A9D65" w14:textId="77777777" w:rsidR="001C048A" w:rsidRPr="00CE71B1" w:rsidRDefault="001C048A" w:rsidP="001C048A">
      <w:pPr>
        <w:numPr>
          <w:ilvl w:val="1"/>
          <w:numId w:val="38"/>
        </w:numPr>
        <w:tabs>
          <w:tab w:val="num" w:pos="720"/>
        </w:tabs>
        <w:rPr>
          <w:sz w:val="22"/>
          <w:szCs w:val="22"/>
        </w:rPr>
      </w:pPr>
      <w:r w:rsidRPr="00CE71B1">
        <w:rPr>
          <w:b/>
          <w:bCs/>
          <w:sz w:val="22"/>
          <w:szCs w:val="22"/>
        </w:rPr>
        <w:t>2023</w:t>
      </w:r>
      <w:r w:rsidRPr="00CE71B1">
        <w:rPr>
          <w:sz w:val="22"/>
          <w:szCs w:val="22"/>
        </w:rPr>
        <w:t>: 6.40%</w:t>
      </w:r>
    </w:p>
    <w:p w14:paraId="7DE4EEC0" w14:textId="77777777" w:rsidR="001C048A" w:rsidRPr="00CE71B1" w:rsidRDefault="001C048A" w:rsidP="001C048A">
      <w:pPr>
        <w:numPr>
          <w:ilvl w:val="1"/>
          <w:numId w:val="38"/>
        </w:numPr>
        <w:tabs>
          <w:tab w:val="num" w:pos="720"/>
        </w:tabs>
        <w:rPr>
          <w:sz w:val="22"/>
          <w:szCs w:val="22"/>
        </w:rPr>
      </w:pPr>
      <w:r w:rsidRPr="00CE71B1">
        <w:rPr>
          <w:b/>
          <w:bCs/>
          <w:sz w:val="22"/>
          <w:szCs w:val="22"/>
        </w:rPr>
        <w:t>2022</w:t>
      </w:r>
      <w:r w:rsidRPr="00CE71B1">
        <w:rPr>
          <w:sz w:val="22"/>
          <w:szCs w:val="22"/>
        </w:rPr>
        <w:t>: 7.80%</w:t>
      </w:r>
    </w:p>
    <w:p w14:paraId="408685C4" w14:textId="528350BA" w:rsidR="007C7945" w:rsidRPr="00CE71B1" w:rsidRDefault="001C048A" w:rsidP="007C7945">
      <w:pPr>
        <w:numPr>
          <w:ilvl w:val="1"/>
          <w:numId w:val="38"/>
        </w:numPr>
        <w:tabs>
          <w:tab w:val="num" w:pos="720"/>
        </w:tabs>
        <w:rPr>
          <w:sz w:val="22"/>
          <w:szCs w:val="22"/>
        </w:rPr>
      </w:pPr>
      <w:r w:rsidRPr="00CE71B1">
        <w:rPr>
          <w:b/>
          <w:bCs/>
          <w:sz w:val="22"/>
          <w:szCs w:val="22"/>
        </w:rPr>
        <w:t>2021</w:t>
      </w:r>
      <w:r w:rsidRPr="00CE71B1">
        <w:rPr>
          <w:sz w:val="22"/>
          <w:szCs w:val="22"/>
        </w:rPr>
        <w:t>: 6.00%</w:t>
      </w:r>
    </w:p>
    <w:p w14:paraId="4CA7127F" w14:textId="77777777" w:rsidR="007C7945" w:rsidRDefault="007C7945" w:rsidP="007C7945">
      <w:pPr>
        <w:numPr>
          <w:ilvl w:val="0"/>
          <w:numId w:val="39"/>
        </w:numPr>
        <w:tabs>
          <w:tab w:val="num" w:pos="1440"/>
        </w:tabs>
        <w:rPr>
          <w:sz w:val="22"/>
          <w:szCs w:val="22"/>
        </w:rPr>
      </w:pPr>
      <w:r w:rsidRPr="00CE71B1">
        <w:rPr>
          <w:b/>
          <w:bCs/>
          <w:sz w:val="22"/>
          <w:szCs w:val="22"/>
        </w:rPr>
        <w:t>Analysis</w:t>
      </w:r>
      <w:r w:rsidRPr="00CE71B1">
        <w:rPr>
          <w:sz w:val="22"/>
          <w:szCs w:val="22"/>
        </w:rPr>
        <w:t>: There is an improvement in the gross profit margin from 2023 to 2024 (6.40% to 7.10%), showing better efficiency or cost management. However, the margin was higher in 2022 (7.80%), indicating a slight decline in efficiency in subsequent years.</w:t>
      </w:r>
    </w:p>
    <w:p w14:paraId="026CEFA5" w14:textId="77777777" w:rsidR="00CE71B1" w:rsidRDefault="00CE71B1" w:rsidP="00CE71B1">
      <w:pPr>
        <w:tabs>
          <w:tab w:val="num" w:pos="1440"/>
        </w:tabs>
        <w:rPr>
          <w:sz w:val="22"/>
          <w:szCs w:val="22"/>
        </w:rPr>
      </w:pPr>
    </w:p>
    <w:p w14:paraId="29D2C693" w14:textId="77777777" w:rsidR="00CE71B1" w:rsidRDefault="00CE71B1" w:rsidP="00CE71B1">
      <w:pPr>
        <w:tabs>
          <w:tab w:val="num" w:pos="1440"/>
        </w:tabs>
        <w:rPr>
          <w:sz w:val="22"/>
          <w:szCs w:val="22"/>
        </w:rPr>
      </w:pPr>
    </w:p>
    <w:p w14:paraId="4E666B21" w14:textId="77777777" w:rsidR="00CE71B1" w:rsidRDefault="00CE71B1" w:rsidP="00CE71B1">
      <w:pPr>
        <w:tabs>
          <w:tab w:val="num" w:pos="1440"/>
        </w:tabs>
        <w:rPr>
          <w:sz w:val="22"/>
          <w:szCs w:val="22"/>
        </w:rPr>
      </w:pPr>
    </w:p>
    <w:p w14:paraId="16480C04" w14:textId="77777777" w:rsidR="00CE71B1" w:rsidRDefault="00CE71B1" w:rsidP="00CE71B1">
      <w:pPr>
        <w:tabs>
          <w:tab w:val="num" w:pos="1440"/>
        </w:tabs>
        <w:rPr>
          <w:sz w:val="22"/>
          <w:szCs w:val="22"/>
        </w:rPr>
      </w:pPr>
    </w:p>
    <w:p w14:paraId="0E60E59D" w14:textId="77777777" w:rsidR="00CE71B1" w:rsidRPr="00CE71B1" w:rsidRDefault="00CE71B1" w:rsidP="00CE71B1">
      <w:pPr>
        <w:tabs>
          <w:tab w:val="num" w:pos="1440"/>
        </w:tabs>
        <w:rPr>
          <w:sz w:val="22"/>
          <w:szCs w:val="22"/>
        </w:rPr>
      </w:pPr>
    </w:p>
    <w:p w14:paraId="407D64DC" w14:textId="77777777" w:rsidR="007C7945" w:rsidRPr="00CE71B1" w:rsidRDefault="007C7945" w:rsidP="007C7945">
      <w:pPr>
        <w:tabs>
          <w:tab w:val="num" w:pos="1440"/>
        </w:tabs>
        <w:rPr>
          <w:b/>
          <w:bCs/>
          <w:sz w:val="22"/>
          <w:szCs w:val="22"/>
        </w:rPr>
      </w:pPr>
      <w:r w:rsidRPr="00CE71B1">
        <w:rPr>
          <w:b/>
          <w:bCs/>
          <w:sz w:val="22"/>
          <w:szCs w:val="22"/>
        </w:rPr>
        <w:t>2. Operating Profit Margin</w:t>
      </w:r>
    </w:p>
    <w:p w14:paraId="259313C8" w14:textId="77777777" w:rsidR="007C7945" w:rsidRPr="00CE71B1" w:rsidRDefault="007C7945" w:rsidP="007C7945">
      <w:pPr>
        <w:numPr>
          <w:ilvl w:val="0"/>
          <w:numId w:val="40"/>
        </w:numPr>
        <w:tabs>
          <w:tab w:val="num" w:pos="1440"/>
        </w:tabs>
        <w:rPr>
          <w:sz w:val="22"/>
          <w:szCs w:val="22"/>
        </w:rPr>
      </w:pPr>
      <w:r w:rsidRPr="00CE71B1">
        <w:rPr>
          <w:b/>
          <w:bCs/>
          <w:sz w:val="22"/>
          <w:szCs w:val="22"/>
        </w:rPr>
        <w:t>Definition</w:t>
      </w:r>
      <w:r w:rsidRPr="00CE71B1">
        <w:rPr>
          <w:sz w:val="22"/>
          <w:szCs w:val="22"/>
        </w:rPr>
        <w:t>: Operating profit margin represents the percentage of revenue left after paying for variable costs of production, such as wages and raw materials, before paying interest or taxes.</w:t>
      </w:r>
    </w:p>
    <w:p w14:paraId="166A9A8E" w14:textId="77777777" w:rsidR="007C7945" w:rsidRPr="00CE71B1" w:rsidRDefault="007C7945" w:rsidP="007C7945">
      <w:pPr>
        <w:numPr>
          <w:ilvl w:val="0"/>
          <w:numId w:val="40"/>
        </w:numPr>
        <w:tabs>
          <w:tab w:val="num" w:pos="1440"/>
        </w:tabs>
        <w:rPr>
          <w:sz w:val="22"/>
          <w:szCs w:val="22"/>
        </w:rPr>
      </w:pPr>
      <w:r w:rsidRPr="00CE71B1">
        <w:rPr>
          <w:b/>
          <w:bCs/>
          <w:sz w:val="22"/>
          <w:szCs w:val="22"/>
        </w:rPr>
        <w:t>Trend</w:t>
      </w:r>
      <w:r w:rsidRPr="00CE71B1">
        <w:rPr>
          <w:sz w:val="22"/>
          <w:szCs w:val="22"/>
        </w:rPr>
        <w:t>:</w:t>
      </w:r>
    </w:p>
    <w:p w14:paraId="12B7E439" w14:textId="77777777" w:rsidR="007C7945" w:rsidRPr="00CE71B1" w:rsidRDefault="007C7945" w:rsidP="007C7945">
      <w:pPr>
        <w:numPr>
          <w:ilvl w:val="1"/>
          <w:numId w:val="40"/>
        </w:numPr>
        <w:rPr>
          <w:sz w:val="22"/>
          <w:szCs w:val="22"/>
        </w:rPr>
      </w:pPr>
      <w:r w:rsidRPr="00CE71B1">
        <w:rPr>
          <w:b/>
          <w:bCs/>
          <w:sz w:val="22"/>
          <w:szCs w:val="22"/>
        </w:rPr>
        <w:t>2024</w:t>
      </w:r>
      <w:r w:rsidRPr="00CE71B1">
        <w:rPr>
          <w:sz w:val="22"/>
          <w:szCs w:val="22"/>
        </w:rPr>
        <w:t>: 4.40%</w:t>
      </w:r>
    </w:p>
    <w:p w14:paraId="33BB1FBF" w14:textId="77777777" w:rsidR="007C7945" w:rsidRPr="00CE71B1" w:rsidRDefault="007C7945" w:rsidP="007C7945">
      <w:pPr>
        <w:numPr>
          <w:ilvl w:val="1"/>
          <w:numId w:val="40"/>
        </w:numPr>
        <w:rPr>
          <w:sz w:val="22"/>
          <w:szCs w:val="22"/>
        </w:rPr>
      </w:pPr>
      <w:r w:rsidRPr="00CE71B1">
        <w:rPr>
          <w:b/>
          <w:bCs/>
          <w:sz w:val="22"/>
          <w:szCs w:val="22"/>
        </w:rPr>
        <w:t>2023</w:t>
      </w:r>
      <w:r w:rsidRPr="00CE71B1">
        <w:rPr>
          <w:sz w:val="22"/>
          <w:szCs w:val="22"/>
        </w:rPr>
        <w:t>: 3.80%</w:t>
      </w:r>
    </w:p>
    <w:p w14:paraId="2CBDAF57" w14:textId="77777777" w:rsidR="007C7945" w:rsidRPr="00CE71B1" w:rsidRDefault="007C7945" w:rsidP="007C7945">
      <w:pPr>
        <w:numPr>
          <w:ilvl w:val="1"/>
          <w:numId w:val="40"/>
        </w:numPr>
        <w:rPr>
          <w:sz w:val="22"/>
          <w:szCs w:val="22"/>
        </w:rPr>
      </w:pPr>
      <w:r w:rsidRPr="00CE71B1">
        <w:rPr>
          <w:b/>
          <w:bCs/>
          <w:sz w:val="22"/>
          <w:szCs w:val="22"/>
        </w:rPr>
        <w:t>2022</w:t>
      </w:r>
      <w:r w:rsidRPr="00CE71B1">
        <w:rPr>
          <w:sz w:val="22"/>
          <w:szCs w:val="22"/>
        </w:rPr>
        <w:t>: 4.20%</w:t>
      </w:r>
    </w:p>
    <w:p w14:paraId="6BD8F52D" w14:textId="66DF6A0C" w:rsidR="007C7945" w:rsidRPr="00CE71B1" w:rsidRDefault="007C7945" w:rsidP="007C7945">
      <w:pPr>
        <w:numPr>
          <w:ilvl w:val="1"/>
          <w:numId w:val="40"/>
        </w:numPr>
        <w:rPr>
          <w:sz w:val="22"/>
          <w:szCs w:val="22"/>
        </w:rPr>
      </w:pPr>
      <w:r w:rsidRPr="00CE71B1">
        <w:rPr>
          <w:b/>
          <w:bCs/>
          <w:sz w:val="22"/>
          <w:szCs w:val="22"/>
        </w:rPr>
        <w:t>2021</w:t>
      </w:r>
      <w:r w:rsidRPr="00CE71B1">
        <w:rPr>
          <w:sz w:val="22"/>
          <w:szCs w:val="22"/>
        </w:rPr>
        <w:t>: 1.50%</w:t>
      </w:r>
    </w:p>
    <w:p w14:paraId="55B5B778" w14:textId="77777777" w:rsidR="00F906AE" w:rsidRPr="00CE71B1" w:rsidRDefault="00F906AE" w:rsidP="00F906AE">
      <w:pPr>
        <w:numPr>
          <w:ilvl w:val="0"/>
          <w:numId w:val="41"/>
        </w:numPr>
        <w:rPr>
          <w:sz w:val="22"/>
          <w:szCs w:val="22"/>
        </w:rPr>
      </w:pPr>
      <w:r w:rsidRPr="00CE71B1">
        <w:rPr>
          <w:b/>
          <w:bCs/>
          <w:sz w:val="22"/>
          <w:szCs w:val="22"/>
        </w:rPr>
        <w:t>Analysis</w:t>
      </w:r>
      <w:r w:rsidRPr="00CE71B1">
        <w:rPr>
          <w:sz w:val="22"/>
          <w:szCs w:val="22"/>
        </w:rPr>
        <w:t>: The operating profit margin has generally improved, especially from 2021 (1.50%) to 2022 (4.20%). The margin slightly declined in 2023 (3.80%) but recovered in 2024 (4.40%).</w:t>
      </w:r>
    </w:p>
    <w:p w14:paraId="70C70DC6" w14:textId="77777777" w:rsidR="00DE23B1" w:rsidRPr="00CE71B1" w:rsidRDefault="00DE23B1" w:rsidP="00DE23B1">
      <w:pPr>
        <w:rPr>
          <w:sz w:val="22"/>
          <w:szCs w:val="22"/>
        </w:rPr>
      </w:pPr>
    </w:p>
    <w:p w14:paraId="10B74FB4" w14:textId="77777777" w:rsidR="00DE23B1" w:rsidRPr="00CE71B1" w:rsidRDefault="00DE23B1" w:rsidP="00DE23B1">
      <w:pPr>
        <w:rPr>
          <w:sz w:val="22"/>
          <w:szCs w:val="22"/>
        </w:rPr>
      </w:pPr>
    </w:p>
    <w:p w14:paraId="374C4951" w14:textId="77777777" w:rsidR="00F906AE" w:rsidRPr="00CE71B1" w:rsidRDefault="00F906AE" w:rsidP="00F906AE">
      <w:pPr>
        <w:rPr>
          <w:b/>
          <w:bCs/>
          <w:sz w:val="22"/>
          <w:szCs w:val="22"/>
        </w:rPr>
      </w:pPr>
      <w:r w:rsidRPr="00CE71B1">
        <w:rPr>
          <w:b/>
          <w:bCs/>
          <w:sz w:val="22"/>
          <w:szCs w:val="22"/>
        </w:rPr>
        <w:t>3. Net Profit Margin</w:t>
      </w:r>
    </w:p>
    <w:p w14:paraId="04A57049" w14:textId="77777777" w:rsidR="00F906AE" w:rsidRPr="00CE71B1" w:rsidRDefault="00F906AE" w:rsidP="00F906AE">
      <w:pPr>
        <w:numPr>
          <w:ilvl w:val="0"/>
          <w:numId w:val="42"/>
        </w:numPr>
        <w:rPr>
          <w:sz w:val="22"/>
          <w:szCs w:val="22"/>
        </w:rPr>
      </w:pPr>
      <w:r w:rsidRPr="00CE71B1">
        <w:rPr>
          <w:b/>
          <w:bCs/>
          <w:sz w:val="22"/>
          <w:szCs w:val="22"/>
        </w:rPr>
        <w:t>Definition</w:t>
      </w:r>
      <w:r w:rsidRPr="00CE71B1">
        <w:rPr>
          <w:sz w:val="22"/>
          <w:szCs w:val="22"/>
        </w:rPr>
        <w:t>: Net profit margin measures the percentage of revenue that remains as profit after all expenses have been deducted.</w:t>
      </w:r>
    </w:p>
    <w:p w14:paraId="59D15B69" w14:textId="77777777" w:rsidR="00F906AE" w:rsidRPr="00CE71B1" w:rsidRDefault="00F906AE" w:rsidP="00F906AE">
      <w:pPr>
        <w:numPr>
          <w:ilvl w:val="0"/>
          <w:numId w:val="42"/>
        </w:numPr>
        <w:rPr>
          <w:sz w:val="22"/>
          <w:szCs w:val="22"/>
        </w:rPr>
      </w:pPr>
      <w:r w:rsidRPr="00CE71B1">
        <w:rPr>
          <w:b/>
          <w:bCs/>
          <w:sz w:val="22"/>
          <w:szCs w:val="22"/>
        </w:rPr>
        <w:t>Trend</w:t>
      </w:r>
      <w:r w:rsidRPr="00CE71B1">
        <w:rPr>
          <w:sz w:val="22"/>
          <w:szCs w:val="22"/>
        </w:rPr>
        <w:t>:</w:t>
      </w:r>
    </w:p>
    <w:p w14:paraId="4FACC281" w14:textId="77777777" w:rsidR="00F906AE" w:rsidRPr="00CE71B1" w:rsidRDefault="00F906AE" w:rsidP="00F906AE">
      <w:pPr>
        <w:numPr>
          <w:ilvl w:val="1"/>
          <w:numId w:val="42"/>
        </w:numPr>
        <w:rPr>
          <w:sz w:val="22"/>
          <w:szCs w:val="22"/>
        </w:rPr>
      </w:pPr>
      <w:r w:rsidRPr="00CE71B1">
        <w:rPr>
          <w:b/>
          <w:bCs/>
          <w:sz w:val="22"/>
          <w:szCs w:val="22"/>
        </w:rPr>
        <w:t>2024</w:t>
      </w:r>
      <w:r w:rsidRPr="00CE71B1">
        <w:rPr>
          <w:sz w:val="22"/>
          <w:szCs w:val="22"/>
        </w:rPr>
        <w:t>: 1.70%</w:t>
      </w:r>
    </w:p>
    <w:p w14:paraId="31AEB644" w14:textId="77777777" w:rsidR="00F906AE" w:rsidRPr="00CE71B1" w:rsidRDefault="00F906AE" w:rsidP="00F906AE">
      <w:pPr>
        <w:numPr>
          <w:ilvl w:val="1"/>
          <w:numId w:val="42"/>
        </w:numPr>
        <w:rPr>
          <w:sz w:val="22"/>
          <w:szCs w:val="22"/>
        </w:rPr>
      </w:pPr>
      <w:r w:rsidRPr="00CE71B1">
        <w:rPr>
          <w:b/>
          <w:bCs/>
          <w:sz w:val="22"/>
          <w:szCs w:val="22"/>
        </w:rPr>
        <w:t>2023</w:t>
      </w:r>
      <w:r w:rsidRPr="00CE71B1">
        <w:rPr>
          <w:sz w:val="22"/>
          <w:szCs w:val="22"/>
        </w:rPr>
        <w:t>: 1.50%</w:t>
      </w:r>
    </w:p>
    <w:p w14:paraId="16931BA8" w14:textId="77777777" w:rsidR="00F906AE" w:rsidRPr="00CE71B1" w:rsidRDefault="00F906AE" w:rsidP="00F906AE">
      <w:pPr>
        <w:numPr>
          <w:ilvl w:val="1"/>
          <w:numId w:val="42"/>
        </w:numPr>
        <w:rPr>
          <w:sz w:val="22"/>
          <w:szCs w:val="22"/>
        </w:rPr>
      </w:pPr>
      <w:r w:rsidRPr="00CE71B1">
        <w:rPr>
          <w:b/>
          <w:bCs/>
          <w:sz w:val="22"/>
          <w:szCs w:val="22"/>
        </w:rPr>
        <w:t>2022</w:t>
      </w:r>
      <w:r w:rsidRPr="00CE71B1">
        <w:rPr>
          <w:sz w:val="22"/>
          <w:szCs w:val="22"/>
        </w:rPr>
        <w:t>: 1.10%</w:t>
      </w:r>
    </w:p>
    <w:p w14:paraId="2498C46A" w14:textId="77777777" w:rsidR="00F906AE" w:rsidRDefault="00F906AE" w:rsidP="00F906AE">
      <w:pPr>
        <w:numPr>
          <w:ilvl w:val="1"/>
          <w:numId w:val="42"/>
        </w:numPr>
        <w:rPr>
          <w:sz w:val="22"/>
          <w:szCs w:val="22"/>
        </w:rPr>
      </w:pPr>
      <w:r w:rsidRPr="00CE71B1">
        <w:rPr>
          <w:b/>
          <w:bCs/>
          <w:sz w:val="22"/>
          <w:szCs w:val="22"/>
        </w:rPr>
        <w:t>2021</w:t>
      </w:r>
      <w:r w:rsidRPr="00CE71B1">
        <w:rPr>
          <w:sz w:val="22"/>
          <w:szCs w:val="22"/>
        </w:rPr>
        <w:t>: 1.90%</w:t>
      </w:r>
    </w:p>
    <w:p w14:paraId="50174645" w14:textId="77777777" w:rsidR="00AA186D" w:rsidRDefault="00AA186D" w:rsidP="00AA186D">
      <w:pPr>
        <w:rPr>
          <w:sz w:val="22"/>
          <w:szCs w:val="22"/>
        </w:rPr>
      </w:pPr>
    </w:p>
    <w:p w14:paraId="2E3D0121" w14:textId="77777777" w:rsidR="00AA186D" w:rsidRDefault="00AA186D" w:rsidP="00AA186D">
      <w:pPr>
        <w:rPr>
          <w:sz w:val="22"/>
          <w:szCs w:val="22"/>
        </w:rPr>
      </w:pPr>
    </w:p>
    <w:p w14:paraId="274C0E06" w14:textId="77777777" w:rsidR="00AA186D" w:rsidRPr="00CE71B1" w:rsidRDefault="00AA186D" w:rsidP="00AA186D">
      <w:pPr>
        <w:rPr>
          <w:sz w:val="22"/>
          <w:szCs w:val="22"/>
        </w:rPr>
      </w:pPr>
    </w:p>
    <w:p w14:paraId="13B3DBD2" w14:textId="77777777" w:rsidR="00F906AE" w:rsidRPr="00CE71B1" w:rsidRDefault="00F906AE" w:rsidP="00F906AE">
      <w:pPr>
        <w:numPr>
          <w:ilvl w:val="0"/>
          <w:numId w:val="42"/>
        </w:numPr>
        <w:rPr>
          <w:sz w:val="22"/>
          <w:szCs w:val="22"/>
        </w:rPr>
      </w:pPr>
      <w:r w:rsidRPr="00CE71B1">
        <w:rPr>
          <w:b/>
          <w:bCs/>
          <w:sz w:val="22"/>
          <w:szCs w:val="22"/>
        </w:rPr>
        <w:t>Analysis</w:t>
      </w:r>
      <w:r w:rsidRPr="00CE71B1">
        <w:rPr>
          <w:sz w:val="22"/>
          <w:szCs w:val="22"/>
        </w:rPr>
        <w:t>: The net profit margin has been somewhat volatile. It decreased significantly from 2021 (1.90%) to 2022 (1.10%) but has gradually improved over the next two years, reaching 1.70% in 2024.</w:t>
      </w:r>
    </w:p>
    <w:p w14:paraId="7604BB70" w14:textId="77777777" w:rsidR="00F906AE" w:rsidRPr="00CE71B1" w:rsidRDefault="00F906AE" w:rsidP="00F906AE">
      <w:pPr>
        <w:rPr>
          <w:b/>
          <w:bCs/>
          <w:sz w:val="22"/>
          <w:szCs w:val="22"/>
        </w:rPr>
      </w:pPr>
      <w:r w:rsidRPr="00CE71B1">
        <w:rPr>
          <w:b/>
          <w:bCs/>
          <w:sz w:val="22"/>
          <w:szCs w:val="22"/>
        </w:rPr>
        <w:t>4. Return on Assets (ROA)</w:t>
      </w:r>
    </w:p>
    <w:p w14:paraId="2E97A1B6" w14:textId="77777777" w:rsidR="00F906AE" w:rsidRPr="00CE71B1" w:rsidRDefault="00F906AE" w:rsidP="00F906AE">
      <w:pPr>
        <w:numPr>
          <w:ilvl w:val="0"/>
          <w:numId w:val="43"/>
        </w:numPr>
        <w:rPr>
          <w:sz w:val="22"/>
          <w:szCs w:val="22"/>
        </w:rPr>
      </w:pPr>
      <w:r w:rsidRPr="00CE71B1">
        <w:rPr>
          <w:b/>
          <w:bCs/>
          <w:sz w:val="22"/>
          <w:szCs w:val="22"/>
        </w:rPr>
        <w:t>Definition</w:t>
      </w:r>
      <w:r w:rsidRPr="00CE71B1">
        <w:rPr>
          <w:sz w:val="22"/>
          <w:szCs w:val="22"/>
        </w:rPr>
        <w:t>: Return on assets indicates how profitable a company is relative to its total assets. It measures how efficiently a company is using its assets to generate earnings.</w:t>
      </w:r>
    </w:p>
    <w:p w14:paraId="0A239DDC" w14:textId="77777777" w:rsidR="00F906AE" w:rsidRPr="00CE71B1" w:rsidRDefault="00F906AE" w:rsidP="00F906AE">
      <w:pPr>
        <w:numPr>
          <w:ilvl w:val="0"/>
          <w:numId w:val="43"/>
        </w:numPr>
        <w:rPr>
          <w:sz w:val="22"/>
          <w:szCs w:val="22"/>
        </w:rPr>
      </w:pPr>
      <w:r w:rsidRPr="00CE71B1">
        <w:rPr>
          <w:b/>
          <w:bCs/>
          <w:sz w:val="22"/>
          <w:szCs w:val="22"/>
        </w:rPr>
        <w:lastRenderedPageBreak/>
        <w:t>Trend</w:t>
      </w:r>
      <w:r w:rsidRPr="00CE71B1">
        <w:rPr>
          <w:sz w:val="22"/>
          <w:szCs w:val="22"/>
        </w:rPr>
        <w:t>:</w:t>
      </w:r>
    </w:p>
    <w:p w14:paraId="136BB320" w14:textId="77777777" w:rsidR="00F906AE" w:rsidRPr="00CE71B1" w:rsidRDefault="00F906AE" w:rsidP="00F906AE">
      <w:pPr>
        <w:numPr>
          <w:ilvl w:val="1"/>
          <w:numId w:val="43"/>
        </w:numPr>
        <w:rPr>
          <w:sz w:val="22"/>
          <w:szCs w:val="22"/>
        </w:rPr>
      </w:pPr>
      <w:r w:rsidRPr="00CE71B1">
        <w:rPr>
          <w:b/>
          <w:bCs/>
          <w:sz w:val="22"/>
          <w:szCs w:val="22"/>
        </w:rPr>
        <w:t>2024</w:t>
      </w:r>
      <w:r w:rsidRPr="00CE71B1">
        <w:rPr>
          <w:sz w:val="22"/>
          <w:szCs w:val="22"/>
        </w:rPr>
        <w:t>: 1.80%</w:t>
      </w:r>
    </w:p>
    <w:p w14:paraId="25C3A0ED" w14:textId="77777777" w:rsidR="00F906AE" w:rsidRPr="00CE71B1" w:rsidRDefault="00F906AE" w:rsidP="00F906AE">
      <w:pPr>
        <w:numPr>
          <w:ilvl w:val="1"/>
          <w:numId w:val="43"/>
        </w:numPr>
        <w:rPr>
          <w:sz w:val="22"/>
          <w:szCs w:val="22"/>
        </w:rPr>
      </w:pPr>
      <w:r w:rsidRPr="00CE71B1">
        <w:rPr>
          <w:b/>
          <w:bCs/>
          <w:sz w:val="22"/>
          <w:szCs w:val="22"/>
        </w:rPr>
        <w:t>2023</w:t>
      </w:r>
      <w:r w:rsidRPr="00CE71B1">
        <w:rPr>
          <w:sz w:val="22"/>
          <w:szCs w:val="22"/>
        </w:rPr>
        <w:t>: 1.90%</w:t>
      </w:r>
    </w:p>
    <w:p w14:paraId="5D0176D1" w14:textId="77777777" w:rsidR="00F906AE" w:rsidRPr="00CE71B1" w:rsidRDefault="00F906AE" w:rsidP="00F906AE">
      <w:pPr>
        <w:numPr>
          <w:ilvl w:val="1"/>
          <w:numId w:val="43"/>
        </w:numPr>
        <w:rPr>
          <w:sz w:val="22"/>
          <w:szCs w:val="22"/>
        </w:rPr>
      </w:pPr>
      <w:r w:rsidRPr="00CE71B1">
        <w:rPr>
          <w:b/>
          <w:bCs/>
          <w:sz w:val="22"/>
          <w:szCs w:val="22"/>
        </w:rPr>
        <w:t>2022</w:t>
      </w:r>
      <w:r w:rsidRPr="00CE71B1">
        <w:rPr>
          <w:sz w:val="22"/>
          <w:szCs w:val="22"/>
        </w:rPr>
        <w:t>: 1.30%</w:t>
      </w:r>
    </w:p>
    <w:p w14:paraId="1C381E26" w14:textId="77777777" w:rsidR="00F906AE" w:rsidRPr="00CE71B1" w:rsidRDefault="00F906AE" w:rsidP="00F906AE">
      <w:pPr>
        <w:numPr>
          <w:ilvl w:val="1"/>
          <w:numId w:val="43"/>
        </w:numPr>
        <w:rPr>
          <w:sz w:val="22"/>
          <w:szCs w:val="22"/>
        </w:rPr>
      </w:pPr>
      <w:r w:rsidRPr="00CE71B1">
        <w:rPr>
          <w:b/>
          <w:bCs/>
          <w:sz w:val="22"/>
          <w:szCs w:val="22"/>
        </w:rPr>
        <w:t>2021</w:t>
      </w:r>
      <w:r w:rsidRPr="00CE71B1">
        <w:rPr>
          <w:sz w:val="22"/>
          <w:szCs w:val="22"/>
        </w:rPr>
        <w:t>: 2.60%</w:t>
      </w:r>
    </w:p>
    <w:p w14:paraId="2FE952B3" w14:textId="77777777" w:rsidR="00F906AE" w:rsidRPr="00CE71B1" w:rsidRDefault="00F906AE" w:rsidP="00F906AE">
      <w:pPr>
        <w:numPr>
          <w:ilvl w:val="0"/>
          <w:numId w:val="43"/>
        </w:numPr>
        <w:rPr>
          <w:sz w:val="22"/>
          <w:szCs w:val="22"/>
        </w:rPr>
      </w:pPr>
      <w:r w:rsidRPr="00CE71B1">
        <w:rPr>
          <w:b/>
          <w:bCs/>
          <w:sz w:val="22"/>
          <w:szCs w:val="22"/>
        </w:rPr>
        <w:t>Analysis</w:t>
      </w:r>
      <w:r w:rsidRPr="00CE71B1">
        <w:rPr>
          <w:sz w:val="22"/>
          <w:szCs w:val="22"/>
        </w:rPr>
        <w:t>: ROA has generally decreased over time. The highest ROA was in 2021 (2.60%), and it declined to 1.30% in 2022, followed by a slight improvement in 2023 and a slight dip in 2024.</w:t>
      </w:r>
    </w:p>
    <w:p w14:paraId="42797828" w14:textId="77777777" w:rsidR="00DE23B1" w:rsidRPr="00CE71B1" w:rsidRDefault="00DE23B1" w:rsidP="00DE23B1">
      <w:pPr>
        <w:rPr>
          <w:sz w:val="22"/>
          <w:szCs w:val="22"/>
        </w:rPr>
      </w:pPr>
    </w:p>
    <w:p w14:paraId="241A5CC3" w14:textId="77777777" w:rsidR="00DE23B1" w:rsidRPr="00CE71B1" w:rsidRDefault="00DE23B1" w:rsidP="00DE23B1">
      <w:pPr>
        <w:rPr>
          <w:sz w:val="22"/>
          <w:szCs w:val="22"/>
        </w:rPr>
      </w:pPr>
    </w:p>
    <w:p w14:paraId="6D2F395E" w14:textId="77777777" w:rsidR="00977371" w:rsidRPr="00CE71B1" w:rsidRDefault="00977371" w:rsidP="00DE23B1">
      <w:pPr>
        <w:rPr>
          <w:sz w:val="22"/>
          <w:szCs w:val="22"/>
        </w:rPr>
      </w:pPr>
    </w:p>
    <w:p w14:paraId="25166E07" w14:textId="77777777" w:rsidR="00F906AE" w:rsidRPr="00CE71B1" w:rsidRDefault="00F906AE" w:rsidP="00F906AE">
      <w:pPr>
        <w:rPr>
          <w:b/>
          <w:bCs/>
          <w:sz w:val="22"/>
          <w:szCs w:val="22"/>
        </w:rPr>
      </w:pPr>
      <w:r w:rsidRPr="00CE71B1">
        <w:rPr>
          <w:b/>
          <w:bCs/>
          <w:sz w:val="22"/>
          <w:szCs w:val="22"/>
        </w:rPr>
        <w:t>5. Return on Equity (ROE)</w:t>
      </w:r>
    </w:p>
    <w:p w14:paraId="6887C394" w14:textId="77777777" w:rsidR="00F906AE" w:rsidRPr="00CE71B1" w:rsidRDefault="00F906AE" w:rsidP="00F906AE">
      <w:pPr>
        <w:numPr>
          <w:ilvl w:val="0"/>
          <w:numId w:val="44"/>
        </w:numPr>
        <w:rPr>
          <w:sz w:val="22"/>
          <w:szCs w:val="22"/>
        </w:rPr>
      </w:pPr>
      <w:r w:rsidRPr="00CE71B1">
        <w:rPr>
          <w:b/>
          <w:bCs/>
          <w:sz w:val="22"/>
          <w:szCs w:val="22"/>
        </w:rPr>
        <w:t>Definition</w:t>
      </w:r>
      <w:r w:rsidRPr="00CE71B1">
        <w:rPr>
          <w:sz w:val="22"/>
          <w:szCs w:val="22"/>
        </w:rPr>
        <w:t>: Return on equity measures the profitability of a business in relation to shareholders’ equity. It indicates how well the company is using the shareholders' investments to generate profits.</w:t>
      </w:r>
    </w:p>
    <w:p w14:paraId="3B66F815" w14:textId="77777777" w:rsidR="00F906AE" w:rsidRPr="00CE71B1" w:rsidRDefault="00F906AE" w:rsidP="00F906AE">
      <w:pPr>
        <w:numPr>
          <w:ilvl w:val="0"/>
          <w:numId w:val="44"/>
        </w:numPr>
        <w:rPr>
          <w:sz w:val="22"/>
          <w:szCs w:val="22"/>
        </w:rPr>
      </w:pPr>
      <w:r w:rsidRPr="00CE71B1">
        <w:rPr>
          <w:b/>
          <w:bCs/>
          <w:sz w:val="22"/>
          <w:szCs w:val="22"/>
        </w:rPr>
        <w:t>Trend</w:t>
      </w:r>
      <w:r w:rsidRPr="00CE71B1">
        <w:rPr>
          <w:sz w:val="22"/>
          <w:szCs w:val="22"/>
        </w:rPr>
        <w:t>:</w:t>
      </w:r>
    </w:p>
    <w:p w14:paraId="78480602" w14:textId="77777777" w:rsidR="00F906AE" w:rsidRPr="00CE71B1" w:rsidRDefault="00F906AE" w:rsidP="00F906AE">
      <w:pPr>
        <w:numPr>
          <w:ilvl w:val="1"/>
          <w:numId w:val="44"/>
        </w:numPr>
        <w:rPr>
          <w:sz w:val="22"/>
          <w:szCs w:val="22"/>
        </w:rPr>
      </w:pPr>
      <w:r w:rsidRPr="00CE71B1">
        <w:rPr>
          <w:b/>
          <w:bCs/>
          <w:sz w:val="22"/>
          <w:szCs w:val="22"/>
        </w:rPr>
        <w:t>2024</w:t>
      </w:r>
      <w:r w:rsidRPr="00CE71B1">
        <w:rPr>
          <w:sz w:val="22"/>
          <w:szCs w:val="22"/>
        </w:rPr>
        <w:t>: 5.00%</w:t>
      </w:r>
    </w:p>
    <w:p w14:paraId="7E1B6665" w14:textId="77777777" w:rsidR="00F906AE" w:rsidRPr="00CE71B1" w:rsidRDefault="00F906AE" w:rsidP="00F906AE">
      <w:pPr>
        <w:numPr>
          <w:ilvl w:val="1"/>
          <w:numId w:val="44"/>
        </w:numPr>
        <w:rPr>
          <w:sz w:val="22"/>
          <w:szCs w:val="22"/>
        </w:rPr>
      </w:pPr>
      <w:r w:rsidRPr="00CE71B1">
        <w:rPr>
          <w:b/>
          <w:bCs/>
          <w:sz w:val="22"/>
          <w:szCs w:val="22"/>
        </w:rPr>
        <w:t>2023</w:t>
      </w:r>
      <w:r w:rsidRPr="00CE71B1">
        <w:rPr>
          <w:sz w:val="22"/>
          <w:szCs w:val="22"/>
        </w:rPr>
        <w:t>: 5.20%</w:t>
      </w:r>
    </w:p>
    <w:p w14:paraId="7C3431A4" w14:textId="77777777" w:rsidR="00F906AE" w:rsidRPr="00CE71B1" w:rsidRDefault="00F906AE" w:rsidP="00F906AE">
      <w:pPr>
        <w:numPr>
          <w:ilvl w:val="1"/>
          <w:numId w:val="44"/>
        </w:numPr>
        <w:rPr>
          <w:sz w:val="22"/>
          <w:szCs w:val="22"/>
        </w:rPr>
      </w:pPr>
      <w:r w:rsidRPr="00CE71B1">
        <w:rPr>
          <w:b/>
          <w:bCs/>
          <w:sz w:val="22"/>
          <w:szCs w:val="22"/>
        </w:rPr>
        <w:t>2022</w:t>
      </w:r>
      <w:r w:rsidRPr="00CE71B1">
        <w:rPr>
          <w:sz w:val="22"/>
          <w:szCs w:val="22"/>
        </w:rPr>
        <w:t>: 4.10%</w:t>
      </w:r>
    </w:p>
    <w:p w14:paraId="796151A4" w14:textId="77777777" w:rsidR="00F906AE" w:rsidRPr="00CE71B1" w:rsidRDefault="00F906AE" w:rsidP="00F906AE">
      <w:pPr>
        <w:numPr>
          <w:ilvl w:val="1"/>
          <w:numId w:val="44"/>
        </w:numPr>
        <w:rPr>
          <w:sz w:val="22"/>
          <w:szCs w:val="22"/>
        </w:rPr>
      </w:pPr>
      <w:r w:rsidRPr="00CE71B1">
        <w:rPr>
          <w:b/>
          <w:bCs/>
          <w:sz w:val="22"/>
          <w:szCs w:val="22"/>
        </w:rPr>
        <w:t>2021</w:t>
      </w:r>
      <w:r w:rsidRPr="00CE71B1">
        <w:rPr>
          <w:sz w:val="22"/>
          <w:szCs w:val="22"/>
        </w:rPr>
        <w:t>: 9.80%</w:t>
      </w:r>
    </w:p>
    <w:p w14:paraId="25860487" w14:textId="77777777" w:rsidR="00F906AE" w:rsidRPr="00CE71B1" w:rsidRDefault="00F906AE" w:rsidP="00F906AE">
      <w:pPr>
        <w:numPr>
          <w:ilvl w:val="0"/>
          <w:numId w:val="44"/>
        </w:numPr>
        <w:rPr>
          <w:sz w:val="22"/>
          <w:szCs w:val="22"/>
        </w:rPr>
      </w:pPr>
      <w:r w:rsidRPr="00CE71B1">
        <w:rPr>
          <w:b/>
          <w:bCs/>
          <w:sz w:val="22"/>
          <w:szCs w:val="22"/>
        </w:rPr>
        <w:t>Analysis</w:t>
      </w:r>
      <w:r w:rsidRPr="00CE71B1">
        <w:rPr>
          <w:sz w:val="22"/>
          <w:szCs w:val="22"/>
        </w:rPr>
        <w:t>: ROE has seen a significant decline from 2021 (9.80%) to 2022 (4.10%). While it slightly improved in 2023 (5.20%), it slightly decreased again in 2024 to 5.00%.</w:t>
      </w:r>
    </w:p>
    <w:p w14:paraId="216883F0" w14:textId="77777777" w:rsidR="00F906AE" w:rsidRPr="00CE71B1" w:rsidRDefault="00F906AE" w:rsidP="00F906AE">
      <w:pPr>
        <w:rPr>
          <w:b/>
          <w:bCs/>
          <w:sz w:val="22"/>
          <w:szCs w:val="22"/>
        </w:rPr>
      </w:pPr>
      <w:r w:rsidRPr="00CE71B1">
        <w:rPr>
          <w:b/>
          <w:bCs/>
          <w:sz w:val="22"/>
          <w:szCs w:val="22"/>
        </w:rPr>
        <w:t>Overall Analysis</w:t>
      </w:r>
    </w:p>
    <w:p w14:paraId="419A604F" w14:textId="77777777" w:rsidR="00F906AE" w:rsidRPr="00CE71B1" w:rsidRDefault="00F906AE" w:rsidP="00F906AE">
      <w:pPr>
        <w:numPr>
          <w:ilvl w:val="0"/>
          <w:numId w:val="45"/>
        </w:numPr>
        <w:rPr>
          <w:sz w:val="22"/>
          <w:szCs w:val="22"/>
        </w:rPr>
      </w:pPr>
      <w:r w:rsidRPr="00CE71B1">
        <w:rPr>
          <w:b/>
          <w:bCs/>
          <w:sz w:val="22"/>
          <w:szCs w:val="22"/>
        </w:rPr>
        <w:t>Positive Trends</w:t>
      </w:r>
      <w:r w:rsidRPr="00CE71B1">
        <w:rPr>
          <w:sz w:val="22"/>
          <w:szCs w:val="22"/>
        </w:rPr>
        <w:t>: There are improvements in the gross profit margin and operating profit margin from 2023 to 2024, suggesting better cost management and operational efficiency.</w:t>
      </w:r>
    </w:p>
    <w:p w14:paraId="5A6D9389" w14:textId="77777777" w:rsidR="00F906AE" w:rsidRPr="00CE71B1" w:rsidRDefault="00F906AE" w:rsidP="00F906AE">
      <w:pPr>
        <w:numPr>
          <w:ilvl w:val="0"/>
          <w:numId w:val="45"/>
        </w:numPr>
        <w:rPr>
          <w:sz w:val="22"/>
          <w:szCs w:val="22"/>
        </w:rPr>
      </w:pPr>
      <w:r w:rsidRPr="00CE71B1">
        <w:rPr>
          <w:b/>
          <w:bCs/>
          <w:sz w:val="22"/>
          <w:szCs w:val="22"/>
        </w:rPr>
        <w:t>Concerns</w:t>
      </w:r>
      <w:r w:rsidRPr="00CE71B1">
        <w:rPr>
          <w:sz w:val="22"/>
          <w:szCs w:val="22"/>
        </w:rPr>
        <w:t>: The net profit margin is still lower than in 2021, and both ROA and ROE have decreased over the years, indicating potential issues in profitability and asset utilization.</w:t>
      </w:r>
    </w:p>
    <w:p w14:paraId="38C1CAA2" w14:textId="6C789011" w:rsidR="00F906AE" w:rsidRPr="00CE71B1" w:rsidRDefault="00F906AE" w:rsidP="004B2956">
      <w:pPr>
        <w:numPr>
          <w:ilvl w:val="0"/>
          <w:numId w:val="45"/>
        </w:numPr>
        <w:spacing w:line="360" w:lineRule="auto"/>
        <w:rPr>
          <w:sz w:val="22"/>
          <w:szCs w:val="22"/>
        </w:rPr>
      </w:pPr>
      <w:r w:rsidRPr="00CE71B1">
        <w:rPr>
          <w:b/>
          <w:bCs/>
          <w:sz w:val="22"/>
          <w:szCs w:val="22"/>
        </w:rPr>
        <w:t>Summary</w:t>
      </w:r>
      <w:r w:rsidRPr="00CE71B1">
        <w:rPr>
          <w:sz w:val="22"/>
          <w:szCs w:val="22"/>
        </w:rPr>
        <w:t xml:space="preserve">: </w:t>
      </w:r>
      <w:r w:rsidR="00B21FDA" w:rsidRPr="00CE71B1">
        <w:rPr>
          <w:sz w:val="22"/>
          <w:szCs w:val="22"/>
        </w:rPr>
        <w:t>Sain</w:t>
      </w:r>
      <w:r w:rsidR="00C813B3">
        <w:rPr>
          <w:sz w:val="22"/>
          <w:szCs w:val="22"/>
        </w:rPr>
        <w:t>t</w:t>
      </w:r>
      <w:r w:rsidR="00B21FDA" w:rsidRPr="00CE71B1">
        <w:rPr>
          <w:sz w:val="22"/>
          <w:szCs w:val="22"/>
        </w:rPr>
        <w:t>sbury</w:t>
      </w:r>
      <w:r w:rsidRPr="00CE71B1">
        <w:rPr>
          <w:sz w:val="22"/>
          <w:szCs w:val="22"/>
        </w:rPr>
        <w:t xml:space="preserve"> seems to have made some operational improvements in recent years, but challenges remain in profitability and returns on assets and equity, reflecting potential underlying issues in efficiency or market conditions.</w:t>
      </w:r>
    </w:p>
    <w:p w14:paraId="389981E3" w14:textId="10DA654B" w:rsidR="005B7110" w:rsidRPr="00A77FCB" w:rsidRDefault="005B7110" w:rsidP="004B2956">
      <w:pPr>
        <w:spacing w:line="360" w:lineRule="auto"/>
        <w:rPr>
          <w:b/>
          <w:bCs/>
          <w:sz w:val="22"/>
          <w:szCs w:val="22"/>
        </w:rPr>
      </w:pPr>
      <w:r w:rsidRPr="00A77FCB">
        <w:rPr>
          <w:b/>
          <w:bCs/>
          <w:sz w:val="22"/>
          <w:szCs w:val="22"/>
        </w:rPr>
        <w:t xml:space="preserve">Overall </w:t>
      </w:r>
      <w:r w:rsidR="00A77FCB" w:rsidRPr="00A77FCB">
        <w:rPr>
          <w:b/>
          <w:bCs/>
          <w:sz w:val="22"/>
          <w:szCs w:val="22"/>
        </w:rPr>
        <w:t>comparison</w:t>
      </w:r>
      <w:r w:rsidR="00A84F15">
        <w:rPr>
          <w:b/>
          <w:bCs/>
          <w:sz w:val="22"/>
          <w:szCs w:val="22"/>
        </w:rPr>
        <w:t xml:space="preserve"> for the profitability </w:t>
      </w:r>
      <w:r w:rsidR="00963892">
        <w:rPr>
          <w:b/>
          <w:bCs/>
          <w:sz w:val="22"/>
          <w:szCs w:val="22"/>
        </w:rPr>
        <w:t>financial statements</w:t>
      </w:r>
      <w:r w:rsidR="0003232A">
        <w:rPr>
          <w:b/>
          <w:bCs/>
          <w:sz w:val="22"/>
          <w:szCs w:val="22"/>
        </w:rPr>
        <w:t xml:space="preserve"> for Tesco plc and </w:t>
      </w:r>
      <w:r w:rsidR="00F23BA1">
        <w:rPr>
          <w:b/>
          <w:bCs/>
          <w:sz w:val="22"/>
          <w:szCs w:val="22"/>
        </w:rPr>
        <w:t>Sainsbury’s</w:t>
      </w:r>
      <w:r w:rsidR="0003232A">
        <w:rPr>
          <w:b/>
          <w:bCs/>
          <w:sz w:val="22"/>
          <w:szCs w:val="22"/>
        </w:rPr>
        <w:t xml:space="preserve"> pl</w:t>
      </w:r>
      <w:r w:rsidR="00F23BA1">
        <w:rPr>
          <w:b/>
          <w:bCs/>
          <w:sz w:val="22"/>
          <w:szCs w:val="22"/>
        </w:rPr>
        <w:t>c.</w:t>
      </w:r>
    </w:p>
    <w:p w14:paraId="26096392" w14:textId="13A2B672" w:rsidR="005B7110" w:rsidRPr="005B7110" w:rsidRDefault="005B7110" w:rsidP="004B2956">
      <w:pPr>
        <w:spacing w:before="100" w:beforeAutospacing="1" w:after="100" w:afterAutospacing="1" w:line="360" w:lineRule="auto"/>
        <w:rPr>
          <w:rFonts w:ascii="Times New Roman" w:eastAsia="Times New Roman" w:hAnsi="Times New Roman" w:cs="Times New Roman"/>
          <w:kern w:val="0"/>
          <w:sz w:val="22"/>
          <w:szCs w:val="22"/>
          <w14:ligatures w14:val="none"/>
        </w:rPr>
      </w:pPr>
      <w:r w:rsidRPr="005B7110">
        <w:rPr>
          <w:rFonts w:ascii="Times New Roman" w:eastAsia="Times New Roman" w:hAnsi="Symbol" w:cs="Times New Roman"/>
          <w:kern w:val="0"/>
          <w:sz w:val="22"/>
          <w:szCs w:val="22"/>
          <w14:ligatures w14:val="none"/>
        </w:rPr>
        <w:lastRenderedPageBreak/>
        <w:t></w:t>
      </w:r>
      <w:r w:rsidRPr="005B7110">
        <w:rPr>
          <w:rFonts w:ascii="Times New Roman" w:eastAsia="Times New Roman" w:hAnsi="Times New Roman" w:cs="Times New Roman"/>
          <w:kern w:val="0"/>
          <w:sz w:val="22"/>
          <w:szCs w:val="22"/>
          <w14:ligatures w14:val="none"/>
        </w:rPr>
        <w:t xml:space="preserve">  </w:t>
      </w:r>
      <w:r w:rsidRPr="005B7110">
        <w:rPr>
          <w:rFonts w:ascii="Times New Roman" w:eastAsia="Times New Roman" w:hAnsi="Times New Roman" w:cs="Times New Roman"/>
          <w:b/>
          <w:bCs/>
          <w:kern w:val="0"/>
          <w:sz w:val="22"/>
          <w:szCs w:val="22"/>
          <w14:ligatures w14:val="none"/>
        </w:rPr>
        <w:t>Profitability:</w:t>
      </w:r>
      <w:r w:rsidRPr="005B7110">
        <w:rPr>
          <w:rFonts w:ascii="Times New Roman" w:eastAsia="Times New Roman" w:hAnsi="Times New Roman" w:cs="Times New Roman"/>
          <w:kern w:val="0"/>
          <w:sz w:val="22"/>
          <w:szCs w:val="22"/>
          <w14:ligatures w14:val="none"/>
        </w:rPr>
        <w:t xml:space="preserve"> Sain</w:t>
      </w:r>
      <w:r w:rsidR="00AC18B5">
        <w:rPr>
          <w:rFonts w:ascii="Times New Roman" w:eastAsia="Times New Roman" w:hAnsi="Times New Roman" w:cs="Times New Roman"/>
          <w:kern w:val="0"/>
          <w:sz w:val="22"/>
          <w:szCs w:val="22"/>
          <w14:ligatures w14:val="none"/>
        </w:rPr>
        <w:t>t</w:t>
      </w:r>
      <w:r w:rsidRPr="005B7110">
        <w:rPr>
          <w:rFonts w:ascii="Times New Roman" w:eastAsia="Times New Roman" w:hAnsi="Times New Roman" w:cs="Times New Roman"/>
          <w:kern w:val="0"/>
          <w:sz w:val="22"/>
          <w:szCs w:val="22"/>
          <w14:ligatures w14:val="none"/>
        </w:rPr>
        <w:t>sbury generally outperforms Tesco in terms of gross profit margin, operating profit margin, and net profit margin, indicating better cost control and operational efficiency.</w:t>
      </w:r>
    </w:p>
    <w:p w14:paraId="513DAD28" w14:textId="643DF4D3" w:rsidR="005B7110" w:rsidRPr="005B7110" w:rsidRDefault="005B7110" w:rsidP="004B2956">
      <w:pPr>
        <w:spacing w:before="100" w:beforeAutospacing="1" w:after="100" w:afterAutospacing="1" w:line="360" w:lineRule="auto"/>
        <w:rPr>
          <w:rFonts w:ascii="Times New Roman" w:eastAsia="Times New Roman" w:hAnsi="Times New Roman" w:cs="Times New Roman"/>
          <w:kern w:val="0"/>
          <w:sz w:val="22"/>
          <w:szCs w:val="22"/>
          <w14:ligatures w14:val="none"/>
        </w:rPr>
      </w:pPr>
      <w:r w:rsidRPr="005B7110">
        <w:rPr>
          <w:rFonts w:ascii="Times New Roman" w:eastAsia="Times New Roman" w:hAnsi="Symbol" w:cs="Times New Roman"/>
          <w:kern w:val="0"/>
          <w:sz w:val="22"/>
          <w:szCs w:val="22"/>
          <w14:ligatures w14:val="none"/>
        </w:rPr>
        <w:t></w:t>
      </w:r>
      <w:r w:rsidRPr="005B7110">
        <w:rPr>
          <w:rFonts w:ascii="Times New Roman" w:eastAsia="Times New Roman" w:hAnsi="Times New Roman" w:cs="Times New Roman"/>
          <w:kern w:val="0"/>
          <w:sz w:val="22"/>
          <w:szCs w:val="22"/>
          <w14:ligatures w14:val="none"/>
        </w:rPr>
        <w:t xml:space="preserve">  </w:t>
      </w:r>
      <w:r w:rsidRPr="005B7110">
        <w:rPr>
          <w:rFonts w:ascii="Times New Roman" w:eastAsia="Times New Roman" w:hAnsi="Times New Roman" w:cs="Times New Roman"/>
          <w:b/>
          <w:bCs/>
          <w:kern w:val="0"/>
          <w:sz w:val="22"/>
          <w:szCs w:val="22"/>
          <w14:ligatures w14:val="none"/>
        </w:rPr>
        <w:t>Asset Utilization:</w:t>
      </w:r>
      <w:r w:rsidRPr="005B7110">
        <w:rPr>
          <w:rFonts w:ascii="Times New Roman" w:eastAsia="Times New Roman" w:hAnsi="Times New Roman" w:cs="Times New Roman"/>
          <w:kern w:val="0"/>
          <w:sz w:val="22"/>
          <w:szCs w:val="22"/>
          <w14:ligatures w14:val="none"/>
        </w:rPr>
        <w:t xml:space="preserve"> Sain</w:t>
      </w:r>
      <w:r w:rsidR="00AC18B5">
        <w:rPr>
          <w:rFonts w:ascii="Times New Roman" w:eastAsia="Times New Roman" w:hAnsi="Times New Roman" w:cs="Times New Roman"/>
          <w:kern w:val="0"/>
          <w:sz w:val="22"/>
          <w:szCs w:val="22"/>
          <w14:ligatures w14:val="none"/>
        </w:rPr>
        <w:t>t</w:t>
      </w:r>
      <w:r w:rsidRPr="005B7110">
        <w:rPr>
          <w:rFonts w:ascii="Times New Roman" w:eastAsia="Times New Roman" w:hAnsi="Times New Roman" w:cs="Times New Roman"/>
          <w:kern w:val="0"/>
          <w:sz w:val="22"/>
          <w:szCs w:val="22"/>
          <w14:ligatures w14:val="none"/>
        </w:rPr>
        <w:t>sbury also leads in ROA, demonstrating better asset utilization compared to Tesco.</w:t>
      </w:r>
    </w:p>
    <w:p w14:paraId="4628BE8F" w14:textId="6036A230" w:rsidR="005B7110" w:rsidRPr="005B7110" w:rsidRDefault="005B7110" w:rsidP="004B2956">
      <w:pPr>
        <w:spacing w:before="100" w:beforeAutospacing="1" w:after="100" w:afterAutospacing="1" w:line="360" w:lineRule="auto"/>
        <w:rPr>
          <w:rFonts w:ascii="Times New Roman" w:eastAsia="Times New Roman" w:hAnsi="Times New Roman" w:cs="Times New Roman"/>
          <w:kern w:val="0"/>
          <w:sz w:val="22"/>
          <w:szCs w:val="22"/>
          <w14:ligatures w14:val="none"/>
        </w:rPr>
      </w:pPr>
      <w:r w:rsidRPr="005B7110">
        <w:rPr>
          <w:rFonts w:ascii="Times New Roman" w:eastAsia="Times New Roman" w:hAnsi="Symbol" w:cs="Times New Roman"/>
          <w:kern w:val="0"/>
          <w:sz w:val="22"/>
          <w:szCs w:val="22"/>
          <w14:ligatures w14:val="none"/>
        </w:rPr>
        <w:t></w:t>
      </w:r>
      <w:r w:rsidRPr="005B7110">
        <w:rPr>
          <w:rFonts w:ascii="Times New Roman" w:eastAsia="Times New Roman" w:hAnsi="Times New Roman" w:cs="Times New Roman"/>
          <w:kern w:val="0"/>
          <w:sz w:val="22"/>
          <w:szCs w:val="22"/>
          <w14:ligatures w14:val="none"/>
        </w:rPr>
        <w:t xml:space="preserve">  </w:t>
      </w:r>
      <w:r w:rsidRPr="005B7110">
        <w:rPr>
          <w:rFonts w:ascii="Times New Roman" w:eastAsia="Times New Roman" w:hAnsi="Times New Roman" w:cs="Times New Roman"/>
          <w:b/>
          <w:bCs/>
          <w:kern w:val="0"/>
          <w:sz w:val="22"/>
          <w:szCs w:val="22"/>
          <w14:ligatures w14:val="none"/>
        </w:rPr>
        <w:t>Shareholder Returns:</w:t>
      </w:r>
      <w:r w:rsidRPr="005B7110">
        <w:rPr>
          <w:rFonts w:ascii="Times New Roman" w:eastAsia="Times New Roman" w:hAnsi="Times New Roman" w:cs="Times New Roman"/>
          <w:kern w:val="0"/>
          <w:sz w:val="22"/>
          <w:szCs w:val="22"/>
          <w14:ligatures w14:val="none"/>
        </w:rPr>
        <w:t xml:space="preserve"> While Tesco had a peak in ROE in 2022, Sain</w:t>
      </w:r>
      <w:r w:rsidR="00035995">
        <w:rPr>
          <w:rFonts w:ascii="Times New Roman" w:eastAsia="Times New Roman" w:hAnsi="Times New Roman" w:cs="Times New Roman"/>
          <w:kern w:val="0"/>
          <w:sz w:val="22"/>
          <w:szCs w:val="22"/>
          <w14:ligatures w14:val="none"/>
        </w:rPr>
        <w:t>t</w:t>
      </w:r>
      <w:r w:rsidRPr="005B7110">
        <w:rPr>
          <w:rFonts w:ascii="Times New Roman" w:eastAsia="Times New Roman" w:hAnsi="Times New Roman" w:cs="Times New Roman"/>
          <w:kern w:val="0"/>
          <w:sz w:val="22"/>
          <w:szCs w:val="22"/>
          <w14:ligatures w14:val="none"/>
        </w:rPr>
        <w:t>sbury shows more consistent performance over the period.</w:t>
      </w:r>
    </w:p>
    <w:p w14:paraId="2423446D" w14:textId="77777777" w:rsidR="005B7110" w:rsidRDefault="005B7110" w:rsidP="004B2956">
      <w:pPr>
        <w:spacing w:before="100" w:beforeAutospacing="1" w:after="100" w:afterAutospacing="1" w:line="360" w:lineRule="auto"/>
        <w:rPr>
          <w:rFonts w:ascii="Times New Roman" w:eastAsia="Times New Roman" w:hAnsi="Times New Roman" w:cs="Times New Roman"/>
          <w:kern w:val="0"/>
          <w:sz w:val="22"/>
          <w:szCs w:val="22"/>
          <w14:ligatures w14:val="none"/>
        </w:rPr>
      </w:pPr>
      <w:r w:rsidRPr="005B7110">
        <w:rPr>
          <w:rFonts w:ascii="Times New Roman" w:eastAsia="Times New Roman" w:hAnsi="Symbol" w:cs="Times New Roman"/>
          <w:kern w:val="0"/>
          <w:sz w:val="22"/>
          <w:szCs w:val="22"/>
          <w14:ligatures w14:val="none"/>
        </w:rPr>
        <w:t></w:t>
      </w:r>
      <w:r w:rsidRPr="005B7110">
        <w:rPr>
          <w:rFonts w:ascii="Times New Roman" w:eastAsia="Times New Roman" w:hAnsi="Times New Roman" w:cs="Times New Roman"/>
          <w:kern w:val="0"/>
          <w:sz w:val="22"/>
          <w:szCs w:val="22"/>
          <w14:ligatures w14:val="none"/>
        </w:rPr>
        <w:t xml:space="preserve">  </w:t>
      </w:r>
      <w:r w:rsidRPr="005B7110">
        <w:rPr>
          <w:rFonts w:ascii="Times New Roman" w:eastAsia="Times New Roman" w:hAnsi="Times New Roman" w:cs="Times New Roman"/>
          <w:b/>
          <w:bCs/>
          <w:kern w:val="0"/>
          <w:sz w:val="22"/>
          <w:szCs w:val="22"/>
          <w14:ligatures w14:val="none"/>
        </w:rPr>
        <w:t>Liquidity:</w:t>
      </w:r>
      <w:r w:rsidRPr="005B7110">
        <w:rPr>
          <w:rFonts w:ascii="Times New Roman" w:eastAsia="Times New Roman" w:hAnsi="Times New Roman" w:cs="Times New Roman"/>
          <w:kern w:val="0"/>
          <w:sz w:val="22"/>
          <w:szCs w:val="22"/>
          <w14:ligatures w14:val="none"/>
        </w:rPr>
        <w:t xml:space="preserve"> Tesco's liquidity ratios (quick ratio) show improvement, indicating better short-term financial health, but this comparison is only for Tesco as Sainsbury’s liquidity ratios were not provided.</w:t>
      </w:r>
    </w:p>
    <w:p w14:paraId="582DC9CE" w14:textId="4440CFD9" w:rsidR="008B2883" w:rsidRPr="005B7110" w:rsidRDefault="008B2883" w:rsidP="004B2956">
      <w:pPr>
        <w:spacing w:before="100" w:beforeAutospacing="1" w:after="100" w:afterAutospacing="1" w:line="360" w:lineRule="auto"/>
        <w:rPr>
          <w:rFonts w:ascii="Times New Roman" w:eastAsia="Times New Roman" w:hAnsi="Times New Roman" w:cs="Times New Roman"/>
          <w:kern w:val="0"/>
          <w:sz w:val="22"/>
          <w:szCs w:val="22"/>
          <w14:ligatures w14:val="none"/>
        </w:rPr>
      </w:pPr>
      <w:r>
        <w:rPr>
          <w:rFonts w:ascii="Times New Roman" w:eastAsia="Times New Roman" w:hAnsi="Times New Roman" w:cs="Times New Roman"/>
          <w:kern w:val="0"/>
          <w:sz w:val="22"/>
          <w:szCs w:val="22"/>
          <w14:ligatures w14:val="none"/>
        </w:rPr>
        <w:t>However.</w:t>
      </w:r>
      <w:r w:rsidR="00B07DA8" w:rsidRPr="00B07DA8">
        <w:t xml:space="preserve"> </w:t>
      </w:r>
      <w:r w:rsidR="00B07DA8" w:rsidRPr="00B07DA8">
        <w:rPr>
          <w:rFonts w:ascii="Times New Roman" w:eastAsia="Times New Roman" w:hAnsi="Times New Roman" w:cs="Times New Roman"/>
          <w:kern w:val="0"/>
          <w:sz w:val="22"/>
          <w:szCs w:val="22"/>
          <w14:ligatures w14:val="none"/>
        </w:rPr>
        <w:t>Sainsbury seems to have a stronger financial performance across most metrics compared to Tesco, particularly in profitability and return on assets. Tesco, however, shows improvements in liquidity, which could indicate better financial stability in the short term. Both companies have areas of strength, but Sain</w:t>
      </w:r>
      <w:r w:rsidR="00411159">
        <w:rPr>
          <w:rFonts w:ascii="Times New Roman" w:eastAsia="Times New Roman" w:hAnsi="Times New Roman" w:cs="Times New Roman"/>
          <w:kern w:val="0"/>
          <w:sz w:val="22"/>
          <w:szCs w:val="22"/>
          <w14:ligatures w14:val="none"/>
        </w:rPr>
        <w:t>t</w:t>
      </w:r>
      <w:r w:rsidR="00B07DA8" w:rsidRPr="00B07DA8">
        <w:rPr>
          <w:rFonts w:ascii="Times New Roman" w:eastAsia="Times New Roman" w:hAnsi="Times New Roman" w:cs="Times New Roman"/>
          <w:kern w:val="0"/>
          <w:sz w:val="22"/>
          <w:szCs w:val="22"/>
          <w14:ligatures w14:val="none"/>
        </w:rPr>
        <w:t>sbury's performance is more robust in generating returns and maintaining operational margins.</w:t>
      </w:r>
    </w:p>
    <w:p w14:paraId="1DD52B1D" w14:textId="00136CE7" w:rsidR="000052F5" w:rsidRPr="000052F5" w:rsidRDefault="004B2956" w:rsidP="004B2956">
      <w:pPr>
        <w:tabs>
          <w:tab w:val="left" w:pos="3662"/>
        </w:tabs>
        <w:spacing w:line="360" w:lineRule="auto"/>
        <w:rPr>
          <w:sz w:val="22"/>
          <w:szCs w:val="22"/>
        </w:rPr>
      </w:pPr>
      <w:r>
        <w:rPr>
          <w:sz w:val="22"/>
          <w:szCs w:val="22"/>
        </w:rPr>
        <w:tab/>
      </w:r>
    </w:p>
    <w:p w14:paraId="6E377ED4" w14:textId="77777777" w:rsidR="007C7945" w:rsidRPr="00B73FDC" w:rsidRDefault="007C7945" w:rsidP="004B2956">
      <w:pPr>
        <w:spacing w:line="360" w:lineRule="auto"/>
        <w:rPr>
          <w:b/>
          <w:bCs/>
          <w:sz w:val="22"/>
          <w:szCs w:val="22"/>
        </w:rPr>
      </w:pPr>
    </w:p>
    <w:p w14:paraId="70F1C285" w14:textId="77777777" w:rsidR="007C7945" w:rsidRPr="00CE71B1" w:rsidRDefault="007C7945" w:rsidP="004B2956">
      <w:pPr>
        <w:tabs>
          <w:tab w:val="num" w:pos="1440"/>
        </w:tabs>
        <w:spacing w:line="360" w:lineRule="auto"/>
        <w:rPr>
          <w:sz w:val="22"/>
          <w:szCs w:val="22"/>
        </w:rPr>
      </w:pPr>
    </w:p>
    <w:p w14:paraId="40700AC6" w14:textId="77777777" w:rsidR="001C048A" w:rsidRPr="00CE71B1" w:rsidRDefault="001C048A" w:rsidP="004B2956">
      <w:pPr>
        <w:tabs>
          <w:tab w:val="num" w:pos="720"/>
        </w:tabs>
        <w:spacing w:line="360" w:lineRule="auto"/>
        <w:ind w:firstLine="200"/>
        <w:rPr>
          <w:sz w:val="22"/>
          <w:szCs w:val="22"/>
        </w:rPr>
      </w:pPr>
    </w:p>
    <w:p w14:paraId="0EB1A25F" w14:textId="77777777" w:rsidR="001C048A" w:rsidRPr="00CE71B1" w:rsidRDefault="001C048A" w:rsidP="004B2956">
      <w:pPr>
        <w:tabs>
          <w:tab w:val="num" w:pos="720"/>
        </w:tabs>
        <w:spacing w:line="360" w:lineRule="auto"/>
        <w:ind w:firstLine="200"/>
        <w:rPr>
          <w:sz w:val="22"/>
          <w:szCs w:val="22"/>
        </w:rPr>
      </w:pPr>
    </w:p>
    <w:p w14:paraId="28B209B6" w14:textId="255A27B2" w:rsidR="001427DC" w:rsidRPr="00CE71B1" w:rsidRDefault="00650CD1" w:rsidP="004B2956">
      <w:pPr>
        <w:tabs>
          <w:tab w:val="num" w:pos="720"/>
        </w:tabs>
        <w:spacing w:line="360" w:lineRule="auto"/>
        <w:ind w:firstLine="200"/>
        <w:rPr>
          <w:sz w:val="22"/>
          <w:szCs w:val="22"/>
        </w:rPr>
      </w:pPr>
      <w:r w:rsidRPr="00CE71B1">
        <w:rPr>
          <w:sz w:val="22"/>
          <w:szCs w:val="22"/>
        </w:rPr>
        <w:t xml:space="preserve">     </w:t>
      </w:r>
    </w:p>
    <w:p w14:paraId="178F8D06" w14:textId="77777777" w:rsidR="009731D3" w:rsidRPr="00CE71B1" w:rsidRDefault="009731D3" w:rsidP="009731D3">
      <w:pPr>
        <w:tabs>
          <w:tab w:val="num" w:pos="720"/>
        </w:tabs>
        <w:ind w:firstLine="200"/>
        <w:rPr>
          <w:sz w:val="22"/>
          <w:szCs w:val="22"/>
        </w:rPr>
      </w:pPr>
    </w:p>
    <w:p w14:paraId="2469E860" w14:textId="77777777" w:rsidR="009731D3" w:rsidRPr="00CE71B1" w:rsidRDefault="009731D3" w:rsidP="009731D3">
      <w:pPr>
        <w:tabs>
          <w:tab w:val="num" w:pos="720"/>
        </w:tabs>
        <w:ind w:firstLine="200"/>
        <w:rPr>
          <w:sz w:val="22"/>
          <w:szCs w:val="22"/>
        </w:rPr>
      </w:pPr>
    </w:p>
    <w:p w14:paraId="5967EB92" w14:textId="77777777" w:rsidR="009731D3" w:rsidRPr="00CE71B1" w:rsidRDefault="009731D3" w:rsidP="009731D3">
      <w:pPr>
        <w:tabs>
          <w:tab w:val="num" w:pos="720"/>
        </w:tabs>
        <w:ind w:firstLine="200"/>
        <w:rPr>
          <w:sz w:val="22"/>
          <w:szCs w:val="22"/>
        </w:rPr>
      </w:pPr>
    </w:p>
    <w:p w14:paraId="40B6C4E1" w14:textId="77777777" w:rsidR="005675BD" w:rsidRPr="00CE71B1" w:rsidRDefault="005675BD" w:rsidP="009731D3">
      <w:pPr>
        <w:tabs>
          <w:tab w:val="num" w:pos="720"/>
        </w:tabs>
        <w:ind w:firstLine="200"/>
        <w:rPr>
          <w:sz w:val="22"/>
          <w:szCs w:val="22"/>
        </w:rPr>
      </w:pPr>
    </w:p>
    <w:p w14:paraId="5DC7BBF2" w14:textId="77777777" w:rsidR="005675BD" w:rsidRPr="00CE71B1" w:rsidRDefault="005675BD" w:rsidP="009731D3">
      <w:pPr>
        <w:tabs>
          <w:tab w:val="num" w:pos="720"/>
        </w:tabs>
        <w:ind w:firstLine="200"/>
        <w:rPr>
          <w:sz w:val="22"/>
          <w:szCs w:val="22"/>
        </w:rPr>
      </w:pPr>
    </w:p>
    <w:p w14:paraId="67E14853" w14:textId="77777777" w:rsidR="00B21FDA" w:rsidRPr="00CE71B1" w:rsidRDefault="00B21FDA" w:rsidP="009731D3">
      <w:pPr>
        <w:tabs>
          <w:tab w:val="num" w:pos="720"/>
        </w:tabs>
        <w:ind w:firstLine="200"/>
        <w:rPr>
          <w:sz w:val="22"/>
          <w:szCs w:val="22"/>
        </w:rPr>
      </w:pPr>
    </w:p>
    <w:p w14:paraId="4F16A560" w14:textId="77777777" w:rsidR="00B21FDA" w:rsidRPr="00CE71B1" w:rsidRDefault="00B21FDA" w:rsidP="009731D3">
      <w:pPr>
        <w:tabs>
          <w:tab w:val="num" w:pos="720"/>
        </w:tabs>
        <w:ind w:firstLine="200"/>
        <w:rPr>
          <w:sz w:val="22"/>
          <w:szCs w:val="22"/>
        </w:rPr>
      </w:pPr>
    </w:p>
    <w:p w14:paraId="6AC71490" w14:textId="77777777" w:rsidR="00B21FDA" w:rsidRDefault="00B21FDA" w:rsidP="009731D3">
      <w:pPr>
        <w:tabs>
          <w:tab w:val="num" w:pos="720"/>
        </w:tabs>
        <w:ind w:firstLine="200"/>
        <w:rPr>
          <w:sz w:val="22"/>
          <w:szCs w:val="22"/>
        </w:rPr>
      </w:pPr>
    </w:p>
    <w:p w14:paraId="2B35B400" w14:textId="77777777" w:rsidR="0076072E" w:rsidRDefault="0076072E" w:rsidP="009731D3">
      <w:pPr>
        <w:tabs>
          <w:tab w:val="num" w:pos="720"/>
        </w:tabs>
        <w:ind w:firstLine="200"/>
        <w:rPr>
          <w:sz w:val="22"/>
          <w:szCs w:val="22"/>
        </w:rPr>
      </w:pPr>
    </w:p>
    <w:p w14:paraId="34394881" w14:textId="77777777" w:rsidR="0076072E" w:rsidRDefault="0076072E" w:rsidP="009731D3">
      <w:pPr>
        <w:tabs>
          <w:tab w:val="num" w:pos="720"/>
        </w:tabs>
        <w:ind w:firstLine="200"/>
        <w:rPr>
          <w:sz w:val="22"/>
          <w:szCs w:val="22"/>
        </w:rPr>
      </w:pPr>
    </w:p>
    <w:p w14:paraId="4001C6BC" w14:textId="77777777" w:rsidR="0076072E" w:rsidRDefault="0076072E" w:rsidP="009731D3">
      <w:pPr>
        <w:tabs>
          <w:tab w:val="num" w:pos="720"/>
        </w:tabs>
        <w:ind w:firstLine="200"/>
        <w:rPr>
          <w:sz w:val="22"/>
          <w:szCs w:val="22"/>
        </w:rPr>
      </w:pPr>
    </w:p>
    <w:p w14:paraId="5AC030C4" w14:textId="77777777" w:rsidR="0076072E" w:rsidRDefault="0076072E" w:rsidP="009731D3">
      <w:pPr>
        <w:tabs>
          <w:tab w:val="num" w:pos="720"/>
        </w:tabs>
        <w:ind w:firstLine="200"/>
        <w:rPr>
          <w:sz w:val="22"/>
          <w:szCs w:val="22"/>
        </w:rPr>
      </w:pPr>
    </w:p>
    <w:p w14:paraId="32141DF6" w14:textId="77777777" w:rsidR="0076072E" w:rsidRDefault="0076072E" w:rsidP="009731D3">
      <w:pPr>
        <w:tabs>
          <w:tab w:val="num" w:pos="720"/>
        </w:tabs>
        <w:ind w:firstLine="200"/>
        <w:rPr>
          <w:sz w:val="22"/>
          <w:szCs w:val="22"/>
        </w:rPr>
      </w:pPr>
    </w:p>
    <w:p w14:paraId="2BDDFECA" w14:textId="77777777" w:rsidR="0076072E" w:rsidRDefault="0076072E" w:rsidP="009731D3">
      <w:pPr>
        <w:tabs>
          <w:tab w:val="num" w:pos="720"/>
        </w:tabs>
        <w:ind w:firstLine="200"/>
        <w:rPr>
          <w:sz w:val="22"/>
          <w:szCs w:val="22"/>
        </w:rPr>
      </w:pPr>
    </w:p>
    <w:p w14:paraId="3596EB20" w14:textId="77777777" w:rsidR="0076072E" w:rsidRDefault="0076072E" w:rsidP="009731D3">
      <w:pPr>
        <w:tabs>
          <w:tab w:val="num" w:pos="720"/>
        </w:tabs>
        <w:ind w:firstLine="200"/>
        <w:rPr>
          <w:sz w:val="22"/>
          <w:szCs w:val="22"/>
        </w:rPr>
      </w:pPr>
    </w:p>
    <w:p w14:paraId="6142AF13" w14:textId="77777777" w:rsidR="0076072E" w:rsidRDefault="0076072E" w:rsidP="009731D3">
      <w:pPr>
        <w:tabs>
          <w:tab w:val="num" w:pos="720"/>
        </w:tabs>
        <w:ind w:firstLine="200"/>
        <w:rPr>
          <w:sz w:val="22"/>
          <w:szCs w:val="22"/>
        </w:rPr>
      </w:pPr>
    </w:p>
    <w:p w14:paraId="72272A08" w14:textId="77777777" w:rsidR="0076072E" w:rsidRDefault="0076072E" w:rsidP="009731D3">
      <w:pPr>
        <w:tabs>
          <w:tab w:val="num" w:pos="720"/>
        </w:tabs>
        <w:ind w:firstLine="200"/>
        <w:rPr>
          <w:sz w:val="22"/>
          <w:szCs w:val="22"/>
        </w:rPr>
      </w:pPr>
    </w:p>
    <w:p w14:paraId="6A0C563F" w14:textId="77777777" w:rsidR="0076072E" w:rsidRPr="00CE71B1" w:rsidRDefault="0076072E" w:rsidP="009731D3">
      <w:pPr>
        <w:tabs>
          <w:tab w:val="num" w:pos="720"/>
        </w:tabs>
        <w:ind w:firstLine="200"/>
        <w:rPr>
          <w:sz w:val="22"/>
          <w:szCs w:val="22"/>
        </w:rPr>
      </w:pPr>
    </w:p>
    <w:p w14:paraId="4BAE8923" w14:textId="77777777" w:rsidR="006C5171" w:rsidRPr="00CE71B1" w:rsidRDefault="006C5171" w:rsidP="00CE71B1">
      <w:pPr>
        <w:tabs>
          <w:tab w:val="num" w:pos="720"/>
        </w:tabs>
        <w:rPr>
          <w:sz w:val="22"/>
          <w:szCs w:val="22"/>
        </w:rPr>
      </w:pPr>
    </w:p>
    <w:p w14:paraId="5671CD55" w14:textId="38718069" w:rsidR="005675BD" w:rsidRPr="00CE71B1" w:rsidRDefault="005675BD" w:rsidP="009731D3">
      <w:pPr>
        <w:tabs>
          <w:tab w:val="num" w:pos="720"/>
        </w:tabs>
        <w:ind w:firstLine="200"/>
        <w:rPr>
          <w:sz w:val="22"/>
          <w:szCs w:val="22"/>
        </w:rPr>
      </w:pPr>
      <w:r w:rsidRPr="00CE71B1">
        <w:rPr>
          <w:sz w:val="22"/>
          <w:szCs w:val="22"/>
        </w:rPr>
        <w:t>To evaluate projects A and B, we need to calculate the Payback Period (PBP), Accounting Rate of Return (ARR), and Net Present Value (NPV) for each project. Then, we’ll compare the results to determine which project should be adopted.</w:t>
      </w:r>
    </w:p>
    <w:p w14:paraId="626CB125" w14:textId="77777777" w:rsidR="009731D3" w:rsidRPr="00CE71B1" w:rsidRDefault="009731D3" w:rsidP="009731D3">
      <w:pPr>
        <w:tabs>
          <w:tab w:val="num" w:pos="720"/>
        </w:tabs>
        <w:ind w:firstLine="200"/>
        <w:rPr>
          <w:sz w:val="22"/>
          <w:szCs w:val="22"/>
        </w:rPr>
      </w:pPr>
    </w:p>
    <w:p w14:paraId="430742F7" w14:textId="77777777" w:rsidR="009731D3" w:rsidRPr="00CE71B1" w:rsidRDefault="009731D3" w:rsidP="009731D3">
      <w:pPr>
        <w:tabs>
          <w:tab w:val="num" w:pos="720"/>
        </w:tabs>
        <w:ind w:firstLine="200"/>
        <w:rPr>
          <w:sz w:val="22"/>
          <w:szCs w:val="22"/>
        </w:rPr>
      </w:pPr>
    </w:p>
    <w:tbl>
      <w:tblPr>
        <w:tblStyle w:val="GridTable4"/>
        <w:tblpPr w:leftFromText="180" w:rightFromText="180" w:vertAnchor="text" w:horzAnchor="page" w:tblpX="890" w:tblpY="220"/>
        <w:tblW w:w="9016" w:type="dxa"/>
        <w:tblLook w:val="04A0" w:firstRow="1" w:lastRow="0" w:firstColumn="1" w:lastColumn="0" w:noHBand="0" w:noVBand="1"/>
      </w:tblPr>
      <w:tblGrid>
        <w:gridCol w:w="1271"/>
        <w:gridCol w:w="4739"/>
        <w:gridCol w:w="3006"/>
      </w:tblGrid>
      <w:tr w:rsidR="005675BD" w:rsidRPr="00CE71B1" w14:paraId="36996C7F" w14:textId="77777777" w:rsidTr="00280F4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6D32154F" w14:textId="287E3E1C" w:rsidR="005675BD" w:rsidRPr="00CE71B1" w:rsidRDefault="008549AF" w:rsidP="005675BD">
            <w:pPr>
              <w:tabs>
                <w:tab w:val="num" w:pos="720"/>
              </w:tabs>
              <w:rPr>
                <w:sz w:val="22"/>
                <w:szCs w:val="22"/>
              </w:rPr>
            </w:pPr>
            <w:r w:rsidRPr="00CE71B1">
              <w:rPr>
                <w:sz w:val="22"/>
                <w:szCs w:val="22"/>
              </w:rPr>
              <w:t>Y</w:t>
            </w:r>
            <w:r w:rsidR="005675BD" w:rsidRPr="00CE71B1">
              <w:rPr>
                <w:sz w:val="22"/>
                <w:szCs w:val="22"/>
              </w:rPr>
              <w:t>ear</w:t>
            </w:r>
          </w:p>
        </w:tc>
        <w:tc>
          <w:tcPr>
            <w:tcW w:w="4739" w:type="dxa"/>
          </w:tcPr>
          <w:p w14:paraId="356859C9" w14:textId="77777777" w:rsidR="005675BD" w:rsidRPr="00CE71B1" w:rsidRDefault="005675BD" w:rsidP="005675BD">
            <w:pPr>
              <w:tabs>
                <w:tab w:val="num" w:pos="720"/>
              </w:tabs>
              <w:cnfStyle w:val="100000000000" w:firstRow="1" w:lastRow="0" w:firstColumn="0" w:lastColumn="0" w:oddVBand="0" w:evenVBand="0" w:oddHBand="0" w:evenHBand="0" w:firstRowFirstColumn="0" w:firstRowLastColumn="0" w:lastRowFirstColumn="0" w:lastRowLastColumn="0"/>
              <w:rPr>
                <w:sz w:val="22"/>
                <w:szCs w:val="22"/>
              </w:rPr>
            </w:pPr>
            <w:r w:rsidRPr="00CE71B1">
              <w:rPr>
                <w:sz w:val="22"/>
                <w:szCs w:val="22"/>
              </w:rPr>
              <w:t>Project A Cash Flow (£m)</w:t>
            </w:r>
          </w:p>
        </w:tc>
        <w:tc>
          <w:tcPr>
            <w:tcW w:w="3006" w:type="dxa"/>
          </w:tcPr>
          <w:p w14:paraId="7F493594" w14:textId="77777777" w:rsidR="005675BD" w:rsidRPr="00CE71B1" w:rsidRDefault="005675BD" w:rsidP="005675BD">
            <w:pPr>
              <w:tabs>
                <w:tab w:val="num" w:pos="720"/>
              </w:tabs>
              <w:cnfStyle w:val="100000000000" w:firstRow="1" w:lastRow="0" w:firstColumn="0" w:lastColumn="0" w:oddVBand="0" w:evenVBand="0" w:oddHBand="0" w:evenHBand="0" w:firstRowFirstColumn="0" w:firstRowLastColumn="0" w:lastRowFirstColumn="0" w:lastRowLastColumn="0"/>
              <w:rPr>
                <w:sz w:val="22"/>
                <w:szCs w:val="22"/>
              </w:rPr>
            </w:pPr>
            <w:r w:rsidRPr="00CE71B1">
              <w:rPr>
                <w:sz w:val="22"/>
                <w:szCs w:val="22"/>
              </w:rPr>
              <w:t>Project B Cash flow (£m)</w:t>
            </w:r>
          </w:p>
        </w:tc>
      </w:tr>
      <w:tr w:rsidR="005675BD" w:rsidRPr="00CE71B1" w14:paraId="361A8C65" w14:textId="77777777" w:rsidTr="00280F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36E4162F" w14:textId="77777777" w:rsidR="005675BD" w:rsidRPr="00CE71B1" w:rsidRDefault="005675BD" w:rsidP="005675BD">
            <w:pPr>
              <w:tabs>
                <w:tab w:val="num" w:pos="720"/>
              </w:tabs>
              <w:rPr>
                <w:sz w:val="22"/>
                <w:szCs w:val="22"/>
              </w:rPr>
            </w:pPr>
            <w:r w:rsidRPr="00CE71B1">
              <w:rPr>
                <w:sz w:val="22"/>
                <w:szCs w:val="22"/>
              </w:rPr>
              <w:t>0</w:t>
            </w:r>
          </w:p>
        </w:tc>
        <w:tc>
          <w:tcPr>
            <w:tcW w:w="4739" w:type="dxa"/>
          </w:tcPr>
          <w:p w14:paraId="6733DEF1" w14:textId="77777777" w:rsidR="005675BD" w:rsidRPr="00CE71B1" w:rsidRDefault="005675BD" w:rsidP="005675BD">
            <w:pPr>
              <w:tabs>
                <w:tab w:val="num" w:pos="720"/>
              </w:tabs>
              <w:cnfStyle w:val="000000100000" w:firstRow="0" w:lastRow="0" w:firstColumn="0" w:lastColumn="0" w:oddVBand="0" w:evenVBand="0" w:oddHBand="1" w:evenHBand="0" w:firstRowFirstColumn="0" w:firstRowLastColumn="0" w:lastRowFirstColumn="0" w:lastRowLastColumn="0"/>
              <w:rPr>
                <w:sz w:val="22"/>
                <w:szCs w:val="22"/>
              </w:rPr>
            </w:pPr>
            <w:r w:rsidRPr="00CE71B1">
              <w:rPr>
                <w:sz w:val="22"/>
                <w:szCs w:val="22"/>
              </w:rPr>
              <w:t>-85</w:t>
            </w:r>
          </w:p>
        </w:tc>
        <w:tc>
          <w:tcPr>
            <w:tcW w:w="3006" w:type="dxa"/>
          </w:tcPr>
          <w:p w14:paraId="4BFCA389" w14:textId="77777777" w:rsidR="005675BD" w:rsidRPr="00CE71B1" w:rsidRDefault="005675BD" w:rsidP="005675BD">
            <w:pPr>
              <w:tabs>
                <w:tab w:val="num" w:pos="720"/>
              </w:tabs>
              <w:cnfStyle w:val="000000100000" w:firstRow="0" w:lastRow="0" w:firstColumn="0" w:lastColumn="0" w:oddVBand="0" w:evenVBand="0" w:oddHBand="1" w:evenHBand="0" w:firstRowFirstColumn="0" w:firstRowLastColumn="0" w:lastRowFirstColumn="0" w:lastRowLastColumn="0"/>
              <w:rPr>
                <w:sz w:val="22"/>
                <w:szCs w:val="22"/>
              </w:rPr>
            </w:pPr>
            <w:r w:rsidRPr="00CE71B1">
              <w:rPr>
                <w:sz w:val="22"/>
                <w:szCs w:val="22"/>
              </w:rPr>
              <w:t>-75</w:t>
            </w:r>
          </w:p>
        </w:tc>
      </w:tr>
      <w:tr w:rsidR="005675BD" w:rsidRPr="00CE71B1" w14:paraId="488888E9" w14:textId="77777777" w:rsidTr="00280F4F">
        <w:tc>
          <w:tcPr>
            <w:cnfStyle w:val="001000000000" w:firstRow="0" w:lastRow="0" w:firstColumn="1" w:lastColumn="0" w:oddVBand="0" w:evenVBand="0" w:oddHBand="0" w:evenHBand="0" w:firstRowFirstColumn="0" w:firstRowLastColumn="0" w:lastRowFirstColumn="0" w:lastRowLastColumn="0"/>
            <w:tcW w:w="1271" w:type="dxa"/>
          </w:tcPr>
          <w:p w14:paraId="3388DF6D" w14:textId="77777777" w:rsidR="005675BD" w:rsidRPr="00CE71B1" w:rsidRDefault="005675BD" w:rsidP="005675BD">
            <w:pPr>
              <w:tabs>
                <w:tab w:val="num" w:pos="720"/>
              </w:tabs>
              <w:rPr>
                <w:sz w:val="22"/>
                <w:szCs w:val="22"/>
              </w:rPr>
            </w:pPr>
            <w:r w:rsidRPr="00CE71B1">
              <w:rPr>
                <w:sz w:val="22"/>
                <w:szCs w:val="22"/>
              </w:rPr>
              <w:t>1</w:t>
            </w:r>
          </w:p>
        </w:tc>
        <w:tc>
          <w:tcPr>
            <w:tcW w:w="4739" w:type="dxa"/>
          </w:tcPr>
          <w:p w14:paraId="24F01F2F" w14:textId="77777777" w:rsidR="005675BD" w:rsidRPr="00CE71B1" w:rsidRDefault="005675BD" w:rsidP="005675BD">
            <w:pPr>
              <w:tabs>
                <w:tab w:val="num" w:pos="720"/>
              </w:tabs>
              <w:cnfStyle w:val="000000000000" w:firstRow="0" w:lastRow="0" w:firstColumn="0" w:lastColumn="0" w:oddVBand="0" w:evenVBand="0" w:oddHBand="0" w:evenHBand="0" w:firstRowFirstColumn="0" w:firstRowLastColumn="0" w:lastRowFirstColumn="0" w:lastRowLastColumn="0"/>
              <w:rPr>
                <w:sz w:val="22"/>
                <w:szCs w:val="22"/>
              </w:rPr>
            </w:pPr>
            <w:r w:rsidRPr="00CE71B1">
              <w:rPr>
                <w:sz w:val="22"/>
                <w:szCs w:val="22"/>
              </w:rPr>
              <w:t>25</w:t>
            </w:r>
          </w:p>
        </w:tc>
        <w:tc>
          <w:tcPr>
            <w:tcW w:w="3006" w:type="dxa"/>
          </w:tcPr>
          <w:p w14:paraId="2AE90599" w14:textId="77777777" w:rsidR="005675BD" w:rsidRPr="00CE71B1" w:rsidRDefault="005675BD" w:rsidP="005675BD">
            <w:pPr>
              <w:tabs>
                <w:tab w:val="num" w:pos="720"/>
              </w:tabs>
              <w:cnfStyle w:val="000000000000" w:firstRow="0" w:lastRow="0" w:firstColumn="0" w:lastColumn="0" w:oddVBand="0" w:evenVBand="0" w:oddHBand="0" w:evenHBand="0" w:firstRowFirstColumn="0" w:firstRowLastColumn="0" w:lastRowFirstColumn="0" w:lastRowLastColumn="0"/>
              <w:rPr>
                <w:sz w:val="22"/>
                <w:szCs w:val="22"/>
              </w:rPr>
            </w:pPr>
            <w:r w:rsidRPr="00CE71B1">
              <w:rPr>
                <w:sz w:val="22"/>
                <w:szCs w:val="22"/>
              </w:rPr>
              <w:t>50</w:t>
            </w:r>
          </w:p>
        </w:tc>
      </w:tr>
      <w:tr w:rsidR="005675BD" w:rsidRPr="00CE71B1" w14:paraId="549E0D7D" w14:textId="77777777" w:rsidTr="00280F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38F933AD" w14:textId="77777777" w:rsidR="005675BD" w:rsidRPr="00CE71B1" w:rsidRDefault="005675BD" w:rsidP="005675BD">
            <w:pPr>
              <w:tabs>
                <w:tab w:val="num" w:pos="720"/>
              </w:tabs>
              <w:rPr>
                <w:sz w:val="22"/>
                <w:szCs w:val="22"/>
              </w:rPr>
            </w:pPr>
            <w:r w:rsidRPr="00CE71B1">
              <w:rPr>
                <w:sz w:val="22"/>
                <w:szCs w:val="22"/>
              </w:rPr>
              <w:t>2</w:t>
            </w:r>
          </w:p>
        </w:tc>
        <w:tc>
          <w:tcPr>
            <w:tcW w:w="4739" w:type="dxa"/>
          </w:tcPr>
          <w:p w14:paraId="4B40564E" w14:textId="77777777" w:rsidR="005675BD" w:rsidRPr="00CE71B1" w:rsidRDefault="005675BD" w:rsidP="005675BD">
            <w:pPr>
              <w:tabs>
                <w:tab w:val="num" w:pos="720"/>
              </w:tabs>
              <w:cnfStyle w:val="000000100000" w:firstRow="0" w:lastRow="0" w:firstColumn="0" w:lastColumn="0" w:oddVBand="0" w:evenVBand="0" w:oddHBand="1" w:evenHBand="0" w:firstRowFirstColumn="0" w:firstRowLastColumn="0" w:lastRowFirstColumn="0" w:lastRowLastColumn="0"/>
              <w:rPr>
                <w:sz w:val="22"/>
                <w:szCs w:val="22"/>
              </w:rPr>
            </w:pPr>
            <w:r w:rsidRPr="00CE71B1">
              <w:rPr>
                <w:sz w:val="22"/>
                <w:szCs w:val="22"/>
              </w:rPr>
              <w:t>25</w:t>
            </w:r>
          </w:p>
        </w:tc>
        <w:tc>
          <w:tcPr>
            <w:tcW w:w="3006" w:type="dxa"/>
          </w:tcPr>
          <w:p w14:paraId="7E3BBBBC" w14:textId="77777777" w:rsidR="005675BD" w:rsidRPr="00CE71B1" w:rsidRDefault="005675BD" w:rsidP="005675BD">
            <w:pPr>
              <w:tabs>
                <w:tab w:val="num" w:pos="720"/>
              </w:tabs>
              <w:cnfStyle w:val="000000100000" w:firstRow="0" w:lastRow="0" w:firstColumn="0" w:lastColumn="0" w:oddVBand="0" w:evenVBand="0" w:oddHBand="1" w:evenHBand="0" w:firstRowFirstColumn="0" w:firstRowLastColumn="0" w:lastRowFirstColumn="0" w:lastRowLastColumn="0"/>
              <w:rPr>
                <w:sz w:val="22"/>
                <w:szCs w:val="22"/>
              </w:rPr>
            </w:pPr>
            <w:r w:rsidRPr="00CE71B1">
              <w:rPr>
                <w:sz w:val="22"/>
                <w:szCs w:val="22"/>
              </w:rPr>
              <w:t>20</w:t>
            </w:r>
          </w:p>
        </w:tc>
      </w:tr>
      <w:tr w:rsidR="005675BD" w:rsidRPr="00CE71B1" w14:paraId="2AFBF046" w14:textId="77777777" w:rsidTr="00280F4F">
        <w:tc>
          <w:tcPr>
            <w:cnfStyle w:val="001000000000" w:firstRow="0" w:lastRow="0" w:firstColumn="1" w:lastColumn="0" w:oddVBand="0" w:evenVBand="0" w:oddHBand="0" w:evenHBand="0" w:firstRowFirstColumn="0" w:firstRowLastColumn="0" w:lastRowFirstColumn="0" w:lastRowLastColumn="0"/>
            <w:tcW w:w="1271" w:type="dxa"/>
          </w:tcPr>
          <w:p w14:paraId="4E78475B" w14:textId="77777777" w:rsidR="005675BD" w:rsidRPr="00CE71B1" w:rsidRDefault="005675BD" w:rsidP="005675BD">
            <w:pPr>
              <w:tabs>
                <w:tab w:val="num" w:pos="720"/>
              </w:tabs>
              <w:rPr>
                <w:sz w:val="22"/>
                <w:szCs w:val="22"/>
              </w:rPr>
            </w:pPr>
            <w:r w:rsidRPr="00CE71B1">
              <w:rPr>
                <w:sz w:val="22"/>
                <w:szCs w:val="22"/>
              </w:rPr>
              <w:t>3</w:t>
            </w:r>
          </w:p>
        </w:tc>
        <w:tc>
          <w:tcPr>
            <w:tcW w:w="4739" w:type="dxa"/>
          </w:tcPr>
          <w:p w14:paraId="77564AD1" w14:textId="77777777" w:rsidR="005675BD" w:rsidRPr="00CE71B1" w:rsidRDefault="005675BD" w:rsidP="005675BD">
            <w:pPr>
              <w:tabs>
                <w:tab w:val="num" w:pos="720"/>
              </w:tabs>
              <w:cnfStyle w:val="000000000000" w:firstRow="0" w:lastRow="0" w:firstColumn="0" w:lastColumn="0" w:oddVBand="0" w:evenVBand="0" w:oddHBand="0" w:evenHBand="0" w:firstRowFirstColumn="0" w:firstRowLastColumn="0" w:lastRowFirstColumn="0" w:lastRowLastColumn="0"/>
              <w:rPr>
                <w:sz w:val="22"/>
                <w:szCs w:val="22"/>
              </w:rPr>
            </w:pPr>
            <w:r w:rsidRPr="00CE71B1">
              <w:rPr>
                <w:sz w:val="22"/>
                <w:szCs w:val="22"/>
              </w:rPr>
              <w:t>20</w:t>
            </w:r>
          </w:p>
        </w:tc>
        <w:tc>
          <w:tcPr>
            <w:tcW w:w="3006" w:type="dxa"/>
          </w:tcPr>
          <w:p w14:paraId="44812F2F" w14:textId="77777777" w:rsidR="005675BD" w:rsidRPr="00CE71B1" w:rsidRDefault="005675BD" w:rsidP="005675BD">
            <w:pPr>
              <w:tabs>
                <w:tab w:val="num" w:pos="720"/>
              </w:tabs>
              <w:cnfStyle w:val="000000000000" w:firstRow="0" w:lastRow="0" w:firstColumn="0" w:lastColumn="0" w:oddVBand="0" w:evenVBand="0" w:oddHBand="0" w:evenHBand="0" w:firstRowFirstColumn="0" w:firstRowLastColumn="0" w:lastRowFirstColumn="0" w:lastRowLastColumn="0"/>
              <w:rPr>
                <w:sz w:val="22"/>
                <w:szCs w:val="22"/>
              </w:rPr>
            </w:pPr>
            <w:r w:rsidRPr="00CE71B1">
              <w:rPr>
                <w:sz w:val="22"/>
                <w:szCs w:val="22"/>
              </w:rPr>
              <w:t>20</w:t>
            </w:r>
          </w:p>
        </w:tc>
      </w:tr>
      <w:tr w:rsidR="005675BD" w:rsidRPr="00CE71B1" w14:paraId="56F30B19" w14:textId="77777777" w:rsidTr="00280F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1E3D6AE0" w14:textId="77777777" w:rsidR="005675BD" w:rsidRPr="00CE71B1" w:rsidRDefault="005675BD" w:rsidP="005675BD">
            <w:pPr>
              <w:tabs>
                <w:tab w:val="num" w:pos="720"/>
              </w:tabs>
              <w:rPr>
                <w:sz w:val="22"/>
                <w:szCs w:val="22"/>
              </w:rPr>
            </w:pPr>
            <w:r w:rsidRPr="00CE71B1">
              <w:rPr>
                <w:sz w:val="22"/>
                <w:szCs w:val="22"/>
              </w:rPr>
              <w:t>4</w:t>
            </w:r>
          </w:p>
        </w:tc>
        <w:tc>
          <w:tcPr>
            <w:tcW w:w="4739" w:type="dxa"/>
          </w:tcPr>
          <w:p w14:paraId="3539C4C1" w14:textId="77777777" w:rsidR="005675BD" w:rsidRPr="00CE71B1" w:rsidRDefault="005675BD" w:rsidP="005675BD">
            <w:pPr>
              <w:tabs>
                <w:tab w:val="num" w:pos="720"/>
              </w:tabs>
              <w:cnfStyle w:val="000000100000" w:firstRow="0" w:lastRow="0" w:firstColumn="0" w:lastColumn="0" w:oddVBand="0" w:evenVBand="0" w:oddHBand="1" w:evenHBand="0" w:firstRowFirstColumn="0" w:firstRowLastColumn="0" w:lastRowFirstColumn="0" w:lastRowLastColumn="0"/>
              <w:rPr>
                <w:sz w:val="22"/>
                <w:szCs w:val="22"/>
              </w:rPr>
            </w:pPr>
            <w:r w:rsidRPr="00CE71B1">
              <w:rPr>
                <w:sz w:val="22"/>
                <w:szCs w:val="22"/>
              </w:rPr>
              <w:t>50</w:t>
            </w:r>
          </w:p>
        </w:tc>
        <w:tc>
          <w:tcPr>
            <w:tcW w:w="3006" w:type="dxa"/>
          </w:tcPr>
          <w:p w14:paraId="043DEE7E" w14:textId="77777777" w:rsidR="005675BD" w:rsidRPr="00CE71B1" w:rsidRDefault="005675BD" w:rsidP="005675BD">
            <w:pPr>
              <w:tabs>
                <w:tab w:val="num" w:pos="720"/>
              </w:tabs>
              <w:cnfStyle w:val="000000100000" w:firstRow="0" w:lastRow="0" w:firstColumn="0" w:lastColumn="0" w:oddVBand="0" w:evenVBand="0" w:oddHBand="1" w:evenHBand="0" w:firstRowFirstColumn="0" w:firstRowLastColumn="0" w:lastRowFirstColumn="0" w:lastRowLastColumn="0"/>
              <w:rPr>
                <w:sz w:val="22"/>
                <w:szCs w:val="22"/>
              </w:rPr>
            </w:pPr>
            <w:r w:rsidRPr="00CE71B1">
              <w:rPr>
                <w:sz w:val="22"/>
                <w:szCs w:val="22"/>
              </w:rPr>
              <w:t>20</w:t>
            </w:r>
          </w:p>
        </w:tc>
      </w:tr>
    </w:tbl>
    <w:p w14:paraId="1F077BDE" w14:textId="77777777" w:rsidR="009731D3" w:rsidRPr="00CE71B1" w:rsidRDefault="009731D3" w:rsidP="009731D3">
      <w:pPr>
        <w:tabs>
          <w:tab w:val="num" w:pos="720"/>
        </w:tabs>
        <w:ind w:firstLine="200"/>
        <w:rPr>
          <w:sz w:val="22"/>
          <w:szCs w:val="22"/>
        </w:rPr>
      </w:pPr>
    </w:p>
    <w:p w14:paraId="7634BD6E" w14:textId="77777777" w:rsidR="009731D3" w:rsidRPr="00CE71B1" w:rsidRDefault="009731D3" w:rsidP="009731D3">
      <w:pPr>
        <w:tabs>
          <w:tab w:val="num" w:pos="720"/>
        </w:tabs>
        <w:ind w:firstLine="200"/>
        <w:rPr>
          <w:sz w:val="22"/>
          <w:szCs w:val="22"/>
        </w:rPr>
      </w:pPr>
    </w:p>
    <w:p w14:paraId="16F49014" w14:textId="77777777" w:rsidR="009731D3" w:rsidRPr="00CE71B1" w:rsidRDefault="009731D3" w:rsidP="009731D3">
      <w:pPr>
        <w:tabs>
          <w:tab w:val="num" w:pos="720"/>
        </w:tabs>
        <w:ind w:firstLine="200"/>
        <w:rPr>
          <w:sz w:val="22"/>
          <w:szCs w:val="22"/>
        </w:rPr>
      </w:pPr>
    </w:p>
    <w:p w14:paraId="47FA2C11" w14:textId="77777777" w:rsidR="009731D3" w:rsidRPr="00CE71B1" w:rsidRDefault="009731D3" w:rsidP="009731D3">
      <w:pPr>
        <w:tabs>
          <w:tab w:val="num" w:pos="720"/>
        </w:tabs>
        <w:ind w:firstLine="200"/>
        <w:rPr>
          <w:sz w:val="22"/>
          <w:szCs w:val="22"/>
        </w:rPr>
      </w:pPr>
    </w:p>
    <w:p w14:paraId="4355DDC1" w14:textId="77777777" w:rsidR="009731D3" w:rsidRPr="00CE71B1" w:rsidRDefault="009731D3" w:rsidP="009731D3">
      <w:pPr>
        <w:tabs>
          <w:tab w:val="num" w:pos="720"/>
        </w:tabs>
        <w:ind w:firstLine="200"/>
        <w:rPr>
          <w:sz w:val="22"/>
          <w:szCs w:val="22"/>
        </w:rPr>
      </w:pPr>
    </w:p>
    <w:p w14:paraId="5169213C" w14:textId="77777777" w:rsidR="009731D3" w:rsidRPr="00CE71B1" w:rsidRDefault="009731D3" w:rsidP="009731D3">
      <w:pPr>
        <w:tabs>
          <w:tab w:val="num" w:pos="720"/>
        </w:tabs>
        <w:ind w:firstLine="200"/>
        <w:rPr>
          <w:sz w:val="22"/>
          <w:szCs w:val="22"/>
        </w:rPr>
      </w:pPr>
    </w:p>
    <w:p w14:paraId="2DCF39DA" w14:textId="77777777" w:rsidR="00D63828" w:rsidRPr="00CE71B1" w:rsidRDefault="00D63828" w:rsidP="00D63828">
      <w:pPr>
        <w:tabs>
          <w:tab w:val="num" w:pos="720"/>
        </w:tabs>
        <w:ind w:firstLine="200"/>
        <w:rPr>
          <w:b/>
          <w:bCs/>
          <w:sz w:val="22"/>
          <w:szCs w:val="22"/>
        </w:rPr>
      </w:pPr>
      <w:r w:rsidRPr="00CE71B1">
        <w:rPr>
          <w:b/>
          <w:bCs/>
          <w:sz w:val="22"/>
          <w:szCs w:val="22"/>
        </w:rPr>
        <w:t>1. Payback Period (PBP)</w:t>
      </w:r>
    </w:p>
    <w:p w14:paraId="01EB2FD9" w14:textId="77777777" w:rsidR="00D63828" w:rsidRPr="00CE71B1" w:rsidRDefault="00D63828" w:rsidP="00D63828">
      <w:pPr>
        <w:tabs>
          <w:tab w:val="num" w:pos="720"/>
        </w:tabs>
        <w:ind w:firstLine="200"/>
        <w:rPr>
          <w:sz w:val="22"/>
          <w:szCs w:val="22"/>
        </w:rPr>
      </w:pPr>
      <w:r w:rsidRPr="00CE71B1">
        <w:rPr>
          <w:sz w:val="22"/>
          <w:szCs w:val="22"/>
        </w:rPr>
        <w:t>The payback period is the time it takes for the project to recover its initial investment.</w:t>
      </w:r>
    </w:p>
    <w:p w14:paraId="678847AA" w14:textId="77777777" w:rsidR="000052DA" w:rsidRPr="00CE71B1" w:rsidRDefault="000052DA" w:rsidP="000052DA">
      <w:pPr>
        <w:tabs>
          <w:tab w:val="num" w:pos="720"/>
        </w:tabs>
        <w:ind w:firstLine="200"/>
        <w:rPr>
          <w:sz w:val="22"/>
          <w:szCs w:val="22"/>
        </w:rPr>
      </w:pPr>
      <w:r w:rsidRPr="00CE71B1">
        <w:rPr>
          <w:sz w:val="22"/>
          <w:szCs w:val="22"/>
        </w:rPr>
        <w:t>Project A</w:t>
      </w:r>
    </w:p>
    <w:p w14:paraId="72324435" w14:textId="77777777" w:rsidR="000052DA" w:rsidRPr="00CE71B1" w:rsidRDefault="000052DA" w:rsidP="000052DA">
      <w:pPr>
        <w:tabs>
          <w:tab w:val="num" w:pos="720"/>
        </w:tabs>
        <w:ind w:firstLine="200"/>
        <w:rPr>
          <w:sz w:val="22"/>
          <w:szCs w:val="22"/>
        </w:rPr>
      </w:pPr>
      <w:r w:rsidRPr="00CE71B1">
        <w:rPr>
          <w:sz w:val="22"/>
          <w:szCs w:val="22"/>
        </w:rPr>
        <w:t>Year 0: -80</w:t>
      </w:r>
    </w:p>
    <w:p w14:paraId="0D6FA456" w14:textId="77777777" w:rsidR="000052DA" w:rsidRPr="00CE71B1" w:rsidRDefault="000052DA" w:rsidP="000052DA">
      <w:pPr>
        <w:tabs>
          <w:tab w:val="num" w:pos="720"/>
        </w:tabs>
        <w:ind w:firstLine="200"/>
        <w:rPr>
          <w:sz w:val="22"/>
          <w:szCs w:val="22"/>
        </w:rPr>
      </w:pPr>
      <w:r w:rsidRPr="00CE71B1">
        <w:rPr>
          <w:sz w:val="22"/>
          <w:szCs w:val="22"/>
        </w:rPr>
        <w:t>Year 1: -80 + 25 = -55</w:t>
      </w:r>
    </w:p>
    <w:p w14:paraId="0F002D1E" w14:textId="77777777" w:rsidR="000052DA" w:rsidRPr="00CE71B1" w:rsidRDefault="000052DA" w:rsidP="000052DA">
      <w:pPr>
        <w:tabs>
          <w:tab w:val="num" w:pos="720"/>
        </w:tabs>
        <w:ind w:firstLine="200"/>
        <w:rPr>
          <w:sz w:val="22"/>
          <w:szCs w:val="22"/>
        </w:rPr>
      </w:pPr>
      <w:r w:rsidRPr="00CE71B1">
        <w:rPr>
          <w:sz w:val="22"/>
          <w:szCs w:val="22"/>
        </w:rPr>
        <w:t>Year 2: -55 + 25 = -30</w:t>
      </w:r>
    </w:p>
    <w:p w14:paraId="14CFA261" w14:textId="77777777" w:rsidR="000052DA" w:rsidRPr="00CE71B1" w:rsidRDefault="000052DA" w:rsidP="000052DA">
      <w:pPr>
        <w:tabs>
          <w:tab w:val="num" w:pos="720"/>
        </w:tabs>
        <w:ind w:firstLine="200"/>
        <w:rPr>
          <w:sz w:val="22"/>
          <w:szCs w:val="22"/>
        </w:rPr>
      </w:pPr>
      <w:r w:rsidRPr="00CE71B1">
        <w:rPr>
          <w:sz w:val="22"/>
          <w:szCs w:val="22"/>
        </w:rPr>
        <w:t>Year 3: -30 + 20 = -10</w:t>
      </w:r>
    </w:p>
    <w:p w14:paraId="394D5B7C" w14:textId="7C952BD7" w:rsidR="000052DA" w:rsidRPr="00CE71B1" w:rsidRDefault="000052DA" w:rsidP="000052DA">
      <w:pPr>
        <w:tabs>
          <w:tab w:val="num" w:pos="720"/>
        </w:tabs>
        <w:ind w:firstLine="200"/>
        <w:rPr>
          <w:sz w:val="22"/>
          <w:szCs w:val="22"/>
        </w:rPr>
      </w:pPr>
      <w:r w:rsidRPr="00CE71B1">
        <w:rPr>
          <w:sz w:val="22"/>
          <w:szCs w:val="22"/>
        </w:rPr>
        <w:t>Year 4: -10 + 55 = 45</w:t>
      </w:r>
    </w:p>
    <w:p w14:paraId="45816ACB" w14:textId="77777777" w:rsidR="00DA58EA" w:rsidRPr="00CE71B1" w:rsidRDefault="00854332" w:rsidP="00854332">
      <w:pPr>
        <w:tabs>
          <w:tab w:val="num" w:pos="720"/>
        </w:tabs>
        <w:ind w:firstLine="200"/>
        <w:rPr>
          <w:sz w:val="22"/>
          <w:szCs w:val="22"/>
        </w:rPr>
      </w:pPr>
      <w:r w:rsidRPr="00CE71B1">
        <w:rPr>
          <w:sz w:val="22"/>
          <w:szCs w:val="22"/>
        </w:rPr>
        <w:lastRenderedPageBreak/>
        <w:t>The cumulative cash flow turns positive between years 3 and 4.</w:t>
      </w:r>
    </w:p>
    <w:p w14:paraId="359A9A56" w14:textId="5FCFE497" w:rsidR="00854332" w:rsidRPr="00CE71B1" w:rsidRDefault="00854332" w:rsidP="00854332">
      <w:pPr>
        <w:tabs>
          <w:tab w:val="num" w:pos="720"/>
        </w:tabs>
        <w:ind w:firstLine="200"/>
        <w:rPr>
          <w:sz w:val="22"/>
          <w:szCs w:val="22"/>
        </w:rPr>
      </w:pPr>
      <w:r w:rsidRPr="00CE71B1">
        <w:rPr>
          <w:sz w:val="22"/>
          <w:szCs w:val="22"/>
        </w:rPr>
        <w:t xml:space="preserve"> The payback period is:</w:t>
      </w:r>
    </w:p>
    <w:p w14:paraId="071FA186" w14:textId="2578A295" w:rsidR="00854332" w:rsidRPr="00CE71B1" w:rsidRDefault="00854332" w:rsidP="00854332">
      <w:pPr>
        <w:tabs>
          <w:tab w:val="num" w:pos="720"/>
        </w:tabs>
        <w:ind w:firstLine="200"/>
        <w:rPr>
          <w:sz w:val="22"/>
          <w:szCs w:val="22"/>
        </w:rPr>
      </w:pPr>
      <w:r w:rsidRPr="00CE71B1">
        <w:rPr>
          <w:sz w:val="22"/>
          <w:szCs w:val="22"/>
        </w:rPr>
        <w:t>Payback Period for A=3</w:t>
      </w:r>
      <m:oMath>
        <m:r>
          <w:rPr>
            <w:rFonts w:ascii="Cambria Math" w:hAnsi="Cambria Math"/>
            <w:sz w:val="22"/>
            <w:szCs w:val="22"/>
          </w:rPr>
          <m:t xml:space="preserve">  +</m:t>
        </m:r>
        <m:f>
          <m:fPr>
            <m:ctrlPr>
              <w:rPr>
                <w:rFonts w:ascii="Cambria Math" w:hAnsi="Cambria Math"/>
                <w:i/>
                <w:sz w:val="22"/>
                <w:szCs w:val="22"/>
              </w:rPr>
            </m:ctrlPr>
          </m:fPr>
          <m:num>
            <m:r>
              <w:rPr>
                <w:rFonts w:ascii="Cambria Math" w:hAnsi="Cambria Math"/>
                <w:sz w:val="22"/>
                <w:szCs w:val="22"/>
              </w:rPr>
              <m:t>10</m:t>
            </m:r>
          </m:num>
          <m:den>
            <m:r>
              <w:rPr>
                <w:rFonts w:ascii="Cambria Math" w:hAnsi="Cambria Math"/>
                <w:sz w:val="22"/>
                <w:szCs w:val="22"/>
              </w:rPr>
              <m:t>55</m:t>
            </m:r>
          </m:den>
        </m:f>
      </m:oMath>
      <w:r w:rsidR="00DD3651" w:rsidRPr="00CE71B1">
        <w:rPr>
          <w:sz w:val="22"/>
          <w:szCs w:val="22"/>
        </w:rPr>
        <w:t xml:space="preserve"> =  3</w:t>
      </w:r>
      <w:r w:rsidR="006D625F" w:rsidRPr="00CE71B1">
        <w:rPr>
          <w:sz w:val="22"/>
          <w:szCs w:val="22"/>
        </w:rPr>
        <w:t>.18</w:t>
      </w:r>
      <w:r w:rsidR="009A2BAC" w:rsidRPr="00CE71B1">
        <w:rPr>
          <w:sz w:val="22"/>
          <w:szCs w:val="22"/>
        </w:rPr>
        <w:t xml:space="preserve"> year</w:t>
      </w:r>
    </w:p>
    <w:p w14:paraId="1F936CA7" w14:textId="77777777" w:rsidR="00290364" w:rsidRPr="00CE71B1" w:rsidRDefault="00290364" w:rsidP="00854332">
      <w:pPr>
        <w:tabs>
          <w:tab w:val="num" w:pos="720"/>
        </w:tabs>
        <w:ind w:firstLine="200"/>
        <w:rPr>
          <w:sz w:val="22"/>
          <w:szCs w:val="22"/>
        </w:rPr>
      </w:pPr>
    </w:p>
    <w:p w14:paraId="383C5CF5" w14:textId="77777777" w:rsidR="00290364" w:rsidRPr="00CE71B1" w:rsidRDefault="00290364" w:rsidP="00854332">
      <w:pPr>
        <w:tabs>
          <w:tab w:val="num" w:pos="720"/>
        </w:tabs>
        <w:ind w:firstLine="200"/>
        <w:rPr>
          <w:sz w:val="22"/>
          <w:szCs w:val="22"/>
        </w:rPr>
      </w:pPr>
    </w:p>
    <w:p w14:paraId="30326FDE" w14:textId="77777777" w:rsidR="001C5EE9" w:rsidRPr="00CE71B1" w:rsidRDefault="001C5EE9" w:rsidP="00854332">
      <w:pPr>
        <w:tabs>
          <w:tab w:val="num" w:pos="720"/>
        </w:tabs>
        <w:ind w:firstLine="200"/>
        <w:rPr>
          <w:sz w:val="22"/>
          <w:szCs w:val="22"/>
        </w:rPr>
      </w:pPr>
    </w:p>
    <w:p w14:paraId="3D8BBA82" w14:textId="77777777" w:rsidR="006C5171" w:rsidRPr="00CE71B1" w:rsidRDefault="006C5171" w:rsidP="00854332">
      <w:pPr>
        <w:tabs>
          <w:tab w:val="num" w:pos="720"/>
        </w:tabs>
        <w:ind w:firstLine="200"/>
        <w:rPr>
          <w:sz w:val="22"/>
          <w:szCs w:val="22"/>
        </w:rPr>
      </w:pPr>
    </w:p>
    <w:p w14:paraId="57A5BA4B" w14:textId="77777777" w:rsidR="0058036A" w:rsidRPr="00CE71B1" w:rsidRDefault="0058036A" w:rsidP="0058036A">
      <w:pPr>
        <w:tabs>
          <w:tab w:val="num" w:pos="720"/>
        </w:tabs>
        <w:ind w:firstLine="200"/>
        <w:rPr>
          <w:b/>
          <w:bCs/>
          <w:sz w:val="22"/>
          <w:szCs w:val="22"/>
        </w:rPr>
      </w:pPr>
      <w:r w:rsidRPr="00CE71B1">
        <w:rPr>
          <w:b/>
          <w:bCs/>
          <w:sz w:val="22"/>
          <w:szCs w:val="22"/>
        </w:rPr>
        <w:t>Project B</w:t>
      </w:r>
    </w:p>
    <w:p w14:paraId="0BE8ADE2" w14:textId="77777777" w:rsidR="0058036A" w:rsidRPr="00CE71B1" w:rsidRDefault="0058036A" w:rsidP="0058036A">
      <w:pPr>
        <w:numPr>
          <w:ilvl w:val="0"/>
          <w:numId w:val="26"/>
        </w:numPr>
        <w:rPr>
          <w:sz w:val="22"/>
          <w:szCs w:val="22"/>
        </w:rPr>
      </w:pPr>
      <w:r w:rsidRPr="00CE71B1">
        <w:rPr>
          <w:sz w:val="22"/>
          <w:szCs w:val="22"/>
        </w:rPr>
        <w:t>Year 0: -75</w:t>
      </w:r>
    </w:p>
    <w:p w14:paraId="78637A62" w14:textId="77777777" w:rsidR="0058036A" w:rsidRPr="00CE71B1" w:rsidRDefault="0058036A" w:rsidP="0058036A">
      <w:pPr>
        <w:numPr>
          <w:ilvl w:val="0"/>
          <w:numId w:val="26"/>
        </w:numPr>
        <w:rPr>
          <w:sz w:val="22"/>
          <w:szCs w:val="22"/>
        </w:rPr>
      </w:pPr>
      <w:r w:rsidRPr="00CE71B1">
        <w:rPr>
          <w:sz w:val="22"/>
          <w:szCs w:val="22"/>
        </w:rPr>
        <w:t>Year 1: -75 + 50 = -25</w:t>
      </w:r>
    </w:p>
    <w:p w14:paraId="1B5B0627" w14:textId="77777777" w:rsidR="0058036A" w:rsidRPr="00CE71B1" w:rsidRDefault="0058036A" w:rsidP="0058036A">
      <w:pPr>
        <w:numPr>
          <w:ilvl w:val="0"/>
          <w:numId w:val="26"/>
        </w:numPr>
        <w:rPr>
          <w:sz w:val="22"/>
          <w:szCs w:val="22"/>
        </w:rPr>
      </w:pPr>
      <w:r w:rsidRPr="00CE71B1">
        <w:rPr>
          <w:sz w:val="22"/>
          <w:szCs w:val="22"/>
        </w:rPr>
        <w:t>Year 2: -25 + 20 = -5</w:t>
      </w:r>
    </w:p>
    <w:p w14:paraId="0E07C616" w14:textId="77777777" w:rsidR="0058036A" w:rsidRPr="00CE71B1" w:rsidRDefault="0058036A" w:rsidP="0058036A">
      <w:pPr>
        <w:numPr>
          <w:ilvl w:val="0"/>
          <w:numId w:val="26"/>
        </w:numPr>
        <w:rPr>
          <w:sz w:val="22"/>
          <w:szCs w:val="22"/>
        </w:rPr>
      </w:pPr>
      <w:r w:rsidRPr="00CE71B1">
        <w:rPr>
          <w:sz w:val="22"/>
          <w:szCs w:val="22"/>
        </w:rPr>
        <w:t>Year 3: -5 + 20 = 15</w:t>
      </w:r>
    </w:p>
    <w:p w14:paraId="5B46EB25" w14:textId="389E3754" w:rsidR="0058036A" w:rsidRPr="00CE71B1" w:rsidRDefault="002F7933" w:rsidP="0058036A">
      <w:pPr>
        <w:tabs>
          <w:tab w:val="num" w:pos="720"/>
        </w:tabs>
        <w:ind w:firstLine="200"/>
        <w:rPr>
          <w:sz w:val="22"/>
          <w:szCs w:val="22"/>
        </w:rPr>
      </w:pPr>
      <w:r w:rsidRPr="00CE71B1">
        <w:rPr>
          <w:sz w:val="22"/>
          <w:szCs w:val="22"/>
        </w:rPr>
        <w:t>The cumulative cash flow turns positive between years 2 and 3. The payback period is:</w:t>
      </w:r>
    </w:p>
    <w:p w14:paraId="58569127" w14:textId="6C6A717B" w:rsidR="004168FE" w:rsidRPr="00CE71B1" w:rsidRDefault="004168FE" w:rsidP="0058036A">
      <w:pPr>
        <w:tabs>
          <w:tab w:val="num" w:pos="720"/>
        </w:tabs>
        <w:ind w:firstLine="200"/>
        <w:rPr>
          <w:sz w:val="22"/>
          <w:szCs w:val="22"/>
        </w:rPr>
      </w:pPr>
      <w:r w:rsidRPr="00CE71B1">
        <w:rPr>
          <w:sz w:val="22"/>
          <w:szCs w:val="22"/>
        </w:rPr>
        <w:t>Payback Period for B=2+</w:t>
      </w:r>
      <m:oMath>
        <m:f>
          <m:fPr>
            <m:ctrlPr>
              <w:rPr>
                <w:rFonts w:ascii="Cambria Math" w:hAnsi="Cambria Math"/>
                <w:i/>
                <w:sz w:val="22"/>
                <w:szCs w:val="22"/>
              </w:rPr>
            </m:ctrlPr>
          </m:fPr>
          <m:num>
            <m:r>
              <w:rPr>
                <w:rFonts w:ascii="Cambria Math" w:hAnsi="Cambria Math"/>
                <w:sz w:val="22"/>
                <w:szCs w:val="22"/>
              </w:rPr>
              <m:t>5</m:t>
            </m:r>
          </m:num>
          <m:den>
            <m:r>
              <w:rPr>
                <w:rFonts w:ascii="Cambria Math" w:hAnsi="Cambria Math"/>
                <w:sz w:val="22"/>
                <w:szCs w:val="22"/>
              </w:rPr>
              <m:t>20</m:t>
            </m:r>
          </m:den>
        </m:f>
      </m:oMath>
      <w:r w:rsidR="009A0BFB" w:rsidRPr="00CE71B1">
        <w:rPr>
          <w:sz w:val="22"/>
          <w:szCs w:val="22"/>
        </w:rPr>
        <w:t xml:space="preserve"> =</w:t>
      </w:r>
      <w:r w:rsidR="00685C19" w:rsidRPr="00CE71B1">
        <w:rPr>
          <w:sz w:val="22"/>
          <w:szCs w:val="22"/>
        </w:rPr>
        <w:t>2.25  year</w:t>
      </w:r>
    </w:p>
    <w:p w14:paraId="57BE9D6F" w14:textId="77777777" w:rsidR="00290364" w:rsidRPr="00CE71B1" w:rsidRDefault="00290364" w:rsidP="0058036A">
      <w:pPr>
        <w:tabs>
          <w:tab w:val="num" w:pos="720"/>
        </w:tabs>
        <w:ind w:firstLine="200"/>
        <w:rPr>
          <w:sz w:val="22"/>
          <w:szCs w:val="22"/>
        </w:rPr>
      </w:pPr>
    </w:p>
    <w:p w14:paraId="614FE1E7" w14:textId="77777777" w:rsidR="006758B9" w:rsidRPr="00CE71B1" w:rsidRDefault="006758B9" w:rsidP="006758B9">
      <w:pPr>
        <w:tabs>
          <w:tab w:val="num" w:pos="720"/>
        </w:tabs>
        <w:ind w:firstLine="200"/>
        <w:rPr>
          <w:b/>
          <w:bCs/>
          <w:sz w:val="22"/>
          <w:szCs w:val="22"/>
        </w:rPr>
      </w:pPr>
      <w:r w:rsidRPr="00CE71B1">
        <w:rPr>
          <w:b/>
          <w:bCs/>
          <w:sz w:val="22"/>
          <w:szCs w:val="22"/>
        </w:rPr>
        <w:t>2. Accounting Rate of Return (ARR)</w:t>
      </w:r>
    </w:p>
    <w:p w14:paraId="509A5580" w14:textId="77777777" w:rsidR="006758B9" w:rsidRPr="00CE71B1" w:rsidRDefault="006758B9" w:rsidP="006758B9">
      <w:pPr>
        <w:tabs>
          <w:tab w:val="num" w:pos="720"/>
        </w:tabs>
        <w:ind w:firstLine="200"/>
        <w:rPr>
          <w:sz w:val="22"/>
          <w:szCs w:val="22"/>
        </w:rPr>
      </w:pPr>
      <w:r w:rsidRPr="00CE71B1">
        <w:rPr>
          <w:sz w:val="22"/>
          <w:szCs w:val="22"/>
        </w:rPr>
        <w:t>The ARR is calculated as the average annual profit divided by the initial investment.</w:t>
      </w:r>
    </w:p>
    <w:p w14:paraId="195E4FEE" w14:textId="7E6B8F08" w:rsidR="00290364" w:rsidRPr="00CE71B1" w:rsidRDefault="00290364" w:rsidP="0058036A">
      <w:pPr>
        <w:tabs>
          <w:tab w:val="num" w:pos="720"/>
        </w:tabs>
        <w:ind w:firstLine="200"/>
        <w:rPr>
          <w:sz w:val="22"/>
          <w:szCs w:val="22"/>
        </w:rPr>
      </w:pPr>
    </w:p>
    <w:p w14:paraId="2E4995F5" w14:textId="77777777" w:rsidR="00482DB6" w:rsidRPr="00CE71B1" w:rsidRDefault="00482DB6" w:rsidP="00482DB6">
      <w:pPr>
        <w:tabs>
          <w:tab w:val="num" w:pos="720"/>
        </w:tabs>
        <w:ind w:firstLine="200"/>
        <w:rPr>
          <w:b/>
          <w:bCs/>
          <w:sz w:val="22"/>
          <w:szCs w:val="22"/>
        </w:rPr>
      </w:pPr>
      <w:r w:rsidRPr="00CE71B1">
        <w:rPr>
          <w:b/>
          <w:bCs/>
          <w:sz w:val="22"/>
          <w:szCs w:val="22"/>
        </w:rPr>
        <w:t>Project A</w:t>
      </w:r>
    </w:p>
    <w:p w14:paraId="580A9465" w14:textId="33BA19A0" w:rsidR="00482DB6" w:rsidRPr="00CE71B1" w:rsidRDefault="00482DB6" w:rsidP="00482DB6">
      <w:pPr>
        <w:numPr>
          <w:ilvl w:val="0"/>
          <w:numId w:val="27"/>
        </w:numPr>
        <w:rPr>
          <w:sz w:val="22"/>
          <w:szCs w:val="22"/>
        </w:rPr>
      </w:pPr>
      <w:r w:rsidRPr="00CE71B1">
        <w:rPr>
          <w:sz w:val="22"/>
          <w:szCs w:val="22"/>
        </w:rPr>
        <w:t>Total cash flow over 4 years = 25+25+20+55=125</w:t>
      </w:r>
    </w:p>
    <w:p w14:paraId="28EBCFF8" w14:textId="6F6B1B28" w:rsidR="00482DB6" w:rsidRPr="00CE71B1" w:rsidRDefault="00482DB6" w:rsidP="00482DB6">
      <w:pPr>
        <w:numPr>
          <w:ilvl w:val="0"/>
          <w:numId w:val="27"/>
        </w:numPr>
        <w:rPr>
          <w:sz w:val="22"/>
          <w:szCs w:val="22"/>
        </w:rPr>
      </w:pPr>
      <w:r w:rsidRPr="00CE71B1">
        <w:rPr>
          <w:sz w:val="22"/>
          <w:szCs w:val="22"/>
        </w:rPr>
        <w:t xml:space="preserve">Average annual cash flow = </w:t>
      </w:r>
      <m:oMath>
        <m:f>
          <m:fPr>
            <m:ctrlPr>
              <w:rPr>
                <w:rFonts w:ascii="Cambria Math" w:hAnsi="Cambria Math"/>
                <w:i/>
                <w:sz w:val="22"/>
                <w:szCs w:val="22"/>
              </w:rPr>
            </m:ctrlPr>
          </m:fPr>
          <m:num>
            <m:r>
              <w:rPr>
                <w:rFonts w:ascii="Cambria Math" w:hAnsi="Cambria Math"/>
                <w:sz w:val="22"/>
                <w:szCs w:val="22"/>
              </w:rPr>
              <m:t>125</m:t>
            </m:r>
          </m:num>
          <m:den>
            <m:r>
              <w:rPr>
                <w:rFonts w:ascii="Cambria Math" w:hAnsi="Cambria Math"/>
                <w:sz w:val="22"/>
                <w:szCs w:val="22"/>
              </w:rPr>
              <m:t>4</m:t>
            </m:r>
          </m:den>
        </m:f>
        <m:r>
          <w:rPr>
            <w:rFonts w:ascii="Cambria Math" w:hAnsi="Cambria Math"/>
            <w:sz w:val="22"/>
            <w:szCs w:val="22"/>
          </w:rPr>
          <m:t>=</m:t>
        </m:r>
      </m:oMath>
      <w:r w:rsidR="002520B6" w:rsidRPr="00CE71B1">
        <w:rPr>
          <w:sz w:val="22"/>
          <w:szCs w:val="22"/>
        </w:rPr>
        <w:t xml:space="preserve"> 31.25</w:t>
      </w:r>
    </w:p>
    <w:p w14:paraId="7996186F" w14:textId="77777777" w:rsidR="00482DB6" w:rsidRPr="00CE71B1" w:rsidRDefault="00482DB6" w:rsidP="00482DB6">
      <w:pPr>
        <w:numPr>
          <w:ilvl w:val="0"/>
          <w:numId w:val="27"/>
        </w:numPr>
        <w:rPr>
          <w:sz w:val="22"/>
          <w:szCs w:val="22"/>
        </w:rPr>
      </w:pPr>
      <w:r w:rsidRPr="00CE71B1">
        <w:rPr>
          <w:sz w:val="22"/>
          <w:szCs w:val="22"/>
        </w:rPr>
        <w:t>Average annual profit = Average annual cash flow - Depreciation</w:t>
      </w:r>
    </w:p>
    <w:p w14:paraId="0E345523" w14:textId="6BE282A5" w:rsidR="00482DB6" w:rsidRPr="00CE71B1" w:rsidRDefault="00482DB6" w:rsidP="00482DB6">
      <w:pPr>
        <w:numPr>
          <w:ilvl w:val="0"/>
          <w:numId w:val="27"/>
        </w:numPr>
        <w:rPr>
          <w:sz w:val="22"/>
          <w:szCs w:val="22"/>
        </w:rPr>
      </w:pPr>
      <w:r w:rsidRPr="00CE71B1">
        <w:rPr>
          <w:sz w:val="22"/>
          <w:szCs w:val="22"/>
        </w:rPr>
        <w:t xml:space="preserve">Depreciation = </w:t>
      </w:r>
      <m:oMath>
        <m:f>
          <m:fPr>
            <m:ctrlPr>
              <w:rPr>
                <w:rFonts w:ascii="Cambria Math" w:hAnsi="Cambria Math"/>
                <w:i/>
                <w:sz w:val="22"/>
                <w:szCs w:val="22"/>
              </w:rPr>
            </m:ctrlPr>
          </m:fPr>
          <m:num>
            <m:r>
              <w:rPr>
                <w:rFonts w:ascii="Cambria Math" w:hAnsi="Cambria Math"/>
                <w:sz w:val="22"/>
                <w:szCs w:val="22"/>
              </w:rPr>
              <m:t>80</m:t>
            </m:r>
          </m:num>
          <m:den>
            <m:r>
              <w:rPr>
                <w:rFonts w:ascii="Cambria Math" w:hAnsi="Cambria Math"/>
                <w:sz w:val="22"/>
                <w:szCs w:val="22"/>
              </w:rPr>
              <m:t>4</m:t>
            </m:r>
          </m:den>
        </m:f>
      </m:oMath>
      <w:r w:rsidR="000B163F" w:rsidRPr="00CE71B1">
        <w:rPr>
          <w:sz w:val="22"/>
          <w:szCs w:val="22"/>
        </w:rPr>
        <w:t>=20</w:t>
      </w:r>
    </w:p>
    <w:p w14:paraId="08B2C81B" w14:textId="3A86DF2C" w:rsidR="00482DB6" w:rsidRPr="00CE71B1" w:rsidRDefault="00482DB6" w:rsidP="00482DB6">
      <w:pPr>
        <w:numPr>
          <w:ilvl w:val="0"/>
          <w:numId w:val="27"/>
        </w:numPr>
        <w:rPr>
          <w:sz w:val="22"/>
          <w:szCs w:val="22"/>
        </w:rPr>
      </w:pPr>
      <w:r w:rsidRPr="00CE71B1">
        <w:rPr>
          <w:sz w:val="22"/>
          <w:szCs w:val="22"/>
        </w:rPr>
        <w:t>Average annual profit = 31.25−20=11.25</w:t>
      </w:r>
    </w:p>
    <w:p w14:paraId="4DB3639D" w14:textId="57B461F0" w:rsidR="00482DB6" w:rsidRPr="00CE71B1" w:rsidRDefault="00482DB6" w:rsidP="00482DB6">
      <w:pPr>
        <w:numPr>
          <w:ilvl w:val="0"/>
          <w:numId w:val="27"/>
        </w:numPr>
        <w:rPr>
          <w:sz w:val="22"/>
          <w:szCs w:val="22"/>
        </w:rPr>
      </w:pPr>
      <w:r w:rsidRPr="00CE71B1">
        <w:rPr>
          <w:sz w:val="22"/>
          <w:szCs w:val="22"/>
        </w:rPr>
        <w:t xml:space="preserve">ARR = </w:t>
      </w:r>
      <m:oMath>
        <m:f>
          <m:fPr>
            <m:ctrlPr>
              <w:rPr>
                <w:rFonts w:ascii="Cambria Math" w:hAnsi="Cambria Math"/>
                <w:i/>
                <w:sz w:val="22"/>
                <w:szCs w:val="22"/>
              </w:rPr>
            </m:ctrlPr>
          </m:fPr>
          <m:num>
            <m:r>
              <w:rPr>
                <w:rFonts w:ascii="Cambria Math" w:hAnsi="Cambria Math"/>
                <w:sz w:val="22"/>
                <w:szCs w:val="22"/>
              </w:rPr>
              <m:t>11.25</m:t>
            </m:r>
          </m:num>
          <m:den>
            <m:r>
              <w:rPr>
                <w:rFonts w:ascii="Cambria Math" w:hAnsi="Cambria Math"/>
                <w:sz w:val="22"/>
                <w:szCs w:val="22"/>
              </w:rPr>
              <m:t>80</m:t>
            </m:r>
          </m:den>
        </m:f>
        <m:r>
          <w:rPr>
            <w:rFonts w:ascii="Cambria Math" w:hAnsi="Cambria Math"/>
            <w:sz w:val="22"/>
            <w:szCs w:val="22"/>
          </w:rPr>
          <m:t>×100=14.06%</m:t>
        </m:r>
      </m:oMath>
    </w:p>
    <w:p w14:paraId="64B5B28B" w14:textId="77777777" w:rsidR="00CE0290" w:rsidRPr="00CE71B1" w:rsidRDefault="00CE0290" w:rsidP="00CE0290">
      <w:pPr>
        <w:rPr>
          <w:sz w:val="22"/>
          <w:szCs w:val="22"/>
        </w:rPr>
      </w:pPr>
    </w:p>
    <w:p w14:paraId="7D8152C9" w14:textId="77777777" w:rsidR="00CE0290" w:rsidRPr="00CE71B1" w:rsidRDefault="00CE0290" w:rsidP="00CE0290">
      <w:pPr>
        <w:rPr>
          <w:sz w:val="22"/>
          <w:szCs w:val="22"/>
        </w:rPr>
      </w:pPr>
    </w:p>
    <w:p w14:paraId="14166E51" w14:textId="77777777" w:rsidR="00CE0290" w:rsidRPr="00CE71B1" w:rsidRDefault="00CE0290" w:rsidP="00CE0290">
      <w:pPr>
        <w:rPr>
          <w:sz w:val="22"/>
          <w:szCs w:val="22"/>
        </w:rPr>
      </w:pPr>
    </w:p>
    <w:p w14:paraId="0B5B199E" w14:textId="77777777" w:rsidR="00CE0290" w:rsidRPr="00CE71B1" w:rsidRDefault="00CE0290" w:rsidP="00CE0290">
      <w:pPr>
        <w:rPr>
          <w:sz w:val="22"/>
          <w:szCs w:val="22"/>
        </w:rPr>
      </w:pPr>
    </w:p>
    <w:p w14:paraId="30F4404C" w14:textId="77777777" w:rsidR="00CE0290" w:rsidRPr="00CE71B1" w:rsidRDefault="00CE0290" w:rsidP="00CE0290">
      <w:pPr>
        <w:rPr>
          <w:sz w:val="22"/>
          <w:szCs w:val="22"/>
        </w:rPr>
      </w:pPr>
    </w:p>
    <w:p w14:paraId="0E459EDC" w14:textId="77777777" w:rsidR="00CE0290" w:rsidRDefault="00CE0290" w:rsidP="00CE0290">
      <w:pPr>
        <w:rPr>
          <w:sz w:val="22"/>
          <w:szCs w:val="22"/>
        </w:rPr>
      </w:pPr>
    </w:p>
    <w:p w14:paraId="4843CCF3" w14:textId="77777777" w:rsidR="00572A22" w:rsidRDefault="00572A22" w:rsidP="00CE0290">
      <w:pPr>
        <w:rPr>
          <w:sz w:val="22"/>
          <w:szCs w:val="22"/>
        </w:rPr>
      </w:pPr>
    </w:p>
    <w:p w14:paraId="4A031AC9" w14:textId="77777777" w:rsidR="00572A22" w:rsidRDefault="00572A22" w:rsidP="00CE0290">
      <w:pPr>
        <w:rPr>
          <w:sz w:val="22"/>
          <w:szCs w:val="22"/>
        </w:rPr>
      </w:pPr>
    </w:p>
    <w:p w14:paraId="29F8AC0A" w14:textId="77777777" w:rsidR="00572A22" w:rsidRDefault="00572A22" w:rsidP="00CE0290">
      <w:pPr>
        <w:rPr>
          <w:sz w:val="22"/>
          <w:szCs w:val="22"/>
        </w:rPr>
      </w:pPr>
    </w:p>
    <w:p w14:paraId="6E84631C" w14:textId="77777777" w:rsidR="00572A22" w:rsidRDefault="00572A22" w:rsidP="00CE0290">
      <w:pPr>
        <w:rPr>
          <w:sz w:val="22"/>
          <w:szCs w:val="22"/>
        </w:rPr>
      </w:pPr>
    </w:p>
    <w:p w14:paraId="5DEBD854" w14:textId="77777777" w:rsidR="00572A22" w:rsidRPr="00CE71B1" w:rsidRDefault="00572A22" w:rsidP="00CE0290">
      <w:pPr>
        <w:rPr>
          <w:sz w:val="22"/>
          <w:szCs w:val="22"/>
        </w:rPr>
      </w:pPr>
    </w:p>
    <w:p w14:paraId="0206397D" w14:textId="77777777" w:rsidR="00CE0290" w:rsidRPr="00CE71B1" w:rsidRDefault="00CE0290" w:rsidP="00CE0290">
      <w:pPr>
        <w:rPr>
          <w:b/>
          <w:bCs/>
          <w:sz w:val="22"/>
          <w:szCs w:val="22"/>
        </w:rPr>
      </w:pPr>
      <w:r w:rsidRPr="00CE71B1">
        <w:rPr>
          <w:b/>
          <w:bCs/>
          <w:sz w:val="22"/>
          <w:szCs w:val="22"/>
        </w:rPr>
        <w:t>Project B</w:t>
      </w:r>
    </w:p>
    <w:p w14:paraId="43D82695" w14:textId="2C2035CA" w:rsidR="00CE0290" w:rsidRPr="00CE71B1" w:rsidRDefault="00CE0290" w:rsidP="00CE0290">
      <w:pPr>
        <w:numPr>
          <w:ilvl w:val="0"/>
          <w:numId w:val="28"/>
        </w:numPr>
        <w:rPr>
          <w:sz w:val="22"/>
          <w:szCs w:val="22"/>
        </w:rPr>
      </w:pPr>
      <w:r w:rsidRPr="00CE71B1">
        <w:rPr>
          <w:sz w:val="22"/>
          <w:szCs w:val="22"/>
        </w:rPr>
        <w:t>Total cash flow over 4 years = 50+20+20+20=110</w:t>
      </w:r>
    </w:p>
    <w:p w14:paraId="564D087B" w14:textId="5D04A4D9" w:rsidR="00CE0290" w:rsidRPr="00CE71B1" w:rsidRDefault="00CE0290" w:rsidP="00CE0290">
      <w:pPr>
        <w:numPr>
          <w:ilvl w:val="0"/>
          <w:numId w:val="28"/>
        </w:numPr>
        <w:rPr>
          <w:sz w:val="22"/>
          <w:szCs w:val="22"/>
        </w:rPr>
      </w:pPr>
      <w:r w:rsidRPr="00CE71B1">
        <w:rPr>
          <w:sz w:val="22"/>
          <w:szCs w:val="22"/>
        </w:rPr>
        <w:t xml:space="preserve">Average annual cash flow = </w:t>
      </w:r>
      <m:oMath>
        <m:f>
          <m:fPr>
            <m:ctrlPr>
              <w:rPr>
                <w:rFonts w:ascii="Cambria Math" w:hAnsi="Cambria Math"/>
                <w:i/>
                <w:sz w:val="22"/>
                <w:szCs w:val="22"/>
              </w:rPr>
            </m:ctrlPr>
          </m:fPr>
          <m:num>
            <m:r>
              <w:rPr>
                <w:rFonts w:ascii="Cambria Math" w:hAnsi="Cambria Math"/>
                <w:sz w:val="22"/>
                <w:szCs w:val="22"/>
              </w:rPr>
              <m:t xml:space="preserve">110  </m:t>
            </m:r>
          </m:num>
          <m:den>
            <m:r>
              <w:rPr>
                <w:rFonts w:ascii="Cambria Math" w:hAnsi="Cambria Math"/>
                <w:sz w:val="22"/>
                <w:szCs w:val="22"/>
              </w:rPr>
              <m:t>4</m:t>
            </m:r>
          </m:den>
        </m:f>
      </m:oMath>
      <w:r w:rsidR="00804168" w:rsidRPr="00CE71B1">
        <w:rPr>
          <w:sz w:val="22"/>
          <w:szCs w:val="22"/>
        </w:rPr>
        <w:t>=27.5</w:t>
      </w:r>
    </w:p>
    <w:p w14:paraId="644B4C2B" w14:textId="1395B067" w:rsidR="00CE0290" w:rsidRPr="00CE71B1" w:rsidRDefault="00CE0290" w:rsidP="00CE0290">
      <w:pPr>
        <w:numPr>
          <w:ilvl w:val="0"/>
          <w:numId w:val="28"/>
        </w:numPr>
        <w:rPr>
          <w:sz w:val="22"/>
          <w:szCs w:val="22"/>
        </w:rPr>
      </w:pPr>
      <w:r w:rsidRPr="00CE71B1">
        <w:rPr>
          <w:sz w:val="22"/>
          <w:szCs w:val="22"/>
        </w:rPr>
        <w:t xml:space="preserve">Depreciation = </w:t>
      </w:r>
      <m:oMath>
        <m:f>
          <m:fPr>
            <m:ctrlPr>
              <w:rPr>
                <w:rFonts w:ascii="Cambria Math" w:hAnsi="Cambria Math"/>
                <w:i/>
                <w:sz w:val="22"/>
                <w:szCs w:val="22"/>
              </w:rPr>
            </m:ctrlPr>
          </m:fPr>
          <m:num>
            <m:r>
              <w:rPr>
                <w:rFonts w:ascii="Cambria Math" w:hAnsi="Cambria Math"/>
                <w:sz w:val="22"/>
                <w:szCs w:val="22"/>
              </w:rPr>
              <m:t>75</m:t>
            </m:r>
          </m:num>
          <m:den>
            <m:r>
              <w:rPr>
                <w:rFonts w:ascii="Cambria Math" w:hAnsi="Cambria Math"/>
                <w:sz w:val="22"/>
                <w:szCs w:val="22"/>
              </w:rPr>
              <m:t>4</m:t>
            </m:r>
          </m:den>
        </m:f>
        <m:r>
          <w:rPr>
            <w:rFonts w:ascii="Cambria Math" w:hAnsi="Cambria Math"/>
            <w:sz w:val="22"/>
            <w:szCs w:val="22"/>
          </w:rPr>
          <m:t>=18.75</m:t>
        </m:r>
      </m:oMath>
    </w:p>
    <w:p w14:paraId="37B606A2" w14:textId="770DCD1C" w:rsidR="00CE0290" w:rsidRPr="00CE71B1" w:rsidRDefault="00CE0290" w:rsidP="00CE0290">
      <w:pPr>
        <w:numPr>
          <w:ilvl w:val="0"/>
          <w:numId w:val="28"/>
        </w:numPr>
        <w:rPr>
          <w:sz w:val="22"/>
          <w:szCs w:val="22"/>
        </w:rPr>
      </w:pPr>
      <w:r w:rsidRPr="00CE71B1">
        <w:rPr>
          <w:sz w:val="22"/>
          <w:szCs w:val="22"/>
        </w:rPr>
        <w:t>Average annual profit = 27.5−18.75=8.75</w:t>
      </w:r>
    </w:p>
    <w:p w14:paraId="5D2935BD" w14:textId="09B949F2" w:rsidR="00CE0290" w:rsidRPr="00CE71B1" w:rsidRDefault="00CE0290" w:rsidP="00CE0290">
      <w:pPr>
        <w:numPr>
          <w:ilvl w:val="0"/>
          <w:numId w:val="28"/>
        </w:numPr>
        <w:rPr>
          <w:sz w:val="22"/>
          <w:szCs w:val="22"/>
        </w:rPr>
      </w:pPr>
      <w:r w:rsidRPr="00CE71B1">
        <w:rPr>
          <w:sz w:val="22"/>
          <w:szCs w:val="22"/>
        </w:rPr>
        <w:t xml:space="preserve">ARR = </w:t>
      </w:r>
      <w:r w:rsidR="00E65FBB"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8.75</m:t>
            </m:r>
          </m:num>
          <m:den>
            <m:r>
              <w:rPr>
                <w:rFonts w:ascii="Cambria Math" w:hAnsi="Cambria Math"/>
                <w:sz w:val="22"/>
                <w:szCs w:val="22"/>
              </w:rPr>
              <m:t>75</m:t>
            </m:r>
          </m:den>
        </m:f>
      </m:oMath>
      <w:r w:rsidR="00CA4C5A" w:rsidRPr="00CE71B1">
        <w:rPr>
          <w:sz w:val="22"/>
          <w:szCs w:val="22"/>
        </w:rPr>
        <w:t xml:space="preserve"> </w:t>
      </w:r>
      <m:oMath>
        <m:r>
          <w:rPr>
            <w:rFonts w:ascii="Cambria Math" w:hAnsi="Cambria Math"/>
            <w:sz w:val="22"/>
            <w:szCs w:val="22"/>
          </w:rPr>
          <m:t>×</m:t>
        </m:r>
      </m:oMath>
      <w:r w:rsidR="00CA4C5A" w:rsidRPr="00CE71B1">
        <w:rPr>
          <w:sz w:val="22"/>
          <w:szCs w:val="22"/>
        </w:rPr>
        <w:t>100</w:t>
      </w:r>
      <w:r w:rsidR="00DF17D9" w:rsidRPr="00CE71B1">
        <w:rPr>
          <w:sz w:val="22"/>
          <w:szCs w:val="22"/>
        </w:rPr>
        <w:t xml:space="preserve"> =11.67%</w:t>
      </w:r>
    </w:p>
    <w:p w14:paraId="075D23AB" w14:textId="77777777" w:rsidR="00584ADB" w:rsidRPr="00CE71B1" w:rsidRDefault="00584ADB" w:rsidP="00584ADB">
      <w:pPr>
        <w:rPr>
          <w:sz w:val="22"/>
          <w:szCs w:val="22"/>
        </w:rPr>
      </w:pPr>
    </w:p>
    <w:p w14:paraId="37C0BDB7" w14:textId="77777777" w:rsidR="00584ADB" w:rsidRPr="00CE71B1" w:rsidRDefault="00584ADB" w:rsidP="00584ADB">
      <w:pPr>
        <w:rPr>
          <w:sz w:val="22"/>
          <w:szCs w:val="22"/>
        </w:rPr>
      </w:pPr>
    </w:p>
    <w:p w14:paraId="72E4740A" w14:textId="77777777" w:rsidR="00584ADB" w:rsidRPr="00CE71B1" w:rsidRDefault="00584ADB" w:rsidP="00584ADB">
      <w:pPr>
        <w:rPr>
          <w:sz w:val="22"/>
          <w:szCs w:val="22"/>
        </w:rPr>
      </w:pPr>
    </w:p>
    <w:p w14:paraId="002327F1" w14:textId="4A1BC7E5" w:rsidR="00584ADB" w:rsidRPr="00CE71B1" w:rsidRDefault="00584ADB" w:rsidP="00584ADB">
      <w:pPr>
        <w:rPr>
          <w:b/>
          <w:bCs/>
          <w:sz w:val="22"/>
          <w:szCs w:val="22"/>
        </w:rPr>
      </w:pPr>
      <w:r w:rsidRPr="00CE71B1">
        <w:rPr>
          <w:b/>
          <w:bCs/>
          <w:sz w:val="22"/>
          <w:szCs w:val="22"/>
        </w:rPr>
        <w:t>3. Net Present Value (NPV)</w:t>
      </w:r>
    </w:p>
    <w:p w14:paraId="5DAE64A3" w14:textId="0CEF145F" w:rsidR="00E554AA" w:rsidRPr="00CE71B1" w:rsidRDefault="00E554AA" w:rsidP="00584ADB">
      <w:pPr>
        <w:rPr>
          <w:sz w:val="22"/>
          <w:szCs w:val="22"/>
        </w:rPr>
      </w:pPr>
      <w:r w:rsidRPr="00CE71B1">
        <w:rPr>
          <w:sz w:val="22"/>
          <w:szCs w:val="22"/>
        </w:rPr>
        <w:t>The NPV is the sum of the present values of the cash flows, discounted at the project's cost of capital. For this calculation, let’s assume a discount rate of 10%.</w:t>
      </w:r>
    </w:p>
    <w:p w14:paraId="33DDC784" w14:textId="77777777" w:rsidR="00184C90" w:rsidRPr="00CE71B1" w:rsidRDefault="00184C90" w:rsidP="00184C90">
      <w:pPr>
        <w:rPr>
          <w:b/>
          <w:bCs/>
          <w:sz w:val="22"/>
          <w:szCs w:val="22"/>
        </w:rPr>
      </w:pPr>
      <w:r w:rsidRPr="00CE71B1">
        <w:rPr>
          <w:b/>
          <w:bCs/>
          <w:sz w:val="22"/>
          <w:szCs w:val="22"/>
        </w:rPr>
        <w:t>Project A</w:t>
      </w:r>
    </w:p>
    <w:p w14:paraId="0E9B0274" w14:textId="592DBBE4" w:rsidR="00E960AA" w:rsidRPr="00CE71B1" w:rsidRDefault="00184C90" w:rsidP="00CE0290">
      <w:pPr>
        <w:rPr>
          <w:sz w:val="22"/>
          <w:szCs w:val="22"/>
        </w:rPr>
      </w:pPr>
      <w:r w:rsidRPr="00CE71B1">
        <w:rPr>
          <w:sz w:val="22"/>
          <w:szCs w:val="22"/>
        </w:rPr>
        <w:t>NPV=</w:t>
      </w:r>
      <w:r w:rsidR="001C690F"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25</m:t>
            </m:r>
          </m:num>
          <m:den>
            <m:r>
              <w:rPr>
                <w:rFonts w:ascii="Cambria Math" w:hAnsi="Cambria Math"/>
                <w:sz w:val="22"/>
                <w:szCs w:val="22"/>
              </w:rPr>
              <m:t>(1+0.1)</m:t>
            </m:r>
          </m:den>
        </m:f>
      </m:oMath>
    </w:p>
    <w:p w14:paraId="7C08BD58" w14:textId="77777777" w:rsidR="00E960AA" w:rsidRPr="00CE71B1" w:rsidRDefault="00E960AA" w:rsidP="00E960AA">
      <w:pPr>
        <w:spacing w:after="0" w:line="240" w:lineRule="auto"/>
        <w:rPr>
          <w:rFonts w:ascii="Times New Roman" w:eastAsia="Times New Roman" w:hAnsi="Times New Roman" w:cs="Times New Roman"/>
          <w:kern w:val="0"/>
          <w:sz w:val="22"/>
          <w:szCs w:val="22"/>
          <w14:ligatures w14:val="none"/>
        </w:rPr>
      </w:pPr>
      <w:r w:rsidRPr="00CE71B1">
        <w:rPr>
          <w:rFonts w:ascii="Times New Roman" w:eastAsia="Times New Roman" w:hAnsi="Symbol" w:cs="Times New Roman"/>
          <w:kern w:val="0"/>
          <w:sz w:val="22"/>
          <w:szCs w:val="22"/>
          <w14:ligatures w14:val="none"/>
        </w:rPr>
        <w:t></w:t>
      </w:r>
      <w:r w:rsidRPr="00CE71B1">
        <w:rPr>
          <w:rFonts w:ascii="Times New Roman" w:eastAsia="Times New Roman" w:hAnsi="Times New Roman" w:cs="Times New Roman"/>
          <w:kern w:val="0"/>
          <w:sz w:val="22"/>
          <w:szCs w:val="22"/>
          <w14:ligatures w14:val="none"/>
        </w:rPr>
        <w:t xml:space="preserve">  </w:t>
      </w:r>
      <w:r w:rsidRPr="00CE71B1">
        <w:rPr>
          <w:rFonts w:ascii="Times New Roman" w:eastAsia="Times New Roman" w:hAnsi="Times New Roman" w:cs="Times New Roman"/>
          <w:b/>
          <w:bCs/>
          <w:kern w:val="0"/>
          <w:sz w:val="22"/>
          <w:szCs w:val="22"/>
          <w14:ligatures w14:val="none"/>
        </w:rPr>
        <w:t>Payback Period:</w:t>
      </w:r>
      <w:r w:rsidRPr="00CE71B1">
        <w:rPr>
          <w:rFonts w:ascii="Times New Roman" w:eastAsia="Times New Roman" w:hAnsi="Times New Roman" w:cs="Times New Roman"/>
          <w:kern w:val="0"/>
          <w:sz w:val="22"/>
          <w:szCs w:val="22"/>
          <w14:ligatures w14:val="none"/>
        </w:rPr>
        <w:t xml:space="preserve"> Project B is preferable as it recovers its initial investment faster (2.25 years vs. 3.18 years).</w:t>
      </w:r>
    </w:p>
    <w:p w14:paraId="7654D69F" w14:textId="77777777" w:rsidR="00E960AA" w:rsidRPr="00CE71B1" w:rsidRDefault="00E960AA" w:rsidP="00E960AA">
      <w:pPr>
        <w:spacing w:after="0" w:line="240" w:lineRule="auto"/>
        <w:rPr>
          <w:rFonts w:ascii="Times New Roman" w:eastAsia="Times New Roman" w:hAnsi="Times New Roman" w:cs="Times New Roman"/>
          <w:kern w:val="0"/>
          <w:sz w:val="22"/>
          <w:szCs w:val="22"/>
          <w14:ligatures w14:val="none"/>
        </w:rPr>
      </w:pPr>
      <w:r w:rsidRPr="00CE71B1">
        <w:rPr>
          <w:rFonts w:ascii="Times New Roman" w:eastAsia="Times New Roman" w:hAnsi="Symbol" w:cs="Times New Roman"/>
          <w:kern w:val="0"/>
          <w:sz w:val="22"/>
          <w:szCs w:val="22"/>
          <w14:ligatures w14:val="none"/>
        </w:rPr>
        <w:t></w:t>
      </w:r>
      <w:r w:rsidRPr="00CE71B1">
        <w:rPr>
          <w:rFonts w:ascii="Times New Roman" w:eastAsia="Times New Roman" w:hAnsi="Times New Roman" w:cs="Times New Roman"/>
          <w:kern w:val="0"/>
          <w:sz w:val="22"/>
          <w:szCs w:val="22"/>
          <w14:ligatures w14:val="none"/>
        </w:rPr>
        <w:t xml:space="preserve">  </w:t>
      </w:r>
      <w:r w:rsidRPr="00CE71B1">
        <w:rPr>
          <w:rFonts w:ascii="Times New Roman" w:eastAsia="Times New Roman" w:hAnsi="Times New Roman" w:cs="Times New Roman"/>
          <w:b/>
          <w:bCs/>
          <w:kern w:val="0"/>
          <w:sz w:val="22"/>
          <w:szCs w:val="22"/>
          <w14:ligatures w14:val="none"/>
        </w:rPr>
        <w:t>ARR:</w:t>
      </w:r>
      <w:r w:rsidRPr="00CE71B1">
        <w:rPr>
          <w:rFonts w:ascii="Times New Roman" w:eastAsia="Times New Roman" w:hAnsi="Times New Roman" w:cs="Times New Roman"/>
          <w:kern w:val="0"/>
          <w:sz w:val="22"/>
          <w:szCs w:val="22"/>
          <w14:ligatures w14:val="none"/>
        </w:rPr>
        <w:t xml:space="preserve"> Project A has a higher ARR (14.06% vs. 11.67%), indicating a better return on investment over the project’s life.</w:t>
      </w:r>
    </w:p>
    <w:p w14:paraId="505F0917" w14:textId="2FBA8321" w:rsidR="00E960AA" w:rsidRPr="00CE71B1" w:rsidRDefault="00E960AA" w:rsidP="00E960AA">
      <w:pPr>
        <w:rPr>
          <w:rFonts w:ascii="Times New Roman" w:eastAsia="Times New Roman" w:hAnsi="Times New Roman" w:cs="Times New Roman"/>
          <w:kern w:val="0"/>
          <w:sz w:val="22"/>
          <w:szCs w:val="22"/>
          <w14:ligatures w14:val="none"/>
        </w:rPr>
      </w:pPr>
      <w:r w:rsidRPr="00CE71B1">
        <w:rPr>
          <w:rFonts w:ascii="Times New Roman" w:eastAsia="Times New Roman" w:hAnsi="Symbol" w:cs="Times New Roman"/>
          <w:kern w:val="0"/>
          <w:sz w:val="22"/>
          <w:szCs w:val="22"/>
          <w14:ligatures w14:val="none"/>
        </w:rPr>
        <w:t></w:t>
      </w:r>
      <w:r w:rsidRPr="00CE71B1">
        <w:rPr>
          <w:rFonts w:ascii="Times New Roman" w:eastAsia="Times New Roman" w:hAnsi="Times New Roman" w:cs="Times New Roman"/>
          <w:kern w:val="0"/>
          <w:sz w:val="22"/>
          <w:szCs w:val="22"/>
          <w14:ligatures w14:val="none"/>
        </w:rPr>
        <w:t xml:space="preserve">  </w:t>
      </w:r>
      <w:r w:rsidRPr="00CE71B1">
        <w:rPr>
          <w:rFonts w:ascii="Times New Roman" w:eastAsia="Times New Roman" w:hAnsi="Times New Roman" w:cs="Times New Roman"/>
          <w:b/>
          <w:bCs/>
          <w:kern w:val="0"/>
          <w:sz w:val="22"/>
          <w:szCs w:val="22"/>
          <w14:ligatures w14:val="none"/>
        </w:rPr>
        <w:t>NPV:</w:t>
      </w:r>
      <w:r w:rsidRPr="00CE71B1">
        <w:rPr>
          <w:rFonts w:ascii="Times New Roman" w:eastAsia="Times New Roman" w:hAnsi="Times New Roman" w:cs="Times New Roman"/>
          <w:kern w:val="0"/>
          <w:sz w:val="22"/>
          <w:szCs w:val="22"/>
          <w14:ligatures w14:val="none"/>
        </w:rPr>
        <w:t xml:space="preserve"> Project A has a slightly higher NPV (£16.00 million vs. £15.67 million), suggesting it adds more value to the firm.</w:t>
      </w:r>
    </w:p>
    <w:p w14:paraId="5C8B57BE" w14:textId="77777777" w:rsidR="00522C59" w:rsidRPr="00CE71B1" w:rsidRDefault="00522C59" w:rsidP="00E960AA">
      <w:pPr>
        <w:rPr>
          <w:rFonts w:ascii="Times New Roman" w:eastAsia="Times New Roman" w:hAnsi="Times New Roman" w:cs="Times New Roman"/>
          <w:kern w:val="0"/>
          <w:sz w:val="22"/>
          <w:szCs w:val="22"/>
          <w14:ligatures w14:val="none"/>
        </w:rPr>
      </w:pPr>
    </w:p>
    <w:p w14:paraId="0CE24A41" w14:textId="0143D764" w:rsidR="00522C59" w:rsidRPr="00CE71B1" w:rsidRDefault="00522C59" w:rsidP="00E960AA">
      <w:pPr>
        <w:rPr>
          <w:sz w:val="22"/>
          <w:szCs w:val="22"/>
        </w:rPr>
      </w:pPr>
      <w:r w:rsidRPr="00CE71B1">
        <w:rPr>
          <w:sz w:val="22"/>
          <w:szCs w:val="22"/>
        </w:rPr>
        <w:t xml:space="preserve">Given the higher ARR and NPV, </w:t>
      </w:r>
      <w:r w:rsidRPr="00CE71B1">
        <w:rPr>
          <w:b/>
          <w:bCs/>
          <w:sz w:val="22"/>
          <w:szCs w:val="22"/>
        </w:rPr>
        <w:t>Project A is recommended</w:t>
      </w:r>
      <w:r w:rsidRPr="00CE71B1">
        <w:rPr>
          <w:sz w:val="22"/>
          <w:szCs w:val="22"/>
        </w:rPr>
        <w:t>, as it provides a higher return and value despite a slightly longer payback period. This aligns with the goal of maximizing shareholder wealth over the long term.</w:t>
      </w:r>
    </w:p>
    <w:p w14:paraId="03CC9051" w14:textId="77777777" w:rsidR="00482DB6" w:rsidRPr="00CE71B1" w:rsidRDefault="00482DB6" w:rsidP="0058036A">
      <w:pPr>
        <w:tabs>
          <w:tab w:val="num" w:pos="720"/>
        </w:tabs>
        <w:ind w:firstLine="200"/>
        <w:rPr>
          <w:sz w:val="22"/>
          <w:szCs w:val="22"/>
        </w:rPr>
      </w:pPr>
    </w:p>
    <w:p w14:paraId="5D41E82E" w14:textId="77777777" w:rsidR="00854454" w:rsidRDefault="00854454" w:rsidP="00774A71">
      <w:pPr>
        <w:tabs>
          <w:tab w:val="num" w:pos="720"/>
        </w:tabs>
        <w:rPr>
          <w:sz w:val="22"/>
          <w:szCs w:val="22"/>
        </w:rPr>
      </w:pPr>
    </w:p>
    <w:p w14:paraId="065FF53A" w14:textId="77777777" w:rsidR="00413991" w:rsidRDefault="00413991" w:rsidP="00774A71">
      <w:pPr>
        <w:tabs>
          <w:tab w:val="num" w:pos="720"/>
        </w:tabs>
        <w:rPr>
          <w:sz w:val="22"/>
          <w:szCs w:val="22"/>
        </w:rPr>
      </w:pPr>
    </w:p>
    <w:p w14:paraId="4367987D" w14:textId="77777777" w:rsidR="00413991" w:rsidRDefault="00413991" w:rsidP="00774A71">
      <w:pPr>
        <w:tabs>
          <w:tab w:val="num" w:pos="720"/>
        </w:tabs>
        <w:rPr>
          <w:sz w:val="22"/>
          <w:szCs w:val="22"/>
        </w:rPr>
      </w:pPr>
    </w:p>
    <w:p w14:paraId="7413CF3D" w14:textId="77777777" w:rsidR="00413991" w:rsidRDefault="00413991" w:rsidP="00774A71">
      <w:pPr>
        <w:tabs>
          <w:tab w:val="num" w:pos="720"/>
        </w:tabs>
        <w:rPr>
          <w:sz w:val="22"/>
          <w:szCs w:val="22"/>
        </w:rPr>
      </w:pPr>
    </w:p>
    <w:p w14:paraId="702ED8E8" w14:textId="77777777" w:rsidR="00413991" w:rsidRDefault="00413991" w:rsidP="00774A71">
      <w:pPr>
        <w:tabs>
          <w:tab w:val="num" w:pos="720"/>
        </w:tabs>
        <w:rPr>
          <w:sz w:val="22"/>
          <w:szCs w:val="22"/>
        </w:rPr>
      </w:pPr>
    </w:p>
    <w:p w14:paraId="65BFC822" w14:textId="77777777" w:rsidR="00413991" w:rsidRPr="00CE71B1" w:rsidRDefault="00413991" w:rsidP="00774A71">
      <w:pPr>
        <w:tabs>
          <w:tab w:val="num" w:pos="720"/>
        </w:tabs>
        <w:rPr>
          <w:sz w:val="22"/>
          <w:szCs w:val="22"/>
        </w:rPr>
      </w:pPr>
    </w:p>
    <w:p w14:paraId="6B5FB972" w14:textId="31773242" w:rsidR="00F65BA1" w:rsidRPr="003463CC" w:rsidRDefault="00854454" w:rsidP="00CE71B1">
      <w:pPr>
        <w:tabs>
          <w:tab w:val="num" w:pos="720"/>
        </w:tabs>
        <w:rPr>
          <w:b/>
          <w:bCs/>
          <w:sz w:val="22"/>
          <w:szCs w:val="22"/>
        </w:rPr>
      </w:pPr>
      <w:r w:rsidRPr="003463CC">
        <w:rPr>
          <w:b/>
          <w:bCs/>
          <w:sz w:val="22"/>
          <w:szCs w:val="22"/>
        </w:rPr>
        <w:t>Critically Discussing the Advantages and Shortcomings of PBP, ARR, and NPV Techniques in Capital Project Evaluation</w:t>
      </w:r>
      <w:r w:rsidR="00CE71B1" w:rsidRPr="003463CC">
        <w:rPr>
          <w:b/>
          <w:bCs/>
          <w:sz w:val="22"/>
          <w:szCs w:val="22"/>
        </w:rPr>
        <w:t>.</w:t>
      </w:r>
    </w:p>
    <w:p w14:paraId="4D2284C1" w14:textId="77777777" w:rsidR="00556752" w:rsidRDefault="00F65BA1" w:rsidP="00CE71B1">
      <w:pPr>
        <w:tabs>
          <w:tab w:val="num" w:pos="720"/>
        </w:tabs>
        <w:rPr>
          <w:sz w:val="22"/>
          <w:szCs w:val="22"/>
        </w:rPr>
      </w:pPr>
      <w:r w:rsidRPr="00CE71B1">
        <w:rPr>
          <w:sz w:val="22"/>
          <w:szCs w:val="22"/>
        </w:rPr>
        <w:t>Capital project evaluation is a critical process in business decision-making, involving various financial techniques. The Payback Period (PBP), Accounting Rate of Return (ARR), and Net Present Value (NPV) are commonly used</w:t>
      </w:r>
    </w:p>
    <w:p w14:paraId="5D974180" w14:textId="73B3A088" w:rsidR="00F65BA1" w:rsidRPr="00CE71B1" w:rsidRDefault="00F65BA1" w:rsidP="00CE71B1">
      <w:pPr>
        <w:tabs>
          <w:tab w:val="num" w:pos="720"/>
        </w:tabs>
        <w:rPr>
          <w:sz w:val="22"/>
          <w:szCs w:val="22"/>
        </w:rPr>
      </w:pPr>
      <w:r w:rsidRPr="00CE71B1">
        <w:rPr>
          <w:sz w:val="22"/>
          <w:szCs w:val="22"/>
        </w:rPr>
        <w:t xml:space="preserve"> methods, each with its own advantages and limitations. Additionally, non-financial factors play a crucial role in capital project evaluation. Below is a critical discussion of these techniques, supported by relevant literature.</w:t>
      </w:r>
    </w:p>
    <w:p w14:paraId="0EB8BCDF" w14:textId="77777777" w:rsidR="00F65BA1" w:rsidRPr="00CE71B1" w:rsidRDefault="00F65BA1" w:rsidP="00F65BA1">
      <w:pPr>
        <w:tabs>
          <w:tab w:val="num" w:pos="720"/>
        </w:tabs>
        <w:ind w:firstLine="200"/>
        <w:rPr>
          <w:b/>
          <w:bCs/>
          <w:sz w:val="22"/>
          <w:szCs w:val="22"/>
        </w:rPr>
      </w:pPr>
      <w:r w:rsidRPr="00CE71B1">
        <w:rPr>
          <w:b/>
          <w:bCs/>
          <w:sz w:val="22"/>
          <w:szCs w:val="22"/>
        </w:rPr>
        <w:t>1. Payback Period (PBP)</w:t>
      </w:r>
    </w:p>
    <w:p w14:paraId="603263AB" w14:textId="77777777" w:rsidR="00F65BA1" w:rsidRPr="00CE71B1" w:rsidRDefault="00F65BA1" w:rsidP="00F65BA1">
      <w:pPr>
        <w:tabs>
          <w:tab w:val="num" w:pos="720"/>
        </w:tabs>
        <w:ind w:firstLine="200"/>
        <w:rPr>
          <w:sz w:val="22"/>
          <w:szCs w:val="22"/>
        </w:rPr>
      </w:pPr>
      <w:r w:rsidRPr="00CE71B1">
        <w:rPr>
          <w:sz w:val="22"/>
          <w:szCs w:val="22"/>
        </w:rPr>
        <w:t>The Payback Period (PBP) method measures the time it takes for a project to recover its initial investment. It is calculated by adding the project's cash inflows until they equal the initial investment.</w:t>
      </w:r>
    </w:p>
    <w:p w14:paraId="08267ADB" w14:textId="77777777" w:rsidR="00F65BA1" w:rsidRPr="00CE71B1" w:rsidRDefault="00F65BA1" w:rsidP="00F65BA1">
      <w:pPr>
        <w:tabs>
          <w:tab w:val="num" w:pos="720"/>
        </w:tabs>
        <w:ind w:firstLine="200"/>
        <w:rPr>
          <w:b/>
          <w:bCs/>
          <w:sz w:val="22"/>
          <w:szCs w:val="22"/>
        </w:rPr>
      </w:pPr>
      <w:r w:rsidRPr="00CE71B1">
        <w:rPr>
          <w:b/>
          <w:bCs/>
          <w:sz w:val="22"/>
          <w:szCs w:val="22"/>
        </w:rPr>
        <w:t>Advantages of PBP</w:t>
      </w:r>
    </w:p>
    <w:p w14:paraId="4743CDF8" w14:textId="77777777" w:rsidR="00F65BA1" w:rsidRPr="00CE71B1" w:rsidRDefault="00F65BA1" w:rsidP="00F65BA1">
      <w:pPr>
        <w:numPr>
          <w:ilvl w:val="0"/>
          <w:numId w:val="29"/>
        </w:numPr>
        <w:rPr>
          <w:sz w:val="22"/>
          <w:szCs w:val="22"/>
        </w:rPr>
      </w:pPr>
      <w:r w:rsidRPr="00CE71B1">
        <w:rPr>
          <w:b/>
          <w:bCs/>
          <w:sz w:val="22"/>
          <w:szCs w:val="22"/>
        </w:rPr>
        <w:t>Simplicity and Ease of Use:</w:t>
      </w:r>
    </w:p>
    <w:p w14:paraId="0F417598" w14:textId="77777777" w:rsidR="00F65BA1" w:rsidRPr="00CE71B1" w:rsidRDefault="00F65BA1" w:rsidP="00F65BA1">
      <w:pPr>
        <w:numPr>
          <w:ilvl w:val="1"/>
          <w:numId w:val="29"/>
        </w:numPr>
        <w:tabs>
          <w:tab w:val="num" w:pos="720"/>
        </w:tabs>
        <w:rPr>
          <w:sz w:val="22"/>
          <w:szCs w:val="22"/>
        </w:rPr>
      </w:pPr>
      <w:r w:rsidRPr="00CE71B1">
        <w:rPr>
          <w:sz w:val="22"/>
          <w:szCs w:val="22"/>
        </w:rPr>
        <w:t>The PBP method is straightforward and easy to understand, making it accessible for managers and stakeholders without advanced financial knowledge .</w:t>
      </w:r>
    </w:p>
    <w:p w14:paraId="5D48FB2B" w14:textId="77777777" w:rsidR="00F65BA1" w:rsidRPr="00CE71B1" w:rsidRDefault="00F65BA1" w:rsidP="00F65BA1">
      <w:pPr>
        <w:numPr>
          <w:ilvl w:val="0"/>
          <w:numId w:val="29"/>
        </w:numPr>
        <w:rPr>
          <w:sz w:val="22"/>
          <w:szCs w:val="22"/>
        </w:rPr>
      </w:pPr>
      <w:r w:rsidRPr="00CE71B1">
        <w:rPr>
          <w:b/>
          <w:bCs/>
          <w:sz w:val="22"/>
          <w:szCs w:val="22"/>
        </w:rPr>
        <w:t>Liquidity Focus:</w:t>
      </w:r>
    </w:p>
    <w:p w14:paraId="53D88E3E" w14:textId="77777777" w:rsidR="00F65BA1" w:rsidRPr="00CE71B1" w:rsidRDefault="00F65BA1" w:rsidP="00F65BA1">
      <w:pPr>
        <w:numPr>
          <w:ilvl w:val="1"/>
          <w:numId w:val="29"/>
        </w:numPr>
        <w:tabs>
          <w:tab w:val="num" w:pos="720"/>
        </w:tabs>
        <w:rPr>
          <w:sz w:val="22"/>
          <w:szCs w:val="22"/>
        </w:rPr>
      </w:pPr>
      <w:r w:rsidRPr="00CE71B1">
        <w:rPr>
          <w:sz w:val="22"/>
          <w:szCs w:val="22"/>
        </w:rPr>
        <w:t>PBP emphasizes the importance of liquidity by highlighting how quickly a project can recoup its investment, which is essential for firms facing cash flow constraints .</w:t>
      </w:r>
    </w:p>
    <w:p w14:paraId="35D5B066" w14:textId="77777777" w:rsidR="00F65BA1" w:rsidRPr="00CE71B1" w:rsidRDefault="00F65BA1" w:rsidP="00F65BA1">
      <w:pPr>
        <w:numPr>
          <w:ilvl w:val="0"/>
          <w:numId w:val="29"/>
        </w:numPr>
        <w:rPr>
          <w:sz w:val="22"/>
          <w:szCs w:val="22"/>
        </w:rPr>
      </w:pPr>
      <w:r w:rsidRPr="00CE71B1">
        <w:rPr>
          <w:b/>
          <w:bCs/>
          <w:sz w:val="22"/>
          <w:szCs w:val="22"/>
        </w:rPr>
        <w:t>Risk Reduction:</w:t>
      </w:r>
    </w:p>
    <w:p w14:paraId="61DD04A8" w14:textId="77777777" w:rsidR="00F65BA1" w:rsidRPr="00CE71B1" w:rsidRDefault="00F65BA1" w:rsidP="00F65BA1">
      <w:pPr>
        <w:numPr>
          <w:ilvl w:val="1"/>
          <w:numId w:val="29"/>
        </w:numPr>
        <w:tabs>
          <w:tab w:val="num" w:pos="720"/>
        </w:tabs>
        <w:rPr>
          <w:sz w:val="22"/>
          <w:szCs w:val="22"/>
        </w:rPr>
      </w:pPr>
      <w:r w:rsidRPr="00CE71B1">
        <w:rPr>
          <w:sz w:val="22"/>
          <w:szCs w:val="22"/>
        </w:rPr>
        <w:t>By focusing on early recovery of funds, PBP helps reduce the risk associated with long-term projects and uncertain future cash flows .</w:t>
      </w:r>
    </w:p>
    <w:p w14:paraId="7708856F" w14:textId="77777777" w:rsidR="00F65BA1" w:rsidRPr="00CE71B1" w:rsidRDefault="00F65BA1" w:rsidP="00F65BA1">
      <w:pPr>
        <w:tabs>
          <w:tab w:val="num" w:pos="720"/>
        </w:tabs>
        <w:ind w:firstLine="200"/>
        <w:rPr>
          <w:b/>
          <w:bCs/>
          <w:sz w:val="22"/>
          <w:szCs w:val="22"/>
        </w:rPr>
      </w:pPr>
      <w:r w:rsidRPr="00CE71B1">
        <w:rPr>
          <w:b/>
          <w:bCs/>
          <w:sz w:val="22"/>
          <w:szCs w:val="22"/>
        </w:rPr>
        <w:t>Shortcomings of PBP</w:t>
      </w:r>
    </w:p>
    <w:p w14:paraId="1CF3DC73" w14:textId="77777777" w:rsidR="00F65BA1" w:rsidRPr="00CE71B1" w:rsidRDefault="00F65BA1" w:rsidP="00F65BA1">
      <w:pPr>
        <w:numPr>
          <w:ilvl w:val="0"/>
          <w:numId w:val="30"/>
        </w:numPr>
        <w:rPr>
          <w:sz w:val="22"/>
          <w:szCs w:val="22"/>
        </w:rPr>
      </w:pPr>
      <w:r w:rsidRPr="00CE71B1">
        <w:rPr>
          <w:b/>
          <w:bCs/>
          <w:sz w:val="22"/>
          <w:szCs w:val="22"/>
        </w:rPr>
        <w:t>Ignores Time Value of Money (TVM):</w:t>
      </w:r>
    </w:p>
    <w:p w14:paraId="525CFB9F" w14:textId="77777777" w:rsidR="00F65BA1" w:rsidRPr="00CE71B1" w:rsidRDefault="00F65BA1" w:rsidP="00F65BA1">
      <w:pPr>
        <w:numPr>
          <w:ilvl w:val="1"/>
          <w:numId w:val="30"/>
        </w:numPr>
        <w:tabs>
          <w:tab w:val="num" w:pos="720"/>
        </w:tabs>
        <w:rPr>
          <w:sz w:val="22"/>
          <w:szCs w:val="22"/>
        </w:rPr>
      </w:pPr>
      <w:r w:rsidRPr="00CE71B1">
        <w:rPr>
          <w:sz w:val="22"/>
          <w:szCs w:val="22"/>
        </w:rPr>
        <w:lastRenderedPageBreak/>
        <w:t>The PBP method does not account for the time value of money, leading to potentially misleading evaluations, particularly for projects with later cash inflows .</w:t>
      </w:r>
    </w:p>
    <w:p w14:paraId="542DE66A" w14:textId="77777777" w:rsidR="00F65BA1" w:rsidRPr="00CE71B1" w:rsidRDefault="00F65BA1" w:rsidP="00F65BA1">
      <w:pPr>
        <w:numPr>
          <w:ilvl w:val="0"/>
          <w:numId w:val="30"/>
        </w:numPr>
        <w:rPr>
          <w:sz w:val="22"/>
          <w:szCs w:val="22"/>
        </w:rPr>
      </w:pPr>
      <w:r w:rsidRPr="00CE71B1">
        <w:rPr>
          <w:b/>
          <w:bCs/>
          <w:sz w:val="22"/>
          <w:szCs w:val="22"/>
        </w:rPr>
        <w:t>Ignores Cash Flows Beyond Payback Period:</w:t>
      </w:r>
    </w:p>
    <w:p w14:paraId="7FED60AC" w14:textId="77777777" w:rsidR="00F65BA1" w:rsidRPr="00CE71B1" w:rsidRDefault="00F65BA1" w:rsidP="00F65BA1">
      <w:pPr>
        <w:numPr>
          <w:ilvl w:val="1"/>
          <w:numId w:val="30"/>
        </w:numPr>
        <w:tabs>
          <w:tab w:val="num" w:pos="720"/>
        </w:tabs>
        <w:rPr>
          <w:sz w:val="22"/>
          <w:szCs w:val="22"/>
        </w:rPr>
      </w:pPr>
      <w:r w:rsidRPr="00CE71B1">
        <w:rPr>
          <w:sz w:val="22"/>
          <w:szCs w:val="22"/>
        </w:rPr>
        <w:t>PBP considers only the time to recover the initial investment and ignores any cash flows occurring after the payback period, which can result in undervaluing long-term projects .</w:t>
      </w:r>
    </w:p>
    <w:p w14:paraId="50A2A377" w14:textId="77777777" w:rsidR="00F65BA1" w:rsidRPr="00CE71B1" w:rsidRDefault="00F65BA1" w:rsidP="00F65BA1">
      <w:pPr>
        <w:numPr>
          <w:ilvl w:val="0"/>
          <w:numId w:val="30"/>
        </w:numPr>
        <w:rPr>
          <w:sz w:val="22"/>
          <w:szCs w:val="22"/>
        </w:rPr>
      </w:pPr>
      <w:r w:rsidRPr="00CE71B1">
        <w:rPr>
          <w:b/>
          <w:bCs/>
          <w:sz w:val="22"/>
          <w:szCs w:val="22"/>
        </w:rPr>
        <w:t>Lacks Profitability Measure:</w:t>
      </w:r>
    </w:p>
    <w:p w14:paraId="0A65E52D" w14:textId="77777777" w:rsidR="00F65BA1" w:rsidRPr="00CE71B1" w:rsidRDefault="00F65BA1" w:rsidP="00F65BA1">
      <w:pPr>
        <w:numPr>
          <w:ilvl w:val="1"/>
          <w:numId w:val="30"/>
        </w:numPr>
        <w:tabs>
          <w:tab w:val="num" w:pos="720"/>
        </w:tabs>
        <w:rPr>
          <w:sz w:val="22"/>
          <w:szCs w:val="22"/>
        </w:rPr>
      </w:pPr>
      <w:r w:rsidRPr="00CE71B1">
        <w:rPr>
          <w:sz w:val="22"/>
          <w:szCs w:val="22"/>
        </w:rPr>
        <w:t>The method does not provide information on the overall profitability or return on investment of the project, limiting its usefulness as a sole evaluation criterion .</w:t>
      </w:r>
    </w:p>
    <w:p w14:paraId="021593C4" w14:textId="77777777" w:rsidR="00F65BA1" w:rsidRPr="00CE71B1" w:rsidRDefault="00F65BA1" w:rsidP="00F65BA1">
      <w:pPr>
        <w:tabs>
          <w:tab w:val="num" w:pos="720"/>
        </w:tabs>
        <w:ind w:firstLine="200"/>
        <w:rPr>
          <w:b/>
          <w:bCs/>
          <w:sz w:val="22"/>
          <w:szCs w:val="22"/>
        </w:rPr>
      </w:pPr>
      <w:r w:rsidRPr="00CE71B1">
        <w:rPr>
          <w:b/>
          <w:bCs/>
          <w:sz w:val="22"/>
          <w:szCs w:val="22"/>
        </w:rPr>
        <w:t>2. Accounting Rate of Return (ARR)</w:t>
      </w:r>
    </w:p>
    <w:p w14:paraId="10D28452" w14:textId="77777777" w:rsidR="00F65BA1" w:rsidRDefault="00F65BA1" w:rsidP="00F65BA1">
      <w:pPr>
        <w:tabs>
          <w:tab w:val="num" w:pos="720"/>
        </w:tabs>
        <w:ind w:firstLine="200"/>
        <w:rPr>
          <w:sz w:val="22"/>
          <w:szCs w:val="22"/>
        </w:rPr>
      </w:pPr>
      <w:r w:rsidRPr="00CE71B1">
        <w:rPr>
          <w:sz w:val="22"/>
          <w:szCs w:val="22"/>
        </w:rPr>
        <w:t>The Accounting Rate of Return (ARR) measures the expected profitability of a project by comparing the average annual profit to the initial investment.</w:t>
      </w:r>
    </w:p>
    <w:p w14:paraId="6BEE20AB" w14:textId="77777777" w:rsidR="00962148" w:rsidRDefault="00962148" w:rsidP="00F65BA1">
      <w:pPr>
        <w:tabs>
          <w:tab w:val="num" w:pos="720"/>
        </w:tabs>
        <w:ind w:firstLine="200"/>
        <w:rPr>
          <w:sz w:val="22"/>
          <w:szCs w:val="22"/>
        </w:rPr>
      </w:pPr>
    </w:p>
    <w:p w14:paraId="1B177457" w14:textId="77777777" w:rsidR="00962148" w:rsidRDefault="00962148" w:rsidP="00F65BA1">
      <w:pPr>
        <w:tabs>
          <w:tab w:val="num" w:pos="720"/>
        </w:tabs>
        <w:ind w:firstLine="200"/>
        <w:rPr>
          <w:sz w:val="22"/>
          <w:szCs w:val="22"/>
        </w:rPr>
      </w:pPr>
    </w:p>
    <w:p w14:paraId="67E49008" w14:textId="77777777" w:rsidR="00962148" w:rsidRPr="00CE71B1" w:rsidRDefault="00962148" w:rsidP="00F65BA1">
      <w:pPr>
        <w:tabs>
          <w:tab w:val="num" w:pos="720"/>
        </w:tabs>
        <w:ind w:firstLine="200"/>
        <w:rPr>
          <w:sz w:val="22"/>
          <w:szCs w:val="22"/>
        </w:rPr>
      </w:pPr>
    </w:p>
    <w:p w14:paraId="772B0785" w14:textId="77777777" w:rsidR="00F65BA1" w:rsidRPr="00CE71B1" w:rsidRDefault="00F65BA1" w:rsidP="00F65BA1">
      <w:pPr>
        <w:tabs>
          <w:tab w:val="num" w:pos="720"/>
        </w:tabs>
        <w:ind w:firstLine="200"/>
        <w:rPr>
          <w:b/>
          <w:bCs/>
          <w:sz w:val="22"/>
          <w:szCs w:val="22"/>
        </w:rPr>
      </w:pPr>
      <w:r w:rsidRPr="00CE71B1">
        <w:rPr>
          <w:b/>
          <w:bCs/>
          <w:sz w:val="22"/>
          <w:szCs w:val="22"/>
        </w:rPr>
        <w:t>Advantages of ARR</w:t>
      </w:r>
    </w:p>
    <w:p w14:paraId="48CC5FF8" w14:textId="77777777" w:rsidR="00F65BA1" w:rsidRPr="00CE71B1" w:rsidRDefault="00F65BA1" w:rsidP="00F65BA1">
      <w:pPr>
        <w:numPr>
          <w:ilvl w:val="0"/>
          <w:numId w:val="31"/>
        </w:numPr>
        <w:rPr>
          <w:sz w:val="22"/>
          <w:szCs w:val="22"/>
        </w:rPr>
      </w:pPr>
      <w:r w:rsidRPr="00CE71B1">
        <w:rPr>
          <w:b/>
          <w:bCs/>
          <w:sz w:val="22"/>
          <w:szCs w:val="22"/>
        </w:rPr>
        <w:t>Simplicity and Understandability:</w:t>
      </w:r>
    </w:p>
    <w:p w14:paraId="638A813D" w14:textId="77777777" w:rsidR="00F65BA1" w:rsidRPr="00CE71B1" w:rsidRDefault="00F65BA1" w:rsidP="00F65BA1">
      <w:pPr>
        <w:numPr>
          <w:ilvl w:val="1"/>
          <w:numId w:val="31"/>
        </w:numPr>
        <w:tabs>
          <w:tab w:val="num" w:pos="720"/>
        </w:tabs>
        <w:rPr>
          <w:sz w:val="22"/>
          <w:szCs w:val="22"/>
        </w:rPr>
      </w:pPr>
      <w:r w:rsidRPr="00CE71B1">
        <w:rPr>
          <w:sz w:val="22"/>
          <w:szCs w:val="22"/>
        </w:rPr>
        <w:t>ARR is easy to calculate and understand, making it a useful tool for quick evaluations and comparisons .</w:t>
      </w:r>
    </w:p>
    <w:p w14:paraId="538CDA53" w14:textId="77777777" w:rsidR="00F65BA1" w:rsidRPr="00CE71B1" w:rsidRDefault="00F65BA1" w:rsidP="00F65BA1">
      <w:pPr>
        <w:numPr>
          <w:ilvl w:val="0"/>
          <w:numId w:val="31"/>
        </w:numPr>
        <w:rPr>
          <w:sz w:val="22"/>
          <w:szCs w:val="22"/>
        </w:rPr>
      </w:pPr>
      <w:r w:rsidRPr="00CE71B1">
        <w:rPr>
          <w:b/>
          <w:bCs/>
          <w:sz w:val="22"/>
          <w:szCs w:val="22"/>
        </w:rPr>
        <w:t>Considers Entire Project Life:</w:t>
      </w:r>
    </w:p>
    <w:p w14:paraId="5DA081D6" w14:textId="77777777" w:rsidR="00F65BA1" w:rsidRPr="00CE71B1" w:rsidRDefault="00F65BA1" w:rsidP="00F65BA1">
      <w:pPr>
        <w:numPr>
          <w:ilvl w:val="1"/>
          <w:numId w:val="31"/>
        </w:numPr>
        <w:tabs>
          <w:tab w:val="num" w:pos="720"/>
        </w:tabs>
        <w:rPr>
          <w:sz w:val="22"/>
          <w:szCs w:val="22"/>
        </w:rPr>
      </w:pPr>
      <w:r w:rsidRPr="00CE71B1">
        <w:rPr>
          <w:sz w:val="22"/>
          <w:szCs w:val="22"/>
        </w:rPr>
        <w:t>Unlike PBP, ARR takes into account the entire life of the project, providing a more comprehensive view of its profitability .</w:t>
      </w:r>
    </w:p>
    <w:p w14:paraId="71A1C6DB" w14:textId="77777777" w:rsidR="00F65BA1" w:rsidRPr="00CE71B1" w:rsidRDefault="00F65BA1" w:rsidP="00F65BA1">
      <w:pPr>
        <w:numPr>
          <w:ilvl w:val="0"/>
          <w:numId w:val="31"/>
        </w:numPr>
        <w:rPr>
          <w:sz w:val="22"/>
          <w:szCs w:val="22"/>
        </w:rPr>
      </w:pPr>
      <w:r w:rsidRPr="00CE71B1">
        <w:rPr>
          <w:b/>
          <w:bCs/>
          <w:sz w:val="22"/>
          <w:szCs w:val="22"/>
        </w:rPr>
        <w:t>Profit-Based Evaluation:</w:t>
      </w:r>
    </w:p>
    <w:p w14:paraId="6656B0C6" w14:textId="77777777" w:rsidR="00F65BA1" w:rsidRPr="00CE71B1" w:rsidRDefault="00F65BA1" w:rsidP="00F65BA1">
      <w:pPr>
        <w:numPr>
          <w:ilvl w:val="1"/>
          <w:numId w:val="31"/>
        </w:numPr>
        <w:tabs>
          <w:tab w:val="num" w:pos="720"/>
        </w:tabs>
        <w:rPr>
          <w:sz w:val="22"/>
          <w:szCs w:val="22"/>
        </w:rPr>
      </w:pPr>
      <w:r w:rsidRPr="00CE71B1">
        <w:rPr>
          <w:sz w:val="22"/>
          <w:szCs w:val="22"/>
        </w:rPr>
        <w:t>ARR focuses on the accounting profits generated by the project, aligning with the traditional financial reporting and performance measurement systems used by companies .</w:t>
      </w:r>
    </w:p>
    <w:p w14:paraId="26C88774" w14:textId="77777777" w:rsidR="00F65BA1" w:rsidRPr="00CE71B1" w:rsidRDefault="00F65BA1" w:rsidP="00F65BA1">
      <w:pPr>
        <w:tabs>
          <w:tab w:val="num" w:pos="720"/>
        </w:tabs>
        <w:ind w:firstLine="200"/>
        <w:rPr>
          <w:b/>
          <w:bCs/>
          <w:sz w:val="22"/>
          <w:szCs w:val="22"/>
        </w:rPr>
      </w:pPr>
      <w:r w:rsidRPr="00CE71B1">
        <w:rPr>
          <w:b/>
          <w:bCs/>
          <w:sz w:val="22"/>
          <w:szCs w:val="22"/>
        </w:rPr>
        <w:t>Shortcomings of ARR</w:t>
      </w:r>
    </w:p>
    <w:p w14:paraId="099887C9" w14:textId="77777777" w:rsidR="00333A63" w:rsidRPr="00CE71B1" w:rsidRDefault="00333A63" w:rsidP="00333A63">
      <w:pPr>
        <w:numPr>
          <w:ilvl w:val="0"/>
          <w:numId w:val="32"/>
        </w:numPr>
        <w:rPr>
          <w:sz w:val="22"/>
          <w:szCs w:val="22"/>
        </w:rPr>
      </w:pPr>
      <w:r w:rsidRPr="00CE71B1">
        <w:rPr>
          <w:b/>
          <w:bCs/>
          <w:sz w:val="22"/>
          <w:szCs w:val="22"/>
        </w:rPr>
        <w:t>Ignores Time Value of Money:</w:t>
      </w:r>
    </w:p>
    <w:p w14:paraId="3B9DF061" w14:textId="77777777" w:rsidR="00333A63" w:rsidRPr="00CE71B1" w:rsidRDefault="00333A63" w:rsidP="00333A63">
      <w:pPr>
        <w:numPr>
          <w:ilvl w:val="1"/>
          <w:numId w:val="32"/>
        </w:numPr>
        <w:tabs>
          <w:tab w:val="num" w:pos="720"/>
        </w:tabs>
        <w:rPr>
          <w:sz w:val="22"/>
          <w:szCs w:val="22"/>
        </w:rPr>
      </w:pPr>
      <w:r w:rsidRPr="00CE71B1">
        <w:rPr>
          <w:sz w:val="22"/>
          <w:szCs w:val="22"/>
        </w:rPr>
        <w:t>Similar to PBP, ARR does not consider the time value of money, potentially leading to inaccurate project valuations .</w:t>
      </w:r>
    </w:p>
    <w:p w14:paraId="351B8238" w14:textId="77777777" w:rsidR="00333A63" w:rsidRPr="00CE71B1" w:rsidRDefault="00333A63" w:rsidP="00333A63">
      <w:pPr>
        <w:numPr>
          <w:ilvl w:val="0"/>
          <w:numId w:val="32"/>
        </w:numPr>
        <w:rPr>
          <w:sz w:val="22"/>
          <w:szCs w:val="22"/>
        </w:rPr>
      </w:pPr>
      <w:r w:rsidRPr="00CE71B1">
        <w:rPr>
          <w:b/>
          <w:bCs/>
          <w:sz w:val="22"/>
          <w:szCs w:val="22"/>
        </w:rPr>
        <w:t>Reliance on Accounting Profits:</w:t>
      </w:r>
    </w:p>
    <w:p w14:paraId="7B5F7508" w14:textId="77777777" w:rsidR="00333A63" w:rsidRPr="00CE71B1" w:rsidRDefault="00333A63" w:rsidP="00333A63">
      <w:pPr>
        <w:numPr>
          <w:ilvl w:val="1"/>
          <w:numId w:val="32"/>
        </w:numPr>
        <w:tabs>
          <w:tab w:val="num" w:pos="720"/>
        </w:tabs>
        <w:rPr>
          <w:sz w:val="22"/>
          <w:szCs w:val="22"/>
        </w:rPr>
      </w:pPr>
      <w:r w:rsidRPr="00CE71B1">
        <w:rPr>
          <w:sz w:val="22"/>
          <w:szCs w:val="22"/>
        </w:rPr>
        <w:lastRenderedPageBreak/>
        <w:t>ARR is based on accounting profits rather than cash flows, which can be influenced by non-cash items and accounting policies, reducing the reliability of the measure .</w:t>
      </w:r>
    </w:p>
    <w:p w14:paraId="1819BA2E" w14:textId="77777777" w:rsidR="00333A63" w:rsidRPr="00CE71B1" w:rsidRDefault="00333A63" w:rsidP="00333A63">
      <w:pPr>
        <w:numPr>
          <w:ilvl w:val="0"/>
          <w:numId w:val="32"/>
        </w:numPr>
        <w:rPr>
          <w:sz w:val="22"/>
          <w:szCs w:val="22"/>
        </w:rPr>
      </w:pPr>
      <w:r w:rsidRPr="00CE71B1">
        <w:rPr>
          <w:b/>
          <w:bCs/>
          <w:sz w:val="22"/>
          <w:szCs w:val="22"/>
        </w:rPr>
        <w:t>Inconsistent with Shareholder Wealth Maximization:</w:t>
      </w:r>
    </w:p>
    <w:p w14:paraId="2E083D5F" w14:textId="77777777" w:rsidR="00333A63" w:rsidRPr="00CE71B1" w:rsidRDefault="00333A63" w:rsidP="00333A63">
      <w:pPr>
        <w:numPr>
          <w:ilvl w:val="1"/>
          <w:numId w:val="32"/>
        </w:numPr>
        <w:tabs>
          <w:tab w:val="num" w:pos="720"/>
        </w:tabs>
        <w:rPr>
          <w:sz w:val="22"/>
          <w:szCs w:val="22"/>
        </w:rPr>
      </w:pPr>
      <w:r w:rsidRPr="00CE71B1">
        <w:rPr>
          <w:sz w:val="22"/>
          <w:szCs w:val="22"/>
        </w:rPr>
        <w:t>ARR may not align with the goal of maximizing shareholder wealth, as it focuses on average profits rather than cash flows and value creation .</w:t>
      </w:r>
    </w:p>
    <w:p w14:paraId="0D272401" w14:textId="77777777" w:rsidR="00333A63" w:rsidRPr="00CE71B1" w:rsidRDefault="00333A63" w:rsidP="00333A63">
      <w:pPr>
        <w:tabs>
          <w:tab w:val="num" w:pos="720"/>
        </w:tabs>
        <w:ind w:firstLine="200"/>
        <w:rPr>
          <w:b/>
          <w:bCs/>
          <w:sz w:val="22"/>
          <w:szCs w:val="22"/>
        </w:rPr>
      </w:pPr>
      <w:r w:rsidRPr="00CE71B1">
        <w:rPr>
          <w:b/>
          <w:bCs/>
          <w:sz w:val="22"/>
          <w:szCs w:val="22"/>
        </w:rPr>
        <w:t>3. Net Present Value (NPV)</w:t>
      </w:r>
    </w:p>
    <w:p w14:paraId="319D0093" w14:textId="77777777" w:rsidR="00333A63" w:rsidRPr="00CE71B1" w:rsidRDefault="00333A63" w:rsidP="00333A63">
      <w:pPr>
        <w:tabs>
          <w:tab w:val="num" w:pos="720"/>
        </w:tabs>
        <w:ind w:firstLine="200"/>
        <w:rPr>
          <w:sz w:val="22"/>
          <w:szCs w:val="22"/>
        </w:rPr>
      </w:pPr>
      <w:r w:rsidRPr="00CE71B1">
        <w:rPr>
          <w:sz w:val="22"/>
          <w:szCs w:val="22"/>
        </w:rPr>
        <w:t>Net Present Value (NPV) calculates the present value of a project's cash flows, discounted at the cost of capital, and subtracts the initial investment. It measures the expected value addition to the firm from the project.</w:t>
      </w:r>
    </w:p>
    <w:p w14:paraId="6F2BC271" w14:textId="77777777" w:rsidR="00333A63" w:rsidRPr="00CE71B1" w:rsidRDefault="00333A63" w:rsidP="00333A63">
      <w:pPr>
        <w:tabs>
          <w:tab w:val="num" w:pos="720"/>
        </w:tabs>
        <w:ind w:firstLine="200"/>
        <w:rPr>
          <w:b/>
          <w:bCs/>
          <w:sz w:val="22"/>
          <w:szCs w:val="22"/>
        </w:rPr>
      </w:pPr>
      <w:r w:rsidRPr="00CE71B1">
        <w:rPr>
          <w:b/>
          <w:bCs/>
          <w:sz w:val="22"/>
          <w:szCs w:val="22"/>
        </w:rPr>
        <w:t>Advantages of NPV</w:t>
      </w:r>
    </w:p>
    <w:p w14:paraId="7CCF6E58" w14:textId="77777777" w:rsidR="00333A63" w:rsidRPr="00CE71B1" w:rsidRDefault="00333A63" w:rsidP="00333A63">
      <w:pPr>
        <w:numPr>
          <w:ilvl w:val="0"/>
          <w:numId w:val="33"/>
        </w:numPr>
        <w:rPr>
          <w:sz w:val="22"/>
          <w:szCs w:val="22"/>
        </w:rPr>
      </w:pPr>
      <w:r w:rsidRPr="00CE71B1">
        <w:rPr>
          <w:b/>
          <w:bCs/>
          <w:sz w:val="22"/>
          <w:szCs w:val="22"/>
        </w:rPr>
        <w:t>Considers Time Value of Money:</w:t>
      </w:r>
    </w:p>
    <w:p w14:paraId="3CC92B91" w14:textId="77777777" w:rsidR="00333A63" w:rsidRPr="00CE71B1" w:rsidRDefault="00333A63" w:rsidP="00333A63">
      <w:pPr>
        <w:numPr>
          <w:ilvl w:val="1"/>
          <w:numId w:val="33"/>
        </w:numPr>
        <w:tabs>
          <w:tab w:val="num" w:pos="720"/>
        </w:tabs>
        <w:rPr>
          <w:sz w:val="22"/>
          <w:szCs w:val="22"/>
        </w:rPr>
      </w:pPr>
      <w:r w:rsidRPr="00CE71B1">
        <w:rPr>
          <w:sz w:val="22"/>
          <w:szCs w:val="22"/>
        </w:rPr>
        <w:t>NPV incorporates the time value of money, providing a more accurate assessment of a project's value and profitability .</w:t>
      </w:r>
    </w:p>
    <w:p w14:paraId="0C992E6C" w14:textId="77777777" w:rsidR="00333A63" w:rsidRPr="00CE71B1" w:rsidRDefault="00333A63" w:rsidP="00333A63">
      <w:pPr>
        <w:numPr>
          <w:ilvl w:val="0"/>
          <w:numId w:val="33"/>
        </w:numPr>
        <w:rPr>
          <w:sz w:val="22"/>
          <w:szCs w:val="22"/>
        </w:rPr>
      </w:pPr>
      <w:r w:rsidRPr="00CE71B1">
        <w:rPr>
          <w:b/>
          <w:bCs/>
          <w:sz w:val="22"/>
          <w:szCs w:val="22"/>
        </w:rPr>
        <w:t>Consistent with Shareholder Wealth Maximization:</w:t>
      </w:r>
    </w:p>
    <w:p w14:paraId="6B96A96B" w14:textId="77777777" w:rsidR="00333A63" w:rsidRPr="00CE71B1" w:rsidRDefault="00333A63" w:rsidP="00333A63">
      <w:pPr>
        <w:numPr>
          <w:ilvl w:val="1"/>
          <w:numId w:val="33"/>
        </w:numPr>
        <w:tabs>
          <w:tab w:val="num" w:pos="720"/>
        </w:tabs>
        <w:rPr>
          <w:sz w:val="22"/>
          <w:szCs w:val="22"/>
        </w:rPr>
      </w:pPr>
      <w:r w:rsidRPr="00CE71B1">
        <w:rPr>
          <w:sz w:val="22"/>
          <w:szCs w:val="22"/>
        </w:rPr>
        <w:t>By focusing on cash flows and value creation, NPV aligns with the objective of maximizing shareholder wealth and is considered a superior evaluation method in financial theory .</w:t>
      </w:r>
    </w:p>
    <w:p w14:paraId="0DEE52F4" w14:textId="77777777" w:rsidR="00333A63" w:rsidRPr="00CE71B1" w:rsidRDefault="00333A63" w:rsidP="00333A63">
      <w:pPr>
        <w:numPr>
          <w:ilvl w:val="0"/>
          <w:numId w:val="33"/>
        </w:numPr>
        <w:rPr>
          <w:sz w:val="22"/>
          <w:szCs w:val="22"/>
        </w:rPr>
      </w:pPr>
      <w:r w:rsidRPr="00CE71B1">
        <w:rPr>
          <w:b/>
          <w:bCs/>
          <w:sz w:val="22"/>
          <w:szCs w:val="22"/>
        </w:rPr>
        <w:t>Comprehensive Evaluation:</w:t>
      </w:r>
    </w:p>
    <w:p w14:paraId="0AF10F78" w14:textId="77777777" w:rsidR="00333A63" w:rsidRPr="00CE71B1" w:rsidRDefault="00333A63" w:rsidP="00333A63">
      <w:pPr>
        <w:numPr>
          <w:ilvl w:val="1"/>
          <w:numId w:val="33"/>
        </w:numPr>
        <w:tabs>
          <w:tab w:val="num" w:pos="720"/>
        </w:tabs>
        <w:rPr>
          <w:sz w:val="22"/>
          <w:szCs w:val="22"/>
        </w:rPr>
      </w:pPr>
      <w:r w:rsidRPr="00CE71B1">
        <w:rPr>
          <w:sz w:val="22"/>
          <w:szCs w:val="22"/>
        </w:rPr>
        <w:t>NPV takes into account all cash flows over the project's life, providing a holistic view of its financial impact on the firm .</w:t>
      </w:r>
    </w:p>
    <w:p w14:paraId="5CEB243E" w14:textId="77777777" w:rsidR="00333A63" w:rsidRPr="00CE71B1" w:rsidRDefault="00333A63" w:rsidP="00333A63">
      <w:pPr>
        <w:tabs>
          <w:tab w:val="num" w:pos="720"/>
        </w:tabs>
        <w:ind w:firstLine="200"/>
        <w:rPr>
          <w:b/>
          <w:bCs/>
          <w:sz w:val="22"/>
          <w:szCs w:val="22"/>
        </w:rPr>
      </w:pPr>
      <w:r w:rsidRPr="00CE71B1">
        <w:rPr>
          <w:b/>
          <w:bCs/>
          <w:sz w:val="22"/>
          <w:szCs w:val="22"/>
        </w:rPr>
        <w:t>Shortcomings of NPV</w:t>
      </w:r>
    </w:p>
    <w:p w14:paraId="43DA3A76" w14:textId="77777777" w:rsidR="00333A63" w:rsidRPr="00CE71B1" w:rsidRDefault="00333A63" w:rsidP="00333A63">
      <w:pPr>
        <w:numPr>
          <w:ilvl w:val="0"/>
          <w:numId w:val="34"/>
        </w:numPr>
        <w:rPr>
          <w:sz w:val="22"/>
          <w:szCs w:val="22"/>
        </w:rPr>
      </w:pPr>
      <w:r w:rsidRPr="00CE71B1">
        <w:rPr>
          <w:b/>
          <w:bCs/>
          <w:sz w:val="22"/>
          <w:szCs w:val="22"/>
        </w:rPr>
        <w:t>Complexity and Data Requirements:</w:t>
      </w:r>
    </w:p>
    <w:p w14:paraId="260195D6" w14:textId="77777777" w:rsidR="00333A63" w:rsidRPr="00CE71B1" w:rsidRDefault="00333A63" w:rsidP="00333A63">
      <w:pPr>
        <w:numPr>
          <w:ilvl w:val="1"/>
          <w:numId w:val="34"/>
        </w:numPr>
        <w:tabs>
          <w:tab w:val="num" w:pos="720"/>
        </w:tabs>
        <w:rPr>
          <w:sz w:val="22"/>
          <w:szCs w:val="22"/>
        </w:rPr>
      </w:pPr>
      <w:r w:rsidRPr="00CE71B1">
        <w:rPr>
          <w:sz w:val="22"/>
          <w:szCs w:val="22"/>
        </w:rPr>
        <w:t>NPV calculations require detailed cash flow forecasts and an appropriate discount rate, making the method more complex and data-intensive compared to PBP and ARR .</w:t>
      </w:r>
    </w:p>
    <w:p w14:paraId="25DE0BD5" w14:textId="77777777" w:rsidR="00333A63" w:rsidRPr="00CE71B1" w:rsidRDefault="00333A63" w:rsidP="00333A63">
      <w:pPr>
        <w:numPr>
          <w:ilvl w:val="0"/>
          <w:numId w:val="34"/>
        </w:numPr>
        <w:rPr>
          <w:sz w:val="22"/>
          <w:szCs w:val="22"/>
        </w:rPr>
      </w:pPr>
      <w:r w:rsidRPr="00CE71B1">
        <w:rPr>
          <w:b/>
          <w:bCs/>
          <w:sz w:val="22"/>
          <w:szCs w:val="22"/>
        </w:rPr>
        <w:t>Sensitivity to Discount Rate:</w:t>
      </w:r>
    </w:p>
    <w:p w14:paraId="5278C318" w14:textId="77777777" w:rsidR="00333A63" w:rsidRPr="00CE71B1" w:rsidRDefault="00333A63" w:rsidP="00333A63">
      <w:pPr>
        <w:numPr>
          <w:ilvl w:val="1"/>
          <w:numId w:val="34"/>
        </w:numPr>
        <w:tabs>
          <w:tab w:val="num" w:pos="720"/>
        </w:tabs>
        <w:rPr>
          <w:sz w:val="22"/>
          <w:szCs w:val="22"/>
        </w:rPr>
      </w:pPr>
      <w:r w:rsidRPr="00CE71B1">
        <w:rPr>
          <w:sz w:val="22"/>
          <w:szCs w:val="22"/>
        </w:rPr>
        <w:t>The choice of discount rate can significantly impact the NPV calculation, introducing subjectivity and uncertainty into the evaluation process .</w:t>
      </w:r>
    </w:p>
    <w:p w14:paraId="7DE14BF4" w14:textId="77777777" w:rsidR="00333A63" w:rsidRPr="00CE71B1" w:rsidRDefault="00333A63" w:rsidP="00333A63">
      <w:pPr>
        <w:numPr>
          <w:ilvl w:val="0"/>
          <w:numId w:val="34"/>
        </w:numPr>
        <w:rPr>
          <w:sz w:val="22"/>
          <w:szCs w:val="22"/>
        </w:rPr>
      </w:pPr>
      <w:r w:rsidRPr="00CE71B1">
        <w:rPr>
          <w:b/>
          <w:bCs/>
          <w:sz w:val="22"/>
          <w:szCs w:val="22"/>
        </w:rPr>
        <w:t>Ignores Non-Financial Factors:</w:t>
      </w:r>
    </w:p>
    <w:p w14:paraId="472BC07C" w14:textId="77777777" w:rsidR="00333A63" w:rsidRDefault="00333A63" w:rsidP="00333A63">
      <w:pPr>
        <w:numPr>
          <w:ilvl w:val="1"/>
          <w:numId w:val="34"/>
        </w:numPr>
        <w:tabs>
          <w:tab w:val="num" w:pos="720"/>
        </w:tabs>
        <w:rPr>
          <w:sz w:val="22"/>
          <w:szCs w:val="22"/>
        </w:rPr>
      </w:pPr>
      <w:r w:rsidRPr="00CE71B1">
        <w:rPr>
          <w:sz w:val="22"/>
          <w:szCs w:val="22"/>
        </w:rPr>
        <w:t>NPV focuses solely on financial metrics, potentially overlooking important non-financial factors such as strategic alignment, social impact, and environmental considerations .</w:t>
      </w:r>
    </w:p>
    <w:p w14:paraId="4F6BFE35" w14:textId="77777777" w:rsidR="00020749" w:rsidRPr="00CE71B1" w:rsidRDefault="00020749" w:rsidP="00020749">
      <w:pPr>
        <w:tabs>
          <w:tab w:val="num" w:pos="1440"/>
        </w:tabs>
        <w:ind w:left="720"/>
        <w:rPr>
          <w:sz w:val="22"/>
          <w:szCs w:val="22"/>
        </w:rPr>
      </w:pPr>
    </w:p>
    <w:p w14:paraId="74841DCD" w14:textId="77777777" w:rsidR="00333A63" w:rsidRPr="00CE71B1" w:rsidRDefault="00333A63" w:rsidP="00333A63">
      <w:pPr>
        <w:tabs>
          <w:tab w:val="num" w:pos="720"/>
        </w:tabs>
        <w:ind w:firstLine="200"/>
        <w:rPr>
          <w:b/>
          <w:bCs/>
          <w:sz w:val="22"/>
          <w:szCs w:val="22"/>
        </w:rPr>
      </w:pPr>
      <w:r w:rsidRPr="00CE71B1">
        <w:rPr>
          <w:b/>
          <w:bCs/>
          <w:sz w:val="22"/>
          <w:szCs w:val="22"/>
        </w:rPr>
        <w:lastRenderedPageBreak/>
        <w:t>4. Non-Financial Factors in Capital Project Evaluation</w:t>
      </w:r>
    </w:p>
    <w:p w14:paraId="0B7829A0" w14:textId="77777777" w:rsidR="00333A63" w:rsidRPr="00CE71B1" w:rsidRDefault="00333A63" w:rsidP="00333A63">
      <w:pPr>
        <w:tabs>
          <w:tab w:val="num" w:pos="720"/>
        </w:tabs>
        <w:ind w:firstLine="200"/>
        <w:rPr>
          <w:sz w:val="22"/>
          <w:szCs w:val="22"/>
        </w:rPr>
      </w:pPr>
      <w:r w:rsidRPr="00CE71B1">
        <w:rPr>
          <w:sz w:val="22"/>
          <w:szCs w:val="22"/>
        </w:rPr>
        <w:t>In addition to financial metrics, non-financial factors play a critical role in capital project evaluation:</w:t>
      </w:r>
    </w:p>
    <w:p w14:paraId="1BE1A52F" w14:textId="77777777" w:rsidR="00333A63" w:rsidRPr="00CE71B1" w:rsidRDefault="00333A63" w:rsidP="00333A63">
      <w:pPr>
        <w:numPr>
          <w:ilvl w:val="0"/>
          <w:numId w:val="35"/>
        </w:numPr>
        <w:rPr>
          <w:sz w:val="22"/>
          <w:szCs w:val="22"/>
        </w:rPr>
      </w:pPr>
      <w:r w:rsidRPr="00CE71B1">
        <w:rPr>
          <w:b/>
          <w:bCs/>
          <w:sz w:val="22"/>
          <w:szCs w:val="22"/>
        </w:rPr>
        <w:t>Strategic Alignment:</w:t>
      </w:r>
    </w:p>
    <w:p w14:paraId="3A8ACF8C" w14:textId="77777777" w:rsidR="00333A63" w:rsidRPr="00CE71B1" w:rsidRDefault="00333A63" w:rsidP="00333A63">
      <w:pPr>
        <w:numPr>
          <w:ilvl w:val="1"/>
          <w:numId w:val="35"/>
        </w:numPr>
        <w:tabs>
          <w:tab w:val="num" w:pos="720"/>
        </w:tabs>
        <w:rPr>
          <w:sz w:val="22"/>
          <w:szCs w:val="22"/>
        </w:rPr>
      </w:pPr>
      <w:r w:rsidRPr="00CE71B1">
        <w:rPr>
          <w:sz w:val="22"/>
          <w:szCs w:val="22"/>
        </w:rPr>
        <w:t>Projects should align with the company’s long-term strategic objectives and goals. A project that fits well with the company’s strategic direction may be preferred over one with a higher NPV but less strategic significance .</w:t>
      </w:r>
    </w:p>
    <w:p w14:paraId="7A48EEAB" w14:textId="77777777" w:rsidR="00333A63" w:rsidRPr="00CE71B1" w:rsidRDefault="00333A63" w:rsidP="00333A63">
      <w:pPr>
        <w:numPr>
          <w:ilvl w:val="0"/>
          <w:numId w:val="35"/>
        </w:numPr>
        <w:rPr>
          <w:sz w:val="22"/>
          <w:szCs w:val="22"/>
        </w:rPr>
      </w:pPr>
      <w:r w:rsidRPr="00CE71B1">
        <w:rPr>
          <w:b/>
          <w:bCs/>
          <w:sz w:val="22"/>
          <w:szCs w:val="22"/>
        </w:rPr>
        <w:t>Environmental and Social Impact:</w:t>
      </w:r>
    </w:p>
    <w:p w14:paraId="5AF91AE5" w14:textId="77777777" w:rsidR="00333A63" w:rsidRPr="00CE71B1" w:rsidRDefault="00333A63" w:rsidP="00333A63">
      <w:pPr>
        <w:numPr>
          <w:ilvl w:val="1"/>
          <w:numId w:val="35"/>
        </w:numPr>
        <w:tabs>
          <w:tab w:val="num" w:pos="720"/>
        </w:tabs>
        <w:rPr>
          <w:sz w:val="22"/>
          <w:szCs w:val="22"/>
        </w:rPr>
      </w:pPr>
      <w:r w:rsidRPr="00CE71B1">
        <w:rPr>
          <w:sz w:val="22"/>
          <w:szCs w:val="22"/>
        </w:rPr>
        <w:t>Companies are increasingly considering the environmental and social impacts of their projects. Projects that enhance a company’s reputation and contribute to corporate social responsibility goals can add significant value beyond financial metrics .</w:t>
      </w:r>
    </w:p>
    <w:p w14:paraId="218997F0" w14:textId="77777777" w:rsidR="00333A63" w:rsidRPr="00CE71B1" w:rsidRDefault="00333A63" w:rsidP="00333A63">
      <w:pPr>
        <w:numPr>
          <w:ilvl w:val="0"/>
          <w:numId w:val="35"/>
        </w:numPr>
        <w:rPr>
          <w:sz w:val="22"/>
          <w:szCs w:val="22"/>
        </w:rPr>
      </w:pPr>
      <w:r w:rsidRPr="00CE71B1">
        <w:rPr>
          <w:b/>
          <w:bCs/>
          <w:sz w:val="22"/>
          <w:szCs w:val="22"/>
        </w:rPr>
        <w:t>Regulatory and Legal Compliance:</w:t>
      </w:r>
    </w:p>
    <w:p w14:paraId="36969660" w14:textId="77777777" w:rsidR="00333A63" w:rsidRDefault="00333A63" w:rsidP="00333A63">
      <w:pPr>
        <w:numPr>
          <w:ilvl w:val="1"/>
          <w:numId w:val="35"/>
        </w:numPr>
        <w:tabs>
          <w:tab w:val="num" w:pos="720"/>
        </w:tabs>
        <w:rPr>
          <w:sz w:val="22"/>
          <w:szCs w:val="22"/>
        </w:rPr>
      </w:pPr>
      <w:r w:rsidRPr="00CE71B1">
        <w:rPr>
          <w:sz w:val="22"/>
          <w:szCs w:val="22"/>
        </w:rPr>
        <w:t>Projects must comply with relevant laws and regulations. Failure to consider regulatory requirements can lead to legal challenges and financial penalties .</w:t>
      </w:r>
    </w:p>
    <w:p w14:paraId="5F9F239D" w14:textId="77777777" w:rsidR="005B6EA1" w:rsidRDefault="005B6EA1" w:rsidP="00105807">
      <w:pPr>
        <w:tabs>
          <w:tab w:val="num" w:pos="1440"/>
        </w:tabs>
        <w:ind w:left="1440"/>
        <w:rPr>
          <w:sz w:val="22"/>
          <w:szCs w:val="22"/>
        </w:rPr>
      </w:pPr>
    </w:p>
    <w:p w14:paraId="1CCE8D79" w14:textId="77777777" w:rsidR="00105807" w:rsidRDefault="00105807" w:rsidP="00105807">
      <w:pPr>
        <w:tabs>
          <w:tab w:val="num" w:pos="1440"/>
        </w:tabs>
        <w:ind w:left="1440"/>
        <w:rPr>
          <w:sz w:val="22"/>
          <w:szCs w:val="22"/>
        </w:rPr>
      </w:pPr>
    </w:p>
    <w:p w14:paraId="5B6D84E1" w14:textId="77777777" w:rsidR="00105807" w:rsidRPr="00CE71B1" w:rsidRDefault="00105807" w:rsidP="00105807">
      <w:pPr>
        <w:tabs>
          <w:tab w:val="num" w:pos="1440"/>
        </w:tabs>
        <w:ind w:left="1440"/>
        <w:rPr>
          <w:sz w:val="22"/>
          <w:szCs w:val="22"/>
        </w:rPr>
      </w:pPr>
    </w:p>
    <w:p w14:paraId="4A139F97" w14:textId="77777777" w:rsidR="00333A63" w:rsidRPr="00CE71B1" w:rsidRDefault="00333A63" w:rsidP="00333A63">
      <w:pPr>
        <w:numPr>
          <w:ilvl w:val="0"/>
          <w:numId w:val="35"/>
        </w:numPr>
        <w:rPr>
          <w:sz w:val="22"/>
          <w:szCs w:val="22"/>
        </w:rPr>
      </w:pPr>
      <w:r w:rsidRPr="00CE71B1">
        <w:rPr>
          <w:b/>
          <w:bCs/>
          <w:sz w:val="22"/>
          <w:szCs w:val="22"/>
        </w:rPr>
        <w:t>Organizational Capability and Capacity:</w:t>
      </w:r>
    </w:p>
    <w:p w14:paraId="3DEFBB76" w14:textId="790A6EEA" w:rsidR="00DB1263" w:rsidRPr="009A13B6" w:rsidRDefault="00333A63" w:rsidP="00DB1263">
      <w:pPr>
        <w:numPr>
          <w:ilvl w:val="1"/>
          <w:numId w:val="35"/>
        </w:numPr>
        <w:tabs>
          <w:tab w:val="num" w:pos="720"/>
        </w:tabs>
        <w:rPr>
          <w:sz w:val="22"/>
          <w:szCs w:val="22"/>
        </w:rPr>
      </w:pPr>
      <w:r w:rsidRPr="00CE71B1">
        <w:rPr>
          <w:sz w:val="22"/>
          <w:szCs w:val="22"/>
        </w:rPr>
        <w:t xml:space="preserve">The company’s ability to execute the project effectively, including the availability of resources, skills, and expertise, should be considered in the evaluation process </w:t>
      </w:r>
    </w:p>
    <w:p w14:paraId="1E73868D" w14:textId="77777777" w:rsidR="00DB1263" w:rsidRPr="00CE71B1" w:rsidRDefault="00DB1263" w:rsidP="00DB1263">
      <w:pPr>
        <w:tabs>
          <w:tab w:val="num" w:pos="1440"/>
        </w:tabs>
        <w:rPr>
          <w:sz w:val="22"/>
          <w:szCs w:val="22"/>
        </w:rPr>
      </w:pPr>
    </w:p>
    <w:p w14:paraId="57CC8024" w14:textId="08837649" w:rsidR="00DB1263" w:rsidRPr="00DB1263" w:rsidRDefault="00333A63" w:rsidP="00DB1263">
      <w:pPr>
        <w:numPr>
          <w:ilvl w:val="0"/>
          <w:numId w:val="35"/>
        </w:numPr>
        <w:rPr>
          <w:sz w:val="22"/>
          <w:szCs w:val="22"/>
        </w:rPr>
      </w:pPr>
      <w:r w:rsidRPr="00CE71B1">
        <w:rPr>
          <w:b/>
          <w:bCs/>
          <w:sz w:val="22"/>
          <w:szCs w:val="22"/>
        </w:rPr>
        <w:t>Market and Competitive Dynamics:</w:t>
      </w:r>
    </w:p>
    <w:p w14:paraId="015A6FDA" w14:textId="655BA28E" w:rsidR="00333A63" w:rsidRPr="00CE71B1" w:rsidRDefault="00DB1263" w:rsidP="00DB1263">
      <w:pPr>
        <w:tabs>
          <w:tab w:val="num" w:pos="1440"/>
        </w:tabs>
        <w:rPr>
          <w:sz w:val="22"/>
          <w:szCs w:val="22"/>
        </w:rPr>
      </w:pPr>
      <w:r>
        <w:rPr>
          <w:sz w:val="22"/>
          <w:szCs w:val="22"/>
        </w:rPr>
        <w:t xml:space="preserve">  </w:t>
      </w:r>
      <w:r w:rsidR="00333A63" w:rsidRPr="00CE71B1">
        <w:rPr>
          <w:sz w:val="22"/>
          <w:szCs w:val="22"/>
        </w:rPr>
        <w:t xml:space="preserve">The competitive landscape and market conditions can influence the success of a </w:t>
      </w:r>
      <w:r>
        <w:rPr>
          <w:sz w:val="22"/>
          <w:szCs w:val="22"/>
        </w:rPr>
        <w:t xml:space="preserve">                                </w:t>
      </w:r>
      <w:r w:rsidR="00333A63" w:rsidRPr="00CE71B1">
        <w:rPr>
          <w:sz w:val="22"/>
          <w:szCs w:val="22"/>
        </w:rPr>
        <w:t>project. Understanding these dynamics can help in making informed decisions .</w:t>
      </w:r>
    </w:p>
    <w:p w14:paraId="43387C89" w14:textId="77777777" w:rsidR="00636F41" w:rsidRDefault="00636F41" w:rsidP="009A13B6">
      <w:pPr>
        <w:tabs>
          <w:tab w:val="num" w:pos="720"/>
        </w:tabs>
        <w:rPr>
          <w:b/>
          <w:bCs/>
          <w:sz w:val="22"/>
          <w:szCs w:val="22"/>
        </w:rPr>
      </w:pPr>
    </w:p>
    <w:p w14:paraId="2207A0C3" w14:textId="77777777" w:rsidR="00020749" w:rsidRDefault="00020749" w:rsidP="009A13B6">
      <w:pPr>
        <w:tabs>
          <w:tab w:val="num" w:pos="720"/>
        </w:tabs>
        <w:rPr>
          <w:b/>
          <w:bCs/>
          <w:sz w:val="22"/>
          <w:szCs w:val="22"/>
        </w:rPr>
      </w:pPr>
    </w:p>
    <w:p w14:paraId="6C92046C" w14:textId="77777777" w:rsidR="00020749" w:rsidRDefault="00020749" w:rsidP="009A13B6">
      <w:pPr>
        <w:tabs>
          <w:tab w:val="num" w:pos="720"/>
        </w:tabs>
        <w:rPr>
          <w:b/>
          <w:bCs/>
          <w:sz w:val="22"/>
          <w:szCs w:val="22"/>
        </w:rPr>
      </w:pPr>
    </w:p>
    <w:p w14:paraId="4E317521" w14:textId="77777777" w:rsidR="00020749" w:rsidRDefault="00020749" w:rsidP="009A13B6">
      <w:pPr>
        <w:tabs>
          <w:tab w:val="num" w:pos="720"/>
        </w:tabs>
        <w:rPr>
          <w:b/>
          <w:bCs/>
          <w:sz w:val="22"/>
          <w:szCs w:val="22"/>
        </w:rPr>
      </w:pPr>
    </w:p>
    <w:p w14:paraId="46EFDEB7" w14:textId="77777777" w:rsidR="00020749" w:rsidRDefault="00020749" w:rsidP="009A13B6">
      <w:pPr>
        <w:tabs>
          <w:tab w:val="num" w:pos="720"/>
        </w:tabs>
        <w:rPr>
          <w:b/>
          <w:bCs/>
          <w:sz w:val="22"/>
          <w:szCs w:val="22"/>
        </w:rPr>
      </w:pPr>
    </w:p>
    <w:p w14:paraId="5E3A38E2" w14:textId="77777777" w:rsidR="00020749" w:rsidRDefault="00020749" w:rsidP="009A13B6">
      <w:pPr>
        <w:tabs>
          <w:tab w:val="num" w:pos="720"/>
        </w:tabs>
        <w:rPr>
          <w:b/>
          <w:bCs/>
          <w:sz w:val="22"/>
          <w:szCs w:val="22"/>
        </w:rPr>
      </w:pPr>
    </w:p>
    <w:p w14:paraId="2A5E56D8" w14:textId="77777777" w:rsidR="00020749" w:rsidRDefault="00020749" w:rsidP="009A13B6">
      <w:pPr>
        <w:tabs>
          <w:tab w:val="num" w:pos="720"/>
        </w:tabs>
        <w:rPr>
          <w:b/>
          <w:bCs/>
          <w:sz w:val="22"/>
          <w:szCs w:val="22"/>
        </w:rPr>
      </w:pPr>
    </w:p>
    <w:p w14:paraId="41BF24E4" w14:textId="77777777" w:rsidR="00020749" w:rsidRDefault="00020749" w:rsidP="009A13B6">
      <w:pPr>
        <w:tabs>
          <w:tab w:val="num" w:pos="720"/>
        </w:tabs>
        <w:rPr>
          <w:b/>
          <w:bCs/>
          <w:sz w:val="22"/>
          <w:szCs w:val="22"/>
        </w:rPr>
      </w:pPr>
    </w:p>
    <w:p w14:paraId="106E61AE" w14:textId="77777777" w:rsidR="00020749" w:rsidRDefault="00020749" w:rsidP="009A13B6">
      <w:pPr>
        <w:tabs>
          <w:tab w:val="num" w:pos="720"/>
        </w:tabs>
        <w:rPr>
          <w:b/>
          <w:bCs/>
          <w:sz w:val="22"/>
          <w:szCs w:val="22"/>
        </w:rPr>
      </w:pPr>
    </w:p>
    <w:p w14:paraId="7DE53D3A" w14:textId="77777777" w:rsidR="00020749" w:rsidRDefault="00020749" w:rsidP="009A13B6">
      <w:pPr>
        <w:tabs>
          <w:tab w:val="num" w:pos="720"/>
        </w:tabs>
        <w:rPr>
          <w:b/>
          <w:bCs/>
          <w:sz w:val="22"/>
          <w:szCs w:val="22"/>
        </w:rPr>
      </w:pPr>
    </w:p>
    <w:p w14:paraId="419E1FB3" w14:textId="77777777" w:rsidR="00020749" w:rsidRDefault="00020749" w:rsidP="009A13B6">
      <w:pPr>
        <w:tabs>
          <w:tab w:val="num" w:pos="720"/>
        </w:tabs>
        <w:rPr>
          <w:b/>
          <w:bCs/>
          <w:sz w:val="22"/>
          <w:szCs w:val="22"/>
        </w:rPr>
      </w:pPr>
    </w:p>
    <w:p w14:paraId="0581B367" w14:textId="0F657B51" w:rsidR="00333A63" w:rsidRPr="00CE71B1" w:rsidRDefault="00333A63" w:rsidP="00333A63">
      <w:pPr>
        <w:tabs>
          <w:tab w:val="num" w:pos="720"/>
        </w:tabs>
        <w:ind w:firstLine="200"/>
        <w:rPr>
          <w:b/>
          <w:bCs/>
          <w:sz w:val="22"/>
          <w:szCs w:val="22"/>
        </w:rPr>
      </w:pPr>
      <w:r w:rsidRPr="00CE71B1">
        <w:rPr>
          <w:b/>
          <w:bCs/>
          <w:sz w:val="22"/>
          <w:szCs w:val="22"/>
        </w:rPr>
        <w:t>Conclusion</w:t>
      </w:r>
    </w:p>
    <w:p w14:paraId="620ACDBE" w14:textId="19A8CA2E" w:rsidR="0090564B" w:rsidRDefault="00333A63" w:rsidP="009A13B6">
      <w:pPr>
        <w:tabs>
          <w:tab w:val="num" w:pos="720"/>
        </w:tabs>
        <w:spacing w:line="360" w:lineRule="auto"/>
        <w:rPr>
          <w:sz w:val="22"/>
          <w:szCs w:val="22"/>
        </w:rPr>
      </w:pPr>
      <w:r w:rsidRPr="00CE71B1">
        <w:rPr>
          <w:sz w:val="22"/>
          <w:szCs w:val="22"/>
        </w:rPr>
        <w:t>The PBP, ARR, and NPV techniques each offer unique advantages and limitations in evaluating capital projects. While PBP and ARR provide simple and easy-to-understand measures, they fall short in considering the time value of money and long-term profitability. NPV, on the other hand, offers a comprehensive evaluation aligned with shareholder wealth maximization but requires detailed data and is sensitive to the discount rate. Non-financial factors such as strategic alignment, environmental impact, and market dynamics also play a crucial role in decision-making, highlighting the need for a holistic approach to capital project evaluation</w:t>
      </w:r>
    </w:p>
    <w:p w14:paraId="55A98FBC" w14:textId="77777777" w:rsidR="004F1281" w:rsidRDefault="004F1281" w:rsidP="009A13B6">
      <w:pPr>
        <w:tabs>
          <w:tab w:val="num" w:pos="720"/>
        </w:tabs>
        <w:spacing w:line="360" w:lineRule="auto"/>
        <w:rPr>
          <w:sz w:val="22"/>
          <w:szCs w:val="22"/>
        </w:rPr>
      </w:pPr>
    </w:p>
    <w:p w14:paraId="31410902" w14:textId="77777777" w:rsidR="004F1281" w:rsidRDefault="004F1281" w:rsidP="009A13B6">
      <w:pPr>
        <w:tabs>
          <w:tab w:val="num" w:pos="720"/>
        </w:tabs>
        <w:spacing w:line="360" w:lineRule="auto"/>
        <w:rPr>
          <w:sz w:val="22"/>
          <w:szCs w:val="22"/>
        </w:rPr>
      </w:pPr>
    </w:p>
    <w:p w14:paraId="493CAB9B" w14:textId="77777777" w:rsidR="004F1281" w:rsidRDefault="004F1281" w:rsidP="009A13B6">
      <w:pPr>
        <w:tabs>
          <w:tab w:val="num" w:pos="720"/>
        </w:tabs>
        <w:spacing w:line="360" w:lineRule="auto"/>
        <w:rPr>
          <w:sz w:val="22"/>
          <w:szCs w:val="22"/>
        </w:rPr>
      </w:pPr>
    </w:p>
    <w:p w14:paraId="3331FD07" w14:textId="77777777" w:rsidR="004F1281" w:rsidRDefault="004F1281" w:rsidP="009A13B6">
      <w:pPr>
        <w:tabs>
          <w:tab w:val="num" w:pos="720"/>
        </w:tabs>
        <w:spacing w:line="360" w:lineRule="auto"/>
        <w:rPr>
          <w:sz w:val="22"/>
          <w:szCs w:val="22"/>
        </w:rPr>
      </w:pPr>
    </w:p>
    <w:p w14:paraId="5B46806E" w14:textId="77777777" w:rsidR="004F1281" w:rsidRDefault="004F1281" w:rsidP="009A13B6">
      <w:pPr>
        <w:tabs>
          <w:tab w:val="num" w:pos="720"/>
        </w:tabs>
        <w:spacing w:line="360" w:lineRule="auto"/>
        <w:rPr>
          <w:sz w:val="22"/>
          <w:szCs w:val="22"/>
        </w:rPr>
      </w:pPr>
    </w:p>
    <w:p w14:paraId="06CA6575" w14:textId="77777777" w:rsidR="004F1281" w:rsidRDefault="004F1281" w:rsidP="009A13B6">
      <w:pPr>
        <w:tabs>
          <w:tab w:val="num" w:pos="720"/>
        </w:tabs>
        <w:spacing w:line="360" w:lineRule="auto"/>
        <w:rPr>
          <w:sz w:val="22"/>
          <w:szCs w:val="22"/>
        </w:rPr>
      </w:pPr>
    </w:p>
    <w:p w14:paraId="4005A321" w14:textId="77777777" w:rsidR="0090564B" w:rsidRDefault="0090564B" w:rsidP="00F15657">
      <w:pPr>
        <w:tabs>
          <w:tab w:val="num" w:pos="720"/>
        </w:tabs>
        <w:rPr>
          <w:sz w:val="22"/>
          <w:szCs w:val="22"/>
        </w:rPr>
      </w:pPr>
    </w:p>
    <w:p w14:paraId="2DF0B5B9" w14:textId="77777777" w:rsidR="0083500F" w:rsidRDefault="0083500F" w:rsidP="00F15657">
      <w:pPr>
        <w:tabs>
          <w:tab w:val="num" w:pos="720"/>
        </w:tabs>
        <w:rPr>
          <w:sz w:val="22"/>
          <w:szCs w:val="22"/>
        </w:rPr>
      </w:pPr>
    </w:p>
    <w:p w14:paraId="4D6BCE00" w14:textId="77777777" w:rsidR="0083500F" w:rsidRDefault="0083500F" w:rsidP="00F15657">
      <w:pPr>
        <w:tabs>
          <w:tab w:val="num" w:pos="720"/>
        </w:tabs>
        <w:rPr>
          <w:sz w:val="22"/>
          <w:szCs w:val="22"/>
        </w:rPr>
      </w:pPr>
    </w:p>
    <w:p w14:paraId="6CB9BAE4" w14:textId="77777777" w:rsidR="0083500F" w:rsidRDefault="0083500F" w:rsidP="00F15657">
      <w:pPr>
        <w:tabs>
          <w:tab w:val="num" w:pos="720"/>
        </w:tabs>
        <w:rPr>
          <w:sz w:val="22"/>
          <w:szCs w:val="22"/>
        </w:rPr>
      </w:pPr>
    </w:p>
    <w:p w14:paraId="3CD1B800" w14:textId="77777777" w:rsidR="0083500F" w:rsidRDefault="0083500F" w:rsidP="00F15657">
      <w:pPr>
        <w:tabs>
          <w:tab w:val="num" w:pos="720"/>
        </w:tabs>
        <w:rPr>
          <w:sz w:val="22"/>
          <w:szCs w:val="22"/>
        </w:rPr>
      </w:pPr>
    </w:p>
    <w:p w14:paraId="3333866D" w14:textId="77777777" w:rsidR="0083500F" w:rsidRDefault="0083500F" w:rsidP="00F15657">
      <w:pPr>
        <w:tabs>
          <w:tab w:val="num" w:pos="720"/>
        </w:tabs>
        <w:rPr>
          <w:sz w:val="22"/>
          <w:szCs w:val="22"/>
        </w:rPr>
      </w:pPr>
    </w:p>
    <w:p w14:paraId="00FFC445" w14:textId="77777777" w:rsidR="0083500F" w:rsidRDefault="0083500F" w:rsidP="00F15657">
      <w:pPr>
        <w:tabs>
          <w:tab w:val="num" w:pos="720"/>
        </w:tabs>
        <w:rPr>
          <w:sz w:val="22"/>
          <w:szCs w:val="22"/>
        </w:rPr>
      </w:pPr>
    </w:p>
    <w:p w14:paraId="3502DD5F" w14:textId="77777777" w:rsidR="0083500F" w:rsidRDefault="0083500F" w:rsidP="00F15657">
      <w:pPr>
        <w:tabs>
          <w:tab w:val="num" w:pos="720"/>
        </w:tabs>
        <w:rPr>
          <w:sz w:val="22"/>
          <w:szCs w:val="22"/>
        </w:rPr>
      </w:pPr>
    </w:p>
    <w:p w14:paraId="3C68A901" w14:textId="77777777" w:rsidR="00020749" w:rsidRDefault="00020749" w:rsidP="00F15657">
      <w:pPr>
        <w:tabs>
          <w:tab w:val="num" w:pos="720"/>
        </w:tabs>
        <w:rPr>
          <w:sz w:val="22"/>
          <w:szCs w:val="22"/>
        </w:rPr>
      </w:pPr>
    </w:p>
    <w:p w14:paraId="28829943" w14:textId="77777777" w:rsidR="00020749" w:rsidRDefault="00020749" w:rsidP="00F15657">
      <w:pPr>
        <w:tabs>
          <w:tab w:val="num" w:pos="720"/>
        </w:tabs>
        <w:rPr>
          <w:sz w:val="22"/>
          <w:szCs w:val="22"/>
        </w:rPr>
      </w:pPr>
    </w:p>
    <w:p w14:paraId="33B10573" w14:textId="77777777" w:rsidR="00020749" w:rsidRDefault="00020749" w:rsidP="00F15657">
      <w:pPr>
        <w:tabs>
          <w:tab w:val="num" w:pos="720"/>
        </w:tabs>
        <w:rPr>
          <w:sz w:val="22"/>
          <w:szCs w:val="22"/>
        </w:rPr>
      </w:pPr>
    </w:p>
    <w:p w14:paraId="6F22DE74" w14:textId="77777777" w:rsidR="00020749" w:rsidRDefault="00020749" w:rsidP="00F15657">
      <w:pPr>
        <w:tabs>
          <w:tab w:val="num" w:pos="720"/>
        </w:tabs>
        <w:rPr>
          <w:sz w:val="22"/>
          <w:szCs w:val="22"/>
        </w:rPr>
      </w:pPr>
    </w:p>
    <w:p w14:paraId="1630ED4E" w14:textId="77777777" w:rsidR="0083500F" w:rsidRPr="00CE71B1" w:rsidRDefault="0083500F" w:rsidP="00F15657">
      <w:pPr>
        <w:tabs>
          <w:tab w:val="num" w:pos="720"/>
        </w:tabs>
        <w:rPr>
          <w:sz w:val="22"/>
          <w:szCs w:val="22"/>
        </w:rPr>
      </w:pPr>
    </w:p>
    <w:p w14:paraId="4F056BDB" w14:textId="3C542A52" w:rsidR="00333A63" w:rsidRPr="007048E7" w:rsidRDefault="00333A63" w:rsidP="007048E7">
      <w:pPr>
        <w:tabs>
          <w:tab w:val="num" w:pos="720"/>
        </w:tabs>
        <w:ind w:firstLine="200"/>
        <w:rPr>
          <w:b/>
          <w:bCs/>
          <w:sz w:val="22"/>
          <w:szCs w:val="22"/>
        </w:rPr>
      </w:pPr>
      <w:r w:rsidRPr="00CE71B1">
        <w:rPr>
          <w:b/>
          <w:bCs/>
          <w:sz w:val="22"/>
          <w:szCs w:val="22"/>
        </w:rPr>
        <w:t>Reference</w:t>
      </w:r>
    </w:p>
    <w:p w14:paraId="6C08F7B4" w14:textId="77777777" w:rsidR="00FC3880" w:rsidRDefault="00FC3880" w:rsidP="007048E7">
      <w:pPr>
        <w:ind w:left="644"/>
        <w:rPr>
          <w:b/>
          <w:bCs/>
          <w:sz w:val="22"/>
          <w:szCs w:val="22"/>
        </w:rPr>
      </w:pPr>
    </w:p>
    <w:p w14:paraId="1ADBAAD6" w14:textId="77777777" w:rsidR="007048E7" w:rsidRDefault="007048E7" w:rsidP="007048E7">
      <w:pPr>
        <w:ind w:left="644"/>
        <w:rPr>
          <w:b/>
          <w:bCs/>
          <w:sz w:val="22"/>
          <w:szCs w:val="22"/>
        </w:rPr>
      </w:pPr>
    </w:p>
    <w:p w14:paraId="6B32C901" w14:textId="4A2D31C3" w:rsidR="00493B9E" w:rsidRPr="00891D22" w:rsidRDefault="00891D22" w:rsidP="00891D22">
      <w:pPr>
        <w:rPr>
          <w:sz w:val="22"/>
          <w:szCs w:val="22"/>
        </w:rPr>
      </w:pPr>
      <w:r>
        <w:rPr>
          <w:sz w:val="22"/>
          <w:szCs w:val="22"/>
        </w:rPr>
        <w:t xml:space="preserve">      </w:t>
      </w:r>
      <w:r w:rsidR="009F7F4C">
        <w:rPr>
          <w:sz w:val="22"/>
          <w:szCs w:val="22"/>
        </w:rPr>
        <w:t xml:space="preserve">      1.</w:t>
      </w:r>
      <w:r>
        <w:rPr>
          <w:sz w:val="22"/>
          <w:szCs w:val="22"/>
        </w:rPr>
        <w:t xml:space="preserve">    </w:t>
      </w:r>
      <w:proofErr w:type="spellStart"/>
      <w:r w:rsidR="007048E7" w:rsidRPr="00891D22">
        <w:rPr>
          <w:sz w:val="22"/>
          <w:szCs w:val="22"/>
        </w:rPr>
        <w:t>Atrill</w:t>
      </w:r>
      <w:proofErr w:type="spellEnd"/>
      <w:r w:rsidR="007048E7" w:rsidRPr="00891D22">
        <w:rPr>
          <w:sz w:val="22"/>
          <w:szCs w:val="22"/>
        </w:rPr>
        <w:t xml:space="preserve">, P., 2020. </w:t>
      </w:r>
      <w:r w:rsidR="007048E7" w:rsidRPr="00891D22">
        <w:rPr>
          <w:i/>
          <w:iCs/>
          <w:sz w:val="22"/>
          <w:szCs w:val="22"/>
        </w:rPr>
        <w:t>Financial Management for Decision Makers</w:t>
      </w:r>
      <w:r w:rsidR="007048E7" w:rsidRPr="00891D22">
        <w:rPr>
          <w:sz w:val="22"/>
          <w:szCs w:val="22"/>
        </w:rPr>
        <w:t>. Pearson.</w:t>
      </w:r>
    </w:p>
    <w:p w14:paraId="62444A51" w14:textId="6492878D" w:rsidR="007048E7" w:rsidRPr="007048E7" w:rsidRDefault="009F7F4C" w:rsidP="007048E7">
      <w:pPr>
        <w:ind w:left="644"/>
        <w:rPr>
          <w:sz w:val="22"/>
          <w:szCs w:val="22"/>
        </w:rPr>
      </w:pPr>
      <w:r>
        <w:rPr>
          <w:sz w:val="22"/>
          <w:szCs w:val="22"/>
        </w:rPr>
        <w:t>2.</w:t>
      </w:r>
      <w:r w:rsidR="007048E7" w:rsidRPr="007048E7">
        <w:rPr>
          <w:sz w:val="22"/>
          <w:szCs w:val="22"/>
        </w:rPr>
        <w:t xml:space="preserve"> Berk, J. and DeMarzo, P., 2019. </w:t>
      </w:r>
      <w:r w:rsidR="007048E7" w:rsidRPr="007048E7">
        <w:rPr>
          <w:i/>
          <w:iCs/>
          <w:sz w:val="22"/>
          <w:szCs w:val="22"/>
        </w:rPr>
        <w:t>Corporate Finance</w:t>
      </w:r>
      <w:r w:rsidR="007048E7" w:rsidRPr="007048E7">
        <w:rPr>
          <w:sz w:val="22"/>
          <w:szCs w:val="22"/>
        </w:rPr>
        <w:t>. Pearson.</w:t>
      </w:r>
    </w:p>
    <w:p w14:paraId="70E3ECC0" w14:textId="6023DCB0" w:rsidR="007048E7" w:rsidRPr="007048E7" w:rsidRDefault="009F7F4C" w:rsidP="007048E7">
      <w:pPr>
        <w:ind w:left="644"/>
        <w:rPr>
          <w:sz w:val="22"/>
          <w:szCs w:val="22"/>
        </w:rPr>
      </w:pPr>
      <w:r>
        <w:rPr>
          <w:sz w:val="22"/>
          <w:szCs w:val="22"/>
        </w:rPr>
        <w:t>3.</w:t>
      </w:r>
      <w:r w:rsidR="00A74084">
        <w:rPr>
          <w:sz w:val="22"/>
          <w:szCs w:val="22"/>
        </w:rPr>
        <w:t xml:space="preserve"> </w:t>
      </w:r>
      <w:r w:rsidR="007048E7" w:rsidRPr="007048E7">
        <w:rPr>
          <w:sz w:val="22"/>
          <w:szCs w:val="22"/>
        </w:rPr>
        <w:t xml:space="preserve">Brealey, R.A., Myers, S.C. and Allen, F., 2020. </w:t>
      </w:r>
      <w:r w:rsidR="007048E7" w:rsidRPr="007048E7">
        <w:rPr>
          <w:i/>
          <w:iCs/>
          <w:sz w:val="22"/>
          <w:szCs w:val="22"/>
        </w:rPr>
        <w:t>Principles of Corporate Finance</w:t>
      </w:r>
      <w:r w:rsidR="007048E7" w:rsidRPr="007048E7">
        <w:rPr>
          <w:sz w:val="22"/>
          <w:szCs w:val="22"/>
        </w:rPr>
        <w:t>. McGraw-Hill Education.</w:t>
      </w:r>
    </w:p>
    <w:p w14:paraId="72FE6E18" w14:textId="1F013628" w:rsidR="007048E7" w:rsidRPr="007048E7" w:rsidRDefault="00235625" w:rsidP="007048E7">
      <w:pPr>
        <w:ind w:left="644"/>
        <w:rPr>
          <w:sz w:val="22"/>
          <w:szCs w:val="22"/>
        </w:rPr>
      </w:pPr>
      <w:r>
        <w:rPr>
          <w:sz w:val="22"/>
          <w:szCs w:val="22"/>
        </w:rPr>
        <w:t>4.</w:t>
      </w:r>
      <w:r w:rsidR="007048E7" w:rsidRPr="007048E7">
        <w:rPr>
          <w:sz w:val="22"/>
          <w:szCs w:val="22"/>
        </w:rPr>
        <w:t xml:space="preserve"> Damodaran, A., 2015. </w:t>
      </w:r>
      <w:r w:rsidR="007048E7" w:rsidRPr="007048E7">
        <w:rPr>
          <w:i/>
          <w:iCs/>
          <w:sz w:val="22"/>
          <w:szCs w:val="22"/>
        </w:rPr>
        <w:t>Applied Corporate Finance</w:t>
      </w:r>
      <w:r w:rsidR="007048E7" w:rsidRPr="007048E7">
        <w:rPr>
          <w:sz w:val="22"/>
          <w:szCs w:val="22"/>
        </w:rPr>
        <w:t>. Wiley.</w:t>
      </w:r>
    </w:p>
    <w:p w14:paraId="25D281BC" w14:textId="2C34AD66" w:rsidR="007048E7" w:rsidRPr="007048E7" w:rsidRDefault="00235625" w:rsidP="007048E7">
      <w:pPr>
        <w:ind w:left="644"/>
        <w:rPr>
          <w:sz w:val="22"/>
          <w:szCs w:val="22"/>
        </w:rPr>
      </w:pPr>
      <w:r>
        <w:rPr>
          <w:sz w:val="22"/>
          <w:szCs w:val="22"/>
        </w:rPr>
        <w:t>5.</w:t>
      </w:r>
      <w:r w:rsidR="007048E7" w:rsidRPr="007048E7">
        <w:rPr>
          <w:sz w:val="22"/>
          <w:szCs w:val="22"/>
        </w:rPr>
        <w:t xml:space="preserve">  Ross, S.A., Westerfield, R.W. and Jaffe, J.F., 2018. </w:t>
      </w:r>
      <w:r w:rsidR="007048E7" w:rsidRPr="007048E7">
        <w:rPr>
          <w:i/>
          <w:iCs/>
          <w:sz w:val="22"/>
          <w:szCs w:val="22"/>
        </w:rPr>
        <w:t>Corporate Finance</w:t>
      </w:r>
      <w:r w:rsidR="007048E7" w:rsidRPr="007048E7">
        <w:rPr>
          <w:sz w:val="22"/>
          <w:szCs w:val="22"/>
        </w:rPr>
        <w:t>. McGraw-Hill Education.</w:t>
      </w:r>
    </w:p>
    <w:p w14:paraId="17C7DC3F" w14:textId="03E53446" w:rsidR="007048E7" w:rsidRPr="007048E7" w:rsidRDefault="00235625" w:rsidP="007048E7">
      <w:pPr>
        <w:ind w:left="644"/>
        <w:rPr>
          <w:sz w:val="22"/>
          <w:szCs w:val="22"/>
        </w:rPr>
      </w:pPr>
      <w:r>
        <w:rPr>
          <w:sz w:val="22"/>
          <w:szCs w:val="22"/>
        </w:rPr>
        <w:t>6.</w:t>
      </w:r>
      <w:r w:rsidR="007048E7" w:rsidRPr="007048E7">
        <w:rPr>
          <w:sz w:val="22"/>
          <w:szCs w:val="22"/>
        </w:rPr>
        <w:t xml:space="preserve"> Van Horne, J.C. and Wachowicz, J.M., 2017. </w:t>
      </w:r>
      <w:r w:rsidR="007048E7" w:rsidRPr="007048E7">
        <w:rPr>
          <w:i/>
          <w:iCs/>
          <w:sz w:val="22"/>
          <w:szCs w:val="22"/>
        </w:rPr>
        <w:t>Fundamentals of Financial Management</w:t>
      </w:r>
      <w:r w:rsidR="007048E7" w:rsidRPr="007048E7">
        <w:rPr>
          <w:sz w:val="22"/>
          <w:szCs w:val="22"/>
        </w:rPr>
        <w:t>. Pearson.</w:t>
      </w:r>
    </w:p>
    <w:p w14:paraId="69591348" w14:textId="0701F5F3" w:rsidR="007048E7" w:rsidRPr="007048E7" w:rsidRDefault="00235625" w:rsidP="007048E7">
      <w:pPr>
        <w:ind w:left="644"/>
        <w:rPr>
          <w:sz w:val="22"/>
          <w:szCs w:val="22"/>
        </w:rPr>
      </w:pPr>
      <w:r>
        <w:rPr>
          <w:sz w:val="22"/>
          <w:szCs w:val="22"/>
        </w:rPr>
        <w:t>7.</w:t>
      </w:r>
      <w:r w:rsidR="007048E7" w:rsidRPr="007048E7">
        <w:rPr>
          <w:sz w:val="22"/>
          <w:szCs w:val="22"/>
        </w:rPr>
        <w:t xml:space="preserve">Gitman, L.J. and Zutter, C.J., 2015. </w:t>
      </w:r>
      <w:r w:rsidR="007048E7" w:rsidRPr="007048E7">
        <w:rPr>
          <w:i/>
          <w:iCs/>
          <w:sz w:val="22"/>
          <w:szCs w:val="22"/>
        </w:rPr>
        <w:t>Principles of Managerial Finance</w:t>
      </w:r>
      <w:r w:rsidR="007048E7" w:rsidRPr="007048E7">
        <w:rPr>
          <w:sz w:val="22"/>
          <w:szCs w:val="22"/>
        </w:rPr>
        <w:t>. Pearson.</w:t>
      </w:r>
    </w:p>
    <w:p w14:paraId="1945AC6A" w14:textId="668B23CF" w:rsidR="007048E7" w:rsidRPr="007048E7" w:rsidRDefault="00235625" w:rsidP="007048E7">
      <w:pPr>
        <w:ind w:left="644"/>
        <w:rPr>
          <w:sz w:val="22"/>
          <w:szCs w:val="22"/>
        </w:rPr>
      </w:pPr>
      <w:r>
        <w:rPr>
          <w:sz w:val="22"/>
          <w:szCs w:val="22"/>
        </w:rPr>
        <w:t>8.</w:t>
      </w:r>
      <w:r w:rsidR="007048E7" w:rsidRPr="007048E7">
        <w:rPr>
          <w:sz w:val="22"/>
          <w:szCs w:val="22"/>
        </w:rPr>
        <w:t xml:space="preserve">  Lumby, S. and Jones, C., 2011. </w:t>
      </w:r>
      <w:r w:rsidR="007048E7" w:rsidRPr="007048E7">
        <w:rPr>
          <w:i/>
          <w:iCs/>
          <w:sz w:val="22"/>
          <w:szCs w:val="22"/>
        </w:rPr>
        <w:t>Corporate Finance: Theory and Practice</w:t>
      </w:r>
      <w:r w:rsidR="007048E7" w:rsidRPr="007048E7">
        <w:rPr>
          <w:sz w:val="22"/>
          <w:szCs w:val="22"/>
        </w:rPr>
        <w:t>. Cengage Learning.</w:t>
      </w:r>
    </w:p>
    <w:p w14:paraId="20F430A2" w14:textId="4C5AE0D4" w:rsidR="007048E7" w:rsidRPr="007048E7" w:rsidRDefault="00636F41" w:rsidP="007048E7">
      <w:pPr>
        <w:ind w:left="644"/>
        <w:rPr>
          <w:sz w:val="22"/>
          <w:szCs w:val="22"/>
        </w:rPr>
      </w:pPr>
      <w:r>
        <w:rPr>
          <w:sz w:val="22"/>
          <w:szCs w:val="22"/>
        </w:rPr>
        <w:t>9.</w:t>
      </w:r>
      <w:r w:rsidR="007048E7" w:rsidRPr="007048E7">
        <w:rPr>
          <w:sz w:val="22"/>
          <w:szCs w:val="22"/>
        </w:rPr>
        <w:t xml:space="preserve">  Hillier, D., </w:t>
      </w:r>
      <w:proofErr w:type="spellStart"/>
      <w:r w:rsidR="007048E7" w:rsidRPr="007048E7">
        <w:rPr>
          <w:sz w:val="22"/>
          <w:szCs w:val="22"/>
        </w:rPr>
        <w:t>Grinblatt</w:t>
      </w:r>
      <w:proofErr w:type="spellEnd"/>
      <w:r w:rsidR="007048E7" w:rsidRPr="007048E7">
        <w:rPr>
          <w:sz w:val="22"/>
          <w:szCs w:val="22"/>
        </w:rPr>
        <w:t xml:space="preserve">, M. and Titman, S., 2012. </w:t>
      </w:r>
      <w:r w:rsidR="007048E7" w:rsidRPr="007048E7">
        <w:rPr>
          <w:i/>
          <w:iCs/>
          <w:sz w:val="22"/>
          <w:szCs w:val="22"/>
        </w:rPr>
        <w:t>Financial Markets and Corporate Strategy</w:t>
      </w:r>
      <w:r w:rsidR="007048E7" w:rsidRPr="007048E7">
        <w:rPr>
          <w:sz w:val="22"/>
          <w:szCs w:val="22"/>
        </w:rPr>
        <w:t>. McGraw-Hill Education.</w:t>
      </w:r>
    </w:p>
    <w:p w14:paraId="37B9AAB7" w14:textId="228A170A" w:rsidR="007048E7" w:rsidRDefault="00636F41" w:rsidP="007048E7">
      <w:pPr>
        <w:ind w:left="644"/>
        <w:rPr>
          <w:sz w:val="22"/>
          <w:szCs w:val="22"/>
        </w:rPr>
      </w:pPr>
      <w:r>
        <w:rPr>
          <w:sz w:val="22"/>
          <w:szCs w:val="22"/>
        </w:rPr>
        <w:t>10.</w:t>
      </w:r>
      <w:r w:rsidR="007048E7" w:rsidRPr="007048E7">
        <w:rPr>
          <w:sz w:val="22"/>
          <w:szCs w:val="22"/>
        </w:rPr>
        <w:t xml:space="preserve"> Brigham, E.F. and Houston, J.F., 2019. </w:t>
      </w:r>
      <w:r w:rsidR="007048E7" w:rsidRPr="007048E7">
        <w:rPr>
          <w:i/>
          <w:iCs/>
          <w:sz w:val="22"/>
          <w:szCs w:val="22"/>
        </w:rPr>
        <w:t>Fundamentals of Financial Management</w:t>
      </w:r>
      <w:r w:rsidR="007048E7" w:rsidRPr="007048E7">
        <w:rPr>
          <w:sz w:val="22"/>
          <w:szCs w:val="22"/>
        </w:rPr>
        <w:t>. Cengage Learning.</w:t>
      </w:r>
    </w:p>
    <w:p w14:paraId="15F24F36" w14:textId="46F6980B" w:rsidR="00A4713C" w:rsidRDefault="008461CB" w:rsidP="007048E7">
      <w:pPr>
        <w:ind w:left="644"/>
        <w:rPr>
          <w:sz w:val="22"/>
          <w:szCs w:val="22"/>
        </w:rPr>
      </w:pPr>
      <w:r>
        <w:rPr>
          <w:sz w:val="22"/>
          <w:szCs w:val="22"/>
        </w:rPr>
        <w:t>11.</w:t>
      </w:r>
      <w:r w:rsidR="00A4713C" w:rsidRPr="00A4713C">
        <w:rPr>
          <w:sz w:val="22"/>
          <w:szCs w:val="22"/>
        </w:rPr>
        <w:t>Atrill, P. (2016) Financial accounting for decision makers [electronic resource] . 8th ed. Harlow</w:t>
      </w:r>
      <w:r w:rsidR="00A4713C" w:rsidRPr="00A4713C">
        <w:rPr>
          <w:rFonts w:ascii="Arial" w:hAnsi="Arial" w:cs="Arial"/>
          <w:sz w:val="22"/>
          <w:szCs w:val="22"/>
        </w:rPr>
        <w:t> </w:t>
      </w:r>
      <w:r w:rsidR="00A4713C" w:rsidRPr="00A4713C">
        <w:rPr>
          <w:sz w:val="22"/>
          <w:szCs w:val="22"/>
        </w:rPr>
        <w:t>:, Pearson.</w:t>
      </w:r>
    </w:p>
    <w:p w14:paraId="4025CF3B" w14:textId="4748F8A2" w:rsidR="00622C89" w:rsidRDefault="008461CB" w:rsidP="007048E7">
      <w:pPr>
        <w:ind w:left="644"/>
        <w:rPr>
          <w:sz w:val="22"/>
          <w:szCs w:val="22"/>
        </w:rPr>
      </w:pPr>
      <w:r>
        <w:rPr>
          <w:sz w:val="22"/>
          <w:szCs w:val="22"/>
        </w:rPr>
        <w:t xml:space="preserve">12. </w:t>
      </w:r>
      <w:r w:rsidR="00622C89" w:rsidRPr="00622C89">
        <w:rPr>
          <w:sz w:val="22"/>
          <w:szCs w:val="22"/>
        </w:rPr>
        <w:t>MarketLine (Firm) (ed.) (n.d.) MarketLine Advantage.</w:t>
      </w:r>
    </w:p>
    <w:p w14:paraId="159D4338" w14:textId="5B86C2AE" w:rsidR="00E61F75" w:rsidRPr="00CE71B1" w:rsidRDefault="00780F0A" w:rsidP="007048E7">
      <w:pPr>
        <w:ind w:left="644"/>
        <w:rPr>
          <w:sz w:val="22"/>
          <w:szCs w:val="22"/>
        </w:rPr>
      </w:pPr>
      <w:r>
        <w:rPr>
          <w:sz w:val="22"/>
          <w:szCs w:val="22"/>
        </w:rPr>
        <w:t xml:space="preserve">13 . Tesco plc </w:t>
      </w:r>
      <w:r w:rsidR="0078198F">
        <w:rPr>
          <w:sz w:val="22"/>
          <w:szCs w:val="22"/>
        </w:rPr>
        <w:t>2024.</w:t>
      </w:r>
    </w:p>
    <w:p w14:paraId="1E077D70" w14:textId="1F1935BC" w:rsidR="00333A63" w:rsidRPr="00CE71B1" w:rsidRDefault="00333A63" w:rsidP="00333A63">
      <w:pPr>
        <w:tabs>
          <w:tab w:val="num" w:pos="720"/>
        </w:tabs>
        <w:ind w:firstLine="200"/>
        <w:rPr>
          <w:sz w:val="22"/>
          <w:szCs w:val="22"/>
        </w:rPr>
      </w:pPr>
    </w:p>
    <w:p w14:paraId="6D605BF8" w14:textId="77777777" w:rsidR="00F65BA1" w:rsidRPr="00CE71B1" w:rsidRDefault="00F65BA1" w:rsidP="00854332">
      <w:pPr>
        <w:tabs>
          <w:tab w:val="num" w:pos="720"/>
        </w:tabs>
        <w:ind w:firstLine="200"/>
        <w:rPr>
          <w:sz w:val="22"/>
          <w:szCs w:val="22"/>
        </w:rPr>
      </w:pPr>
    </w:p>
    <w:p w14:paraId="2EF7692E" w14:textId="77777777" w:rsidR="00922B6D" w:rsidRPr="00CE71B1" w:rsidRDefault="00922B6D" w:rsidP="00854332">
      <w:pPr>
        <w:tabs>
          <w:tab w:val="num" w:pos="720"/>
        </w:tabs>
        <w:ind w:firstLine="200"/>
        <w:rPr>
          <w:sz w:val="22"/>
          <w:szCs w:val="22"/>
        </w:rPr>
      </w:pPr>
    </w:p>
    <w:p w14:paraId="7ACC6580" w14:textId="77777777" w:rsidR="00854332" w:rsidRPr="00CE71B1" w:rsidRDefault="00854332" w:rsidP="000052DA">
      <w:pPr>
        <w:tabs>
          <w:tab w:val="num" w:pos="720"/>
        </w:tabs>
        <w:ind w:firstLine="200"/>
        <w:rPr>
          <w:sz w:val="22"/>
          <w:szCs w:val="22"/>
        </w:rPr>
      </w:pPr>
    </w:p>
    <w:p w14:paraId="5A338860" w14:textId="77777777" w:rsidR="009731D3" w:rsidRPr="00CE71B1" w:rsidRDefault="009731D3" w:rsidP="009731D3">
      <w:pPr>
        <w:tabs>
          <w:tab w:val="num" w:pos="720"/>
        </w:tabs>
        <w:ind w:firstLine="200"/>
        <w:rPr>
          <w:sz w:val="22"/>
          <w:szCs w:val="22"/>
        </w:rPr>
      </w:pPr>
    </w:p>
    <w:p w14:paraId="3EC25C08" w14:textId="77777777" w:rsidR="009731D3" w:rsidRPr="00CE71B1" w:rsidRDefault="009731D3" w:rsidP="005675BD">
      <w:pPr>
        <w:tabs>
          <w:tab w:val="num" w:pos="720"/>
        </w:tabs>
        <w:rPr>
          <w:sz w:val="22"/>
          <w:szCs w:val="22"/>
        </w:rPr>
      </w:pPr>
    </w:p>
    <w:p w14:paraId="6E5E1FE0" w14:textId="14AF7EA2" w:rsidR="009731D3" w:rsidRPr="00CE71B1" w:rsidRDefault="00C0369C" w:rsidP="009731D3">
      <w:pPr>
        <w:tabs>
          <w:tab w:val="num" w:pos="720"/>
        </w:tabs>
        <w:ind w:firstLine="200"/>
        <w:rPr>
          <w:sz w:val="22"/>
          <w:szCs w:val="22"/>
        </w:rPr>
      </w:pPr>
      <w:r w:rsidRPr="00CE71B1">
        <w:rPr>
          <w:sz w:val="22"/>
          <w:szCs w:val="22"/>
        </w:rPr>
        <w:t xml:space="preserve">                               </w:t>
      </w:r>
    </w:p>
    <w:p w14:paraId="76C564E0" w14:textId="35B849EB" w:rsidR="009731D3" w:rsidRDefault="00020749" w:rsidP="009731D3">
      <w:pPr>
        <w:tabs>
          <w:tab w:val="num" w:pos="720"/>
        </w:tabs>
        <w:ind w:firstLine="200"/>
        <w:rPr>
          <w:sz w:val="22"/>
          <w:szCs w:val="22"/>
        </w:rPr>
      </w:pPr>
      <w:r>
        <w:rPr>
          <w:sz w:val="22"/>
          <w:szCs w:val="22"/>
        </w:rPr>
        <w:lastRenderedPageBreak/>
        <w:t>Appendix.</w:t>
      </w:r>
    </w:p>
    <w:p w14:paraId="4D4BEDF5" w14:textId="26B322B8" w:rsidR="00020749" w:rsidRDefault="00020749" w:rsidP="009731D3">
      <w:pPr>
        <w:tabs>
          <w:tab w:val="num" w:pos="720"/>
        </w:tabs>
        <w:ind w:firstLine="200"/>
        <w:rPr>
          <w:sz w:val="22"/>
          <w:szCs w:val="22"/>
        </w:rPr>
      </w:pPr>
      <w:r>
        <w:rPr>
          <w:sz w:val="22"/>
          <w:szCs w:val="22"/>
        </w:rPr>
        <w:t xml:space="preserve">                       Sample of  Tesco financial income statemen</w:t>
      </w:r>
      <w:r w:rsidR="006402A2">
        <w:rPr>
          <w:sz w:val="22"/>
          <w:szCs w:val="22"/>
        </w:rPr>
        <w:t>.</w:t>
      </w:r>
    </w:p>
    <w:p w14:paraId="6D904F91" w14:textId="1761F88B" w:rsidR="006402A2" w:rsidRDefault="006402A2" w:rsidP="009731D3">
      <w:pPr>
        <w:tabs>
          <w:tab w:val="num" w:pos="720"/>
        </w:tabs>
        <w:ind w:firstLine="200"/>
        <w:rPr>
          <w:sz w:val="22"/>
          <w:szCs w:val="22"/>
        </w:rPr>
      </w:pPr>
      <w:r>
        <w:rPr>
          <w:sz w:val="22"/>
          <w:szCs w:val="22"/>
        </w:rPr>
        <w:t xml:space="preserve">               </w:t>
      </w:r>
    </w:p>
    <w:p w14:paraId="6EE6A435" w14:textId="77777777" w:rsidR="006402A2" w:rsidRPr="00CE71B1" w:rsidRDefault="006402A2" w:rsidP="009731D3">
      <w:pPr>
        <w:tabs>
          <w:tab w:val="num" w:pos="720"/>
        </w:tabs>
        <w:ind w:firstLine="200"/>
        <w:rPr>
          <w:sz w:val="22"/>
          <w:szCs w:val="22"/>
        </w:rPr>
      </w:pPr>
      <w:r>
        <w:rPr>
          <w:sz w:val="22"/>
          <w:szCs w:val="22"/>
        </w:rPr>
        <w:t xml:space="preserve">          </w:t>
      </w:r>
    </w:p>
    <w:tbl>
      <w:tblPr>
        <w:tblW w:w="10440" w:type="dxa"/>
        <w:tblLook w:val="04A0" w:firstRow="1" w:lastRow="0" w:firstColumn="1" w:lastColumn="0" w:noHBand="0" w:noVBand="1"/>
      </w:tblPr>
      <w:tblGrid>
        <w:gridCol w:w="960"/>
        <w:gridCol w:w="1660"/>
        <w:gridCol w:w="1720"/>
        <w:gridCol w:w="1640"/>
        <w:gridCol w:w="1400"/>
        <w:gridCol w:w="1500"/>
        <w:gridCol w:w="1560"/>
      </w:tblGrid>
      <w:tr w:rsidR="006402A2" w:rsidRPr="006402A2" w14:paraId="00C4263C" w14:textId="77777777" w:rsidTr="006402A2">
        <w:trPr>
          <w:trHeight w:val="290"/>
        </w:trPr>
        <w:tc>
          <w:tcPr>
            <w:tcW w:w="960" w:type="dxa"/>
            <w:tcBorders>
              <w:top w:val="nil"/>
              <w:left w:val="nil"/>
              <w:bottom w:val="nil"/>
              <w:right w:val="nil"/>
            </w:tcBorders>
            <w:shd w:val="clear" w:color="auto" w:fill="auto"/>
            <w:noWrap/>
            <w:vAlign w:val="bottom"/>
            <w:hideMark/>
          </w:tcPr>
          <w:p w14:paraId="213678B8" w14:textId="77777777" w:rsidR="006402A2" w:rsidRPr="006402A2" w:rsidRDefault="006402A2" w:rsidP="006402A2">
            <w:pPr>
              <w:spacing w:after="0" w:line="240" w:lineRule="auto"/>
              <w:rPr>
                <w:rFonts w:ascii="Times New Roman" w:eastAsia="Times New Roman" w:hAnsi="Times New Roman" w:cs="Times New Roman"/>
                <w:kern w:val="0"/>
                <w14:ligatures w14:val="none"/>
              </w:rPr>
            </w:pPr>
          </w:p>
        </w:tc>
        <w:tc>
          <w:tcPr>
            <w:tcW w:w="1660" w:type="dxa"/>
            <w:tcBorders>
              <w:top w:val="nil"/>
              <w:left w:val="nil"/>
              <w:bottom w:val="nil"/>
              <w:right w:val="nil"/>
            </w:tcBorders>
            <w:shd w:val="clear" w:color="auto" w:fill="auto"/>
            <w:noWrap/>
            <w:vAlign w:val="bottom"/>
            <w:hideMark/>
          </w:tcPr>
          <w:p w14:paraId="41C2013C" w14:textId="77777777" w:rsidR="006402A2" w:rsidRPr="006402A2" w:rsidRDefault="006402A2" w:rsidP="006402A2">
            <w:pPr>
              <w:spacing w:after="0" w:line="240" w:lineRule="auto"/>
              <w:rPr>
                <w:rFonts w:ascii="Times New Roman" w:eastAsia="Times New Roman" w:hAnsi="Times New Roman" w:cs="Times New Roman"/>
                <w:kern w:val="0"/>
                <w:sz w:val="20"/>
                <w:szCs w:val="20"/>
                <w14:ligatures w14:val="none"/>
              </w:rPr>
            </w:pPr>
          </w:p>
        </w:tc>
        <w:tc>
          <w:tcPr>
            <w:tcW w:w="1720" w:type="dxa"/>
            <w:tcBorders>
              <w:top w:val="nil"/>
              <w:left w:val="nil"/>
              <w:bottom w:val="nil"/>
              <w:right w:val="nil"/>
            </w:tcBorders>
            <w:shd w:val="clear" w:color="auto" w:fill="auto"/>
            <w:noWrap/>
            <w:vAlign w:val="bottom"/>
            <w:hideMark/>
          </w:tcPr>
          <w:p w14:paraId="4AB64532" w14:textId="77777777" w:rsidR="006402A2" w:rsidRPr="006402A2" w:rsidRDefault="006402A2" w:rsidP="006402A2">
            <w:pPr>
              <w:spacing w:after="0" w:line="240" w:lineRule="auto"/>
              <w:rPr>
                <w:rFonts w:ascii="Times New Roman" w:eastAsia="Times New Roman" w:hAnsi="Times New Roman" w:cs="Times New Roman"/>
                <w:kern w:val="0"/>
                <w:sz w:val="20"/>
                <w:szCs w:val="20"/>
                <w14:ligatures w14:val="none"/>
              </w:rPr>
            </w:pPr>
          </w:p>
        </w:tc>
        <w:tc>
          <w:tcPr>
            <w:tcW w:w="1640" w:type="dxa"/>
            <w:tcBorders>
              <w:top w:val="nil"/>
              <w:left w:val="nil"/>
              <w:bottom w:val="nil"/>
              <w:right w:val="nil"/>
            </w:tcBorders>
            <w:shd w:val="clear" w:color="auto" w:fill="auto"/>
            <w:noWrap/>
            <w:vAlign w:val="bottom"/>
            <w:hideMark/>
          </w:tcPr>
          <w:p w14:paraId="4D89664E" w14:textId="77777777" w:rsidR="006402A2" w:rsidRPr="006402A2" w:rsidRDefault="006402A2" w:rsidP="006402A2">
            <w:pPr>
              <w:spacing w:after="0" w:line="240" w:lineRule="auto"/>
              <w:rPr>
                <w:rFonts w:ascii="Times New Roman" w:eastAsia="Times New Roman" w:hAnsi="Times New Roman" w:cs="Times New Roman"/>
                <w:kern w:val="0"/>
                <w:sz w:val="20"/>
                <w:szCs w:val="20"/>
                <w14:ligatures w14:val="none"/>
              </w:rPr>
            </w:pPr>
          </w:p>
        </w:tc>
        <w:tc>
          <w:tcPr>
            <w:tcW w:w="1400" w:type="dxa"/>
            <w:tcBorders>
              <w:top w:val="nil"/>
              <w:left w:val="nil"/>
              <w:bottom w:val="nil"/>
              <w:right w:val="nil"/>
            </w:tcBorders>
            <w:shd w:val="clear" w:color="auto" w:fill="auto"/>
            <w:noWrap/>
            <w:vAlign w:val="bottom"/>
            <w:hideMark/>
          </w:tcPr>
          <w:p w14:paraId="2B26A1B1" w14:textId="77777777" w:rsidR="006402A2" w:rsidRPr="006402A2" w:rsidRDefault="006402A2" w:rsidP="006402A2">
            <w:pPr>
              <w:spacing w:after="0" w:line="240" w:lineRule="auto"/>
              <w:rPr>
                <w:rFonts w:ascii="Times New Roman" w:eastAsia="Times New Roman" w:hAnsi="Times New Roman" w:cs="Times New Roman"/>
                <w:kern w:val="0"/>
                <w:sz w:val="20"/>
                <w:szCs w:val="20"/>
                <w14:ligatures w14:val="none"/>
              </w:rPr>
            </w:pPr>
          </w:p>
        </w:tc>
        <w:tc>
          <w:tcPr>
            <w:tcW w:w="1500" w:type="dxa"/>
            <w:tcBorders>
              <w:top w:val="nil"/>
              <w:left w:val="nil"/>
              <w:bottom w:val="nil"/>
              <w:right w:val="nil"/>
            </w:tcBorders>
            <w:shd w:val="clear" w:color="auto" w:fill="auto"/>
            <w:noWrap/>
            <w:vAlign w:val="bottom"/>
            <w:hideMark/>
          </w:tcPr>
          <w:p w14:paraId="0415D799" w14:textId="77777777" w:rsidR="006402A2" w:rsidRPr="006402A2" w:rsidRDefault="006402A2" w:rsidP="006402A2">
            <w:pPr>
              <w:spacing w:after="0" w:line="240" w:lineRule="auto"/>
              <w:rPr>
                <w:rFonts w:ascii="Times New Roman" w:eastAsia="Times New Roman" w:hAnsi="Times New Roman" w:cs="Times New Roman"/>
                <w:kern w:val="0"/>
                <w:sz w:val="20"/>
                <w:szCs w:val="20"/>
                <w14:ligatures w14:val="none"/>
              </w:rPr>
            </w:pPr>
          </w:p>
        </w:tc>
        <w:tc>
          <w:tcPr>
            <w:tcW w:w="1560" w:type="dxa"/>
            <w:tcBorders>
              <w:top w:val="nil"/>
              <w:left w:val="nil"/>
              <w:bottom w:val="nil"/>
              <w:right w:val="nil"/>
            </w:tcBorders>
            <w:shd w:val="clear" w:color="auto" w:fill="auto"/>
            <w:noWrap/>
            <w:vAlign w:val="bottom"/>
            <w:hideMark/>
          </w:tcPr>
          <w:p w14:paraId="54FCC952" w14:textId="77777777" w:rsidR="006402A2" w:rsidRPr="006402A2" w:rsidRDefault="006402A2" w:rsidP="006402A2">
            <w:pPr>
              <w:spacing w:after="0" w:line="240" w:lineRule="auto"/>
              <w:rPr>
                <w:rFonts w:ascii="Times New Roman" w:eastAsia="Times New Roman" w:hAnsi="Times New Roman" w:cs="Times New Roman"/>
                <w:kern w:val="0"/>
                <w:sz w:val="20"/>
                <w:szCs w:val="20"/>
                <w14:ligatures w14:val="none"/>
              </w:rPr>
            </w:pPr>
          </w:p>
        </w:tc>
      </w:tr>
      <w:tr w:rsidR="006402A2" w:rsidRPr="006402A2" w14:paraId="5B97CA03" w14:textId="77777777" w:rsidTr="006402A2">
        <w:trPr>
          <w:trHeight w:val="560"/>
        </w:trPr>
        <w:tc>
          <w:tcPr>
            <w:tcW w:w="960" w:type="dxa"/>
            <w:tcBorders>
              <w:top w:val="nil"/>
              <w:left w:val="nil"/>
              <w:bottom w:val="nil"/>
              <w:right w:val="nil"/>
            </w:tcBorders>
            <w:shd w:val="clear" w:color="auto" w:fill="auto"/>
            <w:noWrap/>
            <w:vAlign w:val="bottom"/>
            <w:hideMark/>
          </w:tcPr>
          <w:p w14:paraId="7FFB7E4C" w14:textId="77777777" w:rsidR="006402A2" w:rsidRPr="006402A2" w:rsidRDefault="006402A2" w:rsidP="006402A2">
            <w:pPr>
              <w:spacing w:after="0" w:line="240" w:lineRule="auto"/>
              <w:rPr>
                <w:rFonts w:ascii="Times New Roman" w:eastAsia="Times New Roman" w:hAnsi="Times New Roman" w:cs="Times New Roman"/>
                <w:kern w:val="0"/>
                <w:sz w:val="20"/>
                <w:szCs w:val="20"/>
                <w14:ligatures w14:val="none"/>
              </w:rPr>
            </w:pPr>
          </w:p>
        </w:tc>
        <w:tc>
          <w:tcPr>
            <w:tcW w:w="1660" w:type="dxa"/>
            <w:tcBorders>
              <w:top w:val="nil"/>
              <w:left w:val="nil"/>
              <w:bottom w:val="nil"/>
              <w:right w:val="single" w:sz="8" w:space="0" w:color="C7D5E0"/>
            </w:tcBorders>
            <w:shd w:val="clear" w:color="3E5174" w:fill="3E5174"/>
            <w:vAlign w:val="center"/>
            <w:hideMark/>
          </w:tcPr>
          <w:p w14:paraId="6E2913C8" w14:textId="77777777" w:rsidR="006402A2" w:rsidRPr="006402A2" w:rsidRDefault="006402A2" w:rsidP="006402A2">
            <w:pPr>
              <w:spacing w:after="0" w:line="240" w:lineRule="auto"/>
              <w:jc w:val="center"/>
              <w:rPr>
                <w:rFonts w:ascii="Arial" w:eastAsia="Times New Roman" w:hAnsi="Arial" w:cs="Arial"/>
                <w:color w:val="FFFFFF"/>
                <w:kern w:val="0"/>
                <w:sz w:val="22"/>
                <w:szCs w:val="22"/>
                <w14:ligatures w14:val="none"/>
              </w:rPr>
            </w:pPr>
            <w:r w:rsidRPr="006402A2">
              <w:rPr>
                <w:rFonts w:ascii="Arial" w:eastAsia="Times New Roman" w:hAnsi="Arial" w:cs="Arial"/>
                <w:color w:val="FFFFFF"/>
                <w:kern w:val="0"/>
                <w:sz w:val="22"/>
                <w:szCs w:val="22"/>
                <w14:ligatures w14:val="none"/>
              </w:rPr>
              <w:t>Income Statement:</w:t>
            </w:r>
          </w:p>
        </w:tc>
        <w:tc>
          <w:tcPr>
            <w:tcW w:w="1720" w:type="dxa"/>
            <w:tcBorders>
              <w:top w:val="nil"/>
              <w:left w:val="nil"/>
              <w:bottom w:val="nil"/>
              <w:right w:val="single" w:sz="8" w:space="0" w:color="C7D5E0"/>
            </w:tcBorders>
            <w:shd w:val="clear" w:color="3E5174" w:fill="3E5174"/>
            <w:noWrap/>
            <w:vAlign w:val="center"/>
            <w:hideMark/>
          </w:tcPr>
          <w:p w14:paraId="38E8D3DF" w14:textId="77777777" w:rsidR="006402A2" w:rsidRPr="006402A2" w:rsidRDefault="006402A2" w:rsidP="006402A2">
            <w:pPr>
              <w:spacing w:after="0" w:line="240" w:lineRule="auto"/>
              <w:jc w:val="center"/>
              <w:rPr>
                <w:rFonts w:ascii="Arial" w:eastAsia="Times New Roman" w:hAnsi="Arial" w:cs="Arial"/>
                <w:color w:val="FFFFFF"/>
                <w:kern w:val="0"/>
                <w:sz w:val="22"/>
                <w:szCs w:val="22"/>
                <w14:ligatures w14:val="none"/>
              </w:rPr>
            </w:pPr>
            <w:r w:rsidRPr="006402A2">
              <w:rPr>
                <w:rFonts w:ascii="Arial" w:eastAsia="Times New Roman" w:hAnsi="Arial" w:cs="Arial"/>
                <w:color w:val="FFFFFF"/>
                <w:kern w:val="0"/>
                <w:sz w:val="22"/>
                <w:szCs w:val="22"/>
                <w14:ligatures w14:val="none"/>
              </w:rPr>
              <w:t>24/02/2024</w:t>
            </w:r>
          </w:p>
        </w:tc>
        <w:tc>
          <w:tcPr>
            <w:tcW w:w="1640" w:type="dxa"/>
            <w:tcBorders>
              <w:top w:val="nil"/>
              <w:left w:val="nil"/>
              <w:bottom w:val="nil"/>
              <w:right w:val="single" w:sz="8" w:space="0" w:color="C7D5E0"/>
            </w:tcBorders>
            <w:shd w:val="clear" w:color="3E5174" w:fill="3E5174"/>
            <w:noWrap/>
            <w:vAlign w:val="center"/>
            <w:hideMark/>
          </w:tcPr>
          <w:p w14:paraId="5714E15C" w14:textId="77777777" w:rsidR="006402A2" w:rsidRPr="006402A2" w:rsidRDefault="006402A2" w:rsidP="006402A2">
            <w:pPr>
              <w:spacing w:after="0" w:line="240" w:lineRule="auto"/>
              <w:jc w:val="center"/>
              <w:rPr>
                <w:rFonts w:ascii="Arial" w:eastAsia="Times New Roman" w:hAnsi="Arial" w:cs="Arial"/>
                <w:color w:val="FFFFFF"/>
                <w:kern w:val="0"/>
                <w:sz w:val="22"/>
                <w:szCs w:val="22"/>
                <w14:ligatures w14:val="none"/>
              </w:rPr>
            </w:pPr>
            <w:r w:rsidRPr="006402A2">
              <w:rPr>
                <w:rFonts w:ascii="Arial" w:eastAsia="Times New Roman" w:hAnsi="Arial" w:cs="Arial"/>
                <w:color w:val="FFFFFF"/>
                <w:kern w:val="0"/>
                <w:sz w:val="22"/>
                <w:szCs w:val="22"/>
                <w14:ligatures w14:val="none"/>
              </w:rPr>
              <w:t>25/02/2023</w:t>
            </w:r>
          </w:p>
        </w:tc>
        <w:tc>
          <w:tcPr>
            <w:tcW w:w="1400" w:type="dxa"/>
            <w:tcBorders>
              <w:top w:val="nil"/>
              <w:left w:val="nil"/>
              <w:bottom w:val="nil"/>
              <w:right w:val="single" w:sz="8" w:space="0" w:color="C7D5E0"/>
            </w:tcBorders>
            <w:shd w:val="clear" w:color="3E5174" w:fill="3E5174"/>
            <w:noWrap/>
            <w:vAlign w:val="center"/>
            <w:hideMark/>
          </w:tcPr>
          <w:p w14:paraId="57166DF9" w14:textId="77777777" w:rsidR="006402A2" w:rsidRPr="006402A2" w:rsidRDefault="006402A2" w:rsidP="006402A2">
            <w:pPr>
              <w:spacing w:after="0" w:line="240" w:lineRule="auto"/>
              <w:jc w:val="center"/>
              <w:rPr>
                <w:rFonts w:ascii="Arial" w:eastAsia="Times New Roman" w:hAnsi="Arial" w:cs="Arial"/>
                <w:color w:val="FFFFFF"/>
                <w:kern w:val="0"/>
                <w:sz w:val="22"/>
                <w:szCs w:val="22"/>
                <w14:ligatures w14:val="none"/>
              </w:rPr>
            </w:pPr>
            <w:r w:rsidRPr="006402A2">
              <w:rPr>
                <w:rFonts w:ascii="Arial" w:eastAsia="Times New Roman" w:hAnsi="Arial" w:cs="Arial"/>
                <w:color w:val="FFFFFF"/>
                <w:kern w:val="0"/>
                <w:sz w:val="22"/>
                <w:szCs w:val="22"/>
                <w14:ligatures w14:val="none"/>
              </w:rPr>
              <w:t>26/02/2022</w:t>
            </w:r>
          </w:p>
        </w:tc>
        <w:tc>
          <w:tcPr>
            <w:tcW w:w="1500" w:type="dxa"/>
            <w:tcBorders>
              <w:top w:val="nil"/>
              <w:left w:val="nil"/>
              <w:bottom w:val="nil"/>
              <w:right w:val="single" w:sz="8" w:space="0" w:color="C7D5E0"/>
            </w:tcBorders>
            <w:shd w:val="clear" w:color="3E5174" w:fill="3E5174"/>
            <w:noWrap/>
            <w:vAlign w:val="center"/>
            <w:hideMark/>
          </w:tcPr>
          <w:p w14:paraId="1285C459" w14:textId="77777777" w:rsidR="006402A2" w:rsidRPr="006402A2" w:rsidRDefault="006402A2" w:rsidP="006402A2">
            <w:pPr>
              <w:spacing w:after="0" w:line="240" w:lineRule="auto"/>
              <w:jc w:val="center"/>
              <w:rPr>
                <w:rFonts w:ascii="Arial" w:eastAsia="Times New Roman" w:hAnsi="Arial" w:cs="Arial"/>
                <w:color w:val="FFFFFF"/>
                <w:kern w:val="0"/>
                <w:sz w:val="22"/>
                <w:szCs w:val="22"/>
                <w14:ligatures w14:val="none"/>
              </w:rPr>
            </w:pPr>
            <w:r w:rsidRPr="006402A2">
              <w:rPr>
                <w:rFonts w:ascii="Arial" w:eastAsia="Times New Roman" w:hAnsi="Arial" w:cs="Arial"/>
                <w:color w:val="FFFFFF"/>
                <w:kern w:val="0"/>
                <w:sz w:val="22"/>
                <w:szCs w:val="22"/>
                <w14:ligatures w14:val="none"/>
              </w:rPr>
              <w:t>27/02/2021</w:t>
            </w:r>
          </w:p>
        </w:tc>
        <w:tc>
          <w:tcPr>
            <w:tcW w:w="1560" w:type="dxa"/>
            <w:tcBorders>
              <w:top w:val="nil"/>
              <w:left w:val="nil"/>
              <w:bottom w:val="nil"/>
              <w:right w:val="nil"/>
            </w:tcBorders>
            <w:shd w:val="clear" w:color="3E5174" w:fill="3E5174"/>
            <w:noWrap/>
            <w:vAlign w:val="center"/>
            <w:hideMark/>
          </w:tcPr>
          <w:p w14:paraId="30CA4A79" w14:textId="77777777" w:rsidR="006402A2" w:rsidRPr="006402A2" w:rsidRDefault="006402A2" w:rsidP="006402A2">
            <w:pPr>
              <w:spacing w:after="0" w:line="240" w:lineRule="auto"/>
              <w:jc w:val="center"/>
              <w:rPr>
                <w:rFonts w:ascii="Arial" w:eastAsia="Times New Roman" w:hAnsi="Arial" w:cs="Arial"/>
                <w:color w:val="FFFFFF"/>
                <w:kern w:val="0"/>
                <w:sz w:val="22"/>
                <w:szCs w:val="22"/>
                <w14:ligatures w14:val="none"/>
              </w:rPr>
            </w:pPr>
            <w:r w:rsidRPr="006402A2">
              <w:rPr>
                <w:rFonts w:ascii="Arial" w:eastAsia="Times New Roman" w:hAnsi="Arial" w:cs="Arial"/>
                <w:color w:val="FFFFFF"/>
                <w:kern w:val="0"/>
                <w:sz w:val="22"/>
                <w:szCs w:val="22"/>
                <w14:ligatures w14:val="none"/>
              </w:rPr>
              <w:t>29/02/2020</w:t>
            </w:r>
          </w:p>
        </w:tc>
      </w:tr>
      <w:tr w:rsidR="006402A2" w:rsidRPr="006402A2" w14:paraId="385D3AE0" w14:textId="77777777" w:rsidTr="006402A2">
        <w:trPr>
          <w:trHeight w:val="290"/>
        </w:trPr>
        <w:tc>
          <w:tcPr>
            <w:tcW w:w="960" w:type="dxa"/>
            <w:tcBorders>
              <w:top w:val="nil"/>
              <w:left w:val="nil"/>
              <w:bottom w:val="nil"/>
              <w:right w:val="nil"/>
            </w:tcBorders>
            <w:shd w:val="clear" w:color="auto" w:fill="auto"/>
            <w:noWrap/>
            <w:vAlign w:val="bottom"/>
            <w:hideMark/>
          </w:tcPr>
          <w:p w14:paraId="692DCEEC" w14:textId="77777777" w:rsidR="006402A2" w:rsidRPr="006402A2" w:rsidRDefault="006402A2" w:rsidP="006402A2">
            <w:pPr>
              <w:spacing w:after="0" w:line="240" w:lineRule="auto"/>
              <w:jc w:val="center"/>
              <w:rPr>
                <w:rFonts w:ascii="Arial" w:eastAsia="Times New Roman" w:hAnsi="Arial" w:cs="Arial"/>
                <w:color w:val="FFFFFF"/>
                <w:kern w:val="0"/>
                <w:sz w:val="22"/>
                <w:szCs w:val="22"/>
                <w14:ligatures w14:val="none"/>
              </w:rPr>
            </w:pPr>
          </w:p>
        </w:tc>
        <w:tc>
          <w:tcPr>
            <w:tcW w:w="1660" w:type="dxa"/>
            <w:tcBorders>
              <w:top w:val="nil"/>
              <w:left w:val="nil"/>
              <w:bottom w:val="nil"/>
              <w:right w:val="single" w:sz="8" w:space="0" w:color="C7D5E0"/>
            </w:tcBorders>
            <w:shd w:val="clear" w:color="D1DBE4" w:fill="D1DBE4"/>
            <w:vAlign w:val="center"/>
            <w:hideMark/>
          </w:tcPr>
          <w:p w14:paraId="1D681AEA"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 </w:t>
            </w:r>
          </w:p>
        </w:tc>
        <w:tc>
          <w:tcPr>
            <w:tcW w:w="1720" w:type="dxa"/>
            <w:tcBorders>
              <w:top w:val="nil"/>
              <w:left w:val="nil"/>
              <w:bottom w:val="nil"/>
              <w:right w:val="single" w:sz="8" w:space="0" w:color="C7D5E0"/>
            </w:tcBorders>
            <w:shd w:val="clear" w:color="D1DBE4" w:fill="D1DBE4"/>
            <w:noWrap/>
            <w:vAlign w:val="center"/>
            <w:hideMark/>
          </w:tcPr>
          <w:p w14:paraId="3DDD3B0E"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 (Millions)</w:t>
            </w:r>
          </w:p>
        </w:tc>
        <w:tc>
          <w:tcPr>
            <w:tcW w:w="1640" w:type="dxa"/>
            <w:tcBorders>
              <w:top w:val="nil"/>
              <w:left w:val="nil"/>
              <w:bottom w:val="nil"/>
              <w:right w:val="single" w:sz="8" w:space="0" w:color="C7D5E0"/>
            </w:tcBorders>
            <w:shd w:val="clear" w:color="D1DBE4" w:fill="D1DBE4"/>
            <w:noWrap/>
            <w:vAlign w:val="center"/>
            <w:hideMark/>
          </w:tcPr>
          <w:p w14:paraId="6B2F5CD4"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 (Millions)</w:t>
            </w:r>
          </w:p>
        </w:tc>
        <w:tc>
          <w:tcPr>
            <w:tcW w:w="1400" w:type="dxa"/>
            <w:tcBorders>
              <w:top w:val="nil"/>
              <w:left w:val="nil"/>
              <w:bottom w:val="nil"/>
              <w:right w:val="single" w:sz="8" w:space="0" w:color="C7D5E0"/>
            </w:tcBorders>
            <w:shd w:val="clear" w:color="D1DBE4" w:fill="D1DBE4"/>
            <w:noWrap/>
            <w:vAlign w:val="center"/>
            <w:hideMark/>
          </w:tcPr>
          <w:p w14:paraId="13091B91"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 (Millions)</w:t>
            </w:r>
          </w:p>
        </w:tc>
        <w:tc>
          <w:tcPr>
            <w:tcW w:w="1500" w:type="dxa"/>
            <w:tcBorders>
              <w:top w:val="nil"/>
              <w:left w:val="nil"/>
              <w:bottom w:val="nil"/>
              <w:right w:val="single" w:sz="8" w:space="0" w:color="C7D5E0"/>
            </w:tcBorders>
            <w:shd w:val="clear" w:color="D1DBE4" w:fill="D1DBE4"/>
            <w:noWrap/>
            <w:vAlign w:val="center"/>
            <w:hideMark/>
          </w:tcPr>
          <w:p w14:paraId="5F73488A"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 (Millions)</w:t>
            </w:r>
          </w:p>
        </w:tc>
        <w:tc>
          <w:tcPr>
            <w:tcW w:w="1560" w:type="dxa"/>
            <w:tcBorders>
              <w:top w:val="nil"/>
              <w:left w:val="nil"/>
              <w:bottom w:val="nil"/>
              <w:right w:val="nil"/>
            </w:tcBorders>
            <w:shd w:val="clear" w:color="D1DBE4" w:fill="D1DBE4"/>
            <w:noWrap/>
            <w:vAlign w:val="center"/>
            <w:hideMark/>
          </w:tcPr>
          <w:p w14:paraId="64B2BF2E"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 (Millions)</w:t>
            </w:r>
          </w:p>
        </w:tc>
      </w:tr>
      <w:tr w:rsidR="006402A2" w:rsidRPr="006402A2" w14:paraId="24FE80AD" w14:textId="77777777" w:rsidTr="006402A2">
        <w:trPr>
          <w:trHeight w:val="290"/>
        </w:trPr>
        <w:tc>
          <w:tcPr>
            <w:tcW w:w="960" w:type="dxa"/>
            <w:tcBorders>
              <w:top w:val="nil"/>
              <w:left w:val="nil"/>
              <w:bottom w:val="nil"/>
              <w:right w:val="nil"/>
            </w:tcBorders>
            <w:shd w:val="clear" w:color="auto" w:fill="auto"/>
            <w:noWrap/>
            <w:vAlign w:val="bottom"/>
            <w:hideMark/>
          </w:tcPr>
          <w:p w14:paraId="6BA8842E"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p>
        </w:tc>
        <w:tc>
          <w:tcPr>
            <w:tcW w:w="1660" w:type="dxa"/>
            <w:tcBorders>
              <w:top w:val="nil"/>
              <w:left w:val="nil"/>
              <w:bottom w:val="nil"/>
              <w:right w:val="single" w:sz="8" w:space="0" w:color="C7D5E0"/>
            </w:tcBorders>
            <w:shd w:val="clear" w:color="auto" w:fill="auto"/>
            <w:vAlign w:val="center"/>
            <w:hideMark/>
          </w:tcPr>
          <w:p w14:paraId="3AE3CCA0"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Revenue:</w:t>
            </w:r>
          </w:p>
        </w:tc>
        <w:tc>
          <w:tcPr>
            <w:tcW w:w="1720" w:type="dxa"/>
            <w:tcBorders>
              <w:top w:val="nil"/>
              <w:left w:val="nil"/>
              <w:bottom w:val="nil"/>
              <w:right w:val="single" w:sz="8" w:space="0" w:color="C7D5E0"/>
            </w:tcBorders>
            <w:shd w:val="clear" w:color="auto" w:fill="auto"/>
            <w:vAlign w:val="center"/>
            <w:hideMark/>
          </w:tcPr>
          <w:p w14:paraId="502DEFF7"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68,187.00</w:t>
            </w:r>
          </w:p>
        </w:tc>
        <w:tc>
          <w:tcPr>
            <w:tcW w:w="1640" w:type="dxa"/>
            <w:tcBorders>
              <w:top w:val="nil"/>
              <w:left w:val="nil"/>
              <w:bottom w:val="nil"/>
              <w:right w:val="single" w:sz="8" w:space="0" w:color="C7D5E0"/>
            </w:tcBorders>
            <w:shd w:val="clear" w:color="auto" w:fill="auto"/>
            <w:vAlign w:val="center"/>
            <w:hideMark/>
          </w:tcPr>
          <w:p w14:paraId="0D5BA868"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65,322.00</w:t>
            </w:r>
          </w:p>
        </w:tc>
        <w:tc>
          <w:tcPr>
            <w:tcW w:w="1400" w:type="dxa"/>
            <w:tcBorders>
              <w:top w:val="nil"/>
              <w:left w:val="nil"/>
              <w:bottom w:val="nil"/>
              <w:right w:val="single" w:sz="8" w:space="0" w:color="C7D5E0"/>
            </w:tcBorders>
            <w:shd w:val="clear" w:color="auto" w:fill="auto"/>
            <w:vAlign w:val="center"/>
            <w:hideMark/>
          </w:tcPr>
          <w:p w14:paraId="105850D0"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61,344.00</w:t>
            </w:r>
          </w:p>
        </w:tc>
        <w:tc>
          <w:tcPr>
            <w:tcW w:w="1500" w:type="dxa"/>
            <w:tcBorders>
              <w:top w:val="nil"/>
              <w:left w:val="nil"/>
              <w:bottom w:val="nil"/>
              <w:right w:val="single" w:sz="8" w:space="0" w:color="C7D5E0"/>
            </w:tcBorders>
            <w:shd w:val="clear" w:color="auto" w:fill="auto"/>
            <w:vAlign w:val="center"/>
            <w:hideMark/>
          </w:tcPr>
          <w:p w14:paraId="2720E36D"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57,887.00</w:t>
            </w:r>
          </w:p>
        </w:tc>
        <w:tc>
          <w:tcPr>
            <w:tcW w:w="1560" w:type="dxa"/>
            <w:tcBorders>
              <w:top w:val="nil"/>
              <w:left w:val="nil"/>
              <w:bottom w:val="nil"/>
              <w:right w:val="nil"/>
            </w:tcBorders>
            <w:shd w:val="clear" w:color="auto" w:fill="auto"/>
            <w:vAlign w:val="center"/>
            <w:hideMark/>
          </w:tcPr>
          <w:p w14:paraId="33C1985A"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58,091.00</w:t>
            </w:r>
          </w:p>
        </w:tc>
      </w:tr>
      <w:tr w:rsidR="006402A2" w:rsidRPr="006402A2" w14:paraId="0A7D9065" w14:textId="77777777" w:rsidTr="006402A2">
        <w:trPr>
          <w:trHeight w:val="560"/>
        </w:trPr>
        <w:tc>
          <w:tcPr>
            <w:tcW w:w="960" w:type="dxa"/>
            <w:tcBorders>
              <w:top w:val="nil"/>
              <w:left w:val="nil"/>
              <w:bottom w:val="nil"/>
              <w:right w:val="nil"/>
            </w:tcBorders>
            <w:shd w:val="clear" w:color="auto" w:fill="auto"/>
            <w:noWrap/>
            <w:vAlign w:val="bottom"/>
            <w:hideMark/>
          </w:tcPr>
          <w:p w14:paraId="529B275E"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p>
        </w:tc>
        <w:tc>
          <w:tcPr>
            <w:tcW w:w="1660" w:type="dxa"/>
            <w:tcBorders>
              <w:top w:val="nil"/>
              <w:left w:val="nil"/>
              <w:bottom w:val="nil"/>
              <w:right w:val="single" w:sz="8" w:space="0" w:color="C7D5E0"/>
            </w:tcBorders>
            <w:shd w:val="clear" w:color="ECF1F5" w:fill="ECF1F5"/>
            <w:vAlign w:val="center"/>
            <w:hideMark/>
          </w:tcPr>
          <w:p w14:paraId="254215AB"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Operating Profit / (Loss):</w:t>
            </w:r>
          </w:p>
        </w:tc>
        <w:tc>
          <w:tcPr>
            <w:tcW w:w="1720" w:type="dxa"/>
            <w:tcBorders>
              <w:top w:val="nil"/>
              <w:left w:val="nil"/>
              <w:bottom w:val="nil"/>
              <w:right w:val="single" w:sz="8" w:space="0" w:color="C7D5E0"/>
            </w:tcBorders>
            <w:shd w:val="clear" w:color="ECF1F5" w:fill="ECF1F5"/>
            <w:vAlign w:val="center"/>
            <w:hideMark/>
          </w:tcPr>
          <w:p w14:paraId="734616C3"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2,821.00</w:t>
            </w:r>
          </w:p>
        </w:tc>
        <w:tc>
          <w:tcPr>
            <w:tcW w:w="1640" w:type="dxa"/>
            <w:tcBorders>
              <w:top w:val="nil"/>
              <w:left w:val="nil"/>
              <w:bottom w:val="nil"/>
              <w:right w:val="single" w:sz="8" w:space="0" w:color="C7D5E0"/>
            </w:tcBorders>
            <w:shd w:val="clear" w:color="ECF1F5" w:fill="ECF1F5"/>
            <w:vAlign w:val="center"/>
            <w:hideMark/>
          </w:tcPr>
          <w:p w14:paraId="62E42848"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1,410.00</w:t>
            </w:r>
          </w:p>
        </w:tc>
        <w:tc>
          <w:tcPr>
            <w:tcW w:w="1400" w:type="dxa"/>
            <w:tcBorders>
              <w:top w:val="nil"/>
              <w:left w:val="nil"/>
              <w:bottom w:val="nil"/>
              <w:right w:val="single" w:sz="8" w:space="0" w:color="C7D5E0"/>
            </w:tcBorders>
            <w:shd w:val="clear" w:color="ECF1F5" w:fill="ECF1F5"/>
            <w:vAlign w:val="center"/>
            <w:hideMark/>
          </w:tcPr>
          <w:p w14:paraId="65EA2C4B"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2,560.00</w:t>
            </w:r>
          </w:p>
        </w:tc>
        <w:tc>
          <w:tcPr>
            <w:tcW w:w="1500" w:type="dxa"/>
            <w:tcBorders>
              <w:top w:val="nil"/>
              <w:left w:val="nil"/>
              <w:bottom w:val="nil"/>
              <w:right w:val="single" w:sz="8" w:space="0" w:color="C7D5E0"/>
            </w:tcBorders>
            <w:shd w:val="clear" w:color="ECF1F5" w:fill="ECF1F5"/>
            <w:vAlign w:val="center"/>
            <w:hideMark/>
          </w:tcPr>
          <w:p w14:paraId="63B226CA"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1,547.00</w:t>
            </w:r>
          </w:p>
        </w:tc>
        <w:tc>
          <w:tcPr>
            <w:tcW w:w="1560" w:type="dxa"/>
            <w:tcBorders>
              <w:top w:val="nil"/>
              <w:left w:val="nil"/>
              <w:bottom w:val="nil"/>
              <w:right w:val="nil"/>
            </w:tcBorders>
            <w:shd w:val="clear" w:color="ECF1F5" w:fill="ECF1F5"/>
            <w:vAlign w:val="center"/>
            <w:hideMark/>
          </w:tcPr>
          <w:p w14:paraId="448702A7"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2,206.00</w:t>
            </w:r>
          </w:p>
        </w:tc>
      </w:tr>
      <w:tr w:rsidR="006402A2" w:rsidRPr="006402A2" w14:paraId="243C48D9" w14:textId="77777777" w:rsidTr="006402A2">
        <w:trPr>
          <w:trHeight w:val="290"/>
        </w:trPr>
        <w:tc>
          <w:tcPr>
            <w:tcW w:w="960" w:type="dxa"/>
            <w:tcBorders>
              <w:top w:val="nil"/>
              <w:left w:val="nil"/>
              <w:bottom w:val="nil"/>
              <w:right w:val="nil"/>
            </w:tcBorders>
            <w:shd w:val="clear" w:color="auto" w:fill="auto"/>
            <w:noWrap/>
            <w:vAlign w:val="bottom"/>
            <w:hideMark/>
          </w:tcPr>
          <w:p w14:paraId="0E19305C"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p>
        </w:tc>
        <w:tc>
          <w:tcPr>
            <w:tcW w:w="1660" w:type="dxa"/>
            <w:tcBorders>
              <w:top w:val="nil"/>
              <w:left w:val="nil"/>
              <w:bottom w:val="nil"/>
              <w:right w:val="single" w:sz="8" w:space="0" w:color="C7D5E0"/>
            </w:tcBorders>
            <w:shd w:val="clear" w:color="auto" w:fill="auto"/>
            <w:vAlign w:val="center"/>
            <w:hideMark/>
          </w:tcPr>
          <w:p w14:paraId="7760FFB4"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Net Interest:</w:t>
            </w:r>
          </w:p>
        </w:tc>
        <w:tc>
          <w:tcPr>
            <w:tcW w:w="1720" w:type="dxa"/>
            <w:tcBorders>
              <w:top w:val="nil"/>
              <w:left w:val="nil"/>
              <w:bottom w:val="nil"/>
              <w:right w:val="single" w:sz="8" w:space="0" w:color="C7D5E0"/>
            </w:tcBorders>
            <w:shd w:val="clear" w:color="auto" w:fill="auto"/>
            <w:vAlign w:val="center"/>
            <w:hideMark/>
          </w:tcPr>
          <w:p w14:paraId="5F3E84C4"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-538</w:t>
            </w:r>
          </w:p>
        </w:tc>
        <w:tc>
          <w:tcPr>
            <w:tcW w:w="1640" w:type="dxa"/>
            <w:tcBorders>
              <w:top w:val="nil"/>
              <w:left w:val="nil"/>
              <w:bottom w:val="nil"/>
              <w:right w:val="single" w:sz="8" w:space="0" w:color="C7D5E0"/>
            </w:tcBorders>
            <w:shd w:val="clear" w:color="auto" w:fill="auto"/>
            <w:vAlign w:val="center"/>
            <w:hideMark/>
          </w:tcPr>
          <w:p w14:paraId="7C782E16"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-536</w:t>
            </w:r>
          </w:p>
        </w:tc>
        <w:tc>
          <w:tcPr>
            <w:tcW w:w="1400" w:type="dxa"/>
            <w:tcBorders>
              <w:top w:val="nil"/>
              <w:left w:val="nil"/>
              <w:bottom w:val="nil"/>
              <w:right w:val="single" w:sz="8" w:space="0" w:color="C7D5E0"/>
            </w:tcBorders>
            <w:shd w:val="clear" w:color="auto" w:fill="auto"/>
            <w:vAlign w:val="center"/>
            <w:hideMark/>
          </w:tcPr>
          <w:p w14:paraId="298D0EDC"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-542</w:t>
            </w:r>
          </w:p>
        </w:tc>
        <w:tc>
          <w:tcPr>
            <w:tcW w:w="1500" w:type="dxa"/>
            <w:tcBorders>
              <w:top w:val="nil"/>
              <w:left w:val="nil"/>
              <w:bottom w:val="nil"/>
              <w:right w:val="single" w:sz="8" w:space="0" w:color="C7D5E0"/>
            </w:tcBorders>
            <w:shd w:val="clear" w:color="auto" w:fill="auto"/>
            <w:vAlign w:val="center"/>
            <w:hideMark/>
          </w:tcPr>
          <w:p w14:paraId="237FD3FB"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-937</w:t>
            </w:r>
          </w:p>
        </w:tc>
        <w:tc>
          <w:tcPr>
            <w:tcW w:w="1560" w:type="dxa"/>
            <w:tcBorders>
              <w:top w:val="nil"/>
              <w:left w:val="nil"/>
              <w:bottom w:val="nil"/>
              <w:right w:val="nil"/>
            </w:tcBorders>
            <w:shd w:val="clear" w:color="auto" w:fill="auto"/>
            <w:vAlign w:val="center"/>
            <w:hideMark/>
          </w:tcPr>
          <w:p w14:paraId="79F417A7"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-1,170.00</w:t>
            </w:r>
          </w:p>
        </w:tc>
      </w:tr>
      <w:tr w:rsidR="006402A2" w:rsidRPr="006402A2" w14:paraId="28DD404A" w14:textId="77777777" w:rsidTr="006402A2">
        <w:trPr>
          <w:trHeight w:val="560"/>
        </w:trPr>
        <w:tc>
          <w:tcPr>
            <w:tcW w:w="960" w:type="dxa"/>
            <w:tcBorders>
              <w:top w:val="nil"/>
              <w:left w:val="nil"/>
              <w:bottom w:val="nil"/>
              <w:right w:val="nil"/>
            </w:tcBorders>
            <w:shd w:val="clear" w:color="auto" w:fill="auto"/>
            <w:noWrap/>
            <w:vAlign w:val="bottom"/>
            <w:hideMark/>
          </w:tcPr>
          <w:p w14:paraId="37C364F4"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p>
        </w:tc>
        <w:tc>
          <w:tcPr>
            <w:tcW w:w="1660" w:type="dxa"/>
            <w:tcBorders>
              <w:top w:val="nil"/>
              <w:left w:val="nil"/>
              <w:bottom w:val="nil"/>
              <w:right w:val="single" w:sz="8" w:space="0" w:color="C7D5E0"/>
            </w:tcBorders>
            <w:shd w:val="clear" w:color="ECF1F5" w:fill="ECF1F5"/>
            <w:vAlign w:val="center"/>
            <w:hideMark/>
          </w:tcPr>
          <w:p w14:paraId="5E04C05A"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Profit Before Tax:</w:t>
            </w:r>
          </w:p>
        </w:tc>
        <w:tc>
          <w:tcPr>
            <w:tcW w:w="1720" w:type="dxa"/>
            <w:tcBorders>
              <w:top w:val="nil"/>
              <w:left w:val="nil"/>
              <w:bottom w:val="nil"/>
              <w:right w:val="single" w:sz="8" w:space="0" w:color="C7D5E0"/>
            </w:tcBorders>
            <w:shd w:val="clear" w:color="ECF1F5" w:fill="ECF1F5"/>
            <w:vAlign w:val="center"/>
            <w:hideMark/>
          </w:tcPr>
          <w:p w14:paraId="7754231F"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2,289.00</w:t>
            </w:r>
          </w:p>
        </w:tc>
        <w:tc>
          <w:tcPr>
            <w:tcW w:w="1640" w:type="dxa"/>
            <w:tcBorders>
              <w:top w:val="nil"/>
              <w:left w:val="nil"/>
              <w:bottom w:val="nil"/>
              <w:right w:val="single" w:sz="8" w:space="0" w:color="C7D5E0"/>
            </w:tcBorders>
            <w:shd w:val="clear" w:color="ECF1F5" w:fill="ECF1F5"/>
            <w:vAlign w:val="center"/>
            <w:hideMark/>
          </w:tcPr>
          <w:p w14:paraId="71D441B6"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882</w:t>
            </w:r>
          </w:p>
        </w:tc>
        <w:tc>
          <w:tcPr>
            <w:tcW w:w="1400" w:type="dxa"/>
            <w:tcBorders>
              <w:top w:val="nil"/>
              <w:left w:val="nil"/>
              <w:bottom w:val="nil"/>
              <w:right w:val="single" w:sz="8" w:space="0" w:color="C7D5E0"/>
            </w:tcBorders>
            <w:shd w:val="clear" w:color="ECF1F5" w:fill="ECF1F5"/>
            <w:vAlign w:val="center"/>
            <w:hideMark/>
          </w:tcPr>
          <w:p w14:paraId="76E9E138"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2,033.00</w:t>
            </w:r>
          </w:p>
        </w:tc>
        <w:tc>
          <w:tcPr>
            <w:tcW w:w="1500" w:type="dxa"/>
            <w:tcBorders>
              <w:top w:val="nil"/>
              <w:left w:val="nil"/>
              <w:bottom w:val="nil"/>
              <w:right w:val="single" w:sz="8" w:space="0" w:color="C7D5E0"/>
            </w:tcBorders>
            <w:shd w:val="clear" w:color="ECF1F5" w:fill="ECF1F5"/>
            <w:vAlign w:val="center"/>
            <w:hideMark/>
          </w:tcPr>
          <w:p w14:paraId="05721629"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636</w:t>
            </w:r>
          </w:p>
        </w:tc>
        <w:tc>
          <w:tcPr>
            <w:tcW w:w="1560" w:type="dxa"/>
            <w:tcBorders>
              <w:top w:val="nil"/>
              <w:left w:val="nil"/>
              <w:bottom w:val="nil"/>
              <w:right w:val="nil"/>
            </w:tcBorders>
            <w:shd w:val="clear" w:color="ECF1F5" w:fill="ECF1F5"/>
            <w:vAlign w:val="center"/>
            <w:hideMark/>
          </w:tcPr>
          <w:p w14:paraId="04C8DD45"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1,028.00</w:t>
            </w:r>
          </w:p>
        </w:tc>
      </w:tr>
      <w:tr w:rsidR="006402A2" w:rsidRPr="006402A2" w14:paraId="4AC9E4CD" w14:textId="77777777" w:rsidTr="006402A2">
        <w:trPr>
          <w:trHeight w:val="840"/>
        </w:trPr>
        <w:tc>
          <w:tcPr>
            <w:tcW w:w="960" w:type="dxa"/>
            <w:tcBorders>
              <w:top w:val="nil"/>
              <w:left w:val="nil"/>
              <w:bottom w:val="nil"/>
              <w:right w:val="nil"/>
            </w:tcBorders>
            <w:shd w:val="clear" w:color="auto" w:fill="auto"/>
            <w:noWrap/>
            <w:vAlign w:val="bottom"/>
            <w:hideMark/>
          </w:tcPr>
          <w:p w14:paraId="4AF80E68"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p>
        </w:tc>
        <w:tc>
          <w:tcPr>
            <w:tcW w:w="1660" w:type="dxa"/>
            <w:tcBorders>
              <w:top w:val="nil"/>
              <w:left w:val="nil"/>
              <w:bottom w:val="nil"/>
              <w:right w:val="single" w:sz="8" w:space="0" w:color="C7D5E0"/>
            </w:tcBorders>
            <w:shd w:val="clear" w:color="auto" w:fill="auto"/>
            <w:vAlign w:val="center"/>
            <w:hideMark/>
          </w:tcPr>
          <w:p w14:paraId="294D761D"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Profit after tax from continuing operations:</w:t>
            </w:r>
          </w:p>
        </w:tc>
        <w:tc>
          <w:tcPr>
            <w:tcW w:w="1720" w:type="dxa"/>
            <w:tcBorders>
              <w:top w:val="nil"/>
              <w:left w:val="nil"/>
              <w:bottom w:val="nil"/>
              <w:right w:val="single" w:sz="8" w:space="0" w:color="C7D5E0"/>
            </w:tcBorders>
            <w:shd w:val="clear" w:color="auto" w:fill="auto"/>
            <w:vAlign w:val="center"/>
            <w:hideMark/>
          </w:tcPr>
          <w:p w14:paraId="1BB8F135"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1,764.00</w:t>
            </w:r>
          </w:p>
        </w:tc>
        <w:tc>
          <w:tcPr>
            <w:tcW w:w="1640" w:type="dxa"/>
            <w:tcBorders>
              <w:top w:val="nil"/>
              <w:left w:val="nil"/>
              <w:bottom w:val="nil"/>
              <w:right w:val="single" w:sz="8" w:space="0" w:color="C7D5E0"/>
            </w:tcBorders>
            <w:shd w:val="clear" w:color="auto" w:fill="auto"/>
            <w:vAlign w:val="center"/>
            <w:hideMark/>
          </w:tcPr>
          <w:p w14:paraId="210A3A59"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658</w:t>
            </w:r>
          </w:p>
        </w:tc>
        <w:tc>
          <w:tcPr>
            <w:tcW w:w="1400" w:type="dxa"/>
            <w:tcBorders>
              <w:top w:val="nil"/>
              <w:left w:val="nil"/>
              <w:bottom w:val="nil"/>
              <w:right w:val="single" w:sz="8" w:space="0" w:color="C7D5E0"/>
            </w:tcBorders>
            <w:shd w:val="clear" w:color="auto" w:fill="auto"/>
            <w:vAlign w:val="center"/>
            <w:hideMark/>
          </w:tcPr>
          <w:p w14:paraId="206D35BC"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1,523.00</w:t>
            </w:r>
          </w:p>
        </w:tc>
        <w:tc>
          <w:tcPr>
            <w:tcW w:w="1500" w:type="dxa"/>
            <w:tcBorders>
              <w:top w:val="nil"/>
              <w:left w:val="nil"/>
              <w:bottom w:val="nil"/>
              <w:right w:val="single" w:sz="8" w:space="0" w:color="C7D5E0"/>
            </w:tcBorders>
            <w:shd w:val="clear" w:color="auto" w:fill="auto"/>
            <w:vAlign w:val="center"/>
            <w:hideMark/>
          </w:tcPr>
          <w:p w14:paraId="18B33921"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532</w:t>
            </w:r>
          </w:p>
        </w:tc>
        <w:tc>
          <w:tcPr>
            <w:tcW w:w="1560" w:type="dxa"/>
            <w:tcBorders>
              <w:top w:val="nil"/>
              <w:left w:val="nil"/>
              <w:bottom w:val="nil"/>
              <w:right w:val="nil"/>
            </w:tcBorders>
            <w:shd w:val="clear" w:color="auto" w:fill="auto"/>
            <w:vAlign w:val="center"/>
            <w:hideMark/>
          </w:tcPr>
          <w:p w14:paraId="2EA35392"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738</w:t>
            </w:r>
          </w:p>
        </w:tc>
      </w:tr>
      <w:tr w:rsidR="006402A2" w:rsidRPr="006402A2" w14:paraId="30280DC8" w14:textId="77777777" w:rsidTr="006402A2">
        <w:trPr>
          <w:trHeight w:val="560"/>
        </w:trPr>
        <w:tc>
          <w:tcPr>
            <w:tcW w:w="960" w:type="dxa"/>
            <w:tcBorders>
              <w:top w:val="nil"/>
              <w:left w:val="nil"/>
              <w:bottom w:val="nil"/>
              <w:right w:val="nil"/>
            </w:tcBorders>
            <w:shd w:val="clear" w:color="auto" w:fill="auto"/>
            <w:noWrap/>
            <w:vAlign w:val="bottom"/>
            <w:hideMark/>
          </w:tcPr>
          <w:p w14:paraId="3E5B615E"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p>
        </w:tc>
        <w:tc>
          <w:tcPr>
            <w:tcW w:w="1660" w:type="dxa"/>
            <w:tcBorders>
              <w:top w:val="nil"/>
              <w:left w:val="nil"/>
              <w:bottom w:val="nil"/>
              <w:right w:val="single" w:sz="8" w:space="0" w:color="C7D5E0"/>
            </w:tcBorders>
            <w:shd w:val="clear" w:color="D1DBE4" w:fill="D1DBE4"/>
            <w:vAlign w:val="center"/>
            <w:hideMark/>
          </w:tcPr>
          <w:p w14:paraId="52B32545" w14:textId="77777777" w:rsidR="006402A2" w:rsidRPr="006402A2" w:rsidRDefault="006402A2" w:rsidP="006402A2">
            <w:pPr>
              <w:spacing w:after="0" w:line="240" w:lineRule="auto"/>
              <w:rPr>
                <w:rFonts w:ascii="Arial" w:eastAsia="Times New Roman" w:hAnsi="Arial" w:cs="Arial"/>
                <w:b/>
                <w:bCs/>
                <w:color w:val="000000"/>
                <w:kern w:val="0"/>
                <w:sz w:val="22"/>
                <w:szCs w:val="22"/>
                <w14:ligatures w14:val="none"/>
              </w:rPr>
            </w:pPr>
            <w:r w:rsidRPr="006402A2">
              <w:rPr>
                <w:rFonts w:ascii="Arial" w:eastAsia="Times New Roman" w:hAnsi="Arial" w:cs="Arial"/>
                <w:b/>
                <w:bCs/>
                <w:color w:val="000000"/>
                <w:kern w:val="0"/>
                <w:sz w:val="22"/>
                <w:szCs w:val="22"/>
                <w14:ligatures w14:val="none"/>
              </w:rPr>
              <w:t>Discontinued Operations: </w:t>
            </w:r>
          </w:p>
        </w:tc>
        <w:tc>
          <w:tcPr>
            <w:tcW w:w="7820" w:type="dxa"/>
            <w:gridSpan w:val="5"/>
            <w:tcBorders>
              <w:top w:val="nil"/>
              <w:left w:val="nil"/>
              <w:bottom w:val="nil"/>
              <w:right w:val="nil"/>
            </w:tcBorders>
            <w:shd w:val="clear" w:color="D1DBE4" w:fill="D1DBE4"/>
            <w:noWrap/>
            <w:vAlign w:val="bottom"/>
            <w:hideMark/>
          </w:tcPr>
          <w:p w14:paraId="3DA9A4E7" w14:textId="77777777" w:rsidR="006402A2" w:rsidRPr="006402A2" w:rsidRDefault="006402A2" w:rsidP="006402A2">
            <w:pPr>
              <w:spacing w:after="0" w:line="240" w:lineRule="auto"/>
              <w:rPr>
                <w:rFonts w:ascii="Aptos Narrow" w:eastAsia="Times New Roman" w:hAnsi="Aptos Narrow" w:cs="Times New Roman"/>
                <w:color w:val="000000"/>
                <w:kern w:val="0"/>
                <w:sz w:val="22"/>
                <w:szCs w:val="22"/>
                <w14:ligatures w14:val="none"/>
              </w:rPr>
            </w:pPr>
            <w:r w:rsidRPr="006402A2">
              <w:rPr>
                <w:rFonts w:ascii="Aptos Narrow" w:eastAsia="Times New Roman" w:hAnsi="Aptos Narrow" w:cs="Times New Roman"/>
                <w:color w:val="000000"/>
                <w:kern w:val="0"/>
                <w:sz w:val="22"/>
                <w:szCs w:val="22"/>
                <w14:ligatures w14:val="none"/>
              </w:rPr>
              <w:t> </w:t>
            </w:r>
          </w:p>
        </w:tc>
      </w:tr>
      <w:tr w:rsidR="006402A2" w:rsidRPr="006402A2" w14:paraId="276415FA" w14:textId="77777777" w:rsidTr="006402A2">
        <w:trPr>
          <w:trHeight w:val="1120"/>
        </w:trPr>
        <w:tc>
          <w:tcPr>
            <w:tcW w:w="960" w:type="dxa"/>
            <w:tcBorders>
              <w:top w:val="nil"/>
              <w:left w:val="nil"/>
              <w:bottom w:val="nil"/>
              <w:right w:val="nil"/>
            </w:tcBorders>
            <w:shd w:val="clear" w:color="auto" w:fill="auto"/>
            <w:noWrap/>
            <w:vAlign w:val="bottom"/>
            <w:hideMark/>
          </w:tcPr>
          <w:p w14:paraId="0BA57FA9" w14:textId="77777777" w:rsidR="006402A2" w:rsidRPr="006402A2" w:rsidRDefault="006402A2" w:rsidP="006402A2">
            <w:pPr>
              <w:spacing w:after="0" w:line="240" w:lineRule="auto"/>
              <w:rPr>
                <w:rFonts w:ascii="Aptos Narrow" w:eastAsia="Times New Roman" w:hAnsi="Aptos Narrow" w:cs="Times New Roman"/>
                <w:color w:val="000000"/>
                <w:kern w:val="0"/>
                <w:sz w:val="22"/>
                <w:szCs w:val="22"/>
                <w14:ligatures w14:val="none"/>
              </w:rPr>
            </w:pPr>
          </w:p>
        </w:tc>
        <w:tc>
          <w:tcPr>
            <w:tcW w:w="1660" w:type="dxa"/>
            <w:tcBorders>
              <w:top w:val="nil"/>
              <w:left w:val="nil"/>
              <w:bottom w:val="nil"/>
              <w:right w:val="single" w:sz="8" w:space="0" w:color="C7D5E0"/>
            </w:tcBorders>
            <w:shd w:val="clear" w:color="auto" w:fill="auto"/>
            <w:vAlign w:val="center"/>
            <w:hideMark/>
          </w:tcPr>
          <w:p w14:paraId="671F2D3D"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Profit after tax from discontinuing operations:</w:t>
            </w:r>
          </w:p>
        </w:tc>
        <w:tc>
          <w:tcPr>
            <w:tcW w:w="1720" w:type="dxa"/>
            <w:tcBorders>
              <w:top w:val="nil"/>
              <w:left w:val="nil"/>
              <w:bottom w:val="nil"/>
              <w:right w:val="single" w:sz="8" w:space="0" w:color="C7D5E0"/>
            </w:tcBorders>
            <w:shd w:val="clear" w:color="auto" w:fill="auto"/>
            <w:vAlign w:val="center"/>
            <w:hideMark/>
          </w:tcPr>
          <w:p w14:paraId="32177BDD"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-572</w:t>
            </w:r>
          </w:p>
        </w:tc>
        <w:tc>
          <w:tcPr>
            <w:tcW w:w="1640" w:type="dxa"/>
            <w:tcBorders>
              <w:top w:val="nil"/>
              <w:left w:val="nil"/>
              <w:bottom w:val="nil"/>
              <w:right w:val="single" w:sz="8" w:space="0" w:color="C7D5E0"/>
            </w:tcBorders>
            <w:shd w:val="clear" w:color="auto" w:fill="auto"/>
            <w:vAlign w:val="center"/>
            <w:hideMark/>
          </w:tcPr>
          <w:p w14:paraId="49F7AD0B"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78</w:t>
            </w:r>
          </w:p>
        </w:tc>
        <w:tc>
          <w:tcPr>
            <w:tcW w:w="1400" w:type="dxa"/>
            <w:tcBorders>
              <w:top w:val="nil"/>
              <w:left w:val="nil"/>
              <w:bottom w:val="nil"/>
              <w:right w:val="single" w:sz="8" w:space="0" w:color="C7D5E0"/>
            </w:tcBorders>
            <w:shd w:val="clear" w:color="auto" w:fill="auto"/>
            <w:vAlign w:val="center"/>
            <w:hideMark/>
          </w:tcPr>
          <w:p w14:paraId="3DB65E15"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-40</w:t>
            </w:r>
          </w:p>
        </w:tc>
        <w:tc>
          <w:tcPr>
            <w:tcW w:w="1500" w:type="dxa"/>
            <w:tcBorders>
              <w:top w:val="nil"/>
              <w:left w:val="nil"/>
              <w:bottom w:val="nil"/>
              <w:right w:val="single" w:sz="8" w:space="0" w:color="C7D5E0"/>
            </w:tcBorders>
            <w:shd w:val="clear" w:color="auto" w:fill="auto"/>
            <w:vAlign w:val="center"/>
            <w:hideMark/>
          </w:tcPr>
          <w:p w14:paraId="1844125D"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5,426.00</w:t>
            </w:r>
          </w:p>
        </w:tc>
        <w:tc>
          <w:tcPr>
            <w:tcW w:w="1560" w:type="dxa"/>
            <w:tcBorders>
              <w:top w:val="nil"/>
              <w:left w:val="nil"/>
              <w:bottom w:val="nil"/>
              <w:right w:val="nil"/>
            </w:tcBorders>
            <w:shd w:val="clear" w:color="auto" w:fill="auto"/>
            <w:vAlign w:val="center"/>
            <w:hideMark/>
          </w:tcPr>
          <w:p w14:paraId="06813F3F"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235</w:t>
            </w:r>
          </w:p>
        </w:tc>
      </w:tr>
      <w:tr w:rsidR="006402A2" w:rsidRPr="006402A2" w14:paraId="01E2BFDD" w14:textId="77777777" w:rsidTr="006402A2">
        <w:trPr>
          <w:trHeight w:val="560"/>
        </w:trPr>
        <w:tc>
          <w:tcPr>
            <w:tcW w:w="960" w:type="dxa"/>
            <w:tcBorders>
              <w:top w:val="nil"/>
              <w:left w:val="nil"/>
              <w:bottom w:val="nil"/>
              <w:right w:val="nil"/>
            </w:tcBorders>
            <w:shd w:val="clear" w:color="auto" w:fill="auto"/>
            <w:noWrap/>
            <w:vAlign w:val="bottom"/>
            <w:hideMark/>
          </w:tcPr>
          <w:p w14:paraId="45ABD33D"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p>
        </w:tc>
        <w:tc>
          <w:tcPr>
            <w:tcW w:w="1660" w:type="dxa"/>
            <w:tcBorders>
              <w:top w:val="nil"/>
              <w:left w:val="nil"/>
              <w:bottom w:val="nil"/>
              <w:right w:val="single" w:sz="8" w:space="0" w:color="C7D5E0"/>
            </w:tcBorders>
            <w:shd w:val="clear" w:color="ECF1F5" w:fill="ECF1F5"/>
            <w:vAlign w:val="center"/>
            <w:hideMark/>
          </w:tcPr>
          <w:p w14:paraId="6BD3A692"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Profit for the period:</w:t>
            </w:r>
          </w:p>
        </w:tc>
        <w:tc>
          <w:tcPr>
            <w:tcW w:w="1720" w:type="dxa"/>
            <w:tcBorders>
              <w:top w:val="nil"/>
              <w:left w:val="nil"/>
              <w:bottom w:val="nil"/>
              <w:right w:val="single" w:sz="8" w:space="0" w:color="C7D5E0"/>
            </w:tcBorders>
            <w:shd w:val="clear" w:color="ECF1F5" w:fill="ECF1F5"/>
            <w:vAlign w:val="center"/>
            <w:hideMark/>
          </w:tcPr>
          <w:p w14:paraId="31AA1FF5"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1,192.00</w:t>
            </w:r>
          </w:p>
        </w:tc>
        <w:tc>
          <w:tcPr>
            <w:tcW w:w="1640" w:type="dxa"/>
            <w:tcBorders>
              <w:top w:val="nil"/>
              <w:left w:val="nil"/>
              <w:bottom w:val="nil"/>
              <w:right w:val="single" w:sz="8" w:space="0" w:color="C7D5E0"/>
            </w:tcBorders>
            <w:shd w:val="clear" w:color="ECF1F5" w:fill="ECF1F5"/>
            <w:vAlign w:val="center"/>
            <w:hideMark/>
          </w:tcPr>
          <w:p w14:paraId="6698C9A7"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736</w:t>
            </w:r>
          </w:p>
        </w:tc>
        <w:tc>
          <w:tcPr>
            <w:tcW w:w="1400" w:type="dxa"/>
            <w:tcBorders>
              <w:top w:val="nil"/>
              <w:left w:val="nil"/>
              <w:bottom w:val="nil"/>
              <w:right w:val="single" w:sz="8" w:space="0" w:color="C7D5E0"/>
            </w:tcBorders>
            <w:shd w:val="clear" w:color="ECF1F5" w:fill="ECF1F5"/>
            <w:vAlign w:val="center"/>
            <w:hideMark/>
          </w:tcPr>
          <w:p w14:paraId="0E7CE8BB"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1,483.00</w:t>
            </w:r>
          </w:p>
        </w:tc>
        <w:tc>
          <w:tcPr>
            <w:tcW w:w="1500" w:type="dxa"/>
            <w:tcBorders>
              <w:top w:val="nil"/>
              <w:left w:val="nil"/>
              <w:bottom w:val="nil"/>
              <w:right w:val="single" w:sz="8" w:space="0" w:color="C7D5E0"/>
            </w:tcBorders>
            <w:shd w:val="clear" w:color="ECF1F5" w:fill="ECF1F5"/>
            <w:vAlign w:val="center"/>
            <w:hideMark/>
          </w:tcPr>
          <w:p w14:paraId="68F91856"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5,958.00</w:t>
            </w:r>
          </w:p>
        </w:tc>
        <w:tc>
          <w:tcPr>
            <w:tcW w:w="1560" w:type="dxa"/>
            <w:tcBorders>
              <w:top w:val="nil"/>
              <w:left w:val="nil"/>
              <w:bottom w:val="nil"/>
              <w:right w:val="nil"/>
            </w:tcBorders>
            <w:shd w:val="clear" w:color="ECF1F5" w:fill="ECF1F5"/>
            <w:vAlign w:val="center"/>
            <w:hideMark/>
          </w:tcPr>
          <w:p w14:paraId="3727833E"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973</w:t>
            </w:r>
          </w:p>
        </w:tc>
      </w:tr>
      <w:tr w:rsidR="006402A2" w:rsidRPr="006402A2" w14:paraId="4716A30F" w14:textId="77777777" w:rsidTr="006402A2">
        <w:trPr>
          <w:trHeight w:val="290"/>
        </w:trPr>
        <w:tc>
          <w:tcPr>
            <w:tcW w:w="960" w:type="dxa"/>
            <w:tcBorders>
              <w:top w:val="nil"/>
              <w:left w:val="nil"/>
              <w:bottom w:val="nil"/>
              <w:right w:val="nil"/>
            </w:tcBorders>
            <w:shd w:val="clear" w:color="auto" w:fill="auto"/>
            <w:noWrap/>
            <w:vAlign w:val="bottom"/>
            <w:hideMark/>
          </w:tcPr>
          <w:p w14:paraId="72E728B2"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p>
        </w:tc>
        <w:tc>
          <w:tcPr>
            <w:tcW w:w="1660" w:type="dxa"/>
            <w:tcBorders>
              <w:top w:val="nil"/>
              <w:left w:val="nil"/>
              <w:bottom w:val="nil"/>
              <w:right w:val="single" w:sz="8" w:space="0" w:color="C7D5E0"/>
            </w:tcBorders>
            <w:shd w:val="clear" w:color="D1DBE4" w:fill="D1DBE4"/>
            <w:vAlign w:val="center"/>
            <w:hideMark/>
          </w:tcPr>
          <w:p w14:paraId="29112356" w14:textId="77777777" w:rsidR="006402A2" w:rsidRPr="006402A2" w:rsidRDefault="006402A2" w:rsidP="006402A2">
            <w:pPr>
              <w:spacing w:after="0" w:line="240" w:lineRule="auto"/>
              <w:rPr>
                <w:rFonts w:ascii="Arial" w:eastAsia="Times New Roman" w:hAnsi="Arial" w:cs="Arial"/>
                <w:b/>
                <w:bCs/>
                <w:color w:val="000000"/>
                <w:kern w:val="0"/>
                <w:sz w:val="22"/>
                <w:szCs w:val="22"/>
                <w14:ligatures w14:val="none"/>
              </w:rPr>
            </w:pPr>
            <w:r w:rsidRPr="006402A2">
              <w:rPr>
                <w:rFonts w:ascii="Arial" w:eastAsia="Times New Roman" w:hAnsi="Arial" w:cs="Arial"/>
                <w:b/>
                <w:bCs/>
                <w:color w:val="000000"/>
                <w:kern w:val="0"/>
                <w:sz w:val="22"/>
                <w:szCs w:val="22"/>
                <w14:ligatures w14:val="none"/>
              </w:rPr>
              <w:t>Attributable to: </w:t>
            </w:r>
          </w:p>
        </w:tc>
        <w:tc>
          <w:tcPr>
            <w:tcW w:w="7820" w:type="dxa"/>
            <w:gridSpan w:val="5"/>
            <w:tcBorders>
              <w:top w:val="nil"/>
              <w:left w:val="nil"/>
              <w:bottom w:val="nil"/>
              <w:right w:val="nil"/>
            </w:tcBorders>
            <w:shd w:val="clear" w:color="D1DBE4" w:fill="D1DBE4"/>
            <w:noWrap/>
            <w:vAlign w:val="bottom"/>
            <w:hideMark/>
          </w:tcPr>
          <w:p w14:paraId="11856F97" w14:textId="77777777" w:rsidR="006402A2" w:rsidRPr="006402A2" w:rsidRDefault="006402A2" w:rsidP="006402A2">
            <w:pPr>
              <w:spacing w:after="0" w:line="240" w:lineRule="auto"/>
              <w:rPr>
                <w:rFonts w:ascii="Aptos Narrow" w:eastAsia="Times New Roman" w:hAnsi="Aptos Narrow" w:cs="Times New Roman"/>
                <w:color w:val="000000"/>
                <w:kern w:val="0"/>
                <w:sz w:val="22"/>
                <w:szCs w:val="22"/>
                <w14:ligatures w14:val="none"/>
              </w:rPr>
            </w:pPr>
            <w:r w:rsidRPr="006402A2">
              <w:rPr>
                <w:rFonts w:ascii="Aptos Narrow" w:eastAsia="Times New Roman" w:hAnsi="Aptos Narrow" w:cs="Times New Roman"/>
                <w:color w:val="000000"/>
                <w:kern w:val="0"/>
                <w:sz w:val="22"/>
                <w:szCs w:val="22"/>
                <w14:ligatures w14:val="none"/>
              </w:rPr>
              <w:t> </w:t>
            </w:r>
          </w:p>
        </w:tc>
      </w:tr>
      <w:tr w:rsidR="006402A2" w:rsidRPr="006402A2" w14:paraId="4B57A568" w14:textId="77777777" w:rsidTr="006402A2">
        <w:trPr>
          <w:trHeight w:val="840"/>
        </w:trPr>
        <w:tc>
          <w:tcPr>
            <w:tcW w:w="960" w:type="dxa"/>
            <w:tcBorders>
              <w:top w:val="nil"/>
              <w:left w:val="nil"/>
              <w:bottom w:val="nil"/>
              <w:right w:val="nil"/>
            </w:tcBorders>
            <w:shd w:val="clear" w:color="auto" w:fill="auto"/>
            <w:noWrap/>
            <w:vAlign w:val="bottom"/>
            <w:hideMark/>
          </w:tcPr>
          <w:p w14:paraId="4A7A60EC" w14:textId="77777777" w:rsidR="006402A2" w:rsidRPr="006402A2" w:rsidRDefault="006402A2" w:rsidP="006402A2">
            <w:pPr>
              <w:spacing w:after="0" w:line="240" w:lineRule="auto"/>
              <w:rPr>
                <w:rFonts w:ascii="Aptos Narrow" w:eastAsia="Times New Roman" w:hAnsi="Aptos Narrow" w:cs="Times New Roman"/>
                <w:color w:val="000000"/>
                <w:kern w:val="0"/>
                <w:sz w:val="22"/>
                <w:szCs w:val="22"/>
                <w14:ligatures w14:val="none"/>
              </w:rPr>
            </w:pPr>
          </w:p>
        </w:tc>
        <w:tc>
          <w:tcPr>
            <w:tcW w:w="1660" w:type="dxa"/>
            <w:tcBorders>
              <w:top w:val="nil"/>
              <w:left w:val="nil"/>
              <w:bottom w:val="nil"/>
              <w:right w:val="single" w:sz="8" w:space="0" w:color="C7D5E0"/>
            </w:tcBorders>
            <w:shd w:val="clear" w:color="auto" w:fill="auto"/>
            <w:vAlign w:val="center"/>
            <w:hideMark/>
          </w:tcPr>
          <w:p w14:paraId="53E51BD8"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Equity holders of parent company:</w:t>
            </w:r>
          </w:p>
        </w:tc>
        <w:tc>
          <w:tcPr>
            <w:tcW w:w="1720" w:type="dxa"/>
            <w:tcBorders>
              <w:top w:val="nil"/>
              <w:left w:val="nil"/>
              <w:bottom w:val="nil"/>
              <w:right w:val="single" w:sz="8" w:space="0" w:color="C7D5E0"/>
            </w:tcBorders>
            <w:shd w:val="clear" w:color="auto" w:fill="auto"/>
            <w:vAlign w:val="center"/>
            <w:hideMark/>
          </w:tcPr>
          <w:p w14:paraId="176A0CB5"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1,188.00</w:t>
            </w:r>
          </w:p>
        </w:tc>
        <w:tc>
          <w:tcPr>
            <w:tcW w:w="1640" w:type="dxa"/>
            <w:tcBorders>
              <w:top w:val="nil"/>
              <w:left w:val="nil"/>
              <w:bottom w:val="nil"/>
              <w:right w:val="single" w:sz="8" w:space="0" w:color="C7D5E0"/>
            </w:tcBorders>
            <w:shd w:val="clear" w:color="auto" w:fill="auto"/>
            <w:vAlign w:val="center"/>
            <w:hideMark/>
          </w:tcPr>
          <w:p w14:paraId="5A762A0F"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737</w:t>
            </w:r>
          </w:p>
        </w:tc>
        <w:tc>
          <w:tcPr>
            <w:tcW w:w="1400" w:type="dxa"/>
            <w:tcBorders>
              <w:top w:val="nil"/>
              <w:left w:val="nil"/>
              <w:bottom w:val="nil"/>
              <w:right w:val="single" w:sz="8" w:space="0" w:color="C7D5E0"/>
            </w:tcBorders>
            <w:shd w:val="clear" w:color="auto" w:fill="auto"/>
            <w:vAlign w:val="center"/>
            <w:hideMark/>
          </w:tcPr>
          <w:p w14:paraId="02386508"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1,481.00</w:t>
            </w:r>
          </w:p>
        </w:tc>
        <w:tc>
          <w:tcPr>
            <w:tcW w:w="1500" w:type="dxa"/>
            <w:tcBorders>
              <w:top w:val="nil"/>
              <w:left w:val="nil"/>
              <w:bottom w:val="nil"/>
              <w:right w:val="single" w:sz="8" w:space="0" w:color="C7D5E0"/>
            </w:tcBorders>
            <w:shd w:val="clear" w:color="auto" w:fill="auto"/>
            <w:vAlign w:val="center"/>
            <w:hideMark/>
          </w:tcPr>
          <w:p w14:paraId="4888A6BE"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5,954.00</w:t>
            </w:r>
          </w:p>
        </w:tc>
        <w:tc>
          <w:tcPr>
            <w:tcW w:w="1560" w:type="dxa"/>
            <w:tcBorders>
              <w:top w:val="nil"/>
              <w:left w:val="nil"/>
              <w:bottom w:val="nil"/>
              <w:right w:val="nil"/>
            </w:tcBorders>
            <w:shd w:val="clear" w:color="auto" w:fill="auto"/>
            <w:vAlign w:val="center"/>
            <w:hideMark/>
          </w:tcPr>
          <w:p w14:paraId="3D71A1C4"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973</w:t>
            </w:r>
          </w:p>
        </w:tc>
      </w:tr>
      <w:tr w:rsidR="006402A2" w:rsidRPr="006402A2" w14:paraId="06BDEF06" w14:textId="77777777" w:rsidTr="006402A2">
        <w:trPr>
          <w:trHeight w:val="840"/>
        </w:trPr>
        <w:tc>
          <w:tcPr>
            <w:tcW w:w="960" w:type="dxa"/>
            <w:tcBorders>
              <w:top w:val="nil"/>
              <w:left w:val="nil"/>
              <w:bottom w:val="nil"/>
              <w:right w:val="nil"/>
            </w:tcBorders>
            <w:shd w:val="clear" w:color="auto" w:fill="auto"/>
            <w:noWrap/>
            <w:vAlign w:val="bottom"/>
            <w:hideMark/>
          </w:tcPr>
          <w:p w14:paraId="7C717260"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p>
        </w:tc>
        <w:tc>
          <w:tcPr>
            <w:tcW w:w="1660" w:type="dxa"/>
            <w:tcBorders>
              <w:top w:val="nil"/>
              <w:left w:val="nil"/>
              <w:bottom w:val="nil"/>
              <w:right w:val="single" w:sz="8" w:space="0" w:color="C7D5E0"/>
            </w:tcBorders>
            <w:shd w:val="clear" w:color="ECF1F5" w:fill="ECF1F5"/>
            <w:vAlign w:val="center"/>
            <w:hideMark/>
          </w:tcPr>
          <w:p w14:paraId="273DC6C9"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Minority Interests / Other Equity:</w:t>
            </w:r>
          </w:p>
        </w:tc>
        <w:tc>
          <w:tcPr>
            <w:tcW w:w="1720" w:type="dxa"/>
            <w:tcBorders>
              <w:top w:val="nil"/>
              <w:left w:val="nil"/>
              <w:bottom w:val="nil"/>
              <w:right w:val="single" w:sz="8" w:space="0" w:color="C7D5E0"/>
            </w:tcBorders>
            <w:shd w:val="clear" w:color="ECF1F5" w:fill="ECF1F5"/>
            <w:vAlign w:val="center"/>
            <w:hideMark/>
          </w:tcPr>
          <w:p w14:paraId="07FFD4E1"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4</w:t>
            </w:r>
          </w:p>
        </w:tc>
        <w:tc>
          <w:tcPr>
            <w:tcW w:w="1640" w:type="dxa"/>
            <w:tcBorders>
              <w:top w:val="nil"/>
              <w:left w:val="nil"/>
              <w:bottom w:val="nil"/>
              <w:right w:val="single" w:sz="8" w:space="0" w:color="C7D5E0"/>
            </w:tcBorders>
            <w:shd w:val="clear" w:color="ECF1F5" w:fill="ECF1F5"/>
            <w:vAlign w:val="center"/>
            <w:hideMark/>
          </w:tcPr>
          <w:p w14:paraId="7C9676A1"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w:t>
            </w:r>
          </w:p>
        </w:tc>
        <w:tc>
          <w:tcPr>
            <w:tcW w:w="1400" w:type="dxa"/>
            <w:tcBorders>
              <w:top w:val="nil"/>
              <w:left w:val="nil"/>
              <w:bottom w:val="nil"/>
              <w:right w:val="single" w:sz="8" w:space="0" w:color="C7D5E0"/>
            </w:tcBorders>
            <w:shd w:val="clear" w:color="ECF1F5" w:fill="ECF1F5"/>
            <w:vAlign w:val="center"/>
            <w:hideMark/>
          </w:tcPr>
          <w:p w14:paraId="3351F5DA"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2</w:t>
            </w:r>
          </w:p>
        </w:tc>
        <w:tc>
          <w:tcPr>
            <w:tcW w:w="1500" w:type="dxa"/>
            <w:tcBorders>
              <w:top w:val="nil"/>
              <w:left w:val="nil"/>
              <w:bottom w:val="nil"/>
              <w:right w:val="single" w:sz="8" w:space="0" w:color="C7D5E0"/>
            </w:tcBorders>
            <w:shd w:val="clear" w:color="ECF1F5" w:fill="ECF1F5"/>
            <w:vAlign w:val="center"/>
            <w:hideMark/>
          </w:tcPr>
          <w:p w14:paraId="6A516D4E"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4</w:t>
            </w:r>
          </w:p>
        </w:tc>
        <w:tc>
          <w:tcPr>
            <w:tcW w:w="1560" w:type="dxa"/>
            <w:tcBorders>
              <w:top w:val="nil"/>
              <w:left w:val="nil"/>
              <w:bottom w:val="nil"/>
              <w:right w:val="nil"/>
            </w:tcBorders>
            <w:shd w:val="clear" w:color="ECF1F5" w:fill="ECF1F5"/>
            <w:vAlign w:val="center"/>
            <w:hideMark/>
          </w:tcPr>
          <w:p w14:paraId="50DB439E"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n/a</w:t>
            </w:r>
          </w:p>
        </w:tc>
      </w:tr>
      <w:tr w:rsidR="006402A2" w:rsidRPr="006402A2" w14:paraId="3304C728" w14:textId="77777777" w:rsidTr="006402A2">
        <w:trPr>
          <w:trHeight w:val="560"/>
        </w:trPr>
        <w:tc>
          <w:tcPr>
            <w:tcW w:w="960" w:type="dxa"/>
            <w:tcBorders>
              <w:top w:val="nil"/>
              <w:left w:val="nil"/>
              <w:bottom w:val="nil"/>
              <w:right w:val="nil"/>
            </w:tcBorders>
            <w:shd w:val="clear" w:color="auto" w:fill="auto"/>
            <w:noWrap/>
            <w:vAlign w:val="bottom"/>
            <w:hideMark/>
          </w:tcPr>
          <w:p w14:paraId="3F877EDD"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p>
        </w:tc>
        <w:tc>
          <w:tcPr>
            <w:tcW w:w="1660" w:type="dxa"/>
            <w:tcBorders>
              <w:top w:val="nil"/>
              <w:left w:val="nil"/>
              <w:bottom w:val="nil"/>
              <w:right w:val="single" w:sz="8" w:space="0" w:color="C7D5E0"/>
            </w:tcBorders>
            <w:shd w:val="clear" w:color="auto" w:fill="auto"/>
            <w:vAlign w:val="center"/>
            <w:hideMark/>
          </w:tcPr>
          <w:p w14:paraId="4C1ABB47"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Total Dividend Paid:</w:t>
            </w:r>
          </w:p>
        </w:tc>
        <w:tc>
          <w:tcPr>
            <w:tcW w:w="1720" w:type="dxa"/>
            <w:tcBorders>
              <w:top w:val="nil"/>
              <w:left w:val="nil"/>
              <w:bottom w:val="nil"/>
              <w:right w:val="single" w:sz="8" w:space="0" w:color="C7D5E0"/>
            </w:tcBorders>
            <w:shd w:val="clear" w:color="auto" w:fill="auto"/>
            <w:vAlign w:val="center"/>
            <w:hideMark/>
          </w:tcPr>
          <w:p w14:paraId="388F6836" w14:textId="77777777" w:rsidR="006402A2" w:rsidRPr="006402A2" w:rsidRDefault="006402A2" w:rsidP="006402A2">
            <w:pPr>
              <w:spacing w:after="0" w:line="240" w:lineRule="auto"/>
              <w:jc w:val="right"/>
              <w:rPr>
                <w:rFonts w:ascii="Arial" w:eastAsia="Times New Roman" w:hAnsi="Arial" w:cs="Arial"/>
                <w:color w:val="FF0000"/>
                <w:kern w:val="0"/>
                <w:sz w:val="16"/>
                <w:szCs w:val="16"/>
                <w14:ligatures w14:val="none"/>
              </w:rPr>
            </w:pPr>
            <w:r w:rsidRPr="006402A2">
              <w:rPr>
                <w:rFonts w:ascii="Arial" w:eastAsia="Times New Roman" w:hAnsi="Arial" w:cs="Arial"/>
                <w:color w:val="FF0000"/>
                <w:kern w:val="0"/>
                <w:sz w:val="16"/>
                <w:szCs w:val="16"/>
                <w14:ligatures w14:val="none"/>
              </w:rPr>
              <w:t>c </w:t>
            </w:r>
            <w:r w:rsidRPr="006402A2">
              <w:rPr>
                <w:rFonts w:ascii="Arial" w:eastAsia="Times New Roman" w:hAnsi="Arial" w:cs="Arial"/>
                <w:color w:val="000000"/>
                <w:kern w:val="0"/>
                <w:sz w:val="22"/>
                <w:szCs w:val="22"/>
                <w14:ligatures w14:val="none"/>
              </w:rPr>
              <w:t>n/a</w:t>
            </w:r>
          </w:p>
        </w:tc>
        <w:tc>
          <w:tcPr>
            <w:tcW w:w="1640" w:type="dxa"/>
            <w:tcBorders>
              <w:top w:val="nil"/>
              <w:left w:val="nil"/>
              <w:bottom w:val="nil"/>
              <w:right w:val="single" w:sz="8" w:space="0" w:color="C7D5E0"/>
            </w:tcBorders>
            <w:shd w:val="clear" w:color="auto" w:fill="auto"/>
            <w:vAlign w:val="center"/>
            <w:hideMark/>
          </w:tcPr>
          <w:p w14:paraId="709DBC27" w14:textId="77777777" w:rsidR="006402A2" w:rsidRPr="006402A2" w:rsidRDefault="006402A2" w:rsidP="006402A2">
            <w:pPr>
              <w:spacing w:after="0" w:line="240" w:lineRule="auto"/>
              <w:jc w:val="right"/>
              <w:rPr>
                <w:rFonts w:ascii="Arial" w:eastAsia="Times New Roman" w:hAnsi="Arial" w:cs="Arial"/>
                <w:color w:val="FF0000"/>
                <w:kern w:val="0"/>
                <w:sz w:val="16"/>
                <w:szCs w:val="16"/>
                <w14:ligatures w14:val="none"/>
              </w:rPr>
            </w:pPr>
            <w:r w:rsidRPr="006402A2">
              <w:rPr>
                <w:rFonts w:ascii="Arial" w:eastAsia="Times New Roman" w:hAnsi="Arial" w:cs="Arial"/>
                <w:color w:val="FF0000"/>
                <w:kern w:val="0"/>
                <w:sz w:val="16"/>
                <w:szCs w:val="16"/>
                <w14:ligatures w14:val="none"/>
              </w:rPr>
              <w:t>c </w:t>
            </w:r>
            <w:r w:rsidRPr="006402A2">
              <w:rPr>
                <w:rFonts w:ascii="Arial" w:eastAsia="Times New Roman" w:hAnsi="Arial" w:cs="Arial"/>
                <w:color w:val="000000"/>
                <w:kern w:val="0"/>
                <w:sz w:val="22"/>
                <w:szCs w:val="22"/>
                <w14:ligatures w14:val="none"/>
              </w:rPr>
              <w:t>n/a</w:t>
            </w:r>
          </w:p>
        </w:tc>
        <w:tc>
          <w:tcPr>
            <w:tcW w:w="1400" w:type="dxa"/>
            <w:tcBorders>
              <w:top w:val="nil"/>
              <w:left w:val="nil"/>
              <w:bottom w:val="nil"/>
              <w:right w:val="single" w:sz="8" w:space="0" w:color="C7D5E0"/>
            </w:tcBorders>
            <w:shd w:val="clear" w:color="auto" w:fill="auto"/>
            <w:vAlign w:val="center"/>
            <w:hideMark/>
          </w:tcPr>
          <w:p w14:paraId="6E480A84" w14:textId="77777777" w:rsidR="006402A2" w:rsidRPr="006402A2" w:rsidRDefault="006402A2" w:rsidP="006402A2">
            <w:pPr>
              <w:spacing w:after="0" w:line="240" w:lineRule="auto"/>
              <w:jc w:val="right"/>
              <w:rPr>
                <w:rFonts w:ascii="Arial" w:eastAsia="Times New Roman" w:hAnsi="Arial" w:cs="Arial"/>
                <w:color w:val="FF0000"/>
                <w:kern w:val="0"/>
                <w:sz w:val="16"/>
                <w:szCs w:val="16"/>
                <w14:ligatures w14:val="none"/>
              </w:rPr>
            </w:pPr>
            <w:r w:rsidRPr="006402A2">
              <w:rPr>
                <w:rFonts w:ascii="Arial" w:eastAsia="Times New Roman" w:hAnsi="Arial" w:cs="Arial"/>
                <w:color w:val="FF0000"/>
                <w:kern w:val="0"/>
                <w:sz w:val="16"/>
                <w:szCs w:val="16"/>
                <w14:ligatures w14:val="none"/>
              </w:rPr>
              <w:t>c </w:t>
            </w:r>
            <w:r w:rsidRPr="006402A2">
              <w:rPr>
                <w:rFonts w:ascii="Arial" w:eastAsia="Times New Roman" w:hAnsi="Arial" w:cs="Arial"/>
                <w:color w:val="000000"/>
                <w:kern w:val="0"/>
                <w:sz w:val="22"/>
                <w:szCs w:val="22"/>
                <w14:ligatures w14:val="none"/>
              </w:rPr>
              <w:t>n/a</w:t>
            </w:r>
          </w:p>
        </w:tc>
        <w:tc>
          <w:tcPr>
            <w:tcW w:w="1500" w:type="dxa"/>
            <w:tcBorders>
              <w:top w:val="nil"/>
              <w:left w:val="nil"/>
              <w:bottom w:val="nil"/>
              <w:right w:val="single" w:sz="8" w:space="0" w:color="C7D5E0"/>
            </w:tcBorders>
            <w:shd w:val="clear" w:color="auto" w:fill="auto"/>
            <w:vAlign w:val="center"/>
            <w:hideMark/>
          </w:tcPr>
          <w:p w14:paraId="5CC86EF3" w14:textId="77777777" w:rsidR="006402A2" w:rsidRPr="006402A2" w:rsidRDefault="006402A2" w:rsidP="006402A2">
            <w:pPr>
              <w:spacing w:after="0" w:line="240" w:lineRule="auto"/>
              <w:jc w:val="right"/>
              <w:rPr>
                <w:rFonts w:ascii="Arial" w:eastAsia="Times New Roman" w:hAnsi="Arial" w:cs="Arial"/>
                <w:color w:val="FF0000"/>
                <w:kern w:val="0"/>
                <w:sz w:val="16"/>
                <w:szCs w:val="16"/>
                <w14:ligatures w14:val="none"/>
              </w:rPr>
            </w:pPr>
            <w:r w:rsidRPr="006402A2">
              <w:rPr>
                <w:rFonts w:ascii="Arial" w:eastAsia="Times New Roman" w:hAnsi="Arial" w:cs="Arial"/>
                <w:color w:val="FF0000"/>
                <w:kern w:val="0"/>
                <w:sz w:val="16"/>
                <w:szCs w:val="16"/>
                <w14:ligatures w14:val="none"/>
              </w:rPr>
              <w:t>c </w:t>
            </w:r>
            <w:r w:rsidRPr="006402A2">
              <w:rPr>
                <w:rFonts w:ascii="Arial" w:eastAsia="Times New Roman" w:hAnsi="Arial" w:cs="Arial"/>
                <w:color w:val="000000"/>
                <w:kern w:val="0"/>
                <w:sz w:val="22"/>
                <w:szCs w:val="22"/>
                <w14:ligatures w14:val="none"/>
              </w:rPr>
              <w:t>n/a</w:t>
            </w:r>
          </w:p>
        </w:tc>
        <w:tc>
          <w:tcPr>
            <w:tcW w:w="1560" w:type="dxa"/>
            <w:tcBorders>
              <w:top w:val="nil"/>
              <w:left w:val="nil"/>
              <w:bottom w:val="nil"/>
              <w:right w:val="nil"/>
            </w:tcBorders>
            <w:shd w:val="clear" w:color="auto" w:fill="auto"/>
            <w:vAlign w:val="center"/>
            <w:hideMark/>
          </w:tcPr>
          <w:p w14:paraId="10554A01" w14:textId="77777777" w:rsidR="006402A2" w:rsidRPr="006402A2" w:rsidRDefault="006402A2" w:rsidP="006402A2">
            <w:pPr>
              <w:spacing w:after="0" w:line="240" w:lineRule="auto"/>
              <w:jc w:val="right"/>
              <w:rPr>
                <w:rFonts w:ascii="Arial" w:eastAsia="Times New Roman" w:hAnsi="Arial" w:cs="Arial"/>
                <w:color w:val="FF0000"/>
                <w:kern w:val="0"/>
                <w:sz w:val="16"/>
                <w:szCs w:val="16"/>
                <w14:ligatures w14:val="none"/>
              </w:rPr>
            </w:pPr>
            <w:r w:rsidRPr="006402A2">
              <w:rPr>
                <w:rFonts w:ascii="Arial" w:eastAsia="Times New Roman" w:hAnsi="Arial" w:cs="Arial"/>
                <w:color w:val="FF0000"/>
                <w:kern w:val="0"/>
                <w:sz w:val="16"/>
                <w:szCs w:val="16"/>
                <w14:ligatures w14:val="none"/>
              </w:rPr>
              <w:t>c </w:t>
            </w:r>
            <w:r w:rsidRPr="006402A2">
              <w:rPr>
                <w:rFonts w:ascii="Arial" w:eastAsia="Times New Roman" w:hAnsi="Arial" w:cs="Arial"/>
                <w:color w:val="000000"/>
                <w:kern w:val="0"/>
                <w:sz w:val="22"/>
                <w:szCs w:val="22"/>
                <w14:ligatures w14:val="none"/>
              </w:rPr>
              <w:t>n/a</w:t>
            </w:r>
          </w:p>
        </w:tc>
      </w:tr>
      <w:tr w:rsidR="006402A2" w:rsidRPr="006402A2" w14:paraId="380CDA1D" w14:textId="77777777" w:rsidTr="006402A2">
        <w:trPr>
          <w:trHeight w:val="840"/>
        </w:trPr>
        <w:tc>
          <w:tcPr>
            <w:tcW w:w="960" w:type="dxa"/>
            <w:tcBorders>
              <w:top w:val="nil"/>
              <w:left w:val="nil"/>
              <w:bottom w:val="nil"/>
              <w:right w:val="nil"/>
            </w:tcBorders>
            <w:shd w:val="clear" w:color="auto" w:fill="auto"/>
            <w:noWrap/>
            <w:vAlign w:val="bottom"/>
            <w:hideMark/>
          </w:tcPr>
          <w:p w14:paraId="5959053F" w14:textId="77777777" w:rsidR="006402A2" w:rsidRPr="006402A2" w:rsidRDefault="006402A2" w:rsidP="006402A2">
            <w:pPr>
              <w:spacing w:after="0" w:line="240" w:lineRule="auto"/>
              <w:jc w:val="right"/>
              <w:rPr>
                <w:rFonts w:ascii="Arial" w:eastAsia="Times New Roman" w:hAnsi="Arial" w:cs="Arial"/>
                <w:color w:val="FF0000"/>
                <w:kern w:val="0"/>
                <w:sz w:val="16"/>
                <w:szCs w:val="16"/>
                <w14:ligatures w14:val="none"/>
              </w:rPr>
            </w:pPr>
          </w:p>
        </w:tc>
        <w:tc>
          <w:tcPr>
            <w:tcW w:w="1660" w:type="dxa"/>
            <w:tcBorders>
              <w:top w:val="nil"/>
              <w:left w:val="nil"/>
              <w:bottom w:val="nil"/>
              <w:right w:val="single" w:sz="8" w:space="0" w:color="C7D5E0"/>
            </w:tcBorders>
            <w:shd w:val="clear" w:color="ECF1F5" w:fill="ECF1F5"/>
            <w:vAlign w:val="center"/>
            <w:hideMark/>
          </w:tcPr>
          <w:p w14:paraId="472B392C"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Retained Profit / (Loss) for the Financial Year:</w:t>
            </w:r>
          </w:p>
        </w:tc>
        <w:tc>
          <w:tcPr>
            <w:tcW w:w="1720" w:type="dxa"/>
            <w:tcBorders>
              <w:top w:val="nil"/>
              <w:left w:val="nil"/>
              <w:bottom w:val="nil"/>
              <w:right w:val="single" w:sz="8" w:space="0" w:color="C7D5E0"/>
            </w:tcBorders>
            <w:shd w:val="clear" w:color="ECF1F5" w:fill="ECF1F5"/>
            <w:vAlign w:val="center"/>
            <w:hideMark/>
          </w:tcPr>
          <w:p w14:paraId="603D2D6A" w14:textId="77777777" w:rsidR="006402A2" w:rsidRPr="006402A2" w:rsidRDefault="006402A2" w:rsidP="006402A2">
            <w:pPr>
              <w:spacing w:after="0" w:line="240" w:lineRule="auto"/>
              <w:jc w:val="right"/>
              <w:rPr>
                <w:rFonts w:ascii="Arial" w:eastAsia="Times New Roman" w:hAnsi="Arial" w:cs="Arial"/>
                <w:color w:val="FF0000"/>
                <w:kern w:val="0"/>
                <w:sz w:val="16"/>
                <w:szCs w:val="16"/>
                <w14:ligatures w14:val="none"/>
              </w:rPr>
            </w:pPr>
            <w:r w:rsidRPr="006402A2">
              <w:rPr>
                <w:rFonts w:ascii="Arial" w:eastAsia="Times New Roman" w:hAnsi="Arial" w:cs="Arial"/>
                <w:color w:val="FF0000"/>
                <w:kern w:val="0"/>
                <w:sz w:val="16"/>
                <w:szCs w:val="16"/>
                <w14:ligatures w14:val="none"/>
              </w:rPr>
              <w:t>c </w:t>
            </w:r>
            <w:r w:rsidRPr="006402A2">
              <w:rPr>
                <w:rFonts w:ascii="Arial" w:eastAsia="Times New Roman" w:hAnsi="Arial" w:cs="Arial"/>
                <w:color w:val="000000"/>
                <w:kern w:val="0"/>
                <w:sz w:val="22"/>
                <w:szCs w:val="22"/>
                <w14:ligatures w14:val="none"/>
              </w:rPr>
              <w:t>n/a</w:t>
            </w:r>
          </w:p>
        </w:tc>
        <w:tc>
          <w:tcPr>
            <w:tcW w:w="1640" w:type="dxa"/>
            <w:tcBorders>
              <w:top w:val="nil"/>
              <w:left w:val="nil"/>
              <w:bottom w:val="nil"/>
              <w:right w:val="single" w:sz="8" w:space="0" w:color="C7D5E0"/>
            </w:tcBorders>
            <w:shd w:val="clear" w:color="ECF1F5" w:fill="ECF1F5"/>
            <w:vAlign w:val="center"/>
            <w:hideMark/>
          </w:tcPr>
          <w:p w14:paraId="260432F2" w14:textId="77777777" w:rsidR="006402A2" w:rsidRPr="006402A2" w:rsidRDefault="006402A2" w:rsidP="006402A2">
            <w:pPr>
              <w:spacing w:after="0" w:line="240" w:lineRule="auto"/>
              <w:jc w:val="right"/>
              <w:rPr>
                <w:rFonts w:ascii="Arial" w:eastAsia="Times New Roman" w:hAnsi="Arial" w:cs="Arial"/>
                <w:color w:val="FF0000"/>
                <w:kern w:val="0"/>
                <w:sz w:val="16"/>
                <w:szCs w:val="16"/>
                <w14:ligatures w14:val="none"/>
              </w:rPr>
            </w:pPr>
            <w:r w:rsidRPr="006402A2">
              <w:rPr>
                <w:rFonts w:ascii="Arial" w:eastAsia="Times New Roman" w:hAnsi="Arial" w:cs="Arial"/>
                <w:color w:val="FF0000"/>
                <w:kern w:val="0"/>
                <w:sz w:val="16"/>
                <w:szCs w:val="16"/>
                <w14:ligatures w14:val="none"/>
              </w:rPr>
              <w:t>c </w:t>
            </w:r>
            <w:r w:rsidRPr="006402A2">
              <w:rPr>
                <w:rFonts w:ascii="Arial" w:eastAsia="Times New Roman" w:hAnsi="Arial" w:cs="Arial"/>
                <w:color w:val="000000"/>
                <w:kern w:val="0"/>
                <w:sz w:val="22"/>
                <w:szCs w:val="22"/>
                <w14:ligatures w14:val="none"/>
              </w:rPr>
              <w:t>n/a</w:t>
            </w:r>
          </w:p>
        </w:tc>
        <w:tc>
          <w:tcPr>
            <w:tcW w:w="1400" w:type="dxa"/>
            <w:tcBorders>
              <w:top w:val="nil"/>
              <w:left w:val="nil"/>
              <w:bottom w:val="nil"/>
              <w:right w:val="single" w:sz="8" w:space="0" w:color="C7D5E0"/>
            </w:tcBorders>
            <w:shd w:val="clear" w:color="ECF1F5" w:fill="ECF1F5"/>
            <w:vAlign w:val="center"/>
            <w:hideMark/>
          </w:tcPr>
          <w:p w14:paraId="0A2335EC" w14:textId="77777777" w:rsidR="006402A2" w:rsidRPr="006402A2" w:rsidRDefault="006402A2" w:rsidP="006402A2">
            <w:pPr>
              <w:spacing w:after="0" w:line="240" w:lineRule="auto"/>
              <w:jc w:val="right"/>
              <w:rPr>
                <w:rFonts w:ascii="Arial" w:eastAsia="Times New Roman" w:hAnsi="Arial" w:cs="Arial"/>
                <w:color w:val="FF0000"/>
                <w:kern w:val="0"/>
                <w:sz w:val="16"/>
                <w:szCs w:val="16"/>
                <w14:ligatures w14:val="none"/>
              </w:rPr>
            </w:pPr>
            <w:r w:rsidRPr="006402A2">
              <w:rPr>
                <w:rFonts w:ascii="Arial" w:eastAsia="Times New Roman" w:hAnsi="Arial" w:cs="Arial"/>
                <w:color w:val="FF0000"/>
                <w:kern w:val="0"/>
                <w:sz w:val="16"/>
                <w:szCs w:val="16"/>
                <w14:ligatures w14:val="none"/>
              </w:rPr>
              <w:t>c </w:t>
            </w:r>
            <w:r w:rsidRPr="006402A2">
              <w:rPr>
                <w:rFonts w:ascii="Arial" w:eastAsia="Times New Roman" w:hAnsi="Arial" w:cs="Arial"/>
                <w:color w:val="000000"/>
                <w:kern w:val="0"/>
                <w:sz w:val="22"/>
                <w:szCs w:val="22"/>
                <w14:ligatures w14:val="none"/>
              </w:rPr>
              <w:t>n/a</w:t>
            </w:r>
          </w:p>
        </w:tc>
        <w:tc>
          <w:tcPr>
            <w:tcW w:w="1500" w:type="dxa"/>
            <w:tcBorders>
              <w:top w:val="nil"/>
              <w:left w:val="nil"/>
              <w:bottom w:val="nil"/>
              <w:right w:val="single" w:sz="8" w:space="0" w:color="C7D5E0"/>
            </w:tcBorders>
            <w:shd w:val="clear" w:color="ECF1F5" w:fill="ECF1F5"/>
            <w:vAlign w:val="center"/>
            <w:hideMark/>
          </w:tcPr>
          <w:p w14:paraId="03D86792" w14:textId="77777777" w:rsidR="006402A2" w:rsidRPr="006402A2" w:rsidRDefault="006402A2" w:rsidP="006402A2">
            <w:pPr>
              <w:spacing w:after="0" w:line="240" w:lineRule="auto"/>
              <w:jc w:val="right"/>
              <w:rPr>
                <w:rFonts w:ascii="Arial" w:eastAsia="Times New Roman" w:hAnsi="Arial" w:cs="Arial"/>
                <w:color w:val="FF0000"/>
                <w:kern w:val="0"/>
                <w:sz w:val="16"/>
                <w:szCs w:val="16"/>
                <w14:ligatures w14:val="none"/>
              </w:rPr>
            </w:pPr>
            <w:r w:rsidRPr="006402A2">
              <w:rPr>
                <w:rFonts w:ascii="Arial" w:eastAsia="Times New Roman" w:hAnsi="Arial" w:cs="Arial"/>
                <w:color w:val="FF0000"/>
                <w:kern w:val="0"/>
                <w:sz w:val="16"/>
                <w:szCs w:val="16"/>
                <w14:ligatures w14:val="none"/>
              </w:rPr>
              <w:t>c </w:t>
            </w:r>
            <w:r w:rsidRPr="006402A2">
              <w:rPr>
                <w:rFonts w:ascii="Arial" w:eastAsia="Times New Roman" w:hAnsi="Arial" w:cs="Arial"/>
                <w:color w:val="000000"/>
                <w:kern w:val="0"/>
                <w:sz w:val="22"/>
                <w:szCs w:val="22"/>
                <w14:ligatures w14:val="none"/>
              </w:rPr>
              <w:t>n/a</w:t>
            </w:r>
          </w:p>
        </w:tc>
        <w:tc>
          <w:tcPr>
            <w:tcW w:w="1560" w:type="dxa"/>
            <w:tcBorders>
              <w:top w:val="nil"/>
              <w:left w:val="nil"/>
              <w:bottom w:val="nil"/>
              <w:right w:val="nil"/>
            </w:tcBorders>
            <w:shd w:val="clear" w:color="ECF1F5" w:fill="ECF1F5"/>
            <w:vAlign w:val="center"/>
            <w:hideMark/>
          </w:tcPr>
          <w:p w14:paraId="2009EE6F" w14:textId="77777777" w:rsidR="006402A2" w:rsidRPr="006402A2" w:rsidRDefault="006402A2" w:rsidP="006402A2">
            <w:pPr>
              <w:spacing w:after="0" w:line="240" w:lineRule="auto"/>
              <w:jc w:val="right"/>
              <w:rPr>
                <w:rFonts w:ascii="Arial" w:eastAsia="Times New Roman" w:hAnsi="Arial" w:cs="Arial"/>
                <w:color w:val="FF0000"/>
                <w:kern w:val="0"/>
                <w:sz w:val="16"/>
                <w:szCs w:val="16"/>
                <w14:ligatures w14:val="none"/>
              </w:rPr>
            </w:pPr>
            <w:r w:rsidRPr="006402A2">
              <w:rPr>
                <w:rFonts w:ascii="Arial" w:eastAsia="Times New Roman" w:hAnsi="Arial" w:cs="Arial"/>
                <w:color w:val="FF0000"/>
                <w:kern w:val="0"/>
                <w:sz w:val="16"/>
                <w:szCs w:val="16"/>
                <w14:ligatures w14:val="none"/>
              </w:rPr>
              <w:t>c </w:t>
            </w:r>
            <w:r w:rsidRPr="006402A2">
              <w:rPr>
                <w:rFonts w:ascii="Arial" w:eastAsia="Times New Roman" w:hAnsi="Arial" w:cs="Arial"/>
                <w:color w:val="000000"/>
                <w:kern w:val="0"/>
                <w:sz w:val="22"/>
                <w:szCs w:val="22"/>
                <w14:ligatures w14:val="none"/>
              </w:rPr>
              <w:t>n/a</w:t>
            </w:r>
          </w:p>
        </w:tc>
      </w:tr>
      <w:tr w:rsidR="006402A2" w:rsidRPr="006402A2" w14:paraId="12E6DB8B" w14:textId="77777777" w:rsidTr="006402A2">
        <w:trPr>
          <w:trHeight w:val="560"/>
        </w:trPr>
        <w:tc>
          <w:tcPr>
            <w:tcW w:w="960" w:type="dxa"/>
            <w:tcBorders>
              <w:top w:val="nil"/>
              <w:left w:val="nil"/>
              <w:bottom w:val="nil"/>
              <w:right w:val="nil"/>
            </w:tcBorders>
            <w:shd w:val="clear" w:color="auto" w:fill="auto"/>
            <w:noWrap/>
            <w:vAlign w:val="bottom"/>
            <w:hideMark/>
          </w:tcPr>
          <w:p w14:paraId="60185071" w14:textId="77777777" w:rsidR="006402A2" w:rsidRPr="006402A2" w:rsidRDefault="006402A2" w:rsidP="006402A2">
            <w:pPr>
              <w:spacing w:after="0" w:line="240" w:lineRule="auto"/>
              <w:jc w:val="right"/>
              <w:rPr>
                <w:rFonts w:ascii="Arial" w:eastAsia="Times New Roman" w:hAnsi="Arial" w:cs="Arial"/>
                <w:color w:val="FF0000"/>
                <w:kern w:val="0"/>
                <w:sz w:val="16"/>
                <w:szCs w:val="16"/>
                <w14:ligatures w14:val="none"/>
              </w:rPr>
            </w:pPr>
          </w:p>
        </w:tc>
        <w:tc>
          <w:tcPr>
            <w:tcW w:w="1660" w:type="dxa"/>
            <w:tcBorders>
              <w:top w:val="nil"/>
              <w:left w:val="nil"/>
              <w:bottom w:val="nil"/>
              <w:right w:val="single" w:sz="8" w:space="0" w:color="C7D5E0"/>
            </w:tcBorders>
            <w:shd w:val="clear" w:color="D1DBE4" w:fill="D1DBE4"/>
            <w:vAlign w:val="center"/>
            <w:hideMark/>
          </w:tcPr>
          <w:p w14:paraId="1FD2EAF3" w14:textId="77777777" w:rsidR="006402A2" w:rsidRPr="006402A2" w:rsidRDefault="006402A2" w:rsidP="006402A2">
            <w:pPr>
              <w:spacing w:after="0" w:line="240" w:lineRule="auto"/>
              <w:rPr>
                <w:rFonts w:ascii="Arial" w:eastAsia="Times New Roman" w:hAnsi="Arial" w:cs="Arial"/>
                <w:b/>
                <w:bCs/>
                <w:color w:val="000000"/>
                <w:kern w:val="0"/>
                <w:sz w:val="22"/>
                <w:szCs w:val="22"/>
                <w14:ligatures w14:val="none"/>
              </w:rPr>
            </w:pPr>
            <w:r w:rsidRPr="006402A2">
              <w:rPr>
                <w:rFonts w:ascii="Arial" w:eastAsia="Times New Roman" w:hAnsi="Arial" w:cs="Arial"/>
                <w:b/>
                <w:bCs/>
                <w:color w:val="000000"/>
                <w:kern w:val="0"/>
                <w:sz w:val="22"/>
                <w:szCs w:val="22"/>
                <w14:ligatures w14:val="none"/>
              </w:rPr>
              <w:t>Earnings per Share: </w:t>
            </w:r>
          </w:p>
        </w:tc>
        <w:tc>
          <w:tcPr>
            <w:tcW w:w="7820" w:type="dxa"/>
            <w:gridSpan w:val="5"/>
            <w:tcBorders>
              <w:top w:val="nil"/>
              <w:left w:val="nil"/>
              <w:bottom w:val="nil"/>
              <w:right w:val="nil"/>
            </w:tcBorders>
            <w:shd w:val="clear" w:color="D1DBE4" w:fill="D1DBE4"/>
            <w:noWrap/>
            <w:vAlign w:val="bottom"/>
            <w:hideMark/>
          </w:tcPr>
          <w:p w14:paraId="798C3554" w14:textId="77777777" w:rsidR="006402A2" w:rsidRPr="006402A2" w:rsidRDefault="006402A2" w:rsidP="006402A2">
            <w:pPr>
              <w:spacing w:after="0" w:line="240" w:lineRule="auto"/>
              <w:rPr>
                <w:rFonts w:ascii="Aptos Narrow" w:eastAsia="Times New Roman" w:hAnsi="Aptos Narrow" w:cs="Times New Roman"/>
                <w:color w:val="000000"/>
                <w:kern w:val="0"/>
                <w:sz w:val="22"/>
                <w:szCs w:val="22"/>
                <w14:ligatures w14:val="none"/>
              </w:rPr>
            </w:pPr>
            <w:r w:rsidRPr="006402A2">
              <w:rPr>
                <w:rFonts w:ascii="Aptos Narrow" w:eastAsia="Times New Roman" w:hAnsi="Aptos Narrow" w:cs="Times New Roman"/>
                <w:color w:val="000000"/>
                <w:kern w:val="0"/>
                <w:sz w:val="22"/>
                <w:szCs w:val="22"/>
                <w14:ligatures w14:val="none"/>
              </w:rPr>
              <w:t> </w:t>
            </w:r>
          </w:p>
        </w:tc>
      </w:tr>
      <w:tr w:rsidR="006402A2" w:rsidRPr="006402A2" w14:paraId="4ED4D0AE" w14:textId="77777777" w:rsidTr="006402A2">
        <w:trPr>
          <w:trHeight w:val="290"/>
        </w:trPr>
        <w:tc>
          <w:tcPr>
            <w:tcW w:w="960" w:type="dxa"/>
            <w:tcBorders>
              <w:top w:val="nil"/>
              <w:left w:val="nil"/>
              <w:bottom w:val="nil"/>
              <w:right w:val="nil"/>
            </w:tcBorders>
            <w:shd w:val="clear" w:color="auto" w:fill="auto"/>
            <w:noWrap/>
            <w:vAlign w:val="bottom"/>
            <w:hideMark/>
          </w:tcPr>
          <w:p w14:paraId="3D811912" w14:textId="77777777" w:rsidR="006402A2" w:rsidRPr="006402A2" w:rsidRDefault="006402A2" w:rsidP="006402A2">
            <w:pPr>
              <w:spacing w:after="0" w:line="240" w:lineRule="auto"/>
              <w:rPr>
                <w:rFonts w:ascii="Aptos Narrow" w:eastAsia="Times New Roman" w:hAnsi="Aptos Narrow" w:cs="Times New Roman"/>
                <w:color w:val="000000"/>
                <w:kern w:val="0"/>
                <w:sz w:val="22"/>
                <w:szCs w:val="22"/>
                <w14:ligatures w14:val="none"/>
              </w:rPr>
            </w:pPr>
          </w:p>
        </w:tc>
        <w:tc>
          <w:tcPr>
            <w:tcW w:w="1660" w:type="dxa"/>
            <w:tcBorders>
              <w:top w:val="nil"/>
              <w:left w:val="nil"/>
              <w:bottom w:val="nil"/>
              <w:right w:val="single" w:sz="8" w:space="0" w:color="C7D5E0"/>
            </w:tcBorders>
            <w:shd w:val="clear" w:color="auto" w:fill="auto"/>
            <w:vAlign w:val="center"/>
            <w:hideMark/>
          </w:tcPr>
          <w:p w14:paraId="1CAB9C83"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Basic:</w:t>
            </w:r>
          </w:p>
        </w:tc>
        <w:tc>
          <w:tcPr>
            <w:tcW w:w="1720" w:type="dxa"/>
            <w:tcBorders>
              <w:top w:val="nil"/>
              <w:left w:val="nil"/>
              <w:bottom w:val="nil"/>
              <w:right w:val="single" w:sz="8" w:space="0" w:color="C7D5E0"/>
            </w:tcBorders>
            <w:shd w:val="clear" w:color="auto" w:fill="auto"/>
            <w:vAlign w:val="center"/>
            <w:hideMark/>
          </w:tcPr>
          <w:p w14:paraId="7EA00050"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24.80p</w:t>
            </w:r>
          </w:p>
        </w:tc>
        <w:tc>
          <w:tcPr>
            <w:tcW w:w="1640" w:type="dxa"/>
            <w:tcBorders>
              <w:top w:val="nil"/>
              <w:left w:val="nil"/>
              <w:bottom w:val="nil"/>
              <w:right w:val="single" w:sz="8" w:space="0" w:color="C7D5E0"/>
            </w:tcBorders>
            <w:shd w:val="clear" w:color="auto" w:fill="auto"/>
            <w:vAlign w:val="center"/>
            <w:hideMark/>
          </w:tcPr>
          <w:p w14:paraId="5B38FC24"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8.89p</w:t>
            </w:r>
          </w:p>
        </w:tc>
        <w:tc>
          <w:tcPr>
            <w:tcW w:w="1400" w:type="dxa"/>
            <w:tcBorders>
              <w:top w:val="nil"/>
              <w:left w:val="nil"/>
              <w:bottom w:val="nil"/>
              <w:right w:val="single" w:sz="8" w:space="0" w:color="C7D5E0"/>
            </w:tcBorders>
            <w:shd w:val="clear" w:color="auto" w:fill="auto"/>
            <w:vAlign w:val="center"/>
            <w:hideMark/>
          </w:tcPr>
          <w:p w14:paraId="342DCD51"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19.86p</w:t>
            </w:r>
          </w:p>
        </w:tc>
        <w:tc>
          <w:tcPr>
            <w:tcW w:w="1500" w:type="dxa"/>
            <w:tcBorders>
              <w:top w:val="nil"/>
              <w:left w:val="nil"/>
              <w:bottom w:val="nil"/>
              <w:right w:val="single" w:sz="8" w:space="0" w:color="C7D5E0"/>
            </w:tcBorders>
            <w:shd w:val="clear" w:color="auto" w:fill="auto"/>
            <w:vAlign w:val="center"/>
            <w:hideMark/>
          </w:tcPr>
          <w:p w14:paraId="5C2A66E7"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5.60p</w:t>
            </w:r>
          </w:p>
        </w:tc>
        <w:tc>
          <w:tcPr>
            <w:tcW w:w="1560" w:type="dxa"/>
            <w:tcBorders>
              <w:top w:val="nil"/>
              <w:left w:val="nil"/>
              <w:bottom w:val="nil"/>
              <w:right w:val="nil"/>
            </w:tcBorders>
            <w:shd w:val="clear" w:color="auto" w:fill="auto"/>
            <w:vAlign w:val="center"/>
            <w:hideMark/>
          </w:tcPr>
          <w:p w14:paraId="61BA9AE3"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7.60p</w:t>
            </w:r>
          </w:p>
        </w:tc>
      </w:tr>
      <w:tr w:rsidR="006402A2" w:rsidRPr="006402A2" w14:paraId="6F35C9C8" w14:textId="77777777" w:rsidTr="006402A2">
        <w:trPr>
          <w:trHeight w:val="290"/>
        </w:trPr>
        <w:tc>
          <w:tcPr>
            <w:tcW w:w="960" w:type="dxa"/>
            <w:tcBorders>
              <w:top w:val="nil"/>
              <w:left w:val="nil"/>
              <w:bottom w:val="nil"/>
              <w:right w:val="nil"/>
            </w:tcBorders>
            <w:shd w:val="clear" w:color="auto" w:fill="auto"/>
            <w:noWrap/>
            <w:vAlign w:val="bottom"/>
            <w:hideMark/>
          </w:tcPr>
          <w:p w14:paraId="5556715C"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p>
        </w:tc>
        <w:tc>
          <w:tcPr>
            <w:tcW w:w="1660" w:type="dxa"/>
            <w:tcBorders>
              <w:top w:val="nil"/>
              <w:left w:val="nil"/>
              <w:bottom w:val="nil"/>
              <w:right w:val="single" w:sz="8" w:space="0" w:color="C7D5E0"/>
            </w:tcBorders>
            <w:shd w:val="clear" w:color="ECF1F5" w:fill="ECF1F5"/>
            <w:vAlign w:val="center"/>
            <w:hideMark/>
          </w:tcPr>
          <w:p w14:paraId="7047C191"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Diluted:</w:t>
            </w:r>
          </w:p>
        </w:tc>
        <w:tc>
          <w:tcPr>
            <w:tcW w:w="1720" w:type="dxa"/>
            <w:tcBorders>
              <w:top w:val="nil"/>
              <w:left w:val="nil"/>
              <w:bottom w:val="nil"/>
              <w:right w:val="single" w:sz="8" w:space="0" w:color="C7D5E0"/>
            </w:tcBorders>
            <w:shd w:val="clear" w:color="ECF1F5" w:fill="ECF1F5"/>
            <w:vAlign w:val="center"/>
            <w:hideMark/>
          </w:tcPr>
          <w:p w14:paraId="0BD9CE24"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24.53p</w:t>
            </w:r>
          </w:p>
        </w:tc>
        <w:tc>
          <w:tcPr>
            <w:tcW w:w="1640" w:type="dxa"/>
            <w:tcBorders>
              <w:top w:val="nil"/>
              <w:left w:val="nil"/>
              <w:bottom w:val="nil"/>
              <w:right w:val="single" w:sz="8" w:space="0" w:color="C7D5E0"/>
            </w:tcBorders>
            <w:shd w:val="clear" w:color="ECF1F5" w:fill="ECF1F5"/>
            <w:vAlign w:val="center"/>
            <w:hideMark/>
          </w:tcPr>
          <w:p w14:paraId="3DC5F54C"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8.81p</w:t>
            </w:r>
          </w:p>
        </w:tc>
        <w:tc>
          <w:tcPr>
            <w:tcW w:w="1400" w:type="dxa"/>
            <w:tcBorders>
              <w:top w:val="nil"/>
              <w:left w:val="nil"/>
              <w:bottom w:val="nil"/>
              <w:right w:val="single" w:sz="8" w:space="0" w:color="C7D5E0"/>
            </w:tcBorders>
            <w:shd w:val="clear" w:color="ECF1F5" w:fill="ECF1F5"/>
            <w:vAlign w:val="center"/>
            <w:hideMark/>
          </w:tcPr>
          <w:p w14:paraId="6E60439E"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19.64p</w:t>
            </w:r>
          </w:p>
        </w:tc>
        <w:tc>
          <w:tcPr>
            <w:tcW w:w="1500" w:type="dxa"/>
            <w:tcBorders>
              <w:top w:val="nil"/>
              <w:left w:val="nil"/>
              <w:bottom w:val="nil"/>
              <w:right w:val="single" w:sz="8" w:space="0" w:color="C7D5E0"/>
            </w:tcBorders>
            <w:shd w:val="clear" w:color="ECF1F5" w:fill="ECF1F5"/>
            <w:vAlign w:val="center"/>
            <w:hideMark/>
          </w:tcPr>
          <w:p w14:paraId="7E0EEA86"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5.58p</w:t>
            </w:r>
          </w:p>
        </w:tc>
        <w:tc>
          <w:tcPr>
            <w:tcW w:w="1560" w:type="dxa"/>
            <w:tcBorders>
              <w:top w:val="nil"/>
              <w:left w:val="nil"/>
              <w:bottom w:val="nil"/>
              <w:right w:val="nil"/>
            </w:tcBorders>
            <w:shd w:val="clear" w:color="ECF1F5" w:fill="ECF1F5"/>
            <w:vAlign w:val="center"/>
            <w:hideMark/>
          </w:tcPr>
          <w:p w14:paraId="1D4806B3"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7.54p</w:t>
            </w:r>
          </w:p>
        </w:tc>
      </w:tr>
      <w:tr w:rsidR="006402A2" w:rsidRPr="006402A2" w14:paraId="5B34337F" w14:textId="77777777" w:rsidTr="006402A2">
        <w:trPr>
          <w:trHeight w:val="290"/>
        </w:trPr>
        <w:tc>
          <w:tcPr>
            <w:tcW w:w="960" w:type="dxa"/>
            <w:tcBorders>
              <w:top w:val="nil"/>
              <w:left w:val="nil"/>
              <w:bottom w:val="nil"/>
              <w:right w:val="nil"/>
            </w:tcBorders>
            <w:shd w:val="clear" w:color="auto" w:fill="auto"/>
            <w:noWrap/>
            <w:vAlign w:val="bottom"/>
            <w:hideMark/>
          </w:tcPr>
          <w:p w14:paraId="7D8AE5CE"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p>
        </w:tc>
        <w:tc>
          <w:tcPr>
            <w:tcW w:w="1660" w:type="dxa"/>
            <w:tcBorders>
              <w:top w:val="nil"/>
              <w:left w:val="nil"/>
              <w:bottom w:val="nil"/>
              <w:right w:val="single" w:sz="8" w:space="0" w:color="C7D5E0"/>
            </w:tcBorders>
            <w:shd w:val="clear" w:color="auto" w:fill="auto"/>
            <w:vAlign w:val="center"/>
            <w:hideMark/>
          </w:tcPr>
          <w:p w14:paraId="549EFC42"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Adjusted:</w:t>
            </w:r>
          </w:p>
        </w:tc>
        <w:tc>
          <w:tcPr>
            <w:tcW w:w="1720" w:type="dxa"/>
            <w:tcBorders>
              <w:top w:val="nil"/>
              <w:left w:val="nil"/>
              <w:bottom w:val="nil"/>
              <w:right w:val="single" w:sz="8" w:space="0" w:color="C7D5E0"/>
            </w:tcBorders>
            <w:shd w:val="clear" w:color="auto" w:fill="auto"/>
            <w:vAlign w:val="center"/>
            <w:hideMark/>
          </w:tcPr>
          <w:p w14:paraId="72404385"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23.67p</w:t>
            </w:r>
          </w:p>
        </w:tc>
        <w:tc>
          <w:tcPr>
            <w:tcW w:w="1640" w:type="dxa"/>
            <w:tcBorders>
              <w:top w:val="nil"/>
              <w:left w:val="nil"/>
              <w:bottom w:val="nil"/>
              <w:right w:val="single" w:sz="8" w:space="0" w:color="C7D5E0"/>
            </w:tcBorders>
            <w:shd w:val="clear" w:color="auto" w:fill="auto"/>
            <w:vAlign w:val="center"/>
            <w:hideMark/>
          </w:tcPr>
          <w:p w14:paraId="266B3377"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20.71p</w:t>
            </w:r>
          </w:p>
        </w:tc>
        <w:tc>
          <w:tcPr>
            <w:tcW w:w="1400" w:type="dxa"/>
            <w:tcBorders>
              <w:top w:val="nil"/>
              <w:left w:val="nil"/>
              <w:bottom w:val="nil"/>
              <w:right w:val="single" w:sz="8" w:space="0" w:color="C7D5E0"/>
            </w:tcBorders>
            <w:shd w:val="clear" w:color="auto" w:fill="auto"/>
            <w:vAlign w:val="center"/>
            <w:hideMark/>
          </w:tcPr>
          <w:p w14:paraId="79A2104D"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22.11p</w:t>
            </w:r>
          </w:p>
        </w:tc>
        <w:tc>
          <w:tcPr>
            <w:tcW w:w="1500" w:type="dxa"/>
            <w:tcBorders>
              <w:top w:val="nil"/>
              <w:left w:val="nil"/>
              <w:bottom w:val="nil"/>
              <w:right w:val="single" w:sz="8" w:space="0" w:color="C7D5E0"/>
            </w:tcBorders>
            <w:shd w:val="clear" w:color="auto" w:fill="auto"/>
            <w:vAlign w:val="center"/>
            <w:hideMark/>
          </w:tcPr>
          <w:p w14:paraId="59586364"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11.58p</w:t>
            </w:r>
          </w:p>
        </w:tc>
        <w:tc>
          <w:tcPr>
            <w:tcW w:w="1560" w:type="dxa"/>
            <w:tcBorders>
              <w:top w:val="nil"/>
              <w:left w:val="nil"/>
              <w:bottom w:val="nil"/>
              <w:right w:val="nil"/>
            </w:tcBorders>
            <w:shd w:val="clear" w:color="auto" w:fill="auto"/>
            <w:vAlign w:val="center"/>
            <w:hideMark/>
          </w:tcPr>
          <w:p w14:paraId="2EE9D243"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18.60p</w:t>
            </w:r>
          </w:p>
        </w:tc>
      </w:tr>
      <w:tr w:rsidR="006402A2" w:rsidRPr="006402A2" w14:paraId="32945B00" w14:textId="77777777" w:rsidTr="006402A2">
        <w:trPr>
          <w:trHeight w:val="560"/>
        </w:trPr>
        <w:tc>
          <w:tcPr>
            <w:tcW w:w="960" w:type="dxa"/>
            <w:tcBorders>
              <w:top w:val="nil"/>
              <w:left w:val="nil"/>
              <w:bottom w:val="nil"/>
              <w:right w:val="nil"/>
            </w:tcBorders>
            <w:shd w:val="clear" w:color="auto" w:fill="auto"/>
            <w:noWrap/>
            <w:vAlign w:val="bottom"/>
            <w:hideMark/>
          </w:tcPr>
          <w:p w14:paraId="7CA88332"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p>
        </w:tc>
        <w:tc>
          <w:tcPr>
            <w:tcW w:w="1660" w:type="dxa"/>
            <w:tcBorders>
              <w:top w:val="nil"/>
              <w:left w:val="nil"/>
              <w:bottom w:val="nil"/>
              <w:right w:val="single" w:sz="8" w:space="0" w:color="C7D5E0"/>
            </w:tcBorders>
            <w:shd w:val="clear" w:color="ECF1F5" w:fill="ECF1F5"/>
            <w:vAlign w:val="center"/>
            <w:hideMark/>
          </w:tcPr>
          <w:p w14:paraId="67BE233A"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Dividend per Share:</w:t>
            </w:r>
          </w:p>
        </w:tc>
        <w:tc>
          <w:tcPr>
            <w:tcW w:w="1720" w:type="dxa"/>
            <w:tcBorders>
              <w:top w:val="nil"/>
              <w:left w:val="nil"/>
              <w:bottom w:val="nil"/>
              <w:right w:val="single" w:sz="8" w:space="0" w:color="C7D5E0"/>
            </w:tcBorders>
            <w:shd w:val="clear" w:color="ECF1F5" w:fill="ECF1F5"/>
            <w:vAlign w:val="center"/>
            <w:hideMark/>
          </w:tcPr>
          <w:p w14:paraId="045A50E6"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12.10p</w:t>
            </w:r>
          </w:p>
        </w:tc>
        <w:tc>
          <w:tcPr>
            <w:tcW w:w="1640" w:type="dxa"/>
            <w:tcBorders>
              <w:top w:val="nil"/>
              <w:left w:val="nil"/>
              <w:bottom w:val="nil"/>
              <w:right w:val="single" w:sz="8" w:space="0" w:color="C7D5E0"/>
            </w:tcBorders>
            <w:shd w:val="clear" w:color="ECF1F5" w:fill="ECF1F5"/>
            <w:vAlign w:val="center"/>
            <w:hideMark/>
          </w:tcPr>
          <w:p w14:paraId="17DE3F74"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10.90p</w:t>
            </w:r>
          </w:p>
        </w:tc>
        <w:tc>
          <w:tcPr>
            <w:tcW w:w="1400" w:type="dxa"/>
            <w:tcBorders>
              <w:top w:val="nil"/>
              <w:left w:val="nil"/>
              <w:bottom w:val="nil"/>
              <w:right w:val="single" w:sz="8" w:space="0" w:color="C7D5E0"/>
            </w:tcBorders>
            <w:shd w:val="clear" w:color="ECF1F5" w:fill="ECF1F5"/>
            <w:vAlign w:val="center"/>
            <w:hideMark/>
          </w:tcPr>
          <w:p w14:paraId="44350BF3"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10.90p</w:t>
            </w:r>
          </w:p>
        </w:tc>
        <w:tc>
          <w:tcPr>
            <w:tcW w:w="1500" w:type="dxa"/>
            <w:tcBorders>
              <w:top w:val="nil"/>
              <w:left w:val="nil"/>
              <w:bottom w:val="nil"/>
              <w:right w:val="single" w:sz="8" w:space="0" w:color="C7D5E0"/>
            </w:tcBorders>
            <w:shd w:val="clear" w:color="ECF1F5" w:fill="ECF1F5"/>
            <w:vAlign w:val="center"/>
            <w:hideMark/>
          </w:tcPr>
          <w:p w14:paraId="421835B4"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60.08p</w:t>
            </w:r>
          </w:p>
        </w:tc>
        <w:tc>
          <w:tcPr>
            <w:tcW w:w="1560" w:type="dxa"/>
            <w:tcBorders>
              <w:top w:val="nil"/>
              <w:left w:val="nil"/>
              <w:bottom w:val="nil"/>
              <w:right w:val="nil"/>
            </w:tcBorders>
            <w:shd w:val="clear" w:color="ECF1F5" w:fill="ECF1F5"/>
            <w:vAlign w:val="center"/>
            <w:hideMark/>
          </w:tcPr>
          <w:p w14:paraId="35D11EB8"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9.15p</w:t>
            </w:r>
          </w:p>
        </w:tc>
      </w:tr>
      <w:tr w:rsidR="006402A2" w:rsidRPr="006402A2" w14:paraId="0DCDA625" w14:textId="77777777" w:rsidTr="006402A2">
        <w:trPr>
          <w:trHeight w:val="290"/>
        </w:trPr>
        <w:tc>
          <w:tcPr>
            <w:tcW w:w="960" w:type="dxa"/>
            <w:tcBorders>
              <w:top w:val="nil"/>
              <w:left w:val="nil"/>
              <w:bottom w:val="nil"/>
              <w:right w:val="nil"/>
            </w:tcBorders>
            <w:shd w:val="clear" w:color="auto" w:fill="auto"/>
            <w:noWrap/>
            <w:vAlign w:val="bottom"/>
            <w:hideMark/>
          </w:tcPr>
          <w:p w14:paraId="0073E6E5"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p>
        </w:tc>
        <w:tc>
          <w:tcPr>
            <w:tcW w:w="1660" w:type="dxa"/>
            <w:tcBorders>
              <w:top w:val="nil"/>
              <w:left w:val="nil"/>
              <w:bottom w:val="nil"/>
              <w:right w:val="single" w:sz="8" w:space="0" w:color="C7D5E0"/>
            </w:tcBorders>
            <w:shd w:val="clear" w:color="auto" w:fill="auto"/>
            <w:vAlign w:val="center"/>
            <w:hideMark/>
          </w:tcPr>
          <w:p w14:paraId="796D9523"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 </w:t>
            </w:r>
          </w:p>
        </w:tc>
        <w:tc>
          <w:tcPr>
            <w:tcW w:w="7820" w:type="dxa"/>
            <w:gridSpan w:val="5"/>
            <w:tcBorders>
              <w:top w:val="nil"/>
              <w:left w:val="nil"/>
              <w:bottom w:val="nil"/>
              <w:right w:val="nil"/>
            </w:tcBorders>
            <w:shd w:val="clear" w:color="auto" w:fill="auto"/>
            <w:noWrap/>
            <w:vAlign w:val="bottom"/>
            <w:hideMark/>
          </w:tcPr>
          <w:p w14:paraId="7BFF5786" w14:textId="77777777" w:rsidR="006402A2" w:rsidRPr="006402A2" w:rsidRDefault="006402A2" w:rsidP="006402A2">
            <w:pPr>
              <w:spacing w:after="0" w:line="240" w:lineRule="auto"/>
              <w:rPr>
                <w:rFonts w:ascii="Aptos Narrow" w:eastAsia="Times New Roman" w:hAnsi="Aptos Narrow" w:cs="Times New Roman"/>
                <w:color w:val="000000"/>
                <w:kern w:val="0"/>
                <w:sz w:val="22"/>
                <w:szCs w:val="22"/>
                <w14:ligatures w14:val="none"/>
              </w:rPr>
            </w:pPr>
            <w:r w:rsidRPr="006402A2">
              <w:rPr>
                <w:rFonts w:ascii="Aptos Narrow" w:eastAsia="Times New Roman" w:hAnsi="Aptos Narrow" w:cs="Times New Roman"/>
                <w:color w:val="000000"/>
                <w:kern w:val="0"/>
                <w:sz w:val="22"/>
                <w:szCs w:val="22"/>
                <w14:ligatures w14:val="none"/>
              </w:rPr>
              <w:t> </w:t>
            </w:r>
          </w:p>
        </w:tc>
      </w:tr>
      <w:tr w:rsidR="006402A2" w:rsidRPr="006402A2" w14:paraId="18420CC4" w14:textId="77777777" w:rsidTr="006402A2">
        <w:trPr>
          <w:trHeight w:val="290"/>
        </w:trPr>
        <w:tc>
          <w:tcPr>
            <w:tcW w:w="960" w:type="dxa"/>
            <w:tcBorders>
              <w:top w:val="nil"/>
              <w:left w:val="nil"/>
              <w:bottom w:val="nil"/>
              <w:right w:val="nil"/>
            </w:tcBorders>
            <w:shd w:val="clear" w:color="auto" w:fill="auto"/>
            <w:noWrap/>
            <w:vAlign w:val="bottom"/>
            <w:hideMark/>
          </w:tcPr>
          <w:p w14:paraId="256B93AA" w14:textId="77777777" w:rsidR="006402A2" w:rsidRPr="006402A2" w:rsidRDefault="006402A2" w:rsidP="006402A2">
            <w:pPr>
              <w:spacing w:after="0" w:line="240" w:lineRule="auto"/>
              <w:rPr>
                <w:rFonts w:ascii="Aptos Narrow" w:eastAsia="Times New Roman" w:hAnsi="Aptos Narrow" w:cs="Times New Roman"/>
                <w:color w:val="000000"/>
                <w:kern w:val="0"/>
                <w:sz w:val="22"/>
                <w:szCs w:val="22"/>
                <w14:ligatures w14:val="none"/>
              </w:rPr>
            </w:pPr>
          </w:p>
        </w:tc>
        <w:tc>
          <w:tcPr>
            <w:tcW w:w="1660" w:type="dxa"/>
            <w:tcBorders>
              <w:top w:val="nil"/>
              <w:left w:val="nil"/>
              <w:bottom w:val="nil"/>
              <w:right w:val="single" w:sz="8" w:space="0" w:color="C7D5E0"/>
            </w:tcBorders>
            <w:shd w:val="clear" w:color="3E5174" w:fill="3E5174"/>
            <w:vAlign w:val="center"/>
            <w:hideMark/>
          </w:tcPr>
          <w:p w14:paraId="2B0C9968" w14:textId="77777777" w:rsidR="006402A2" w:rsidRPr="006402A2" w:rsidRDefault="006402A2" w:rsidP="006402A2">
            <w:pPr>
              <w:spacing w:after="0" w:line="240" w:lineRule="auto"/>
              <w:jc w:val="center"/>
              <w:rPr>
                <w:rFonts w:ascii="Arial" w:eastAsia="Times New Roman" w:hAnsi="Arial" w:cs="Arial"/>
                <w:color w:val="FFFFFF"/>
                <w:kern w:val="0"/>
                <w:sz w:val="22"/>
                <w:szCs w:val="22"/>
                <w14:ligatures w14:val="none"/>
              </w:rPr>
            </w:pPr>
            <w:r w:rsidRPr="006402A2">
              <w:rPr>
                <w:rFonts w:ascii="Arial" w:eastAsia="Times New Roman" w:hAnsi="Arial" w:cs="Arial"/>
                <w:color w:val="FFFFFF"/>
                <w:kern w:val="0"/>
                <w:sz w:val="22"/>
                <w:szCs w:val="22"/>
                <w14:ligatures w14:val="none"/>
              </w:rPr>
              <w:t>Balance Sheet:</w:t>
            </w:r>
          </w:p>
        </w:tc>
        <w:tc>
          <w:tcPr>
            <w:tcW w:w="1720" w:type="dxa"/>
            <w:tcBorders>
              <w:top w:val="nil"/>
              <w:left w:val="nil"/>
              <w:bottom w:val="nil"/>
              <w:right w:val="single" w:sz="8" w:space="0" w:color="C7D5E0"/>
            </w:tcBorders>
            <w:shd w:val="clear" w:color="3E5174" w:fill="3E5174"/>
            <w:noWrap/>
            <w:vAlign w:val="center"/>
            <w:hideMark/>
          </w:tcPr>
          <w:p w14:paraId="1D65EA8C" w14:textId="77777777" w:rsidR="006402A2" w:rsidRPr="006402A2" w:rsidRDefault="006402A2" w:rsidP="006402A2">
            <w:pPr>
              <w:spacing w:after="0" w:line="240" w:lineRule="auto"/>
              <w:jc w:val="center"/>
              <w:rPr>
                <w:rFonts w:ascii="Arial" w:eastAsia="Times New Roman" w:hAnsi="Arial" w:cs="Arial"/>
                <w:color w:val="FFFFFF"/>
                <w:kern w:val="0"/>
                <w:sz w:val="22"/>
                <w:szCs w:val="22"/>
                <w14:ligatures w14:val="none"/>
              </w:rPr>
            </w:pPr>
            <w:r w:rsidRPr="006402A2">
              <w:rPr>
                <w:rFonts w:ascii="Arial" w:eastAsia="Times New Roman" w:hAnsi="Arial" w:cs="Arial"/>
                <w:color w:val="FFFFFF"/>
                <w:kern w:val="0"/>
                <w:sz w:val="22"/>
                <w:szCs w:val="22"/>
                <w14:ligatures w14:val="none"/>
              </w:rPr>
              <w:t>24/02/2024</w:t>
            </w:r>
          </w:p>
        </w:tc>
        <w:tc>
          <w:tcPr>
            <w:tcW w:w="1640" w:type="dxa"/>
            <w:tcBorders>
              <w:top w:val="nil"/>
              <w:left w:val="nil"/>
              <w:bottom w:val="nil"/>
              <w:right w:val="single" w:sz="8" w:space="0" w:color="C7D5E0"/>
            </w:tcBorders>
            <w:shd w:val="clear" w:color="3E5174" w:fill="3E5174"/>
            <w:noWrap/>
            <w:vAlign w:val="center"/>
            <w:hideMark/>
          </w:tcPr>
          <w:p w14:paraId="69E3C670" w14:textId="77777777" w:rsidR="006402A2" w:rsidRPr="006402A2" w:rsidRDefault="006402A2" w:rsidP="006402A2">
            <w:pPr>
              <w:spacing w:after="0" w:line="240" w:lineRule="auto"/>
              <w:jc w:val="center"/>
              <w:rPr>
                <w:rFonts w:ascii="Arial" w:eastAsia="Times New Roman" w:hAnsi="Arial" w:cs="Arial"/>
                <w:color w:val="FFFFFF"/>
                <w:kern w:val="0"/>
                <w:sz w:val="22"/>
                <w:szCs w:val="22"/>
                <w14:ligatures w14:val="none"/>
              </w:rPr>
            </w:pPr>
            <w:r w:rsidRPr="006402A2">
              <w:rPr>
                <w:rFonts w:ascii="Arial" w:eastAsia="Times New Roman" w:hAnsi="Arial" w:cs="Arial"/>
                <w:color w:val="FFFFFF"/>
                <w:kern w:val="0"/>
                <w:sz w:val="22"/>
                <w:szCs w:val="22"/>
                <w14:ligatures w14:val="none"/>
              </w:rPr>
              <w:t>25/02/2023</w:t>
            </w:r>
          </w:p>
        </w:tc>
        <w:tc>
          <w:tcPr>
            <w:tcW w:w="1400" w:type="dxa"/>
            <w:tcBorders>
              <w:top w:val="nil"/>
              <w:left w:val="nil"/>
              <w:bottom w:val="nil"/>
              <w:right w:val="single" w:sz="8" w:space="0" w:color="C7D5E0"/>
            </w:tcBorders>
            <w:shd w:val="clear" w:color="3E5174" w:fill="3E5174"/>
            <w:noWrap/>
            <w:vAlign w:val="center"/>
            <w:hideMark/>
          </w:tcPr>
          <w:p w14:paraId="62409EC3" w14:textId="77777777" w:rsidR="006402A2" w:rsidRPr="006402A2" w:rsidRDefault="006402A2" w:rsidP="006402A2">
            <w:pPr>
              <w:spacing w:after="0" w:line="240" w:lineRule="auto"/>
              <w:jc w:val="center"/>
              <w:rPr>
                <w:rFonts w:ascii="Arial" w:eastAsia="Times New Roman" w:hAnsi="Arial" w:cs="Arial"/>
                <w:color w:val="FFFFFF"/>
                <w:kern w:val="0"/>
                <w:sz w:val="22"/>
                <w:szCs w:val="22"/>
                <w14:ligatures w14:val="none"/>
              </w:rPr>
            </w:pPr>
            <w:r w:rsidRPr="006402A2">
              <w:rPr>
                <w:rFonts w:ascii="Arial" w:eastAsia="Times New Roman" w:hAnsi="Arial" w:cs="Arial"/>
                <w:color w:val="FFFFFF"/>
                <w:kern w:val="0"/>
                <w:sz w:val="22"/>
                <w:szCs w:val="22"/>
                <w14:ligatures w14:val="none"/>
              </w:rPr>
              <w:t>26/02/2022</w:t>
            </w:r>
          </w:p>
        </w:tc>
        <w:tc>
          <w:tcPr>
            <w:tcW w:w="1500" w:type="dxa"/>
            <w:tcBorders>
              <w:top w:val="nil"/>
              <w:left w:val="nil"/>
              <w:bottom w:val="nil"/>
              <w:right w:val="single" w:sz="8" w:space="0" w:color="C7D5E0"/>
            </w:tcBorders>
            <w:shd w:val="clear" w:color="3E5174" w:fill="3E5174"/>
            <w:noWrap/>
            <w:vAlign w:val="center"/>
            <w:hideMark/>
          </w:tcPr>
          <w:p w14:paraId="64178424" w14:textId="77777777" w:rsidR="006402A2" w:rsidRPr="006402A2" w:rsidRDefault="006402A2" w:rsidP="006402A2">
            <w:pPr>
              <w:spacing w:after="0" w:line="240" w:lineRule="auto"/>
              <w:jc w:val="center"/>
              <w:rPr>
                <w:rFonts w:ascii="Arial" w:eastAsia="Times New Roman" w:hAnsi="Arial" w:cs="Arial"/>
                <w:color w:val="FFFFFF"/>
                <w:kern w:val="0"/>
                <w:sz w:val="22"/>
                <w:szCs w:val="22"/>
                <w14:ligatures w14:val="none"/>
              </w:rPr>
            </w:pPr>
            <w:r w:rsidRPr="006402A2">
              <w:rPr>
                <w:rFonts w:ascii="Arial" w:eastAsia="Times New Roman" w:hAnsi="Arial" w:cs="Arial"/>
                <w:color w:val="FFFFFF"/>
                <w:kern w:val="0"/>
                <w:sz w:val="22"/>
                <w:szCs w:val="22"/>
                <w14:ligatures w14:val="none"/>
              </w:rPr>
              <w:t>27/02/2021</w:t>
            </w:r>
          </w:p>
        </w:tc>
        <w:tc>
          <w:tcPr>
            <w:tcW w:w="1560" w:type="dxa"/>
            <w:tcBorders>
              <w:top w:val="nil"/>
              <w:left w:val="nil"/>
              <w:bottom w:val="nil"/>
              <w:right w:val="nil"/>
            </w:tcBorders>
            <w:shd w:val="clear" w:color="3E5174" w:fill="3E5174"/>
            <w:noWrap/>
            <w:vAlign w:val="center"/>
            <w:hideMark/>
          </w:tcPr>
          <w:p w14:paraId="75354918" w14:textId="77777777" w:rsidR="006402A2" w:rsidRPr="006402A2" w:rsidRDefault="006402A2" w:rsidP="006402A2">
            <w:pPr>
              <w:spacing w:after="0" w:line="240" w:lineRule="auto"/>
              <w:jc w:val="center"/>
              <w:rPr>
                <w:rFonts w:ascii="Arial" w:eastAsia="Times New Roman" w:hAnsi="Arial" w:cs="Arial"/>
                <w:color w:val="FFFFFF"/>
                <w:kern w:val="0"/>
                <w:sz w:val="22"/>
                <w:szCs w:val="22"/>
                <w14:ligatures w14:val="none"/>
              </w:rPr>
            </w:pPr>
            <w:r w:rsidRPr="006402A2">
              <w:rPr>
                <w:rFonts w:ascii="Arial" w:eastAsia="Times New Roman" w:hAnsi="Arial" w:cs="Arial"/>
                <w:color w:val="FFFFFF"/>
                <w:kern w:val="0"/>
                <w:sz w:val="22"/>
                <w:szCs w:val="22"/>
                <w14:ligatures w14:val="none"/>
              </w:rPr>
              <w:t>29/02/2020</w:t>
            </w:r>
          </w:p>
        </w:tc>
      </w:tr>
      <w:tr w:rsidR="006402A2" w:rsidRPr="006402A2" w14:paraId="4594373B" w14:textId="77777777" w:rsidTr="006402A2">
        <w:trPr>
          <w:trHeight w:val="290"/>
        </w:trPr>
        <w:tc>
          <w:tcPr>
            <w:tcW w:w="960" w:type="dxa"/>
            <w:tcBorders>
              <w:top w:val="nil"/>
              <w:left w:val="nil"/>
              <w:bottom w:val="nil"/>
              <w:right w:val="nil"/>
            </w:tcBorders>
            <w:shd w:val="clear" w:color="auto" w:fill="auto"/>
            <w:noWrap/>
            <w:vAlign w:val="bottom"/>
            <w:hideMark/>
          </w:tcPr>
          <w:p w14:paraId="38F0762C" w14:textId="77777777" w:rsidR="006402A2" w:rsidRPr="006402A2" w:rsidRDefault="006402A2" w:rsidP="006402A2">
            <w:pPr>
              <w:spacing w:after="0" w:line="240" w:lineRule="auto"/>
              <w:jc w:val="center"/>
              <w:rPr>
                <w:rFonts w:ascii="Arial" w:eastAsia="Times New Roman" w:hAnsi="Arial" w:cs="Arial"/>
                <w:color w:val="FFFFFF"/>
                <w:kern w:val="0"/>
                <w:sz w:val="22"/>
                <w:szCs w:val="22"/>
                <w14:ligatures w14:val="none"/>
              </w:rPr>
            </w:pPr>
          </w:p>
        </w:tc>
        <w:tc>
          <w:tcPr>
            <w:tcW w:w="1660" w:type="dxa"/>
            <w:tcBorders>
              <w:top w:val="nil"/>
              <w:left w:val="nil"/>
              <w:bottom w:val="nil"/>
              <w:right w:val="single" w:sz="8" w:space="0" w:color="C7D5E0"/>
            </w:tcBorders>
            <w:shd w:val="clear" w:color="D1DBE4" w:fill="D1DBE4"/>
            <w:vAlign w:val="center"/>
            <w:hideMark/>
          </w:tcPr>
          <w:p w14:paraId="7BF24DF2"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 </w:t>
            </w:r>
          </w:p>
        </w:tc>
        <w:tc>
          <w:tcPr>
            <w:tcW w:w="1720" w:type="dxa"/>
            <w:tcBorders>
              <w:top w:val="nil"/>
              <w:left w:val="nil"/>
              <w:bottom w:val="nil"/>
              <w:right w:val="single" w:sz="8" w:space="0" w:color="C7D5E0"/>
            </w:tcBorders>
            <w:shd w:val="clear" w:color="D1DBE4" w:fill="D1DBE4"/>
            <w:noWrap/>
            <w:vAlign w:val="center"/>
            <w:hideMark/>
          </w:tcPr>
          <w:p w14:paraId="19A5468F"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 (Millions)</w:t>
            </w:r>
          </w:p>
        </w:tc>
        <w:tc>
          <w:tcPr>
            <w:tcW w:w="1640" w:type="dxa"/>
            <w:tcBorders>
              <w:top w:val="nil"/>
              <w:left w:val="nil"/>
              <w:bottom w:val="nil"/>
              <w:right w:val="single" w:sz="8" w:space="0" w:color="C7D5E0"/>
            </w:tcBorders>
            <w:shd w:val="clear" w:color="D1DBE4" w:fill="D1DBE4"/>
            <w:noWrap/>
            <w:vAlign w:val="center"/>
            <w:hideMark/>
          </w:tcPr>
          <w:p w14:paraId="7490A959"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 (Millions)</w:t>
            </w:r>
          </w:p>
        </w:tc>
        <w:tc>
          <w:tcPr>
            <w:tcW w:w="1400" w:type="dxa"/>
            <w:tcBorders>
              <w:top w:val="nil"/>
              <w:left w:val="nil"/>
              <w:bottom w:val="nil"/>
              <w:right w:val="single" w:sz="8" w:space="0" w:color="C7D5E0"/>
            </w:tcBorders>
            <w:shd w:val="clear" w:color="D1DBE4" w:fill="D1DBE4"/>
            <w:noWrap/>
            <w:vAlign w:val="center"/>
            <w:hideMark/>
          </w:tcPr>
          <w:p w14:paraId="6CBDAD85"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 (Millions)</w:t>
            </w:r>
          </w:p>
        </w:tc>
        <w:tc>
          <w:tcPr>
            <w:tcW w:w="1500" w:type="dxa"/>
            <w:tcBorders>
              <w:top w:val="nil"/>
              <w:left w:val="nil"/>
              <w:bottom w:val="nil"/>
              <w:right w:val="single" w:sz="8" w:space="0" w:color="C7D5E0"/>
            </w:tcBorders>
            <w:shd w:val="clear" w:color="D1DBE4" w:fill="D1DBE4"/>
            <w:noWrap/>
            <w:vAlign w:val="center"/>
            <w:hideMark/>
          </w:tcPr>
          <w:p w14:paraId="43B6C0A0"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 (Millions)</w:t>
            </w:r>
          </w:p>
        </w:tc>
        <w:tc>
          <w:tcPr>
            <w:tcW w:w="1560" w:type="dxa"/>
            <w:tcBorders>
              <w:top w:val="nil"/>
              <w:left w:val="nil"/>
              <w:bottom w:val="nil"/>
              <w:right w:val="nil"/>
            </w:tcBorders>
            <w:shd w:val="clear" w:color="D1DBE4" w:fill="D1DBE4"/>
            <w:noWrap/>
            <w:vAlign w:val="center"/>
            <w:hideMark/>
          </w:tcPr>
          <w:p w14:paraId="550896F6"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 (Millions)</w:t>
            </w:r>
          </w:p>
        </w:tc>
      </w:tr>
      <w:tr w:rsidR="006402A2" w:rsidRPr="006402A2" w14:paraId="7BD2C8ED" w14:textId="77777777" w:rsidTr="006402A2">
        <w:trPr>
          <w:trHeight w:val="290"/>
        </w:trPr>
        <w:tc>
          <w:tcPr>
            <w:tcW w:w="960" w:type="dxa"/>
            <w:tcBorders>
              <w:top w:val="nil"/>
              <w:left w:val="nil"/>
              <w:bottom w:val="nil"/>
              <w:right w:val="nil"/>
            </w:tcBorders>
            <w:shd w:val="clear" w:color="auto" w:fill="auto"/>
            <w:noWrap/>
            <w:vAlign w:val="bottom"/>
            <w:hideMark/>
          </w:tcPr>
          <w:p w14:paraId="6217A06F"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p>
        </w:tc>
        <w:tc>
          <w:tcPr>
            <w:tcW w:w="1660" w:type="dxa"/>
            <w:tcBorders>
              <w:top w:val="nil"/>
              <w:left w:val="nil"/>
              <w:bottom w:val="nil"/>
              <w:right w:val="single" w:sz="8" w:space="0" w:color="C7D5E0"/>
            </w:tcBorders>
            <w:shd w:val="clear" w:color="D1DBE4" w:fill="D1DBE4"/>
            <w:vAlign w:val="center"/>
            <w:hideMark/>
          </w:tcPr>
          <w:p w14:paraId="3F729F89" w14:textId="77777777" w:rsidR="006402A2" w:rsidRPr="006402A2" w:rsidRDefault="006402A2" w:rsidP="006402A2">
            <w:pPr>
              <w:spacing w:after="0" w:line="240" w:lineRule="auto"/>
              <w:rPr>
                <w:rFonts w:ascii="Arial" w:eastAsia="Times New Roman" w:hAnsi="Arial" w:cs="Arial"/>
                <w:b/>
                <w:bCs/>
                <w:color w:val="000000"/>
                <w:kern w:val="0"/>
                <w:sz w:val="22"/>
                <w:szCs w:val="22"/>
                <w14:ligatures w14:val="none"/>
              </w:rPr>
            </w:pPr>
            <w:r w:rsidRPr="006402A2">
              <w:rPr>
                <w:rFonts w:ascii="Arial" w:eastAsia="Times New Roman" w:hAnsi="Arial" w:cs="Arial"/>
                <w:b/>
                <w:bCs/>
                <w:color w:val="000000"/>
                <w:kern w:val="0"/>
                <w:sz w:val="22"/>
                <w:szCs w:val="22"/>
                <w14:ligatures w14:val="none"/>
              </w:rPr>
              <w:t>Assets: </w:t>
            </w:r>
          </w:p>
        </w:tc>
        <w:tc>
          <w:tcPr>
            <w:tcW w:w="7820" w:type="dxa"/>
            <w:gridSpan w:val="5"/>
            <w:tcBorders>
              <w:top w:val="nil"/>
              <w:left w:val="nil"/>
              <w:bottom w:val="nil"/>
              <w:right w:val="nil"/>
            </w:tcBorders>
            <w:shd w:val="clear" w:color="D1DBE4" w:fill="D1DBE4"/>
            <w:noWrap/>
            <w:vAlign w:val="bottom"/>
            <w:hideMark/>
          </w:tcPr>
          <w:p w14:paraId="2B5F231D" w14:textId="77777777" w:rsidR="006402A2" w:rsidRPr="006402A2" w:rsidRDefault="006402A2" w:rsidP="006402A2">
            <w:pPr>
              <w:spacing w:after="0" w:line="240" w:lineRule="auto"/>
              <w:rPr>
                <w:rFonts w:ascii="Aptos Narrow" w:eastAsia="Times New Roman" w:hAnsi="Aptos Narrow" w:cs="Times New Roman"/>
                <w:color w:val="000000"/>
                <w:kern w:val="0"/>
                <w:sz w:val="22"/>
                <w:szCs w:val="22"/>
                <w14:ligatures w14:val="none"/>
              </w:rPr>
            </w:pPr>
            <w:r w:rsidRPr="006402A2">
              <w:rPr>
                <w:rFonts w:ascii="Aptos Narrow" w:eastAsia="Times New Roman" w:hAnsi="Aptos Narrow" w:cs="Times New Roman"/>
                <w:color w:val="000000"/>
                <w:kern w:val="0"/>
                <w:sz w:val="22"/>
                <w:szCs w:val="22"/>
                <w14:ligatures w14:val="none"/>
              </w:rPr>
              <w:t> </w:t>
            </w:r>
          </w:p>
        </w:tc>
      </w:tr>
      <w:tr w:rsidR="006402A2" w:rsidRPr="006402A2" w14:paraId="27A49931" w14:textId="77777777" w:rsidTr="006402A2">
        <w:trPr>
          <w:trHeight w:val="560"/>
        </w:trPr>
        <w:tc>
          <w:tcPr>
            <w:tcW w:w="960" w:type="dxa"/>
            <w:tcBorders>
              <w:top w:val="nil"/>
              <w:left w:val="nil"/>
              <w:bottom w:val="nil"/>
              <w:right w:val="nil"/>
            </w:tcBorders>
            <w:shd w:val="clear" w:color="auto" w:fill="auto"/>
            <w:noWrap/>
            <w:vAlign w:val="bottom"/>
            <w:hideMark/>
          </w:tcPr>
          <w:p w14:paraId="6073318B" w14:textId="77777777" w:rsidR="006402A2" w:rsidRPr="006402A2" w:rsidRDefault="006402A2" w:rsidP="006402A2">
            <w:pPr>
              <w:spacing w:after="0" w:line="240" w:lineRule="auto"/>
              <w:rPr>
                <w:rFonts w:ascii="Aptos Narrow" w:eastAsia="Times New Roman" w:hAnsi="Aptos Narrow" w:cs="Times New Roman"/>
                <w:color w:val="000000"/>
                <w:kern w:val="0"/>
                <w:sz w:val="22"/>
                <w:szCs w:val="22"/>
                <w14:ligatures w14:val="none"/>
              </w:rPr>
            </w:pPr>
          </w:p>
        </w:tc>
        <w:tc>
          <w:tcPr>
            <w:tcW w:w="1660" w:type="dxa"/>
            <w:tcBorders>
              <w:top w:val="nil"/>
              <w:left w:val="nil"/>
              <w:bottom w:val="nil"/>
              <w:right w:val="single" w:sz="8" w:space="0" w:color="C7D5E0"/>
            </w:tcBorders>
            <w:shd w:val="clear" w:color="D1DBE4" w:fill="D1DBE4"/>
            <w:vAlign w:val="center"/>
            <w:hideMark/>
          </w:tcPr>
          <w:p w14:paraId="3E408EAB" w14:textId="77777777" w:rsidR="006402A2" w:rsidRPr="006402A2" w:rsidRDefault="006402A2" w:rsidP="006402A2">
            <w:pPr>
              <w:spacing w:after="0" w:line="240" w:lineRule="auto"/>
              <w:rPr>
                <w:rFonts w:ascii="Arial" w:eastAsia="Times New Roman" w:hAnsi="Arial" w:cs="Arial"/>
                <w:b/>
                <w:bCs/>
                <w:color w:val="000000"/>
                <w:kern w:val="0"/>
                <w:sz w:val="22"/>
                <w:szCs w:val="22"/>
                <w14:ligatures w14:val="none"/>
              </w:rPr>
            </w:pPr>
            <w:r w:rsidRPr="006402A2">
              <w:rPr>
                <w:rFonts w:ascii="Arial" w:eastAsia="Times New Roman" w:hAnsi="Arial" w:cs="Arial"/>
                <w:b/>
                <w:bCs/>
                <w:color w:val="000000"/>
                <w:kern w:val="0"/>
                <w:sz w:val="22"/>
                <w:szCs w:val="22"/>
                <w14:ligatures w14:val="none"/>
              </w:rPr>
              <w:t>Non-Current Assets: </w:t>
            </w:r>
          </w:p>
        </w:tc>
        <w:tc>
          <w:tcPr>
            <w:tcW w:w="7820" w:type="dxa"/>
            <w:gridSpan w:val="5"/>
            <w:tcBorders>
              <w:top w:val="nil"/>
              <w:left w:val="nil"/>
              <w:bottom w:val="nil"/>
              <w:right w:val="nil"/>
            </w:tcBorders>
            <w:shd w:val="clear" w:color="D1DBE4" w:fill="D1DBE4"/>
            <w:noWrap/>
            <w:vAlign w:val="bottom"/>
            <w:hideMark/>
          </w:tcPr>
          <w:p w14:paraId="4DAE028C" w14:textId="77777777" w:rsidR="006402A2" w:rsidRPr="006402A2" w:rsidRDefault="006402A2" w:rsidP="006402A2">
            <w:pPr>
              <w:spacing w:after="0" w:line="240" w:lineRule="auto"/>
              <w:rPr>
                <w:rFonts w:ascii="Aptos Narrow" w:eastAsia="Times New Roman" w:hAnsi="Aptos Narrow" w:cs="Times New Roman"/>
                <w:color w:val="000000"/>
                <w:kern w:val="0"/>
                <w:sz w:val="22"/>
                <w:szCs w:val="22"/>
                <w14:ligatures w14:val="none"/>
              </w:rPr>
            </w:pPr>
            <w:r w:rsidRPr="006402A2">
              <w:rPr>
                <w:rFonts w:ascii="Aptos Narrow" w:eastAsia="Times New Roman" w:hAnsi="Aptos Narrow" w:cs="Times New Roman"/>
                <w:color w:val="000000"/>
                <w:kern w:val="0"/>
                <w:sz w:val="22"/>
                <w:szCs w:val="22"/>
                <w14:ligatures w14:val="none"/>
              </w:rPr>
              <w:t> </w:t>
            </w:r>
          </w:p>
        </w:tc>
      </w:tr>
      <w:tr w:rsidR="006402A2" w:rsidRPr="006402A2" w14:paraId="195E799B" w14:textId="77777777" w:rsidTr="006402A2">
        <w:trPr>
          <w:trHeight w:val="560"/>
        </w:trPr>
        <w:tc>
          <w:tcPr>
            <w:tcW w:w="960" w:type="dxa"/>
            <w:tcBorders>
              <w:top w:val="nil"/>
              <w:left w:val="nil"/>
              <w:bottom w:val="nil"/>
              <w:right w:val="nil"/>
            </w:tcBorders>
            <w:shd w:val="clear" w:color="auto" w:fill="auto"/>
            <w:noWrap/>
            <w:vAlign w:val="bottom"/>
            <w:hideMark/>
          </w:tcPr>
          <w:p w14:paraId="7095A897" w14:textId="77777777" w:rsidR="006402A2" w:rsidRPr="006402A2" w:rsidRDefault="006402A2" w:rsidP="006402A2">
            <w:pPr>
              <w:spacing w:after="0" w:line="240" w:lineRule="auto"/>
              <w:rPr>
                <w:rFonts w:ascii="Aptos Narrow" w:eastAsia="Times New Roman" w:hAnsi="Aptos Narrow" w:cs="Times New Roman"/>
                <w:color w:val="000000"/>
                <w:kern w:val="0"/>
                <w:sz w:val="22"/>
                <w:szCs w:val="22"/>
                <w14:ligatures w14:val="none"/>
              </w:rPr>
            </w:pPr>
          </w:p>
        </w:tc>
        <w:tc>
          <w:tcPr>
            <w:tcW w:w="1660" w:type="dxa"/>
            <w:tcBorders>
              <w:top w:val="nil"/>
              <w:left w:val="nil"/>
              <w:bottom w:val="nil"/>
              <w:right w:val="single" w:sz="8" w:space="0" w:color="C7D5E0"/>
            </w:tcBorders>
            <w:shd w:val="clear" w:color="auto" w:fill="auto"/>
            <w:vAlign w:val="center"/>
            <w:hideMark/>
          </w:tcPr>
          <w:p w14:paraId="3871A71C"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Property, Plant &amp; Equipment:</w:t>
            </w:r>
          </w:p>
        </w:tc>
        <w:tc>
          <w:tcPr>
            <w:tcW w:w="1720" w:type="dxa"/>
            <w:tcBorders>
              <w:top w:val="nil"/>
              <w:left w:val="nil"/>
              <w:bottom w:val="nil"/>
              <w:right w:val="single" w:sz="8" w:space="0" w:color="C7D5E0"/>
            </w:tcBorders>
            <w:shd w:val="clear" w:color="auto" w:fill="auto"/>
            <w:vAlign w:val="center"/>
            <w:hideMark/>
          </w:tcPr>
          <w:p w14:paraId="7B24B98E"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22,699.00</w:t>
            </w:r>
          </w:p>
        </w:tc>
        <w:tc>
          <w:tcPr>
            <w:tcW w:w="1640" w:type="dxa"/>
            <w:tcBorders>
              <w:top w:val="nil"/>
              <w:left w:val="nil"/>
              <w:bottom w:val="nil"/>
              <w:right w:val="single" w:sz="8" w:space="0" w:color="C7D5E0"/>
            </w:tcBorders>
            <w:shd w:val="clear" w:color="auto" w:fill="auto"/>
            <w:vAlign w:val="center"/>
            <w:hideMark/>
          </w:tcPr>
          <w:p w14:paraId="4AEF7B5D"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22,362.00</w:t>
            </w:r>
          </w:p>
        </w:tc>
        <w:tc>
          <w:tcPr>
            <w:tcW w:w="1400" w:type="dxa"/>
            <w:tcBorders>
              <w:top w:val="nil"/>
              <w:left w:val="nil"/>
              <w:bottom w:val="nil"/>
              <w:right w:val="single" w:sz="8" w:space="0" w:color="C7D5E0"/>
            </w:tcBorders>
            <w:shd w:val="clear" w:color="auto" w:fill="auto"/>
            <w:vAlign w:val="center"/>
            <w:hideMark/>
          </w:tcPr>
          <w:p w14:paraId="605C8583"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22,780.00</w:t>
            </w:r>
          </w:p>
        </w:tc>
        <w:tc>
          <w:tcPr>
            <w:tcW w:w="1500" w:type="dxa"/>
            <w:tcBorders>
              <w:top w:val="nil"/>
              <w:left w:val="nil"/>
              <w:bottom w:val="nil"/>
              <w:right w:val="single" w:sz="8" w:space="0" w:color="C7D5E0"/>
            </w:tcBorders>
            <w:shd w:val="clear" w:color="auto" w:fill="auto"/>
            <w:vAlign w:val="center"/>
            <w:hideMark/>
          </w:tcPr>
          <w:p w14:paraId="587ACD8D"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22,896.00</w:t>
            </w:r>
          </w:p>
        </w:tc>
        <w:tc>
          <w:tcPr>
            <w:tcW w:w="1560" w:type="dxa"/>
            <w:tcBorders>
              <w:top w:val="nil"/>
              <w:left w:val="nil"/>
              <w:bottom w:val="nil"/>
              <w:right w:val="nil"/>
            </w:tcBorders>
            <w:shd w:val="clear" w:color="auto" w:fill="auto"/>
            <w:vAlign w:val="center"/>
            <w:hideMark/>
          </w:tcPr>
          <w:p w14:paraId="7A2C87B1"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26,108.00</w:t>
            </w:r>
          </w:p>
        </w:tc>
      </w:tr>
      <w:tr w:rsidR="006402A2" w:rsidRPr="006402A2" w14:paraId="065FC50D" w14:textId="77777777" w:rsidTr="006402A2">
        <w:trPr>
          <w:trHeight w:val="560"/>
        </w:trPr>
        <w:tc>
          <w:tcPr>
            <w:tcW w:w="960" w:type="dxa"/>
            <w:tcBorders>
              <w:top w:val="nil"/>
              <w:left w:val="nil"/>
              <w:bottom w:val="nil"/>
              <w:right w:val="nil"/>
            </w:tcBorders>
            <w:shd w:val="clear" w:color="auto" w:fill="auto"/>
            <w:noWrap/>
            <w:vAlign w:val="bottom"/>
            <w:hideMark/>
          </w:tcPr>
          <w:p w14:paraId="586BDCCA"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p>
        </w:tc>
        <w:tc>
          <w:tcPr>
            <w:tcW w:w="1660" w:type="dxa"/>
            <w:tcBorders>
              <w:top w:val="nil"/>
              <w:left w:val="nil"/>
              <w:bottom w:val="nil"/>
              <w:right w:val="single" w:sz="8" w:space="0" w:color="C7D5E0"/>
            </w:tcBorders>
            <w:shd w:val="clear" w:color="ECF1F5" w:fill="ECF1F5"/>
            <w:vAlign w:val="center"/>
            <w:hideMark/>
          </w:tcPr>
          <w:p w14:paraId="3D02150A"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Intangible Assets:</w:t>
            </w:r>
          </w:p>
        </w:tc>
        <w:tc>
          <w:tcPr>
            <w:tcW w:w="1720" w:type="dxa"/>
            <w:tcBorders>
              <w:top w:val="nil"/>
              <w:left w:val="nil"/>
              <w:bottom w:val="nil"/>
              <w:right w:val="single" w:sz="8" w:space="0" w:color="C7D5E0"/>
            </w:tcBorders>
            <w:shd w:val="clear" w:color="ECF1F5" w:fill="ECF1F5"/>
            <w:vAlign w:val="center"/>
            <w:hideMark/>
          </w:tcPr>
          <w:p w14:paraId="13EDEA71"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5,066.00</w:t>
            </w:r>
          </w:p>
        </w:tc>
        <w:tc>
          <w:tcPr>
            <w:tcW w:w="1640" w:type="dxa"/>
            <w:tcBorders>
              <w:top w:val="nil"/>
              <w:left w:val="nil"/>
              <w:bottom w:val="nil"/>
              <w:right w:val="single" w:sz="8" w:space="0" w:color="C7D5E0"/>
            </w:tcBorders>
            <w:shd w:val="clear" w:color="ECF1F5" w:fill="ECF1F5"/>
            <w:vAlign w:val="center"/>
            <w:hideMark/>
          </w:tcPr>
          <w:p w14:paraId="2947A14E"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5,375.00</w:t>
            </w:r>
          </w:p>
        </w:tc>
        <w:tc>
          <w:tcPr>
            <w:tcW w:w="1400" w:type="dxa"/>
            <w:tcBorders>
              <w:top w:val="nil"/>
              <w:left w:val="nil"/>
              <w:bottom w:val="nil"/>
              <w:right w:val="single" w:sz="8" w:space="0" w:color="C7D5E0"/>
            </w:tcBorders>
            <w:shd w:val="clear" w:color="ECF1F5" w:fill="ECF1F5"/>
            <w:vAlign w:val="center"/>
            <w:hideMark/>
          </w:tcPr>
          <w:p w14:paraId="3C040647"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5,360.00</w:t>
            </w:r>
          </w:p>
        </w:tc>
        <w:tc>
          <w:tcPr>
            <w:tcW w:w="1500" w:type="dxa"/>
            <w:tcBorders>
              <w:top w:val="nil"/>
              <w:left w:val="nil"/>
              <w:bottom w:val="nil"/>
              <w:right w:val="single" w:sz="8" w:space="0" w:color="C7D5E0"/>
            </w:tcBorders>
            <w:shd w:val="clear" w:color="ECF1F5" w:fill="ECF1F5"/>
            <w:vAlign w:val="center"/>
            <w:hideMark/>
          </w:tcPr>
          <w:p w14:paraId="01719C93"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5,393.00</w:t>
            </w:r>
          </w:p>
        </w:tc>
        <w:tc>
          <w:tcPr>
            <w:tcW w:w="1560" w:type="dxa"/>
            <w:tcBorders>
              <w:top w:val="nil"/>
              <w:left w:val="nil"/>
              <w:bottom w:val="nil"/>
              <w:right w:val="nil"/>
            </w:tcBorders>
            <w:shd w:val="clear" w:color="ECF1F5" w:fill="ECF1F5"/>
            <w:vAlign w:val="center"/>
            <w:hideMark/>
          </w:tcPr>
          <w:p w14:paraId="7E907184"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6,078.00</w:t>
            </w:r>
          </w:p>
        </w:tc>
      </w:tr>
      <w:tr w:rsidR="006402A2" w:rsidRPr="006402A2" w14:paraId="77133AAF" w14:textId="77777777" w:rsidTr="006402A2">
        <w:trPr>
          <w:trHeight w:val="560"/>
        </w:trPr>
        <w:tc>
          <w:tcPr>
            <w:tcW w:w="960" w:type="dxa"/>
            <w:tcBorders>
              <w:top w:val="nil"/>
              <w:left w:val="nil"/>
              <w:bottom w:val="nil"/>
              <w:right w:val="nil"/>
            </w:tcBorders>
            <w:shd w:val="clear" w:color="auto" w:fill="auto"/>
            <w:noWrap/>
            <w:vAlign w:val="bottom"/>
            <w:hideMark/>
          </w:tcPr>
          <w:p w14:paraId="2317388D"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p>
        </w:tc>
        <w:tc>
          <w:tcPr>
            <w:tcW w:w="1660" w:type="dxa"/>
            <w:tcBorders>
              <w:top w:val="nil"/>
              <w:left w:val="nil"/>
              <w:bottom w:val="nil"/>
              <w:right w:val="single" w:sz="8" w:space="0" w:color="C7D5E0"/>
            </w:tcBorders>
            <w:shd w:val="clear" w:color="auto" w:fill="auto"/>
            <w:vAlign w:val="center"/>
            <w:hideMark/>
          </w:tcPr>
          <w:p w14:paraId="4CE12EDF"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Investment Properties:</w:t>
            </w:r>
          </w:p>
        </w:tc>
        <w:tc>
          <w:tcPr>
            <w:tcW w:w="1720" w:type="dxa"/>
            <w:tcBorders>
              <w:top w:val="nil"/>
              <w:left w:val="nil"/>
              <w:bottom w:val="nil"/>
              <w:right w:val="single" w:sz="8" w:space="0" w:color="C7D5E0"/>
            </w:tcBorders>
            <w:shd w:val="clear" w:color="auto" w:fill="auto"/>
            <w:vAlign w:val="center"/>
            <w:hideMark/>
          </w:tcPr>
          <w:p w14:paraId="75CFFCF2"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24</w:t>
            </w:r>
          </w:p>
        </w:tc>
        <w:tc>
          <w:tcPr>
            <w:tcW w:w="1640" w:type="dxa"/>
            <w:tcBorders>
              <w:top w:val="nil"/>
              <w:left w:val="nil"/>
              <w:bottom w:val="nil"/>
              <w:right w:val="single" w:sz="8" w:space="0" w:color="C7D5E0"/>
            </w:tcBorders>
            <w:shd w:val="clear" w:color="auto" w:fill="auto"/>
            <w:vAlign w:val="center"/>
            <w:hideMark/>
          </w:tcPr>
          <w:p w14:paraId="4727CB3F"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24</w:t>
            </w:r>
          </w:p>
        </w:tc>
        <w:tc>
          <w:tcPr>
            <w:tcW w:w="1400" w:type="dxa"/>
            <w:tcBorders>
              <w:top w:val="nil"/>
              <w:left w:val="nil"/>
              <w:bottom w:val="nil"/>
              <w:right w:val="single" w:sz="8" w:space="0" w:color="C7D5E0"/>
            </w:tcBorders>
            <w:shd w:val="clear" w:color="auto" w:fill="auto"/>
            <w:vAlign w:val="center"/>
            <w:hideMark/>
          </w:tcPr>
          <w:p w14:paraId="5CAD0920"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22</w:t>
            </w:r>
          </w:p>
        </w:tc>
        <w:tc>
          <w:tcPr>
            <w:tcW w:w="1500" w:type="dxa"/>
            <w:tcBorders>
              <w:top w:val="nil"/>
              <w:left w:val="nil"/>
              <w:bottom w:val="nil"/>
              <w:right w:val="single" w:sz="8" w:space="0" w:color="C7D5E0"/>
            </w:tcBorders>
            <w:shd w:val="clear" w:color="auto" w:fill="auto"/>
            <w:vAlign w:val="center"/>
            <w:hideMark/>
          </w:tcPr>
          <w:p w14:paraId="7543F746"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19</w:t>
            </w:r>
          </w:p>
        </w:tc>
        <w:tc>
          <w:tcPr>
            <w:tcW w:w="1560" w:type="dxa"/>
            <w:tcBorders>
              <w:top w:val="nil"/>
              <w:left w:val="nil"/>
              <w:bottom w:val="nil"/>
              <w:right w:val="nil"/>
            </w:tcBorders>
            <w:shd w:val="clear" w:color="auto" w:fill="auto"/>
            <w:vAlign w:val="center"/>
            <w:hideMark/>
          </w:tcPr>
          <w:p w14:paraId="4B7232CA"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26</w:t>
            </w:r>
          </w:p>
        </w:tc>
      </w:tr>
      <w:tr w:rsidR="006402A2" w:rsidRPr="006402A2" w14:paraId="7C5EC47D" w14:textId="77777777" w:rsidTr="006402A2">
        <w:trPr>
          <w:trHeight w:val="290"/>
        </w:trPr>
        <w:tc>
          <w:tcPr>
            <w:tcW w:w="960" w:type="dxa"/>
            <w:tcBorders>
              <w:top w:val="nil"/>
              <w:left w:val="nil"/>
              <w:bottom w:val="nil"/>
              <w:right w:val="nil"/>
            </w:tcBorders>
            <w:shd w:val="clear" w:color="auto" w:fill="auto"/>
            <w:noWrap/>
            <w:vAlign w:val="bottom"/>
            <w:hideMark/>
          </w:tcPr>
          <w:p w14:paraId="37BF3A78"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p>
        </w:tc>
        <w:tc>
          <w:tcPr>
            <w:tcW w:w="1660" w:type="dxa"/>
            <w:tcBorders>
              <w:top w:val="nil"/>
              <w:left w:val="nil"/>
              <w:bottom w:val="nil"/>
              <w:right w:val="single" w:sz="8" w:space="0" w:color="C7D5E0"/>
            </w:tcBorders>
            <w:shd w:val="clear" w:color="ECF1F5" w:fill="ECF1F5"/>
            <w:vAlign w:val="center"/>
            <w:hideMark/>
          </w:tcPr>
          <w:p w14:paraId="3E32E0D7"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Investments:</w:t>
            </w:r>
          </w:p>
        </w:tc>
        <w:tc>
          <w:tcPr>
            <w:tcW w:w="1720" w:type="dxa"/>
            <w:tcBorders>
              <w:top w:val="nil"/>
              <w:left w:val="nil"/>
              <w:bottom w:val="nil"/>
              <w:right w:val="single" w:sz="8" w:space="0" w:color="C7D5E0"/>
            </w:tcBorders>
            <w:shd w:val="clear" w:color="ECF1F5" w:fill="ECF1F5"/>
            <w:vAlign w:val="center"/>
            <w:hideMark/>
          </w:tcPr>
          <w:p w14:paraId="40E86A61"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1,648.00</w:t>
            </w:r>
          </w:p>
        </w:tc>
        <w:tc>
          <w:tcPr>
            <w:tcW w:w="1640" w:type="dxa"/>
            <w:tcBorders>
              <w:top w:val="nil"/>
              <w:left w:val="nil"/>
              <w:bottom w:val="nil"/>
              <w:right w:val="single" w:sz="8" w:space="0" w:color="C7D5E0"/>
            </w:tcBorders>
            <w:shd w:val="clear" w:color="ECF1F5" w:fill="ECF1F5"/>
            <w:vAlign w:val="center"/>
            <w:hideMark/>
          </w:tcPr>
          <w:p w14:paraId="2F45CFA6"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1,432.00</w:t>
            </w:r>
          </w:p>
        </w:tc>
        <w:tc>
          <w:tcPr>
            <w:tcW w:w="1400" w:type="dxa"/>
            <w:tcBorders>
              <w:top w:val="nil"/>
              <w:left w:val="nil"/>
              <w:bottom w:val="nil"/>
              <w:right w:val="single" w:sz="8" w:space="0" w:color="C7D5E0"/>
            </w:tcBorders>
            <w:shd w:val="clear" w:color="ECF1F5" w:fill="ECF1F5"/>
            <w:vAlign w:val="center"/>
            <w:hideMark/>
          </w:tcPr>
          <w:p w14:paraId="243BE6ED"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1,339.00</w:t>
            </w:r>
          </w:p>
        </w:tc>
        <w:tc>
          <w:tcPr>
            <w:tcW w:w="1500" w:type="dxa"/>
            <w:tcBorders>
              <w:top w:val="nil"/>
              <w:left w:val="nil"/>
              <w:bottom w:val="nil"/>
              <w:right w:val="single" w:sz="8" w:space="0" w:color="C7D5E0"/>
            </w:tcBorders>
            <w:shd w:val="clear" w:color="ECF1F5" w:fill="ECF1F5"/>
            <w:vAlign w:val="center"/>
            <w:hideMark/>
          </w:tcPr>
          <w:p w14:paraId="2916E0D9"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941</w:t>
            </w:r>
          </w:p>
        </w:tc>
        <w:tc>
          <w:tcPr>
            <w:tcW w:w="1560" w:type="dxa"/>
            <w:tcBorders>
              <w:top w:val="nil"/>
              <w:left w:val="nil"/>
              <w:bottom w:val="nil"/>
              <w:right w:val="nil"/>
            </w:tcBorders>
            <w:shd w:val="clear" w:color="ECF1F5" w:fill="ECF1F5"/>
            <w:vAlign w:val="center"/>
            <w:hideMark/>
          </w:tcPr>
          <w:p w14:paraId="6DBCBAFF"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307</w:t>
            </w:r>
          </w:p>
        </w:tc>
      </w:tr>
      <w:tr w:rsidR="006402A2" w:rsidRPr="006402A2" w14:paraId="1880AC60" w14:textId="77777777" w:rsidTr="006402A2">
        <w:trPr>
          <w:trHeight w:val="560"/>
        </w:trPr>
        <w:tc>
          <w:tcPr>
            <w:tcW w:w="960" w:type="dxa"/>
            <w:tcBorders>
              <w:top w:val="nil"/>
              <w:left w:val="nil"/>
              <w:bottom w:val="nil"/>
              <w:right w:val="nil"/>
            </w:tcBorders>
            <w:shd w:val="clear" w:color="auto" w:fill="auto"/>
            <w:noWrap/>
            <w:vAlign w:val="bottom"/>
            <w:hideMark/>
          </w:tcPr>
          <w:p w14:paraId="5AA4F95A"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p>
        </w:tc>
        <w:tc>
          <w:tcPr>
            <w:tcW w:w="1660" w:type="dxa"/>
            <w:tcBorders>
              <w:top w:val="nil"/>
              <w:left w:val="nil"/>
              <w:bottom w:val="nil"/>
              <w:right w:val="single" w:sz="8" w:space="0" w:color="C7D5E0"/>
            </w:tcBorders>
            <w:shd w:val="clear" w:color="auto" w:fill="auto"/>
            <w:vAlign w:val="center"/>
            <w:hideMark/>
          </w:tcPr>
          <w:p w14:paraId="05FEDAF9"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Other Financial Assets:</w:t>
            </w:r>
          </w:p>
        </w:tc>
        <w:tc>
          <w:tcPr>
            <w:tcW w:w="1720" w:type="dxa"/>
            <w:tcBorders>
              <w:top w:val="nil"/>
              <w:left w:val="nil"/>
              <w:bottom w:val="nil"/>
              <w:right w:val="single" w:sz="8" w:space="0" w:color="C7D5E0"/>
            </w:tcBorders>
            <w:shd w:val="clear" w:color="auto" w:fill="auto"/>
            <w:vAlign w:val="center"/>
            <w:hideMark/>
          </w:tcPr>
          <w:p w14:paraId="1D233DCD"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n/a</w:t>
            </w:r>
          </w:p>
        </w:tc>
        <w:tc>
          <w:tcPr>
            <w:tcW w:w="1640" w:type="dxa"/>
            <w:tcBorders>
              <w:top w:val="nil"/>
              <w:left w:val="nil"/>
              <w:bottom w:val="nil"/>
              <w:right w:val="single" w:sz="8" w:space="0" w:color="C7D5E0"/>
            </w:tcBorders>
            <w:shd w:val="clear" w:color="auto" w:fill="auto"/>
            <w:vAlign w:val="center"/>
            <w:hideMark/>
          </w:tcPr>
          <w:p w14:paraId="6C06B5EA"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3,029.00</w:t>
            </w:r>
          </w:p>
        </w:tc>
        <w:tc>
          <w:tcPr>
            <w:tcW w:w="1400" w:type="dxa"/>
            <w:tcBorders>
              <w:top w:val="nil"/>
              <w:left w:val="nil"/>
              <w:bottom w:val="nil"/>
              <w:right w:val="single" w:sz="8" w:space="0" w:color="C7D5E0"/>
            </w:tcBorders>
            <w:shd w:val="clear" w:color="auto" w:fill="auto"/>
            <w:vAlign w:val="center"/>
            <w:hideMark/>
          </w:tcPr>
          <w:p w14:paraId="587DC70B"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942</w:t>
            </w:r>
          </w:p>
        </w:tc>
        <w:tc>
          <w:tcPr>
            <w:tcW w:w="1500" w:type="dxa"/>
            <w:tcBorders>
              <w:top w:val="nil"/>
              <w:left w:val="nil"/>
              <w:bottom w:val="nil"/>
              <w:right w:val="single" w:sz="8" w:space="0" w:color="C7D5E0"/>
            </w:tcBorders>
            <w:shd w:val="clear" w:color="auto" w:fill="auto"/>
            <w:vAlign w:val="center"/>
            <w:hideMark/>
          </w:tcPr>
          <w:p w14:paraId="6C49E6B5"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1,425.00</w:t>
            </w:r>
          </w:p>
        </w:tc>
        <w:tc>
          <w:tcPr>
            <w:tcW w:w="1560" w:type="dxa"/>
            <w:tcBorders>
              <w:top w:val="nil"/>
              <w:left w:val="nil"/>
              <w:bottom w:val="nil"/>
              <w:right w:val="nil"/>
            </w:tcBorders>
            <w:shd w:val="clear" w:color="auto" w:fill="auto"/>
            <w:vAlign w:val="center"/>
            <w:hideMark/>
          </w:tcPr>
          <w:p w14:paraId="6A24954D"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1,083.00</w:t>
            </w:r>
          </w:p>
        </w:tc>
      </w:tr>
      <w:tr w:rsidR="006402A2" w:rsidRPr="006402A2" w14:paraId="62D7C07D" w14:textId="77777777" w:rsidTr="006402A2">
        <w:trPr>
          <w:trHeight w:val="560"/>
        </w:trPr>
        <w:tc>
          <w:tcPr>
            <w:tcW w:w="960" w:type="dxa"/>
            <w:tcBorders>
              <w:top w:val="nil"/>
              <w:left w:val="nil"/>
              <w:bottom w:val="nil"/>
              <w:right w:val="nil"/>
            </w:tcBorders>
            <w:shd w:val="clear" w:color="auto" w:fill="auto"/>
            <w:noWrap/>
            <w:vAlign w:val="bottom"/>
            <w:hideMark/>
          </w:tcPr>
          <w:p w14:paraId="1B61ACF4"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p>
        </w:tc>
        <w:tc>
          <w:tcPr>
            <w:tcW w:w="1660" w:type="dxa"/>
            <w:tcBorders>
              <w:top w:val="nil"/>
              <w:left w:val="nil"/>
              <w:bottom w:val="nil"/>
              <w:right w:val="single" w:sz="8" w:space="0" w:color="C7D5E0"/>
            </w:tcBorders>
            <w:shd w:val="clear" w:color="ECF1F5" w:fill="ECF1F5"/>
            <w:vAlign w:val="center"/>
            <w:hideMark/>
          </w:tcPr>
          <w:p w14:paraId="0D34CA76"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Other Non-Current Assets:</w:t>
            </w:r>
          </w:p>
        </w:tc>
        <w:tc>
          <w:tcPr>
            <w:tcW w:w="1720" w:type="dxa"/>
            <w:tcBorders>
              <w:top w:val="nil"/>
              <w:left w:val="nil"/>
              <w:bottom w:val="nil"/>
              <w:right w:val="single" w:sz="8" w:space="0" w:color="C7D5E0"/>
            </w:tcBorders>
            <w:shd w:val="clear" w:color="ECF1F5" w:fill="ECF1F5"/>
            <w:vAlign w:val="center"/>
            <w:hideMark/>
          </w:tcPr>
          <w:p w14:paraId="3D47BEB9"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996</w:t>
            </w:r>
          </w:p>
        </w:tc>
        <w:tc>
          <w:tcPr>
            <w:tcW w:w="1640" w:type="dxa"/>
            <w:tcBorders>
              <w:top w:val="nil"/>
              <w:left w:val="nil"/>
              <w:bottom w:val="nil"/>
              <w:right w:val="single" w:sz="8" w:space="0" w:color="C7D5E0"/>
            </w:tcBorders>
            <w:shd w:val="clear" w:color="ECF1F5" w:fill="ECF1F5"/>
            <w:vAlign w:val="center"/>
            <w:hideMark/>
          </w:tcPr>
          <w:p w14:paraId="046C9F58"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1,177.00</w:t>
            </w:r>
          </w:p>
        </w:tc>
        <w:tc>
          <w:tcPr>
            <w:tcW w:w="1400" w:type="dxa"/>
            <w:tcBorders>
              <w:top w:val="nil"/>
              <w:left w:val="nil"/>
              <w:bottom w:val="nil"/>
              <w:right w:val="single" w:sz="8" w:space="0" w:color="C7D5E0"/>
            </w:tcBorders>
            <w:shd w:val="clear" w:color="ECF1F5" w:fill="ECF1F5"/>
            <w:vAlign w:val="center"/>
            <w:hideMark/>
          </w:tcPr>
          <w:p w14:paraId="5629A82B"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6,719.00</w:t>
            </w:r>
          </w:p>
        </w:tc>
        <w:tc>
          <w:tcPr>
            <w:tcW w:w="1500" w:type="dxa"/>
            <w:tcBorders>
              <w:top w:val="nil"/>
              <w:left w:val="nil"/>
              <w:bottom w:val="nil"/>
              <w:right w:val="single" w:sz="8" w:space="0" w:color="C7D5E0"/>
            </w:tcBorders>
            <w:shd w:val="clear" w:color="ECF1F5" w:fill="ECF1F5"/>
            <w:vAlign w:val="center"/>
            <w:hideMark/>
          </w:tcPr>
          <w:p w14:paraId="1725521D"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4,031.00</w:t>
            </w:r>
          </w:p>
        </w:tc>
        <w:tc>
          <w:tcPr>
            <w:tcW w:w="1560" w:type="dxa"/>
            <w:tcBorders>
              <w:top w:val="nil"/>
              <w:left w:val="nil"/>
              <w:bottom w:val="nil"/>
              <w:right w:val="nil"/>
            </w:tcBorders>
            <w:shd w:val="clear" w:color="ECF1F5" w:fill="ECF1F5"/>
            <w:vAlign w:val="center"/>
            <w:hideMark/>
          </w:tcPr>
          <w:p w14:paraId="0DCBE9DF"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5,652.00</w:t>
            </w:r>
          </w:p>
        </w:tc>
      </w:tr>
      <w:tr w:rsidR="006402A2" w:rsidRPr="006402A2" w14:paraId="4C2C19E8" w14:textId="77777777" w:rsidTr="006402A2">
        <w:trPr>
          <w:trHeight w:val="290"/>
        </w:trPr>
        <w:tc>
          <w:tcPr>
            <w:tcW w:w="960" w:type="dxa"/>
            <w:tcBorders>
              <w:top w:val="nil"/>
              <w:left w:val="nil"/>
              <w:bottom w:val="nil"/>
              <w:right w:val="nil"/>
            </w:tcBorders>
            <w:shd w:val="clear" w:color="auto" w:fill="auto"/>
            <w:noWrap/>
            <w:vAlign w:val="bottom"/>
            <w:hideMark/>
          </w:tcPr>
          <w:p w14:paraId="0A006942"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p>
        </w:tc>
        <w:tc>
          <w:tcPr>
            <w:tcW w:w="1660" w:type="dxa"/>
            <w:tcBorders>
              <w:top w:val="nil"/>
              <w:left w:val="nil"/>
              <w:bottom w:val="nil"/>
              <w:right w:val="single" w:sz="8" w:space="0" w:color="C7D5E0"/>
            </w:tcBorders>
            <w:shd w:val="clear" w:color="auto" w:fill="auto"/>
            <w:vAlign w:val="center"/>
            <w:hideMark/>
          </w:tcPr>
          <w:p w14:paraId="4CD2C764"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 </w:t>
            </w:r>
          </w:p>
        </w:tc>
        <w:tc>
          <w:tcPr>
            <w:tcW w:w="1720" w:type="dxa"/>
            <w:tcBorders>
              <w:top w:val="nil"/>
              <w:left w:val="nil"/>
              <w:bottom w:val="nil"/>
              <w:right w:val="single" w:sz="8" w:space="0" w:color="C7D5E0"/>
            </w:tcBorders>
            <w:shd w:val="clear" w:color="auto" w:fill="auto"/>
            <w:vAlign w:val="center"/>
            <w:hideMark/>
          </w:tcPr>
          <w:p w14:paraId="4D382CEE"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30,433.00</w:t>
            </w:r>
          </w:p>
        </w:tc>
        <w:tc>
          <w:tcPr>
            <w:tcW w:w="1640" w:type="dxa"/>
            <w:tcBorders>
              <w:top w:val="nil"/>
              <w:left w:val="nil"/>
              <w:bottom w:val="nil"/>
              <w:right w:val="single" w:sz="8" w:space="0" w:color="C7D5E0"/>
            </w:tcBorders>
            <w:shd w:val="clear" w:color="auto" w:fill="auto"/>
            <w:vAlign w:val="center"/>
            <w:hideMark/>
          </w:tcPr>
          <w:p w14:paraId="7F208BFC"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33,399.00</w:t>
            </w:r>
          </w:p>
        </w:tc>
        <w:tc>
          <w:tcPr>
            <w:tcW w:w="1400" w:type="dxa"/>
            <w:tcBorders>
              <w:top w:val="nil"/>
              <w:left w:val="nil"/>
              <w:bottom w:val="nil"/>
              <w:right w:val="single" w:sz="8" w:space="0" w:color="C7D5E0"/>
            </w:tcBorders>
            <w:shd w:val="clear" w:color="auto" w:fill="auto"/>
            <w:vAlign w:val="center"/>
            <w:hideMark/>
          </w:tcPr>
          <w:p w14:paraId="1EA74779"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37,162.00</w:t>
            </w:r>
          </w:p>
        </w:tc>
        <w:tc>
          <w:tcPr>
            <w:tcW w:w="1500" w:type="dxa"/>
            <w:tcBorders>
              <w:top w:val="nil"/>
              <w:left w:val="nil"/>
              <w:bottom w:val="nil"/>
              <w:right w:val="single" w:sz="8" w:space="0" w:color="C7D5E0"/>
            </w:tcBorders>
            <w:shd w:val="clear" w:color="auto" w:fill="auto"/>
            <w:vAlign w:val="center"/>
            <w:hideMark/>
          </w:tcPr>
          <w:p w14:paraId="126DA96D"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34,705.00</w:t>
            </w:r>
          </w:p>
        </w:tc>
        <w:tc>
          <w:tcPr>
            <w:tcW w:w="1560" w:type="dxa"/>
            <w:tcBorders>
              <w:top w:val="nil"/>
              <w:left w:val="nil"/>
              <w:bottom w:val="nil"/>
              <w:right w:val="nil"/>
            </w:tcBorders>
            <w:shd w:val="clear" w:color="auto" w:fill="auto"/>
            <w:vAlign w:val="center"/>
            <w:hideMark/>
          </w:tcPr>
          <w:p w14:paraId="1409847B"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39,254.00</w:t>
            </w:r>
          </w:p>
        </w:tc>
      </w:tr>
      <w:tr w:rsidR="006402A2" w:rsidRPr="006402A2" w14:paraId="0A46F5A0" w14:textId="77777777" w:rsidTr="006402A2">
        <w:trPr>
          <w:trHeight w:val="560"/>
        </w:trPr>
        <w:tc>
          <w:tcPr>
            <w:tcW w:w="960" w:type="dxa"/>
            <w:tcBorders>
              <w:top w:val="nil"/>
              <w:left w:val="nil"/>
              <w:bottom w:val="nil"/>
              <w:right w:val="nil"/>
            </w:tcBorders>
            <w:shd w:val="clear" w:color="auto" w:fill="auto"/>
            <w:noWrap/>
            <w:vAlign w:val="bottom"/>
            <w:hideMark/>
          </w:tcPr>
          <w:p w14:paraId="52EAAE19"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p>
        </w:tc>
        <w:tc>
          <w:tcPr>
            <w:tcW w:w="1660" w:type="dxa"/>
            <w:tcBorders>
              <w:top w:val="nil"/>
              <w:left w:val="nil"/>
              <w:bottom w:val="nil"/>
              <w:right w:val="single" w:sz="8" w:space="0" w:color="C7D5E0"/>
            </w:tcBorders>
            <w:shd w:val="clear" w:color="D1DBE4" w:fill="D1DBE4"/>
            <w:vAlign w:val="center"/>
            <w:hideMark/>
          </w:tcPr>
          <w:p w14:paraId="1025E69A" w14:textId="77777777" w:rsidR="006402A2" w:rsidRPr="006402A2" w:rsidRDefault="006402A2" w:rsidP="006402A2">
            <w:pPr>
              <w:spacing w:after="0" w:line="240" w:lineRule="auto"/>
              <w:rPr>
                <w:rFonts w:ascii="Arial" w:eastAsia="Times New Roman" w:hAnsi="Arial" w:cs="Arial"/>
                <w:b/>
                <w:bCs/>
                <w:color w:val="000000"/>
                <w:kern w:val="0"/>
                <w:sz w:val="22"/>
                <w:szCs w:val="22"/>
                <w14:ligatures w14:val="none"/>
              </w:rPr>
            </w:pPr>
            <w:r w:rsidRPr="006402A2">
              <w:rPr>
                <w:rFonts w:ascii="Arial" w:eastAsia="Times New Roman" w:hAnsi="Arial" w:cs="Arial"/>
                <w:b/>
                <w:bCs/>
                <w:color w:val="000000"/>
                <w:kern w:val="0"/>
                <w:sz w:val="22"/>
                <w:szCs w:val="22"/>
                <w14:ligatures w14:val="none"/>
              </w:rPr>
              <w:t>Current Assets: </w:t>
            </w:r>
          </w:p>
        </w:tc>
        <w:tc>
          <w:tcPr>
            <w:tcW w:w="7820" w:type="dxa"/>
            <w:gridSpan w:val="5"/>
            <w:tcBorders>
              <w:top w:val="nil"/>
              <w:left w:val="nil"/>
              <w:bottom w:val="nil"/>
              <w:right w:val="nil"/>
            </w:tcBorders>
            <w:shd w:val="clear" w:color="D1DBE4" w:fill="D1DBE4"/>
            <w:noWrap/>
            <w:vAlign w:val="bottom"/>
            <w:hideMark/>
          </w:tcPr>
          <w:p w14:paraId="190C5C8B" w14:textId="77777777" w:rsidR="006402A2" w:rsidRPr="006402A2" w:rsidRDefault="006402A2" w:rsidP="006402A2">
            <w:pPr>
              <w:spacing w:after="0" w:line="240" w:lineRule="auto"/>
              <w:rPr>
                <w:rFonts w:ascii="Aptos Narrow" w:eastAsia="Times New Roman" w:hAnsi="Aptos Narrow" w:cs="Times New Roman"/>
                <w:color w:val="000000"/>
                <w:kern w:val="0"/>
                <w:sz w:val="22"/>
                <w:szCs w:val="22"/>
                <w14:ligatures w14:val="none"/>
              </w:rPr>
            </w:pPr>
            <w:r w:rsidRPr="006402A2">
              <w:rPr>
                <w:rFonts w:ascii="Aptos Narrow" w:eastAsia="Times New Roman" w:hAnsi="Aptos Narrow" w:cs="Times New Roman"/>
                <w:color w:val="000000"/>
                <w:kern w:val="0"/>
                <w:sz w:val="22"/>
                <w:szCs w:val="22"/>
                <w14:ligatures w14:val="none"/>
              </w:rPr>
              <w:t> </w:t>
            </w:r>
          </w:p>
        </w:tc>
      </w:tr>
      <w:tr w:rsidR="006402A2" w:rsidRPr="006402A2" w14:paraId="7FC871E5" w14:textId="77777777" w:rsidTr="006402A2">
        <w:trPr>
          <w:trHeight w:val="290"/>
        </w:trPr>
        <w:tc>
          <w:tcPr>
            <w:tcW w:w="960" w:type="dxa"/>
            <w:tcBorders>
              <w:top w:val="nil"/>
              <w:left w:val="nil"/>
              <w:bottom w:val="nil"/>
              <w:right w:val="nil"/>
            </w:tcBorders>
            <w:shd w:val="clear" w:color="auto" w:fill="auto"/>
            <w:noWrap/>
            <w:vAlign w:val="bottom"/>
            <w:hideMark/>
          </w:tcPr>
          <w:p w14:paraId="5F49A648" w14:textId="77777777" w:rsidR="006402A2" w:rsidRPr="006402A2" w:rsidRDefault="006402A2" w:rsidP="006402A2">
            <w:pPr>
              <w:spacing w:after="0" w:line="240" w:lineRule="auto"/>
              <w:rPr>
                <w:rFonts w:ascii="Aptos Narrow" w:eastAsia="Times New Roman" w:hAnsi="Aptos Narrow" w:cs="Times New Roman"/>
                <w:color w:val="000000"/>
                <w:kern w:val="0"/>
                <w:sz w:val="22"/>
                <w:szCs w:val="22"/>
                <w14:ligatures w14:val="none"/>
              </w:rPr>
            </w:pPr>
          </w:p>
        </w:tc>
        <w:tc>
          <w:tcPr>
            <w:tcW w:w="1660" w:type="dxa"/>
            <w:tcBorders>
              <w:top w:val="nil"/>
              <w:left w:val="nil"/>
              <w:bottom w:val="nil"/>
              <w:right w:val="single" w:sz="8" w:space="0" w:color="C7D5E0"/>
            </w:tcBorders>
            <w:shd w:val="clear" w:color="auto" w:fill="auto"/>
            <w:vAlign w:val="center"/>
            <w:hideMark/>
          </w:tcPr>
          <w:p w14:paraId="277D09F9"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Inventories:</w:t>
            </w:r>
          </w:p>
        </w:tc>
        <w:tc>
          <w:tcPr>
            <w:tcW w:w="1720" w:type="dxa"/>
            <w:tcBorders>
              <w:top w:val="nil"/>
              <w:left w:val="nil"/>
              <w:bottom w:val="nil"/>
              <w:right w:val="single" w:sz="8" w:space="0" w:color="C7D5E0"/>
            </w:tcBorders>
            <w:shd w:val="clear" w:color="auto" w:fill="auto"/>
            <w:vAlign w:val="center"/>
            <w:hideMark/>
          </w:tcPr>
          <w:p w14:paraId="02F46BEE"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2,635.00</w:t>
            </w:r>
          </w:p>
        </w:tc>
        <w:tc>
          <w:tcPr>
            <w:tcW w:w="1640" w:type="dxa"/>
            <w:tcBorders>
              <w:top w:val="nil"/>
              <w:left w:val="nil"/>
              <w:bottom w:val="nil"/>
              <w:right w:val="single" w:sz="8" w:space="0" w:color="C7D5E0"/>
            </w:tcBorders>
            <w:shd w:val="clear" w:color="auto" w:fill="auto"/>
            <w:vAlign w:val="center"/>
            <w:hideMark/>
          </w:tcPr>
          <w:p w14:paraId="75DD2E19"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2,510.00</w:t>
            </w:r>
          </w:p>
        </w:tc>
        <w:tc>
          <w:tcPr>
            <w:tcW w:w="1400" w:type="dxa"/>
            <w:tcBorders>
              <w:top w:val="nil"/>
              <w:left w:val="nil"/>
              <w:bottom w:val="nil"/>
              <w:right w:val="single" w:sz="8" w:space="0" w:color="C7D5E0"/>
            </w:tcBorders>
            <w:shd w:val="clear" w:color="auto" w:fill="auto"/>
            <w:vAlign w:val="center"/>
            <w:hideMark/>
          </w:tcPr>
          <w:p w14:paraId="413E6E78"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2,339.00</w:t>
            </w:r>
          </w:p>
        </w:tc>
        <w:tc>
          <w:tcPr>
            <w:tcW w:w="1500" w:type="dxa"/>
            <w:tcBorders>
              <w:top w:val="nil"/>
              <w:left w:val="nil"/>
              <w:bottom w:val="nil"/>
              <w:right w:val="single" w:sz="8" w:space="0" w:color="C7D5E0"/>
            </w:tcBorders>
            <w:shd w:val="clear" w:color="auto" w:fill="auto"/>
            <w:vAlign w:val="center"/>
            <w:hideMark/>
          </w:tcPr>
          <w:p w14:paraId="1320C60A"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2,069.00</w:t>
            </w:r>
          </w:p>
        </w:tc>
        <w:tc>
          <w:tcPr>
            <w:tcW w:w="1560" w:type="dxa"/>
            <w:tcBorders>
              <w:top w:val="nil"/>
              <w:left w:val="nil"/>
              <w:bottom w:val="nil"/>
              <w:right w:val="nil"/>
            </w:tcBorders>
            <w:shd w:val="clear" w:color="auto" w:fill="auto"/>
            <w:vAlign w:val="center"/>
            <w:hideMark/>
          </w:tcPr>
          <w:p w14:paraId="6B5A3C4E"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2,433.00</w:t>
            </w:r>
          </w:p>
        </w:tc>
      </w:tr>
      <w:tr w:rsidR="006402A2" w:rsidRPr="006402A2" w14:paraId="38CF5CDF" w14:textId="77777777" w:rsidTr="006402A2">
        <w:trPr>
          <w:trHeight w:val="840"/>
        </w:trPr>
        <w:tc>
          <w:tcPr>
            <w:tcW w:w="960" w:type="dxa"/>
            <w:tcBorders>
              <w:top w:val="nil"/>
              <w:left w:val="nil"/>
              <w:bottom w:val="nil"/>
              <w:right w:val="nil"/>
            </w:tcBorders>
            <w:shd w:val="clear" w:color="auto" w:fill="auto"/>
            <w:noWrap/>
            <w:vAlign w:val="bottom"/>
            <w:hideMark/>
          </w:tcPr>
          <w:p w14:paraId="47C65E3E"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p>
        </w:tc>
        <w:tc>
          <w:tcPr>
            <w:tcW w:w="1660" w:type="dxa"/>
            <w:tcBorders>
              <w:top w:val="nil"/>
              <w:left w:val="nil"/>
              <w:bottom w:val="nil"/>
              <w:right w:val="single" w:sz="8" w:space="0" w:color="C7D5E0"/>
            </w:tcBorders>
            <w:shd w:val="clear" w:color="ECF1F5" w:fill="ECF1F5"/>
            <w:vAlign w:val="center"/>
            <w:hideMark/>
          </w:tcPr>
          <w:p w14:paraId="201A5AB3"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Trade and Other Receivables:</w:t>
            </w:r>
          </w:p>
        </w:tc>
        <w:tc>
          <w:tcPr>
            <w:tcW w:w="1720" w:type="dxa"/>
            <w:tcBorders>
              <w:top w:val="nil"/>
              <w:left w:val="nil"/>
              <w:bottom w:val="nil"/>
              <w:right w:val="single" w:sz="8" w:space="0" w:color="C7D5E0"/>
            </w:tcBorders>
            <w:shd w:val="clear" w:color="ECF1F5" w:fill="ECF1F5"/>
            <w:vAlign w:val="center"/>
            <w:hideMark/>
          </w:tcPr>
          <w:p w14:paraId="2E164744"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1,349.00</w:t>
            </w:r>
          </w:p>
        </w:tc>
        <w:tc>
          <w:tcPr>
            <w:tcW w:w="1640" w:type="dxa"/>
            <w:tcBorders>
              <w:top w:val="nil"/>
              <w:left w:val="nil"/>
              <w:bottom w:val="nil"/>
              <w:right w:val="single" w:sz="8" w:space="0" w:color="C7D5E0"/>
            </w:tcBorders>
            <w:shd w:val="clear" w:color="ECF1F5" w:fill="ECF1F5"/>
            <w:vAlign w:val="center"/>
            <w:hideMark/>
          </w:tcPr>
          <w:p w14:paraId="27B8C50F"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1,235.00</w:t>
            </w:r>
          </w:p>
        </w:tc>
        <w:tc>
          <w:tcPr>
            <w:tcW w:w="1400" w:type="dxa"/>
            <w:tcBorders>
              <w:top w:val="nil"/>
              <w:left w:val="nil"/>
              <w:bottom w:val="nil"/>
              <w:right w:val="single" w:sz="8" w:space="0" w:color="C7D5E0"/>
            </w:tcBorders>
            <w:shd w:val="clear" w:color="ECF1F5" w:fill="ECF1F5"/>
            <w:vAlign w:val="center"/>
            <w:hideMark/>
          </w:tcPr>
          <w:p w14:paraId="766CA39E"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1,263.00</w:t>
            </w:r>
          </w:p>
        </w:tc>
        <w:tc>
          <w:tcPr>
            <w:tcW w:w="1500" w:type="dxa"/>
            <w:tcBorders>
              <w:top w:val="nil"/>
              <w:left w:val="nil"/>
              <w:bottom w:val="nil"/>
              <w:right w:val="single" w:sz="8" w:space="0" w:color="C7D5E0"/>
            </w:tcBorders>
            <w:shd w:val="clear" w:color="ECF1F5" w:fill="ECF1F5"/>
            <w:vAlign w:val="center"/>
            <w:hideMark/>
          </w:tcPr>
          <w:p w14:paraId="40CDD611"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1,263.00</w:t>
            </w:r>
          </w:p>
        </w:tc>
        <w:tc>
          <w:tcPr>
            <w:tcW w:w="1560" w:type="dxa"/>
            <w:tcBorders>
              <w:top w:val="nil"/>
              <w:left w:val="nil"/>
              <w:bottom w:val="nil"/>
              <w:right w:val="nil"/>
            </w:tcBorders>
            <w:shd w:val="clear" w:color="ECF1F5" w:fill="ECF1F5"/>
            <w:vAlign w:val="center"/>
            <w:hideMark/>
          </w:tcPr>
          <w:p w14:paraId="339A12C8"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1,396.00</w:t>
            </w:r>
          </w:p>
        </w:tc>
      </w:tr>
      <w:tr w:rsidR="006402A2" w:rsidRPr="006402A2" w14:paraId="21769549" w14:textId="77777777" w:rsidTr="006402A2">
        <w:trPr>
          <w:trHeight w:val="560"/>
        </w:trPr>
        <w:tc>
          <w:tcPr>
            <w:tcW w:w="960" w:type="dxa"/>
            <w:tcBorders>
              <w:top w:val="nil"/>
              <w:left w:val="nil"/>
              <w:bottom w:val="nil"/>
              <w:right w:val="nil"/>
            </w:tcBorders>
            <w:shd w:val="clear" w:color="auto" w:fill="auto"/>
            <w:noWrap/>
            <w:vAlign w:val="bottom"/>
            <w:hideMark/>
          </w:tcPr>
          <w:p w14:paraId="062AA52A"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p>
        </w:tc>
        <w:tc>
          <w:tcPr>
            <w:tcW w:w="1660" w:type="dxa"/>
            <w:tcBorders>
              <w:top w:val="nil"/>
              <w:left w:val="nil"/>
              <w:bottom w:val="nil"/>
              <w:right w:val="single" w:sz="8" w:space="0" w:color="C7D5E0"/>
            </w:tcBorders>
            <w:shd w:val="clear" w:color="auto" w:fill="auto"/>
            <w:vAlign w:val="center"/>
            <w:hideMark/>
          </w:tcPr>
          <w:p w14:paraId="2D0F010B"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Cash at Bank &amp; In Hand:</w:t>
            </w:r>
          </w:p>
        </w:tc>
        <w:tc>
          <w:tcPr>
            <w:tcW w:w="1720" w:type="dxa"/>
            <w:tcBorders>
              <w:top w:val="nil"/>
              <w:left w:val="nil"/>
              <w:bottom w:val="nil"/>
              <w:right w:val="single" w:sz="8" w:space="0" w:color="C7D5E0"/>
            </w:tcBorders>
            <w:shd w:val="clear" w:color="auto" w:fill="auto"/>
            <w:vAlign w:val="center"/>
            <w:hideMark/>
          </w:tcPr>
          <w:p w14:paraId="33A7D318"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2,340.00</w:t>
            </w:r>
          </w:p>
        </w:tc>
        <w:tc>
          <w:tcPr>
            <w:tcW w:w="1640" w:type="dxa"/>
            <w:tcBorders>
              <w:top w:val="nil"/>
              <w:left w:val="nil"/>
              <w:bottom w:val="nil"/>
              <w:right w:val="single" w:sz="8" w:space="0" w:color="C7D5E0"/>
            </w:tcBorders>
            <w:shd w:val="clear" w:color="auto" w:fill="auto"/>
            <w:vAlign w:val="center"/>
            <w:hideMark/>
          </w:tcPr>
          <w:p w14:paraId="485A203A"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2,465.00</w:t>
            </w:r>
          </w:p>
        </w:tc>
        <w:tc>
          <w:tcPr>
            <w:tcW w:w="1400" w:type="dxa"/>
            <w:tcBorders>
              <w:top w:val="nil"/>
              <w:left w:val="nil"/>
              <w:bottom w:val="nil"/>
              <w:right w:val="single" w:sz="8" w:space="0" w:color="C7D5E0"/>
            </w:tcBorders>
            <w:shd w:val="clear" w:color="auto" w:fill="auto"/>
            <w:vAlign w:val="center"/>
            <w:hideMark/>
          </w:tcPr>
          <w:p w14:paraId="4493291C"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2,345.00</w:t>
            </w:r>
          </w:p>
        </w:tc>
        <w:tc>
          <w:tcPr>
            <w:tcW w:w="1500" w:type="dxa"/>
            <w:tcBorders>
              <w:top w:val="nil"/>
              <w:left w:val="nil"/>
              <w:bottom w:val="nil"/>
              <w:right w:val="single" w:sz="8" w:space="0" w:color="C7D5E0"/>
            </w:tcBorders>
            <w:shd w:val="clear" w:color="auto" w:fill="auto"/>
            <w:vAlign w:val="center"/>
            <w:hideMark/>
          </w:tcPr>
          <w:p w14:paraId="5C9D016B"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2,510.00</w:t>
            </w:r>
          </w:p>
        </w:tc>
        <w:tc>
          <w:tcPr>
            <w:tcW w:w="1560" w:type="dxa"/>
            <w:tcBorders>
              <w:top w:val="nil"/>
              <w:left w:val="nil"/>
              <w:bottom w:val="nil"/>
              <w:right w:val="nil"/>
            </w:tcBorders>
            <w:shd w:val="clear" w:color="auto" w:fill="auto"/>
            <w:vAlign w:val="center"/>
            <w:hideMark/>
          </w:tcPr>
          <w:p w14:paraId="0E4C5571"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4,137.00</w:t>
            </w:r>
          </w:p>
        </w:tc>
      </w:tr>
      <w:tr w:rsidR="006402A2" w:rsidRPr="006402A2" w14:paraId="201DF9C9" w14:textId="77777777" w:rsidTr="006402A2">
        <w:trPr>
          <w:trHeight w:val="560"/>
        </w:trPr>
        <w:tc>
          <w:tcPr>
            <w:tcW w:w="960" w:type="dxa"/>
            <w:tcBorders>
              <w:top w:val="nil"/>
              <w:left w:val="nil"/>
              <w:bottom w:val="nil"/>
              <w:right w:val="nil"/>
            </w:tcBorders>
            <w:shd w:val="clear" w:color="auto" w:fill="auto"/>
            <w:noWrap/>
            <w:vAlign w:val="bottom"/>
            <w:hideMark/>
          </w:tcPr>
          <w:p w14:paraId="5D49E510"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p>
        </w:tc>
        <w:tc>
          <w:tcPr>
            <w:tcW w:w="1660" w:type="dxa"/>
            <w:tcBorders>
              <w:top w:val="nil"/>
              <w:left w:val="nil"/>
              <w:bottom w:val="nil"/>
              <w:right w:val="single" w:sz="8" w:space="0" w:color="C7D5E0"/>
            </w:tcBorders>
            <w:shd w:val="clear" w:color="ECF1F5" w:fill="ECF1F5"/>
            <w:vAlign w:val="center"/>
            <w:hideMark/>
          </w:tcPr>
          <w:p w14:paraId="76E584F4"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Current Asset Investments:</w:t>
            </w:r>
          </w:p>
        </w:tc>
        <w:tc>
          <w:tcPr>
            <w:tcW w:w="1720" w:type="dxa"/>
            <w:tcBorders>
              <w:top w:val="nil"/>
              <w:left w:val="nil"/>
              <w:bottom w:val="nil"/>
              <w:right w:val="single" w:sz="8" w:space="0" w:color="C7D5E0"/>
            </w:tcBorders>
            <w:shd w:val="clear" w:color="ECF1F5" w:fill="ECF1F5"/>
            <w:vAlign w:val="center"/>
            <w:hideMark/>
          </w:tcPr>
          <w:p w14:paraId="5E2A854A"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2,334.00</w:t>
            </w:r>
          </w:p>
        </w:tc>
        <w:tc>
          <w:tcPr>
            <w:tcW w:w="1640" w:type="dxa"/>
            <w:tcBorders>
              <w:top w:val="nil"/>
              <w:left w:val="nil"/>
              <w:bottom w:val="nil"/>
              <w:right w:val="single" w:sz="8" w:space="0" w:color="C7D5E0"/>
            </w:tcBorders>
            <w:shd w:val="clear" w:color="ECF1F5" w:fill="ECF1F5"/>
            <w:vAlign w:val="center"/>
            <w:hideMark/>
          </w:tcPr>
          <w:p w14:paraId="20486371"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1,981.00</w:t>
            </w:r>
          </w:p>
        </w:tc>
        <w:tc>
          <w:tcPr>
            <w:tcW w:w="1400" w:type="dxa"/>
            <w:tcBorders>
              <w:top w:val="nil"/>
              <w:left w:val="nil"/>
              <w:bottom w:val="nil"/>
              <w:right w:val="single" w:sz="8" w:space="0" w:color="C7D5E0"/>
            </w:tcBorders>
            <w:shd w:val="clear" w:color="ECF1F5" w:fill="ECF1F5"/>
            <w:vAlign w:val="center"/>
            <w:hideMark/>
          </w:tcPr>
          <w:p w14:paraId="141BADAF"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2,302.00</w:t>
            </w:r>
          </w:p>
        </w:tc>
        <w:tc>
          <w:tcPr>
            <w:tcW w:w="1500" w:type="dxa"/>
            <w:tcBorders>
              <w:top w:val="nil"/>
              <w:left w:val="nil"/>
              <w:bottom w:val="nil"/>
              <w:right w:val="single" w:sz="8" w:space="0" w:color="C7D5E0"/>
            </w:tcBorders>
            <w:shd w:val="clear" w:color="ECF1F5" w:fill="ECF1F5"/>
            <w:vAlign w:val="center"/>
            <w:hideMark/>
          </w:tcPr>
          <w:p w14:paraId="04E2DEEE"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1,189.00</w:t>
            </w:r>
          </w:p>
        </w:tc>
        <w:tc>
          <w:tcPr>
            <w:tcW w:w="1560" w:type="dxa"/>
            <w:tcBorders>
              <w:top w:val="nil"/>
              <w:left w:val="nil"/>
              <w:bottom w:val="nil"/>
              <w:right w:val="nil"/>
            </w:tcBorders>
            <w:shd w:val="clear" w:color="ECF1F5" w:fill="ECF1F5"/>
            <w:vAlign w:val="center"/>
            <w:hideMark/>
          </w:tcPr>
          <w:p w14:paraId="0E8F0776"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1,076.00</w:t>
            </w:r>
          </w:p>
        </w:tc>
      </w:tr>
      <w:tr w:rsidR="006402A2" w:rsidRPr="006402A2" w14:paraId="6635F9F2" w14:textId="77777777" w:rsidTr="006402A2">
        <w:trPr>
          <w:trHeight w:val="560"/>
        </w:trPr>
        <w:tc>
          <w:tcPr>
            <w:tcW w:w="960" w:type="dxa"/>
            <w:tcBorders>
              <w:top w:val="nil"/>
              <w:left w:val="nil"/>
              <w:bottom w:val="nil"/>
              <w:right w:val="nil"/>
            </w:tcBorders>
            <w:shd w:val="clear" w:color="auto" w:fill="auto"/>
            <w:noWrap/>
            <w:vAlign w:val="bottom"/>
            <w:hideMark/>
          </w:tcPr>
          <w:p w14:paraId="3904452C"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p>
        </w:tc>
        <w:tc>
          <w:tcPr>
            <w:tcW w:w="1660" w:type="dxa"/>
            <w:tcBorders>
              <w:top w:val="nil"/>
              <w:left w:val="nil"/>
              <w:bottom w:val="nil"/>
              <w:right w:val="single" w:sz="8" w:space="0" w:color="C7D5E0"/>
            </w:tcBorders>
            <w:shd w:val="clear" w:color="auto" w:fill="auto"/>
            <w:vAlign w:val="center"/>
            <w:hideMark/>
          </w:tcPr>
          <w:p w14:paraId="73DE88D1"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Other Current Assets:</w:t>
            </w:r>
          </w:p>
        </w:tc>
        <w:tc>
          <w:tcPr>
            <w:tcW w:w="1720" w:type="dxa"/>
            <w:tcBorders>
              <w:top w:val="nil"/>
              <w:left w:val="nil"/>
              <w:bottom w:val="nil"/>
              <w:right w:val="single" w:sz="8" w:space="0" w:color="C7D5E0"/>
            </w:tcBorders>
            <w:shd w:val="clear" w:color="auto" w:fill="auto"/>
            <w:vAlign w:val="center"/>
            <w:hideMark/>
          </w:tcPr>
          <w:p w14:paraId="3B339FFB"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7,948.00</w:t>
            </w:r>
          </w:p>
        </w:tc>
        <w:tc>
          <w:tcPr>
            <w:tcW w:w="1640" w:type="dxa"/>
            <w:tcBorders>
              <w:top w:val="nil"/>
              <w:left w:val="nil"/>
              <w:bottom w:val="nil"/>
              <w:right w:val="single" w:sz="8" w:space="0" w:color="C7D5E0"/>
            </w:tcBorders>
            <w:shd w:val="clear" w:color="auto" w:fill="auto"/>
            <w:vAlign w:val="center"/>
            <w:hideMark/>
          </w:tcPr>
          <w:p w14:paraId="468D22F2"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4,278.00</w:t>
            </w:r>
          </w:p>
        </w:tc>
        <w:tc>
          <w:tcPr>
            <w:tcW w:w="1400" w:type="dxa"/>
            <w:tcBorders>
              <w:top w:val="nil"/>
              <w:left w:val="nil"/>
              <w:bottom w:val="nil"/>
              <w:right w:val="single" w:sz="8" w:space="0" w:color="C7D5E0"/>
            </w:tcBorders>
            <w:shd w:val="clear" w:color="auto" w:fill="auto"/>
            <w:vAlign w:val="center"/>
            <w:hideMark/>
          </w:tcPr>
          <w:p w14:paraId="2F8271AF"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3,572.00</w:t>
            </w:r>
          </w:p>
        </w:tc>
        <w:tc>
          <w:tcPr>
            <w:tcW w:w="1500" w:type="dxa"/>
            <w:tcBorders>
              <w:top w:val="nil"/>
              <w:left w:val="nil"/>
              <w:bottom w:val="nil"/>
              <w:right w:val="single" w:sz="8" w:space="0" w:color="C7D5E0"/>
            </w:tcBorders>
            <w:shd w:val="clear" w:color="auto" w:fill="auto"/>
            <w:vAlign w:val="center"/>
            <w:hideMark/>
          </w:tcPr>
          <w:p w14:paraId="3A502343"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3,171.00</w:t>
            </w:r>
          </w:p>
        </w:tc>
        <w:tc>
          <w:tcPr>
            <w:tcW w:w="1560" w:type="dxa"/>
            <w:tcBorders>
              <w:top w:val="nil"/>
              <w:left w:val="nil"/>
              <w:bottom w:val="nil"/>
              <w:right w:val="nil"/>
            </w:tcBorders>
            <w:shd w:val="clear" w:color="auto" w:fill="auto"/>
            <w:vAlign w:val="center"/>
            <w:hideMark/>
          </w:tcPr>
          <w:p w14:paraId="2F658F44"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4,566.00</w:t>
            </w:r>
          </w:p>
        </w:tc>
      </w:tr>
      <w:tr w:rsidR="006402A2" w:rsidRPr="006402A2" w14:paraId="2CD46A8C" w14:textId="77777777" w:rsidTr="006402A2">
        <w:trPr>
          <w:trHeight w:val="290"/>
        </w:trPr>
        <w:tc>
          <w:tcPr>
            <w:tcW w:w="960" w:type="dxa"/>
            <w:tcBorders>
              <w:top w:val="nil"/>
              <w:left w:val="nil"/>
              <w:bottom w:val="nil"/>
              <w:right w:val="nil"/>
            </w:tcBorders>
            <w:shd w:val="clear" w:color="auto" w:fill="auto"/>
            <w:noWrap/>
            <w:vAlign w:val="bottom"/>
            <w:hideMark/>
          </w:tcPr>
          <w:p w14:paraId="3FC29560"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p>
        </w:tc>
        <w:tc>
          <w:tcPr>
            <w:tcW w:w="1660" w:type="dxa"/>
            <w:tcBorders>
              <w:top w:val="nil"/>
              <w:left w:val="nil"/>
              <w:bottom w:val="nil"/>
              <w:right w:val="single" w:sz="8" w:space="0" w:color="C7D5E0"/>
            </w:tcBorders>
            <w:shd w:val="clear" w:color="auto" w:fill="auto"/>
            <w:vAlign w:val="center"/>
            <w:hideMark/>
          </w:tcPr>
          <w:p w14:paraId="26E96343" w14:textId="77777777" w:rsidR="006402A2" w:rsidRPr="006402A2" w:rsidRDefault="006402A2" w:rsidP="006402A2">
            <w:pPr>
              <w:spacing w:after="0" w:line="240" w:lineRule="auto"/>
              <w:rPr>
                <w:rFonts w:ascii="Arial" w:eastAsia="Times New Roman" w:hAnsi="Arial" w:cs="Arial"/>
                <w:b/>
                <w:bCs/>
                <w:color w:val="000000"/>
                <w:kern w:val="0"/>
                <w:sz w:val="22"/>
                <w:szCs w:val="22"/>
                <w14:ligatures w14:val="none"/>
              </w:rPr>
            </w:pPr>
            <w:r w:rsidRPr="006402A2">
              <w:rPr>
                <w:rFonts w:ascii="Arial" w:eastAsia="Times New Roman" w:hAnsi="Arial" w:cs="Arial"/>
                <w:b/>
                <w:bCs/>
                <w:color w:val="000000"/>
                <w:kern w:val="0"/>
                <w:sz w:val="22"/>
                <w:szCs w:val="22"/>
                <w14:ligatures w14:val="none"/>
              </w:rPr>
              <w:t> </w:t>
            </w:r>
          </w:p>
        </w:tc>
        <w:tc>
          <w:tcPr>
            <w:tcW w:w="1720" w:type="dxa"/>
            <w:tcBorders>
              <w:top w:val="nil"/>
              <w:left w:val="nil"/>
              <w:bottom w:val="nil"/>
              <w:right w:val="single" w:sz="8" w:space="0" w:color="C7D5E0"/>
            </w:tcBorders>
            <w:shd w:val="clear" w:color="auto" w:fill="auto"/>
            <w:vAlign w:val="center"/>
            <w:hideMark/>
          </w:tcPr>
          <w:p w14:paraId="6291BD95" w14:textId="77777777" w:rsidR="006402A2" w:rsidRPr="006402A2" w:rsidRDefault="006402A2" w:rsidP="006402A2">
            <w:pPr>
              <w:spacing w:after="0" w:line="240" w:lineRule="auto"/>
              <w:jc w:val="right"/>
              <w:rPr>
                <w:rFonts w:ascii="Arial" w:eastAsia="Times New Roman" w:hAnsi="Arial" w:cs="Arial"/>
                <w:b/>
                <w:bCs/>
                <w:color w:val="000000"/>
                <w:kern w:val="0"/>
                <w:sz w:val="22"/>
                <w:szCs w:val="22"/>
                <w14:ligatures w14:val="none"/>
              </w:rPr>
            </w:pPr>
            <w:r w:rsidRPr="006402A2">
              <w:rPr>
                <w:rFonts w:ascii="Arial" w:eastAsia="Times New Roman" w:hAnsi="Arial" w:cs="Arial"/>
                <w:b/>
                <w:bCs/>
                <w:color w:val="000000"/>
                <w:kern w:val="0"/>
                <w:sz w:val="22"/>
                <w:szCs w:val="22"/>
                <w14:ligatures w14:val="none"/>
              </w:rPr>
              <w:t>16,606.00</w:t>
            </w:r>
          </w:p>
        </w:tc>
        <w:tc>
          <w:tcPr>
            <w:tcW w:w="1640" w:type="dxa"/>
            <w:tcBorders>
              <w:top w:val="nil"/>
              <w:left w:val="nil"/>
              <w:bottom w:val="nil"/>
              <w:right w:val="single" w:sz="8" w:space="0" w:color="C7D5E0"/>
            </w:tcBorders>
            <w:shd w:val="clear" w:color="auto" w:fill="auto"/>
            <w:vAlign w:val="center"/>
            <w:hideMark/>
          </w:tcPr>
          <w:p w14:paraId="0C22D878" w14:textId="77777777" w:rsidR="006402A2" w:rsidRPr="006402A2" w:rsidRDefault="006402A2" w:rsidP="006402A2">
            <w:pPr>
              <w:spacing w:after="0" w:line="240" w:lineRule="auto"/>
              <w:jc w:val="right"/>
              <w:rPr>
                <w:rFonts w:ascii="Arial" w:eastAsia="Times New Roman" w:hAnsi="Arial" w:cs="Arial"/>
                <w:b/>
                <w:bCs/>
                <w:color w:val="000000"/>
                <w:kern w:val="0"/>
                <w:sz w:val="22"/>
                <w:szCs w:val="22"/>
                <w14:ligatures w14:val="none"/>
              </w:rPr>
            </w:pPr>
            <w:r w:rsidRPr="006402A2">
              <w:rPr>
                <w:rFonts w:ascii="Arial" w:eastAsia="Times New Roman" w:hAnsi="Arial" w:cs="Arial"/>
                <w:b/>
                <w:bCs/>
                <w:color w:val="000000"/>
                <w:kern w:val="0"/>
                <w:sz w:val="22"/>
                <w:szCs w:val="22"/>
                <w14:ligatures w14:val="none"/>
              </w:rPr>
              <w:t>12,469.00</w:t>
            </w:r>
          </w:p>
        </w:tc>
        <w:tc>
          <w:tcPr>
            <w:tcW w:w="1400" w:type="dxa"/>
            <w:tcBorders>
              <w:top w:val="nil"/>
              <w:left w:val="nil"/>
              <w:bottom w:val="nil"/>
              <w:right w:val="single" w:sz="8" w:space="0" w:color="C7D5E0"/>
            </w:tcBorders>
            <w:shd w:val="clear" w:color="auto" w:fill="auto"/>
            <w:vAlign w:val="center"/>
            <w:hideMark/>
          </w:tcPr>
          <w:p w14:paraId="2FD7372E" w14:textId="77777777" w:rsidR="006402A2" w:rsidRPr="006402A2" w:rsidRDefault="006402A2" w:rsidP="006402A2">
            <w:pPr>
              <w:spacing w:after="0" w:line="240" w:lineRule="auto"/>
              <w:jc w:val="right"/>
              <w:rPr>
                <w:rFonts w:ascii="Arial" w:eastAsia="Times New Roman" w:hAnsi="Arial" w:cs="Arial"/>
                <w:b/>
                <w:bCs/>
                <w:color w:val="000000"/>
                <w:kern w:val="0"/>
                <w:sz w:val="22"/>
                <w:szCs w:val="22"/>
                <w14:ligatures w14:val="none"/>
              </w:rPr>
            </w:pPr>
            <w:r w:rsidRPr="006402A2">
              <w:rPr>
                <w:rFonts w:ascii="Arial" w:eastAsia="Times New Roman" w:hAnsi="Arial" w:cs="Arial"/>
                <w:b/>
                <w:bCs/>
                <w:color w:val="000000"/>
                <w:kern w:val="0"/>
                <w:sz w:val="22"/>
                <w:szCs w:val="22"/>
                <w14:ligatures w14:val="none"/>
              </w:rPr>
              <w:t>11,821.00</w:t>
            </w:r>
          </w:p>
        </w:tc>
        <w:tc>
          <w:tcPr>
            <w:tcW w:w="1500" w:type="dxa"/>
            <w:tcBorders>
              <w:top w:val="nil"/>
              <w:left w:val="nil"/>
              <w:bottom w:val="nil"/>
              <w:right w:val="single" w:sz="8" w:space="0" w:color="C7D5E0"/>
            </w:tcBorders>
            <w:shd w:val="clear" w:color="auto" w:fill="auto"/>
            <w:vAlign w:val="center"/>
            <w:hideMark/>
          </w:tcPr>
          <w:p w14:paraId="6E6CB367" w14:textId="77777777" w:rsidR="006402A2" w:rsidRPr="006402A2" w:rsidRDefault="006402A2" w:rsidP="006402A2">
            <w:pPr>
              <w:spacing w:after="0" w:line="240" w:lineRule="auto"/>
              <w:jc w:val="right"/>
              <w:rPr>
                <w:rFonts w:ascii="Arial" w:eastAsia="Times New Roman" w:hAnsi="Arial" w:cs="Arial"/>
                <w:b/>
                <w:bCs/>
                <w:color w:val="000000"/>
                <w:kern w:val="0"/>
                <w:sz w:val="22"/>
                <w:szCs w:val="22"/>
                <w14:ligatures w14:val="none"/>
              </w:rPr>
            </w:pPr>
            <w:r w:rsidRPr="006402A2">
              <w:rPr>
                <w:rFonts w:ascii="Arial" w:eastAsia="Times New Roman" w:hAnsi="Arial" w:cs="Arial"/>
                <w:b/>
                <w:bCs/>
                <w:color w:val="000000"/>
                <w:kern w:val="0"/>
                <w:sz w:val="22"/>
                <w:szCs w:val="22"/>
                <w14:ligatures w14:val="none"/>
              </w:rPr>
              <w:t>10,202.00</w:t>
            </w:r>
          </w:p>
        </w:tc>
        <w:tc>
          <w:tcPr>
            <w:tcW w:w="1560" w:type="dxa"/>
            <w:tcBorders>
              <w:top w:val="nil"/>
              <w:left w:val="nil"/>
              <w:bottom w:val="nil"/>
              <w:right w:val="nil"/>
            </w:tcBorders>
            <w:shd w:val="clear" w:color="auto" w:fill="auto"/>
            <w:vAlign w:val="center"/>
            <w:hideMark/>
          </w:tcPr>
          <w:p w14:paraId="5B2B727F" w14:textId="77777777" w:rsidR="006402A2" w:rsidRPr="006402A2" w:rsidRDefault="006402A2" w:rsidP="006402A2">
            <w:pPr>
              <w:spacing w:after="0" w:line="240" w:lineRule="auto"/>
              <w:jc w:val="right"/>
              <w:rPr>
                <w:rFonts w:ascii="Arial" w:eastAsia="Times New Roman" w:hAnsi="Arial" w:cs="Arial"/>
                <w:b/>
                <w:bCs/>
                <w:color w:val="000000"/>
                <w:kern w:val="0"/>
                <w:sz w:val="22"/>
                <w:szCs w:val="22"/>
                <w14:ligatures w14:val="none"/>
              </w:rPr>
            </w:pPr>
            <w:r w:rsidRPr="006402A2">
              <w:rPr>
                <w:rFonts w:ascii="Arial" w:eastAsia="Times New Roman" w:hAnsi="Arial" w:cs="Arial"/>
                <w:b/>
                <w:bCs/>
                <w:color w:val="000000"/>
                <w:kern w:val="0"/>
                <w:sz w:val="22"/>
                <w:szCs w:val="22"/>
                <w14:ligatures w14:val="none"/>
              </w:rPr>
              <w:t>13,608.00</w:t>
            </w:r>
          </w:p>
        </w:tc>
      </w:tr>
      <w:tr w:rsidR="006402A2" w:rsidRPr="006402A2" w14:paraId="0C07FD13" w14:textId="77777777" w:rsidTr="006402A2">
        <w:trPr>
          <w:trHeight w:val="290"/>
        </w:trPr>
        <w:tc>
          <w:tcPr>
            <w:tcW w:w="960" w:type="dxa"/>
            <w:tcBorders>
              <w:top w:val="nil"/>
              <w:left w:val="nil"/>
              <w:bottom w:val="nil"/>
              <w:right w:val="nil"/>
            </w:tcBorders>
            <w:shd w:val="clear" w:color="auto" w:fill="auto"/>
            <w:noWrap/>
            <w:vAlign w:val="bottom"/>
            <w:hideMark/>
          </w:tcPr>
          <w:p w14:paraId="6C0852BA" w14:textId="77777777" w:rsidR="006402A2" w:rsidRPr="006402A2" w:rsidRDefault="006402A2" w:rsidP="006402A2">
            <w:pPr>
              <w:spacing w:after="0" w:line="240" w:lineRule="auto"/>
              <w:jc w:val="right"/>
              <w:rPr>
                <w:rFonts w:ascii="Arial" w:eastAsia="Times New Roman" w:hAnsi="Arial" w:cs="Arial"/>
                <w:b/>
                <w:bCs/>
                <w:color w:val="000000"/>
                <w:kern w:val="0"/>
                <w:sz w:val="22"/>
                <w:szCs w:val="22"/>
                <w14:ligatures w14:val="none"/>
              </w:rPr>
            </w:pPr>
          </w:p>
        </w:tc>
        <w:tc>
          <w:tcPr>
            <w:tcW w:w="1660" w:type="dxa"/>
            <w:tcBorders>
              <w:top w:val="nil"/>
              <w:left w:val="nil"/>
              <w:bottom w:val="nil"/>
              <w:right w:val="single" w:sz="8" w:space="0" w:color="C7D5E0"/>
            </w:tcBorders>
            <w:shd w:val="clear" w:color="ECF1F5" w:fill="ECF1F5"/>
            <w:vAlign w:val="center"/>
            <w:hideMark/>
          </w:tcPr>
          <w:p w14:paraId="165A898E"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Other Assets:</w:t>
            </w:r>
          </w:p>
        </w:tc>
        <w:tc>
          <w:tcPr>
            <w:tcW w:w="1720" w:type="dxa"/>
            <w:tcBorders>
              <w:top w:val="nil"/>
              <w:left w:val="nil"/>
              <w:bottom w:val="nil"/>
              <w:right w:val="single" w:sz="8" w:space="0" w:color="C7D5E0"/>
            </w:tcBorders>
            <w:shd w:val="clear" w:color="ECF1F5" w:fill="ECF1F5"/>
            <w:vAlign w:val="center"/>
            <w:hideMark/>
          </w:tcPr>
          <w:p w14:paraId="2A5BDA4A"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n/a</w:t>
            </w:r>
          </w:p>
        </w:tc>
        <w:tc>
          <w:tcPr>
            <w:tcW w:w="1640" w:type="dxa"/>
            <w:tcBorders>
              <w:top w:val="nil"/>
              <w:left w:val="nil"/>
              <w:bottom w:val="nil"/>
              <w:right w:val="single" w:sz="8" w:space="0" w:color="C7D5E0"/>
            </w:tcBorders>
            <w:shd w:val="clear" w:color="ECF1F5" w:fill="ECF1F5"/>
            <w:vAlign w:val="center"/>
            <w:hideMark/>
          </w:tcPr>
          <w:p w14:paraId="20D20A39"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n/a</w:t>
            </w:r>
          </w:p>
        </w:tc>
        <w:tc>
          <w:tcPr>
            <w:tcW w:w="1400" w:type="dxa"/>
            <w:tcBorders>
              <w:top w:val="nil"/>
              <w:left w:val="nil"/>
              <w:bottom w:val="nil"/>
              <w:right w:val="single" w:sz="8" w:space="0" w:color="C7D5E0"/>
            </w:tcBorders>
            <w:shd w:val="clear" w:color="ECF1F5" w:fill="ECF1F5"/>
            <w:vAlign w:val="center"/>
            <w:hideMark/>
          </w:tcPr>
          <w:p w14:paraId="34DEEF2B"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368</w:t>
            </w:r>
          </w:p>
        </w:tc>
        <w:tc>
          <w:tcPr>
            <w:tcW w:w="1500" w:type="dxa"/>
            <w:tcBorders>
              <w:top w:val="nil"/>
              <w:left w:val="nil"/>
              <w:bottom w:val="nil"/>
              <w:right w:val="single" w:sz="8" w:space="0" w:color="C7D5E0"/>
            </w:tcBorders>
            <w:shd w:val="clear" w:color="ECF1F5" w:fill="ECF1F5"/>
            <w:vAlign w:val="center"/>
            <w:hideMark/>
          </w:tcPr>
          <w:p w14:paraId="678A22E1"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605</w:t>
            </w:r>
          </w:p>
        </w:tc>
        <w:tc>
          <w:tcPr>
            <w:tcW w:w="1560" w:type="dxa"/>
            <w:tcBorders>
              <w:top w:val="nil"/>
              <w:left w:val="nil"/>
              <w:bottom w:val="nil"/>
              <w:right w:val="nil"/>
            </w:tcBorders>
            <w:shd w:val="clear" w:color="ECF1F5" w:fill="ECF1F5"/>
            <w:vAlign w:val="center"/>
            <w:hideMark/>
          </w:tcPr>
          <w:p w14:paraId="3968FEE9"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285</w:t>
            </w:r>
          </w:p>
        </w:tc>
      </w:tr>
      <w:tr w:rsidR="006402A2" w:rsidRPr="006402A2" w14:paraId="1CE8B99B" w14:textId="77777777" w:rsidTr="006402A2">
        <w:trPr>
          <w:trHeight w:val="290"/>
        </w:trPr>
        <w:tc>
          <w:tcPr>
            <w:tcW w:w="960" w:type="dxa"/>
            <w:tcBorders>
              <w:top w:val="nil"/>
              <w:left w:val="nil"/>
              <w:bottom w:val="nil"/>
              <w:right w:val="nil"/>
            </w:tcBorders>
            <w:shd w:val="clear" w:color="auto" w:fill="auto"/>
            <w:noWrap/>
            <w:vAlign w:val="bottom"/>
            <w:hideMark/>
          </w:tcPr>
          <w:p w14:paraId="29847FDF"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p>
        </w:tc>
        <w:tc>
          <w:tcPr>
            <w:tcW w:w="1660" w:type="dxa"/>
            <w:tcBorders>
              <w:top w:val="nil"/>
              <w:left w:val="nil"/>
              <w:bottom w:val="nil"/>
              <w:right w:val="single" w:sz="8" w:space="0" w:color="C7D5E0"/>
            </w:tcBorders>
            <w:shd w:val="clear" w:color="auto" w:fill="auto"/>
            <w:vAlign w:val="center"/>
            <w:hideMark/>
          </w:tcPr>
          <w:p w14:paraId="5B2A49CE" w14:textId="77777777" w:rsidR="006402A2" w:rsidRPr="006402A2" w:rsidRDefault="006402A2" w:rsidP="006402A2">
            <w:pPr>
              <w:spacing w:after="0" w:line="240" w:lineRule="auto"/>
              <w:rPr>
                <w:rFonts w:ascii="Arial" w:eastAsia="Times New Roman" w:hAnsi="Arial" w:cs="Arial"/>
                <w:b/>
                <w:bCs/>
                <w:color w:val="000000"/>
                <w:kern w:val="0"/>
                <w:sz w:val="22"/>
                <w:szCs w:val="22"/>
                <w14:ligatures w14:val="none"/>
              </w:rPr>
            </w:pPr>
            <w:r w:rsidRPr="006402A2">
              <w:rPr>
                <w:rFonts w:ascii="Arial" w:eastAsia="Times New Roman" w:hAnsi="Arial" w:cs="Arial"/>
                <w:b/>
                <w:bCs/>
                <w:color w:val="000000"/>
                <w:kern w:val="0"/>
                <w:sz w:val="22"/>
                <w:szCs w:val="22"/>
                <w14:ligatures w14:val="none"/>
              </w:rPr>
              <w:t>Total Assets:</w:t>
            </w:r>
          </w:p>
        </w:tc>
        <w:tc>
          <w:tcPr>
            <w:tcW w:w="1720" w:type="dxa"/>
            <w:tcBorders>
              <w:top w:val="nil"/>
              <w:left w:val="nil"/>
              <w:bottom w:val="nil"/>
              <w:right w:val="single" w:sz="8" w:space="0" w:color="C7D5E0"/>
            </w:tcBorders>
            <w:shd w:val="clear" w:color="auto" w:fill="auto"/>
            <w:vAlign w:val="center"/>
            <w:hideMark/>
          </w:tcPr>
          <w:p w14:paraId="005E3BBB" w14:textId="77777777" w:rsidR="006402A2" w:rsidRPr="006402A2" w:rsidRDefault="006402A2" w:rsidP="006402A2">
            <w:pPr>
              <w:spacing w:after="0" w:line="240" w:lineRule="auto"/>
              <w:jc w:val="right"/>
              <w:rPr>
                <w:rFonts w:ascii="Arial" w:eastAsia="Times New Roman" w:hAnsi="Arial" w:cs="Arial"/>
                <w:b/>
                <w:bCs/>
                <w:color w:val="000000"/>
                <w:kern w:val="0"/>
                <w:sz w:val="22"/>
                <w:szCs w:val="22"/>
                <w14:ligatures w14:val="none"/>
              </w:rPr>
            </w:pPr>
            <w:r w:rsidRPr="006402A2">
              <w:rPr>
                <w:rFonts w:ascii="Arial" w:eastAsia="Times New Roman" w:hAnsi="Arial" w:cs="Arial"/>
                <w:b/>
                <w:bCs/>
                <w:color w:val="000000"/>
                <w:kern w:val="0"/>
                <w:sz w:val="22"/>
                <w:szCs w:val="22"/>
                <w14:ligatures w14:val="none"/>
              </w:rPr>
              <w:t>47,039.00</w:t>
            </w:r>
          </w:p>
        </w:tc>
        <w:tc>
          <w:tcPr>
            <w:tcW w:w="1640" w:type="dxa"/>
            <w:tcBorders>
              <w:top w:val="nil"/>
              <w:left w:val="nil"/>
              <w:bottom w:val="nil"/>
              <w:right w:val="single" w:sz="8" w:space="0" w:color="C7D5E0"/>
            </w:tcBorders>
            <w:shd w:val="clear" w:color="auto" w:fill="auto"/>
            <w:vAlign w:val="center"/>
            <w:hideMark/>
          </w:tcPr>
          <w:p w14:paraId="3A262AE2" w14:textId="77777777" w:rsidR="006402A2" w:rsidRPr="006402A2" w:rsidRDefault="006402A2" w:rsidP="006402A2">
            <w:pPr>
              <w:spacing w:after="0" w:line="240" w:lineRule="auto"/>
              <w:jc w:val="right"/>
              <w:rPr>
                <w:rFonts w:ascii="Arial" w:eastAsia="Times New Roman" w:hAnsi="Arial" w:cs="Arial"/>
                <w:b/>
                <w:bCs/>
                <w:color w:val="000000"/>
                <w:kern w:val="0"/>
                <w:sz w:val="22"/>
                <w:szCs w:val="22"/>
                <w14:ligatures w14:val="none"/>
              </w:rPr>
            </w:pPr>
            <w:r w:rsidRPr="006402A2">
              <w:rPr>
                <w:rFonts w:ascii="Arial" w:eastAsia="Times New Roman" w:hAnsi="Arial" w:cs="Arial"/>
                <w:b/>
                <w:bCs/>
                <w:color w:val="000000"/>
                <w:kern w:val="0"/>
                <w:sz w:val="22"/>
                <w:szCs w:val="22"/>
                <w14:ligatures w14:val="none"/>
              </w:rPr>
              <w:t>45,868.00</w:t>
            </w:r>
          </w:p>
        </w:tc>
        <w:tc>
          <w:tcPr>
            <w:tcW w:w="1400" w:type="dxa"/>
            <w:tcBorders>
              <w:top w:val="nil"/>
              <w:left w:val="nil"/>
              <w:bottom w:val="nil"/>
              <w:right w:val="single" w:sz="8" w:space="0" w:color="C7D5E0"/>
            </w:tcBorders>
            <w:shd w:val="clear" w:color="auto" w:fill="auto"/>
            <w:vAlign w:val="center"/>
            <w:hideMark/>
          </w:tcPr>
          <w:p w14:paraId="6547F18C" w14:textId="77777777" w:rsidR="006402A2" w:rsidRPr="006402A2" w:rsidRDefault="006402A2" w:rsidP="006402A2">
            <w:pPr>
              <w:spacing w:after="0" w:line="240" w:lineRule="auto"/>
              <w:jc w:val="right"/>
              <w:rPr>
                <w:rFonts w:ascii="Arial" w:eastAsia="Times New Roman" w:hAnsi="Arial" w:cs="Arial"/>
                <w:b/>
                <w:bCs/>
                <w:color w:val="000000"/>
                <w:kern w:val="0"/>
                <w:sz w:val="22"/>
                <w:szCs w:val="22"/>
                <w14:ligatures w14:val="none"/>
              </w:rPr>
            </w:pPr>
            <w:r w:rsidRPr="006402A2">
              <w:rPr>
                <w:rFonts w:ascii="Arial" w:eastAsia="Times New Roman" w:hAnsi="Arial" w:cs="Arial"/>
                <w:b/>
                <w:bCs/>
                <w:color w:val="000000"/>
                <w:kern w:val="0"/>
                <w:sz w:val="22"/>
                <w:szCs w:val="22"/>
                <w14:ligatures w14:val="none"/>
              </w:rPr>
              <w:t>49,351.00</w:t>
            </w:r>
          </w:p>
        </w:tc>
        <w:tc>
          <w:tcPr>
            <w:tcW w:w="1500" w:type="dxa"/>
            <w:tcBorders>
              <w:top w:val="nil"/>
              <w:left w:val="nil"/>
              <w:bottom w:val="nil"/>
              <w:right w:val="single" w:sz="8" w:space="0" w:color="C7D5E0"/>
            </w:tcBorders>
            <w:shd w:val="clear" w:color="auto" w:fill="auto"/>
            <w:vAlign w:val="center"/>
            <w:hideMark/>
          </w:tcPr>
          <w:p w14:paraId="140A8119" w14:textId="77777777" w:rsidR="006402A2" w:rsidRPr="006402A2" w:rsidRDefault="006402A2" w:rsidP="006402A2">
            <w:pPr>
              <w:spacing w:after="0" w:line="240" w:lineRule="auto"/>
              <w:jc w:val="right"/>
              <w:rPr>
                <w:rFonts w:ascii="Arial" w:eastAsia="Times New Roman" w:hAnsi="Arial" w:cs="Arial"/>
                <w:b/>
                <w:bCs/>
                <w:color w:val="000000"/>
                <w:kern w:val="0"/>
                <w:sz w:val="22"/>
                <w:szCs w:val="22"/>
                <w14:ligatures w14:val="none"/>
              </w:rPr>
            </w:pPr>
            <w:r w:rsidRPr="006402A2">
              <w:rPr>
                <w:rFonts w:ascii="Arial" w:eastAsia="Times New Roman" w:hAnsi="Arial" w:cs="Arial"/>
                <w:b/>
                <w:bCs/>
                <w:color w:val="000000"/>
                <w:kern w:val="0"/>
                <w:sz w:val="22"/>
                <w:szCs w:val="22"/>
                <w14:ligatures w14:val="none"/>
              </w:rPr>
              <w:t>45,512.00</w:t>
            </w:r>
          </w:p>
        </w:tc>
        <w:tc>
          <w:tcPr>
            <w:tcW w:w="1560" w:type="dxa"/>
            <w:tcBorders>
              <w:top w:val="nil"/>
              <w:left w:val="nil"/>
              <w:bottom w:val="nil"/>
              <w:right w:val="nil"/>
            </w:tcBorders>
            <w:shd w:val="clear" w:color="auto" w:fill="auto"/>
            <w:vAlign w:val="center"/>
            <w:hideMark/>
          </w:tcPr>
          <w:p w14:paraId="72074B82" w14:textId="77777777" w:rsidR="006402A2" w:rsidRPr="006402A2" w:rsidRDefault="006402A2" w:rsidP="006402A2">
            <w:pPr>
              <w:spacing w:after="0" w:line="240" w:lineRule="auto"/>
              <w:jc w:val="right"/>
              <w:rPr>
                <w:rFonts w:ascii="Arial" w:eastAsia="Times New Roman" w:hAnsi="Arial" w:cs="Arial"/>
                <w:b/>
                <w:bCs/>
                <w:color w:val="000000"/>
                <w:kern w:val="0"/>
                <w:sz w:val="22"/>
                <w:szCs w:val="22"/>
                <w14:ligatures w14:val="none"/>
              </w:rPr>
            </w:pPr>
            <w:r w:rsidRPr="006402A2">
              <w:rPr>
                <w:rFonts w:ascii="Arial" w:eastAsia="Times New Roman" w:hAnsi="Arial" w:cs="Arial"/>
                <w:b/>
                <w:bCs/>
                <w:color w:val="000000"/>
                <w:kern w:val="0"/>
                <w:sz w:val="22"/>
                <w:szCs w:val="22"/>
                <w14:ligatures w14:val="none"/>
              </w:rPr>
              <w:t>53,147.00</w:t>
            </w:r>
          </w:p>
        </w:tc>
      </w:tr>
      <w:tr w:rsidR="006402A2" w:rsidRPr="006402A2" w14:paraId="692D8371" w14:textId="77777777" w:rsidTr="006402A2">
        <w:trPr>
          <w:trHeight w:val="290"/>
        </w:trPr>
        <w:tc>
          <w:tcPr>
            <w:tcW w:w="960" w:type="dxa"/>
            <w:tcBorders>
              <w:top w:val="nil"/>
              <w:left w:val="nil"/>
              <w:bottom w:val="nil"/>
              <w:right w:val="nil"/>
            </w:tcBorders>
            <w:shd w:val="clear" w:color="auto" w:fill="auto"/>
            <w:noWrap/>
            <w:vAlign w:val="bottom"/>
            <w:hideMark/>
          </w:tcPr>
          <w:p w14:paraId="2725410F" w14:textId="77777777" w:rsidR="006402A2" w:rsidRPr="006402A2" w:rsidRDefault="006402A2" w:rsidP="006402A2">
            <w:pPr>
              <w:spacing w:after="0" w:line="240" w:lineRule="auto"/>
              <w:jc w:val="right"/>
              <w:rPr>
                <w:rFonts w:ascii="Arial" w:eastAsia="Times New Roman" w:hAnsi="Arial" w:cs="Arial"/>
                <w:b/>
                <w:bCs/>
                <w:color w:val="000000"/>
                <w:kern w:val="0"/>
                <w:sz w:val="22"/>
                <w:szCs w:val="22"/>
                <w14:ligatures w14:val="none"/>
              </w:rPr>
            </w:pPr>
          </w:p>
        </w:tc>
        <w:tc>
          <w:tcPr>
            <w:tcW w:w="1660" w:type="dxa"/>
            <w:tcBorders>
              <w:top w:val="nil"/>
              <w:left w:val="nil"/>
              <w:bottom w:val="nil"/>
              <w:right w:val="single" w:sz="8" w:space="0" w:color="C7D5E0"/>
            </w:tcBorders>
            <w:shd w:val="clear" w:color="D1DBE4" w:fill="D1DBE4"/>
            <w:vAlign w:val="center"/>
            <w:hideMark/>
          </w:tcPr>
          <w:p w14:paraId="5B3D9671" w14:textId="77777777" w:rsidR="006402A2" w:rsidRPr="006402A2" w:rsidRDefault="006402A2" w:rsidP="006402A2">
            <w:pPr>
              <w:spacing w:after="0" w:line="240" w:lineRule="auto"/>
              <w:rPr>
                <w:rFonts w:ascii="Arial" w:eastAsia="Times New Roman" w:hAnsi="Arial" w:cs="Arial"/>
                <w:b/>
                <w:bCs/>
                <w:color w:val="000000"/>
                <w:kern w:val="0"/>
                <w:sz w:val="22"/>
                <w:szCs w:val="22"/>
                <w14:ligatures w14:val="none"/>
              </w:rPr>
            </w:pPr>
            <w:r w:rsidRPr="006402A2">
              <w:rPr>
                <w:rFonts w:ascii="Arial" w:eastAsia="Times New Roman" w:hAnsi="Arial" w:cs="Arial"/>
                <w:b/>
                <w:bCs/>
                <w:color w:val="000000"/>
                <w:kern w:val="0"/>
                <w:sz w:val="22"/>
                <w:szCs w:val="22"/>
                <w14:ligatures w14:val="none"/>
              </w:rPr>
              <w:t>Liabilities: </w:t>
            </w:r>
          </w:p>
        </w:tc>
        <w:tc>
          <w:tcPr>
            <w:tcW w:w="7820" w:type="dxa"/>
            <w:gridSpan w:val="5"/>
            <w:tcBorders>
              <w:top w:val="nil"/>
              <w:left w:val="nil"/>
              <w:bottom w:val="nil"/>
              <w:right w:val="nil"/>
            </w:tcBorders>
            <w:shd w:val="clear" w:color="D1DBE4" w:fill="D1DBE4"/>
            <w:noWrap/>
            <w:vAlign w:val="bottom"/>
            <w:hideMark/>
          </w:tcPr>
          <w:p w14:paraId="64C15D84" w14:textId="77777777" w:rsidR="006402A2" w:rsidRPr="006402A2" w:rsidRDefault="006402A2" w:rsidP="006402A2">
            <w:pPr>
              <w:spacing w:after="0" w:line="240" w:lineRule="auto"/>
              <w:rPr>
                <w:rFonts w:ascii="Aptos Narrow" w:eastAsia="Times New Roman" w:hAnsi="Aptos Narrow" w:cs="Times New Roman"/>
                <w:color w:val="000000"/>
                <w:kern w:val="0"/>
                <w:sz w:val="22"/>
                <w:szCs w:val="22"/>
                <w14:ligatures w14:val="none"/>
              </w:rPr>
            </w:pPr>
            <w:r w:rsidRPr="006402A2">
              <w:rPr>
                <w:rFonts w:ascii="Aptos Narrow" w:eastAsia="Times New Roman" w:hAnsi="Aptos Narrow" w:cs="Times New Roman"/>
                <w:color w:val="000000"/>
                <w:kern w:val="0"/>
                <w:sz w:val="22"/>
                <w:szCs w:val="22"/>
                <w14:ligatures w14:val="none"/>
              </w:rPr>
              <w:t> </w:t>
            </w:r>
          </w:p>
        </w:tc>
      </w:tr>
      <w:tr w:rsidR="006402A2" w:rsidRPr="006402A2" w14:paraId="0FF4F3D5" w14:textId="77777777" w:rsidTr="006402A2">
        <w:trPr>
          <w:trHeight w:val="560"/>
        </w:trPr>
        <w:tc>
          <w:tcPr>
            <w:tcW w:w="960" w:type="dxa"/>
            <w:tcBorders>
              <w:top w:val="nil"/>
              <w:left w:val="nil"/>
              <w:bottom w:val="nil"/>
              <w:right w:val="nil"/>
            </w:tcBorders>
            <w:shd w:val="clear" w:color="auto" w:fill="auto"/>
            <w:noWrap/>
            <w:vAlign w:val="bottom"/>
            <w:hideMark/>
          </w:tcPr>
          <w:p w14:paraId="121874DF" w14:textId="77777777" w:rsidR="006402A2" w:rsidRPr="006402A2" w:rsidRDefault="006402A2" w:rsidP="006402A2">
            <w:pPr>
              <w:spacing w:after="0" w:line="240" w:lineRule="auto"/>
              <w:rPr>
                <w:rFonts w:ascii="Aptos Narrow" w:eastAsia="Times New Roman" w:hAnsi="Aptos Narrow" w:cs="Times New Roman"/>
                <w:color w:val="000000"/>
                <w:kern w:val="0"/>
                <w:sz w:val="22"/>
                <w:szCs w:val="22"/>
                <w14:ligatures w14:val="none"/>
              </w:rPr>
            </w:pPr>
          </w:p>
        </w:tc>
        <w:tc>
          <w:tcPr>
            <w:tcW w:w="1660" w:type="dxa"/>
            <w:tcBorders>
              <w:top w:val="nil"/>
              <w:left w:val="nil"/>
              <w:bottom w:val="nil"/>
              <w:right w:val="single" w:sz="8" w:space="0" w:color="C7D5E0"/>
            </w:tcBorders>
            <w:shd w:val="clear" w:color="D1DBE4" w:fill="D1DBE4"/>
            <w:vAlign w:val="center"/>
            <w:hideMark/>
          </w:tcPr>
          <w:p w14:paraId="4F485B4A" w14:textId="77777777" w:rsidR="006402A2" w:rsidRPr="006402A2" w:rsidRDefault="006402A2" w:rsidP="006402A2">
            <w:pPr>
              <w:spacing w:after="0" w:line="240" w:lineRule="auto"/>
              <w:rPr>
                <w:rFonts w:ascii="Arial" w:eastAsia="Times New Roman" w:hAnsi="Arial" w:cs="Arial"/>
                <w:b/>
                <w:bCs/>
                <w:color w:val="000000"/>
                <w:kern w:val="0"/>
                <w:sz w:val="22"/>
                <w:szCs w:val="22"/>
                <w14:ligatures w14:val="none"/>
              </w:rPr>
            </w:pPr>
            <w:r w:rsidRPr="006402A2">
              <w:rPr>
                <w:rFonts w:ascii="Arial" w:eastAsia="Times New Roman" w:hAnsi="Arial" w:cs="Arial"/>
                <w:b/>
                <w:bCs/>
                <w:color w:val="000000"/>
                <w:kern w:val="0"/>
                <w:sz w:val="22"/>
                <w:szCs w:val="22"/>
                <w14:ligatures w14:val="none"/>
              </w:rPr>
              <w:t>Current Liabilities: </w:t>
            </w:r>
          </w:p>
        </w:tc>
        <w:tc>
          <w:tcPr>
            <w:tcW w:w="7820" w:type="dxa"/>
            <w:gridSpan w:val="5"/>
            <w:tcBorders>
              <w:top w:val="nil"/>
              <w:left w:val="nil"/>
              <w:bottom w:val="nil"/>
              <w:right w:val="nil"/>
            </w:tcBorders>
            <w:shd w:val="clear" w:color="D1DBE4" w:fill="D1DBE4"/>
            <w:noWrap/>
            <w:vAlign w:val="bottom"/>
            <w:hideMark/>
          </w:tcPr>
          <w:p w14:paraId="25E2FC47" w14:textId="77777777" w:rsidR="006402A2" w:rsidRPr="006402A2" w:rsidRDefault="006402A2" w:rsidP="006402A2">
            <w:pPr>
              <w:spacing w:after="0" w:line="240" w:lineRule="auto"/>
              <w:rPr>
                <w:rFonts w:ascii="Aptos Narrow" w:eastAsia="Times New Roman" w:hAnsi="Aptos Narrow" w:cs="Times New Roman"/>
                <w:color w:val="000000"/>
                <w:kern w:val="0"/>
                <w:sz w:val="22"/>
                <w:szCs w:val="22"/>
                <w14:ligatures w14:val="none"/>
              </w:rPr>
            </w:pPr>
            <w:r w:rsidRPr="006402A2">
              <w:rPr>
                <w:rFonts w:ascii="Aptos Narrow" w:eastAsia="Times New Roman" w:hAnsi="Aptos Narrow" w:cs="Times New Roman"/>
                <w:color w:val="000000"/>
                <w:kern w:val="0"/>
                <w:sz w:val="22"/>
                <w:szCs w:val="22"/>
                <w14:ligatures w14:val="none"/>
              </w:rPr>
              <w:t> </w:t>
            </w:r>
          </w:p>
        </w:tc>
      </w:tr>
      <w:tr w:rsidR="006402A2" w:rsidRPr="006402A2" w14:paraId="7D050BE1" w14:textId="77777777" w:rsidTr="006402A2">
        <w:trPr>
          <w:trHeight w:val="290"/>
        </w:trPr>
        <w:tc>
          <w:tcPr>
            <w:tcW w:w="960" w:type="dxa"/>
            <w:tcBorders>
              <w:top w:val="nil"/>
              <w:left w:val="nil"/>
              <w:bottom w:val="nil"/>
              <w:right w:val="nil"/>
            </w:tcBorders>
            <w:shd w:val="clear" w:color="auto" w:fill="auto"/>
            <w:noWrap/>
            <w:vAlign w:val="bottom"/>
            <w:hideMark/>
          </w:tcPr>
          <w:p w14:paraId="433AE328" w14:textId="77777777" w:rsidR="006402A2" w:rsidRPr="006402A2" w:rsidRDefault="006402A2" w:rsidP="006402A2">
            <w:pPr>
              <w:spacing w:after="0" w:line="240" w:lineRule="auto"/>
              <w:rPr>
                <w:rFonts w:ascii="Aptos Narrow" w:eastAsia="Times New Roman" w:hAnsi="Aptos Narrow" w:cs="Times New Roman"/>
                <w:color w:val="000000"/>
                <w:kern w:val="0"/>
                <w:sz w:val="22"/>
                <w:szCs w:val="22"/>
                <w14:ligatures w14:val="none"/>
              </w:rPr>
            </w:pPr>
          </w:p>
        </w:tc>
        <w:tc>
          <w:tcPr>
            <w:tcW w:w="1660" w:type="dxa"/>
            <w:tcBorders>
              <w:top w:val="nil"/>
              <w:left w:val="nil"/>
              <w:bottom w:val="nil"/>
              <w:right w:val="single" w:sz="8" w:space="0" w:color="C7D5E0"/>
            </w:tcBorders>
            <w:shd w:val="clear" w:color="auto" w:fill="auto"/>
            <w:vAlign w:val="center"/>
            <w:hideMark/>
          </w:tcPr>
          <w:p w14:paraId="452958E3"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Borrowings:</w:t>
            </w:r>
          </w:p>
        </w:tc>
        <w:tc>
          <w:tcPr>
            <w:tcW w:w="1720" w:type="dxa"/>
            <w:tcBorders>
              <w:top w:val="nil"/>
              <w:left w:val="nil"/>
              <w:bottom w:val="nil"/>
              <w:right w:val="single" w:sz="8" w:space="0" w:color="C7D5E0"/>
            </w:tcBorders>
            <w:shd w:val="clear" w:color="auto" w:fill="auto"/>
            <w:vAlign w:val="center"/>
            <w:hideMark/>
          </w:tcPr>
          <w:p w14:paraId="5E43D0C2"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2,120.00</w:t>
            </w:r>
          </w:p>
        </w:tc>
        <w:tc>
          <w:tcPr>
            <w:tcW w:w="1640" w:type="dxa"/>
            <w:tcBorders>
              <w:top w:val="nil"/>
              <w:left w:val="nil"/>
              <w:bottom w:val="nil"/>
              <w:right w:val="single" w:sz="8" w:space="0" w:color="C7D5E0"/>
            </w:tcBorders>
            <w:shd w:val="clear" w:color="auto" w:fill="auto"/>
            <w:vAlign w:val="center"/>
            <w:hideMark/>
          </w:tcPr>
          <w:p w14:paraId="6AAC8993"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2,365.00</w:t>
            </w:r>
          </w:p>
        </w:tc>
        <w:tc>
          <w:tcPr>
            <w:tcW w:w="1400" w:type="dxa"/>
            <w:tcBorders>
              <w:top w:val="nil"/>
              <w:left w:val="nil"/>
              <w:bottom w:val="nil"/>
              <w:right w:val="single" w:sz="8" w:space="0" w:color="C7D5E0"/>
            </w:tcBorders>
            <w:shd w:val="clear" w:color="auto" w:fill="auto"/>
            <w:vAlign w:val="center"/>
            <w:hideMark/>
          </w:tcPr>
          <w:p w14:paraId="7826CA34"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1,272.00</w:t>
            </w:r>
          </w:p>
        </w:tc>
        <w:tc>
          <w:tcPr>
            <w:tcW w:w="1500" w:type="dxa"/>
            <w:tcBorders>
              <w:top w:val="nil"/>
              <w:left w:val="nil"/>
              <w:bottom w:val="nil"/>
              <w:right w:val="single" w:sz="8" w:space="0" w:color="C7D5E0"/>
            </w:tcBorders>
            <w:shd w:val="clear" w:color="auto" w:fill="auto"/>
            <w:vAlign w:val="center"/>
            <w:hideMark/>
          </w:tcPr>
          <w:p w14:paraId="03282C1F"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1,655.00</w:t>
            </w:r>
          </w:p>
        </w:tc>
        <w:tc>
          <w:tcPr>
            <w:tcW w:w="1560" w:type="dxa"/>
            <w:tcBorders>
              <w:top w:val="nil"/>
              <w:left w:val="nil"/>
              <w:bottom w:val="nil"/>
              <w:right w:val="nil"/>
            </w:tcBorders>
            <w:shd w:val="clear" w:color="auto" w:fill="auto"/>
            <w:vAlign w:val="center"/>
            <w:hideMark/>
          </w:tcPr>
          <w:p w14:paraId="37316539"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2,817.00</w:t>
            </w:r>
          </w:p>
        </w:tc>
      </w:tr>
      <w:tr w:rsidR="006402A2" w:rsidRPr="006402A2" w14:paraId="787C30E2" w14:textId="77777777" w:rsidTr="006402A2">
        <w:trPr>
          <w:trHeight w:val="560"/>
        </w:trPr>
        <w:tc>
          <w:tcPr>
            <w:tcW w:w="960" w:type="dxa"/>
            <w:tcBorders>
              <w:top w:val="nil"/>
              <w:left w:val="nil"/>
              <w:bottom w:val="nil"/>
              <w:right w:val="nil"/>
            </w:tcBorders>
            <w:shd w:val="clear" w:color="auto" w:fill="auto"/>
            <w:noWrap/>
            <w:vAlign w:val="bottom"/>
            <w:hideMark/>
          </w:tcPr>
          <w:p w14:paraId="45A5B538"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p>
        </w:tc>
        <w:tc>
          <w:tcPr>
            <w:tcW w:w="1660" w:type="dxa"/>
            <w:tcBorders>
              <w:top w:val="nil"/>
              <w:left w:val="nil"/>
              <w:bottom w:val="nil"/>
              <w:right w:val="single" w:sz="8" w:space="0" w:color="C7D5E0"/>
            </w:tcBorders>
            <w:shd w:val="clear" w:color="ECF1F5" w:fill="ECF1F5"/>
            <w:vAlign w:val="center"/>
            <w:hideMark/>
          </w:tcPr>
          <w:p w14:paraId="0125F034"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Other Current Liabilities:</w:t>
            </w:r>
          </w:p>
        </w:tc>
        <w:tc>
          <w:tcPr>
            <w:tcW w:w="1720" w:type="dxa"/>
            <w:tcBorders>
              <w:top w:val="nil"/>
              <w:left w:val="nil"/>
              <w:bottom w:val="nil"/>
              <w:right w:val="single" w:sz="8" w:space="0" w:color="C7D5E0"/>
            </w:tcBorders>
            <w:shd w:val="clear" w:color="ECF1F5" w:fill="ECF1F5"/>
            <w:vAlign w:val="center"/>
            <w:hideMark/>
          </w:tcPr>
          <w:p w14:paraId="277C999D"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18,352.00</w:t>
            </w:r>
          </w:p>
        </w:tc>
        <w:tc>
          <w:tcPr>
            <w:tcW w:w="1640" w:type="dxa"/>
            <w:tcBorders>
              <w:top w:val="nil"/>
              <w:left w:val="nil"/>
              <w:bottom w:val="nil"/>
              <w:right w:val="single" w:sz="8" w:space="0" w:color="C7D5E0"/>
            </w:tcBorders>
            <w:shd w:val="clear" w:color="ECF1F5" w:fill="ECF1F5"/>
            <w:vAlign w:val="center"/>
            <w:hideMark/>
          </w:tcPr>
          <w:p w14:paraId="721DE1A4"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15,245.00</w:t>
            </w:r>
          </w:p>
        </w:tc>
        <w:tc>
          <w:tcPr>
            <w:tcW w:w="1400" w:type="dxa"/>
            <w:tcBorders>
              <w:top w:val="nil"/>
              <w:left w:val="nil"/>
              <w:bottom w:val="nil"/>
              <w:right w:val="single" w:sz="8" w:space="0" w:color="C7D5E0"/>
            </w:tcBorders>
            <w:shd w:val="clear" w:color="ECF1F5" w:fill="ECF1F5"/>
            <w:vAlign w:val="center"/>
            <w:hideMark/>
          </w:tcPr>
          <w:p w14:paraId="7F665276"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14,853.00</w:t>
            </w:r>
          </w:p>
        </w:tc>
        <w:tc>
          <w:tcPr>
            <w:tcW w:w="1500" w:type="dxa"/>
            <w:tcBorders>
              <w:top w:val="nil"/>
              <w:left w:val="nil"/>
              <w:bottom w:val="nil"/>
              <w:right w:val="single" w:sz="8" w:space="0" w:color="C7D5E0"/>
            </w:tcBorders>
            <w:shd w:val="clear" w:color="ECF1F5" w:fill="ECF1F5"/>
            <w:vAlign w:val="center"/>
            <w:hideMark/>
          </w:tcPr>
          <w:p w14:paraId="13768775"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14,066.00</w:t>
            </w:r>
          </w:p>
        </w:tc>
        <w:tc>
          <w:tcPr>
            <w:tcW w:w="1560" w:type="dxa"/>
            <w:tcBorders>
              <w:top w:val="nil"/>
              <w:left w:val="nil"/>
              <w:bottom w:val="nil"/>
              <w:right w:val="nil"/>
            </w:tcBorders>
            <w:shd w:val="clear" w:color="ECF1F5" w:fill="ECF1F5"/>
            <w:vAlign w:val="center"/>
            <w:hideMark/>
          </w:tcPr>
          <w:p w14:paraId="45376075"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15,839.00</w:t>
            </w:r>
          </w:p>
        </w:tc>
      </w:tr>
      <w:tr w:rsidR="006402A2" w:rsidRPr="006402A2" w14:paraId="134A5708" w14:textId="77777777" w:rsidTr="006402A2">
        <w:trPr>
          <w:trHeight w:val="290"/>
        </w:trPr>
        <w:tc>
          <w:tcPr>
            <w:tcW w:w="960" w:type="dxa"/>
            <w:tcBorders>
              <w:top w:val="nil"/>
              <w:left w:val="nil"/>
              <w:bottom w:val="nil"/>
              <w:right w:val="nil"/>
            </w:tcBorders>
            <w:shd w:val="clear" w:color="auto" w:fill="auto"/>
            <w:noWrap/>
            <w:vAlign w:val="bottom"/>
            <w:hideMark/>
          </w:tcPr>
          <w:p w14:paraId="4F6C39C6"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p>
        </w:tc>
        <w:tc>
          <w:tcPr>
            <w:tcW w:w="1660" w:type="dxa"/>
            <w:tcBorders>
              <w:top w:val="nil"/>
              <w:left w:val="nil"/>
              <w:bottom w:val="nil"/>
              <w:right w:val="single" w:sz="8" w:space="0" w:color="C7D5E0"/>
            </w:tcBorders>
            <w:shd w:val="clear" w:color="auto" w:fill="auto"/>
            <w:vAlign w:val="center"/>
            <w:hideMark/>
          </w:tcPr>
          <w:p w14:paraId="05F13B86"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 </w:t>
            </w:r>
          </w:p>
        </w:tc>
        <w:tc>
          <w:tcPr>
            <w:tcW w:w="1720" w:type="dxa"/>
            <w:tcBorders>
              <w:top w:val="nil"/>
              <w:left w:val="nil"/>
              <w:bottom w:val="nil"/>
              <w:right w:val="single" w:sz="8" w:space="0" w:color="C7D5E0"/>
            </w:tcBorders>
            <w:shd w:val="clear" w:color="auto" w:fill="auto"/>
            <w:vAlign w:val="center"/>
            <w:hideMark/>
          </w:tcPr>
          <w:p w14:paraId="128527F3"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20,472.00</w:t>
            </w:r>
          </w:p>
        </w:tc>
        <w:tc>
          <w:tcPr>
            <w:tcW w:w="1640" w:type="dxa"/>
            <w:tcBorders>
              <w:top w:val="nil"/>
              <w:left w:val="nil"/>
              <w:bottom w:val="nil"/>
              <w:right w:val="single" w:sz="8" w:space="0" w:color="C7D5E0"/>
            </w:tcBorders>
            <w:shd w:val="clear" w:color="auto" w:fill="auto"/>
            <w:vAlign w:val="center"/>
            <w:hideMark/>
          </w:tcPr>
          <w:p w14:paraId="195A4575"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17,610.00</w:t>
            </w:r>
          </w:p>
        </w:tc>
        <w:tc>
          <w:tcPr>
            <w:tcW w:w="1400" w:type="dxa"/>
            <w:tcBorders>
              <w:top w:val="nil"/>
              <w:left w:val="nil"/>
              <w:bottom w:val="nil"/>
              <w:right w:val="single" w:sz="8" w:space="0" w:color="C7D5E0"/>
            </w:tcBorders>
            <w:shd w:val="clear" w:color="auto" w:fill="auto"/>
            <w:vAlign w:val="center"/>
            <w:hideMark/>
          </w:tcPr>
          <w:p w14:paraId="37276B7A"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16,125.00</w:t>
            </w:r>
          </w:p>
        </w:tc>
        <w:tc>
          <w:tcPr>
            <w:tcW w:w="1500" w:type="dxa"/>
            <w:tcBorders>
              <w:top w:val="nil"/>
              <w:left w:val="nil"/>
              <w:bottom w:val="nil"/>
              <w:right w:val="single" w:sz="8" w:space="0" w:color="C7D5E0"/>
            </w:tcBorders>
            <w:shd w:val="clear" w:color="auto" w:fill="auto"/>
            <w:vAlign w:val="center"/>
            <w:hideMark/>
          </w:tcPr>
          <w:p w14:paraId="7E52F637"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15,721.00</w:t>
            </w:r>
          </w:p>
        </w:tc>
        <w:tc>
          <w:tcPr>
            <w:tcW w:w="1560" w:type="dxa"/>
            <w:tcBorders>
              <w:top w:val="nil"/>
              <w:left w:val="nil"/>
              <w:bottom w:val="nil"/>
              <w:right w:val="nil"/>
            </w:tcBorders>
            <w:shd w:val="clear" w:color="auto" w:fill="auto"/>
            <w:vAlign w:val="center"/>
            <w:hideMark/>
          </w:tcPr>
          <w:p w14:paraId="4FBCA673"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18,656.00</w:t>
            </w:r>
          </w:p>
        </w:tc>
      </w:tr>
      <w:tr w:rsidR="006402A2" w:rsidRPr="006402A2" w14:paraId="1AD7ECC2" w14:textId="77777777" w:rsidTr="006402A2">
        <w:trPr>
          <w:trHeight w:val="560"/>
        </w:trPr>
        <w:tc>
          <w:tcPr>
            <w:tcW w:w="960" w:type="dxa"/>
            <w:tcBorders>
              <w:top w:val="nil"/>
              <w:left w:val="nil"/>
              <w:bottom w:val="nil"/>
              <w:right w:val="nil"/>
            </w:tcBorders>
            <w:shd w:val="clear" w:color="auto" w:fill="auto"/>
            <w:noWrap/>
            <w:vAlign w:val="bottom"/>
            <w:hideMark/>
          </w:tcPr>
          <w:p w14:paraId="25F98BCD"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p>
        </w:tc>
        <w:tc>
          <w:tcPr>
            <w:tcW w:w="1660" w:type="dxa"/>
            <w:tcBorders>
              <w:top w:val="nil"/>
              <w:left w:val="nil"/>
              <w:bottom w:val="nil"/>
              <w:right w:val="single" w:sz="8" w:space="0" w:color="C7D5E0"/>
            </w:tcBorders>
            <w:shd w:val="clear" w:color="ECF1F5" w:fill="ECF1F5"/>
            <w:vAlign w:val="center"/>
            <w:hideMark/>
          </w:tcPr>
          <w:p w14:paraId="7174EC4B"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Net Current Assets:</w:t>
            </w:r>
          </w:p>
        </w:tc>
        <w:tc>
          <w:tcPr>
            <w:tcW w:w="1720" w:type="dxa"/>
            <w:tcBorders>
              <w:top w:val="nil"/>
              <w:left w:val="nil"/>
              <w:bottom w:val="nil"/>
              <w:right w:val="single" w:sz="8" w:space="0" w:color="C7D5E0"/>
            </w:tcBorders>
            <w:shd w:val="clear" w:color="ECF1F5" w:fill="ECF1F5"/>
            <w:vAlign w:val="center"/>
            <w:hideMark/>
          </w:tcPr>
          <w:p w14:paraId="2D99FB9F" w14:textId="77777777" w:rsidR="006402A2" w:rsidRPr="006402A2" w:rsidRDefault="006402A2" w:rsidP="006402A2">
            <w:pPr>
              <w:spacing w:after="0" w:line="240" w:lineRule="auto"/>
              <w:jc w:val="right"/>
              <w:rPr>
                <w:rFonts w:ascii="Arial" w:eastAsia="Times New Roman" w:hAnsi="Arial" w:cs="Arial"/>
                <w:color w:val="FF0000"/>
                <w:kern w:val="0"/>
                <w:sz w:val="16"/>
                <w:szCs w:val="16"/>
                <w14:ligatures w14:val="none"/>
              </w:rPr>
            </w:pPr>
            <w:r w:rsidRPr="006402A2">
              <w:rPr>
                <w:rFonts w:ascii="Arial" w:eastAsia="Times New Roman" w:hAnsi="Arial" w:cs="Arial"/>
                <w:color w:val="FF0000"/>
                <w:kern w:val="0"/>
                <w:sz w:val="16"/>
                <w:szCs w:val="16"/>
                <w14:ligatures w14:val="none"/>
              </w:rPr>
              <w:t>c </w:t>
            </w:r>
            <w:r w:rsidRPr="006402A2">
              <w:rPr>
                <w:rFonts w:ascii="Arial" w:eastAsia="Times New Roman" w:hAnsi="Arial" w:cs="Arial"/>
                <w:color w:val="000000"/>
                <w:kern w:val="0"/>
                <w:sz w:val="22"/>
                <w:szCs w:val="22"/>
                <w14:ligatures w14:val="none"/>
              </w:rPr>
              <w:t>n/a</w:t>
            </w:r>
          </w:p>
        </w:tc>
        <w:tc>
          <w:tcPr>
            <w:tcW w:w="1640" w:type="dxa"/>
            <w:tcBorders>
              <w:top w:val="nil"/>
              <w:left w:val="nil"/>
              <w:bottom w:val="nil"/>
              <w:right w:val="single" w:sz="8" w:space="0" w:color="C7D5E0"/>
            </w:tcBorders>
            <w:shd w:val="clear" w:color="ECF1F5" w:fill="ECF1F5"/>
            <w:vAlign w:val="center"/>
            <w:hideMark/>
          </w:tcPr>
          <w:p w14:paraId="0756DEB4" w14:textId="77777777" w:rsidR="006402A2" w:rsidRPr="006402A2" w:rsidRDefault="006402A2" w:rsidP="006402A2">
            <w:pPr>
              <w:spacing w:after="0" w:line="240" w:lineRule="auto"/>
              <w:jc w:val="right"/>
              <w:rPr>
                <w:rFonts w:ascii="Arial" w:eastAsia="Times New Roman" w:hAnsi="Arial" w:cs="Arial"/>
                <w:color w:val="FF0000"/>
                <w:kern w:val="0"/>
                <w:sz w:val="16"/>
                <w:szCs w:val="16"/>
                <w14:ligatures w14:val="none"/>
              </w:rPr>
            </w:pPr>
            <w:r w:rsidRPr="006402A2">
              <w:rPr>
                <w:rFonts w:ascii="Arial" w:eastAsia="Times New Roman" w:hAnsi="Arial" w:cs="Arial"/>
                <w:color w:val="FF0000"/>
                <w:kern w:val="0"/>
                <w:sz w:val="16"/>
                <w:szCs w:val="16"/>
                <w14:ligatures w14:val="none"/>
              </w:rPr>
              <w:t>c </w:t>
            </w:r>
            <w:r w:rsidRPr="006402A2">
              <w:rPr>
                <w:rFonts w:ascii="Arial" w:eastAsia="Times New Roman" w:hAnsi="Arial" w:cs="Arial"/>
                <w:color w:val="000000"/>
                <w:kern w:val="0"/>
                <w:sz w:val="22"/>
                <w:szCs w:val="22"/>
                <w14:ligatures w14:val="none"/>
              </w:rPr>
              <w:t>n/a</w:t>
            </w:r>
          </w:p>
        </w:tc>
        <w:tc>
          <w:tcPr>
            <w:tcW w:w="1400" w:type="dxa"/>
            <w:tcBorders>
              <w:top w:val="nil"/>
              <w:left w:val="nil"/>
              <w:bottom w:val="nil"/>
              <w:right w:val="single" w:sz="8" w:space="0" w:color="C7D5E0"/>
            </w:tcBorders>
            <w:shd w:val="clear" w:color="ECF1F5" w:fill="ECF1F5"/>
            <w:vAlign w:val="center"/>
            <w:hideMark/>
          </w:tcPr>
          <w:p w14:paraId="2AAA4DFF" w14:textId="77777777" w:rsidR="006402A2" w:rsidRPr="006402A2" w:rsidRDefault="006402A2" w:rsidP="006402A2">
            <w:pPr>
              <w:spacing w:after="0" w:line="240" w:lineRule="auto"/>
              <w:jc w:val="right"/>
              <w:rPr>
                <w:rFonts w:ascii="Arial" w:eastAsia="Times New Roman" w:hAnsi="Arial" w:cs="Arial"/>
                <w:color w:val="FF0000"/>
                <w:kern w:val="0"/>
                <w:sz w:val="16"/>
                <w:szCs w:val="16"/>
                <w14:ligatures w14:val="none"/>
              </w:rPr>
            </w:pPr>
            <w:r w:rsidRPr="006402A2">
              <w:rPr>
                <w:rFonts w:ascii="Arial" w:eastAsia="Times New Roman" w:hAnsi="Arial" w:cs="Arial"/>
                <w:color w:val="FF0000"/>
                <w:kern w:val="0"/>
                <w:sz w:val="16"/>
                <w:szCs w:val="16"/>
                <w14:ligatures w14:val="none"/>
              </w:rPr>
              <w:t>c </w:t>
            </w:r>
            <w:r w:rsidRPr="006402A2">
              <w:rPr>
                <w:rFonts w:ascii="Arial" w:eastAsia="Times New Roman" w:hAnsi="Arial" w:cs="Arial"/>
                <w:color w:val="000000"/>
                <w:kern w:val="0"/>
                <w:sz w:val="22"/>
                <w:szCs w:val="22"/>
                <w14:ligatures w14:val="none"/>
              </w:rPr>
              <w:t>n/a</w:t>
            </w:r>
          </w:p>
        </w:tc>
        <w:tc>
          <w:tcPr>
            <w:tcW w:w="1500" w:type="dxa"/>
            <w:tcBorders>
              <w:top w:val="nil"/>
              <w:left w:val="nil"/>
              <w:bottom w:val="nil"/>
              <w:right w:val="single" w:sz="8" w:space="0" w:color="C7D5E0"/>
            </w:tcBorders>
            <w:shd w:val="clear" w:color="ECF1F5" w:fill="ECF1F5"/>
            <w:vAlign w:val="center"/>
            <w:hideMark/>
          </w:tcPr>
          <w:p w14:paraId="627F08BA" w14:textId="77777777" w:rsidR="006402A2" w:rsidRPr="006402A2" w:rsidRDefault="006402A2" w:rsidP="006402A2">
            <w:pPr>
              <w:spacing w:after="0" w:line="240" w:lineRule="auto"/>
              <w:jc w:val="right"/>
              <w:rPr>
                <w:rFonts w:ascii="Arial" w:eastAsia="Times New Roman" w:hAnsi="Arial" w:cs="Arial"/>
                <w:color w:val="FF0000"/>
                <w:kern w:val="0"/>
                <w:sz w:val="16"/>
                <w:szCs w:val="16"/>
                <w14:ligatures w14:val="none"/>
              </w:rPr>
            </w:pPr>
            <w:r w:rsidRPr="006402A2">
              <w:rPr>
                <w:rFonts w:ascii="Arial" w:eastAsia="Times New Roman" w:hAnsi="Arial" w:cs="Arial"/>
                <w:color w:val="FF0000"/>
                <w:kern w:val="0"/>
                <w:sz w:val="16"/>
                <w:szCs w:val="16"/>
                <w14:ligatures w14:val="none"/>
              </w:rPr>
              <w:t>c </w:t>
            </w:r>
            <w:r w:rsidRPr="006402A2">
              <w:rPr>
                <w:rFonts w:ascii="Arial" w:eastAsia="Times New Roman" w:hAnsi="Arial" w:cs="Arial"/>
                <w:color w:val="000000"/>
                <w:kern w:val="0"/>
                <w:sz w:val="22"/>
                <w:szCs w:val="22"/>
                <w14:ligatures w14:val="none"/>
              </w:rPr>
              <w:t>n/a</w:t>
            </w:r>
          </w:p>
        </w:tc>
        <w:tc>
          <w:tcPr>
            <w:tcW w:w="1560" w:type="dxa"/>
            <w:tcBorders>
              <w:top w:val="nil"/>
              <w:left w:val="nil"/>
              <w:bottom w:val="nil"/>
              <w:right w:val="nil"/>
            </w:tcBorders>
            <w:shd w:val="clear" w:color="ECF1F5" w:fill="ECF1F5"/>
            <w:vAlign w:val="center"/>
            <w:hideMark/>
          </w:tcPr>
          <w:p w14:paraId="3E7EA049" w14:textId="77777777" w:rsidR="006402A2" w:rsidRPr="006402A2" w:rsidRDefault="006402A2" w:rsidP="006402A2">
            <w:pPr>
              <w:spacing w:after="0" w:line="240" w:lineRule="auto"/>
              <w:jc w:val="right"/>
              <w:rPr>
                <w:rFonts w:ascii="Arial" w:eastAsia="Times New Roman" w:hAnsi="Arial" w:cs="Arial"/>
                <w:color w:val="FF0000"/>
                <w:kern w:val="0"/>
                <w:sz w:val="16"/>
                <w:szCs w:val="16"/>
                <w14:ligatures w14:val="none"/>
              </w:rPr>
            </w:pPr>
            <w:r w:rsidRPr="006402A2">
              <w:rPr>
                <w:rFonts w:ascii="Arial" w:eastAsia="Times New Roman" w:hAnsi="Arial" w:cs="Arial"/>
                <w:color w:val="FF0000"/>
                <w:kern w:val="0"/>
                <w:sz w:val="16"/>
                <w:szCs w:val="16"/>
                <w14:ligatures w14:val="none"/>
              </w:rPr>
              <w:t>c </w:t>
            </w:r>
            <w:r w:rsidRPr="006402A2">
              <w:rPr>
                <w:rFonts w:ascii="Arial" w:eastAsia="Times New Roman" w:hAnsi="Arial" w:cs="Arial"/>
                <w:color w:val="000000"/>
                <w:kern w:val="0"/>
                <w:sz w:val="22"/>
                <w:szCs w:val="22"/>
                <w14:ligatures w14:val="none"/>
              </w:rPr>
              <w:t>n/a</w:t>
            </w:r>
          </w:p>
        </w:tc>
      </w:tr>
      <w:tr w:rsidR="006402A2" w:rsidRPr="006402A2" w14:paraId="5780939D" w14:textId="77777777" w:rsidTr="006402A2">
        <w:trPr>
          <w:trHeight w:val="560"/>
        </w:trPr>
        <w:tc>
          <w:tcPr>
            <w:tcW w:w="960" w:type="dxa"/>
            <w:tcBorders>
              <w:top w:val="nil"/>
              <w:left w:val="nil"/>
              <w:bottom w:val="nil"/>
              <w:right w:val="nil"/>
            </w:tcBorders>
            <w:shd w:val="clear" w:color="auto" w:fill="auto"/>
            <w:noWrap/>
            <w:vAlign w:val="bottom"/>
            <w:hideMark/>
          </w:tcPr>
          <w:p w14:paraId="68A298F4" w14:textId="77777777" w:rsidR="006402A2" w:rsidRPr="006402A2" w:rsidRDefault="006402A2" w:rsidP="006402A2">
            <w:pPr>
              <w:spacing w:after="0" w:line="240" w:lineRule="auto"/>
              <w:jc w:val="right"/>
              <w:rPr>
                <w:rFonts w:ascii="Arial" w:eastAsia="Times New Roman" w:hAnsi="Arial" w:cs="Arial"/>
                <w:color w:val="FF0000"/>
                <w:kern w:val="0"/>
                <w:sz w:val="16"/>
                <w:szCs w:val="16"/>
                <w14:ligatures w14:val="none"/>
              </w:rPr>
            </w:pPr>
          </w:p>
        </w:tc>
        <w:tc>
          <w:tcPr>
            <w:tcW w:w="1660" w:type="dxa"/>
            <w:tcBorders>
              <w:top w:val="nil"/>
              <w:left w:val="nil"/>
              <w:bottom w:val="nil"/>
              <w:right w:val="single" w:sz="8" w:space="0" w:color="C7D5E0"/>
            </w:tcBorders>
            <w:shd w:val="clear" w:color="D1DBE4" w:fill="D1DBE4"/>
            <w:vAlign w:val="center"/>
            <w:hideMark/>
          </w:tcPr>
          <w:p w14:paraId="40D2B79C" w14:textId="77777777" w:rsidR="006402A2" w:rsidRPr="006402A2" w:rsidRDefault="006402A2" w:rsidP="006402A2">
            <w:pPr>
              <w:spacing w:after="0" w:line="240" w:lineRule="auto"/>
              <w:rPr>
                <w:rFonts w:ascii="Arial" w:eastAsia="Times New Roman" w:hAnsi="Arial" w:cs="Arial"/>
                <w:b/>
                <w:bCs/>
                <w:color w:val="000000"/>
                <w:kern w:val="0"/>
                <w:sz w:val="22"/>
                <w:szCs w:val="22"/>
                <w14:ligatures w14:val="none"/>
              </w:rPr>
            </w:pPr>
            <w:r w:rsidRPr="006402A2">
              <w:rPr>
                <w:rFonts w:ascii="Arial" w:eastAsia="Times New Roman" w:hAnsi="Arial" w:cs="Arial"/>
                <w:b/>
                <w:bCs/>
                <w:color w:val="000000"/>
                <w:kern w:val="0"/>
                <w:sz w:val="22"/>
                <w:szCs w:val="22"/>
                <w14:ligatures w14:val="none"/>
              </w:rPr>
              <w:t>Non-Current Liabilities: </w:t>
            </w:r>
          </w:p>
        </w:tc>
        <w:tc>
          <w:tcPr>
            <w:tcW w:w="7820" w:type="dxa"/>
            <w:gridSpan w:val="5"/>
            <w:tcBorders>
              <w:top w:val="nil"/>
              <w:left w:val="nil"/>
              <w:bottom w:val="nil"/>
              <w:right w:val="nil"/>
            </w:tcBorders>
            <w:shd w:val="clear" w:color="D1DBE4" w:fill="D1DBE4"/>
            <w:noWrap/>
            <w:vAlign w:val="bottom"/>
            <w:hideMark/>
          </w:tcPr>
          <w:p w14:paraId="6EDAB5E2" w14:textId="77777777" w:rsidR="006402A2" w:rsidRPr="006402A2" w:rsidRDefault="006402A2" w:rsidP="006402A2">
            <w:pPr>
              <w:spacing w:after="0" w:line="240" w:lineRule="auto"/>
              <w:rPr>
                <w:rFonts w:ascii="Aptos Narrow" w:eastAsia="Times New Roman" w:hAnsi="Aptos Narrow" w:cs="Times New Roman"/>
                <w:color w:val="000000"/>
                <w:kern w:val="0"/>
                <w:sz w:val="22"/>
                <w:szCs w:val="22"/>
                <w14:ligatures w14:val="none"/>
              </w:rPr>
            </w:pPr>
            <w:r w:rsidRPr="006402A2">
              <w:rPr>
                <w:rFonts w:ascii="Aptos Narrow" w:eastAsia="Times New Roman" w:hAnsi="Aptos Narrow" w:cs="Times New Roman"/>
                <w:color w:val="000000"/>
                <w:kern w:val="0"/>
                <w:sz w:val="22"/>
                <w:szCs w:val="22"/>
                <w14:ligatures w14:val="none"/>
              </w:rPr>
              <w:t> </w:t>
            </w:r>
          </w:p>
        </w:tc>
      </w:tr>
      <w:tr w:rsidR="006402A2" w:rsidRPr="006402A2" w14:paraId="53B6EED4" w14:textId="77777777" w:rsidTr="006402A2">
        <w:trPr>
          <w:trHeight w:val="290"/>
        </w:trPr>
        <w:tc>
          <w:tcPr>
            <w:tcW w:w="960" w:type="dxa"/>
            <w:tcBorders>
              <w:top w:val="nil"/>
              <w:left w:val="nil"/>
              <w:bottom w:val="nil"/>
              <w:right w:val="nil"/>
            </w:tcBorders>
            <w:shd w:val="clear" w:color="auto" w:fill="auto"/>
            <w:noWrap/>
            <w:vAlign w:val="bottom"/>
            <w:hideMark/>
          </w:tcPr>
          <w:p w14:paraId="7AABD941" w14:textId="77777777" w:rsidR="006402A2" w:rsidRPr="006402A2" w:rsidRDefault="006402A2" w:rsidP="006402A2">
            <w:pPr>
              <w:spacing w:after="0" w:line="240" w:lineRule="auto"/>
              <w:rPr>
                <w:rFonts w:ascii="Aptos Narrow" w:eastAsia="Times New Roman" w:hAnsi="Aptos Narrow" w:cs="Times New Roman"/>
                <w:color w:val="000000"/>
                <w:kern w:val="0"/>
                <w:sz w:val="22"/>
                <w:szCs w:val="22"/>
                <w14:ligatures w14:val="none"/>
              </w:rPr>
            </w:pPr>
          </w:p>
        </w:tc>
        <w:tc>
          <w:tcPr>
            <w:tcW w:w="1660" w:type="dxa"/>
            <w:tcBorders>
              <w:top w:val="nil"/>
              <w:left w:val="nil"/>
              <w:bottom w:val="nil"/>
              <w:right w:val="single" w:sz="8" w:space="0" w:color="C7D5E0"/>
            </w:tcBorders>
            <w:shd w:val="clear" w:color="auto" w:fill="auto"/>
            <w:vAlign w:val="center"/>
            <w:hideMark/>
          </w:tcPr>
          <w:p w14:paraId="2DBA900B"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Borrowings:</w:t>
            </w:r>
          </w:p>
        </w:tc>
        <w:tc>
          <w:tcPr>
            <w:tcW w:w="1720" w:type="dxa"/>
            <w:tcBorders>
              <w:top w:val="nil"/>
              <w:left w:val="nil"/>
              <w:bottom w:val="nil"/>
              <w:right w:val="single" w:sz="8" w:space="0" w:color="C7D5E0"/>
            </w:tcBorders>
            <w:shd w:val="clear" w:color="auto" w:fill="auto"/>
            <w:vAlign w:val="center"/>
            <w:hideMark/>
          </w:tcPr>
          <w:p w14:paraId="6934D288"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12,721.00</w:t>
            </w:r>
          </w:p>
        </w:tc>
        <w:tc>
          <w:tcPr>
            <w:tcW w:w="1640" w:type="dxa"/>
            <w:tcBorders>
              <w:top w:val="nil"/>
              <w:left w:val="nil"/>
              <w:bottom w:val="nil"/>
              <w:right w:val="single" w:sz="8" w:space="0" w:color="C7D5E0"/>
            </w:tcBorders>
            <w:shd w:val="clear" w:color="auto" w:fill="auto"/>
            <w:vAlign w:val="center"/>
            <w:hideMark/>
          </w:tcPr>
          <w:p w14:paraId="2A7D91C3"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12,713.00</w:t>
            </w:r>
          </w:p>
        </w:tc>
        <w:tc>
          <w:tcPr>
            <w:tcW w:w="1400" w:type="dxa"/>
            <w:tcBorders>
              <w:top w:val="nil"/>
              <w:left w:val="nil"/>
              <w:bottom w:val="nil"/>
              <w:right w:val="single" w:sz="8" w:space="0" w:color="C7D5E0"/>
            </w:tcBorders>
            <w:shd w:val="clear" w:color="auto" w:fill="auto"/>
            <w:vAlign w:val="center"/>
            <w:hideMark/>
          </w:tcPr>
          <w:p w14:paraId="2E4D9DF6"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14,085.00</w:t>
            </w:r>
          </w:p>
        </w:tc>
        <w:tc>
          <w:tcPr>
            <w:tcW w:w="1500" w:type="dxa"/>
            <w:tcBorders>
              <w:top w:val="nil"/>
              <w:left w:val="nil"/>
              <w:bottom w:val="nil"/>
              <w:right w:val="single" w:sz="8" w:space="0" w:color="C7D5E0"/>
            </w:tcBorders>
            <w:shd w:val="clear" w:color="auto" w:fill="auto"/>
            <w:vAlign w:val="center"/>
            <w:hideMark/>
          </w:tcPr>
          <w:p w14:paraId="72B1C214"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14,015.00</w:t>
            </w:r>
          </w:p>
        </w:tc>
        <w:tc>
          <w:tcPr>
            <w:tcW w:w="1560" w:type="dxa"/>
            <w:tcBorders>
              <w:top w:val="nil"/>
              <w:left w:val="nil"/>
              <w:bottom w:val="nil"/>
              <w:right w:val="nil"/>
            </w:tcBorders>
            <w:shd w:val="clear" w:color="auto" w:fill="auto"/>
            <w:vAlign w:val="center"/>
            <w:hideMark/>
          </w:tcPr>
          <w:p w14:paraId="286F5FB2"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14,973.00</w:t>
            </w:r>
          </w:p>
        </w:tc>
      </w:tr>
      <w:tr w:rsidR="006402A2" w:rsidRPr="006402A2" w14:paraId="6C62DA4E" w14:textId="77777777" w:rsidTr="006402A2">
        <w:trPr>
          <w:trHeight w:val="290"/>
        </w:trPr>
        <w:tc>
          <w:tcPr>
            <w:tcW w:w="960" w:type="dxa"/>
            <w:tcBorders>
              <w:top w:val="nil"/>
              <w:left w:val="nil"/>
              <w:bottom w:val="nil"/>
              <w:right w:val="nil"/>
            </w:tcBorders>
            <w:shd w:val="clear" w:color="auto" w:fill="auto"/>
            <w:noWrap/>
            <w:vAlign w:val="bottom"/>
            <w:hideMark/>
          </w:tcPr>
          <w:p w14:paraId="2BF51994"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p>
        </w:tc>
        <w:tc>
          <w:tcPr>
            <w:tcW w:w="1660" w:type="dxa"/>
            <w:tcBorders>
              <w:top w:val="nil"/>
              <w:left w:val="nil"/>
              <w:bottom w:val="nil"/>
              <w:right w:val="single" w:sz="8" w:space="0" w:color="C7D5E0"/>
            </w:tcBorders>
            <w:shd w:val="clear" w:color="ECF1F5" w:fill="ECF1F5"/>
            <w:vAlign w:val="center"/>
            <w:hideMark/>
          </w:tcPr>
          <w:p w14:paraId="74E2FF14"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Provisions:</w:t>
            </w:r>
          </w:p>
        </w:tc>
        <w:tc>
          <w:tcPr>
            <w:tcW w:w="1720" w:type="dxa"/>
            <w:tcBorders>
              <w:top w:val="nil"/>
              <w:left w:val="nil"/>
              <w:bottom w:val="nil"/>
              <w:right w:val="single" w:sz="8" w:space="0" w:color="C7D5E0"/>
            </w:tcBorders>
            <w:shd w:val="clear" w:color="ECF1F5" w:fill="ECF1F5"/>
            <w:vAlign w:val="center"/>
            <w:hideMark/>
          </w:tcPr>
          <w:p w14:paraId="4360AAEF"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444</w:t>
            </w:r>
          </w:p>
        </w:tc>
        <w:tc>
          <w:tcPr>
            <w:tcW w:w="1640" w:type="dxa"/>
            <w:tcBorders>
              <w:top w:val="nil"/>
              <w:left w:val="nil"/>
              <w:bottom w:val="nil"/>
              <w:right w:val="single" w:sz="8" w:space="0" w:color="C7D5E0"/>
            </w:tcBorders>
            <w:shd w:val="clear" w:color="ECF1F5" w:fill="ECF1F5"/>
            <w:vAlign w:val="center"/>
            <w:hideMark/>
          </w:tcPr>
          <w:p w14:paraId="6E8A78A6"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313</w:t>
            </w:r>
          </w:p>
        </w:tc>
        <w:tc>
          <w:tcPr>
            <w:tcW w:w="1400" w:type="dxa"/>
            <w:tcBorders>
              <w:top w:val="nil"/>
              <w:left w:val="nil"/>
              <w:bottom w:val="nil"/>
              <w:right w:val="single" w:sz="8" w:space="0" w:color="C7D5E0"/>
            </w:tcBorders>
            <w:shd w:val="clear" w:color="ECF1F5" w:fill="ECF1F5"/>
            <w:vAlign w:val="center"/>
            <w:hideMark/>
          </w:tcPr>
          <w:p w14:paraId="514372BD"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1,120.00</w:t>
            </w:r>
          </w:p>
        </w:tc>
        <w:tc>
          <w:tcPr>
            <w:tcW w:w="1500" w:type="dxa"/>
            <w:tcBorders>
              <w:top w:val="nil"/>
              <w:left w:val="nil"/>
              <w:bottom w:val="nil"/>
              <w:right w:val="single" w:sz="8" w:space="0" w:color="C7D5E0"/>
            </w:tcBorders>
            <w:shd w:val="clear" w:color="ECF1F5" w:fill="ECF1F5"/>
            <w:vAlign w:val="center"/>
            <w:hideMark/>
          </w:tcPr>
          <w:p w14:paraId="23958F02"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167</w:t>
            </w:r>
          </w:p>
        </w:tc>
        <w:tc>
          <w:tcPr>
            <w:tcW w:w="1560" w:type="dxa"/>
            <w:tcBorders>
              <w:top w:val="nil"/>
              <w:left w:val="nil"/>
              <w:bottom w:val="nil"/>
              <w:right w:val="nil"/>
            </w:tcBorders>
            <w:shd w:val="clear" w:color="ECF1F5" w:fill="ECF1F5"/>
            <w:vAlign w:val="center"/>
            <w:hideMark/>
          </w:tcPr>
          <w:p w14:paraId="3B9C0B1B"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177</w:t>
            </w:r>
          </w:p>
        </w:tc>
      </w:tr>
      <w:tr w:rsidR="006402A2" w:rsidRPr="006402A2" w14:paraId="7ECAC0B8" w14:textId="77777777" w:rsidTr="006402A2">
        <w:trPr>
          <w:trHeight w:val="840"/>
        </w:trPr>
        <w:tc>
          <w:tcPr>
            <w:tcW w:w="960" w:type="dxa"/>
            <w:tcBorders>
              <w:top w:val="nil"/>
              <w:left w:val="nil"/>
              <w:bottom w:val="nil"/>
              <w:right w:val="nil"/>
            </w:tcBorders>
            <w:shd w:val="clear" w:color="auto" w:fill="auto"/>
            <w:noWrap/>
            <w:vAlign w:val="bottom"/>
            <w:hideMark/>
          </w:tcPr>
          <w:p w14:paraId="275DD7D3"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p>
        </w:tc>
        <w:tc>
          <w:tcPr>
            <w:tcW w:w="1660" w:type="dxa"/>
            <w:tcBorders>
              <w:top w:val="nil"/>
              <w:left w:val="nil"/>
              <w:bottom w:val="nil"/>
              <w:right w:val="single" w:sz="8" w:space="0" w:color="C7D5E0"/>
            </w:tcBorders>
            <w:shd w:val="clear" w:color="auto" w:fill="auto"/>
            <w:vAlign w:val="center"/>
            <w:hideMark/>
          </w:tcPr>
          <w:p w14:paraId="562D8C4C"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Other Non-Current Liabilities:</w:t>
            </w:r>
          </w:p>
        </w:tc>
        <w:tc>
          <w:tcPr>
            <w:tcW w:w="1720" w:type="dxa"/>
            <w:tcBorders>
              <w:top w:val="nil"/>
              <w:left w:val="nil"/>
              <w:bottom w:val="nil"/>
              <w:right w:val="single" w:sz="8" w:space="0" w:color="C7D5E0"/>
            </w:tcBorders>
            <w:shd w:val="clear" w:color="auto" w:fill="auto"/>
            <w:vAlign w:val="center"/>
            <w:hideMark/>
          </w:tcPr>
          <w:p w14:paraId="2C6C26DD"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1,737.00</w:t>
            </w:r>
          </w:p>
        </w:tc>
        <w:tc>
          <w:tcPr>
            <w:tcW w:w="1640" w:type="dxa"/>
            <w:tcBorders>
              <w:top w:val="nil"/>
              <w:left w:val="nil"/>
              <w:bottom w:val="nil"/>
              <w:right w:val="single" w:sz="8" w:space="0" w:color="C7D5E0"/>
            </w:tcBorders>
            <w:shd w:val="clear" w:color="auto" w:fill="auto"/>
            <w:vAlign w:val="center"/>
            <w:hideMark/>
          </w:tcPr>
          <w:p w14:paraId="4C1BAB4D"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3,007.00</w:t>
            </w:r>
          </w:p>
        </w:tc>
        <w:tc>
          <w:tcPr>
            <w:tcW w:w="1400" w:type="dxa"/>
            <w:tcBorders>
              <w:top w:val="nil"/>
              <w:left w:val="nil"/>
              <w:bottom w:val="nil"/>
              <w:right w:val="single" w:sz="8" w:space="0" w:color="C7D5E0"/>
            </w:tcBorders>
            <w:shd w:val="clear" w:color="auto" w:fill="auto"/>
            <w:vAlign w:val="center"/>
            <w:hideMark/>
          </w:tcPr>
          <w:p w14:paraId="5C877998"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2,363.00</w:t>
            </w:r>
          </w:p>
        </w:tc>
        <w:tc>
          <w:tcPr>
            <w:tcW w:w="1500" w:type="dxa"/>
            <w:tcBorders>
              <w:top w:val="nil"/>
              <w:left w:val="nil"/>
              <w:bottom w:val="nil"/>
              <w:right w:val="single" w:sz="8" w:space="0" w:color="C7D5E0"/>
            </w:tcBorders>
            <w:shd w:val="clear" w:color="auto" w:fill="auto"/>
            <w:vAlign w:val="center"/>
            <w:hideMark/>
          </w:tcPr>
          <w:p w14:paraId="5450A724"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3,274.00</w:t>
            </w:r>
          </w:p>
        </w:tc>
        <w:tc>
          <w:tcPr>
            <w:tcW w:w="1560" w:type="dxa"/>
            <w:tcBorders>
              <w:top w:val="nil"/>
              <w:left w:val="nil"/>
              <w:bottom w:val="nil"/>
              <w:right w:val="nil"/>
            </w:tcBorders>
            <w:shd w:val="clear" w:color="auto" w:fill="auto"/>
            <w:vAlign w:val="center"/>
            <w:hideMark/>
          </w:tcPr>
          <w:p w14:paraId="3528F1A3"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5,972.00</w:t>
            </w:r>
          </w:p>
        </w:tc>
      </w:tr>
      <w:tr w:rsidR="006402A2" w:rsidRPr="006402A2" w14:paraId="3908E813" w14:textId="77777777" w:rsidTr="006402A2">
        <w:trPr>
          <w:trHeight w:val="290"/>
        </w:trPr>
        <w:tc>
          <w:tcPr>
            <w:tcW w:w="960" w:type="dxa"/>
            <w:tcBorders>
              <w:top w:val="nil"/>
              <w:left w:val="nil"/>
              <w:bottom w:val="nil"/>
              <w:right w:val="nil"/>
            </w:tcBorders>
            <w:shd w:val="clear" w:color="auto" w:fill="auto"/>
            <w:noWrap/>
            <w:vAlign w:val="bottom"/>
            <w:hideMark/>
          </w:tcPr>
          <w:p w14:paraId="43505020"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p>
        </w:tc>
        <w:tc>
          <w:tcPr>
            <w:tcW w:w="1660" w:type="dxa"/>
            <w:tcBorders>
              <w:top w:val="nil"/>
              <w:left w:val="nil"/>
              <w:bottom w:val="nil"/>
              <w:right w:val="single" w:sz="8" w:space="0" w:color="C7D5E0"/>
            </w:tcBorders>
            <w:shd w:val="clear" w:color="ECF1F5" w:fill="ECF1F5"/>
            <w:vAlign w:val="center"/>
            <w:hideMark/>
          </w:tcPr>
          <w:p w14:paraId="7B1EAA12"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 </w:t>
            </w:r>
          </w:p>
        </w:tc>
        <w:tc>
          <w:tcPr>
            <w:tcW w:w="1720" w:type="dxa"/>
            <w:tcBorders>
              <w:top w:val="nil"/>
              <w:left w:val="nil"/>
              <w:bottom w:val="nil"/>
              <w:right w:val="single" w:sz="8" w:space="0" w:color="C7D5E0"/>
            </w:tcBorders>
            <w:shd w:val="clear" w:color="ECF1F5" w:fill="ECF1F5"/>
            <w:vAlign w:val="center"/>
            <w:hideMark/>
          </w:tcPr>
          <w:p w14:paraId="626F7B8F"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14,902.00</w:t>
            </w:r>
          </w:p>
        </w:tc>
        <w:tc>
          <w:tcPr>
            <w:tcW w:w="1640" w:type="dxa"/>
            <w:tcBorders>
              <w:top w:val="nil"/>
              <w:left w:val="nil"/>
              <w:bottom w:val="nil"/>
              <w:right w:val="single" w:sz="8" w:space="0" w:color="C7D5E0"/>
            </w:tcBorders>
            <w:shd w:val="clear" w:color="ECF1F5" w:fill="ECF1F5"/>
            <w:vAlign w:val="center"/>
            <w:hideMark/>
          </w:tcPr>
          <w:p w14:paraId="69E40313"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16,033.00</w:t>
            </w:r>
          </w:p>
        </w:tc>
        <w:tc>
          <w:tcPr>
            <w:tcW w:w="1400" w:type="dxa"/>
            <w:tcBorders>
              <w:top w:val="nil"/>
              <w:left w:val="nil"/>
              <w:bottom w:val="nil"/>
              <w:right w:val="single" w:sz="8" w:space="0" w:color="C7D5E0"/>
            </w:tcBorders>
            <w:shd w:val="clear" w:color="ECF1F5" w:fill="ECF1F5"/>
            <w:vAlign w:val="center"/>
            <w:hideMark/>
          </w:tcPr>
          <w:p w14:paraId="6B56DFD8"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17,568.00</w:t>
            </w:r>
          </w:p>
        </w:tc>
        <w:tc>
          <w:tcPr>
            <w:tcW w:w="1500" w:type="dxa"/>
            <w:tcBorders>
              <w:top w:val="nil"/>
              <w:left w:val="nil"/>
              <w:bottom w:val="nil"/>
              <w:right w:val="single" w:sz="8" w:space="0" w:color="C7D5E0"/>
            </w:tcBorders>
            <w:shd w:val="clear" w:color="ECF1F5" w:fill="ECF1F5"/>
            <w:vAlign w:val="center"/>
            <w:hideMark/>
          </w:tcPr>
          <w:p w14:paraId="7ED6498A"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17,456.00</w:t>
            </w:r>
          </w:p>
        </w:tc>
        <w:tc>
          <w:tcPr>
            <w:tcW w:w="1560" w:type="dxa"/>
            <w:tcBorders>
              <w:top w:val="nil"/>
              <w:left w:val="nil"/>
              <w:bottom w:val="nil"/>
              <w:right w:val="nil"/>
            </w:tcBorders>
            <w:shd w:val="clear" w:color="ECF1F5" w:fill="ECF1F5"/>
            <w:vAlign w:val="center"/>
            <w:hideMark/>
          </w:tcPr>
          <w:p w14:paraId="7DD03EDF"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21,122.00</w:t>
            </w:r>
          </w:p>
        </w:tc>
      </w:tr>
      <w:tr w:rsidR="006402A2" w:rsidRPr="006402A2" w14:paraId="0C1A099B" w14:textId="77777777" w:rsidTr="006402A2">
        <w:trPr>
          <w:trHeight w:val="290"/>
        </w:trPr>
        <w:tc>
          <w:tcPr>
            <w:tcW w:w="960" w:type="dxa"/>
            <w:tcBorders>
              <w:top w:val="nil"/>
              <w:left w:val="nil"/>
              <w:bottom w:val="nil"/>
              <w:right w:val="nil"/>
            </w:tcBorders>
            <w:shd w:val="clear" w:color="auto" w:fill="auto"/>
            <w:noWrap/>
            <w:vAlign w:val="bottom"/>
            <w:hideMark/>
          </w:tcPr>
          <w:p w14:paraId="25BBEC82"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p>
        </w:tc>
        <w:tc>
          <w:tcPr>
            <w:tcW w:w="1660" w:type="dxa"/>
            <w:tcBorders>
              <w:top w:val="nil"/>
              <w:left w:val="nil"/>
              <w:bottom w:val="nil"/>
              <w:right w:val="single" w:sz="8" w:space="0" w:color="C7D5E0"/>
            </w:tcBorders>
            <w:shd w:val="clear" w:color="auto" w:fill="auto"/>
            <w:vAlign w:val="center"/>
            <w:hideMark/>
          </w:tcPr>
          <w:p w14:paraId="356CF545"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Other Liabilities:</w:t>
            </w:r>
          </w:p>
        </w:tc>
        <w:tc>
          <w:tcPr>
            <w:tcW w:w="1720" w:type="dxa"/>
            <w:tcBorders>
              <w:top w:val="nil"/>
              <w:left w:val="nil"/>
              <w:bottom w:val="nil"/>
              <w:right w:val="single" w:sz="8" w:space="0" w:color="C7D5E0"/>
            </w:tcBorders>
            <w:shd w:val="clear" w:color="auto" w:fill="auto"/>
            <w:vAlign w:val="center"/>
            <w:hideMark/>
          </w:tcPr>
          <w:p w14:paraId="300A1AD4"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n/a</w:t>
            </w:r>
          </w:p>
        </w:tc>
        <w:tc>
          <w:tcPr>
            <w:tcW w:w="1640" w:type="dxa"/>
            <w:tcBorders>
              <w:top w:val="nil"/>
              <w:left w:val="nil"/>
              <w:bottom w:val="nil"/>
              <w:right w:val="single" w:sz="8" w:space="0" w:color="C7D5E0"/>
            </w:tcBorders>
            <w:shd w:val="clear" w:color="auto" w:fill="auto"/>
            <w:vAlign w:val="center"/>
            <w:hideMark/>
          </w:tcPr>
          <w:p w14:paraId="0EB40ACA"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n/a</w:t>
            </w:r>
          </w:p>
        </w:tc>
        <w:tc>
          <w:tcPr>
            <w:tcW w:w="1400" w:type="dxa"/>
            <w:tcBorders>
              <w:top w:val="nil"/>
              <w:left w:val="nil"/>
              <w:bottom w:val="nil"/>
              <w:right w:val="single" w:sz="8" w:space="0" w:color="C7D5E0"/>
            </w:tcBorders>
            <w:shd w:val="clear" w:color="auto" w:fill="auto"/>
            <w:vAlign w:val="center"/>
            <w:hideMark/>
          </w:tcPr>
          <w:p w14:paraId="2C0E9DB5"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14</w:t>
            </w:r>
          </w:p>
        </w:tc>
        <w:tc>
          <w:tcPr>
            <w:tcW w:w="1500" w:type="dxa"/>
            <w:tcBorders>
              <w:top w:val="nil"/>
              <w:left w:val="nil"/>
              <w:bottom w:val="nil"/>
              <w:right w:val="single" w:sz="8" w:space="0" w:color="C7D5E0"/>
            </w:tcBorders>
            <w:shd w:val="clear" w:color="auto" w:fill="auto"/>
            <w:vAlign w:val="center"/>
            <w:hideMark/>
          </w:tcPr>
          <w:p w14:paraId="47C4F6AE"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276</w:t>
            </w:r>
          </w:p>
        </w:tc>
        <w:tc>
          <w:tcPr>
            <w:tcW w:w="1560" w:type="dxa"/>
            <w:tcBorders>
              <w:top w:val="nil"/>
              <w:left w:val="nil"/>
              <w:bottom w:val="nil"/>
              <w:right w:val="nil"/>
            </w:tcBorders>
            <w:shd w:val="clear" w:color="auto" w:fill="auto"/>
            <w:vAlign w:val="center"/>
            <w:hideMark/>
          </w:tcPr>
          <w:p w14:paraId="6A384773"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n/a</w:t>
            </w:r>
          </w:p>
        </w:tc>
      </w:tr>
      <w:tr w:rsidR="006402A2" w:rsidRPr="006402A2" w14:paraId="27435B48" w14:textId="77777777" w:rsidTr="006402A2">
        <w:trPr>
          <w:trHeight w:val="290"/>
        </w:trPr>
        <w:tc>
          <w:tcPr>
            <w:tcW w:w="960" w:type="dxa"/>
            <w:tcBorders>
              <w:top w:val="nil"/>
              <w:left w:val="nil"/>
              <w:bottom w:val="nil"/>
              <w:right w:val="nil"/>
            </w:tcBorders>
            <w:shd w:val="clear" w:color="auto" w:fill="auto"/>
            <w:noWrap/>
            <w:vAlign w:val="bottom"/>
            <w:hideMark/>
          </w:tcPr>
          <w:p w14:paraId="5DEF3854"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p>
        </w:tc>
        <w:tc>
          <w:tcPr>
            <w:tcW w:w="1660" w:type="dxa"/>
            <w:tcBorders>
              <w:top w:val="nil"/>
              <w:left w:val="nil"/>
              <w:bottom w:val="nil"/>
              <w:right w:val="single" w:sz="8" w:space="0" w:color="C7D5E0"/>
            </w:tcBorders>
            <w:shd w:val="clear" w:color="ECF1F5" w:fill="ECF1F5"/>
            <w:vAlign w:val="center"/>
            <w:hideMark/>
          </w:tcPr>
          <w:p w14:paraId="3D50D11F"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Total Liabilities:</w:t>
            </w:r>
          </w:p>
        </w:tc>
        <w:tc>
          <w:tcPr>
            <w:tcW w:w="1720" w:type="dxa"/>
            <w:tcBorders>
              <w:top w:val="nil"/>
              <w:left w:val="nil"/>
              <w:bottom w:val="nil"/>
              <w:right w:val="single" w:sz="8" w:space="0" w:color="C7D5E0"/>
            </w:tcBorders>
            <w:shd w:val="clear" w:color="ECF1F5" w:fill="ECF1F5"/>
            <w:vAlign w:val="center"/>
            <w:hideMark/>
          </w:tcPr>
          <w:p w14:paraId="60736D99"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35,374.00</w:t>
            </w:r>
          </w:p>
        </w:tc>
        <w:tc>
          <w:tcPr>
            <w:tcW w:w="1640" w:type="dxa"/>
            <w:tcBorders>
              <w:top w:val="nil"/>
              <w:left w:val="nil"/>
              <w:bottom w:val="nil"/>
              <w:right w:val="single" w:sz="8" w:space="0" w:color="C7D5E0"/>
            </w:tcBorders>
            <w:shd w:val="clear" w:color="ECF1F5" w:fill="ECF1F5"/>
            <w:vAlign w:val="center"/>
            <w:hideMark/>
          </w:tcPr>
          <w:p w14:paraId="47407088"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33,643.00</w:t>
            </w:r>
          </w:p>
        </w:tc>
        <w:tc>
          <w:tcPr>
            <w:tcW w:w="1400" w:type="dxa"/>
            <w:tcBorders>
              <w:top w:val="nil"/>
              <w:left w:val="nil"/>
              <w:bottom w:val="nil"/>
              <w:right w:val="single" w:sz="8" w:space="0" w:color="C7D5E0"/>
            </w:tcBorders>
            <w:shd w:val="clear" w:color="ECF1F5" w:fill="ECF1F5"/>
            <w:vAlign w:val="center"/>
            <w:hideMark/>
          </w:tcPr>
          <w:p w14:paraId="0E29E51B"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33,707.00</w:t>
            </w:r>
          </w:p>
        </w:tc>
        <w:tc>
          <w:tcPr>
            <w:tcW w:w="1500" w:type="dxa"/>
            <w:tcBorders>
              <w:top w:val="nil"/>
              <w:left w:val="nil"/>
              <w:bottom w:val="nil"/>
              <w:right w:val="single" w:sz="8" w:space="0" w:color="C7D5E0"/>
            </w:tcBorders>
            <w:shd w:val="clear" w:color="ECF1F5" w:fill="ECF1F5"/>
            <w:vAlign w:val="center"/>
            <w:hideMark/>
          </w:tcPr>
          <w:p w14:paraId="7846EC29"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33,453.00</w:t>
            </w:r>
          </w:p>
        </w:tc>
        <w:tc>
          <w:tcPr>
            <w:tcW w:w="1560" w:type="dxa"/>
            <w:tcBorders>
              <w:top w:val="nil"/>
              <w:left w:val="nil"/>
              <w:bottom w:val="nil"/>
              <w:right w:val="nil"/>
            </w:tcBorders>
            <w:shd w:val="clear" w:color="ECF1F5" w:fill="ECF1F5"/>
            <w:vAlign w:val="center"/>
            <w:hideMark/>
          </w:tcPr>
          <w:p w14:paraId="53DED94E"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39,778.00</w:t>
            </w:r>
          </w:p>
        </w:tc>
      </w:tr>
      <w:tr w:rsidR="006402A2" w:rsidRPr="006402A2" w14:paraId="0E7DEA3E" w14:textId="77777777" w:rsidTr="006402A2">
        <w:trPr>
          <w:trHeight w:val="290"/>
        </w:trPr>
        <w:tc>
          <w:tcPr>
            <w:tcW w:w="960" w:type="dxa"/>
            <w:tcBorders>
              <w:top w:val="nil"/>
              <w:left w:val="nil"/>
              <w:bottom w:val="nil"/>
              <w:right w:val="nil"/>
            </w:tcBorders>
            <w:shd w:val="clear" w:color="auto" w:fill="auto"/>
            <w:noWrap/>
            <w:vAlign w:val="bottom"/>
            <w:hideMark/>
          </w:tcPr>
          <w:p w14:paraId="5E1199BE"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p>
        </w:tc>
        <w:tc>
          <w:tcPr>
            <w:tcW w:w="1660" w:type="dxa"/>
            <w:tcBorders>
              <w:top w:val="nil"/>
              <w:left w:val="nil"/>
              <w:bottom w:val="nil"/>
              <w:right w:val="single" w:sz="8" w:space="0" w:color="C7D5E0"/>
            </w:tcBorders>
            <w:shd w:val="clear" w:color="auto" w:fill="auto"/>
            <w:vAlign w:val="center"/>
            <w:hideMark/>
          </w:tcPr>
          <w:p w14:paraId="6443FDE4"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Net Assets:</w:t>
            </w:r>
          </w:p>
        </w:tc>
        <w:tc>
          <w:tcPr>
            <w:tcW w:w="1720" w:type="dxa"/>
            <w:tcBorders>
              <w:top w:val="nil"/>
              <w:left w:val="nil"/>
              <w:bottom w:val="nil"/>
              <w:right w:val="single" w:sz="8" w:space="0" w:color="C7D5E0"/>
            </w:tcBorders>
            <w:shd w:val="clear" w:color="auto" w:fill="auto"/>
            <w:vAlign w:val="center"/>
            <w:hideMark/>
          </w:tcPr>
          <w:p w14:paraId="1F6FF4F0"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11,665.00</w:t>
            </w:r>
          </w:p>
        </w:tc>
        <w:tc>
          <w:tcPr>
            <w:tcW w:w="1640" w:type="dxa"/>
            <w:tcBorders>
              <w:top w:val="nil"/>
              <w:left w:val="nil"/>
              <w:bottom w:val="nil"/>
              <w:right w:val="single" w:sz="8" w:space="0" w:color="C7D5E0"/>
            </w:tcBorders>
            <w:shd w:val="clear" w:color="auto" w:fill="auto"/>
            <w:vAlign w:val="center"/>
            <w:hideMark/>
          </w:tcPr>
          <w:p w14:paraId="25145E40"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12,225.00</w:t>
            </w:r>
          </w:p>
        </w:tc>
        <w:tc>
          <w:tcPr>
            <w:tcW w:w="1400" w:type="dxa"/>
            <w:tcBorders>
              <w:top w:val="nil"/>
              <w:left w:val="nil"/>
              <w:bottom w:val="nil"/>
              <w:right w:val="single" w:sz="8" w:space="0" w:color="C7D5E0"/>
            </w:tcBorders>
            <w:shd w:val="clear" w:color="auto" w:fill="auto"/>
            <w:vAlign w:val="center"/>
            <w:hideMark/>
          </w:tcPr>
          <w:p w14:paraId="19708688"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15,644.00</w:t>
            </w:r>
          </w:p>
        </w:tc>
        <w:tc>
          <w:tcPr>
            <w:tcW w:w="1500" w:type="dxa"/>
            <w:tcBorders>
              <w:top w:val="nil"/>
              <w:left w:val="nil"/>
              <w:bottom w:val="nil"/>
              <w:right w:val="single" w:sz="8" w:space="0" w:color="C7D5E0"/>
            </w:tcBorders>
            <w:shd w:val="clear" w:color="auto" w:fill="auto"/>
            <w:vAlign w:val="center"/>
            <w:hideMark/>
          </w:tcPr>
          <w:p w14:paraId="0CE5DB9D"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12,059.00</w:t>
            </w:r>
          </w:p>
        </w:tc>
        <w:tc>
          <w:tcPr>
            <w:tcW w:w="1560" w:type="dxa"/>
            <w:tcBorders>
              <w:top w:val="nil"/>
              <w:left w:val="nil"/>
              <w:bottom w:val="nil"/>
              <w:right w:val="nil"/>
            </w:tcBorders>
            <w:shd w:val="clear" w:color="auto" w:fill="auto"/>
            <w:vAlign w:val="center"/>
            <w:hideMark/>
          </w:tcPr>
          <w:p w14:paraId="6926BF18"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13,369.00</w:t>
            </w:r>
          </w:p>
        </w:tc>
      </w:tr>
      <w:tr w:rsidR="006402A2" w:rsidRPr="006402A2" w14:paraId="1CC4634A" w14:textId="77777777" w:rsidTr="006402A2">
        <w:trPr>
          <w:trHeight w:val="560"/>
        </w:trPr>
        <w:tc>
          <w:tcPr>
            <w:tcW w:w="960" w:type="dxa"/>
            <w:tcBorders>
              <w:top w:val="nil"/>
              <w:left w:val="nil"/>
              <w:bottom w:val="nil"/>
              <w:right w:val="nil"/>
            </w:tcBorders>
            <w:shd w:val="clear" w:color="auto" w:fill="auto"/>
            <w:noWrap/>
            <w:vAlign w:val="bottom"/>
            <w:hideMark/>
          </w:tcPr>
          <w:p w14:paraId="0F8FFCEE"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p>
        </w:tc>
        <w:tc>
          <w:tcPr>
            <w:tcW w:w="1660" w:type="dxa"/>
            <w:tcBorders>
              <w:top w:val="nil"/>
              <w:left w:val="nil"/>
              <w:bottom w:val="nil"/>
              <w:right w:val="single" w:sz="8" w:space="0" w:color="C7D5E0"/>
            </w:tcBorders>
            <w:shd w:val="clear" w:color="D1DBE4" w:fill="D1DBE4"/>
            <w:vAlign w:val="center"/>
            <w:hideMark/>
          </w:tcPr>
          <w:p w14:paraId="21E6F6FA" w14:textId="77777777" w:rsidR="006402A2" w:rsidRPr="006402A2" w:rsidRDefault="006402A2" w:rsidP="006402A2">
            <w:pPr>
              <w:spacing w:after="0" w:line="240" w:lineRule="auto"/>
              <w:rPr>
                <w:rFonts w:ascii="Arial" w:eastAsia="Times New Roman" w:hAnsi="Arial" w:cs="Arial"/>
                <w:b/>
                <w:bCs/>
                <w:color w:val="000000"/>
                <w:kern w:val="0"/>
                <w:sz w:val="22"/>
                <w:szCs w:val="22"/>
                <w14:ligatures w14:val="none"/>
              </w:rPr>
            </w:pPr>
            <w:r w:rsidRPr="006402A2">
              <w:rPr>
                <w:rFonts w:ascii="Arial" w:eastAsia="Times New Roman" w:hAnsi="Arial" w:cs="Arial"/>
                <w:b/>
                <w:bCs/>
                <w:color w:val="000000"/>
                <w:kern w:val="0"/>
                <w:sz w:val="22"/>
                <w:szCs w:val="22"/>
                <w14:ligatures w14:val="none"/>
              </w:rPr>
              <w:t>Capital &amp; reserves: </w:t>
            </w:r>
          </w:p>
        </w:tc>
        <w:tc>
          <w:tcPr>
            <w:tcW w:w="7820" w:type="dxa"/>
            <w:gridSpan w:val="5"/>
            <w:tcBorders>
              <w:top w:val="nil"/>
              <w:left w:val="nil"/>
              <w:bottom w:val="nil"/>
              <w:right w:val="nil"/>
            </w:tcBorders>
            <w:shd w:val="clear" w:color="D1DBE4" w:fill="D1DBE4"/>
            <w:noWrap/>
            <w:vAlign w:val="bottom"/>
            <w:hideMark/>
          </w:tcPr>
          <w:p w14:paraId="349D975C" w14:textId="77777777" w:rsidR="006402A2" w:rsidRPr="006402A2" w:rsidRDefault="006402A2" w:rsidP="006402A2">
            <w:pPr>
              <w:spacing w:after="0" w:line="240" w:lineRule="auto"/>
              <w:rPr>
                <w:rFonts w:ascii="Aptos Narrow" w:eastAsia="Times New Roman" w:hAnsi="Aptos Narrow" w:cs="Times New Roman"/>
                <w:color w:val="000000"/>
                <w:kern w:val="0"/>
                <w:sz w:val="22"/>
                <w:szCs w:val="22"/>
                <w14:ligatures w14:val="none"/>
              </w:rPr>
            </w:pPr>
            <w:r w:rsidRPr="006402A2">
              <w:rPr>
                <w:rFonts w:ascii="Aptos Narrow" w:eastAsia="Times New Roman" w:hAnsi="Aptos Narrow" w:cs="Times New Roman"/>
                <w:color w:val="000000"/>
                <w:kern w:val="0"/>
                <w:sz w:val="22"/>
                <w:szCs w:val="22"/>
                <w14:ligatures w14:val="none"/>
              </w:rPr>
              <w:t> </w:t>
            </w:r>
          </w:p>
        </w:tc>
      </w:tr>
      <w:tr w:rsidR="006402A2" w:rsidRPr="006402A2" w14:paraId="131ADD8C" w14:textId="77777777" w:rsidTr="006402A2">
        <w:trPr>
          <w:trHeight w:val="290"/>
        </w:trPr>
        <w:tc>
          <w:tcPr>
            <w:tcW w:w="960" w:type="dxa"/>
            <w:tcBorders>
              <w:top w:val="nil"/>
              <w:left w:val="nil"/>
              <w:bottom w:val="nil"/>
              <w:right w:val="nil"/>
            </w:tcBorders>
            <w:shd w:val="clear" w:color="auto" w:fill="auto"/>
            <w:noWrap/>
            <w:vAlign w:val="bottom"/>
            <w:hideMark/>
          </w:tcPr>
          <w:p w14:paraId="3521D092" w14:textId="77777777" w:rsidR="006402A2" w:rsidRPr="006402A2" w:rsidRDefault="006402A2" w:rsidP="006402A2">
            <w:pPr>
              <w:spacing w:after="0" w:line="240" w:lineRule="auto"/>
              <w:rPr>
                <w:rFonts w:ascii="Aptos Narrow" w:eastAsia="Times New Roman" w:hAnsi="Aptos Narrow" w:cs="Times New Roman"/>
                <w:color w:val="000000"/>
                <w:kern w:val="0"/>
                <w:sz w:val="22"/>
                <w:szCs w:val="22"/>
                <w14:ligatures w14:val="none"/>
              </w:rPr>
            </w:pPr>
          </w:p>
        </w:tc>
        <w:tc>
          <w:tcPr>
            <w:tcW w:w="1660" w:type="dxa"/>
            <w:tcBorders>
              <w:top w:val="nil"/>
              <w:left w:val="nil"/>
              <w:bottom w:val="nil"/>
              <w:right w:val="single" w:sz="8" w:space="0" w:color="C7D5E0"/>
            </w:tcBorders>
            <w:shd w:val="clear" w:color="auto" w:fill="auto"/>
            <w:vAlign w:val="center"/>
            <w:hideMark/>
          </w:tcPr>
          <w:p w14:paraId="6D4B3DD7"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Share Capital:</w:t>
            </w:r>
          </w:p>
        </w:tc>
        <w:tc>
          <w:tcPr>
            <w:tcW w:w="1720" w:type="dxa"/>
            <w:tcBorders>
              <w:top w:val="nil"/>
              <w:left w:val="nil"/>
              <w:bottom w:val="nil"/>
              <w:right w:val="single" w:sz="8" w:space="0" w:color="C7D5E0"/>
            </w:tcBorders>
            <w:shd w:val="clear" w:color="auto" w:fill="auto"/>
            <w:vAlign w:val="center"/>
            <w:hideMark/>
          </w:tcPr>
          <w:p w14:paraId="7A9041E9"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445</w:t>
            </w:r>
          </w:p>
        </w:tc>
        <w:tc>
          <w:tcPr>
            <w:tcW w:w="1640" w:type="dxa"/>
            <w:tcBorders>
              <w:top w:val="nil"/>
              <w:left w:val="nil"/>
              <w:bottom w:val="nil"/>
              <w:right w:val="single" w:sz="8" w:space="0" w:color="C7D5E0"/>
            </w:tcBorders>
            <w:shd w:val="clear" w:color="auto" w:fill="auto"/>
            <w:vAlign w:val="center"/>
            <w:hideMark/>
          </w:tcPr>
          <w:p w14:paraId="0B3D7B90"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463</w:t>
            </w:r>
          </w:p>
        </w:tc>
        <w:tc>
          <w:tcPr>
            <w:tcW w:w="1400" w:type="dxa"/>
            <w:tcBorders>
              <w:top w:val="nil"/>
              <w:left w:val="nil"/>
              <w:bottom w:val="nil"/>
              <w:right w:val="single" w:sz="8" w:space="0" w:color="C7D5E0"/>
            </w:tcBorders>
            <w:shd w:val="clear" w:color="auto" w:fill="auto"/>
            <w:vAlign w:val="center"/>
            <w:hideMark/>
          </w:tcPr>
          <w:p w14:paraId="50B9F6CA"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484</w:t>
            </w:r>
          </w:p>
        </w:tc>
        <w:tc>
          <w:tcPr>
            <w:tcW w:w="1500" w:type="dxa"/>
            <w:tcBorders>
              <w:top w:val="nil"/>
              <w:left w:val="nil"/>
              <w:bottom w:val="nil"/>
              <w:right w:val="single" w:sz="8" w:space="0" w:color="C7D5E0"/>
            </w:tcBorders>
            <w:shd w:val="clear" w:color="auto" w:fill="auto"/>
            <w:vAlign w:val="center"/>
            <w:hideMark/>
          </w:tcPr>
          <w:p w14:paraId="093D750F"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490</w:t>
            </w:r>
          </w:p>
        </w:tc>
        <w:tc>
          <w:tcPr>
            <w:tcW w:w="1560" w:type="dxa"/>
            <w:tcBorders>
              <w:top w:val="nil"/>
              <w:left w:val="nil"/>
              <w:bottom w:val="nil"/>
              <w:right w:val="nil"/>
            </w:tcBorders>
            <w:shd w:val="clear" w:color="auto" w:fill="auto"/>
            <w:vAlign w:val="center"/>
            <w:hideMark/>
          </w:tcPr>
          <w:p w14:paraId="15C0737A"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490</w:t>
            </w:r>
          </w:p>
        </w:tc>
      </w:tr>
      <w:tr w:rsidR="006402A2" w:rsidRPr="006402A2" w14:paraId="6CB3DC8B" w14:textId="77777777" w:rsidTr="006402A2">
        <w:trPr>
          <w:trHeight w:val="560"/>
        </w:trPr>
        <w:tc>
          <w:tcPr>
            <w:tcW w:w="960" w:type="dxa"/>
            <w:tcBorders>
              <w:top w:val="nil"/>
              <w:left w:val="nil"/>
              <w:bottom w:val="nil"/>
              <w:right w:val="nil"/>
            </w:tcBorders>
            <w:shd w:val="clear" w:color="auto" w:fill="auto"/>
            <w:noWrap/>
            <w:vAlign w:val="bottom"/>
            <w:hideMark/>
          </w:tcPr>
          <w:p w14:paraId="08B20F9E"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p>
        </w:tc>
        <w:tc>
          <w:tcPr>
            <w:tcW w:w="1660" w:type="dxa"/>
            <w:tcBorders>
              <w:top w:val="nil"/>
              <w:left w:val="nil"/>
              <w:bottom w:val="nil"/>
              <w:right w:val="single" w:sz="8" w:space="0" w:color="C7D5E0"/>
            </w:tcBorders>
            <w:shd w:val="clear" w:color="ECF1F5" w:fill="ECF1F5"/>
            <w:vAlign w:val="center"/>
            <w:hideMark/>
          </w:tcPr>
          <w:p w14:paraId="320DC603"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Share Premium Account:</w:t>
            </w:r>
          </w:p>
        </w:tc>
        <w:tc>
          <w:tcPr>
            <w:tcW w:w="1720" w:type="dxa"/>
            <w:tcBorders>
              <w:top w:val="nil"/>
              <w:left w:val="nil"/>
              <w:bottom w:val="nil"/>
              <w:right w:val="single" w:sz="8" w:space="0" w:color="C7D5E0"/>
            </w:tcBorders>
            <w:shd w:val="clear" w:color="ECF1F5" w:fill="ECF1F5"/>
            <w:vAlign w:val="center"/>
            <w:hideMark/>
          </w:tcPr>
          <w:p w14:paraId="557241F9"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5,165.00</w:t>
            </w:r>
          </w:p>
        </w:tc>
        <w:tc>
          <w:tcPr>
            <w:tcW w:w="1640" w:type="dxa"/>
            <w:tcBorders>
              <w:top w:val="nil"/>
              <w:left w:val="nil"/>
              <w:bottom w:val="nil"/>
              <w:right w:val="single" w:sz="8" w:space="0" w:color="C7D5E0"/>
            </w:tcBorders>
            <w:shd w:val="clear" w:color="ECF1F5" w:fill="ECF1F5"/>
            <w:vAlign w:val="center"/>
            <w:hideMark/>
          </w:tcPr>
          <w:p w14:paraId="1B59C1FB"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5,165.00</w:t>
            </w:r>
          </w:p>
        </w:tc>
        <w:tc>
          <w:tcPr>
            <w:tcW w:w="1400" w:type="dxa"/>
            <w:tcBorders>
              <w:top w:val="nil"/>
              <w:left w:val="nil"/>
              <w:bottom w:val="nil"/>
              <w:right w:val="single" w:sz="8" w:space="0" w:color="C7D5E0"/>
            </w:tcBorders>
            <w:shd w:val="clear" w:color="ECF1F5" w:fill="ECF1F5"/>
            <w:vAlign w:val="center"/>
            <w:hideMark/>
          </w:tcPr>
          <w:p w14:paraId="5D736976"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5,165.00</w:t>
            </w:r>
          </w:p>
        </w:tc>
        <w:tc>
          <w:tcPr>
            <w:tcW w:w="1500" w:type="dxa"/>
            <w:tcBorders>
              <w:top w:val="nil"/>
              <w:left w:val="nil"/>
              <w:bottom w:val="nil"/>
              <w:right w:val="single" w:sz="8" w:space="0" w:color="C7D5E0"/>
            </w:tcBorders>
            <w:shd w:val="clear" w:color="ECF1F5" w:fill="ECF1F5"/>
            <w:vAlign w:val="center"/>
            <w:hideMark/>
          </w:tcPr>
          <w:p w14:paraId="2FA1C54F"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5,165.00</w:t>
            </w:r>
          </w:p>
        </w:tc>
        <w:tc>
          <w:tcPr>
            <w:tcW w:w="1560" w:type="dxa"/>
            <w:tcBorders>
              <w:top w:val="nil"/>
              <w:left w:val="nil"/>
              <w:bottom w:val="nil"/>
              <w:right w:val="nil"/>
            </w:tcBorders>
            <w:shd w:val="clear" w:color="ECF1F5" w:fill="ECF1F5"/>
            <w:vAlign w:val="center"/>
            <w:hideMark/>
          </w:tcPr>
          <w:p w14:paraId="6C1B41B0"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5,165.00</w:t>
            </w:r>
          </w:p>
        </w:tc>
      </w:tr>
      <w:tr w:rsidR="006402A2" w:rsidRPr="006402A2" w14:paraId="1B919E2B" w14:textId="77777777" w:rsidTr="006402A2">
        <w:trPr>
          <w:trHeight w:val="560"/>
        </w:trPr>
        <w:tc>
          <w:tcPr>
            <w:tcW w:w="960" w:type="dxa"/>
            <w:tcBorders>
              <w:top w:val="nil"/>
              <w:left w:val="nil"/>
              <w:bottom w:val="nil"/>
              <w:right w:val="nil"/>
            </w:tcBorders>
            <w:shd w:val="clear" w:color="auto" w:fill="auto"/>
            <w:noWrap/>
            <w:vAlign w:val="bottom"/>
            <w:hideMark/>
          </w:tcPr>
          <w:p w14:paraId="4B20B802"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p>
        </w:tc>
        <w:tc>
          <w:tcPr>
            <w:tcW w:w="1660" w:type="dxa"/>
            <w:tcBorders>
              <w:top w:val="nil"/>
              <w:left w:val="nil"/>
              <w:bottom w:val="nil"/>
              <w:right w:val="single" w:sz="8" w:space="0" w:color="C7D5E0"/>
            </w:tcBorders>
            <w:shd w:val="clear" w:color="auto" w:fill="auto"/>
            <w:vAlign w:val="center"/>
            <w:hideMark/>
          </w:tcPr>
          <w:p w14:paraId="413FF3C7"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Other Reserves:</w:t>
            </w:r>
          </w:p>
        </w:tc>
        <w:tc>
          <w:tcPr>
            <w:tcW w:w="1720" w:type="dxa"/>
            <w:tcBorders>
              <w:top w:val="nil"/>
              <w:left w:val="nil"/>
              <w:bottom w:val="nil"/>
              <w:right w:val="single" w:sz="8" w:space="0" w:color="C7D5E0"/>
            </w:tcBorders>
            <w:shd w:val="clear" w:color="auto" w:fill="auto"/>
            <w:vAlign w:val="center"/>
            <w:hideMark/>
          </w:tcPr>
          <w:p w14:paraId="4D77E4F8"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3,131.00</w:t>
            </w:r>
          </w:p>
        </w:tc>
        <w:tc>
          <w:tcPr>
            <w:tcW w:w="1640" w:type="dxa"/>
            <w:tcBorders>
              <w:top w:val="nil"/>
              <w:left w:val="nil"/>
              <w:bottom w:val="nil"/>
              <w:right w:val="single" w:sz="8" w:space="0" w:color="C7D5E0"/>
            </w:tcBorders>
            <w:shd w:val="clear" w:color="auto" w:fill="auto"/>
            <w:vAlign w:val="center"/>
            <w:hideMark/>
          </w:tcPr>
          <w:p w14:paraId="0B97E978"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3,139.00</w:t>
            </w:r>
          </w:p>
        </w:tc>
        <w:tc>
          <w:tcPr>
            <w:tcW w:w="1400" w:type="dxa"/>
            <w:tcBorders>
              <w:top w:val="nil"/>
              <w:left w:val="nil"/>
              <w:bottom w:val="nil"/>
              <w:right w:val="single" w:sz="8" w:space="0" w:color="C7D5E0"/>
            </w:tcBorders>
            <w:shd w:val="clear" w:color="auto" w:fill="auto"/>
            <w:vAlign w:val="center"/>
            <w:hideMark/>
          </w:tcPr>
          <w:p w14:paraId="5DE45F3B"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3,079.00</w:t>
            </w:r>
          </w:p>
        </w:tc>
        <w:tc>
          <w:tcPr>
            <w:tcW w:w="1500" w:type="dxa"/>
            <w:tcBorders>
              <w:top w:val="nil"/>
              <w:left w:val="nil"/>
              <w:bottom w:val="nil"/>
              <w:right w:val="single" w:sz="8" w:space="0" w:color="C7D5E0"/>
            </w:tcBorders>
            <w:shd w:val="clear" w:color="auto" w:fill="auto"/>
            <w:vAlign w:val="center"/>
            <w:hideMark/>
          </w:tcPr>
          <w:p w14:paraId="1D2654F2"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3,183.00</w:t>
            </w:r>
          </w:p>
        </w:tc>
        <w:tc>
          <w:tcPr>
            <w:tcW w:w="1560" w:type="dxa"/>
            <w:tcBorders>
              <w:top w:val="nil"/>
              <w:left w:val="nil"/>
              <w:bottom w:val="nil"/>
              <w:right w:val="nil"/>
            </w:tcBorders>
            <w:shd w:val="clear" w:color="auto" w:fill="auto"/>
            <w:vAlign w:val="center"/>
            <w:hideMark/>
          </w:tcPr>
          <w:p w14:paraId="62957AB7"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3,658.00</w:t>
            </w:r>
          </w:p>
        </w:tc>
      </w:tr>
      <w:tr w:rsidR="006402A2" w:rsidRPr="006402A2" w14:paraId="6BF0C439" w14:textId="77777777" w:rsidTr="006402A2">
        <w:trPr>
          <w:trHeight w:val="560"/>
        </w:trPr>
        <w:tc>
          <w:tcPr>
            <w:tcW w:w="960" w:type="dxa"/>
            <w:tcBorders>
              <w:top w:val="nil"/>
              <w:left w:val="nil"/>
              <w:bottom w:val="nil"/>
              <w:right w:val="nil"/>
            </w:tcBorders>
            <w:shd w:val="clear" w:color="auto" w:fill="auto"/>
            <w:noWrap/>
            <w:vAlign w:val="bottom"/>
            <w:hideMark/>
          </w:tcPr>
          <w:p w14:paraId="3C6D8960"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p>
        </w:tc>
        <w:tc>
          <w:tcPr>
            <w:tcW w:w="1660" w:type="dxa"/>
            <w:tcBorders>
              <w:top w:val="nil"/>
              <w:left w:val="nil"/>
              <w:bottom w:val="nil"/>
              <w:right w:val="single" w:sz="8" w:space="0" w:color="C7D5E0"/>
            </w:tcBorders>
            <w:shd w:val="clear" w:color="ECF1F5" w:fill="ECF1F5"/>
            <w:vAlign w:val="center"/>
            <w:hideMark/>
          </w:tcPr>
          <w:p w14:paraId="513BF2BA"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Retained Earnings:</w:t>
            </w:r>
          </w:p>
        </w:tc>
        <w:tc>
          <w:tcPr>
            <w:tcW w:w="1720" w:type="dxa"/>
            <w:tcBorders>
              <w:top w:val="nil"/>
              <w:left w:val="nil"/>
              <w:bottom w:val="nil"/>
              <w:right w:val="single" w:sz="8" w:space="0" w:color="C7D5E0"/>
            </w:tcBorders>
            <w:shd w:val="clear" w:color="ECF1F5" w:fill="ECF1F5"/>
            <w:vAlign w:val="center"/>
            <w:hideMark/>
          </w:tcPr>
          <w:p w14:paraId="03DBB505"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2,930.00</w:t>
            </w:r>
          </w:p>
        </w:tc>
        <w:tc>
          <w:tcPr>
            <w:tcW w:w="1640" w:type="dxa"/>
            <w:tcBorders>
              <w:top w:val="nil"/>
              <w:left w:val="nil"/>
              <w:bottom w:val="nil"/>
              <w:right w:val="single" w:sz="8" w:space="0" w:color="C7D5E0"/>
            </w:tcBorders>
            <w:shd w:val="clear" w:color="ECF1F5" w:fill="ECF1F5"/>
            <w:vAlign w:val="center"/>
            <w:hideMark/>
          </w:tcPr>
          <w:p w14:paraId="1EBC466D"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3,469.00</w:t>
            </w:r>
          </w:p>
        </w:tc>
        <w:tc>
          <w:tcPr>
            <w:tcW w:w="1400" w:type="dxa"/>
            <w:tcBorders>
              <w:top w:val="nil"/>
              <w:left w:val="nil"/>
              <w:bottom w:val="nil"/>
              <w:right w:val="single" w:sz="8" w:space="0" w:color="C7D5E0"/>
            </w:tcBorders>
            <w:shd w:val="clear" w:color="ECF1F5" w:fill="ECF1F5"/>
            <w:vAlign w:val="center"/>
            <w:hideMark/>
          </w:tcPr>
          <w:p w14:paraId="37E6939F"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6,932.00</w:t>
            </w:r>
          </w:p>
        </w:tc>
        <w:tc>
          <w:tcPr>
            <w:tcW w:w="1500" w:type="dxa"/>
            <w:tcBorders>
              <w:top w:val="nil"/>
              <w:left w:val="nil"/>
              <w:bottom w:val="nil"/>
              <w:right w:val="single" w:sz="8" w:space="0" w:color="C7D5E0"/>
            </w:tcBorders>
            <w:shd w:val="clear" w:color="ECF1F5" w:fill="ECF1F5"/>
            <w:vAlign w:val="center"/>
            <w:hideMark/>
          </w:tcPr>
          <w:p w14:paraId="23BA144E"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3,239.00</w:t>
            </w:r>
          </w:p>
        </w:tc>
        <w:tc>
          <w:tcPr>
            <w:tcW w:w="1560" w:type="dxa"/>
            <w:tcBorders>
              <w:top w:val="nil"/>
              <w:left w:val="nil"/>
              <w:bottom w:val="nil"/>
              <w:right w:val="nil"/>
            </w:tcBorders>
            <w:shd w:val="clear" w:color="ECF1F5" w:fill="ECF1F5"/>
            <w:vAlign w:val="center"/>
            <w:hideMark/>
          </w:tcPr>
          <w:p w14:paraId="34A9AA23"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4,078.00</w:t>
            </w:r>
          </w:p>
        </w:tc>
      </w:tr>
      <w:tr w:rsidR="006402A2" w:rsidRPr="006402A2" w14:paraId="5A2967D8" w14:textId="77777777" w:rsidTr="006402A2">
        <w:trPr>
          <w:trHeight w:val="560"/>
        </w:trPr>
        <w:tc>
          <w:tcPr>
            <w:tcW w:w="960" w:type="dxa"/>
            <w:tcBorders>
              <w:top w:val="nil"/>
              <w:left w:val="nil"/>
              <w:bottom w:val="nil"/>
              <w:right w:val="nil"/>
            </w:tcBorders>
            <w:shd w:val="clear" w:color="auto" w:fill="auto"/>
            <w:noWrap/>
            <w:vAlign w:val="bottom"/>
            <w:hideMark/>
          </w:tcPr>
          <w:p w14:paraId="0EA4B1CD"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p>
        </w:tc>
        <w:tc>
          <w:tcPr>
            <w:tcW w:w="1660" w:type="dxa"/>
            <w:tcBorders>
              <w:top w:val="nil"/>
              <w:left w:val="nil"/>
              <w:bottom w:val="nil"/>
              <w:right w:val="single" w:sz="8" w:space="0" w:color="C7D5E0"/>
            </w:tcBorders>
            <w:shd w:val="clear" w:color="auto" w:fill="auto"/>
            <w:vAlign w:val="center"/>
            <w:hideMark/>
          </w:tcPr>
          <w:p w14:paraId="5F45B8F2"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Shareholders Funds:</w:t>
            </w:r>
          </w:p>
        </w:tc>
        <w:tc>
          <w:tcPr>
            <w:tcW w:w="1720" w:type="dxa"/>
            <w:tcBorders>
              <w:top w:val="nil"/>
              <w:left w:val="nil"/>
              <w:bottom w:val="nil"/>
              <w:right w:val="single" w:sz="8" w:space="0" w:color="C7D5E0"/>
            </w:tcBorders>
            <w:shd w:val="clear" w:color="auto" w:fill="auto"/>
            <w:vAlign w:val="center"/>
            <w:hideMark/>
          </w:tcPr>
          <w:p w14:paraId="10D513F4"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11,671.00</w:t>
            </w:r>
          </w:p>
        </w:tc>
        <w:tc>
          <w:tcPr>
            <w:tcW w:w="1640" w:type="dxa"/>
            <w:tcBorders>
              <w:top w:val="nil"/>
              <w:left w:val="nil"/>
              <w:bottom w:val="nil"/>
              <w:right w:val="single" w:sz="8" w:space="0" w:color="C7D5E0"/>
            </w:tcBorders>
            <w:shd w:val="clear" w:color="auto" w:fill="auto"/>
            <w:vAlign w:val="center"/>
            <w:hideMark/>
          </w:tcPr>
          <w:p w14:paraId="596B2AAA"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12,236.00</w:t>
            </w:r>
          </w:p>
        </w:tc>
        <w:tc>
          <w:tcPr>
            <w:tcW w:w="1400" w:type="dxa"/>
            <w:tcBorders>
              <w:top w:val="nil"/>
              <w:left w:val="nil"/>
              <w:bottom w:val="nil"/>
              <w:right w:val="single" w:sz="8" w:space="0" w:color="C7D5E0"/>
            </w:tcBorders>
            <w:shd w:val="clear" w:color="auto" w:fill="auto"/>
            <w:vAlign w:val="center"/>
            <w:hideMark/>
          </w:tcPr>
          <w:p w14:paraId="7F50B058"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15,660.00</w:t>
            </w:r>
          </w:p>
        </w:tc>
        <w:tc>
          <w:tcPr>
            <w:tcW w:w="1500" w:type="dxa"/>
            <w:tcBorders>
              <w:top w:val="nil"/>
              <w:left w:val="nil"/>
              <w:bottom w:val="nil"/>
              <w:right w:val="single" w:sz="8" w:space="0" w:color="C7D5E0"/>
            </w:tcBorders>
            <w:shd w:val="clear" w:color="auto" w:fill="auto"/>
            <w:vAlign w:val="center"/>
            <w:hideMark/>
          </w:tcPr>
          <w:p w14:paraId="558A1215"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12,077.00</w:t>
            </w:r>
          </w:p>
        </w:tc>
        <w:tc>
          <w:tcPr>
            <w:tcW w:w="1560" w:type="dxa"/>
            <w:tcBorders>
              <w:top w:val="nil"/>
              <w:left w:val="nil"/>
              <w:bottom w:val="nil"/>
              <w:right w:val="nil"/>
            </w:tcBorders>
            <w:shd w:val="clear" w:color="auto" w:fill="auto"/>
            <w:vAlign w:val="center"/>
            <w:hideMark/>
          </w:tcPr>
          <w:p w14:paraId="2CE4A20C"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13,391.00</w:t>
            </w:r>
          </w:p>
        </w:tc>
      </w:tr>
      <w:tr w:rsidR="006402A2" w:rsidRPr="006402A2" w14:paraId="49CB1B50" w14:textId="77777777" w:rsidTr="006402A2">
        <w:trPr>
          <w:trHeight w:val="840"/>
        </w:trPr>
        <w:tc>
          <w:tcPr>
            <w:tcW w:w="960" w:type="dxa"/>
            <w:tcBorders>
              <w:top w:val="nil"/>
              <w:left w:val="nil"/>
              <w:bottom w:val="nil"/>
              <w:right w:val="nil"/>
            </w:tcBorders>
            <w:shd w:val="clear" w:color="auto" w:fill="auto"/>
            <w:noWrap/>
            <w:vAlign w:val="bottom"/>
            <w:hideMark/>
          </w:tcPr>
          <w:p w14:paraId="0181C03C"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p>
        </w:tc>
        <w:tc>
          <w:tcPr>
            <w:tcW w:w="1660" w:type="dxa"/>
            <w:tcBorders>
              <w:top w:val="nil"/>
              <w:left w:val="nil"/>
              <w:bottom w:val="nil"/>
              <w:right w:val="single" w:sz="8" w:space="0" w:color="C7D5E0"/>
            </w:tcBorders>
            <w:shd w:val="clear" w:color="ECF1F5" w:fill="ECF1F5"/>
            <w:vAlign w:val="center"/>
            <w:hideMark/>
          </w:tcPr>
          <w:p w14:paraId="69B86D73"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Minority Interests / Other Equity:</w:t>
            </w:r>
          </w:p>
        </w:tc>
        <w:tc>
          <w:tcPr>
            <w:tcW w:w="1720" w:type="dxa"/>
            <w:tcBorders>
              <w:top w:val="nil"/>
              <w:left w:val="nil"/>
              <w:bottom w:val="nil"/>
              <w:right w:val="single" w:sz="8" w:space="0" w:color="C7D5E0"/>
            </w:tcBorders>
            <w:shd w:val="clear" w:color="ECF1F5" w:fill="ECF1F5"/>
            <w:vAlign w:val="center"/>
            <w:hideMark/>
          </w:tcPr>
          <w:p w14:paraId="634BC2B2"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-6</w:t>
            </w:r>
          </w:p>
        </w:tc>
        <w:tc>
          <w:tcPr>
            <w:tcW w:w="1640" w:type="dxa"/>
            <w:tcBorders>
              <w:top w:val="nil"/>
              <w:left w:val="nil"/>
              <w:bottom w:val="nil"/>
              <w:right w:val="single" w:sz="8" w:space="0" w:color="C7D5E0"/>
            </w:tcBorders>
            <w:shd w:val="clear" w:color="ECF1F5" w:fill="ECF1F5"/>
            <w:vAlign w:val="center"/>
            <w:hideMark/>
          </w:tcPr>
          <w:p w14:paraId="6C791DDF"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-11</w:t>
            </w:r>
          </w:p>
        </w:tc>
        <w:tc>
          <w:tcPr>
            <w:tcW w:w="1400" w:type="dxa"/>
            <w:tcBorders>
              <w:top w:val="nil"/>
              <w:left w:val="nil"/>
              <w:bottom w:val="nil"/>
              <w:right w:val="single" w:sz="8" w:space="0" w:color="C7D5E0"/>
            </w:tcBorders>
            <w:shd w:val="clear" w:color="ECF1F5" w:fill="ECF1F5"/>
            <w:vAlign w:val="center"/>
            <w:hideMark/>
          </w:tcPr>
          <w:p w14:paraId="7D7BF3D6"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-16</w:t>
            </w:r>
          </w:p>
        </w:tc>
        <w:tc>
          <w:tcPr>
            <w:tcW w:w="1500" w:type="dxa"/>
            <w:tcBorders>
              <w:top w:val="nil"/>
              <w:left w:val="nil"/>
              <w:bottom w:val="nil"/>
              <w:right w:val="single" w:sz="8" w:space="0" w:color="C7D5E0"/>
            </w:tcBorders>
            <w:shd w:val="clear" w:color="ECF1F5" w:fill="ECF1F5"/>
            <w:vAlign w:val="center"/>
            <w:hideMark/>
          </w:tcPr>
          <w:p w14:paraId="17465474"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-18</w:t>
            </w:r>
          </w:p>
        </w:tc>
        <w:tc>
          <w:tcPr>
            <w:tcW w:w="1560" w:type="dxa"/>
            <w:tcBorders>
              <w:top w:val="nil"/>
              <w:left w:val="nil"/>
              <w:bottom w:val="nil"/>
              <w:right w:val="nil"/>
            </w:tcBorders>
            <w:shd w:val="clear" w:color="ECF1F5" w:fill="ECF1F5"/>
            <w:vAlign w:val="center"/>
            <w:hideMark/>
          </w:tcPr>
          <w:p w14:paraId="0022956D"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-22</w:t>
            </w:r>
          </w:p>
        </w:tc>
      </w:tr>
      <w:tr w:rsidR="006402A2" w:rsidRPr="006402A2" w14:paraId="3FFE89DB" w14:textId="77777777" w:rsidTr="006402A2">
        <w:trPr>
          <w:trHeight w:val="290"/>
        </w:trPr>
        <w:tc>
          <w:tcPr>
            <w:tcW w:w="960" w:type="dxa"/>
            <w:tcBorders>
              <w:top w:val="nil"/>
              <w:left w:val="nil"/>
              <w:bottom w:val="nil"/>
              <w:right w:val="nil"/>
            </w:tcBorders>
            <w:shd w:val="clear" w:color="auto" w:fill="auto"/>
            <w:noWrap/>
            <w:vAlign w:val="bottom"/>
            <w:hideMark/>
          </w:tcPr>
          <w:p w14:paraId="0FE3A60E"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p>
        </w:tc>
        <w:tc>
          <w:tcPr>
            <w:tcW w:w="1660" w:type="dxa"/>
            <w:tcBorders>
              <w:top w:val="nil"/>
              <w:left w:val="nil"/>
              <w:bottom w:val="nil"/>
              <w:right w:val="single" w:sz="8" w:space="0" w:color="C7D5E0"/>
            </w:tcBorders>
            <w:shd w:val="clear" w:color="auto" w:fill="auto"/>
            <w:vAlign w:val="center"/>
            <w:hideMark/>
          </w:tcPr>
          <w:p w14:paraId="2B662EB8" w14:textId="77777777" w:rsidR="006402A2" w:rsidRPr="006402A2" w:rsidRDefault="006402A2" w:rsidP="006402A2">
            <w:pPr>
              <w:spacing w:after="0" w:line="240" w:lineRule="auto"/>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Total Equity:</w:t>
            </w:r>
          </w:p>
        </w:tc>
        <w:tc>
          <w:tcPr>
            <w:tcW w:w="1720" w:type="dxa"/>
            <w:tcBorders>
              <w:top w:val="nil"/>
              <w:left w:val="nil"/>
              <w:bottom w:val="nil"/>
              <w:right w:val="single" w:sz="8" w:space="0" w:color="C7D5E0"/>
            </w:tcBorders>
            <w:shd w:val="clear" w:color="auto" w:fill="auto"/>
            <w:vAlign w:val="center"/>
            <w:hideMark/>
          </w:tcPr>
          <w:p w14:paraId="0A1B1533"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11,665.00</w:t>
            </w:r>
          </w:p>
        </w:tc>
        <w:tc>
          <w:tcPr>
            <w:tcW w:w="1640" w:type="dxa"/>
            <w:tcBorders>
              <w:top w:val="nil"/>
              <w:left w:val="nil"/>
              <w:bottom w:val="nil"/>
              <w:right w:val="single" w:sz="8" w:space="0" w:color="C7D5E0"/>
            </w:tcBorders>
            <w:shd w:val="clear" w:color="auto" w:fill="auto"/>
            <w:vAlign w:val="center"/>
            <w:hideMark/>
          </w:tcPr>
          <w:p w14:paraId="4C08FC86"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12,225.00</w:t>
            </w:r>
          </w:p>
        </w:tc>
        <w:tc>
          <w:tcPr>
            <w:tcW w:w="1400" w:type="dxa"/>
            <w:tcBorders>
              <w:top w:val="nil"/>
              <w:left w:val="nil"/>
              <w:bottom w:val="nil"/>
              <w:right w:val="single" w:sz="8" w:space="0" w:color="C7D5E0"/>
            </w:tcBorders>
            <w:shd w:val="clear" w:color="auto" w:fill="auto"/>
            <w:vAlign w:val="center"/>
            <w:hideMark/>
          </w:tcPr>
          <w:p w14:paraId="0FCC86F6"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15,644.00</w:t>
            </w:r>
          </w:p>
        </w:tc>
        <w:tc>
          <w:tcPr>
            <w:tcW w:w="1500" w:type="dxa"/>
            <w:tcBorders>
              <w:top w:val="nil"/>
              <w:left w:val="nil"/>
              <w:bottom w:val="nil"/>
              <w:right w:val="single" w:sz="8" w:space="0" w:color="C7D5E0"/>
            </w:tcBorders>
            <w:shd w:val="clear" w:color="auto" w:fill="auto"/>
            <w:vAlign w:val="center"/>
            <w:hideMark/>
          </w:tcPr>
          <w:p w14:paraId="34623C85"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12,059.00</w:t>
            </w:r>
          </w:p>
        </w:tc>
        <w:tc>
          <w:tcPr>
            <w:tcW w:w="1560" w:type="dxa"/>
            <w:tcBorders>
              <w:top w:val="nil"/>
              <w:left w:val="nil"/>
              <w:bottom w:val="nil"/>
              <w:right w:val="nil"/>
            </w:tcBorders>
            <w:shd w:val="clear" w:color="auto" w:fill="auto"/>
            <w:vAlign w:val="center"/>
            <w:hideMark/>
          </w:tcPr>
          <w:p w14:paraId="37B89A27"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r w:rsidRPr="006402A2">
              <w:rPr>
                <w:rFonts w:ascii="Arial" w:eastAsia="Times New Roman" w:hAnsi="Arial" w:cs="Arial"/>
                <w:color w:val="000000"/>
                <w:kern w:val="0"/>
                <w:sz w:val="22"/>
                <w:szCs w:val="22"/>
                <w14:ligatures w14:val="none"/>
              </w:rPr>
              <w:t>13,369.00</w:t>
            </w:r>
          </w:p>
        </w:tc>
      </w:tr>
      <w:tr w:rsidR="006402A2" w:rsidRPr="006402A2" w14:paraId="01E4BC22" w14:textId="77777777" w:rsidTr="006402A2">
        <w:trPr>
          <w:trHeight w:val="290"/>
        </w:trPr>
        <w:tc>
          <w:tcPr>
            <w:tcW w:w="960" w:type="dxa"/>
            <w:tcBorders>
              <w:top w:val="nil"/>
              <w:left w:val="nil"/>
              <w:bottom w:val="nil"/>
              <w:right w:val="nil"/>
            </w:tcBorders>
            <w:shd w:val="clear" w:color="auto" w:fill="auto"/>
            <w:noWrap/>
            <w:vAlign w:val="bottom"/>
            <w:hideMark/>
          </w:tcPr>
          <w:p w14:paraId="22FB7F89" w14:textId="77777777" w:rsidR="006402A2" w:rsidRPr="006402A2" w:rsidRDefault="006402A2" w:rsidP="006402A2">
            <w:pPr>
              <w:spacing w:after="0" w:line="240" w:lineRule="auto"/>
              <w:jc w:val="right"/>
              <w:rPr>
                <w:rFonts w:ascii="Arial" w:eastAsia="Times New Roman" w:hAnsi="Arial" w:cs="Arial"/>
                <w:color w:val="000000"/>
                <w:kern w:val="0"/>
                <w:sz w:val="22"/>
                <w:szCs w:val="22"/>
                <w14:ligatures w14:val="none"/>
              </w:rPr>
            </w:pPr>
          </w:p>
        </w:tc>
        <w:tc>
          <w:tcPr>
            <w:tcW w:w="1660" w:type="dxa"/>
            <w:tcBorders>
              <w:top w:val="nil"/>
              <w:left w:val="nil"/>
              <w:bottom w:val="nil"/>
              <w:right w:val="nil"/>
            </w:tcBorders>
            <w:shd w:val="clear" w:color="auto" w:fill="auto"/>
            <w:noWrap/>
            <w:vAlign w:val="bottom"/>
            <w:hideMark/>
          </w:tcPr>
          <w:p w14:paraId="2558709B" w14:textId="77777777" w:rsidR="006402A2" w:rsidRPr="006402A2" w:rsidRDefault="006402A2" w:rsidP="006402A2">
            <w:pPr>
              <w:spacing w:after="0" w:line="240" w:lineRule="auto"/>
              <w:rPr>
                <w:rFonts w:ascii="Times New Roman" w:eastAsia="Times New Roman" w:hAnsi="Times New Roman" w:cs="Times New Roman"/>
                <w:kern w:val="0"/>
                <w:sz w:val="20"/>
                <w:szCs w:val="20"/>
                <w14:ligatures w14:val="none"/>
              </w:rPr>
            </w:pPr>
          </w:p>
        </w:tc>
        <w:tc>
          <w:tcPr>
            <w:tcW w:w="1720" w:type="dxa"/>
            <w:tcBorders>
              <w:top w:val="nil"/>
              <w:left w:val="nil"/>
              <w:bottom w:val="nil"/>
              <w:right w:val="nil"/>
            </w:tcBorders>
            <w:shd w:val="clear" w:color="auto" w:fill="auto"/>
            <w:noWrap/>
            <w:vAlign w:val="bottom"/>
            <w:hideMark/>
          </w:tcPr>
          <w:p w14:paraId="4CE4A8E0" w14:textId="77777777" w:rsidR="006402A2" w:rsidRPr="006402A2" w:rsidRDefault="006402A2" w:rsidP="006402A2">
            <w:pPr>
              <w:spacing w:after="0" w:line="240" w:lineRule="auto"/>
              <w:rPr>
                <w:rFonts w:ascii="Times New Roman" w:eastAsia="Times New Roman" w:hAnsi="Times New Roman" w:cs="Times New Roman"/>
                <w:kern w:val="0"/>
                <w:sz w:val="20"/>
                <w:szCs w:val="20"/>
                <w14:ligatures w14:val="none"/>
              </w:rPr>
            </w:pPr>
          </w:p>
        </w:tc>
        <w:tc>
          <w:tcPr>
            <w:tcW w:w="1640" w:type="dxa"/>
            <w:tcBorders>
              <w:top w:val="nil"/>
              <w:left w:val="nil"/>
              <w:bottom w:val="nil"/>
              <w:right w:val="nil"/>
            </w:tcBorders>
            <w:shd w:val="clear" w:color="auto" w:fill="auto"/>
            <w:noWrap/>
            <w:vAlign w:val="bottom"/>
            <w:hideMark/>
          </w:tcPr>
          <w:p w14:paraId="7B2F668C" w14:textId="77777777" w:rsidR="006402A2" w:rsidRPr="006402A2" w:rsidRDefault="006402A2" w:rsidP="006402A2">
            <w:pPr>
              <w:spacing w:after="0" w:line="240" w:lineRule="auto"/>
              <w:rPr>
                <w:rFonts w:ascii="Times New Roman" w:eastAsia="Times New Roman" w:hAnsi="Times New Roman" w:cs="Times New Roman"/>
                <w:kern w:val="0"/>
                <w:sz w:val="20"/>
                <w:szCs w:val="20"/>
                <w14:ligatures w14:val="none"/>
              </w:rPr>
            </w:pPr>
          </w:p>
        </w:tc>
        <w:tc>
          <w:tcPr>
            <w:tcW w:w="1400" w:type="dxa"/>
            <w:tcBorders>
              <w:top w:val="nil"/>
              <w:left w:val="nil"/>
              <w:bottom w:val="nil"/>
              <w:right w:val="nil"/>
            </w:tcBorders>
            <w:shd w:val="clear" w:color="auto" w:fill="auto"/>
            <w:noWrap/>
            <w:vAlign w:val="bottom"/>
            <w:hideMark/>
          </w:tcPr>
          <w:p w14:paraId="647E0C82" w14:textId="77777777" w:rsidR="006402A2" w:rsidRPr="006402A2" w:rsidRDefault="006402A2" w:rsidP="006402A2">
            <w:pPr>
              <w:spacing w:after="0" w:line="240" w:lineRule="auto"/>
              <w:rPr>
                <w:rFonts w:ascii="Times New Roman" w:eastAsia="Times New Roman" w:hAnsi="Times New Roman" w:cs="Times New Roman"/>
                <w:kern w:val="0"/>
                <w:sz w:val="20"/>
                <w:szCs w:val="20"/>
                <w14:ligatures w14:val="none"/>
              </w:rPr>
            </w:pPr>
          </w:p>
        </w:tc>
        <w:tc>
          <w:tcPr>
            <w:tcW w:w="1500" w:type="dxa"/>
            <w:tcBorders>
              <w:top w:val="nil"/>
              <w:left w:val="nil"/>
              <w:bottom w:val="nil"/>
              <w:right w:val="nil"/>
            </w:tcBorders>
            <w:shd w:val="clear" w:color="auto" w:fill="auto"/>
            <w:noWrap/>
            <w:vAlign w:val="bottom"/>
            <w:hideMark/>
          </w:tcPr>
          <w:p w14:paraId="52B2B69C" w14:textId="77777777" w:rsidR="006402A2" w:rsidRPr="006402A2" w:rsidRDefault="006402A2" w:rsidP="006402A2">
            <w:pPr>
              <w:spacing w:after="0" w:line="240" w:lineRule="auto"/>
              <w:rPr>
                <w:rFonts w:ascii="Times New Roman" w:eastAsia="Times New Roman" w:hAnsi="Times New Roman" w:cs="Times New Roman"/>
                <w:kern w:val="0"/>
                <w:sz w:val="20"/>
                <w:szCs w:val="20"/>
                <w14:ligatures w14:val="none"/>
              </w:rPr>
            </w:pPr>
          </w:p>
        </w:tc>
        <w:tc>
          <w:tcPr>
            <w:tcW w:w="1560" w:type="dxa"/>
            <w:tcBorders>
              <w:top w:val="nil"/>
              <w:left w:val="nil"/>
              <w:bottom w:val="nil"/>
              <w:right w:val="nil"/>
            </w:tcBorders>
            <w:shd w:val="clear" w:color="auto" w:fill="auto"/>
            <w:noWrap/>
            <w:vAlign w:val="bottom"/>
            <w:hideMark/>
          </w:tcPr>
          <w:p w14:paraId="2D146147" w14:textId="77777777" w:rsidR="006402A2" w:rsidRPr="006402A2" w:rsidRDefault="006402A2" w:rsidP="006402A2">
            <w:pPr>
              <w:spacing w:after="0" w:line="240" w:lineRule="auto"/>
              <w:rPr>
                <w:rFonts w:ascii="Times New Roman" w:eastAsia="Times New Roman" w:hAnsi="Times New Roman" w:cs="Times New Roman"/>
                <w:kern w:val="0"/>
                <w:sz w:val="20"/>
                <w:szCs w:val="20"/>
                <w14:ligatures w14:val="none"/>
              </w:rPr>
            </w:pPr>
          </w:p>
        </w:tc>
      </w:tr>
    </w:tbl>
    <w:p w14:paraId="2551638E" w14:textId="0CA346FA" w:rsidR="006402A2" w:rsidRPr="00CE71B1" w:rsidRDefault="006402A2" w:rsidP="009731D3">
      <w:pPr>
        <w:tabs>
          <w:tab w:val="num" w:pos="720"/>
        </w:tabs>
        <w:ind w:firstLine="200"/>
        <w:rPr>
          <w:sz w:val="22"/>
          <w:szCs w:val="22"/>
        </w:rPr>
      </w:pPr>
    </w:p>
    <w:p w14:paraId="054EE4E6" w14:textId="25B75E39" w:rsidR="001427DC" w:rsidRPr="00CE71B1" w:rsidRDefault="001427DC" w:rsidP="009A530B">
      <w:pPr>
        <w:tabs>
          <w:tab w:val="left" w:pos="1059"/>
        </w:tabs>
        <w:rPr>
          <w:sz w:val="22"/>
          <w:szCs w:val="22"/>
        </w:rPr>
      </w:pPr>
    </w:p>
    <w:p w14:paraId="17D5D0EC" w14:textId="77777777" w:rsidR="00491187" w:rsidRPr="00CE71B1" w:rsidRDefault="00491187" w:rsidP="00E47796">
      <w:pPr>
        <w:tabs>
          <w:tab w:val="left" w:pos="1059"/>
        </w:tabs>
        <w:rPr>
          <w:sz w:val="22"/>
          <w:szCs w:val="22"/>
        </w:rPr>
      </w:pPr>
    </w:p>
    <w:p w14:paraId="60CBF76A" w14:textId="77777777" w:rsidR="00491187" w:rsidRPr="00CE71B1" w:rsidRDefault="00491187" w:rsidP="00E47796">
      <w:pPr>
        <w:tabs>
          <w:tab w:val="left" w:pos="1059"/>
        </w:tabs>
        <w:rPr>
          <w:sz w:val="22"/>
          <w:szCs w:val="22"/>
        </w:rPr>
      </w:pPr>
    </w:p>
    <w:p w14:paraId="1A98A471" w14:textId="77777777" w:rsidR="00491187" w:rsidRPr="00CE71B1" w:rsidRDefault="00491187" w:rsidP="00E47796">
      <w:pPr>
        <w:tabs>
          <w:tab w:val="left" w:pos="1059"/>
        </w:tabs>
        <w:rPr>
          <w:sz w:val="22"/>
          <w:szCs w:val="22"/>
        </w:rPr>
      </w:pPr>
    </w:p>
    <w:p w14:paraId="491A3382" w14:textId="77777777" w:rsidR="00491187" w:rsidRPr="00CE71B1" w:rsidRDefault="00491187" w:rsidP="00E47796">
      <w:pPr>
        <w:tabs>
          <w:tab w:val="left" w:pos="1059"/>
        </w:tabs>
        <w:rPr>
          <w:sz w:val="22"/>
          <w:szCs w:val="22"/>
        </w:rPr>
      </w:pPr>
    </w:p>
    <w:p w14:paraId="0E5A3632" w14:textId="77777777" w:rsidR="00491187" w:rsidRPr="00CE71B1" w:rsidRDefault="00491187" w:rsidP="00E47796">
      <w:pPr>
        <w:tabs>
          <w:tab w:val="left" w:pos="1059"/>
        </w:tabs>
        <w:rPr>
          <w:sz w:val="22"/>
          <w:szCs w:val="22"/>
        </w:rPr>
      </w:pPr>
    </w:p>
    <w:p w14:paraId="177F6EC1" w14:textId="77777777" w:rsidR="00491187" w:rsidRDefault="00491187" w:rsidP="00E47796">
      <w:pPr>
        <w:tabs>
          <w:tab w:val="left" w:pos="1059"/>
        </w:tabs>
        <w:rPr>
          <w:sz w:val="22"/>
          <w:szCs w:val="22"/>
        </w:rPr>
      </w:pPr>
    </w:p>
    <w:p w14:paraId="31E2BA1C" w14:textId="77777777" w:rsidR="00DD4A8D" w:rsidRDefault="00DD4A8D" w:rsidP="00E47796">
      <w:pPr>
        <w:tabs>
          <w:tab w:val="left" w:pos="1059"/>
        </w:tabs>
        <w:rPr>
          <w:sz w:val="22"/>
          <w:szCs w:val="22"/>
        </w:rPr>
      </w:pPr>
    </w:p>
    <w:p w14:paraId="4A124525" w14:textId="77777777" w:rsidR="00DD4A8D" w:rsidRDefault="00DD4A8D" w:rsidP="00E47796">
      <w:pPr>
        <w:tabs>
          <w:tab w:val="left" w:pos="1059"/>
        </w:tabs>
        <w:rPr>
          <w:sz w:val="22"/>
          <w:szCs w:val="22"/>
        </w:rPr>
      </w:pPr>
    </w:p>
    <w:p w14:paraId="4B7DC04B" w14:textId="77777777" w:rsidR="00DD4A8D" w:rsidRDefault="00DD4A8D" w:rsidP="00E47796">
      <w:pPr>
        <w:tabs>
          <w:tab w:val="left" w:pos="1059"/>
        </w:tabs>
        <w:rPr>
          <w:sz w:val="22"/>
          <w:szCs w:val="22"/>
        </w:rPr>
      </w:pPr>
    </w:p>
    <w:p w14:paraId="64C720DE" w14:textId="77777777" w:rsidR="00DD4A8D" w:rsidRDefault="00DD4A8D" w:rsidP="00E47796">
      <w:pPr>
        <w:tabs>
          <w:tab w:val="left" w:pos="1059"/>
        </w:tabs>
        <w:rPr>
          <w:sz w:val="22"/>
          <w:szCs w:val="22"/>
        </w:rPr>
      </w:pPr>
    </w:p>
    <w:p w14:paraId="57944456" w14:textId="77777777" w:rsidR="00DD4A8D" w:rsidRDefault="00DD4A8D" w:rsidP="00E47796">
      <w:pPr>
        <w:tabs>
          <w:tab w:val="left" w:pos="1059"/>
        </w:tabs>
        <w:rPr>
          <w:sz w:val="22"/>
          <w:szCs w:val="22"/>
        </w:rPr>
      </w:pPr>
    </w:p>
    <w:p w14:paraId="3F595328" w14:textId="2164137B" w:rsidR="00DD4A8D" w:rsidRDefault="00DD4A8D" w:rsidP="00E47796">
      <w:pPr>
        <w:tabs>
          <w:tab w:val="left" w:pos="1059"/>
        </w:tabs>
        <w:rPr>
          <w:sz w:val="22"/>
          <w:szCs w:val="22"/>
        </w:rPr>
      </w:pPr>
      <w:r>
        <w:rPr>
          <w:sz w:val="22"/>
          <w:szCs w:val="22"/>
        </w:rPr>
        <w:lastRenderedPageBreak/>
        <w:t xml:space="preserve"> Appendix </w:t>
      </w:r>
    </w:p>
    <w:p w14:paraId="5D8C1E99" w14:textId="7F317044" w:rsidR="00DD4A8D" w:rsidRDefault="00DD4A8D" w:rsidP="00E47796">
      <w:pPr>
        <w:tabs>
          <w:tab w:val="left" w:pos="1059"/>
        </w:tabs>
        <w:rPr>
          <w:sz w:val="22"/>
          <w:szCs w:val="22"/>
        </w:rPr>
      </w:pPr>
      <w:r>
        <w:rPr>
          <w:sz w:val="22"/>
          <w:szCs w:val="22"/>
        </w:rPr>
        <w:t>Saintsbury  Financial  statement.</w:t>
      </w:r>
    </w:p>
    <w:p w14:paraId="5A69A5CD" w14:textId="77777777" w:rsidR="00DD4A8D" w:rsidRDefault="00DD4A8D" w:rsidP="00E47796">
      <w:pPr>
        <w:tabs>
          <w:tab w:val="left" w:pos="1059"/>
        </w:tabs>
        <w:rPr>
          <w:sz w:val="22"/>
          <w:szCs w:val="22"/>
        </w:rPr>
      </w:pPr>
    </w:p>
    <w:p w14:paraId="63150CBA" w14:textId="77777777" w:rsidR="00DD4A8D" w:rsidRDefault="00DD4A8D" w:rsidP="00DD4A8D">
      <w:r>
        <w:t>Breakdown29/02/202428/02/202328/02/202231/03/202131/03/2020</w:t>
      </w:r>
    </w:p>
    <w:p w14:paraId="399623B9" w14:textId="77777777" w:rsidR="00DD4A8D" w:rsidRDefault="00DD4A8D" w:rsidP="00DD4A8D">
      <w:r>
        <w:t>Assets</w:t>
      </w:r>
      <w:r>
        <w:tab/>
      </w:r>
      <w:r>
        <w:tab/>
      </w:r>
      <w:r>
        <w:tab/>
      </w:r>
      <w:r>
        <w:tab/>
      </w:r>
      <w:r>
        <w:tab/>
      </w:r>
    </w:p>
    <w:p w14:paraId="4FE5361D" w14:textId="77777777" w:rsidR="00DD4A8D" w:rsidRDefault="00DD4A8D" w:rsidP="00DD4A8D">
      <w:r>
        <w:t>Current assets</w:t>
      </w:r>
      <w:r>
        <w:tab/>
      </w:r>
      <w:r>
        <w:tab/>
      </w:r>
      <w:r>
        <w:tab/>
      </w:r>
      <w:r>
        <w:tab/>
      </w:r>
      <w:r>
        <w:tab/>
      </w:r>
    </w:p>
    <w:p w14:paraId="2759E26F" w14:textId="77777777" w:rsidR="00DD4A8D" w:rsidRDefault="00DD4A8D" w:rsidP="00DD4A8D">
      <w:r>
        <w:t>Cash</w:t>
      </w:r>
      <w:r>
        <w:tab/>
      </w:r>
      <w:r>
        <w:tab/>
      </w:r>
      <w:r>
        <w:tab/>
      </w:r>
      <w:r>
        <w:tab/>
      </w:r>
      <w:r>
        <w:tab/>
      </w:r>
    </w:p>
    <w:p w14:paraId="3E508561" w14:textId="77777777" w:rsidR="00DD4A8D" w:rsidRDefault="00DD4A8D" w:rsidP="00DD4A8D">
      <w:r>
        <w:t>Cash and cash equivalents</w:t>
      </w:r>
      <w:r>
        <w:tab/>
        <w:t>1,987,000</w:t>
      </w:r>
      <w:r>
        <w:tab/>
        <w:t>1,319,000</w:t>
      </w:r>
      <w:r>
        <w:tab/>
        <w:t>807,000</w:t>
      </w:r>
      <w:r>
        <w:tab/>
        <w:t>1,457,000</w:t>
      </w:r>
      <w:r>
        <w:tab/>
        <w:t>-</w:t>
      </w:r>
    </w:p>
    <w:p w14:paraId="3219B7E6" w14:textId="77777777" w:rsidR="00DD4A8D" w:rsidRDefault="00DD4A8D" w:rsidP="00DD4A8D">
      <w:r>
        <w:t>Other short-term investments</w:t>
      </w:r>
      <w:r>
        <w:tab/>
        <w:t>17,000</w:t>
      </w:r>
      <w:r>
        <w:tab/>
        <w:t>494,000</w:t>
      </w:r>
      <w:r>
        <w:tab/>
        <w:t>196,000</w:t>
      </w:r>
      <w:r>
        <w:tab/>
        <w:t>90,000</w:t>
      </w:r>
      <w:r>
        <w:tab/>
        <w:t>-</w:t>
      </w:r>
    </w:p>
    <w:p w14:paraId="1FB0CE58" w14:textId="77777777" w:rsidR="00DD4A8D" w:rsidRDefault="00DD4A8D" w:rsidP="00DD4A8D">
      <w:r>
        <w:t>Total cash</w:t>
      </w:r>
      <w:r>
        <w:tab/>
        <w:t>2,004,000</w:t>
      </w:r>
      <w:r>
        <w:tab/>
        <w:t>1,813,000</w:t>
      </w:r>
      <w:r>
        <w:tab/>
        <w:t>1,003,000</w:t>
      </w:r>
      <w:r>
        <w:tab/>
        <w:t>1,547,000</w:t>
      </w:r>
      <w:r>
        <w:tab/>
        <w:t>-</w:t>
      </w:r>
    </w:p>
    <w:p w14:paraId="5CE8CD00" w14:textId="77777777" w:rsidR="00DD4A8D" w:rsidRDefault="00DD4A8D" w:rsidP="00DD4A8D">
      <w:r>
        <w:t>Net receivables</w:t>
      </w:r>
      <w:r>
        <w:tab/>
        <w:t>126,000</w:t>
      </w:r>
      <w:r>
        <w:tab/>
        <w:t>141,000</w:t>
      </w:r>
      <w:r>
        <w:tab/>
        <w:t>148,000</w:t>
      </w:r>
      <w:r>
        <w:tab/>
        <w:t>3,288,000</w:t>
      </w:r>
      <w:r>
        <w:tab/>
        <w:t>-</w:t>
      </w:r>
    </w:p>
    <w:p w14:paraId="6A0D5A54" w14:textId="77777777" w:rsidR="00DD4A8D" w:rsidRDefault="00DD4A8D" w:rsidP="00DD4A8D">
      <w:r>
        <w:t>Inventory</w:t>
      </w:r>
      <w:r>
        <w:tab/>
        <w:t>1,927,000</w:t>
      </w:r>
      <w:r>
        <w:tab/>
        <w:t>1,899,000</w:t>
      </w:r>
      <w:r>
        <w:tab/>
        <w:t>1,797,000</w:t>
      </w:r>
      <w:r>
        <w:tab/>
        <w:t>1,625,000</w:t>
      </w:r>
      <w:r>
        <w:tab/>
        <w:t>-</w:t>
      </w:r>
    </w:p>
    <w:p w14:paraId="1D4F46D9" w14:textId="77777777" w:rsidR="00DD4A8D" w:rsidRDefault="00DD4A8D" w:rsidP="00DD4A8D">
      <w:r>
        <w:t>Total current assets</w:t>
      </w:r>
      <w:r>
        <w:tab/>
        <w:t>7,581,000</w:t>
      </w:r>
      <w:r>
        <w:tab/>
        <w:t>7,901,000</w:t>
      </w:r>
      <w:r>
        <w:tab/>
        <w:t>6,750,000</w:t>
      </w:r>
      <w:r>
        <w:tab/>
        <w:t>7,073,000</w:t>
      </w:r>
      <w:r>
        <w:tab/>
        <w:t>-</w:t>
      </w:r>
    </w:p>
    <w:p w14:paraId="055DAFC1" w14:textId="77777777" w:rsidR="00DD4A8D" w:rsidRDefault="00DD4A8D" w:rsidP="00DD4A8D">
      <w:r>
        <w:t>Non-current assets</w:t>
      </w:r>
      <w:r>
        <w:tab/>
      </w:r>
      <w:r>
        <w:tab/>
      </w:r>
      <w:r>
        <w:tab/>
      </w:r>
      <w:r>
        <w:tab/>
      </w:r>
      <w:r>
        <w:tab/>
      </w:r>
    </w:p>
    <w:p w14:paraId="762C2613" w14:textId="77777777" w:rsidR="00DD4A8D" w:rsidRDefault="00DD4A8D" w:rsidP="00DD4A8D">
      <w:r>
        <w:t>Property, plant and equipment</w:t>
      </w:r>
      <w:r>
        <w:tab/>
      </w:r>
      <w:r>
        <w:tab/>
      </w:r>
      <w:r>
        <w:tab/>
      </w:r>
      <w:r>
        <w:tab/>
      </w:r>
      <w:r>
        <w:tab/>
      </w:r>
    </w:p>
    <w:p w14:paraId="16BD9221" w14:textId="77777777" w:rsidR="00DD4A8D" w:rsidRDefault="00DD4A8D" w:rsidP="00DD4A8D">
      <w:r>
        <w:t>Gross property, plant and equipment</w:t>
      </w:r>
      <w:r>
        <w:tab/>
        <w:t>20,369,000</w:t>
      </w:r>
      <w:r>
        <w:tab/>
        <w:t>20,239,000</w:t>
      </w:r>
      <w:r>
        <w:tab/>
        <w:t>20,541,000</w:t>
      </w:r>
      <w:r>
        <w:tab/>
        <w:t>19,690,000</w:t>
      </w:r>
      <w:r>
        <w:tab/>
        <w:t>-</w:t>
      </w:r>
    </w:p>
    <w:p w14:paraId="019BACC5" w14:textId="77777777" w:rsidR="00DD4A8D" w:rsidRDefault="00DD4A8D" w:rsidP="00DD4A8D">
      <w:r>
        <w:t>Accumulated depreciation</w:t>
      </w:r>
      <w:r>
        <w:tab/>
        <w:t>-6,791,000</w:t>
      </w:r>
      <w:r>
        <w:tab/>
        <w:t>-6,693,000</w:t>
      </w:r>
      <w:r>
        <w:tab/>
        <w:t>-6,579,000</w:t>
      </w:r>
      <w:r>
        <w:tab/>
        <w:t>-6,356,000</w:t>
      </w:r>
      <w:r>
        <w:tab/>
        <w:t>-</w:t>
      </w:r>
    </w:p>
    <w:p w14:paraId="4C3FBE8F" w14:textId="77777777" w:rsidR="00DD4A8D" w:rsidRDefault="00DD4A8D" w:rsidP="00DD4A8D">
      <w:r>
        <w:t>Net property, plant and equipment</w:t>
      </w:r>
      <w:r>
        <w:tab/>
        <w:t>13,578,000</w:t>
      </w:r>
      <w:r>
        <w:tab/>
        <w:t>13,546,000</w:t>
      </w:r>
      <w:r>
        <w:tab/>
        <w:t>13,962,000</w:t>
      </w:r>
      <w:r>
        <w:tab/>
        <w:t>13,334,000</w:t>
      </w:r>
      <w:r>
        <w:tab/>
        <w:t>-</w:t>
      </w:r>
    </w:p>
    <w:p w14:paraId="447E483F" w14:textId="77777777" w:rsidR="00DD4A8D" w:rsidRDefault="00DD4A8D" w:rsidP="00DD4A8D">
      <w:r>
        <w:t>Goodwill</w:t>
      </w:r>
      <w:r>
        <w:tab/>
        <w:t>307,000</w:t>
      </w:r>
      <w:r>
        <w:tab/>
        <w:t>352,000</w:t>
      </w:r>
      <w:r>
        <w:tab/>
        <w:t>366,000</w:t>
      </w:r>
      <w:r>
        <w:tab/>
        <w:t>366,000</w:t>
      </w:r>
      <w:r>
        <w:tab/>
        <w:t>-</w:t>
      </w:r>
    </w:p>
    <w:p w14:paraId="3BA66517" w14:textId="77777777" w:rsidR="00DD4A8D" w:rsidRDefault="00DD4A8D" w:rsidP="00DD4A8D">
      <w:r>
        <w:t>Intangible assets</w:t>
      </w:r>
      <w:r>
        <w:tab/>
        <w:t>499,000</w:t>
      </w:r>
      <w:r>
        <w:tab/>
        <w:t>672,000</w:t>
      </w:r>
      <w:r>
        <w:tab/>
        <w:t>640,000</w:t>
      </w:r>
      <w:r>
        <w:tab/>
        <w:t>548,000</w:t>
      </w:r>
      <w:r>
        <w:tab/>
        <w:t>-</w:t>
      </w:r>
    </w:p>
    <w:p w14:paraId="7980F2C7" w14:textId="77777777" w:rsidR="00DD4A8D" w:rsidRDefault="00DD4A8D" w:rsidP="00DD4A8D">
      <w:r>
        <w:t>Total non-current assets</w:t>
      </w:r>
      <w:r>
        <w:tab/>
        <w:t>17,480,000</w:t>
      </w:r>
      <w:r>
        <w:tab/>
        <w:t>18,257,000</w:t>
      </w:r>
      <w:r>
        <w:tab/>
        <w:t>20,162,000</w:t>
      </w:r>
      <w:r>
        <w:tab/>
        <w:t>18,089,000</w:t>
      </w:r>
      <w:r>
        <w:tab/>
        <w:t>-</w:t>
      </w:r>
    </w:p>
    <w:p w14:paraId="62EEAACF" w14:textId="77777777" w:rsidR="00DD4A8D" w:rsidRDefault="00DD4A8D" w:rsidP="00DD4A8D">
      <w:r>
        <w:t>Total assets</w:t>
      </w:r>
      <w:r>
        <w:tab/>
        <w:t>25,061,000</w:t>
      </w:r>
      <w:r>
        <w:tab/>
        <w:t>26,158,000</w:t>
      </w:r>
      <w:r>
        <w:tab/>
        <w:t>26,912,000</w:t>
      </w:r>
      <w:r>
        <w:tab/>
        <w:t>25,162,000</w:t>
      </w:r>
      <w:r>
        <w:tab/>
        <w:t>-</w:t>
      </w:r>
    </w:p>
    <w:p w14:paraId="791BC467" w14:textId="77777777" w:rsidR="00DD4A8D" w:rsidRDefault="00DD4A8D" w:rsidP="00DD4A8D">
      <w:r>
        <w:t>Liabilities and stockholders' equity</w:t>
      </w:r>
      <w:r>
        <w:tab/>
      </w:r>
      <w:r>
        <w:tab/>
      </w:r>
      <w:r>
        <w:tab/>
      </w:r>
      <w:r>
        <w:tab/>
      </w:r>
      <w:r>
        <w:tab/>
      </w:r>
    </w:p>
    <w:p w14:paraId="394A9143" w14:textId="77777777" w:rsidR="00DD4A8D" w:rsidRDefault="00DD4A8D" w:rsidP="00DD4A8D">
      <w:r>
        <w:t>Liabilities</w:t>
      </w:r>
      <w:r>
        <w:tab/>
      </w:r>
      <w:r>
        <w:tab/>
      </w:r>
      <w:r>
        <w:tab/>
      </w:r>
      <w:r>
        <w:tab/>
      </w:r>
      <w:r>
        <w:tab/>
      </w:r>
    </w:p>
    <w:p w14:paraId="7CB39C44" w14:textId="77777777" w:rsidR="00DD4A8D" w:rsidRDefault="00DD4A8D" w:rsidP="00DD4A8D">
      <w:r>
        <w:t>Current liabilities</w:t>
      </w:r>
      <w:r>
        <w:tab/>
      </w:r>
      <w:r>
        <w:tab/>
      </w:r>
      <w:r>
        <w:tab/>
      </w:r>
      <w:r>
        <w:tab/>
      </w:r>
      <w:r>
        <w:tab/>
      </w:r>
    </w:p>
    <w:p w14:paraId="117ED03F" w14:textId="77777777" w:rsidR="00DD4A8D" w:rsidRDefault="00DD4A8D" w:rsidP="00DD4A8D">
      <w:r>
        <w:t>Current debt</w:t>
      </w:r>
      <w:r>
        <w:tab/>
        <w:t>65,000</w:t>
      </w:r>
      <w:r>
        <w:tab/>
        <w:t>53,000</w:t>
      </w:r>
      <w:r>
        <w:tab/>
        <w:t>54,000</w:t>
      </w:r>
      <w:r>
        <w:tab/>
        <w:t>258,000</w:t>
      </w:r>
      <w:r>
        <w:tab/>
        <w:t>-</w:t>
      </w:r>
    </w:p>
    <w:p w14:paraId="4907B7F5" w14:textId="77777777" w:rsidR="00DD4A8D" w:rsidRDefault="00DD4A8D" w:rsidP="00DD4A8D">
      <w:r>
        <w:t>Accounts payable</w:t>
      </w:r>
      <w:r>
        <w:tab/>
        <w:t>3,764,000</w:t>
      </w:r>
      <w:r>
        <w:tab/>
        <w:t>3,361,000</w:t>
      </w:r>
      <w:r>
        <w:tab/>
        <w:t>2,965,000</w:t>
      </w:r>
      <w:r>
        <w:tab/>
        <w:t>2,873,000</w:t>
      </w:r>
      <w:r>
        <w:tab/>
        <w:t>-</w:t>
      </w:r>
    </w:p>
    <w:p w14:paraId="48291F40" w14:textId="77777777" w:rsidR="00DD4A8D" w:rsidRDefault="00DD4A8D" w:rsidP="00DD4A8D">
      <w:r>
        <w:lastRenderedPageBreak/>
        <w:t>Other current liabilities</w:t>
      </w:r>
      <w:r>
        <w:tab/>
        <w:t>-</w:t>
      </w:r>
      <w:r>
        <w:tab/>
        <w:t>-</w:t>
      </w:r>
      <w:r>
        <w:tab/>
        <w:t>-</w:t>
      </w:r>
      <w:r>
        <w:tab/>
        <w:t>-</w:t>
      </w:r>
      <w:r>
        <w:tab/>
        <w:t>730,000</w:t>
      </w:r>
    </w:p>
    <w:p w14:paraId="6CA0ADA5" w14:textId="77777777" w:rsidR="00DD4A8D" w:rsidRDefault="00DD4A8D" w:rsidP="00DD4A8D">
      <w:r>
        <w:t>Total current liabilities</w:t>
      </w:r>
      <w:r>
        <w:tab/>
        <w:t>11,452,000</w:t>
      </w:r>
      <w:r>
        <w:tab/>
        <w:t>11,614,000</w:t>
      </w:r>
      <w:r>
        <w:tab/>
        <w:t>9,868,000</w:t>
      </w:r>
      <w:r>
        <w:tab/>
        <w:t>11,717,000</w:t>
      </w:r>
      <w:r>
        <w:tab/>
        <w:t>-</w:t>
      </w:r>
    </w:p>
    <w:p w14:paraId="6B327326" w14:textId="77777777" w:rsidR="00DD4A8D" w:rsidRDefault="00DD4A8D" w:rsidP="00DD4A8D">
      <w:r>
        <w:t>Non-current liabilities</w:t>
      </w:r>
      <w:r>
        <w:tab/>
      </w:r>
      <w:r>
        <w:tab/>
      </w:r>
      <w:r>
        <w:tab/>
      </w:r>
      <w:r>
        <w:tab/>
      </w:r>
      <w:r>
        <w:tab/>
      </w:r>
    </w:p>
    <w:p w14:paraId="09785B57" w14:textId="77777777" w:rsidR="00DD4A8D" w:rsidRDefault="00DD4A8D" w:rsidP="00DD4A8D">
      <w:r>
        <w:t>Long-term debt</w:t>
      </w:r>
      <w:r>
        <w:tab/>
        <w:t>1,130,000</w:t>
      </w:r>
      <w:r>
        <w:tab/>
        <w:t>603,000</w:t>
      </w:r>
      <w:r>
        <w:tab/>
        <w:t>707,000</w:t>
      </w:r>
      <w:r>
        <w:tab/>
        <w:t>748,000</w:t>
      </w:r>
      <w:r>
        <w:tab/>
        <w:t>-</w:t>
      </w:r>
    </w:p>
    <w:p w14:paraId="6954C6AF" w14:textId="77777777" w:rsidR="00DD4A8D" w:rsidRDefault="00DD4A8D" w:rsidP="00DD4A8D">
      <w:r>
        <w:t>Deferred tax liabilities</w:t>
      </w:r>
      <w:r>
        <w:tab/>
        <w:t>329,000</w:t>
      </w:r>
      <w:r>
        <w:tab/>
        <w:t>476,000</w:t>
      </w:r>
      <w:r>
        <w:tab/>
        <w:t>806,000</w:t>
      </w:r>
      <w:r>
        <w:tab/>
        <w:t>255,000</w:t>
      </w:r>
      <w:r>
        <w:tab/>
        <w:t>-</w:t>
      </w:r>
    </w:p>
    <w:p w14:paraId="74571C9C" w14:textId="77777777" w:rsidR="00DD4A8D" w:rsidRDefault="00DD4A8D" w:rsidP="00DD4A8D">
      <w:r>
        <w:t>Deferred revenues</w:t>
      </w:r>
      <w:r>
        <w:tab/>
        <w:t>184,000</w:t>
      </w:r>
      <w:r>
        <w:tab/>
        <w:t>374,000</w:t>
      </w:r>
      <w:r>
        <w:tab/>
        <w:t>163,000</w:t>
      </w:r>
      <w:r>
        <w:tab/>
        <w:t>204,000</w:t>
      </w:r>
      <w:r>
        <w:tab/>
        <w:t>-</w:t>
      </w:r>
    </w:p>
    <w:p w14:paraId="4CF1823C" w14:textId="77777777" w:rsidR="00DD4A8D" w:rsidRDefault="00DD4A8D" w:rsidP="00DD4A8D">
      <w:r>
        <w:t>Other long-term liabilities</w:t>
      </w:r>
      <w:r>
        <w:tab/>
        <w:t>-11,000</w:t>
      </w:r>
      <w:r>
        <w:tab/>
        <w:t>-</w:t>
      </w:r>
      <w:r>
        <w:tab/>
        <w:t>-</w:t>
      </w:r>
      <w:r>
        <w:tab/>
        <w:t>-</w:t>
      </w:r>
      <w:r>
        <w:tab/>
        <w:t>-</w:t>
      </w:r>
    </w:p>
    <w:p w14:paraId="681E117C" w14:textId="77777777" w:rsidR="00DD4A8D" w:rsidRDefault="00DD4A8D" w:rsidP="00DD4A8D">
      <w:r>
        <w:t>Total non-current liabilities</w:t>
      </w:r>
      <w:r>
        <w:tab/>
        <w:t>6,741,000</w:t>
      </w:r>
      <w:r>
        <w:tab/>
        <w:t>7,291,000</w:t>
      </w:r>
      <w:r>
        <w:tab/>
        <w:t>8,621,000</w:t>
      </w:r>
      <w:r>
        <w:tab/>
        <w:t>6,841,000</w:t>
      </w:r>
      <w:r>
        <w:tab/>
        <w:t>-</w:t>
      </w:r>
    </w:p>
    <w:p w14:paraId="6491AC25" w14:textId="77777777" w:rsidR="00DD4A8D" w:rsidRDefault="00DD4A8D" w:rsidP="00DD4A8D">
      <w:r>
        <w:t>Total liabilities</w:t>
      </w:r>
      <w:r>
        <w:tab/>
        <w:t>18,193,000</w:t>
      </w:r>
      <w:r>
        <w:tab/>
        <w:t>18,905,000</w:t>
      </w:r>
      <w:r>
        <w:tab/>
        <w:t>18,489,000</w:t>
      </w:r>
      <w:r>
        <w:tab/>
        <w:t>18,558,000</w:t>
      </w:r>
      <w:r>
        <w:tab/>
        <w:t>-</w:t>
      </w:r>
    </w:p>
    <w:p w14:paraId="4385E913" w14:textId="77777777" w:rsidR="00DD4A8D" w:rsidRDefault="00DD4A8D" w:rsidP="00DD4A8D">
      <w:r>
        <w:t>Stockholders' equity</w:t>
      </w:r>
      <w:r>
        <w:tab/>
      </w:r>
      <w:r>
        <w:tab/>
      </w:r>
      <w:r>
        <w:tab/>
      </w:r>
      <w:r>
        <w:tab/>
      </w:r>
      <w:r>
        <w:tab/>
      </w:r>
    </w:p>
    <w:p w14:paraId="034B4B62" w14:textId="77777777" w:rsidR="00DD4A8D" w:rsidRDefault="00DD4A8D" w:rsidP="00DD4A8D">
      <w:r>
        <w:t>Common stock</w:t>
      </w:r>
      <w:r>
        <w:tab/>
        <w:t>678,000</w:t>
      </w:r>
      <w:r>
        <w:tab/>
        <w:t>672,000</w:t>
      </w:r>
      <w:r>
        <w:tab/>
        <w:t>668,000</w:t>
      </w:r>
      <w:r>
        <w:tab/>
        <w:t>637,000</w:t>
      </w:r>
      <w:r>
        <w:tab/>
        <w:t>-</w:t>
      </w:r>
    </w:p>
    <w:p w14:paraId="7A979B08" w14:textId="77777777" w:rsidR="00DD4A8D" w:rsidRDefault="00DD4A8D" w:rsidP="00DD4A8D">
      <w:r>
        <w:t>Retained earnings</w:t>
      </w:r>
      <w:r>
        <w:tab/>
        <w:t>3,237,000</w:t>
      </w:r>
      <w:r>
        <w:tab/>
        <w:t>3,641,000</w:t>
      </w:r>
      <w:r>
        <w:tab/>
        <w:t>4,760,000</w:t>
      </w:r>
      <w:r>
        <w:tab/>
        <w:t>3,131,000</w:t>
      </w:r>
      <w:r>
        <w:tab/>
        <w:t>-</w:t>
      </w:r>
    </w:p>
    <w:p w14:paraId="25237719" w14:textId="77777777" w:rsidR="00DD4A8D" w:rsidRDefault="00DD4A8D" w:rsidP="00DD4A8D">
      <w:r>
        <w:t>Total stockholders' equity</w:t>
      </w:r>
      <w:r>
        <w:tab/>
        <w:t>6,868,000</w:t>
      </w:r>
      <w:r>
        <w:tab/>
        <w:t>7,253,000</w:t>
      </w:r>
      <w:r>
        <w:tab/>
        <w:t>8,423,000</w:t>
      </w:r>
      <w:r>
        <w:tab/>
        <w:t>6,604,000</w:t>
      </w:r>
      <w:r>
        <w:tab/>
        <w:t>-</w:t>
      </w:r>
    </w:p>
    <w:p w14:paraId="5C9CC7EE" w14:textId="77777777" w:rsidR="00DD4A8D" w:rsidRDefault="00DD4A8D" w:rsidP="00DD4A8D">
      <w:r>
        <w:t>Total liabilities and stockholders' equity</w:t>
      </w:r>
      <w:r>
        <w:tab/>
        <w:t>25,061,000</w:t>
      </w:r>
      <w:r>
        <w:tab/>
        <w:t>26,158,000</w:t>
      </w:r>
      <w:r>
        <w:tab/>
        <w:t>26,912,000</w:t>
      </w:r>
      <w:r>
        <w:tab/>
        <w:t>25,162,000</w:t>
      </w:r>
      <w:r>
        <w:tab/>
        <w:t>-</w:t>
      </w:r>
    </w:p>
    <w:p w14:paraId="05AEEB1A" w14:textId="77777777" w:rsidR="00DD4A8D" w:rsidRDefault="00DD4A8D" w:rsidP="00DD4A8D">
      <w:r>
        <w:t xml:space="preserve"> </w:t>
      </w:r>
    </w:p>
    <w:p w14:paraId="227DFEAB" w14:textId="77777777" w:rsidR="00DD4A8D" w:rsidRDefault="00DD4A8D" w:rsidP="00DD4A8D"/>
    <w:p w14:paraId="569F9EC4" w14:textId="77777777" w:rsidR="00DD4A8D" w:rsidRDefault="00DD4A8D" w:rsidP="00DD4A8D">
      <w:r>
        <w:t>People also watch</w:t>
      </w:r>
    </w:p>
    <w:p w14:paraId="449AAB55" w14:textId="77777777" w:rsidR="00DD4A8D" w:rsidRDefault="00DD4A8D" w:rsidP="00DD4A8D">
      <w:r>
        <w:t>Symbol</w:t>
      </w:r>
      <w:r>
        <w:tab/>
        <w:t>Last price</w:t>
      </w:r>
      <w:r>
        <w:tab/>
        <w:t>Change</w:t>
      </w:r>
      <w:r>
        <w:tab/>
        <w:t>% change</w:t>
      </w:r>
    </w:p>
    <w:p w14:paraId="7CABA575" w14:textId="77777777" w:rsidR="00DD4A8D" w:rsidRDefault="00DD4A8D" w:rsidP="00DD4A8D">
      <w:r>
        <w:t>TSCO.L</w:t>
      </w:r>
    </w:p>
    <w:p w14:paraId="5FF76194" w14:textId="77777777" w:rsidR="00DD4A8D" w:rsidRDefault="00DD4A8D" w:rsidP="00DD4A8D">
      <w:r>
        <w:t>Tesco PLC</w:t>
      </w:r>
      <w:r>
        <w:tab/>
        <w:t>341.20</w:t>
      </w:r>
      <w:r>
        <w:tab/>
        <w:t>0.00</w:t>
      </w:r>
      <w:r>
        <w:tab/>
        <w:t>0.00%</w:t>
      </w:r>
    </w:p>
    <w:p w14:paraId="30675025" w14:textId="77777777" w:rsidR="00DD4A8D" w:rsidRDefault="00DD4A8D" w:rsidP="00DD4A8D">
      <w:r>
        <w:t>MKS.L</w:t>
      </w:r>
    </w:p>
    <w:p w14:paraId="067A6C11" w14:textId="77777777" w:rsidR="00DD4A8D" w:rsidRDefault="00DD4A8D" w:rsidP="00DD4A8D">
      <w:r>
        <w:t>Marks and Spencer Group plc</w:t>
      </w:r>
      <w:r>
        <w:tab/>
        <w:t>329.10</w:t>
      </w:r>
      <w:r>
        <w:tab/>
        <w:t>-2.00</w:t>
      </w:r>
      <w:r>
        <w:tab/>
        <w:t>-0.60%</w:t>
      </w:r>
    </w:p>
    <w:p w14:paraId="21908CBD" w14:textId="77777777" w:rsidR="00DD4A8D" w:rsidRDefault="00DD4A8D" w:rsidP="00DD4A8D">
      <w:r>
        <w:t>CNA.L</w:t>
      </w:r>
    </w:p>
    <w:p w14:paraId="4173E9DB" w14:textId="77777777" w:rsidR="00DD4A8D" w:rsidRDefault="00DD4A8D" w:rsidP="00DD4A8D">
      <w:r>
        <w:t>Centrica plc</w:t>
      </w:r>
      <w:r>
        <w:tab/>
        <w:t>127.65</w:t>
      </w:r>
      <w:r>
        <w:tab/>
        <w:t>-0.30</w:t>
      </w:r>
      <w:r>
        <w:tab/>
        <w:t>-0.23%</w:t>
      </w:r>
    </w:p>
    <w:p w14:paraId="16DF3D12" w14:textId="77777777" w:rsidR="00DD4A8D" w:rsidRDefault="00DD4A8D" w:rsidP="00DD4A8D">
      <w:r>
        <w:t>GSK.L</w:t>
      </w:r>
    </w:p>
    <w:p w14:paraId="0D368C19" w14:textId="77777777" w:rsidR="00DD4A8D" w:rsidRDefault="00DD4A8D" w:rsidP="00DD4A8D">
      <w:r>
        <w:t>GlaxoSmithKline plc</w:t>
      </w:r>
      <w:r>
        <w:tab/>
        <w:t>1,591.00</w:t>
      </w:r>
      <w:r>
        <w:tab/>
        <w:t>-5.00</w:t>
      </w:r>
      <w:r>
        <w:tab/>
        <w:t>-0.31%</w:t>
      </w:r>
    </w:p>
    <w:p w14:paraId="00A9432C" w14:textId="77777777" w:rsidR="00DD4A8D" w:rsidRDefault="00DD4A8D" w:rsidP="00DD4A8D">
      <w:r>
        <w:t>NG.L</w:t>
      </w:r>
    </w:p>
    <w:p w14:paraId="7882A947" w14:textId="77777777" w:rsidR="00DD4A8D" w:rsidRDefault="00DD4A8D" w:rsidP="00DD4A8D">
      <w:r>
        <w:lastRenderedPageBreak/>
        <w:t>National Grid plc</w:t>
      </w:r>
      <w:r>
        <w:tab/>
        <w:t>982.80</w:t>
      </w:r>
      <w:r>
        <w:tab/>
        <w:t>+0.60</w:t>
      </w:r>
      <w:r>
        <w:tab/>
        <w:t>+0.06%</w:t>
      </w:r>
    </w:p>
    <w:p w14:paraId="47A4EEC5" w14:textId="77777777" w:rsidR="00DD4A8D" w:rsidRDefault="00DD4A8D" w:rsidP="00DD4A8D">
      <w:r>
        <w:t>Similar to SBRY.L</w:t>
      </w:r>
    </w:p>
    <w:p w14:paraId="1D68E930" w14:textId="77777777" w:rsidR="00DD4A8D" w:rsidRDefault="00DD4A8D" w:rsidP="00DD4A8D">
      <w:r>
        <w:t>Symbol</w:t>
      </w:r>
      <w:r>
        <w:tab/>
        <w:t>Last price</w:t>
      </w:r>
      <w:r>
        <w:tab/>
        <w:t>Change</w:t>
      </w:r>
      <w:r>
        <w:tab/>
        <w:t>% change</w:t>
      </w:r>
    </w:p>
    <w:p w14:paraId="5CC6A64F" w14:textId="77777777" w:rsidR="00DD4A8D" w:rsidRDefault="00DD4A8D" w:rsidP="00DD4A8D">
      <w:r>
        <w:t>TSCO.L</w:t>
      </w:r>
    </w:p>
    <w:p w14:paraId="4BE716AA" w14:textId="77777777" w:rsidR="00DD4A8D" w:rsidRDefault="00DD4A8D" w:rsidP="00DD4A8D">
      <w:r>
        <w:t>Tesco PLC</w:t>
      </w:r>
      <w:r>
        <w:tab/>
        <w:t>341.20</w:t>
      </w:r>
      <w:r>
        <w:tab/>
        <w:t>0.00</w:t>
      </w:r>
      <w:r>
        <w:tab/>
        <w:t>0.00%</w:t>
      </w:r>
    </w:p>
    <w:p w14:paraId="7B5D5C29" w14:textId="77777777" w:rsidR="00DD4A8D" w:rsidRDefault="00DD4A8D" w:rsidP="00DD4A8D">
      <w:r>
        <w:t>OCDO.L</w:t>
      </w:r>
    </w:p>
    <w:p w14:paraId="47A57A05" w14:textId="77777777" w:rsidR="00DD4A8D" w:rsidRDefault="00DD4A8D" w:rsidP="00DD4A8D">
      <w:r>
        <w:t>Ocado Group plc</w:t>
      </w:r>
      <w:r>
        <w:tab/>
        <w:t>379.30</w:t>
      </w:r>
      <w:r>
        <w:tab/>
        <w:t>+2.30</w:t>
      </w:r>
      <w:r>
        <w:tab/>
        <w:t>+0.61%</w:t>
      </w:r>
    </w:p>
    <w:p w14:paraId="3246E5AA" w14:textId="77777777" w:rsidR="00DD4A8D" w:rsidRDefault="00DD4A8D" w:rsidP="00DD4A8D">
      <w:r>
        <w:t>ASAI</w:t>
      </w:r>
    </w:p>
    <w:p w14:paraId="64E5680C" w14:textId="77777777" w:rsidR="00DD4A8D" w:rsidRDefault="00DD4A8D" w:rsidP="00DD4A8D">
      <w:proofErr w:type="spellStart"/>
      <w:r>
        <w:t>Sendas</w:t>
      </w:r>
      <w:proofErr w:type="spellEnd"/>
      <w:r>
        <w:t xml:space="preserve"> </w:t>
      </w:r>
      <w:proofErr w:type="spellStart"/>
      <w:r>
        <w:t>Distribuidora</w:t>
      </w:r>
      <w:proofErr w:type="spellEnd"/>
      <w:r>
        <w:t xml:space="preserve"> S.A.</w:t>
      </w:r>
      <w:r>
        <w:tab/>
        <w:t>9.29</w:t>
      </w:r>
      <w:r>
        <w:tab/>
        <w:t>-0.21</w:t>
      </w:r>
      <w:r>
        <w:tab/>
        <w:t>-2.21%</w:t>
      </w:r>
    </w:p>
    <w:p w14:paraId="4FD58487" w14:textId="77777777" w:rsidR="00DD4A8D" w:rsidRDefault="00DD4A8D" w:rsidP="00DD4A8D">
      <w:r>
        <w:t>NGVC</w:t>
      </w:r>
    </w:p>
    <w:p w14:paraId="4D4A05A9" w14:textId="77777777" w:rsidR="00DD4A8D" w:rsidRDefault="00DD4A8D" w:rsidP="00DD4A8D">
      <w:r>
        <w:t>Natural Grocers by Vitamin Cottage, Inc.</w:t>
      </w:r>
      <w:r>
        <w:tab/>
        <w:t>24.49</w:t>
      </w:r>
      <w:r>
        <w:tab/>
        <w:t>+0.46</w:t>
      </w:r>
      <w:r>
        <w:tab/>
        <w:t>+1.91%</w:t>
      </w:r>
    </w:p>
    <w:p w14:paraId="2BC7FD56" w14:textId="77777777" w:rsidR="00DD4A8D" w:rsidRDefault="00DD4A8D" w:rsidP="00DD4A8D">
      <w:r>
        <w:t>CA.PA</w:t>
      </w:r>
    </w:p>
    <w:p w14:paraId="324E9706" w14:textId="77777777" w:rsidR="00DD4A8D" w:rsidRDefault="00DD4A8D" w:rsidP="00DD4A8D">
      <w:r>
        <w:t>Carrefour SA</w:t>
      </w:r>
      <w:r>
        <w:tab/>
        <w:t>14.08</w:t>
      </w:r>
      <w:r>
        <w:tab/>
        <w:t>+0.12</w:t>
      </w:r>
      <w:r>
        <w:tab/>
        <w:t>+0.86%</w:t>
      </w:r>
    </w:p>
    <w:p w14:paraId="0C047F4C" w14:textId="77777777" w:rsidR="00DD4A8D" w:rsidRDefault="00DD4A8D" w:rsidP="00DD4A8D">
      <w:proofErr w:type="spellStart"/>
      <w:r>
        <w:t>AnnualQuarterly</w:t>
      </w:r>
      <w:proofErr w:type="spellEnd"/>
    </w:p>
    <w:p w14:paraId="23945057" w14:textId="77777777" w:rsidR="00DD4A8D" w:rsidRDefault="00DD4A8D" w:rsidP="00DD4A8D">
      <w:r>
        <w:t xml:space="preserve"> Revenue  Earnings</w:t>
      </w:r>
    </w:p>
    <w:p w14:paraId="0BDAE942" w14:textId="77777777" w:rsidR="00DD4A8D" w:rsidRDefault="00DD4A8D" w:rsidP="00DD4A8D"/>
    <w:p w14:paraId="68333FAC" w14:textId="77777777" w:rsidR="00DD4A8D" w:rsidRDefault="00DD4A8D" w:rsidP="00DD4A8D"/>
    <w:p w14:paraId="111E9A41" w14:textId="77777777" w:rsidR="00DD4A8D" w:rsidRDefault="00DD4A8D" w:rsidP="00DD4A8D">
      <w:r>
        <w:t xml:space="preserve">Data </w:t>
      </w:r>
      <w:proofErr w:type="spellStart"/>
      <w:r>
        <w:t>disclaimerHelpSuggestions</w:t>
      </w:r>
      <w:proofErr w:type="spellEnd"/>
    </w:p>
    <w:p w14:paraId="5E107140" w14:textId="77777777" w:rsidR="00DD4A8D" w:rsidRDefault="00DD4A8D" w:rsidP="00DD4A8D">
      <w:proofErr w:type="spellStart"/>
      <w:r>
        <w:t>TermsandPrivacy</w:t>
      </w:r>
      <w:proofErr w:type="spellEnd"/>
      <w:r>
        <w:t xml:space="preserve"> Policy</w:t>
      </w:r>
    </w:p>
    <w:p w14:paraId="37D58296" w14:textId="77777777" w:rsidR="00DD4A8D" w:rsidRDefault="00DD4A8D" w:rsidP="00DD4A8D">
      <w:r>
        <w:t>About our ads</w:t>
      </w:r>
    </w:p>
    <w:p w14:paraId="14FF8245" w14:textId="77777777" w:rsidR="00DD4A8D" w:rsidRDefault="00DD4A8D" w:rsidP="00DD4A8D">
      <w:r>
        <w:t>© 2024 Yahoo. All rights reserved.</w:t>
      </w:r>
    </w:p>
    <w:p w14:paraId="29355960" w14:textId="77777777" w:rsidR="00DD4A8D" w:rsidRDefault="00DD4A8D" w:rsidP="00DD4A8D"/>
    <w:p w14:paraId="7EB27636" w14:textId="77777777" w:rsidR="00DD4A8D" w:rsidRDefault="00DD4A8D" w:rsidP="00DD4A8D"/>
    <w:p w14:paraId="1F6DFA9E" w14:textId="77777777" w:rsidR="00DD4A8D" w:rsidRDefault="00DD4A8D" w:rsidP="00DD4A8D"/>
    <w:p w14:paraId="593442C2" w14:textId="77777777" w:rsidR="00DD4A8D" w:rsidRDefault="00DD4A8D" w:rsidP="00DD4A8D"/>
    <w:p w14:paraId="44F1F1A1" w14:textId="77777777" w:rsidR="00DD4A8D" w:rsidRDefault="00DD4A8D" w:rsidP="00DD4A8D"/>
    <w:p w14:paraId="10CF8F93" w14:textId="77777777" w:rsidR="00DD4A8D" w:rsidRDefault="00DD4A8D" w:rsidP="00DD4A8D"/>
    <w:p w14:paraId="05C3A4F7" w14:textId="77777777" w:rsidR="00DD4A8D" w:rsidRDefault="00DD4A8D" w:rsidP="00DD4A8D"/>
    <w:p w14:paraId="3D9C51CD" w14:textId="77777777" w:rsidR="00DD4A8D" w:rsidRDefault="00DD4A8D" w:rsidP="00DD4A8D"/>
    <w:p w14:paraId="30FAF68C" w14:textId="77777777" w:rsidR="00DD4A8D" w:rsidRDefault="00DD4A8D" w:rsidP="00DD4A8D"/>
    <w:p w14:paraId="26D120DE" w14:textId="77777777" w:rsidR="00DD4A8D" w:rsidRDefault="00DD4A8D" w:rsidP="00DD4A8D"/>
    <w:p w14:paraId="3FE6AD7B" w14:textId="77777777" w:rsidR="00DD4A8D" w:rsidRDefault="00DD4A8D" w:rsidP="00DD4A8D">
      <w:r>
        <w:t xml:space="preserve">Cash </w:t>
      </w:r>
      <w:proofErr w:type="spellStart"/>
      <w:r>
        <w:t>flowCurrency</w:t>
      </w:r>
      <w:proofErr w:type="spellEnd"/>
      <w:r>
        <w:t xml:space="preserve"> in GBP. All numbers in thousands</w:t>
      </w:r>
    </w:p>
    <w:p w14:paraId="0F9A1071" w14:textId="77777777" w:rsidR="00DD4A8D" w:rsidRDefault="00DD4A8D" w:rsidP="00DD4A8D">
      <w:r>
        <w:t>Breakdownttm29/02/202428/02/202328/02/202231/03/202128/02/202131/03/202029/02/2020</w:t>
      </w:r>
    </w:p>
    <w:p w14:paraId="247580D7" w14:textId="77777777" w:rsidR="00DD4A8D" w:rsidRDefault="00DD4A8D" w:rsidP="00DD4A8D">
      <w:r>
        <w:t>Cash flows from operating activities</w:t>
      </w:r>
      <w:r>
        <w:tab/>
      </w:r>
      <w:r>
        <w:tab/>
      </w:r>
      <w:r>
        <w:tab/>
      </w:r>
      <w:r>
        <w:tab/>
      </w:r>
      <w:r>
        <w:tab/>
      </w:r>
      <w:r>
        <w:tab/>
      </w:r>
      <w:r>
        <w:tab/>
      </w:r>
      <w:r>
        <w:tab/>
      </w:r>
    </w:p>
    <w:p w14:paraId="4ADC7E03" w14:textId="77777777" w:rsidR="00DD4A8D" w:rsidRDefault="00DD4A8D" w:rsidP="00DD4A8D">
      <w:r>
        <w:t>Net income</w:t>
      </w:r>
      <w:r>
        <w:tab/>
        <w:t>137,000</w:t>
      </w:r>
      <w:r>
        <w:tab/>
        <w:t>137,000</w:t>
      </w:r>
      <w:r>
        <w:tab/>
        <w:t>207,000</w:t>
      </w:r>
      <w:r>
        <w:tab/>
        <w:t>677,000</w:t>
      </w:r>
      <w:r>
        <w:tab/>
        <w:t>-280,000</w:t>
      </w:r>
      <w:r>
        <w:tab/>
        <w:t>-</w:t>
      </w:r>
      <w:r>
        <w:tab/>
        <w:t>-</w:t>
      </w:r>
      <w:r>
        <w:tab/>
        <w:t>-</w:t>
      </w:r>
    </w:p>
    <w:p w14:paraId="07DB24FE" w14:textId="77777777" w:rsidR="00DD4A8D" w:rsidRDefault="00DD4A8D" w:rsidP="00DD4A8D">
      <w:r>
        <w:t>Depreciation &amp; amortisation</w:t>
      </w:r>
      <w:r>
        <w:tab/>
        <w:t>1,178,000</w:t>
      </w:r>
      <w:r>
        <w:tab/>
        <w:t>1,178,000</w:t>
      </w:r>
      <w:r>
        <w:tab/>
        <w:t>1,208,000</w:t>
      </w:r>
      <w:r>
        <w:tab/>
        <w:t>1,220,000</w:t>
      </w:r>
      <w:r>
        <w:tab/>
        <w:t>1,249,000</w:t>
      </w:r>
      <w:r>
        <w:tab/>
        <w:t>-</w:t>
      </w:r>
      <w:r>
        <w:tab/>
        <w:t>-</w:t>
      </w:r>
      <w:r>
        <w:tab/>
        <w:t>-</w:t>
      </w:r>
    </w:p>
    <w:p w14:paraId="7D26C6F6" w14:textId="77777777" w:rsidR="00DD4A8D" w:rsidRDefault="00DD4A8D" w:rsidP="00DD4A8D">
      <w:r>
        <w:t>Stock-based compensation</w:t>
      </w:r>
      <w:r>
        <w:tab/>
        <w:t>89,000</w:t>
      </w:r>
      <w:r>
        <w:tab/>
        <w:t>89,000</w:t>
      </w:r>
      <w:r>
        <w:tab/>
        <w:t>59,000</w:t>
      </w:r>
      <w:r>
        <w:tab/>
        <w:t>58,000</w:t>
      </w:r>
      <w:r>
        <w:tab/>
        <w:t>29,000</w:t>
      </w:r>
      <w:r>
        <w:tab/>
        <w:t>-</w:t>
      </w:r>
      <w:r>
        <w:tab/>
        <w:t>-</w:t>
      </w:r>
      <w:r>
        <w:tab/>
        <w:t>-</w:t>
      </w:r>
    </w:p>
    <w:p w14:paraId="53ABCF64" w14:textId="77777777" w:rsidR="00DD4A8D" w:rsidRDefault="00DD4A8D" w:rsidP="00DD4A8D">
      <w:r>
        <w:t>Change in working capital</w:t>
      </w:r>
      <w:r>
        <w:tab/>
        <w:t>321,000</w:t>
      </w:r>
      <w:r>
        <w:tab/>
        <w:t>321,000</w:t>
      </w:r>
      <w:r>
        <w:tab/>
        <w:t>477,000</w:t>
      </w:r>
      <w:r>
        <w:tab/>
        <w:t>-952,000</w:t>
      </w:r>
      <w:r>
        <w:tab/>
        <w:t>1,147,000</w:t>
      </w:r>
      <w:r>
        <w:tab/>
        <w:t>-</w:t>
      </w:r>
      <w:r>
        <w:tab/>
        <w:t>-</w:t>
      </w:r>
      <w:r>
        <w:tab/>
        <w:t>-</w:t>
      </w:r>
    </w:p>
    <w:p w14:paraId="01400B45" w14:textId="77777777" w:rsidR="00DD4A8D" w:rsidRDefault="00DD4A8D" w:rsidP="00DD4A8D">
      <w:r>
        <w:t>Inventory</w:t>
      </w:r>
      <w:r>
        <w:tab/>
        <w:t>5,000</w:t>
      </w:r>
      <w:r>
        <w:tab/>
        <w:t>5,000</w:t>
      </w:r>
      <w:r>
        <w:tab/>
        <w:t>-105,000</w:t>
      </w:r>
      <w:r>
        <w:tab/>
        <w:t>-179,000</w:t>
      </w:r>
      <w:r>
        <w:tab/>
        <w:t>117,000</w:t>
      </w:r>
      <w:r>
        <w:tab/>
        <w:t>-</w:t>
      </w:r>
      <w:r>
        <w:tab/>
        <w:t>-</w:t>
      </w:r>
      <w:r>
        <w:tab/>
        <w:t>-</w:t>
      </w:r>
    </w:p>
    <w:p w14:paraId="10FD04AD" w14:textId="77777777" w:rsidR="00DD4A8D" w:rsidRDefault="00DD4A8D" w:rsidP="00DD4A8D">
      <w:r>
        <w:t>Other working capital</w:t>
      </w:r>
      <w:r>
        <w:tab/>
        <w:t>400,000</w:t>
      </w:r>
      <w:r>
        <w:tab/>
        <w:t>400,000</w:t>
      </w:r>
      <w:r>
        <w:tab/>
        <w:t>1,416,000</w:t>
      </w:r>
      <w:r>
        <w:tab/>
        <w:t>312,000</w:t>
      </w:r>
      <w:r>
        <w:tab/>
        <w:t>1,741,000</w:t>
      </w:r>
      <w:r>
        <w:tab/>
        <w:t>-</w:t>
      </w:r>
      <w:r>
        <w:tab/>
        <w:t>-</w:t>
      </w:r>
      <w:r>
        <w:tab/>
        <w:t>-</w:t>
      </w:r>
    </w:p>
    <w:p w14:paraId="55A91393" w14:textId="77777777" w:rsidR="00DD4A8D" w:rsidRDefault="00DD4A8D" w:rsidP="00DD4A8D">
      <w:r>
        <w:t>Other non-cash items</w:t>
      </w:r>
      <w:r>
        <w:tab/>
        <w:t>300,000</w:t>
      </w:r>
      <w:r>
        <w:tab/>
        <w:t>300,000</w:t>
      </w:r>
      <w:r>
        <w:tab/>
        <w:t>264,000</w:t>
      </w:r>
      <w:r>
        <w:tab/>
        <w:t>227,000</w:t>
      </w:r>
      <w:r>
        <w:tab/>
        <w:t>320,000</w:t>
      </w:r>
      <w:r>
        <w:tab/>
        <w:t>-</w:t>
      </w:r>
      <w:r>
        <w:tab/>
        <w:t>-</w:t>
      </w:r>
      <w:r>
        <w:tab/>
        <w:t>-</w:t>
      </w:r>
    </w:p>
    <w:p w14:paraId="5260D29E" w14:textId="77777777" w:rsidR="00DD4A8D" w:rsidRDefault="00DD4A8D" w:rsidP="00DD4A8D">
      <w:r>
        <w:t>Net cash provided by operating activities</w:t>
      </w:r>
      <w:r>
        <w:tab/>
        <w:t>1,965,000</w:t>
      </w:r>
      <w:r>
        <w:tab/>
        <w:t>1,965,000</w:t>
      </w:r>
      <w:r>
        <w:tab/>
        <w:t>2,170,000</w:t>
      </w:r>
      <w:r>
        <w:tab/>
        <w:t>1,009,000</w:t>
      </w:r>
      <w:r>
        <w:tab/>
        <w:t>2,343,000</w:t>
      </w:r>
      <w:r>
        <w:tab/>
        <w:t>-</w:t>
      </w:r>
      <w:r>
        <w:tab/>
        <w:t>-</w:t>
      </w:r>
      <w:r>
        <w:tab/>
        <w:t>-</w:t>
      </w:r>
    </w:p>
    <w:p w14:paraId="677CE23E" w14:textId="77777777" w:rsidR="00DD4A8D" w:rsidRDefault="00DD4A8D" w:rsidP="00DD4A8D">
      <w:r>
        <w:t xml:space="preserve">Cash flows from investing activities </w:t>
      </w:r>
      <w:r>
        <w:tab/>
      </w:r>
      <w:r>
        <w:tab/>
      </w:r>
      <w:r>
        <w:tab/>
      </w:r>
      <w:r>
        <w:tab/>
      </w:r>
      <w:r>
        <w:tab/>
      </w:r>
      <w:r>
        <w:tab/>
      </w:r>
      <w:r>
        <w:tab/>
      </w:r>
      <w:r>
        <w:tab/>
      </w:r>
    </w:p>
    <w:p w14:paraId="3D00657A" w14:textId="77777777" w:rsidR="00DD4A8D" w:rsidRDefault="00DD4A8D" w:rsidP="00DD4A8D">
      <w:r>
        <w:t>Investments in property, plant and equipment</w:t>
      </w:r>
      <w:r>
        <w:tab/>
        <w:t>-1,565,000</w:t>
      </w:r>
      <w:r>
        <w:tab/>
        <w:t>-1,565,000</w:t>
      </w:r>
      <w:r>
        <w:tab/>
        <w:t>-754,000</w:t>
      </w:r>
      <w:r>
        <w:tab/>
        <w:t>-697,000</w:t>
      </w:r>
      <w:r>
        <w:tab/>
        <w:t>-602,000</w:t>
      </w:r>
      <w:r>
        <w:tab/>
        <w:t>-</w:t>
      </w:r>
      <w:r>
        <w:tab/>
        <w:t>-</w:t>
      </w:r>
      <w:r>
        <w:tab/>
        <w:t>-</w:t>
      </w:r>
    </w:p>
    <w:p w14:paraId="5341C3F3" w14:textId="77777777" w:rsidR="00DD4A8D" w:rsidRDefault="00DD4A8D" w:rsidP="00DD4A8D">
      <w:r>
        <w:t>Acquisitions, net</w:t>
      </w:r>
      <w:r>
        <w:tab/>
        <w:t>-</w:t>
      </w:r>
      <w:r>
        <w:tab/>
        <w:t>-</w:t>
      </w:r>
      <w:r>
        <w:tab/>
        <w:t>-</w:t>
      </w:r>
      <w:r>
        <w:tab/>
        <w:t>-</w:t>
      </w:r>
      <w:r>
        <w:tab/>
        <w:t>-</w:t>
      </w:r>
      <w:r>
        <w:tab/>
        <w:t>-</w:t>
      </w:r>
      <w:r>
        <w:tab/>
        <w:t>0</w:t>
      </w:r>
      <w:r>
        <w:tab/>
        <w:t>0</w:t>
      </w:r>
    </w:p>
    <w:p w14:paraId="1D0717D2" w14:textId="77777777" w:rsidR="00DD4A8D" w:rsidRDefault="00DD4A8D" w:rsidP="00DD4A8D">
      <w:r>
        <w:t>Sales/maturities of investments</w:t>
      </w:r>
      <w:r>
        <w:tab/>
        <w:t>-</w:t>
      </w:r>
      <w:r>
        <w:tab/>
        <w:t>-</w:t>
      </w:r>
      <w:r>
        <w:tab/>
        <w:t>-</w:t>
      </w:r>
      <w:r>
        <w:tab/>
        <w:t>-</w:t>
      </w:r>
      <w:r>
        <w:tab/>
        <w:t>-</w:t>
      </w:r>
      <w:r>
        <w:tab/>
        <w:t>-</w:t>
      </w:r>
      <w:r>
        <w:tab/>
        <w:t>0</w:t>
      </w:r>
      <w:r>
        <w:tab/>
        <w:t>0</w:t>
      </w:r>
    </w:p>
    <w:p w14:paraId="3429A543" w14:textId="77777777" w:rsidR="00DD4A8D" w:rsidRDefault="00DD4A8D" w:rsidP="00DD4A8D">
      <w:r>
        <w:t>Other investing activities</w:t>
      </w:r>
      <w:r>
        <w:tab/>
        <w:t>446,000</w:t>
      </w:r>
      <w:r>
        <w:tab/>
        <w:t>446,000</w:t>
      </w:r>
      <w:r>
        <w:tab/>
        <w:t>-</w:t>
      </w:r>
      <w:r>
        <w:tab/>
        <w:t>-</w:t>
      </w:r>
      <w:r>
        <w:tab/>
        <w:t>-7,000</w:t>
      </w:r>
      <w:r>
        <w:tab/>
        <w:t>-</w:t>
      </w:r>
      <w:r>
        <w:tab/>
        <w:t>-13,000</w:t>
      </w:r>
      <w:r>
        <w:tab/>
        <w:t>-</w:t>
      </w:r>
    </w:p>
    <w:p w14:paraId="3CB5CA3D" w14:textId="77777777" w:rsidR="00DD4A8D" w:rsidRDefault="00DD4A8D" w:rsidP="00DD4A8D">
      <w:r>
        <w:t>Net cash used for investing activities</w:t>
      </w:r>
      <w:r>
        <w:tab/>
        <w:t>-1,015,000</w:t>
      </w:r>
      <w:r>
        <w:tab/>
        <w:t>-1,015,000</w:t>
      </w:r>
      <w:r>
        <w:tab/>
        <w:t>-709,000</w:t>
      </w:r>
      <w:r>
        <w:tab/>
        <w:t>-649,000</w:t>
      </w:r>
      <w:r>
        <w:tab/>
        <w:t>-553,000</w:t>
      </w:r>
      <w:r>
        <w:tab/>
        <w:t>-</w:t>
      </w:r>
      <w:r>
        <w:tab/>
        <w:t>-</w:t>
      </w:r>
      <w:r>
        <w:tab/>
        <w:t>-</w:t>
      </w:r>
    </w:p>
    <w:p w14:paraId="251C6A44" w14:textId="77777777" w:rsidR="00DD4A8D" w:rsidRDefault="00DD4A8D" w:rsidP="00DD4A8D">
      <w:r>
        <w:lastRenderedPageBreak/>
        <w:t>Net change in cash</w:t>
      </w:r>
      <w:r>
        <w:tab/>
        <w:t>668,000</w:t>
      </w:r>
      <w:r>
        <w:tab/>
        <w:t>668,000</w:t>
      </w:r>
      <w:r>
        <w:tab/>
        <w:t>501,000</w:t>
      </w:r>
      <w:r>
        <w:tab/>
        <w:t>-658,000</w:t>
      </w:r>
      <w:r>
        <w:tab/>
        <w:t>482,000</w:t>
      </w:r>
      <w:r>
        <w:tab/>
        <w:t>-</w:t>
      </w:r>
      <w:r>
        <w:tab/>
        <w:t>-</w:t>
      </w:r>
      <w:r>
        <w:tab/>
        <w:t>-</w:t>
      </w:r>
    </w:p>
    <w:p w14:paraId="4E257FF4" w14:textId="77777777" w:rsidR="00DD4A8D" w:rsidRDefault="00DD4A8D" w:rsidP="00DD4A8D">
      <w:r>
        <w:t>Cash at beginning of period</w:t>
      </w:r>
      <w:r>
        <w:tab/>
        <w:t>1,319,000</w:t>
      </w:r>
      <w:r>
        <w:tab/>
        <w:t>1,319,000</w:t>
      </w:r>
      <w:r>
        <w:tab/>
        <w:t>818,000</w:t>
      </w:r>
      <w:r>
        <w:tab/>
        <w:t>1,476,000</w:t>
      </w:r>
      <w:r>
        <w:tab/>
        <w:t>994,000</w:t>
      </w:r>
      <w:r>
        <w:tab/>
        <w:t>-</w:t>
      </w:r>
      <w:r>
        <w:tab/>
        <w:t>-</w:t>
      </w:r>
      <w:r>
        <w:tab/>
        <w:t>-</w:t>
      </w:r>
    </w:p>
    <w:p w14:paraId="0FAA97E6" w14:textId="77777777" w:rsidR="00DD4A8D" w:rsidRDefault="00DD4A8D" w:rsidP="00DD4A8D">
      <w:r>
        <w:t>Cash at end of period</w:t>
      </w:r>
      <w:r>
        <w:tab/>
        <w:t>1,987,000</w:t>
      </w:r>
      <w:r>
        <w:tab/>
        <w:t>1,987,000</w:t>
      </w:r>
      <w:r>
        <w:tab/>
        <w:t>1,319,000</w:t>
      </w:r>
      <w:r>
        <w:tab/>
        <w:t>818,000</w:t>
      </w:r>
      <w:r>
        <w:tab/>
        <w:t>1,476,000</w:t>
      </w:r>
      <w:r>
        <w:tab/>
        <w:t>-</w:t>
      </w:r>
      <w:r>
        <w:tab/>
        <w:t>-</w:t>
      </w:r>
      <w:r>
        <w:tab/>
        <w:t>-</w:t>
      </w:r>
    </w:p>
    <w:p w14:paraId="1E920762" w14:textId="77777777" w:rsidR="00DD4A8D" w:rsidRDefault="00DD4A8D" w:rsidP="00DD4A8D">
      <w:r>
        <w:t>Free cash flow</w:t>
      </w:r>
      <w:r>
        <w:tab/>
      </w:r>
      <w:r>
        <w:tab/>
      </w:r>
      <w:r>
        <w:tab/>
      </w:r>
      <w:r>
        <w:tab/>
      </w:r>
      <w:r>
        <w:tab/>
      </w:r>
      <w:r>
        <w:tab/>
      </w:r>
      <w:r>
        <w:tab/>
      </w:r>
      <w:r>
        <w:tab/>
      </w:r>
    </w:p>
    <w:p w14:paraId="6331F040" w14:textId="77777777" w:rsidR="00DD4A8D" w:rsidRDefault="00DD4A8D" w:rsidP="00DD4A8D">
      <w:r>
        <w:t>Operating cash flow</w:t>
      </w:r>
      <w:r>
        <w:tab/>
        <w:t>1,965,000</w:t>
      </w:r>
      <w:r>
        <w:tab/>
        <w:t>1,965,000</w:t>
      </w:r>
      <w:r>
        <w:tab/>
        <w:t>2,170,000</w:t>
      </w:r>
      <w:r>
        <w:tab/>
        <w:t>1,009,000</w:t>
      </w:r>
      <w:r>
        <w:tab/>
        <w:t>2,343,000</w:t>
      </w:r>
      <w:r>
        <w:tab/>
        <w:t>-</w:t>
      </w:r>
      <w:r>
        <w:tab/>
        <w:t>-</w:t>
      </w:r>
      <w:r>
        <w:tab/>
        <w:t>-</w:t>
      </w:r>
    </w:p>
    <w:p w14:paraId="0DDAA331" w14:textId="77777777" w:rsidR="00DD4A8D" w:rsidRDefault="00DD4A8D" w:rsidP="00DD4A8D">
      <w:r>
        <w:t>Capital expenditure</w:t>
      </w:r>
      <w:r>
        <w:tab/>
        <w:t>-1,565,000</w:t>
      </w:r>
      <w:r>
        <w:tab/>
        <w:t>-1,565,000</w:t>
      </w:r>
      <w:r>
        <w:tab/>
        <w:t>-754,000</w:t>
      </w:r>
      <w:r>
        <w:tab/>
        <w:t>-697,000</w:t>
      </w:r>
      <w:r>
        <w:tab/>
        <w:t>-602,000</w:t>
      </w:r>
      <w:r>
        <w:tab/>
        <w:t>-</w:t>
      </w:r>
      <w:r>
        <w:tab/>
        <w:t>-</w:t>
      </w:r>
      <w:r>
        <w:tab/>
        <w:t>-</w:t>
      </w:r>
    </w:p>
    <w:p w14:paraId="17B33D69" w14:textId="77777777" w:rsidR="00DD4A8D" w:rsidRDefault="00DD4A8D" w:rsidP="00DD4A8D">
      <w:r>
        <w:t>Free cash flow</w:t>
      </w:r>
      <w:r>
        <w:tab/>
        <w:t>400,000</w:t>
      </w:r>
      <w:r>
        <w:tab/>
        <w:t>400,000</w:t>
      </w:r>
      <w:r>
        <w:tab/>
        <w:t>1,416,000</w:t>
      </w:r>
      <w:r>
        <w:tab/>
        <w:t>312,000</w:t>
      </w:r>
      <w:r>
        <w:tab/>
        <w:t>1,741,000</w:t>
      </w:r>
      <w:r>
        <w:tab/>
        <w:t>-</w:t>
      </w:r>
      <w:r>
        <w:tab/>
        <w:t>-</w:t>
      </w:r>
      <w:r>
        <w:tab/>
        <w:t>-</w:t>
      </w:r>
    </w:p>
    <w:p w14:paraId="524797DF" w14:textId="77777777" w:rsidR="00DD4A8D" w:rsidRDefault="00DD4A8D" w:rsidP="00DD4A8D"/>
    <w:p w14:paraId="1F9A1EBB" w14:textId="77777777" w:rsidR="00DD4A8D" w:rsidRDefault="00DD4A8D" w:rsidP="00DD4A8D"/>
    <w:p w14:paraId="7699A1CE" w14:textId="77777777" w:rsidR="00DD4A8D" w:rsidRDefault="00DD4A8D" w:rsidP="00DD4A8D"/>
    <w:p w14:paraId="7EE14CAD" w14:textId="77777777" w:rsidR="00DD4A8D" w:rsidRDefault="00DD4A8D" w:rsidP="00DD4A8D"/>
    <w:p w14:paraId="244777F8" w14:textId="77777777" w:rsidR="00DD4A8D" w:rsidRDefault="00DD4A8D" w:rsidP="00DD4A8D"/>
    <w:p w14:paraId="64D226F4" w14:textId="77777777" w:rsidR="00DD4A8D" w:rsidRDefault="00DD4A8D" w:rsidP="00DD4A8D"/>
    <w:p w14:paraId="6D2D51E1" w14:textId="77777777" w:rsidR="00DD4A8D" w:rsidRDefault="00DD4A8D" w:rsidP="00DD4A8D"/>
    <w:p w14:paraId="7EAB0C83" w14:textId="77777777" w:rsidR="00DD4A8D" w:rsidRDefault="00DD4A8D" w:rsidP="00DD4A8D"/>
    <w:p w14:paraId="030BED76" w14:textId="77777777" w:rsidR="00DD4A8D" w:rsidRDefault="00DD4A8D" w:rsidP="00DD4A8D"/>
    <w:p w14:paraId="7BA182AF" w14:textId="77777777" w:rsidR="00DD4A8D" w:rsidRDefault="00DD4A8D" w:rsidP="00DD4A8D"/>
    <w:p w14:paraId="7E1F63F7" w14:textId="77777777" w:rsidR="00DD4A8D" w:rsidRDefault="00DD4A8D" w:rsidP="00DD4A8D"/>
    <w:p w14:paraId="0B70024D" w14:textId="77777777" w:rsidR="00DD4A8D" w:rsidRPr="00CE71B1" w:rsidRDefault="00DD4A8D" w:rsidP="00E47796">
      <w:pPr>
        <w:tabs>
          <w:tab w:val="left" w:pos="1059"/>
        </w:tabs>
        <w:rPr>
          <w:sz w:val="22"/>
          <w:szCs w:val="22"/>
        </w:rPr>
      </w:pPr>
    </w:p>
    <w:sectPr w:rsidR="00DD4A8D" w:rsidRPr="00CE71B1" w:rsidSect="00E44DF1">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66492F" w14:textId="77777777" w:rsidR="004D58E1" w:rsidRDefault="004D58E1" w:rsidP="00D52C40">
      <w:pPr>
        <w:spacing w:after="0" w:line="240" w:lineRule="auto"/>
      </w:pPr>
      <w:r>
        <w:separator/>
      </w:r>
    </w:p>
  </w:endnote>
  <w:endnote w:type="continuationSeparator" w:id="0">
    <w:p w14:paraId="38C1C961" w14:textId="77777777" w:rsidR="004D58E1" w:rsidRDefault="004D58E1" w:rsidP="00D52C40">
      <w:pPr>
        <w:spacing w:after="0" w:line="240" w:lineRule="auto"/>
      </w:pPr>
      <w:r>
        <w:continuationSeparator/>
      </w:r>
    </w:p>
  </w:endnote>
  <w:endnote w:type="continuationNotice" w:id="1">
    <w:p w14:paraId="1AB6F62B" w14:textId="77777777" w:rsidR="004D58E1" w:rsidRDefault="004D58E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8535484"/>
      <w:docPartObj>
        <w:docPartGallery w:val="Page Numbers (Bottom of Page)"/>
        <w:docPartUnique/>
      </w:docPartObj>
    </w:sdtPr>
    <w:sdtEndPr>
      <w:rPr>
        <w:noProof/>
      </w:rPr>
    </w:sdtEndPr>
    <w:sdtContent>
      <w:p w14:paraId="7C92006A" w14:textId="4F120FAA" w:rsidR="00370E29" w:rsidRDefault="00370E29">
        <w:pPr>
          <w:pStyle w:val="Footer"/>
        </w:pPr>
        <w:r>
          <w:fldChar w:fldCharType="begin"/>
        </w:r>
        <w:r>
          <w:instrText xml:space="preserve"> PAGE   \* MERGEFORMAT </w:instrText>
        </w:r>
        <w:r>
          <w:fldChar w:fldCharType="separate"/>
        </w:r>
        <w:r>
          <w:rPr>
            <w:noProof/>
          </w:rPr>
          <w:t>2</w:t>
        </w:r>
        <w:r>
          <w:rPr>
            <w:noProof/>
          </w:rPr>
          <w:fldChar w:fldCharType="end"/>
        </w:r>
      </w:p>
    </w:sdtContent>
  </w:sdt>
  <w:p w14:paraId="31061050" w14:textId="77777777" w:rsidR="00370E29" w:rsidRDefault="00370E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D8F147" w14:textId="77777777" w:rsidR="004D58E1" w:rsidRDefault="004D58E1" w:rsidP="00D52C40">
      <w:pPr>
        <w:spacing w:after="0" w:line="240" w:lineRule="auto"/>
      </w:pPr>
      <w:r>
        <w:separator/>
      </w:r>
    </w:p>
  </w:footnote>
  <w:footnote w:type="continuationSeparator" w:id="0">
    <w:p w14:paraId="3E9F088D" w14:textId="77777777" w:rsidR="004D58E1" w:rsidRDefault="004D58E1" w:rsidP="00D52C40">
      <w:pPr>
        <w:spacing w:after="0" w:line="240" w:lineRule="auto"/>
      </w:pPr>
      <w:r>
        <w:continuationSeparator/>
      </w:r>
    </w:p>
  </w:footnote>
  <w:footnote w:type="continuationNotice" w:id="1">
    <w:p w14:paraId="0E3AC54E" w14:textId="77777777" w:rsidR="004D58E1" w:rsidRDefault="004D58E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C12C583" w14:textId="77777777" w:rsidR="00A66360" w:rsidRDefault="00A66360">
    <w:pPr>
      <w:pStyle w:val="Header"/>
    </w:pPr>
  </w:p>
  <w:p w14:paraId="523A6B2C" w14:textId="77777777" w:rsidR="00A66360" w:rsidRDefault="00A6636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4179C1"/>
    <w:multiLevelType w:val="multilevel"/>
    <w:tmpl w:val="7124D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E44369"/>
    <w:multiLevelType w:val="multilevel"/>
    <w:tmpl w:val="86BC4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1C116B"/>
    <w:multiLevelType w:val="multilevel"/>
    <w:tmpl w:val="B9BE2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381E1E"/>
    <w:multiLevelType w:val="hybridMultilevel"/>
    <w:tmpl w:val="3258BA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F95ACA"/>
    <w:multiLevelType w:val="multilevel"/>
    <w:tmpl w:val="7B980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7202A4"/>
    <w:multiLevelType w:val="multilevel"/>
    <w:tmpl w:val="07AEDF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2E4B2E"/>
    <w:multiLevelType w:val="multilevel"/>
    <w:tmpl w:val="ADE23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D74047"/>
    <w:multiLevelType w:val="multilevel"/>
    <w:tmpl w:val="4FA00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D92C4E"/>
    <w:multiLevelType w:val="multilevel"/>
    <w:tmpl w:val="DD022A0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7D1724D"/>
    <w:multiLevelType w:val="multilevel"/>
    <w:tmpl w:val="632E738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83B5474"/>
    <w:multiLevelType w:val="multilevel"/>
    <w:tmpl w:val="4EFEBCA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D131AE2"/>
    <w:multiLevelType w:val="multilevel"/>
    <w:tmpl w:val="11A09CB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E5D12AE"/>
    <w:multiLevelType w:val="multilevel"/>
    <w:tmpl w:val="C082F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1451494"/>
    <w:multiLevelType w:val="multilevel"/>
    <w:tmpl w:val="69F0A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28908C4"/>
    <w:multiLevelType w:val="multilevel"/>
    <w:tmpl w:val="F3965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30A7A90"/>
    <w:multiLevelType w:val="multilevel"/>
    <w:tmpl w:val="98A45D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64E4221"/>
    <w:multiLevelType w:val="multilevel"/>
    <w:tmpl w:val="3D80D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7258A5"/>
    <w:multiLevelType w:val="multilevel"/>
    <w:tmpl w:val="EED6409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8B56DA4"/>
    <w:multiLevelType w:val="multilevel"/>
    <w:tmpl w:val="ECF28B9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D600A7C"/>
    <w:multiLevelType w:val="multilevel"/>
    <w:tmpl w:val="C63EEFD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E1758AE"/>
    <w:multiLevelType w:val="hybridMultilevel"/>
    <w:tmpl w:val="DB6436E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EDF6F98"/>
    <w:multiLevelType w:val="multilevel"/>
    <w:tmpl w:val="C444F23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32972F0"/>
    <w:multiLevelType w:val="multilevel"/>
    <w:tmpl w:val="49D85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7172E62"/>
    <w:multiLevelType w:val="multilevel"/>
    <w:tmpl w:val="3B6618B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82D460D"/>
    <w:multiLevelType w:val="multilevel"/>
    <w:tmpl w:val="4028C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C140760"/>
    <w:multiLevelType w:val="multilevel"/>
    <w:tmpl w:val="4140A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E103B00"/>
    <w:multiLevelType w:val="multilevel"/>
    <w:tmpl w:val="7D082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F9204C8"/>
    <w:multiLevelType w:val="multilevel"/>
    <w:tmpl w:val="3C8C20E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32E75F5"/>
    <w:multiLevelType w:val="multilevel"/>
    <w:tmpl w:val="036C9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3B709D6"/>
    <w:multiLevelType w:val="multilevel"/>
    <w:tmpl w:val="F2DA2BF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7694112"/>
    <w:multiLevelType w:val="multilevel"/>
    <w:tmpl w:val="4568F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86330B6"/>
    <w:multiLevelType w:val="multilevel"/>
    <w:tmpl w:val="F148060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0535528"/>
    <w:multiLevelType w:val="multilevel"/>
    <w:tmpl w:val="42808576"/>
    <w:lvl w:ilvl="0">
      <w:start w:val="1"/>
      <w:numFmt w:val="decimal"/>
      <w:lvlText w:val="%1."/>
      <w:lvlJc w:val="left"/>
      <w:pPr>
        <w:tabs>
          <w:tab w:val="num" w:pos="644"/>
        </w:tabs>
        <w:ind w:left="644" w:hanging="360"/>
      </w:pPr>
    </w:lvl>
    <w:lvl w:ilvl="1" w:tentative="1">
      <w:start w:val="1"/>
      <w:numFmt w:val="decimal"/>
      <w:lvlText w:val="%2."/>
      <w:lvlJc w:val="left"/>
      <w:pPr>
        <w:tabs>
          <w:tab w:val="num" w:pos="1364"/>
        </w:tabs>
        <w:ind w:left="1364" w:hanging="360"/>
      </w:pPr>
    </w:lvl>
    <w:lvl w:ilvl="2" w:tentative="1">
      <w:start w:val="1"/>
      <w:numFmt w:val="decimal"/>
      <w:lvlText w:val="%3."/>
      <w:lvlJc w:val="left"/>
      <w:pPr>
        <w:tabs>
          <w:tab w:val="num" w:pos="2084"/>
        </w:tabs>
        <w:ind w:left="2084" w:hanging="360"/>
      </w:pPr>
    </w:lvl>
    <w:lvl w:ilvl="3" w:tentative="1">
      <w:start w:val="1"/>
      <w:numFmt w:val="decimal"/>
      <w:lvlText w:val="%4."/>
      <w:lvlJc w:val="left"/>
      <w:pPr>
        <w:tabs>
          <w:tab w:val="num" w:pos="2804"/>
        </w:tabs>
        <w:ind w:left="2804" w:hanging="360"/>
      </w:pPr>
    </w:lvl>
    <w:lvl w:ilvl="4" w:tentative="1">
      <w:start w:val="1"/>
      <w:numFmt w:val="decimal"/>
      <w:lvlText w:val="%5."/>
      <w:lvlJc w:val="left"/>
      <w:pPr>
        <w:tabs>
          <w:tab w:val="num" w:pos="3524"/>
        </w:tabs>
        <w:ind w:left="3524" w:hanging="360"/>
      </w:pPr>
    </w:lvl>
    <w:lvl w:ilvl="5" w:tentative="1">
      <w:start w:val="1"/>
      <w:numFmt w:val="decimal"/>
      <w:lvlText w:val="%6."/>
      <w:lvlJc w:val="left"/>
      <w:pPr>
        <w:tabs>
          <w:tab w:val="num" w:pos="4244"/>
        </w:tabs>
        <w:ind w:left="4244" w:hanging="360"/>
      </w:pPr>
    </w:lvl>
    <w:lvl w:ilvl="6" w:tentative="1">
      <w:start w:val="1"/>
      <w:numFmt w:val="decimal"/>
      <w:lvlText w:val="%7."/>
      <w:lvlJc w:val="left"/>
      <w:pPr>
        <w:tabs>
          <w:tab w:val="num" w:pos="4964"/>
        </w:tabs>
        <w:ind w:left="4964" w:hanging="360"/>
      </w:pPr>
    </w:lvl>
    <w:lvl w:ilvl="7" w:tentative="1">
      <w:start w:val="1"/>
      <w:numFmt w:val="decimal"/>
      <w:lvlText w:val="%8."/>
      <w:lvlJc w:val="left"/>
      <w:pPr>
        <w:tabs>
          <w:tab w:val="num" w:pos="5684"/>
        </w:tabs>
        <w:ind w:left="5684" w:hanging="360"/>
      </w:pPr>
    </w:lvl>
    <w:lvl w:ilvl="8" w:tentative="1">
      <w:start w:val="1"/>
      <w:numFmt w:val="decimal"/>
      <w:lvlText w:val="%9."/>
      <w:lvlJc w:val="left"/>
      <w:pPr>
        <w:tabs>
          <w:tab w:val="num" w:pos="6404"/>
        </w:tabs>
        <w:ind w:left="6404" w:hanging="360"/>
      </w:pPr>
    </w:lvl>
  </w:abstractNum>
  <w:abstractNum w:abstractNumId="33" w15:restartNumberingAfterBreak="0">
    <w:nsid w:val="536B67B6"/>
    <w:multiLevelType w:val="multilevel"/>
    <w:tmpl w:val="0DF0338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51B239F"/>
    <w:multiLevelType w:val="multilevel"/>
    <w:tmpl w:val="A2DC71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573A1803"/>
    <w:multiLevelType w:val="multilevel"/>
    <w:tmpl w:val="E012D2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3A03A02"/>
    <w:multiLevelType w:val="multilevel"/>
    <w:tmpl w:val="3BFEDC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4014466"/>
    <w:multiLevelType w:val="multilevel"/>
    <w:tmpl w:val="5D0612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4097F45"/>
    <w:multiLevelType w:val="multilevel"/>
    <w:tmpl w:val="A148E5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6686A7E"/>
    <w:multiLevelType w:val="multilevel"/>
    <w:tmpl w:val="5ACE1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AEF1A38"/>
    <w:multiLevelType w:val="multilevel"/>
    <w:tmpl w:val="2B943AA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02163AD"/>
    <w:multiLevelType w:val="hybridMultilevel"/>
    <w:tmpl w:val="5BA2AD22"/>
    <w:lvl w:ilvl="0" w:tplc="0809000D">
      <w:start w:val="1"/>
      <w:numFmt w:val="bullet"/>
      <w:lvlText w:val=""/>
      <w:lvlJc w:val="left"/>
      <w:pPr>
        <w:ind w:left="1456" w:hanging="360"/>
      </w:pPr>
      <w:rPr>
        <w:rFonts w:ascii="Wingdings" w:hAnsi="Wingdings" w:hint="default"/>
      </w:rPr>
    </w:lvl>
    <w:lvl w:ilvl="1" w:tplc="08090003" w:tentative="1">
      <w:start w:val="1"/>
      <w:numFmt w:val="bullet"/>
      <w:lvlText w:val="o"/>
      <w:lvlJc w:val="left"/>
      <w:pPr>
        <w:ind w:left="2176" w:hanging="360"/>
      </w:pPr>
      <w:rPr>
        <w:rFonts w:ascii="Courier New" w:hAnsi="Courier New" w:cs="Courier New" w:hint="default"/>
      </w:rPr>
    </w:lvl>
    <w:lvl w:ilvl="2" w:tplc="08090005" w:tentative="1">
      <w:start w:val="1"/>
      <w:numFmt w:val="bullet"/>
      <w:lvlText w:val=""/>
      <w:lvlJc w:val="left"/>
      <w:pPr>
        <w:ind w:left="2896" w:hanging="360"/>
      </w:pPr>
      <w:rPr>
        <w:rFonts w:ascii="Wingdings" w:hAnsi="Wingdings" w:hint="default"/>
      </w:rPr>
    </w:lvl>
    <w:lvl w:ilvl="3" w:tplc="08090001" w:tentative="1">
      <w:start w:val="1"/>
      <w:numFmt w:val="bullet"/>
      <w:lvlText w:val=""/>
      <w:lvlJc w:val="left"/>
      <w:pPr>
        <w:ind w:left="3616" w:hanging="360"/>
      </w:pPr>
      <w:rPr>
        <w:rFonts w:ascii="Symbol" w:hAnsi="Symbol" w:hint="default"/>
      </w:rPr>
    </w:lvl>
    <w:lvl w:ilvl="4" w:tplc="08090003" w:tentative="1">
      <w:start w:val="1"/>
      <w:numFmt w:val="bullet"/>
      <w:lvlText w:val="o"/>
      <w:lvlJc w:val="left"/>
      <w:pPr>
        <w:ind w:left="4336" w:hanging="360"/>
      </w:pPr>
      <w:rPr>
        <w:rFonts w:ascii="Courier New" w:hAnsi="Courier New" w:cs="Courier New" w:hint="default"/>
      </w:rPr>
    </w:lvl>
    <w:lvl w:ilvl="5" w:tplc="08090005" w:tentative="1">
      <w:start w:val="1"/>
      <w:numFmt w:val="bullet"/>
      <w:lvlText w:val=""/>
      <w:lvlJc w:val="left"/>
      <w:pPr>
        <w:ind w:left="5056" w:hanging="360"/>
      </w:pPr>
      <w:rPr>
        <w:rFonts w:ascii="Wingdings" w:hAnsi="Wingdings" w:hint="default"/>
      </w:rPr>
    </w:lvl>
    <w:lvl w:ilvl="6" w:tplc="08090001" w:tentative="1">
      <w:start w:val="1"/>
      <w:numFmt w:val="bullet"/>
      <w:lvlText w:val=""/>
      <w:lvlJc w:val="left"/>
      <w:pPr>
        <w:ind w:left="5776" w:hanging="360"/>
      </w:pPr>
      <w:rPr>
        <w:rFonts w:ascii="Symbol" w:hAnsi="Symbol" w:hint="default"/>
      </w:rPr>
    </w:lvl>
    <w:lvl w:ilvl="7" w:tplc="08090003" w:tentative="1">
      <w:start w:val="1"/>
      <w:numFmt w:val="bullet"/>
      <w:lvlText w:val="o"/>
      <w:lvlJc w:val="left"/>
      <w:pPr>
        <w:ind w:left="6496" w:hanging="360"/>
      </w:pPr>
      <w:rPr>
        <w:rFonts w:ascii="Courier New" w:hAnsi="Courier New" w:cs="Courier New" w:hint="default"/>
      </w:rPr>
    </w:lvl>
    <w:lvl w:ilvl="8" w:tplc="08090005" w:tentative="1">
      <w:start w:val="1"/>
      <w:numFmt w:val="bullet"/>
      <w:lvlText w:val=""/>
      <w:lvlJc w:val="left"/>
      <w:pPr>
        <w:ind w:left="7216" w:hanging="360"/>
      </w:pPr>
      <w:rPr>
        <w:rFonts w:ascii="Wingdings" w:hAnsi="Wingdings" w:hint="default"/>
      </w:rPr>
    </w:lvl>
  </w:abstractNum>
  <w:abstractNum w:abstractNumId="42" w15:restartNumberingAfterBreak="0">
    <w:nsid w:val="70AF33F2"/>
    <w:multiLevelType w:val="multilevel"/>
    <w:tmpl w:val="00901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5A053DE"/>
    <w:multiLevelType w:val="multilevel"/>
    <w:tmpl w:val="6596C0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6FB5EB9"/>
    <w:multiLevelType w:val="multilevel"/>
    <w:tmpl w:val="620E2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FDA2D39"/>
    <w:multiLevelType w:val="multilevel"/>
    <w:tmpl w:val="4190A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3413646">
    <w:abstractNumId w:val="3"/>
  </w:num>
  <w:num w:numId="2" w16cid:durableId="711807038">
    <w:abstractNumId w:val="20"/>
  </w:num>
  <w:num w:numId="3" w16cid:durableId="603727827">
    <w:abstractNumId w:val="44"/>
  </w:num>
  <w:num w:numId="4" w16cid:durableId="1711341615">
    <w:abstractNumId w:val="45"/>
  </w:num>
  <w:num w:numId="5" w16cid:durableId="159276849">
    <w:abstractNumId w:val="26"/>
  </w:num>
  <w:num w:numId="6" w16cid:durableId="986318137">
    <w:abstractNumId w:val="12"/>
  </w:num>
  <w:num w:numId="7" w16cid:durableId="2001159085">
    <w:abstractNumId w:val="0"/>
  </w:num>
  <w:num w:numId="8" w16cid:durableId="1099981791">
    <w:abstractNumId w:val="4"/>
  </w:num>
  <w:num w:numId="9" w16cid:durableId="967007662">
    <w:abstractNumId w:val="24"/>
  </w:num>
  <w:num w:numId="10" w16cid:durableId="248003901">
    <w:abstractNumId w:val="16"/>
  </w:num>
  <w:num w:numId="11" w16cid:durableId="984507100">
    <w:abstractNumId w:val="6"/>
  </w:num>
  <w:num w:numId="12" w16cid:durableId="402412377">
    <w:abstractNumId w:val="39"/>
  </w:num>
  <w:num w:numId="13" w16cid:durableId="288900458">
    <w:abstractNumId w:val="22"/>
  </w:num>
  <w:num w:numId="14" w16cid:durableId="1447039677">
    <w:abstractNumId w:val="30"/>
  </w:num>
  <w:num w:numId="15" w16cid:durableId="486751828">
    <w:abstractNumId w:val="14"/>
  </w:num>
  <w:num w:numId="16" w16cid:durableId="1976641762">
    <w:abstractNumId w:val="34"/>
  </w:num>
  <w:num w:numId="17" w16cid:durableId="1471824409">
    <w:abstractNumId w:val="7"/>
  </w:num>
  <w:num w:numId="18" w16cid:durableId="1707945747">
    <w:abstractNumId w:val="21"/>
  </w:num>
  <w:num w:numId="19" w16cid:durableId="304820208">
    <w:abstractNumId w:val="17"/>
  </w:num>
  <w:num w:numId="20" w16cid:durableId="1501194111">
    <w:abstractNumId w:val="29"/>
  </w:num>
  <w:num w:numId="21" w16cid:durableId="1719551692">
    <w:abstractNumId w:val="23"/>
  </w:num>
  <w:num w:numId="22" w16cid:durableId="396053266">
    <w:abstractNumId w:val="33"/>
  </w:num>
  <w:num w:numId="23" w16cid:durableId="2041667210">
    <w:abstractNumId w:val="18"/>
  </w:num>
  <w:num w:numId="24" w16cid:durableId="1167162652">
    <w:abstractNumId w:val="11"/>
  </w:num>
  <w:num w:numId="25" w16cid:durableId="862136470">
    <w:abstractNumId w:val="37"/>
  </w:num>
  <w:num w:numId="26" w16cid:durableId="553583951">
    <w:abstractNumId w:val="13"/>
  </w:num>
  <w:num w:numId="27" w16cid:durableId="763380051">
    <w:abstractNumId w:val="2"/>
  </w:num>
  <w:num w:numId="28" w16cid:durableId="717246639">
    <w:abstractNumId w:val="28"/>
  </w:num>
  <w:num w:numId="29" w16cid:durableId="1807967096">
    <w:abstractNumId w:val="10"/>
  </w:num>
  <w:num w:numId="30" w16cid:durableId="1564870877">
    <w:abstractNumId w:val="31"/>
  </w:num>
  <w:num w:numId="31" w16cid:durableId="662588931">
    <w:abstractNumId w:val="27"/>
  </w:num>
  <w:num w:numId="32" w16cid:durableId="1098065100">
    <w:abstractNumId w:val="19"/>
  </w:num>
  <w:num w:numId="33" w16cid:durableId="1205632325">
    <w:abstractNumId w:val="40"/>
  </w:num>
  <w:num w:numId="34" w16cid:durableId="1057707627">
    <w:abstractNumId w:val="8"/>
  </w:num>
  <w:num w:numId="35" w16cid:durableId="740982657">
    <w:abstractNumId w:val="9"/>
  </w:num>
  <w:num w:numId="36" w16cid:durableId="1248147423">
    <w:abstractNumId w:val="32"/>
  </w:num>
  <w:num w:numId="37" w16cid:durableId="1020819298">
    <w:abstractNumId w:val="35"/>
  </w:num>
  <w:num w:numId="38" w16cid:durableId="1732654686">
    <w:abstractNumId w:val="43"/>
  </w:num>
  <w:num w:numId="39" w16cid:durableId="237832337">
    <w:abstractNumId w:val="25"/>
  </w:num>
  <w:num w:numId="40" w16cid:durableId="1173960123">
    <w:abstractNumId w:val="36"/>
  </w:num>
  <w:num w:numId="41" w16cid:durableId="1798990774">
    <w:abstractNumId w:val="42"/>
  </w:num>
  <w:num w:numId="42" w16cid:durableId="725221705">
    <w:abstractNumId w:val="38"/>
  </w:num>
  <w:num w:numId="43" w16cid:durableId="732655513">
    <w:abstractNumId w:val="5"/>
  </w:num>
  <w:num w:numId="44" w16cid:durableId="1791195247">
    <w:abstractNumId w:val="15"/>
  </w:num>
  <w:num w:numId="45" w16cid:durableId="1979993931">
    <w:abstractNumId w:val="1"/>
  </w:num>
  <w:num w:numId="46" w16cid:durableId="100493735">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7"/>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D0F"/>
    <w:rsid w:val="00002DFE"/>
    <w:rsid w:val="000052DA"/>
    <w:rsid w:val="000052F5"/>
    <w:rsid w:val="000115B7"/>
    <w:rsid w:val="000127BA"/>
    <w:rsid w:val="000142CA"/>
    <w:rsid w:val="00020749"/>
    <w:rsid w:val="00025D6E"/>
    <w:rsid w:val="0002686B"/>
    <w:rsid w:val="00026919"/>
    <w:rsid w:val="00027B7A"/>
    <w:rsid w:val="0003232A"/>
    <w:rsid w:val="000325B5"/>
    <w:rsid w:val="000335AE"/>
    <w:rsid w:val="0003364E"/>
    <w:rsid w:val="00035995"/>
    <w:rsid w:val="00037695"/>
    <w:rsid w:val="000407F4"/>
    <w:rsid w:val="00040A12"/>
    <w:rsid w:val="00040C9B"/>
    <w:rsid w:val="000413E0"/>
    <w:rsid w:val="00050471"/>
    <w:rsid w:val="00052F8D"/>
    <w:rsid w:val="00053962"/>
    <w:rsid w:val="000545EE"/>
    <w:rsid w:val="000567D6"/>
    <w:rsid w:val="000576BD"/>
    <w:rsid w:val="00060F02"/>
    <w:rsid w:val="00061144"/>
    <w:rsid w:val="00062251"/>
    <w:rsid w:val="00062E99"/>
    <w:rsid w:val="0006561D"/>
    <w:rsid w:val="0006667A"/>
    <w:rsid w:val="0007045F"/>
    <w:rsid w:val="00070B80"/>
    <w:rsid w:val="000769AB"/>
    <w:rsid w:val="0008071A"/>
    <w:rsid w:val="0008459C"/>
    <w:rsid w:val="00087732"/>
    <w:rsid w:val="000936E2"/>
    <w:rsid w:val="00094736"/>
    <w:rsid w:val="00095970"/>
    <w:rsid w:val="000A1D8B"/>
    <w:rsid w:val="000A29F3"/>
    <w:rsid w:val="000A2C84"/>
    <w:rsid w:val="000A30DE"/>
    <w:rsid w:val="000A42D2"/>
    <w:rsid w:val="000A4D05"/>
    <w:rsid w:val="000B0492"/>
    <w:rsid w:val="000B163F"/>
    <w:rsid w:val="000B38DE"/>
    <w:rsid w:val="000B4C34"/>
    <w:rsid w:val="000B5842"/>
    <w:rsid w:val="000C3FD5"/>
    <w:rsid w:val="000C7809"/>
    <w:rsid w:val="000D4ABB"/>
    <w:rsid w:val="000E127B"/>
    <w:rsid w:val="000E5117"/>
    <w:rsid w:val="000F2A3A"/>
    <w:rsid w:val="000F2C86"/>
    <w:rsid w:val="000F5E20"/>
    <w:rsid w:val="00101B43"/>
    <w:rsid w:val="00105807"/>
    <w:rsid w:val="001059FE"/>
    <w:rsid w:val="001111D7"/>
    <w:rsid w:val="00113D11"/>
    <w:rsid w:val="00114152"/>
    <w:rsid w:val="00114F34"/>
    <w:rsid w:val="001211B8"/>
    <w:rsid w:val="001248AA"/>
    <w:rsid w:val="00127529"/>
    <w:rsid w:val="00130CDD"/>
    <w:rsid w:val="001334FA"/>
    <w:rsid w:val="0013450E"/>
    <w:rsid w:val="00135A70"/>
    <w:rsid w:val="00137E10"/>
    <w:rsid w:val="001427DC"/>
    <w:rsid w:val="00146B77"/>
    <w:rsid w:val="00153A9E"/>
    <w:rsid w:val="00154967"/>
    <w:rsid w:val="00160514"/>
    <w:rsid w:val="00165F46"/>
    <w:rsid w:val="0017329B"/>
    <w:rsid w:val="00174751"/>
    <w:rsid w:val="0017583E"/>
    <w:rsid w:val="00176771"/>
    <w:rsid w:val="00176F28"/>
    <w:rsid w:val="001801CF"/>
    <w:rsid w:val="0018173E"/>
    <w:rsid w:val="0018281E"/>
    <w:rsid w:val="00184C90"/>
    <w:rsid w:val="001856A7"/>
    <w:rsid w:val="00196A47"/>
    <w:rsid w:val="001A5981"/>
    <w:rsid w:val="001B02E7"/>
    <w:rsid w:val="001B15D7"/>
    <w:rsid w:val="001B44C5"/>
    <w:rsid w:val="001B63E9"/>
    <w:rsid w:val="001B7D0F"/>
    <w:rsid w:val="001B7D24"/>
    <w:rsid w:val="001C048A"/>
    <w:rsid w:val="001C2F6C"/>
    <w:rsid w:val="001C4F41"/>
    <w:rsid w:val="001C5C3E"/>
    <w:rsid w:val="001C5EE9"/>
    <w:rsid w:val="001C6705"/>
    <w:rsid w:val="001C690F"/>
    <w:rsid w:val="001C6AB7"/>
    <w:rsid w:val="001D26C6"/>
    <w:rsid w:val="001D2D16"/>
    <w:rsid w:val="001D3BE1"/>
    <w:rsid w:val="001D76BC"/>
    <w:rsid w:val="001E0E62"/>
    <w:rsid w:val="001E2F4E"/>
    <w:rsid w:val="001E4086"/>
    <w:rsid w:val="001E4D6C"/>
    <w:rsid w:val="001F5058"/>
    <w:rsid w:val="001F5F38"/>
    <w:rsid w:val="001F71AF"/>
    <w:rsid w:val="00201148"/>
    <w:rsid w:val="00201827"/>
    <w:rsid w:val="00205CBE"/>
    <w:rsid w:val="00211D38"/>
    <w:rsid w:val="00213500"/>
    <w:rsid w:val="0022298C"/>
    <w:rsid w:val="00225ECC"/>
    <w:rsid w:val="00227028"/>
    <w:rsid w:val="0023119D"/>
    <w:rsid w:val="00231B2A"/>
    <w:rsid w:val="00232AB5"/>
    <w:rsid w:val="00235625"/>
    <w:rsid w:val="00236EEB"/>
    <w:rsid w:val="0024144A"/>
    <w:rsid w:val="00243AE3"/>
    <w:rsid w:val="00246C71"/>
    <w:rsid w:val="002520B6"/>
    <w:rsid w:val="00260169"/>
    <w:rsid w:val="00261A52"/>
    <w:rsid w:val="00261C52"/>
    <w:rsid w:val="00262C7C"/>
    <w:rsid w:val="002639F4"/>
    <w:rsid w:val="00266FD2"/>
    <w:rsid w:val="00271716"/>
    <w:rsid w:val="0027247E"/>
    <w:rsid w:val="00273BD0"/>
    <w:rsid w:val="00274BF9"/>
    <w:rsid w:val="00280F4F"/>
    <w:rsid w:val="00284414"/>
    <w:rsid w:val="00285487"/>
    <w:rsid w:val="002871CE"/>
    <w:rsid w:val="00290364"/>
    <w:rsid w:val="00290DE3"/>
    <w:rsid w:val="00292402"/>
    <w:rsid w:val="002932FE"/>
    <w:rsid w:val="002962F0"/>
    <w:rsid w:val="002A095B"/>
    <w:rsid w:val="002A0DFD"/>
    <w:rsid w:val="002A476E"/>
    <w:rsid w:val="002A5D93"/>
    <w:rsid w:val="002B6CB6"/>
    <w:rsid w:val="002B7437"/>
    <w:rsid w:val="002C2D88"/>
    <w:rsid w:val="002C2F08"/>
    <w:rsid w:val="002C3AE5"/>
    <w:rsid w:val="002C3D06"/>
    <w:rsid w:val="002C41AA"/>
    <w:rsid w:val="002C4783"/>
    <w:rsid w:val="002D061C"/>
    <w:rsid w:val="002D09DE"/>
    <w:rsid w:val="002D0E5E"/>
    <w:rsid w:val="002D0F80"/>
    <w:rsid w:val="002D702B"/>
    <w:rsid w:val="002E2913"/>
    <w:rsid w:val="002E7AB6"/>
    <w:rsid w:val="002F225B"/>
    <w:rsid w:val="002F2A75"/>
    <w:rsid w:val="002F5930"/>
    <w:rsid w:val="002F7933"/>
    <w:rsid w:val="00302F3F"/>
    <w:rsid w:val="00306CC0"/>
    <w:rsid w:val="003110A8"/>
    <w:rsid w:val="00314BAF"/>
    <w:rsid w:val="00317F53"/>
    <w:rsid w:val="0032118E"/>
    <w:rsid w:val="00323707"/>
    <w:rsid w:val="00331C21"/>
    <w:rsid w:val="00333A63"/>
    <w:rsid w:val="00337512"/>
    <w:rsid w:val="00337A61"/>
    <w:rsid w:val="00342436"/>
    <w:rsid w:val="003463CC"/>
    <w:rsid w:val="00347E6A"/>
    <w:rsid w:val="003503B6"/>
    <w:rsid w:val="00350AA9"/>
    <w:rsid w:val="003570F6"/>
    <w:rsid w:val="00360DF7"/>
    <w:rsid w:val="003611D7"/>
    <w:rsid w:val="003619E1"/>
    <w:rsid w:val="00363C87"/>
    <w:rsid w:val="00364680"/>
    <w:rsid w:val="00364813"/>
    <w:rsid w:val="00364A9D"/>
    <w:rsid w:val="00364D02"/>
    <w:rsid w:val="00364FBD"/>
    <w:rsid w:val="00370E29"/>
    <w:rsid w:val="0037614D"/>
    <w:rsid w:val="00382B4A"/>
    <w:rsid w:val="003851C5"/>
    <w:rsid w:val="003870E5"/>
    <w:rsid w:val="00392DDB"/>
    <w:rsid w:val="00395DA6"/>
    <w:rsid w:val="00397F52"/>
    <w:rsid w:val="003A36F9"/>
    <w:rsid w:val="003B0CDC"/>
    <w:rsid w:val="003B0E49"/>
    <w:rsid w:val="003B15B8"/>
    <w:rsid w:val="003B1BFC"/>
    <w:rsid w:val="003C281A"/>
    <w:rsid w:val="003C6C02"/>
    <w:rsid w:val="003E5B95"/>
    <w:rsid w:val="003E69DB"/>
    <w:rsid w:val="003E7D78"/>
    <w:rsid w:val="003F208C"/>
    <w:rsid w:val="003F2183"/>
    <w:rsid w:val="003F2B06"/>
    <w:rsid w:val="003F4D2E"/>
    <w:rsid w:val="003F6FA8"/>
    <w:rsid w:val="003F71E0"/>
    <w:rsid w:val="004017C9"/>
    <w:rsid w:val="00401E26"/>
    <w:rsid w:val="00401F12"/>
    <w:rsid w:val="004020EC"/>
    <w:rsid w:val="0040291E"/>
    <w:rsid w:val="00402C1D"/>
    <w:rsid w:val="00403EFE"/>
    <w:rsid w:val="00405FD7"/>
    <w:rsid w:val="00411159"/>
    <w:rsid w:val="004117D6"/>
    <w:rsid w:val="00413991"/>
    <w:rsid w:val="00414F9A"/>
    <w:rsid w:val="004168FE"/>
    <w:rsid w:val="0041767F"/>
    <w:rsid w:val="00417D37"/>
    <w:rsid w:val="004205F8"/>
    <w:rsid w:val="00421A42"/>
    <w:rsid w:val="0043693C"/>
    <w:rsid w:val="00441D85"/>
    <w:rsid w:val="00444606"/>
    <w:rsid w:val="004476A4"/>
    <w:rsid w:val="00460D04"/>
    <w:rsid w:val="0046109C"/>
    <w:rsid w:val="00462997"/>
    <w:rsid w:val="0046383B"/>
    <w:rsid w:val="00463F2B"/>
    <w:rsid w:val="004650BE"/>
    <w:rsid w:val="0046510E"/>
    <w:rsid w:val="004654DF"/>
    <w:rsid w:val="004673CE"/>
    <w:rsid w:val="00472877"/>
    <w:rsid w:val="00473448"/>
    <w:rsid w:val="0047420A"/>
    <w:rsid w:val="0047598C"/>
    <w:rsid w:val="00476CD9"/>
    <w:rsid w:val="00482426"/>
    <w:rsid w:val="004824F5"/>
    <w:rsid w:val="00482DB6"/>
    <w:rsid w:val="00485AAD"/>
    <w:rsid w:val="0048710C"/>
    <w:rsid w:val="00487DE1"/>
    <w:rsid w:val="00491187"/>
    <w:rsid w:val="00492A49"/>
    <w:rsid w:val="00493B9E"/>
    <w:rsid w:val="0049695D"/>
    <w:rsid w:val="004A18B6"/>
    <w:rsid w:val="004A2359"/>
    <w:rsid w:val="004A4FB5"/>
    <w:rsid w:val="004B2683"/>
    <w:rsid w:val="004B2956"/>
    <w:rsid w:val="004B2E7A"/>
    <w:rsid w:val="004C4860"/>
    <w:rsid w:val="004C4E8C"/>
    <w:rsid w:val="004C5CC4"/>
    <w:rsid w:val="004C7A6A"/>
    <w:rsid w:val="004D0B99"/>
    <w:rsid w:val="004D1108"/>
    <w:rsid w:val="004D432B"/>
    <w:rsid w:val="004D58E1"/>
    <w:rsid w:val="004E0BE0"/>
    <w:rsid w:val="004E1ECD"/>
    <w:rsid w:val="004E323F"/>
    <w:rsid w:val="004E63CF"/>
    <w:rsid w:val="004E6D6B"/>
    <w:rsid w:val="004F1281"/>
    <w:rsid w:val="004F1F1D"/>
    <w:rsid w:val="004F7507"/>
    <w:rsid w:val="00503C98"/>
    <w:rsid w:val="00512D80"/>
    <w:rsid w:val="005135D9"/>
    <w:rsid w:val="00522B7C"/>
    <w:rsid w:val="00522C59"/>
    <w:rsid w:val="00523620"/>
    <w:rsid w:val="00526C83"/>
    <w:rsid w:val="005310EC"/>
    <w:rsid w:val="005341CD"/>
    <w:rsid w:val="00543390"/>
    <w:rsid w:val="0054340B"/>
    <w:rsid w:val="00543F07"/>
    <w:rsid w:val="00547653"/>
    <w:rsid w:val="00553CB0"/>
    <w:rsid w:val="00555E6E"/>
    <w:rsid w:val="00555F4F"/>
    <w:rsid w:val="00556752"/>
    <w:rsid w:val="00557D72"/>
    <w:rsid w:val="0056180F"/>
    <w:rsid w:val="00562778"/>
    <w:rsid w:val="00562FFB"/>
    <w:rsid w:val="005639B3"/>
    <w:rsid w:val="00563F7B"/>
    <w:rsid w:val="00566D42"/>
    <w:rsid w:val="005675BD"/>
    <w:rsid w:val="00572A22"/>
    <w:rsid w:val="00577234"/>
    <w:rsid w:val="0058036A"/>
    <w:rsid w:val="005819D0"/>
    <w:rsid w:val="00584ADB"/>
    <w:rsid w:val="00586122"/>
    <w:rsid w:val="005870E9"/>
    <w:rsid w:val="005953B1"/>
    <w:rsid w:val="005974AF"/>
    <w:rsid w:val="005A1358"/>
    <w:rsid w:val="005B6EA1"/>
    <w:rsid w:val="005B7110"/>
    <w:rsid w:val="005D4A7D"/>
    <w:rsid w:val="005E1BEC"/>
    <w:rsid w:val="005E4D58"/>
    <w:rsid w:val="005F2336"/>
    <w:rsid w:val="005F28D1"/>
    <w:rsid w:val="005F6020"/>
    <w:rsid w:val="005F69A6"/>
    <w:rsid w:val="005F6CF9"/>
    <w:rsid w:val="006035BB"/>
    <w:rsid w:val="006054ED"/>
    <w:rsid w:val="006074A5"/>
    <w:rsid w:val="0061128D"/>
    <w:rsid w:val="006225B7"/>
    <w:rsid w:val="00622C89"/>
    <w:rsid w:val="00626E19"/>
    <w:rsid w:val="006318B2"/>
    <w:rsid w:val="00632429"/>
    <w:rsid w:val="00634FF9"/>
    <w:rsid w:val="00636F41"/>
    <w:rsid w:val="00637B96"/>
    <w:rsid w:val="006402A2"/>
    <w:rsid w:val="0064539D"/>
    <w:rsid w:val="00650CD1"/>
    <w:rsid w:val="00656439"/>
    <w:rsid w:val="006575D2"/>
    <w:rsid w:val="00661511"/>
    <w:rsid w:val="00661DFF"/>
    <w:rsid w:val="00664DA1"/>
    <w:rsid w:val="006650E0"/>
    <w:rsid w:val="006758B9"/>
    <w:rsid w:val="0067591C"/>
    <w:rsid w:val="00681F08"/>
    <w:rsid w:val="00682544"/>
    <w:rsid w:val="00685C19"/>
    <w:rsid w:val="00686C2B"/>
    <w:rsid w:val="00687BAD"/>
    <w:rsid w:val="006901AF"/>
    <w:rsid w:val="006933BB"/>
    <w:rsid w:val="00695D6B"/>
    <w:rsid w:val="006961BC"/>
    <w:rsid w:val="006A7E9C"/>
    <w:rsid w:val="006B2D91"/>
    <w:rsid w:val="006C5171"/>
    <w:rsid w:val="006C65E7"/>
    <w:rsid w:val="006D1ADD"/>
    <w:rsid w:val="006D29E9"/>
    <w:rsid w:val="006D2EF7"/>
    <w:rsid w:val="006D3790"/>
    <w:rsid w:val="006D389C"/>
    <w:rsid w:val="006D625F"/>
    <w:rsid w:val="006E0146"/>
    <w:rsid w:val="006E37A2"/>
    <w:rsid w:val="006E4FD9"/>
    <w:rsid w:val="006F1CAB"/>
    <w:rsid w:val="006F246D"/>
    <w:rsid w:val="006F67F5"/>
    <w:rsid w:val="007003D8"/>
    <w:rsid w:val="007023D5"/>
    <w:rsid w:val="007042CE"/>
    <w:rsid w:val="00704373"/>
    <w:rsid w:val="007048E7"/>
    <w:rsid w:val="007048FA"/>
    <w:rsid w:val="007077EE"/>
    <w:rsid w:val="00710941"/>
    <w:rsid w:val="00710CD0"/>
    <w:rsid w:val="0071359F"/>
    <w:rsid w:val="00717648"/>
    <w:rsid w:val="007205A3"/>
    <w:rsid w:val="00720D05"/>
    <w:rsid w:val="00723803"/>
    <w:rsid w:val="007240D8"/>
    <w:rsid w:val="00724E66"/>
    <w:rsid w:val="00732F61"/>
    <w:rsid w:val="0074064C"/>
    <w:rsid w:val="00740D57"/>
    <w:rsid w:val="0074115A"/>
    <w:rsid w:val="00742D04"/>
    <w:rsid w:val="00747E5E"/>
    <w:rsid w:val="007534B9"/>
    <w:rsid w:val="00757BB1"/>
    <w:rsid w:val="0076072E"/>
    <w:rsid w:val="00762EBE"/>
    <w:rsid w:val="007647B7"/>
    <w:rsid w:val="0076550E"/>
    <w:rsid w:val="00774A71"/>
    <w:rsid w:val="00774B45"/>
    <w:rsid w:val="007763C0"/>
    <w:rsid w:val="0077688D"/>
    <w:rsid w:val="00780153"/>
    <w:rsid w:val="00780F0A"/>
    <w:rsid w:val="0078198F"/>
    <w:rsid w:val="00783E7D"/>
    <w:rsid w:val="007A4FB8"/>
    <w:rsid w:val="007B13CD"/>
    <w:rsid w:val="007B1511"/>
    <w:rsid w:val="007B2EC2"/>
    <w:rsid w:val="007B410D"/>
    <w:rsid w:val="007B4BF3"/>
    <w:rsid w:val="007B78AE"/>
    <w:rsid w:val="007C061D"/>
    <w:rsid w:val="007C0A37"/>
    <w:rsid w:val="007C2358"/>
    <w:rsid w:val="007C2EFF"/>
    <w:rsid w:val="007C5B79"/>
    <w:rsid w:val="007C63C6"/>
    <w:rsid w:val="007C7945"/>
    <w:rsid w:val="007D0424"/>
    <w:rsid w:val="007D6381"/>
    <w:rsid w:val="007E7EFC"/>
    <w:rsid w:val="007E7FFA"/>
    <w:rsid w:val="007F042B"/>
    <w:rsid w:val="007F0D23"/>
    <w:rsid w:val="007F1909"/>
    <w:rsid w:val="007F2163"/>
    <w:rsid w:val="007F29A4"/>
    <w:rsid w:val="007F3663"/>
    <w:rsid w:val="007F5C70"/>
    <w:rsid w:val="008016A5"/>
    <w:rsid w:val="00804168"/>
    <w:rsid w:val="008045E1"/>
    <w:rsid w:val="00810CB4"/>
    <w:rsid w:val="00812828"/>
    <w:rsid w:val="00813199"/>
    <w:rsid w:val="00820B6F"/>
    <w:rsid w:val="00821EC3"/>
    <w:rsid w:val="0082452A"/>
    <w:rsid w:val="00826091"/>
    <w:rsid w:val="00827B9B"/>
    <w:rsid w:val="00831680"/>
    <w:rsid w:val="0083500F"/>
    <w:rsid w:val="008356F0"/>
    <w:rsid w:val="008366B1"/>
    <w:rsid w:val="008411AC"/>
    <w:rsid w:val="00841462"/>
    <w:rsid w:val="00841494"/>
    <w:rsid w:val="008433AF"/>
    <w:rsid w:val="008461CB"/>
    <w:rsid w:val="00854332"/>
    <w:rsid w:val="00854454"/>
    <w:rsid w:val="008549AF"/>
    <w:rsid w:val="0085575B"/>
    <w:rsid w:val="0085645F"/>
    <w:rsid w:val="00856D66"/>
    <w:rsid w:val="00860DCB"/>
    <w:rsid w:val="00866307"/>
    <w:rsid w:val="00873558"/>
    <w:rsid w:val="00874355"/>
    <w:rsid w:val="008814CE"/>
    <w:rsid w:val="00887DBF"/>
    <w:rsid w:val="00891B1E"/>
    <w:rsid w:val="00891D22"/>
    <w:rsid w:val="008921DF"/>
    <w:rsid w:val="00896F65"/>
    <w:rsid w:val="00897629"/>
    <w:rsid w:val="008A05A1"/>
    <w:rsid w:val="008A5F7B"/>
    <w:rsid w:val="008B1431"/>
    <w:rsid w:val="008B2883"/>
    <w:rsid w:val="008B45EC"/>
    <w:rsid w:val="008C18C8"/>
    <w:rsid w:val="008C330B"/>
    <w:rsid w:val="008D4AD4"/>
    <w:rsid w:val="008D6C73"/>
    <w:rsid w:val="008D776A"/>
    <w:rsid w:val="008E14AB"/>
    <w:rsid w:val="008E400D"/>
    <w:rsid w:val="008E6465"/>
    <w:rsid w:val="008E7188"/>
    <w:rsid w:val="008F27D9"/>
    <w:rsid w:val="009039B3"/>
    <w:rsid w:val="0090564B"/>
    <w:rsid w:val="00907D21"/>
    <w:rsid w:val="009100CD"/>
    <w:rsid w:val="009161D5"/>
    <w:rsid w:val="00916FCD"/>
    <w:rsid w:val="00921946"/>
    <w:rsid w:val="00922B6D"/>
    <w:rsid w:val="00924F48"/>
    <w:rsid w:val="009320A7"/>
    <w:rsid w:val="00933537"/>
    <w:rsid w:val="009405E2"/>
    <w:rsid w:val="0094675E"/>
    <w:rsid w:val="00951555"/>
    <w:rsid w:val="00953464"/>
    <w:rsid w:val="0095473D"/>
    <w:rsid w:val="00956013"/>
    <w:rsid w:val="00960E52"/>
    <w:rsid w:val="00960EAB"/>
    <w:rsid w:val="00962148"/>
    <w:rsid w:val="00962793"/>
    <w:rsid w:val="009637C4"/>
    <w:rsid w:val="00963892"/>
    <w:rsid w:val="0096408D"/>
    <w:rsid w:val="009678B8"/>
    <w:rsid w:val="00970900"/>
    <w:rsid w:val="0097200D"/>
    <w:rsid w:val="009731D3"/>
    <w:rsid w:val="00977371"/>
    <w:rsid w:val="009866C8"/>
    <w:rsid w:val="00987358"/>
    <w:rsid w:val="00990528"/>
    <w:rsid w:val="00990E4C"/>
    <w:rsid w:val="00992F60"/>
    <w:rsid w:val="00994741"/>
    <w:rsid w:val="00994F28"/>
    <w:rsid w:val="00997202"/>
    <w:rsid w:val="009A09D7"/>
    <w:rsid w:val="009A0BFB"/>
    <w:rsid w:val="009A13B6"/>
    <w:rsid w:val="009A2BAC"/>
    <w:rsid w:val="009A530B"/>
    <w:rsid w:val="009B0196"/>
    <w:rsid w:val="009B06D0"/>
    <w:rsid w:val="009B2543"/>
    <w:rsid w:val="009B32DE"/>
    <w:rsid w:val="009C00AD"/>
    <w:rsid w:val="009C0878"/>
    <w:rsid w:val="009C0AF1"/>
    <w:rsid w:val="009C1768"/>
    <w:rsid w:val="009C18BB"/>
    <w:rsid w:val="009C4D74"/>
    <w:rsid w:val="009C6375"/>
    <w:rsid w:val="009C723D"/>
    <w:rsid w:val="009D12CF"/>
    <w:rsid w:val="009D175F"/>
    <w:rsid w:val="009D38BD"/>
    <w:rsid w:val="009D6BA8"/>
    <w:rsid w:val="009E215B"/>
    <w:rsid w:val="009F1503"/>
    <w:rsid w:val="009F3EDC"/>
    <w:rsid w:val="009F7F4C"/>
    <w:rsid w:val="00A00A97"/>
    <w:rsid w:val="00A01019"/>
    <w:rsid w:val="00A04F85"/>
    <w:rsid w:val="00A107AF"/>
    <w:rsid w:val="00A154B7"/>
    <w:rsid w:val="00A17792"/>
    <w:rsid w:val="00A20183"/>
    <w:rsid w:val="00A22B2E"/>
    <w:rsid w:val="00A242EE"/>
    <w:rsid w:val="00A25892"/>
    <w:rsid w:val="00A2653D"/>
    <w:rsid w:val="00A27367"/>
    <w:rsid w:val="00A27527"/>
    <w:rsid w:val="00A35246"/>
    <w:rsid w:val="00A37546"/>
    <w:rsid w:val="00A400C0"/>
    <w:rsid w:val="00A438C6"/>
    <w:rsid w:val="00A43A78"/>
    <w:rsid w:val="00A447FB"/>
    <w:rsid w:val="00A45901"/>
    <w:rsid w:val="00A4713C"/>
    <w:rsid w:val="00A53DDC"/>
    <w:rsid w:val="00A541E6"/>
    <w:rsid w:val="00A6040B"/>
    <w:rsid w:val="00A66360"/>
    <w:rsid w:val="00A66703"/>
    <w:rsid w:val="00A67BE8"/>
    <w:rsid w:val="00A74084"/>
    <w:rsid w:val="00A776D5"/>
    <w:rsid w:val="00A77FCB"/>
    <w:rsid w:val="00A82CA2"/>
    <w:rsid w:val="00A84F15"/>
    <w:rsid w:val="00A8671D"/>
    <w:rsid w:val="00A87F34"/>
    <w:rsid w:val="00A94553"/>
    <w:rsid w:val="00A95C9F"/>
    <w:rsid w:val="00A977D0"/>
    <w:rsid w:val="00AA186D"/>
    <w:rsid w:val="00AA2062"/>
    <w:rsid w:val="00AA6DF0"/>
    <w:rsid w:val="00AA7637"/>
    <w:rsid w:val="00AB4D7C"/>
    <w:rsid w:val="00AB50DC"/>
    <w:rsid w:val="00AB6303"/>
    <w:rsid w:val="00AC18B5"/>
    <w:rsid w:val="00AC4CD1"/>
    <w:rsid w:val="00AC585F"/>
    <w:rsid w:val="00AC715E"/>
    <w:rsid w:val="00AD670C"/>
    <w:rsid w:val="00AE5016"/>
    <w:rsid w:val="00AE6855"/>
    <w:rsid w:val="00AF71D9"/>
    <w:rsid w:val="00B00C97"/>
    <w:rsid w:val="00B017C8"/>
    <w:rsid w:val="00B02545"/>
    <w:rsid w:val="00B05CED"/>
    <w:rsid w:val="00B06B02"/>
    <w:rsid w:val="00B07DA8"/>
    <w:rsid w:val="00B11046"/>
    <w:rsid w:val="00B11FA0"/>
    <w:rsid w:val="00B15AC6"/>
    <w:rsid w:val="00B15F21"/>
    <w:rsid w:val="00B21FDA"/>
    <w:rsid w:val="00B30C94"/>
    <w:rsid w:val="00B30F08"/>
    <w:rsid w:val="00B30F60"/>
    <w:rsid w:val="00B311CC"/>
    <w:rsid w:val="00B32C1C"/>
    <w:rsid w:val="00B333EC"/>
    <w:rsid w:val="00B34A76"/>
    <w:rsid w:val="00B458E9"/>
    <w:rsid w:val="00B502D1"/>
    <w:rsid w:val="00B511B8"/>
    <w:rsid w:val="00B51E41"/>
    <w:rsid w:val="00B569D9"/>
    <w:rsid w:val="00B6035C"/>
    <w:rsid w:val="00B6079C"/>
    <w:rsid w:val="00B642A3"/>
    <w:rsid w:val="00B73FDC"/>
    <w:rsid w:val="00B7465B"/>
    <w:rsid w:val="00B7626A"/>
    <w:rsid w:val="00B76329"/>
    <w:rsid w:val="00B76403"/>
    <w:rsid w:val="00B767C0"/>
    <w:rsid w:val="00B86078"/>
    <w:rsid w:val="00B86844"/>
    <w:rsid w:val="00B8732D"/>
    <w:rsid w:val="00B877B1"/>
    <w:rsid w:val="00B9664C"/>
    <w:rsid w:val="00B97823"/>
    <w:rsid w:val="00BA2B90"/>
    <w:rsid w:val="00BB10B4"/>
    <w:rsid w:val="00BB15AD"/>
    <w:rsid w:val="00BB1EC0"/>
    <w:rsid w:val="00BB2E86"/>
    <w:rsid w:val="00BC04DE"/>
    <w:rsid w:val="00BC3169"/>
    <w:rsid w:val="00BC351F"/>
    <w:rsid w:val="00BD41C1"/>
    <w:rsid w:val="00BE0097"/>
    <w:rsid w:val="00BF00AE"/>
    <w:rsid w:val="00BF0646"/>
    <w:rsid w:val="00BF29BD"/>
    <w:rsid w:val="00BF4C83"/>
    <w:rsid w:val="00BF6B6E"/>
    <w:rsid w:val="00C0149B"/>
    <w:rsid w:val="00C0369C"/>
    <w:rsid w:val="00C04FB6"/>
    <w:rsid w:val="00C05442"/>
    <w:rsid w:val="00C07E1F"/>
    <w:rsid w:val="00C14D23"/>
    <w:rsid w:val="00C170E7"/>
    <w:rsid w:val="00C204B8"/>
    <w:rsid w:val="00C2126F"/>
    <w:rsid w:val="00C23CD8"/>
    <w:rsid w:val="00C2431A"/>
    <w:rsid w:val="00C27011"/>
    <w:rsid w:val="00C27927"/>
    <w:rsid w:val="00C27D14"/>
    <w:rsid w:val="00C30027"/>
    <w:rsid w:val="00C30826"/>
    <w:rsid w:val="00C368FD"/>
    <w:rsid w:val="00C4432A"/>
    <w:rsid w:val="00C47B0C"/>
    <w:rsid w:val="00C504C9"/>
    <w:rsid w:val="00C50F51"/>
    <w:rsid w:val="00C53AF6"/>
    <w:rsid w:val="00C53FD4"/>
    <w:rsid w:val="00C60571"/>
    <w:rsid w:val="00C640AE"/>
    <w:rsid w:val="00C717BF"/>
    <w:rsid w:val="00C72C1C"/>
    <w:rsid w:val="00C80766"/>
    <w:rsid w:val="00C813B3"/>
    <w:rsid w:val="00C8283E"/>
    <w:rsid w:val="00C83336"/>
    <w:rsid w:val="00C83C32"/>
    <w:rsid w:val="00C86023"/>
    <w:rsid w:val="00C86999"/>
    <w:rsid w:val="00C87DA7"/>
    <w:rsid w:val="00C91E77"/>
    <w:rsid w:val="00C93415"/>
    <w:rsid w:val="00C96075"/>
    <w:rsid w:val="00CA1994"/>
    <w:rsid w:val="00CA1AB4"/>
    <w:rsid w:val="00CA22AA"/>
    <w:rsid w:val="00CA4C5A"/>
    <w:rsid w:val="00CA541D"/>
    <w:rsid w:val="00CB51F4"/>
    <w:rsid w:val="00CB6092"/>
    <w:rsid w:val="00CC0094"/>
    <w:rsid w:val="00CC45EB"/>
    <w:rsid w:val="00CC7610"/>
    <w:rsid w:val="00CD0FA5"/>
    <w:rsid w:val="00CD3765"/>
    <w:rsid w:val="00CD4860"/>
    <w:rsid w:val="00CD5F8C"/>
    <w:rsid w:val="00CD5FF6"/>
    <w:rsid w:val="00CD6782"/>
    <w:rsid w:val="00CE0290"/>
    <w:rsid w:val="00CE56D0"/>
    <w:rsid w:val="00CE71B1"/>
    <w:rsid w:val="00CF047B"/>
    <w:rsid w:val="00CF1AEF"/>
    <w:rsid w:val="00D01A20"/>
    <w:rsid w:val="00D01E5A"/>
    <w:rsid w:val="00D04E9D"/>
    <w:rsid w:val="00D07851"/>
    <w:rsid w:val="00D120BC"/>
    <w:rsid w:val="00D239CE"/>
    <w:rsid w:val="00D2627D"/>
    <w:rsid w:val="00D3174E"/>
    <w:rsid w:val="00D33D92"/>
    <w:rsid w:val="00D349BB"/>
    <w:rsid w:val="00D35ED8"/>
    <w:rsid w:val="00D407B6"/>
    <w:rsid w:val="00D440A5"/>
    <w:rsid w:val="00D479E5"/>
    <w:rsid w:val="00D50B34"/>
    <w:rsid w:val="00D5169E"/>
    <w:rsid w:val="00D52C40"/>
    <w:rsid w:val="00D53A6D"/>
    <w:rsid w:val="00D5603B"/>
    <w:rsid w:val="00D61AA7"/>
    <w:rsid w:val="00D63828"/>
    <w:rsid w:val="00D64873"/>
    <w:rsid w:val="00D6670E"/>
    <w:rsid w:val="00D7115C"/>
    <w:rsid w:val="00D722F2"/>
    <w:rsid w:val="00D7406D"/>
    <w:rsid w:val="00D810A4"/>
    <w:rsid w:val="00D81D94"/>
    <w:rsid w:val="00D86891"/>
    <w:rsid w:val="00D87984"/>
    <w:rsid w:val="00D91277"/>
    <w:rsid w:val="00D93239"/>
    <w:rsid w:val="00DA1F73"/>
    <w:rsid w:val="00DA3A75"/>
    <w:rsid w:val="00DA58EA"/>
    <w:rsid w:val="00DB1200"/>
    <w:rsid w:val="00DB1263"/>
    <w:rsid w:val="00DC117C"/>
    <w:rsid w:val="00DC383B"/>
    <w:rsid w:val="00DC521B"/>
    <w:rsid w:val="00DC559C"/>
    <w:rsid w:val="00DD2786"/>
    <w:rsid w:val="00DD3651"/>
    <w:rsid w:val="00DD4A8D"/>
    <w:rsid w:val="00DD4EC9"/>
    <w:rsid w:val="00DD745E"/>
    <w:rsid w:val="00DE10E9"/>
    <w:rsid w:val="00DE23B1"/>
    <w:rsid w:val="00DF17D9"/>
    <w:rsid w:val="00DF1EDA"/>
    <w:rsid w:val="00DF2497"/>
    <w:rsid w:val="00DF6B62"/>
    <w:rsid w:val="00E006CA"/>
    <w:rsid w:val="00E042A3"/>
    <w:rsid w:val="00E06D14"/>
    <w:rsid w:val="00E10AF5"/>
    <w:rsid w:val="00E12194"/>
    <w:rsid w:val="00E14E25"/>
    <w:rsid w:val="00E23199"/>
    <w:rsid w:val="00E23DBA"/>
    <w:rsid w:val="00E278CC"/>
    <w:rsid w:val="00E4105F"/>
    <w:rsid w:val="00E41AD7"/>
    <w:rsid w:val="00E432E3"/>
    <w:rsid w:val="00E44937"/>
    <w:rsid w:val="00E44A84"/>
    <w:rsid w:val="00E44DF1"/>
    <w:rsid w:val="00E47793"/>
    <w:rsid w:val="00E47796"/>
    <w:rsid w:val="00E50BB7"/>
    <w:rsid w:val="00E523BA"/>
    <w:rsid w:val="00E54A73"/>
    <w:rsid w:val="00E55110"/>
    <w:rsid w:val="00E554AA"/>
    <w:rsid w:val="00E561C8"/>
    <w:rsid w:val="00E60193"/>
    <w:rsid w:val="00E60282"/>
    <w:rsid w:val="00E61B29"/>
    <w:rsid w:val="00E61F75"/>
    <w:rsid w:val="00E65FBB"/>
    <w:rsid w:val="00E66828"/>
    <w:rsid w:val="00E67D12"/>
    <w:rsid w:val="00E721DE"/>
    <w:rsid w:val="00E73F13"/>
    <w:rsid w:val="00E7572B"/>
    <w:rsid w:val="00E75EEE"/>
    <w:rsid w:val="00E77B45"/>
    <w:rsid w:val="00E834B9"/>
    <w:rsid w:val="00E8503C"/>
    <w:rsid w:val="00E94A6A"/>
    <w:rsid w:val="00E960AA"/>
    <w:rsid w:val="00EA0B9D"/>
    <w:rsid w:val="00EA51E4"/>
    <w:rsid w:val="00EA72AC"/>
    <w:rsid w:val="00EA7AA3"/>
    <w:rsid w:val="00EB3D82"/>
    <w:rsid w:val="00EC2E41"/>
    <w:rsid w:val="00EC4A2C"/>
    <w:rsid w:val="00EC4CA0"/>
    <w:rsid w:val="00EC5AC8"/>
    <w:rsid w:val="00EC5B30"/>
    <w:rsid w:val="00EC72C8"/>
    <w:rsid w:val="00EC7B98"/>
    <w:rsid w:val="00ED0A7D"/>
    <w:rsid w:val="00ED1A5A"/>
    <w:rsid w:val="00ED1C34"/>
    <w:rsid w:val="00ED50DE"/>
    <w:rsid w:val="00ED5E72"/>
    <w:rsid w:val="00ED6B80"/>
    <w:rsid w:val="00EE156D"/>
    <w:rsid w:val="00EE15E7"/>
    <w:rsid w:val="00EF0E89"/>
    <w:rsid w:val="00EF13BB"/>
    <w:rsid w:val="00EF7B3A"/>
    <w:rsid w:val="00F056FD"/>
    <w:rsid w:val="00F06423"/>
    <w:rsid w:val="00F1088E"/>
    <w:rsid w:val="00F1382F"/>
    <w:rsid w:val="00F14939"/>
    <w:rsid w:val="00F15657"/>
    <w:rsid w:val="00F15667"/>
    <w:rsid w:val="00F168D1"/>
    <w:rsid w:val="00F20775"/>
    <w:rsid w:val="00F20DF7"/>
    <w:rsid w:val="00F21097"/>
    <w:rsid w:val="00F23BA1"/>
    <w:rsid w:val="00F24BE2"/>
    <w:rsid w:val="00F24F05"/>
    <w:rsid w:val="00F30910"/>
    <w:rsid w:val="00F41134"/>
    <w:rsid w:val="00F45815"/>
    <w:rsid w:val="00F45AE7"/>
    <w:rsid w:val="00F46567"/>
    <w:rsid w:val="00F516FD"/>
    <w:rsid w:val="00F53099"/>
    <w:rsid w:val="00F60C7F"/>
    <w:rsid w:val="00F645EC"/>
    <w:rsid w:val="00F64623"/>
    <w:rsid w:val="00F65301"/>
    <w:rsid w:val="00F65BA1"/>
    <w:rsid w:val="00F66130"/>
    <w:rsid w:val="00F66261"/>
    <w:rsid w:val="00F665EC"/>
    <w:rsid w:val="00F67462"/>
    <w:rsid w:val="00F6764E"/>
    <w:rsid w:val="00F67905"/>
    <w:rsid w:val="00F7138F"/>
    <w:rsid w:val="00F82AB6"/>
    <w:rsid w:val="00F85462"/>
    <w:rsid w:val="00F906AE"/>
    <w:rsid w:val="00F9157D"/>
    <w:rsid w:val="00F931E2"/>
    <w:rsid w:val="00F93CC0"/>
    <w:rsid w:val="00F94DFB"/>
    <w:rsid w:val="00F97BF8"/>
    <w:rsid w:val="00F97EBB"/>
    <w:rsid w:val="00FA0EAA"/>
    <w:rsid w:val="00FA5AD9"/>
    <w:rsid w:val="00FA63D0"/>
    <w:rsid w:val="00FB2D8B"/>
    <w:rsid w:val="00FC23B7"/>
    <w:rsid w:val="00FC2DFC"/>
    <w:rsid w:val="00FC3880"/>
    <w:rsid w:val="00FD5D90"/>
    <w:rsid w:val="00FD615A"/>
    <w:rsid w:val="00FE09E4"/>
    <w:rsid w:val="00FE0A59"/>
    <w:rsid w:val="00FE0F84"/>
    <w:rsid w:val="00FE72E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B90EA2"/>
  <w15:chartTrackingRefBased/>
  <w15:docId w15:val="{339BB0BF-9DD0-43F5-A5F8-DDD932436B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7D0F"/>
    <w:pPr>
      <w:keepNext/>
      <w:keepLines/>
      <w:spacing w:before="360" w:after="80"/>
      <w:outlineLvl w:val="0"/>
    </w:pPr>
    <w:rPr>
      <w:rFonts w:asciiTheme="majorHAnsi" w:eastAsiaTheme="majorEastAsia" w:hAnsiTheme="majorHAnsi" w:cstheme="majorBidi"/>
      <w:color w:val="B3186D" w:themeColor="accent1" w:themeShade="BF"/>
      <w:sz w:val="40"/>
      <w:szCs w:val="40"/>
    </w:rPr>
  </w:style>
  <w:style w:type="paragraph" w:styleId="Heading2">
    <w:name w:val="heading 2"/>
    <w:basedOn w:val="Normal"/>
    <w:next w:val="Normal"/>
    <w:link w:val="Heading2Char"/>
    <w:uiPriority w:val="9"/>
    <w:semiHidden/>
    <w:unhideWhenUsed/>
    <w:qFormat/>
    <w:rsid w:val="001B7D0F"/>
    <w:pPr>
      <w:keepNext/>
      <w:keepLines/>
      <w:spacing w:before="160" w:after="80"/>
      <w:outlineLvl w:val="1"/>
    </w:pPr>
    <w:rPr>
      <w:rFonts w:asciiTheme="majorHAnsi" w:eastAsiaTheme="majorEastAsia" w:hAnsiTheme="majorHAnsi" w:cstheme="majorBidi"/>
      <w:color w:val="B3186D" w:themeColor="accent1" w:themeShade="BF"/>
      <w:sz w:val="32"/>
      <w:szCs w:val="32"/>
    </w:rPr>
  </w:style>
  <w:style w:type="paragraph" w:styleId="Heading3">
    <w:name w:val="heading 3"/>
    <w:basedOn w:val="Normal"/>
    <w:next w:val="Normal"/>
    <w:link w:val="Heading3Char"/>
    <w:uiPriority w:val="9"/>
    <w:unhideWhenUsed/>
    <w:qFormat/>
    <w:rsid w:val="001B7D0F"/>
    <w:pPr>
      <w:keepNext/>
      <w:keepLines/>
      <w:spacing w:before="160" w:after="80"/>
      <w:outlineLvl w:val="2"/>
    </w:pPr>
    <w:rPr>
      <w:rFonts w:eastAsiaTheme="majorEastAsia" w:cstheme="majorBidi"/>
      <w:color w:val="B3186D" w:themeColor="accent1" w:themeShade="BF"/>
      <w:sz w:val="28"/>
      <w:szCs w:val="28"/>
    </w:rPr>
  </w:style>
  <w:style w:type="paragraph" w:styleId="Heading4">
    <w:name w:val="heading 4"/>
    <w:basedOn w:val="Normal"/>
    <w:next w:val="Normal"/>
    <w:link w:val="Heading4Char"/>
    <w:uiPriority w:val="9"/>
    <w:semiHidden/>
    <w:unhideWhenUsed/>
    <w:qFormat/>
    <w:rsid w:val="001B7D0F"/>
    <w:pPr>
      <w:keepNext/>
      <w:keepLines/>
      <w:spacing w:before="80" w:after="40"/>
      <w:outlineLvl w:val="3"/>
    </w:pPr>
    <w:rPr>
      <w:rFonts w:eastAsiaTheme="majorEastAsia" w:cstheme="majorBidi"/>
      <w:i/>
      <w:iCs/>
      <w:color w:val="B3186D" w:themeColor="accent1" w:themeShade="BF"/>
    </w:rPr>
  </w:style>
  <w:style w:type="paragraph" w:styleId="Heading5">
    <w:name w:val="heading 5"/>
    <w:basedOn w:val="Normal"/>
    <w:next w:val="Normal"/>
    <w:link w:val="Heading5Char"/>
    <w:uiPriority w:val="9"/>
    <w:semiHidden/>
    <w:unhideWhenUsed/>
    <w:qFormat/>
    <w:rsid w:val="001B7D0F"/>
    <w:pPr>
      <w:keepNext/>
      <w:keepLines/>
      <w:spacing w:before="80" w:after="40"/>
      <w:outlineLvl w:val="4"/>
    </w:pPr>
    <w:rPr>
      <w:rFonts w:eastAsiaTheme="majorEastAsia" w:cstheme="majorBidi"/>
      <w:color w:val="B3186D" w:themeColor="accent1" w:themeShade="BF"/>
    </w:rPr>
  </w:style>
  <w:style w:type="paragraph" w:styleId="Heading6">
    <w:name w:val="heading 6"/>
    <w:basedOn w:val="Normal"/>
    <w:next w:val="Normal"/>
    <w:link w:val="Heading6Char"/>
    <w:uiPriority w:val="9"/>
    <w:semiHidden/>
    <w:unhideWhenUsed/>
    <w:qFormat/>
    <w:rsid w:val="001B7D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7D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7D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7D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7D0F"/>
    <w:rPr>
      <w:rFonts w:asciiTheme="majorHAnsi" w:eastAsiaTheme="majorEastAsia" w:hAnsiTheme="majorHAnsi" w:cstheme="majorBidi"/>
      <w:color w:val="B3186D" w:themeColor="accent1" w:themeShade="BF"/>
      <w:sz w:val="40"/>
      <w:szCs w:val="40"/>
    </w:rPr>
  </w:style>
  <w:style w:type="character" w:customStyle="1" w:styleId="Heading2Char">
    <w:name w:val="Heading 2 Char"/>
    <w:basedOn w:val="DefaultParagraphFont"/>
    <w:link w:val="Heading2"/>
    <w:uiPriority w:val="9"/>
    <w:semiHidden/>
    <w:rsid w:val="001B7D0F"/>
    <w:rPr>
      <w:rFonts w:asciiTheme="majorHAnsi" w:eastAsiaTheme="majorEastAsia" w:hAnsiTheme="majorHAnsi" w:cstheme="majorBidi"/>
      <w:color w:val="B3186D" w:themeColor="accent1" w:themeShade="BF"/>
      <w:sz w:val="32"/>
      <w:szCs w:val="32"/>
    </w:rPr>
  </w:style>
  <w:style w:type="character" w:customStyle="1" w:styleId="Heading3Char">
    <w:name w:val="Heading 3 Char"/>
    <w:basedOn w:val="DefaultParagraphFont"/>
    <w:link w:val="Heading3"/>
    <w:uiPriority w:val="9"/>
    <w:rsid w:val="001B7D0F"/>
    <w:rPr>
      <w:rFonts w:eastAsiaTheme="majorEastAsia" w:cstheme="majorBidi"/>
      <w:color w:val="B3186D" w:themeColor="accent1" w:themeShade="BF"/>
      <w:sz w:val="28"/>
      <w:szCs w:val="28"/>
    </w:rPr>
  </w:style>
  <w:style w:type="character" w:customStyle="1" w:styleId="Heading4Char">
    <w:name w:val="Heading 4 Char"/>
    <w:basedOn w:val="DefaultParagraphFont"/>
    <w:link w:val="Heading4"/>
    <w:uiPriority w:val="9"/>
    <w:semiHidden/>
    <w:rsid w:val="001B7D0F"/>
    <w:rPr>
      <w:rFonts w:eastAsiaTheme="majorEastAsia" w:cstheme="majorBidi"/>
      <w:i/>
      <w:iCs/>
      <w:color w:val="B3186D" w:themeColor="accent1" w:themeShade="BF"/>
    </w:rPr>
  </w:style>
  <w:style w:type="character" w:customStyle="1" w:styleId="Heading5Char">
    <w:name w:val="Heading 5 Char"/>
    <w:basedOn w:val="DefaultParagraphFont"/>
    <w:link w:val="Heading5"/>
    <w:uiPriority w:val="9"/>
    <w:semiHidden/>
    <w:rsid w:val="001B7D0F"/>
    <w:rPr>
      <w:rFonts w:eastAsiaTheme="majorEastAsia" w:cstheme="majorBidi"/>
      <w:color w:val="B3186D" w:themeColor="accent1" w:themeShade="BF"/>
    </w:rPr>
  </w:style>
  <w:style w:type="character" w:customStyle="1" w:styleId="Heading6Char">
    <w:name w:val="Heading 6 Char"/>
    <w:basedOn w:val="DefaultParagraphFont"/>
    <w:link w:val="Heading6"/>
    <w:uiPriority w:val="9"/>
    <w:semiHidden/>
    <w:rsid w:val="001B7D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7D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7D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7D0F"/>
    <w:rPr>
      <w:rFonts w:eastAsiaTheme="majorEastAsia" w:cstheme="majorBidi"/>
      <w:color w:val="272727" w:themeColor="text1" w:themeTint="D8"/>
    </w:rPr>
  </w:style>
  <w:style w:type="paragraph" w:styleId="Title">
    <w:name w:val="Title"/>
    <w:basedOn w:val="Normal"/>
    <w:next w:val="Normal"/>
    <w:link w:val="TitleChar"/>
    <w:uiPriority w:val="10"/>
    <w:qFormat/>
    <w:rsid w:val="001B7D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7D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7D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7D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7D0F"/>
    <w:pPr>
      <w:spacing w:before="160"/>
      <w:jc w:val="center"/>
    </w:pPr>
    <w:rPr>
      <w:i/>
      <w:iCs/>
      <w:color w:val="404040" w:themeColor="text1" w:themeTint="BF"/>
    </w:rPr>
  </w:style>
  <w:style w:type="character" w:customStyle="1" w:styleId="QuoteChar">
    <w:name w:val="Quote Char"/>
    <w:basedOn w:val="DefaultParagraphFont"/>
    <w:link w:val="Quote"/>
    <w:uiPriority w:val="29"/>
    <w:rsid w:val="001B7D0F"/>
    <w:rPr>
      <w:i/>
      <w:iCs/>
      <w:color w:val="404040" w:themeColor="text1" w:themeTint="BF"/>
    </w:rPr>
  </w:style>
  <w:style w:type="paragraph" w:styleId="ListParagraph">
    <w:name w:val="List Paragraph"/>
    <w:basedOn w:val="Normal"/>
    <w:uiPriority w:val="34"/>
    <w:qFormat/>
    <w:rsid w:val="001B7D0F"/>
    <w:pPr>
      <w:ind w:left="720"/>
      <w:contextualSpacing/>
    </w:pPr>
  </w:style>
  <w:style w:type="character" w:styleId="IntenseEmphasis">
    <w:name w:val="Intense Emphasis"/>
    <w:basedOn w:val="DefaultParagraphFont"/>
    <w:uiPriority w:val="21"/>
    <w:qFormat/>
    <w:rsid w:val="001B7D0F"/>
    <w:rPr>
      <w:i/>
      <w:iCs/>
      <w:color w:val="B3186D" w:themeColor="accent1" w:themeShade="BF"/>
    </w:rPr>
  </w:style>
  <w:style w:type="paragraph" w:styleId="IntenseQuote">
    <w:name w:val="Intense Quote"/>
    <w:basedOn w:val="Normal"/>
    <w:next w:val="Normal"/>
    <w:link w:val="IntenseQuoteChar"/>
    <w:uiPriority w:val="30"/>
    <w:qFormat/>
    <w:rsid w:val="001B7D0F"/>
    <w:pPr>
      <w:pBdr>
        <w:top w:val="single" w:sz="4" w:space="10" w:color="B3186D" w:themeColor="accent1" w:themeShade="BF"/>
        <w:bottom w:val="single" w:sz="4" w:space="10" w:color="B3186D" w:themeColor="accent1" w:themeShade="BF"/>
      </w:pBdr>
      <w:spacing w:before="360" w:after="360"/>
      <w:ind w:left="864" w:right="864"/>
      <w:jc w:val="center"/>
    </w:pPr>
    <w:rPr>
      <w:i/>
      <w:iCs/>
      <w:color w:val="B3186D" w:themeColor="accent1" w:themeShade="BF"/>
    </w:rPr>
  </w:style>
  <w:style w:type="character" w:customStyle="1" w:styleId="IntenseQuoteChar">
    <w:name w:val="Intense Quote Char"/>
    <w:basedOn w:val="DefaultParagraphFont"/>
    <w:link w:val="IntenseQuote"/>
    <w:uiPriority w:val="30"/>
    <w:rsid w:val="001B7D0F"/>
    <w:rPr>
      <w:i/>
      <w:iCs/>
      <w:color w:val="B3186D" w:themeColor="accent1" w:themeShade="BF"/>
    </w:rPr>
  </w:style>
  <w:style w:type="character" w:styleId="IntenseReference">
    <w:name w:val="Intense Reference"/>
    <w:basedOn w:val="DefaultParagraphFont"/>
    <w:uiPriority w:val="32"/>
    <w:qFormat/>
    <w:rsid w:val="001B7D0F"/>
    <w:rPr>
      <w:b/>
      <w:bCs/>
      <w:smallCaps/>
      <w:color w:val="B3186D" w:themeColor="accent1" w:themeShade="BF"/>
      <w:spacing w:val="5"/>
    </w:rPr>
  </w:style>
  <w:style w:type="paragraph" w:styleId="Header">
    <w:name w:val="header"/>
    <w:basedOn w:val="Normal"/>
    <w:link w:val="HeaderChar"/>
    <w:uiPriority w:val="99"/>
    <w:unhideWhenUsed/>
    <w:rsid w:val="00D52C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2C40"/>
  </w:style>
  <w:style w:type="paragraph" w:styleId="Footer">
    <w:name w:val="footer"/>
    <w:basedOn w:val="Normal"/>
    <w:link w:val="FooterChar"/>
    <w:uiPriority w:val="99"/>
    <w:unhideWhenUsed/>
    <w:rsid w:val="00D52C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2C40"/>
  </w:style>
  <w:style w:type="table" w:styleId="TableGrid">
    <w:name w:val="Table Grid"/>
    <w:basedOn w:val="TableNormal"/>
    <w:uiPriority w:val="39"/>
    <w:rsid w:val="00B877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B877B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Accent4">
    <w:name w:val="Grid Table 1 Light Accent 4"/>
    <w:basedOn w:val="TableNormal"/>
    <w:uiPriority w:val="46"/>
    <w:rsid w:val="00B877B1"/>
    <w:pPr>
      <w:spacing w:after="0" w:line="240" w:lineRule="auto"/>
    </w:pPr>
    <w:tblPr>
      <w:tblStyleRowBandSize w:val="1"/>
      <w:tblStyleColBandSize w:val="1"/>
      <w:tblBorders>
        <w:top w:val="single" w:sz="4" w:space="0" w:color="B5C7F5" w:themeColor="accent4" w:themeTint="66"/>
        <w:left w:val="single" w:sz="4" w:space="0" w:color="B5C7F5" w:themeColor="accent4" w:themeTint="66"/>
        <w:bottom w:val="single" w:sz="4" w:space="0" w:color="B5C7F5" w:themeColor="accent4" w:themeTint="66"/>
        <w:right w:val="single" w:sz="4" w:space="0" w:color="B5C7F5" w:themeColor="accent4" w:themeTint="66"/>
        <w:insideH w:val="single" w:sz="4" w:space="0" w:color="B5C7F5" w:themeColor="accent4" w:themeTint="66"/>
        <w:insideV w:val="single" w:sz="4" w:space="0" w:color="B5C7F5" w:themeColor="accent4" w:themeTint="66"/>
      </w:tblBorders>
    </w:tblPr>
    <w:tblStylePr w:type="firstRow">
      <w:rPr>
        <w:b/>
        <w:bCs/>
      </w:rPr>
      <w:tblPr/>
      <w:tcPr>
        <w:tcBorders>
          <w:bottom w:val="single" w:sz="12" w:space="0" w:color="90ABF0" w:themeColor="accent4" w:themeTint="99"/>
        </w:tcBorders>
      </w:tcPr>
    </w:tblStylePr>
    <w:tblStylePr w:type="lastRow">
      <w:rPr>
        <w:b/>
        <w:bCs/>
      </w:rPr>
      <w:tblPr/>
      <w:tcPr>
        <w:tcBorders>
          <w:top w:val="double" w:sz="2" w:space="0" w:color="90ABF0" w:themeColor="accent4" w:themeTint="99"/>
        </w:tcBorders>
      </w:tcPr>
    </w:tblStylePr>
    <w:tblStylePr w:type="firstCol">
      <w:rPr>
        <w:b/>
        <w:bCs/>
      </w:rPr>
    </w:tblStylePr>
    <w:tblStylePr w:type="lastCol">
      <w:rPr>
        <w:b/>
        <w:bCs/>
      </w:rPr>
    </w:tblStylePr>
  </w:style>
  <w:style w:type="table" w:styleId="GridTable2">
    <w:name w:val="Grid Table 2"/>
    <w:basedOn w:val="TableNormal"/>
    <w:uiPriority w:val="47"/>
    <w:rsid w:val="0018173E"/>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4">
    <w:name w:val="Grid Table 6 Colorful Accent 4"/>
    <w:basedOn w:val="TableNormal"/>
    <w:uiPriority w:val="51"/>
    <w:rsid w:val="0018173E"/>
    <w:pPr>
      <w:spacing w:after="0" w:line="240" w:lineRule="auto"/>
    </w:pPr>
    <w:rPr>
      <w:color w:val="1A4BC7" w:themeColor="accent4" w:themeShade="BF"/>
    </w:rPr>
    <w:tblPr>
      <w:tblStyleRowBandSize w:val="1"/>
      <w:tblStyleColBandSize w:val="1"/>
      <w:tblBorders>
        <w:top w:val="single" w:sz="4" w:space="0" w:color="90ABF0" w:themeColor="accent4" w:themeTint="99"/>
        <w:left w:val="single" w:sz="4" w:space="0" w:color="90ABF0" w:themeColor="accent4" w:themeTint="99"/>
        <w:bottom w:val="single" w:sz="4" w:space="0" w:color="90ABF0" w:themeColor="accent4" w:themeTint="99"/>
        <w:right w:val="single" w:sz="4" w:space="0" w:color="90ABF0" w:themeColor="accent4" w:themeTint="99"/>
        <w:insideH w:val="single" w:sz="4" w:space="0" w:color="90ABF0" w:themeColor="accent4" w:themeTint="99"/>
        <w:insideV w:val="single" w:sz="4" w:space="0" w:color="90ABF0" w:themeColor="accent4" w:themeTint="99"/>
      </w:tblBorders>
    </w:tblPr>
    <w:tblStylePr w:type="firstRow">
      <w:rPr>
        <w:b/>
        <w:bCs/>
      </w:rPr>
      <w:tblPr/>
      <w:tcPr>
        <w:tcBorders>
          <w:bottom w:val="single" w:sz="12" w:space="0" w:color="90ABF0" w:themeColor="accent4" w:themeTint="99"/>
        </w:tcBorders>
      </w:tcPr>
    </w:tblStylePr>
    <w:tblStylePr w:type="lastRow">
      <w:rPr>
        <w:b/>
        <w:bCs/>
      </w:rPr>
      <w:tblPr/>
      <w:tcPr>
        <w:tcBorders>
          <w:top w:val="double" w:sz="4" w:space="0" w:color="90ABF0" w:themeColor="accent4" w:themeTint="99"/>
        </w:tcBorders>
      </w:tcPr>
    </w:tblStylePr>
    <w:tblStylePr w:type="firstCol">
      <w:rPr>
        <w:b/>
        <w:bCs/>
      </w:rPr>
    </w:tblStylePr>
    <w:tblStylePr w:type="lastCol">
      <w:rPr>
        <w:b/>
        <w:bCs/>
      </w:rPr>
    </w:tblStylePr>
    <w:tblStylePr w:type="band1Vert">
      <w:tblPr/>
      <w:tcPr>
        <w:shd w:val="clear" w:color="auto" w:fill="DAE3FA" w:themeFill="accent4" w:themeFillTint="33"/>
      </w:tcPr>
    </w:tblStylePr>
    <w:tblStylePr w:type="band1Horz">
      <w:tblPr/>
      <w:tcPr>
        <w:shd w:val="clear" w:color="auto" w:fill="DAE3FA" w:themeFill="accent4" w:themeFillTint="33"/>
      </w:tcPr>
    </w:tblStylePr>
  </w:style>
  <w:style w:type="character" w:styleId="PlaceholderText">
    <w:name w:val="Placeholder Text"/>
    <w:basedOn w:val="DefaultParagraphFont"/>
    <w:uiPriority w:val="99"/>
    <w:semiHidden/>
    <w:rsid w:val="00B06B02"/>
    <w:rPr>
      <w:color w:val="666666"/>
    </w:rPr>
  </w:style>
  <w:style w:type="character" w:styleId="Strong">
    <w:name w:val="Strong"/>
    <w:basedOn w:val="DefaultParagraphFont"/>
    <w:uiPriority w:val="22"/>
    <w:qFormat/>
    <w:rsid w:val="00C60571"/>
    <w:rPr>
      <w:b/>
      <w:bCs/>
    </w:rPr>
  </w:style>
  <w:style w:type="paragraph" w:styleId="NormalWeb">
    <w:name w:val="Normal (Web)"/>
    <w:basedOn w:val="Normal"/>
    <w:uiPriority w:val="99"/>
    <w:semiHidden/>
    <w:unhideWhenUsed/>
    <w:rsid w:val="00E12194"/>
    <w:rPr>
      <w:rFonts w:ascii="Times New Roman" w:hAnsi="Times New Roman" w:cs="Times New Roman"/>
    </w:rPr>
  </w:style>
  <w:style w:type="table" w:styleId="GridTable4">
    <w:name w:val="Grid Table 4"/>
    <w:basedOn w:val="TableNormal"/>
    <w:uiPriority w:val="49"/>
    <w:rsid w:val="00280F4F"/>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634991">
      <w:bodyDiv w:val="1"/>
      <w:marLeft w:val="0"/>
      <w:marRight w:val="0"/>
      <w:marTop w:val="0"/>
      <w:marBottom w:val="0"/>
      <w:divBdr>
        <w:top w:val="none" w:sz="0" w:space="0" w:color="auto"/>
        <w:left w:val="none" w:sz="0" w:space="0" w:color="auto"/>
        <w:bottom w:val="none" w:sz="0" w:space="0" w:color="auto"/>
        <w:right w:val="none" w:sz="0" w:space="0" w:color="auto"/>
      </w:divBdr>
    </w:div>
    <w:div w:id="56438517">
      <w:bodyDiv w:val="1"/>
      <w:marLeft w:val="0"/>
      <w:marRight w:val="0"/>
      <w:marTop w:val="0"/>
      <w:marBottom w:val="0"/>
      <w:divBdr>
        <w:top w:val="none" w:sz="0" w:space="0" w:color="auto"/>
        <w:left w:val="none" w:sz="0" w:space="0" w:color="auto"/>
        <w:bottom w:val="none" w:sz="0" w:space="0" w:color="auto"/>
        <w:right w:val="none" w:sz="0" w:space="0" w:color="auto"/>
      </w:divBdr>
    </w:div>
    <w:div w:id="81801605">
      <w:bodyDiv w:val="1"/>
      <w:marLeft w:val="0"/>
      <w:marRight w:val="0"/>
      <w:marTop w:val="0"/>
      <w:marBottom w:val="0"/>
      <w:divBdr>
        <w:top w:val="none" w:sz="0" w:space="0" w:color="auto"/>
        <w:left w:val="none" w:sz="0" w:space="0" w:color="auto"/>
        <w:bottom w:val="none" w:sz="0" w:space="0" w:color="auto"/>
        <w:right w:val="none" w:sz="0" w:space="0" w:color="auto"/>
      </w:divBdr>
    </w:div>
    <w:div w:id="100225263">
      <w:bodyDiv w:val="1"/>
      <w:marLeft w:val="0"/>
      <w:marRight w:val="0"/>
      <w:marTop w:val="0"/>
      <w:marBottom w:val="0"/>
      <w:divBdr>
        <w:top w:val="none" w:sz="0" w:space="0" w:color="auto"/>
        <w:left w:val="none" w:sz="0" w:space="0" w:color="auto"/>
        <w:bottom w:val="none" w:sz="0" w:space="0" w:color="auto"/>
        <w:right w:val="none" w:sz="0" w:space="0" w:color="auto"/>
      </w:divBdr>
    </w:div>
    <w:div w:id="119616787">
      <w:bodyDiv w:val="1"/>
      <w:marLeft w:val="0"/>
      <w:marRight w:val="0"/>
      <w:marTop w:val="0"/>
      <w:marBottom w:val="0"/>
      <w:divBdr>
        <w:top w:val="none" w:sz="0" w:space="0" w:color="auto"/>
        <w:left w:val="none" w:sz="0" w:space="0" w:color="auto"/>
        <w:bottom w:val="none" w:sz="0" w:space="0" w:color="auto"/>
        <w:right w:val="none" w:sz="0" w:space="0" w:color="auto"/>
      </w:divBdr>
    </w:div>
    <w:div w:id="139343452">
      <w:bodyDiv w:val="1"/>
      <w:marLeft w:val="0"/>
      <w:marRight w:val="0"/>
      <w:marTop w:val="0"/>
      <w:marBottom w:val="0"/>
      <w:divBdr>
        <w:top w:val="none" w:sz="0" w:space="0" w:color="auto"/>
        <w:left w:val="none" w:sz="0" w:space="0" w:color="auto"/>
        <w:bottom w:val="none" w:sz="0" w:space="0" w:color="auto"/>
        <w:right w:val="none" w:sz="0" w:space="0" w:color="auto"/>
      </w:divBdr>
    </w:div>
    <w:div w:id="168100938">
      <w:bodyDiv w:val="1"/>
      <w:marLeft w:val="0"/>
      <w:marRight w:val="0"/>
      <w:marTop w:val="0"/>
      <w:marBottom w:val="0"/>
      <w:divBdr>
        <w:top w:val="none" w:sz="0" w:space="0" w:color="auto"/>
        <w:left w:val="none" w:sz="0" w:space="0" w:color="auto"/>
        <w:bottom w:val="none" w:sz="0" w:space="0" w:color="auto"/>
        <w:right w:val="none" w:sz="0" w:space="0" w:color="auto"/>
      </w:divBdr>
    </w:div>
    <w:div w:id="185024984">
      <w:bodyDiv w:val="1"/>
      <w:marLeft w:val="0"/>
      <w:marRight w:val="0"/>
      <w:marTop w:val="0"/>
      <w:marBottom w:val="0"/>
      <w:divBdr>
        <w:top w:val="none" w:sz="0" w:space="0" w:color="auto"/>
        <w:left w:val="none" w:sz="0" w:space="0" w:color="auto"/>
        <w:bottom w:val="none" w:sz="0" w:space="0" w:color="auto"/>
        <w:right w:val="none" w:sz="0" w:space="0" w:color="auto"/>
      </w:divBdr>
    </w:div>
    <w:div w:id="217517306">
      <w:bodyDiv w:val="1"/>
      <w:marLeft w:val="0"/>
      <w:marRight w:val="0"/>
      <w:marTop w:val="0"/>
      <w:marBottom w:val="0"/>
      <w:divBdr>
        <w:top w:val="none" w:sz="0" w:space="0" w:color="auto"/>
        <w:left w:val="none" w:sz="0" w:space="0" w:color="auto"/>
        <w:bottom w:val="none" w:sz="0" w:space="0" w:color="auto"/>
        <w:right w:val="none" w:sz="0" w:space="0" w:color="auto"/>
      </w:divBdr>
    </w:div>
    <w:div w:id="227304044">
      <w:bodyDiv w:val="1"/>
      <w:marLeft w:val="0"/>
      <w:marRight w:val="0"/>
      <w:marTop w:val="0"/>
      <w:marBottom w:val="0"/>
      <w:divBdr>
        <w:top w:val="none" w:sz="0" w:space="0" w:color="auto"/>
        <w:left w:val="none" w:sz="0" w:space="0" w:color="auto"/>
        <w:bottom w:val="none" w:sz="0" w:space="0" w:color="auto"/>
        <w:right w:val="none" w:sz="0" w:space="0" w:color="auto"/>
      </w:divBdr>
    </w:div>
    <w:div w:id="227959710">
      <w:bodyDiv w:val="1"/>
      <w:marLeft w:val="0"/>
      <w:marRight w:val="0"/>
      <w:marTop w:val="0"/>
      <w:marBottom w:val="0"/>
      <w:divBdr>
        <w:top w:val="none" w:sz="0" w:space="0" w:color="auto"/>
        <w:left w:val="none" w:sz="0" w:space="0" w:color="auto"/>
        <w:bottom w:val="none" w:sz="0" w:space="0" w:color="auto"/>
        <w:right w:val="none" w:sz="0" w:space="0" w:color="auto"/>
      </w:divBdr>
    </w:div>
    <w:div w:id="228852201">
      <w:bodyDiv w:val="1"/>
      <w:marLeft w:val="0"/>
      <w:marRight w:val="0"/>
      <w:marTop w:val="0"/>
      <w:marBottom w:val="0"/>
      <w:divBdr>
        <w:top w:val="none" w:sz="0" w:space="0" w:color="auto"/>
        <w:left w:val="none" w:sz="0" w:space="0" w:color="auto"/>
        <w:bottom w:val="none" w:sz="0" w:space="0" w:color="auto"/>
        <w:right w:val="none" w:sz="0" w:space="0" w:color="auto"/>
      </w:divBdr>
    </w:div>
    <w:div w:id="257176830">
      <w:bodyDiv w:val="1"/>
      <w:marLeft w:val="0"/>
      <w:marRight w:val="0"/>
      <w:marTop w:val="0"/>
      <w:marBottom w:val="0"/>
      <w:divBdr>
        <w:top w:val="none" w:sz="0" w:space="0" w:color="auto"/>
        <w:left w:val="none" w:sz="0" w:space="0" w:color="auto"/>
        <w:bottom w:val="none" w:sz="0" w:space="0" w:color="auto"/>
        <w:right w:val="none" w:sz="0" w:space="0" w:color="auto"/>
      </w:divBdr>
    </w:div>
    <w:div w:id="271060696">
      <w:bodyDiv w:val="1"/>
      <w:marLeft w:val="0"/>
      <w:marRight w:val="0"/>
      <w:marTop w:val="0"/>
      <w:marBottom w:val="0"/>
      <w:divBdr>
        <w:top w:val="none" w:sz="0" w:space="0" w:color="auto"/>
        <w:left w:val="none" w:sz="0" w:space="0" w:color="auto"/>
        <w:bottom w:val="none" w:sz="0" w:space="0" w:color="auto"/>
        <w:right w:val="none" w:sz="0" w:space="0" w:color="auto"/>
      </w:divBdr>
    </w:div>
    <w:div w:id="369887418">
      <w:bodyDiv w:val="1"/>
      <w:marLeft w:val="0"/>
      <w:marRight w:val="0"/>
      <w:marTop w:val="0"/>
      <w:marBottom w:val="0"/>
      <w:divBdr>
        <w:top w:val="none" w:sz="0" w:space="0" w:color="auto"/>
        <w:left w:val="none" w:sz="0" w:space="0" w:color="auto"/>
        <w:bottom w:val="none" w:sz="0" w:space="0" w:color="auto"/>
        <w:right w:val="none" w:sz="0" w:space="0" w:color="auto"/>
      </w:divBdr>
    </w:div>
    <w:div w:id="398750912">
      <w:bodyDiv w:val="1"/>
      <w:marLeft w:val="0"/>
      <w:marRight w:val="0"/>
      <w:marTop w:val="0"/>
      <w:marBottom w:val="0"/>
      <w:divBdr>
        <w:top w:val="none" w:sz="0" w:space="0" w:color="auto"/>
        <w:left w:val="none" w:sz="0" w:space="0" w:color="auto"/>
        <w:bottom w:val="none" w:sz="0" w:space="0" w:color="auto"/>
        <w:right w:val="none" w:sz="0" w:space="0" w:color="auto"/>
      </w:divBdr>
    </w:div>
    <w:div w:id="430125466">
      <w:bodyDiv w:val="1"/>
      <w:marLeft w:val="0"/>
      <w:marRight w:val="0"/>
      <w:marTop w:val="0"/>
      <w:marBottom w:val="0"/>
      <w:divBdr>
        <w:top w:val="none" w:sz="0" w:space="0" w:color="auto"/>
        <w:left w:val="none" w:sz="0" w:space="0" w:color="auto"/>
        <w:bottom w:val="none" w:sz="0" w:space="0" w:color="auto"/>
        <w:right w:val="none" w:sz="0" w:space="0" w:color="auto"/>
      </w:divBdr>
    </w:div>
    <w:div w:id="456720496">
      <w:bodyDiv w:val="1"/>
      <w:marLeft w:val="0"/>
      <w:marRight w:val="0"/>
      <w:marTop w:val="0"/>
      <w:marBottom w:val="0"/>
      <w:divBdr>
        <w:top w:val="none" w:sz="0" w:space="0" w:color="auto"/>
        <w:left w:val="none" w:sz="0" w:space="0" w:color="auto"/>
        <w:bottom w:val="none" w:sz="0" w:space="0" w:color="auto"/>
        <w:right w:val="none" w:sz="0" w:space="0" w:color="auto"/>
      </w:divBdr>
    </w:div>
    <w:div w:id="508720692">
      <w:bodyDiv w:val="1"/>
      <w:marLeft w:val="0"/>
      <w:marRight w:val="0"/>
      <w:marTop w:val="0"/>
      <w:marBottom w:val="0"/>
      <w:divBdr>
        <w:top w:val="none" w:sz="0" w:space="0" w:color="auto"/>
        <w:left w:val="none" w:sz="0" w:space="0" w:color="auto"/>
        <w:bottom w:val="none" w:sz="0" w:space="0" w:color="auto"/>
        <w:right w:val="none" w:sz="0" w:space="0" w:color="auto"/>
      </w:divBdr>
    </w:div>
    <w:div w:id="510490712">
      <w:bodyDiv w:val="1"/>
      <w:marLeft w:val="0"/>
      <w:marRight w:val="0"/>
      <w:marTop w:val="0"/>
      <w:marBottom w:val="0"/>
      <w:divBdr>
        <w:top w:val="none" w:sz="0" w:space="0" w:color="auto"/>
        <w:left w:val="none" w:sz="0" w:space="0" w:color="auto"/>
        <w:bottom w:val="none" w:sz="0" w:space="0" w:color="auto"/>
        <w:right w:val="none" w:sz="0" w:space="0" w:color="auto"/>
      </w:divBdr>
    </w:div>
    <w:div w:id="523902228">
      <w:bodyDiv w:val="1"/>
      <w:marLeft w:val="0"/>
      <w:marRight w:val="0"/>
      <w:marTop w:val="0"/>
      <w:marBottom w:val="0"/>
      <w:divBdr>
        <w:top w:val="none" w:sz="0" w:space="0" w:color="auto"/>
        <w:left w:val="none" w:sz="0" w:space="0" w:color="auto"/>
        <w:bottom w:val="none" w:sz="0" w:space="0" w:color="auto"/>
        <w:right w:val="none" w:sz="0" w:space="0" w:color="auto"/>
      </w:divBdr>
    </w:div>
    <w:div w:id="534199749">
      <w:bodyDiv w:val="1"/>
      <w:marLeft w:val="0"/>
      <w:marRight w:val="0"/>
      <w:marTop w:val="0"/>
      <w:marBottom w:val="0"/>
      <w:divBdr>
        <w:top w:val="none" w:sz="0" w:space="0" w:color="auto"/>
        <w:left w:val="none" w:sz="0" w:space="0" w:color="auto"/>
        <w:bottom w:val="none" w:sz="0" w:space="0" w:color="auto"/>
        <w:right w:val="none" w:sz="0" w:space="0" w:color="auto"/>
      </w:divBdr>
    </w:div>
    <w:div w:id="542399672">
      <w:bodyDiv w:val="1"/>
      <w:marLeft w:val="0"/>
      <w:marRight w:val="0"/>
      <w:marTop w:val="0"/>
      <w:marBottom w:val="0"/>
      <w:divBdr>
        <w:top w:val="none" w:sz="0" w:space="0" w:color="auto"/>
        <w:left w:val="none" w:sz="0" w:space="0" w:color="auto"/>
        <w:bottom w:val="none" w:sz="0" w:space="0" w:color="auto"/>
        <w:right w:val="none" w:sz="0" w:space="0" w:color="auto"/>
      </w:divBdr>
    </w:div>
    <w:div w:id="637228544">
      <w:bodyDiv w:val="1"/>
      <w:marLeft w:val="0"/>
      <w:marRight w:val="0"/>
      <w:marTop w:val="0"/>
      <w:marBottom w:val="0"/>
      <w:divBdr>
        <w:top w:val="none" w:sz="0" w:space="0" w:color="auto"/>
        <w:left w:val="none" w:sz="0" w:space="0" w:color="auto"/>
        <w:bottom w:val="none" w:sz="0" w:space="0" w:color="auto"/>
        <w:right w:val="none" w:sz="0" w:space="0" w:color="auto"/>
      </w:divBdr>
    </w:div>
    <w:div w:id="656306568">
      <w:bodyDiv w:val="1"/>
      <w:marLeft w:val="0"/>
      <w:marRight w:val="0"/>
      <w:marTop w:val="0"/>
      <w:marBottom w:val="0"/>
      <w:divBdr>
        <w:top w:val="none" w:sz="0" w:space="0" w:color="auto"/>
        <w:left w:val="none" w:sz="0" w:space="0" w:color="auto"/>
        <w:bottom w:val="none" w:sz="0" w:space="0" w:color="auto"/>
        <w:right w:val="none" w:sz="0" w:space="0" w:color="auto"/>
      </w:divBdr>
    </w:div>
    <w:div w:id="659768939">
      <w:bodyDiv w:val="1"/>
      <w:marLeft w:val="0"/>
      <w:marRight w:val="0"/>
      <w:marTop w:val="0"/>
      <w:marBottom w:val="0"/>
      <w:divBdr>
        <w:top w:val="none" w:sz="0" w:space="0" w:color="auto"/>
        <w:left w:val="none" w:sz="0" w:space="0" w:color="auto"/>
        <w:bottom w:val="none" w:sz="0" w:space="0" w:color="auto"/>
        <w:right w:val="none" w:sz="0" w:space="0" w:color="auto"/>
      </w:divBdr>
    </w:div>
    <w:div w:id="722826851">
      <w:bodyDiv w:val="1"/>
      <w:marLeft w:val="0"/>
      <w:marRight w:val="0"/>
      <w:marTop w:val="0"/>
      <w:marBottom w:val="0"/>
      <w:divBdr>
        <w:top w:val="none" w:sz="0" w:space="0" w:color="auto"/>
        <w:left w:val="none" w:sz="0" w:space="0" w:color="auto"/>
        <w:bottom w:val="none" w:sz="0" w:space="0" w:color="auto"/>
        <w:right w:val="none" w:sz="0" w:space="0" w:color="auto"/>
      </w:divBdr>
    </w:div>
    <w:div w:id="773355685">
      <w:bodyDiv w:val="1"/>
      <w:marLeft w:val="0"/>
      <w:marRight w:val="0"/>
      <w:marTop w:val="0"/>
      <w:marBottom w:val="0"/>
      <w:divBdr>
        <w:top w:val="none" w:sz="0" w:space="0" w:color="auto"/>
        <w:left w:val="none" w:sz="0" w:space="0" w:color="auto"/>
        <w:bottom w:val="none" w:sz="0" w:space="0" w:color="auto"/>
        <w:right w:val="none" w:sz="0" w:space="0" w:color="auto"/>
      </w:divBdr>
    </w:div>
    <w:div w:id="777484456">
      <w:bodyDiv w:val="1"/>
      <w:marLeft w:val="0"/>
      <w:marRight w:val="0"/>
      <w:marTop w:val="0"/>
      <w:marBottom w:val="0"/>
      <w:divBdr>
        <w:top w:val="none" w:sz="0" w:space="0" w:color="auto"/>
        <w:left w:val="none" w:sz="0" w:space="0" w:color="auto"/>
        <w:bottom w:val="none" w:sz="0" w:space="0" w:color="auto"/>
        <w:right w:val="none" w:sz="0" w:space="0" w:color="auto"/>
      </w:divBdr>
    </w:div>
    <w:div w:id="814834454">
      <w:bodyDiv w:val="1"/>
      <w:marLeft w:val="0"/>
      <w:marRight w:val="0"/>
      <w:marTop w:val="0"/>
      <w:marBottom w:val="0"/>
      <w:divBdr>
        <w:top w:val="none" w:sz="0" w:space="0" w:color="auto"/>
        <w:left w:val="none" w:sz="0" w:space="0" w:color="auto"/>
        <w:bottom w:val="none" w:sz="0" w:space="0" w:color="auto"/>
        <w:right w:val="none" w:sz="0" w:space="0" w:color="auto"/>
      </w:divBdr>
      <w:divsChild>
        <w:div w:id="1719742448">
          <w:marLeft w:val="0"/>
          <w:marRight w:val="0"/>
          <w:marTop w:val="0"/>
          <w:marBottom w:val="0"/>
          <w:divBdr>
            <w:top w:val="none" w:sz="0" w:space="0" w:color="auto"/>
            <w:left w:val="none" w:sz="0" w:space="0" w:color="auto"/>
            <w:bottom w:val="none" w:sz="0" w:space="0" w:color="auto"/>
            <w:right w:val="none" w:sz="0" w:space="0" w:color="auto"/>
          </w:divBdr>
          <w:divsChild>
            <w:div w:id="394015797">
              <w:marLeft w:val="0"/>
              <w:marRight w:val="0"/>
              <w:marTop w:val="0"/>
              <w:marBottom w:val="0"/>
              <w:divBdr>
                <w:top w:val="none" w:sz="0" w:space="0" w:color="auto"/>
                <w:left w:val="none" w:sz="0" w:space="0" w:color="auto"/>
                <w:bottom w:val="none" w:sz="0" w:space="0" w:color="auto"/>
                <w:right w:val="none" w:sz="0" w:space="0" w:color="auto"/>
              </w:divBdr>
              <w:divsChild>
                <w:div w:id="1942758480">
                  <w:marLeft w:val="0"/>
                  <w:marRight w:val="0"/>
                  <w:marTop w:val="0"/>
                  <w:marBottom w:val="0"/>
                  <w:divBdr>
                    <w:top w:val="none" w:sz="0" w:space="0" w:color="auto"/>
                    <w:left w:val="none" w:sz="0" w:space="0" w:color="auto"/>
                    <w:bottom w:val="none" w:sz="0" w:space="0" w:color="auto"/>
                    <w:right w:val="none" w:sz="0" w:space="0" w:color="auto"/>
                  </w:divBdr>
                  <w:divsChild>
                    <w:div w:id="1029650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0720667">
          <w:marLeft w:val="0"/>
          <w:marRight w:val="0"/>
          <w:marTop w:val="0"/>
          <w:marBottom w:val="0"/>
          <w:divBdr>
            <w:top w:val="none" w:sz="0" w:space="0" w:color="auto"/>
            <w:left w:val="none" w:sz="0" w:space="0" w:color="auto"/>
            <w:bottom w:val="none" w:sz="0" w:space="0" w:color="auto"/>
            <w:right w:val="none" w:sz="0" w:space="0" w:color="auto"/>
          </w:divBdr>
          <w:divsChild>
            <w:div w:id="205527630">
              <w:marLeft w:val="0"/>
              <w:marRight w:val="0"/>
              <w:marTop w:val="0"/>
              <w:marBottom w:val="0"/>
              <w:divBdr>
                <w:top w:val="none" w:sz="0" w:space="0" w:color="auto"/>
                <w:left w:val="none" w:sz="0" w:space="0" w:color="auto"/>
                <w:bottom w:val="none" w:sz="0" w:space="0" w:color="auto"/>
                <w:right w:val="none" w:sz="0" w:space="0" w:color="auto"/>
              </w:divBdr>
              <w:divsChild>
                <w:div w:id="2025666070">
                  <w:marLeft w:val="0"/>
                  <w:marRight w:val="0"/>
                  <w:marTop w:val="0"/>
                  <w:marBottom w:val="0"/>
                  <w:divBdr>
                    <w:top w:val="none" w:sz="0" w:space="0" w:color="auto"/>
                    <w:left w:val="none" w:sz="0" w:space="0" w:color="auto"/>
                    <w:bottom w:val="none" w:sz="0" w:space="0" w:color="auto"/>
                    <w:right w:val="none" w:sz="0" w:space="0" w:color="auto"/>
                  </w:divBdr>
                  <w:divsChild>
                    <w:div w:id="389574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4068140">
      <w:bodyDiv w:val="1"/>
      <w:marLeft w:val="0"/>
      <w:marRight w:val="0"/>
      <w:marTop w:val="0"/>
      <w:marBottom w:val="0"/>
      <w:divBdr>
        <w:top w:val="none" w:sz="0" w:space="0" w:color="auto"/>
        <w:left w:val="none" w:sz="0" w:space="0" w:color="auto"/>
        <w:bottom w:val="none" w:sz="0" w:space="0" w:color="auto"/>
        <w:right w:val="none" w:sz="0" w:space="0" w:color="auto"/>
      </w:divBdr>
    </w:div>
    <w:div w:id="927806700">
      <w:bodyDiv w:val="1"/>
      <w:marLeft w:val="0"/>
      <w:marRight w:val="0"/>
      <w:marTop w:val="0"/>
      <w:marBottom w:val="0"/>
      <w:divBdr>
        <w:top w:val="none" w:sz="0" w:space="0" w:color="auto"/>
        <w:left w:val="none" w:sz="0" w:space="0" w:color="auto"/>
        <w:bottom w:val="none" w:sz="0" w:space="0" w:color="auto"/>
        <w:right w:val="none" w:sz="0" w:space="0" w:color="auto"/>
      </w:divBdr>
    </w:div>
    <w:div w:id="955217976">
      <w:bodyDiv w:val="1"/>
      <w:marLeft w:val="0"/>
      <w:marRight w:val="0"/>
      <w:marTop w:val="0"/>
      <w:marBottom w:val="0"/>
      <w:divBdr>
        <w:top w:val="none" w:sz="0" w:space="0" w:color="auto"/>
        <w:left w:val="none" w:sz="0" w:space="0" w:color="auto"/>
        <w:bottom w:val="none" w:sz="0" w:space="0" w:color="auto"/>
        <w:right w:val="none" w:sz="0" w:space="0" w:color="auto"/>
      </w:divBdr>
    </w:div>
    <w:div w:id="1022516514">
      <w:bodyDiv w:val="1"/>
      <w:marLeft w:val="0"/>
      <w:marRight w:val="0"/>
      <w:marTop w:val="0"/>
      <w:marBottom w:val="0"/>
      <w:divBdr>
        <w:top w:val="none" w:sz="0" w:space="0" w:color="auto"/>
        <w:left w:val="none" w:sz="0" w:space="0" w:color="auto"/>
        <w:bottom w:val="none" w:sz="0" w:space="0" w:color="auto"/>
        <w:right w:val="none" w:sz="0" w:space="0" w:color="auto"/>
      </w:divBdr>
      <w:divsChild>
        <w:div w:id="558590784">
          <w:marLeft w:val="0"/>
          <w:marRight w:val="0"/>
          <w:marTop w:val="0"/>
          <w:marBottom w:val="0"/>
          <w:divBdr>
            <w:top w:val="none" w:sz="0" w:space="0" w:color="auto"/>
            <w:left w:val="none" w:sz="0" w:space="0" w:color="auto"/>
            <w:bottom w:val="none" w:sz="0" w:space="0" w:color="auto"/>
            <w:right w:val="none" w:sz="0" w:space="0" w:color="auto"/>
          </w:divBdr>
          <w:divsChild>
            <w:div w:id="1369531366">
              <w:marLeft w:val="0"/>
              <w:marRight w:val="0"/>
              <w:marTop w:val="0"/>
              <w:marBottom w:val="0"/>
              <w:divBdr>
                <w:top w:val="none" w:sz="0" w:space="0" w:color="auto"/>
                <w:left w:val="none" w:sz="0" w:space="0" w:color="auto"/>
                <w:bottom w:val="none" w:sz="0" w:space="0" w:color="auto"/>
                <w:right w:val="none" w:sz="0" w:space="0" w:color="auto"/>
              </w:divBdr>
              <w:divsChild>
                <w:div w:id="1090471623">
                  <w:marLeft w:val="0"/>
                  <w:marRight w:val="0"/>
                  <w:marTop w:val="0"/>
                  <w:marBottom w:val="0"/>
                  <w:divBdr>
                    <w:top w:val="none" w:sz="0" w:space="0" w:color="auto"/>
                    <w:left w:val="none" w:sz="0" w:space="0" w:color="auto"/>
                    <w:bottom w:val="none" w:sz="0" w:space="0" w:color="auto"/>
                    <w:right w:val="none" w:sz="0" w:space="0" w:color="auto"/>
                  </w:divBdr>
                  <w:divsChild>
                    <w:div w:id="659500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9508995">
          <w:marLeft w:val="0"/>
          <w:marRight w:val="0"/>
          <w:marTop w:val="0"/>
          <w:marBottom w:val="0"/>
          <w:divBdr>
            <w:top w:val="none" w:sz="0" w:space="0" w:color="auto"/>
            <w:left w:val="none" w:sz="0" w:space="0" w:color="auto"/>
            <w:bottom w:val="none" w:sz="0" w:space="0" w:color="auto"/>
            <w:right w:val="none" w:sz="0" w:space="0" w:color="auto"/>
          </w:divBdr>
          <w:divsChild>
            <w:div w:id="4788863">
              <w:marLeft w:val="0"/>
              <w:marRight w:val="0"/>
              <w:marTop w:val="0"/>
              <w:marBottom w:val="0"/>
              <w:divBdr>
                <w:top w:val="none" w:sz="0" w:space="0" w:color="auto"/>
                <w:left w:val="none" w:sz="0" w:space="0" w:color="auto"/>
                <w:bottom w:val="none" w:sz="0" w:space="0" w:color="auto"/>
                <w:right w:val="none" w:sz="0" w:space="0" w:color="auto"/>
              </w:divBdr>
              <w:divsChild>
                <w:div w:id="1599361757">
                  <w:marLeft w:val="0"/>
                  <w:marRight w:val="0"/>
                  <w:marTop w:val="0"/>
                  <w:marBottom w:val="0"/>
                  <w:divBdr>
                    <w:top w:val="none" w:sz="0" w:space="0" w:color="auto"/>
                    <w:left w:val="none" w:sz="0" w:space="0" w:color="auto"/>
                    <w:bottom w:val="none" w:sz="0" w:space="0" w:color="auto"/>
                    <w:right w:val="none" w:sz="0" w:space="0" w:color="auto"/>
                  </w:divBdr>
                  <w:divsChild>
                    <w:div w:id="331834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3677453">
      <w:bodyDiv w:val="1"/>
      <w:marLeft w:val="0"/>
      <w:marRight w:val="0"/>
      <w:marTop w:val="0"/>
      <w:marBottom w:val="0"/>
      <w:divBdr>
        <w:top w:val="none" w:sz="0" w:space="0" w:color="auto"/>
        <w:left w:val="none" w:sz="0" w:space="0" w:color="auto"/>
        <w:bottom w:val="none" w:sz="0" w:space="0" w:color="auto"/>
        <w:right w:val="none" w:sz="0" w:space="0" w:color="auto"/>
      </w:divBdr>
    </w:div>
    <w:div w:id="1047728986">
      <w:bodyDiv w:val="1"/>
      <w:marLeft w:val="0"/>
      <w:marRight w:val="0"/>
      <w:marTop w:val="0"/>
      <w:marBottom w:val="0"/>
      <w:divBdr>
        <w:top w:val="none" w:sz="0" w:space="0" w:color="auto"/>
        <w:left w:val="none" w:sz="0" w:space="0" w:color="auto"/>
        <w:bottom w:val="none" w:sz="0" w:space="0" w:color="auto"/>
        <w:right w:val="none" w:sz="0" w:space="0" w:color="auto"/>
      </w:divBdr>
    </w:div>
    <w:div w:id="1063987112">
      <w:bodyDiv w:val="1"/>
      <w:marLeft w:val="0"/>
      <w:marRight w:val="0"/>
      <w:marTop w:val="0"/>
      <w:marBottom w:val="0"/>
      <w:divBdr>
        <w:top w:val="none" w:sz="0" w:space="0" w:color="auto"/>
        <w:left w:val="none" w:sz="0" w:space="0" w:color="auto"/>
        <w:bottom w:val="none" w:sz="0" w:space="0" w:color="auto"/>
        <w:right w:val="none" w:sz="0" w:space="0" w:color="auto"/>
      </w:divBdr>
      <w:divsChild>
        <w:div w:id="991838389">
          <w:marLeft w:val="0"/>
          <w:marRight w:val="0"/>
          <w:marTop w:val="0"/>
          <w:marBottom w:val="0"/>
          <w:divBdr>
            <w:top w:val="none" w:sz="0" w:space="0" w:color="auto"/>
            <w:left w:val="none" w:sz="0" w:space="0" w:color="auto"/>
            <w:bottom w:val="none" w:sz="0" w:space="0" w:color="auto"/>
            <w:right w:val="none" w:sz="0" w:space="0" w:color="auto"/>
          </w:divBdr>
          <w:divsChild>
            <w:div w:id="275450622">
              <w:marLeft w:val="0"/>
              <w:marRight w:val="0"/>
              <w:marTop w:val="0"/>
              <w:marBottom w:val="0"/>
              <w:divBdr>
                <w:top w:val="none" w:sz="0" w:space="0" w:color="auto"/>
                <w:left w:val="none" w:sz="0" w:space="0" w:color="auto"/>
                <w:bottom w:val="none" w:sz="0" w:space="0" w:color="auto"/>
                <w:right w:val="none" w:sz="0" w:space="0" w:color="auto"/>
              </w:divBdr>
              <w:divsChild>
                <w:div w:id="1377511027">
                  <w:marLeft w:val="0"/>
                  <w:marRight w:val="0"/>
                  <w:marTop w:val="0"/>
                  <w:marBottom w:val="0"/>
                  <w:divBdr>
                    <w:top w:val="none" w:sz="0" w:space="0" w:color="auto"/>
                    <w:left w:val="none" w:sz="0" w:space="0" w:color="auto"/>
                    <w:bottom w:val="none" w:sz="0" w:space="0" w:color="auto"/>
                    <w:right w:val="none" w:sz="0" w:space="0" w:color="auto"/>
                  </w:divBdr>
                  <w:divsChild>
                    <w:div w:id="468480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3238892">
          <w:marLeft w:val="0"/>
          <w:marRight w:val="0"/>
          <w:marTop w:val="0"/>
          <w:marBottom w:val="0"/>
          <w:divBdr>
            <w:top w:val="none" w:sz="0" w:space="0" w:color="auto"/>
            <w:left w:val="none" w:sz="0" w:space="0" w:color="auto"/>
            <w:bottom w:val="none" w:sz="0" w:space="0" w:color="auto"/>
            <w:right w:val="none" w:sz="0" w:space="0" w:color="auto"/>
          </w:divBdr>
          <w:divsChild>
            <w:div w:id="1447576685">
              <w:marLeft w:val="0"/>
              <w:marRight w:val="0"/>
              <w:marTop w:val="0"/>
              <w:marBottom w:val="0"/>
              <w:divBdr>
                <w:top w:val="none" w:sz="0" w:space="0" w:color="auto"/>
                <w:left w:val="none" w:sz="0" w:space="0" w:color="auto"/>
                <w:bottom w:val="none" w:sz="0" w:space="0" w:color="auto"/>
                <w:right w:val="none" w:sz="0" w:space="0" w:color="auto"/>
              </w:divBdr>
              <w:divsChild>
                <w:div w:id="2113822792">
                  <w:marLeft w:val="0"/>
                  <w:marRight w:val="0"/>
                  <w:marTop w:val="0"/>
                  <w:marBottom w:val="0"/>
                  <w:divBdr>
                    <w:top w:val="none" w:sz="0" w:space="0" w:color="auto"/>
                    <w:left w:val="none" w:sz="0" w:space="0" w:color="auto"/>
                    <w:bottom w:val="none" w:sz="0" w:space="0" w:color="auto"/>
                    <w:right w:val="none" w:sz="0" w:space="0" w:color="auto"/>
                  </w:divBdr>
                  <w:divsChild>
                    <w:div w:id="133838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9814429">
      <w:bodyDiv w:val="1"/>
      <w:marLeft w:val="0"/>
      <w:marRight w:val="0"/>
      <w:marTop w:val="0"/>
      <w:marBottom w:val="0"/>
      <w:divBdr>
        <w:top w:val="none" w:sz="0" w:space="0" w:color="auto"/>
        <w:left w:val="none" w:sz="0" w:space="0" w:color="auto"/>
        <w:bottom w:val="none" w:sz="0" w:space="0" w:color="auto"/>
        <w:right w:val="none" w:sz="0" w:space="0" w:color="auto"/>
      </w:divBdr>
    </w:div>
    <w:div w:id="1142774534">
      <w:bodyDiv w:val="1"/>
      <w:marLeft w:val="0"/>
      <w:marRight w:val="0"/>
      <w:marTop w:val="0"/>
      <w:marBottom w:val="0"/>
      <w:divBdr>
        <w:top w:val="none" w:sz="0" w:space="0" w:color="auto"/>
        <w:left w:val="none" w:sz="0" w:space="0" w:color="auto"/>
        <w:bottom w:val="none" w:sz="0" w:space="0" w:color="auto"/>
        <w:right w:val="none" w:sz="0" w:space="0" w:color="auto"/>
      </w:divBdr>
    </w:div>
    <w:div w:id="1149904702">
      <w:bodyDiv w:val="1"/>
      <w:marLeft w:val="0"/>
      <w:marRight w:val="0"/>
      <w:marTop w:val="0"/>
      <w:marBottom w:val="0"/>
      <w:divBdr>
        <w:top w:val="none" w:sz="0" w:space="0" w:color="auto"/>
        <w:left w:val="none" w:sz="0" w:space="0" w:color="auto"/>
        <w:bottom w:val="none" w:sz="0" w:space="0" w:color="auto"/>
        <w:right w:val="none" w:sz="0" w:space="0" w:color="auto"/>
      </w:divBdr>
      <w:divsChild>
        <w:div w:id="1337226387">
          <w:marLeft w:val="0"/>
          <w:marRight w:val="0"/>
          <w:marTop w:val="0"/>
          <w:marBottom w:val="0"/>
          <w:divBdr>
            <w:top w:val="none" w:sz="0" w:space="0" w:color="auto"/>
            <w:left w:val="none" w:sz="0" w:space="0" w:color="auto"/>
            <w:bottom w:val="none" w:sz="0" w:space="0" w:color="auto"/>
            <w:right w:val="none" w:sz="0" w:space="0" w:color="auto"/>
          </w:divBdr>
          <w:divsChild>
            <w:div w:id="910165081">
              <w:marLeft w:val="0"/>
              <w:marRight w:val="0"/>
              <w:marTop w:val="0"/>
              <w:marBottom w:val="0"/>
              <w:divBdr>
                <w:top w:val="none" w:sz="0" w:space="0" w:color="auto"/>
                <w:left w:val="none" w:sz="0" w:space="0" w:color="auto"/>
                <w:bottom w:val="none" w:sz="0" w:space="0" w:color="auto"/>
                <w:right w:val="none" w:sz="0" w:space="0" w:color="auto"/>
              </w:divBdr>
              <w:divsChild>
                <w:div w:id="1505389537">
                  <w:marLeft w:val="0"/>
                  <w:marRight w:val="0"/>
                  <w:marTop w:val="0"/>
                  <w:marBottom w:val="0"/>
                  <w:divBdr>
                    <w:top w:val="none" w:sz="0" w:space="0" w:color="auto"/>
                    <w:left w:val="none" w:sz="0" w:space="0" w:color="auto"/>
                    <w:bottom w:val="none" w:sz="0" w:space="0" w:color="auto"/>
                    <w:right w:val="none" w:sz="0" w:space="0" w:color="auto"/>
                  </w:divBdr>
                  <w:divsChild>
                    <w:div w:id="756941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0308949">
          <w:marLeft w:val="0"/>
          <w:marRight w:val="0"/>
          <w:marTop w:val="0"/>
          <w:marBottom w:val="0"/>
          <w:divBdr>
            <w:top w:val="none" w:sz="0" w:space="0" w:color="auto"/>
            <w:left w:val="none" w:sz="0" w:space="0" w:color="auto"/>
            <w:bottom w:val="none" w:sz="0" w:space="0" w:color="auto"/>
            <w:right w:val="none" w:sz="0" w:space="0" w:color="auto"/>
          </w:divBdr>
          <w:divsChild>
            <w:div w:id="1113985387">
              <w:marLeft w:val="0"/>
              <w:marRight w:val="0"/>
              <w:marTop w:val="0"/>
              <w:marBottom w:val="0"/>
              <w:divBdr>
                <w:top w:val="none" w:sz="0" w:space="0" w:color="auto"/>
                <w:left w:val="none" w:sz="0" w:space="0" w:color="auto"/>
                <w:bottom w:val="none" w:sz="0" w:space="0" w:color="auto"/>
                <w:right w:val="none" w:sz="0" w:space="0" w:color="auto"/>
              </w:divBdr>
              <w:divsChild>
                <w:div w:id="781458082">
                  <w:marLeft w:val="0"/>
                  <w:marRight w:val="0"/>
                  <w:marTop w:val="0"/>
                  <w:marBottom w:val="0"/>
                  <w:divBdr>
                    <w:top w:val="none" w:sz="0" w:space="0" w:color="auto"/>
                    <w:left w:val="none" w:sz="0" w:space="0" w:color="auto"/>
                    <w:bottom w:val="none" w:sz="0" w:space="0" w:color="auto"/>
                    <w:right w:val="none" w:sz="0" w:space="0" w:color="auto"/>
                  </w:divBdr>
                  <w:divsChild>
                    <w:div w:id="1330795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1311871">
      <w:bodyDiv w:val="1"/>
      <w:marLeft w:val="0"/>
      <w:marRight w:val="0"/>
      <w:marTop w:val="0"/>
      <w:marBottom w:val="0"/>
      <w:divBdr>
        <w:top w:val="none" w:sz="0" w:space="0" w:color="auto"/>
        <w:left w:val="none" w:sz="0" w:space="0" w:color="auto"/>
        <w:bottom w:val="none" w:sz="0" w:space="0" w:color="auto"/>
        <w:right w:val="none" w:sz="0" w:space="0" w:color="auto"/>
      </w:divBdr>
    </w:div>
    <w:div w:id="1164394399">
      <w:bodyDiv w:val="1"/>
      <w:marLeft w:val="0"/>
      <w:marRight w:val="0"/>
      <w:marTop w:val="0"/>
      <w:marBottom w:val="0"/>
      <w:divBdr>
        <w:top w:val="none" w:sz="0" w:space="0" w:color="auto"/>
        <w:left w:val="none" w:sz="0" w:space="0" w:color="auto"/>
        <w:bottom w:val="none" w:sz="0" w:space="0" w:color="auto"/>
        <w:right w:val="none" w:sz="0" w:space="0" w:color="auto"/>
      </w:divBdr>
    </w:div>
    <w:div w:id="1170952240">
      <w:bodyDiv w:val="1"/>
      <w:marLeft w:val="0"/>
      <w:marRight w:val="0"/>
      <w:marTop w:val="0"/>
      <w:marBottom w:val="0"/>
      <w:divBdr>
        <w:top w:val="none" w:sz="0" w:space="0" w:color="auto"/>
        <w:left w:val="none" w:sz="0" w:space="0" w:color="auto"/>
        <w:bottom w:val="none" w:sz="0" w:space="0" w:color="auto"/>
        <w:right w:val="none" w:sz="0" w:space="0" w:color="auto"/>
      </w:divBdr>
    </w:div>
    <w:div w:id="1184435412">
      <w:bodyDiv w:val="1"/>
      <w:marLeft w:val="0"/>
      <w:marRight w:val="0"/>
      <w:marTop w:val="0"/>
      <w:marBottom w:val="0"/>
      <w:divBdr>
        <w:top w:val="none" w:sz="0" w:space="0" w:color="auto"/>
        <w:left w:val="none" w:sz="0" w:space="0" w:color="auto"/>
        <w:bottom w:val="none" w:sz="0" w:space="0" w:color="auto"/>
        <w:right w:val="none" w:sz="0" w:space="0" w:color="auto"/>
      </w:divBdr>
    </w:div>
    <w:div w:id="1184788327">
      <w:bodyDiv w:val="1"/>
      <w:marLeft w:val="0"/>
      <w:marRight w:val="0"/>
      <w:marTop w:val="0"/>
      <w:marBottom w:val="0"/>
      <w:divBdr>
        <w:top w:val="none" w:sz="0" w:space="0" w:color="auto"/>
        <w:left w:val="none" w:sz="0" w:space="0" w:color="auto"/>
        <w:bottom w:val="none" w:sz="0" w:space="0" w:color="auto"/>
        <w:right w:val="none" w:sz="0" w:space="0" w:color="auto"/>
      </w:divBdr>
    </w:div>
    <w:div w:id="1203637308">
      <w:bodyDiv w:val="1"/>
      <w:marLeft w:val="0"/>
      <w:marRight w:val="0"/>
      <w:marTop w:val="0"/>
      <w:marBottom w:val="0"/>
      <w:divBdr>
        <w:top w:val="none" w:sz="0" w:space="0" w:color="auto"/>
        <w:left w:val="none" w:sz="0" w:space="0" w:color="auto"/>
        <w:bottom w:val="none" w:sz="0" w:space="0" w:color="auto"/>
        <w:right w:val="none" w:sz="0" w:space="0" w:color="auto"/>
      </w:divBdr>
    </w:div>
    <w:div w:id="1226603163">
      <w:bodyDiv w:val="1"/>
      <w:marLeft w:val="0"/>
      <w:marRight w:val="0"/>
      <w:marTop w:val="0"/>
      <w:marBottom w:val="0"/>
      <w:divBdr>
        <w:top w:val="none" w:sz="0" w:space="0" w:color="auto"/>
        <w:left w:val="none" w:sz="0" w:space="0" w:color="auto"/>
        <w:bottom w:val="none" w:sz="0" w:space="0" w:color="auto"/>
        <w:right w:val="none" w:sz="0" w:space="0" w:color="auto"/>
      </w:divBdr>
    </w:div>
    <w:div w:id="1241326787">
      <w:bodyDiv w:val="1"/>
      <w:marLeft w:val="0"/>
      <w:marRight w:val="0"/>
      <w:marTop w:val="0"/>
      <w:marBottom w:val="0"/>
      <w:divBdr>
        <w:top w:val="none" w:sz="0" w:space="0" w:color="auto"/>
        <w:left w:val="none" w:sz="0" w:space="0" w:color="auto"/>
        <w:bottom w:val="none" w:sz="0" w:space="0" w:color="auto"/>
        <w:right w:val="none" w:sz="0" w:space="0" w:color="auto"/>
      </w:divBdr>
    </w:div>
    <w:div w:id="1283027234">
      <w:bodyDiv w:val="1"/>
      <w:marLeft w:val="0"/>
      <w:marRight w:val="0"/>
      <w:marTop w:val="0"/>
      <w:marBottom w:val="0"/>
      <w:divBdr>
        <w:top w:val="none" w:sz="0" w:space="0" w:color="auto"/>
        <w:left w:val="none" w:sz="0" w:space="0" w:color="auto"/>
        <w:bottom w:val="none" w:sz="0" w:space="0" w:color="auto"/>
        <w:right w:val="none" w:sz="0" w:space="0" w:color="auto"/>
      </w:divBdr>
    </w:div>
    <w:div w:id="1303540790">
      <w:bodyDiv w:val="1"/>
      <w:marLeft w:val="0"/>
      <w:marRight w:val="0"/>
      <w:marTop w:val="0"/>
      <w:marBottom w:val="0"/>
      <w:divBdr>
        <w:top w:val="none" w:sz="0" w:space="0" w:color="auto"/>
        <w:left w:val="none" w:sz="0" w:space="0" w:color="auto"/>
        <w:bottom w:val="none" w:sz="0" w:space="0" w:color="auto"/>
        <w:right w:val="none" w:sz="0" w:space="0" w:color="auto"/>
      </w:divBdr>
      <w:divsChild>
        <w:div w:id="2117825520">
          <w:marLeft w:val="0"/>
          <w:marRight w:val="0"/>
          <w:marTop w:val="0"/>
          <w:marBottom w:val="0"/>
          <w:divBdr>
            <w:top w:val="none" w:sz="0" w:space="0" w:color="auto"/>
            <w:left w:val="none" w:sz="0" w:space="0" w:color="auto"/>
            <w:bottom w:val="none" w:sz="0" w:space="0" w:color="auto"/>
            <w:right w:val="none" w:sz="0" w:space="0" w:color="auto"/>
          </w:divBdr>
          <w:divsChild>
            <w:div w:id="45108092">
              <w:marLeft w:val="0"/>
              <w:marRight w:val="0"/>
              <w:marTop w:val="0"/>
              <w:marBottom w:val="0"/>
              <w:divBdr>
                <w:top w:val="none" w:sz="0" w:space="0" w:color="auto"/>
                <w:left w:val="none" w:sz="0" w:space="0" w:color="auto"/>
                <w:bottom w:val="none" w:sz="0" w:space="0" w:color="auto"/>
                <w:right w:val="none" w:sz="0" w:space="0" w:color="auto"/>
              </w:divBdr>
              <w:divsChild>
                <w:div w:id="843471261">
                  <w:marLeft w:val="0"/>
                  <w:marRight w:val="0"/>
                  <w:marTop w:val="0"/>
                  <w:marBottom w:val="0"/>
                  <w:divBdr>
                    <w:top w:val="none" w:sz="0" w:space="0" w:color="auto"/>
                    <w:left w:val="none" w:sz="0" w:space="0" w:color="auto"/>
                    <w:bottom w:val="none" w:sz="0" w:space="0" w:color="auto"/>
                    <w:right w:val="none" w:sz="0" w:space="0" w:color="auto"/>
                  </w:divBdr>
                  <w:divsChild>
                    <w:div w:id="152109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4725679">
          <w:marLeft w:val="0"/>
          <w:marRight w:val="0"/>
          <w:marTop w:val="0"/>
          <w:marBottom w:val="0"/>
          <w:divBdr>
            <w:top w:val="none" w:sz="0" w:space="0" w:color="auto"/>
            <w:left w:val="none" w:sz="0" w:space="0" w:color="auto"/>
            <w:bottom w:val="none" w:sz="0" w:space="0" w:color="auto"/>
            <w:right w:val="none" w:sz="0" w:space="0" w:color="auto"/>
          </w:divBdr>
          <w:divsChild>
            <w:div w:id="263810404">
              <w:marLeft w:val="0"/>
              <w:marRight w:val="0"/>
              <w:marTop w:val="0"/>
              <w:marBottom w:val="0"/>
              <w:divBdr>
                <w:top w:val="none" w:sz="0" w:space="0" w:color="auto"/>
                <w:left w:val="none" w:sz="0" w:space="0" w:color="auto"/>
                <w:bottom w:val="none" w:sz="0" w:space="0" w:color="auto"/>
                <w:right w:val="none" w:sz="0" w:space="0" w:color="auto"/>
              </w:divBdr>
              <w:divsChild>
                <w:div w:id="327826680">
                  <w:marLeft w:val="0"/>
                  <w:marRight w:val="0"/>
                  <w:marTop w:val="0"/>
                  <w:marBottom w:val="0"/>
                  <w:divBdr>
                    <w:top w:val="none" w:sz="0" w:space="0" w:color="auto"/>
                    <w:left w:val="none" w:sz="0" w:space="0" w:color="auto"/>
                    <w:bottom w:val="none" w:sz="0" w:space="0" w:color="auto"/>
                    <w:right w:val="none" w:sz="0" w:space="0" w:color="auto"/>
                  </w:divBdr>
                  <w:divsChild>
                    <w:div w:id="1672178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1999642">
      <w:bodyDiv w:val="1"/>
      <w:marLeft w:val="0"/>
      <w:marRight w:val="0"/>
      <w:marTop w:val="0"/>
      <w:marBottom w:val="0"/>
      <w:divBdr>
        <w:top w:val="none" w:sz="0" w:space="0" w:color="auto"/>
        <w:left w:val="none" w:sz="0" w:space="0" w:color="auto"/>
        <w:bottom w:val="none" w:sz="0" w:space="0" w:color="auto"/>
        <w:right w:val="none" w:sz="0" w:space="0" w:color="auto"/>
      </w:divBdr>
    </w:div>
    <w:div w:id="1423142312">
      <w:bodyDiv w:val="1"/>
      <w:marLeft w:val="0"/>
      <w:marRight w:val="0"/>
      <w:marTop w:val="0"/>
      <w:marBottom w:val="0"/>
      <w:divBdr>
        <w:top w:val="none" w:sz="0" w:space="0" w:color="auto"/>
        <w:left w:val="none" w:sz="0" w:space="0" w:color="auto"/>
        <w:bottom w:val="none" w:sz="0" w:space="0" w:color="auto"/>
        <w:right w:val="none" w:sz="0" w:space="0" w:color="auto"/>
      </w:divBdr>
    </w:div>
    <w:div w:id="1439570150">
      <w:bodyDiv w:val="1"/>
      <w:marLeft w:val="0"/>
      <w:marRight w:val="0"/>
      <w:marTop w:val="0"/>
      <w:marBottom w:val="0"/>
      <w:divBdr>
        <w:top w:val="none" w:sz="0" w:space="0" w:color="auto"/>
        <w:left w:val="none" w:sz="0" w:space="0" w:color="auto"/>
        <w:bottom w:val="none" w:sz="0" w:space="0" w:color="auto"/>
        <w:right w:val="none" w:sz="0" w:space="0" w:color="auto"/>
      </w:divBdr>
    </w:div>
    <w:div w:id="1467162370">
      <w:bodyDiv w:val="1"/>
      <w:marLeft w:val="0"/>
      <w:marRight w:val="0"/>
      <w:marTop w:val="0"/>
      <w:marBottom w:val="0"/>
      <w:divBdr>
        <w:top w:val="none" w:sz="0" w:space="0" w:color="auto"/>
        <w:left w:val="none" w:sz="0" w:space="0" w:color="auto"/>
        <w:bottom w:val="none" w:sz="0" w:space="0" w:color="auto"/>
        <w:right w:val="none" w:sz="0" w:space="0" w:color="auto"/>
      </w:divBdr>
    </w:div>
    <w:div w:id="1476753414">
      <w:bodyDiv w:val="1"/>
      <w:marLeft w:val="0"/>
      <w:marRight w:val="0"/>
      <w:marTop w:val="0"/>
      <w:marBottom w:val="0"/>
      <w:divBdr>
        <w:top w:val="none" w:sz="0" w:space="0" w:color="auto"/>
        <w:left w:val="none" w:sz="0" w:space="0" w:color="auto"/>
        <w:bottom w:val="none" w:sz="0" w:space="0" w:color="auto"/>
        <w:right w:val="none" w:sz="0" w:space="0" w:color="auto"/>
      </w:divBdr>
    </w:div>
    <w:div w:id="1500542517">
      <w:bodyDiv w:val="1"/>
      <w:marLeft w:val="0"/>
      <w:marRight w:val="0"/>
      <w:marTop w:val="0"/>
      <w:marBottom w:val="0"/>
      <w:divBdr>
        <w:top w:val="none" w:sz="0" w:space="0" w:color="auto"/>
        <w:left w:val="none" w:sz="0" w:space="0" w:color="auto"/>
        <w:bottom w:val="none" w:sz="0" w:space="0" w:color="auto"/>
        <w:right w:val="none" w:sz="0" w:space="0" w:color="auto"/>
      </w:divBdr>
    </w:div>
    <w:div w:id="1527982167">
      <w:bodyDiv w:val="1"/>
      <w:marLeft w:val="0"/>
      <w:marRight w:val="0"/>
      <w:marTop w:val="0"/>
      <w:marBottom w:val="0"/>
      <w:divBdr>
        <w:top w:val="none" w:sz="0" w:space="0" w:color="auto"/>
        <w:left w:val="none" w:sz="0" w:space="0" w:color="auto"/>
        <w:bottom w:val="none" w:sz="0" w:space="0" w:color="auto"/>
        <w:right w:val="none" w:sz="0" w:space="0" w:color="auto"/>
      </w:divBdr>
    </w:div>
    <w:div w:id="1544750781">
      <w:bodyDiv w:val="1"/>
      <w:marLeft w:val="0"/>
      <w:marRight w:val="0"/>
      <w:marTop w:val="0"/>
      <w:marBottom w:val="0"/>
      <w:divBdr>
        <w:top w:val="none" w:sz="0" w:space="0" w:color="auto"/>
        <w:left w:val="none" w:sz="0" w:space="0" w:color="auto"/>
        <w:bottom w:val="none" w:sz="0" w:space="0" w:color="auto"/>
        <w:right w:val="none" w:sz="0" w:space="0" w:color="auto"/>
      </w:divBdr>
      <w:divsChild>
        <w:div w:id="1701122636">
          <w:marLeft w:val="0"/>
          <w:marRight w:val="0"/>
          <w:marTop w:val="0"/>
          <w:marBottom w:val="0"/>
          <w:divBdr>
            <w:top w:val="none" w:sz="0" w:space="0" w:color="auto"/>
            <w:left w:val="none" w:sz="0" w:space="0" w:color="auto"/>
            <w:bottom w:val="none" w:sz="0" w:space="0" w:color="auto"/>
            <w:right w:val="none" w:sz="0" w:space="0" w:color="auto"/>
          </w:divBdr>
          <w:divsChild>
            <w:div w:id="596256867">
              <w:marLeft w:val="0"/>
              <w:marRight w:val="0"/>
              <w:marTop w:val="0"/>
              <w:marBottom w:val="0"/>
              <w:divBdr>
                <w:top w:val="none" w:sz="0" w:space="0" w:color="auto"/>
                <w:left w:val="none" w:sz="0" w:space="0" w:color="auto"/>
                <w:bottom w:val="none" w:sz="0" w:space="0" w:color="auto"/>
                <w:right w:val="none" w:sz="0" w:space="0" w:color="auto"/>
              </w:divBdr>
              <w:divsChild>
                <w:div w:id="1929579592">
                  <w:marLeft w:val="0"/>
                  <w:marRight w:val="0"/>
                  <w:marTop w:val="0"/>
                  <w:marBottom w:val="0"/>
                  <w:divBdr>
                    <w:top w:val="none" w:sz="0" w:space="0" w:color="auto"/>
                    <w:left w:val="none" w:sz="0" w:space="0" w:color="auto"/>
                    <w:bottom w:val="none" w:sz="0" w:space="0" w:color="auto"/>
                    <w:right w:val="none" w:sz="0" w:space="0" w:color="auto"/>
                  </w:divBdr>
                  <w:divsChild>
                    <w:div w:id="925847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8772157">
          <w:marLeft w:val="0"/>
          <w:marRight w:val="0"/>
          <w:marTop w:val="0"/>
          <w:marBottom w:val="0"/>
          <w:divBdr>
            <w:top w:val="none" w:sz="0" w:space="0" w:color="auto"/>
            <w:left w:val="none" w:sz="0" w:space="0" w:color="auto"/>
            <w:bottom w:val="none" w:sz="0" w:space="0" w:color="auto"/>
            <w:right w:val="none" w:sz="0" w:space="0" w:color="auto"/>
          </w:divBdr>
          <w:divsChild>
            <w:div w:id="1368750847">
              <w:marLeft w:val="0"/>
              <w:marRight w:val="0"/>
              <w:marTop w:val="0"/>
              <w:marBottom w:val="0"/>
              <w:divBdr>
                <w:top w:val="none" w:sz="0" w:space="0" w:color="auto"/>
                <w:left w:val="none" w:sz="0" w:space="0" w:color="auto"/>
                <w:bottom w:val="none" w:sz="0" w:space="0" w:color="auto"/>
                <w:right w:val="none" w:sz="0" w:space="0" w:color="auto"/>
              </w:divBdr>
              <w:divsChild>
                <w:div w:id="561599069">
                  <w:marLeft w:val="0"/>
                  <w:marRight w:val="0"/>
                  <w:marTop w:val="0"/>
                  <w:marBottom w:val="0"/>
                  <w:divBdr>
                    <w:top w:val="none" w:sz="0" w:space="0" w:color="auto"/>
                    <w:left w:val="none" w:sz="0" w:space="0" w:color="auto"/>
                    <w:bottom w:val="none" w:sz="0" w:space="0" w:color="auto"/>
                    <w:right w:val="none" w:sz="0" w:space="0" w:color="auto"/>
                  </w:divBdr>
                  <w:divsChild>
                    <w:div w:id="177000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5429622">
      <w:bodyDiv w:val="1"/>
      <w:marLeft w:val="0"/>
      <w:marRight w:val="0"/>
      <w:marTop w:val="0"/>
      <w:marBottom w:val="0"/>
      <w:divBdr>
        <w:top w:val="none" w:sz="0" w:space="0" w:color="auto"/>
        <w:left w:val="none" w:sz="0" w:space="0" w:color="auto"/>
        <w:bottom w:val="none" w:sz="0" w:space="0" w:color="auto"/>
        <w:right w:val="none" w:sz="0" w:space="0" w:color="auto"/>
      </w:divBdr>
    </w:div>
    <w:div w:id="1650133065">
      <w:bodyDiv w:val="1"/>
      <w:marLeft w:val="0"/>
      <w:marRight w:val="0"/>
      <w:marTop w:val="0"/>
      <w:marBottom w:val="0"/>
      <w:divBdr>
        <w:top w:val="none" w:sz="0" w:space="0" w:color="auto"/>
        <w:left w:val="none" w:sz="0" w:space="0" w:color="auto"/>
        <w:bottom w:val="none" w:sz="0" w:space="0" w:color="auto"/>
        <w:right w:val="none" w:sz="0" w:space="0" w:color="auto"/>
      </w:divBdr>
      <w:divsChild>
        <w:div w:id="431554871">
          <w:marLeft w:val="0"/>
          <w:marRight w:val="0"/>
          <w:marTop w:val="0"/>
          <w:marBottom w:val="0"/>
          <w:divBdr>
            <w:top w:val="none" w:sz="0" w:space="0" w:color="auto"/>
            <w:left w:val="none" w:sz="0" w:space="0" w:color="auto"/>
            <w:bottom w:val="none" w:sz="0" w:space="0" w:color="auto"/>
            <w:right w:val="none" w:sz="0" w:space="0" w:color="auto"/>
          </w:divBdr>
          <w:divsChild>
            <w:div w:id="380177726">
              <w:marLeft w:val="0"/>
              <w:marRight w:val="0"/>
              <w:marTop w:val="0"/>
              <w:marBottom w:val="0"/>
              <w:divBdr>
                <w:top w:val="none" w:sz="0" w:space="0" w:color="auto"/>
                <w:left w:val="none" w:sz="0" w:space="0" w:color="auto"/>
                <w:bottom w:val="none" w:sz="0" w:space="0" w:color="auto"/>
                <w:right w:val="none" w:sz="0" w:space="0" w:color="auto"/>
              </w:divBdr>
              <w:divsChild>
                <w:div w:id="1489009730">
                  <w:marLeft w:val="0"/>
                  <w:marRight w:val="0"/>
                  <w:marTop w:val="0"/>
                  <w:marBottom w:val="0"/>
                  <w:divBdr>
                    <w:top w:val="none" w:sz="0" w:space="0" w:color="auto"/>
                    <w:left w:val="none" w:sz="0" w:space="0" w:color="auto"/>
                    <w:bottom w:val="none" w:sz="0" w:space="0" w:color="auto"/>
                    <w:right w:val="none" w:sz="0" w:space="0" w:color="auto"/>
                  </w:divBdr>
                  <w:divsChild>
                    <w:div w:id="932976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4767693">
          <w:marLeft w:val="0"/>
          <w:marRight w:val="0"/>
          <w:marTop w:val="0"/>
          <w:marBottom w:val="0"/>
          <w:divBdr>
            <w:top w:val="none" w:sz="0" w:space="0" w:color="auto"/>
            <w:left w:val="none" w:sz="0" w:space="0" w:color="auto"/>
            <w:bottom w:val="none" w:sz="0" w:space="0" w:color="auto"/>
            <w:right w:val="none" w:sz="0" w:space="0" w:color="auto"/>
          </w:divBdr>
          <w:divsChild>
            <w:div w:id="2070109280">
              <w:marLeft w:val="0"/>
              <w:marRight w:val="0"/>
              <w:marTop w:val="0"/>
              <w:marBottom w:val="0"/>
              <w:divBdr>
                <w:top w:val="none" w:sz="0" w:space="0" w:color="auto"/>
                <w:left w:val="none" w:sz="0" w:space="0" w:color="auto"/>
                <w:bottom w:val="none" w:sz="0" w:space="0" w:color="auto"/>
                <w:right w:val="none" w:sz="0" w:space="0" w:color="auto"/>
              </w:divBdr>
              <w:divsChild>
                <w:div w:id="1804039910">
                  <w:marLeft w:val="0"/>
                  <w:marRight w:val="0"/>
                  <w:marTop w:val="0"/>
                  <w:marBottom w:val="0"/>
                  <w:divBdr>
                    <w:top w:val="none" w:sz="0" w:space="0" w:color="auto"/>
                    <w:left w:val="none" w:sz="0" w:space="0" w:color="auto"/>
                    <w:bottom w:val="none" w:sz="0" w:space="0" w:color="auto"/>
                    <w:right w:val="none" w:sz="0" w:space="0" w:color="auto"/>
                  </w:divBdr>
                  <w:divsChild>
                    <w:div w:id="324864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0642170">
      <w:bodyDiv w:val="1"/>
      <w:marLeft w:val="0"/>
      <w:marRight w:val="0"/>
      <w:marTop w:val="0"/>
      <w:marBottom w:val="0"/>
      <w:divBdr>
        <w:top w:val="none" w:sz="0" w:space="0" w:color="auto"/>
        <w:left w:val="none" w:sz="0" w:space="0" w:color="auto"/>
        <w:bottom w:val="none" w:sz="0" w:space="0" w:color="auto"/>
        <w:right w:val="none" w:sz="0" w:space="0" w:color="auto"/>
      </w:divBdr>
    </w:div>
    <w:div w:id="1758288443">
      <w:bodyDiv w:val="1"/>
      <w:marLeft w:val="0"/>
      <w:marRight w:val="0"/>
      <w:marTop w:val="0"/>
      <w:marBottom w:val="0"/>
      <w:divBdr>
        <w:top w:val="none" w:sz="0" w:space="0" w:color="auto"/>
        <w:left w:val="none" w:sz="0" w:space="0" w:color="auto"/>
        <w:bottom w:val="none" w:sz="0" w:space="0" w:color="auto"/>
        <w:right w:val="none" w:sz="0" w:space="0" w:color="auto"/>
      </w:divBdr>
    </w:div>
    <w:div w:id="1764448772">
      <w:bodyDiv w:val="1"/>
      <w:marLeft w:val="0"/>
      <w:marRight w:val="0"/>
      <w:marTop w:val="0"/>
      <w:marBottom w:val="0"/>
      <w:divBdr>
        <w:top w:val="none" w:sz="0" w:space="0" w:color="auto"/>
        <w:left w:val="none" w:sz="0" w:space="0" w:color="auto"/>
        <w:bottom w:val="none" w:sz="0" w:space="0" w:color="auto"/>
        <w:right w:val="none" w:sz="0" w:space="0" w:color="auto"/>
      </w:divBdr>
      <w:divsChild>
        <w:div w:id="767889920">
          <w:marLeft w:val="0"/>
          <w:marRight w:val="0"/>
          <w:marTop w:val="0"/>
          <w:marBottom w:val="0"/>
          <w:divBdr>
            <w:top w:val="none" w:sz="0" w:space="0" w:color="auto"/>
            <w:left w:val="none" w:sz="0" w:space="0" w:color="auto"/>
            <w:bottom w:val="none" w:sz="0" w:space="0" w:color="auto"/>
            <w:right w:val="none" w:sz="0" w:space="0" w:color="auto"/>
          </w:divBdr>
          <w:divsChild>
            <w:div w:id="184103150">
              <w:marLeft w:val="0"/>
              <w:marRight w:val="0"/>
              <w:marTop w:val="0"/>
              <w:marBottom w:val="0"/>
              <w:divBdr>
                <w:top w:val="none" w:sz="0" w:space="0" w:color="auto"/>
                <w:left w:val="none" w:sz="0" w:space="0" w:color="auto"/>
                <w:bottom w:val="none" w:sz="0" w:space="0" w:color="auto"/>
                <w:right w:val="none" w:sz="0" w:space="0" w:color="auto"/>
              </w:divBdr>
              <w:divsChild>
                <w:div w:id="599991339">
                  <w:marLeft w:val="0"/>
                  <w:marRight w:val="0"/>
                  <w:marTop w:val="0"/>
                  <w:marBottom w:val="0"/>
                  <w:divBdr>
                    <w:top w:val="none" w:sz="0" w:space="0" w:color="auto"/>
                    <w:left w:val="none" w:sz="0" w:space="0" w:color="auto"/>
                    <w:bottom w:val="none" w:sz="0" w:space="0" w:color="auto"/>
                    <w:right w:val="none" w:sz="0" w:space="0" w:color="auto"/>
                  </w:divBdr>
                  <w:divsChild>
                    <w:div w:id="1448037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3133743">
          <w:marLeft w:val="0"/>
          <w:marRight w:val="0"/>
          <w:marTop w:val="0"/>
          <w:marBottom w:val="0"/>
          <w:divBdr>
            <w:top w:val="none" w:sz="0" w:space="0" w:color="auto"/>
            <w:left w:val="none" w:sz="0" w:space="0" w:color="auto"/>
            <w:bottom w:val="none" w:sz="0" w:space="0" w:color="auto"/>
            <w:right w:val="none" w:sz="0" w:space="0" w:color="auto"/>
          </w:divBdr>
          <w:divsChild>
            <w:div w:id="1668630362">
              <w:marLeft w:val="0"/>
              <w:marRight w:val="0"/>
              <w:marTop w:val="0"/>
              <w:marBottom w:val="0"/>
              <w:divBdr>
                <w:top w:val="none" w:sz="0" w:space="0" w:color="auto"/>
                <w:left w:val="none" w:sz="0" w:space="0" w:color="auto"/>
                <w:bottom w:val="none" w:sz="0" w:space="0" w:color="auto"/>
                <w:right w:val="none" w:sz="0" w:space="0" w:color="auto"/>
              </w:divBdr>
              <w:divsChild>
                <w:div w:id="54016060">
                  <w:marLeft w:val="0"/>
                  <w:marRight w:val="0"/>
                  <w:marTop w:val="0"/>
                  <w:marBottom w:val="0"/>
                  <w:divBdr>
                    <w:top w:val="none" w:sz="0" w:space="0" w:color="auto"/>
                    <w:left w:val="none" w:sz="0" w:space="0" w:color="auto"/>
                    <w:bottom w:val="none" w:sz="0" w:space="0" w:color="auto"/>
                    <w:right w:val="none" w:sz="0" w:space="0" w:color="auto"/>
                  </w:divBdr>
                  <w:divsChild>
                    <w:div w:id="662509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1335771">
      <w:bodyDiv w:val="1"/>
      <w:marLeft w:val="0"/>
      <w:marRight w:val="0"/>
      <w:marTop w:val="0"/>
      <w:marBottom w:val="0"/>
      <w:divBdr>
        <w:top w:val="none" w:sz="0" w:space="0" w:color="auto"/>
        <w:left w:val="none" w:sz="0" w:space="0" w:color="auto"/>
        <w:bottom w:val="none" w:sz="0" w:space="0" w:color="auto"/>
        <w:right w:val="none" w:sz="0" w:space="0" w:color="auto"/>
      </w:divBdr>
    </w:div>
    <w:div w:id="1861774703">
      <w:bodyDiv w:val="1"/>
      <w:marLeft w:val="0"/>
      <w:marRight w:val="0"/>
      <w:marTop w:val="0"/>
      <w:marBottom w:val="0"/>
      <w:divBdr>
        <w:top w:val="none" w:sz="0" w:space="0" w:color="auto"/>
        <w:left w:val="none" w:sz="0" w:space="0" w:color="auto"/>
        <w:bottom w:val="none" w:sz="0" w:space="0" w:color="auto"/>
        <w:right w:val="none" w:sz="0" w:space="0" w:color="auto"/>
      </w:divBdr>
    </w:div>
    <w:div w:id="1957757698">
      <w:bodyDiv w:val="1"/>
      <w:marLeft w:val="0"/>
      <w:marRight w:val="0"/>
      <w:marTop w:val="0"/>
      <w:marBottom w:val="0"/>
      <w:divBdr>
        <w:top w:val="none" w:sz="0" w:space="0" w:color="auto"/>
        <w:left w:val="none" w:sz="0" w:space="0" w:color="auto"/>
        <w:bottom w:val="none" w:sz="0" w:space="0" w:color="auto"/>
        <w:right w:val="none" w:sz="0" w:space="0" w:color="auto"/>
      </w:divBdr>
    </w:div>
    <w:div w:id="1977178612">
      <w:bodyDiv w:val="1"/>
      <w:marLeft w:val="0"/>
      <w:marRight w:val="0"/>
      <w:marTop w:val="0"/>
      <w:marBottom w:val="0"/>
      <w:divBdr>
        <w:top w:val="none" w:sz="0" w:space="0" w:color="auto"/>
        <w:left w:val="none" w:sz="0" w:space="0" w:color="auto"/>
        <w:bottom w:val="none" w:sz="0" w:space="0" w:color="auto"/>
        <w:right w:val="none" w:sz="0" w:space="0" w:color="auto"/>
      </w:divBdr>
    </w:div>
    <w:div w:id="1982149530">
      <w:bodyDiv w:val="1"/>
      <w:marLeft w:val="0"/>
      <w:marRight w:val="0"/>
      <w:marTop w:val="0"/>
      <w:marBottom w:val="0"/>
      <w:divBdr>
        <w:top w:val="none" w:sz="0" w:space="0" w:color="auto"/>
        <w:left w:val="none" w:sz="0" w:space="0" w:color="auto"/>
        <w:bottom w:val="none" w:sz="0" w:space="0" w:color="auto"/>
        <w:right w:val="none" w:sz="0" w:space="0" w:color="auto"/>
      </w:divBdr>
    </w:div>
    <w:div w:id="1996450837">
      <w:bodyDiv w:val="1"/>
      <w:marLeft w:val="0"/>
      <w:marRight w:val="0"/>
      <w:marTop w:val="0"/>
      <w:marBottom w:val="0"/>
      <w:divBdr>
        <w:top w:val="none" w:sz="0" w:space="0" w:color="auto"/>
        <w:left w:val="none" w:sz="0" w:space="0" w:color="auto"/>
        <w:bottom w:val="none" w:sz="0" w:space="0" w:color="auto"/>
        <w:right w:val="none" w:sz="0" w:space="0" w:color="auto"/>
      </w:divBdr>
    </w:div>
    <w:div w:id="2053075708">
      <w:bodyDiv w:val="1"/>
      <w:marLeft w:val="0"/>
      <w:marRight w:val="0"/>
      <w:marTop w:val="0"/>
      <w:marBottom w:val="0"/>
      <w:divBdr>
        <w:top w:val="none" w:sz="0" w:space="0" w:color="auto"/>
        <w:left w:val="none" w:sz="0" w:space="0" w:color="auto"/>
        <w:bottom w:val="none" w:sz="0" w:space="0" w:color="auto"/>
        <w:right w:val="none" w:sz="0" w:space="0" w:color="auto"/>
      </w:divBdr>
    </w:div>
    <w:div w:id="2072456382">
      <w:bodyDiv w:val="1"/>
      <w:marLeft w:val="0"/>
      <w:marRight w:val="0"/>
      <w:marTop w:val="0"/>
      <w:marBottom w:val="0"/>
      <w:divBdr>
        <w:top w:val="none" w:sz="0" w:space="0" w:color="auto"/>
        <w:left w:val="none" w:sz="0" w:space="0" w:color="auto"/>
        <w:bottom w:val="none" w:sz="0" w:space="0" w:color="auto"/>
        <w:right w:val="none" w:sz="0" w:space="0" w:color="auto"/>
      </w:divBdr>
    </w:div>
    <w:div w:id="2075619755">
      <w:bodyDiv w:val="1"/>
      <w:marLeft w:val="0"/>
      <w:marRight w:val="0"/>
      <w:marTop w:val="0"/>
      <w:marBottom w:val="0"/>
      <w:divBdr>
        <w:top w:val="none" w:sz="0" w:space="0" w:color="auto"/>
        <w:left w:val="none" w:sz="0" w:space="0" w:color="auto"/>
        <w:bottom w:val="none" w:sz="0" w:space="0" w:color="auto"/>
        <w:right w:val="none" w:sz="0" w:space="0" w:color="auto"/>
      </w:divBdr>
    </w:div>
    <w:div w:id="2082439011">
      <w:bodyDiv w:val="1"/>
      <w:marLeft w:val="0"/>
      <w:marRight w:val="0"/>
      <w:marTop w:val="0"/>
      <w:marBottom w:val="0"/>
      <w:divBdr>
        <w:top w:val="none" w:sz="0" w:space="0" w:color="auto"/>
        <w:left w:val="none" w:sz="0" w:space="0" w:color="auto"/>
        <w:bottom w:val="none" w:sz="0" w:space="0" w:color="auto"/>
        <w:right w:val="none" w:sz="0" w:space="0" w:color="auto"/>
      </w:divBdr>
    </w:div>
    <w:div w:id="2095317581">
      <w:bodyDiv w:val="1"/>
      <w:marLeft w:val="0"/>
      <w:marRight w:val="0"/>
      <w:marTop w:val="0"/>
      <w:marBottom w:val="0"/>
      <w:divBdr>
        <w:top w:val="none" w:sz="0" w:space="0" w:color="auto"/>
        <w:left w:val="none" w:sz="0" w:space="0" w:color="auto"/>
        <w:bottom w:val="none" w:sz="0" w:space="0" w:color="auto"/>
        <w:right w:val="none" w:sz="0" w:space="0" w:color="auto"/>
      </w:divBdr>
      <w:divsChild>
        <w:div w:id="505289747">
          <w:marLeft w:val="0"/>
          <w:marRight w:val="0"/>
          <w:marTop w:val="0"/>
          <w:marBottom w:val="0"/>
          <w:divBdr>
            <w:top w:val="none" w:sz="0" w:space="0" w:color="auto"/>
            <w:left w:val="none" w:sz="0" w:space="0" w:color="auto"/>
            <w:bottom w:val="none" w:sz="0" w:space="0" w:color="auto"/>
            <w:right w:val="none" w:sz="0" w:space="0" w:color="auto"/>
          </w:divBdr>
          <w:divsChild>
            <w:div w:id="1310130727">
              <w:marLeft w:val="0"/>
              <w:marRight w:val="0"/>
              <w:marTop w:val="0"/>
              <w:marBottom w:val="0"/>
              <w:divBdr>
                <w:top w:val="none" w:sz="0" w:space="0" w:color="auto"/>
                <w:left w:val="none" w:sz="0" w:space="0" w:color="auto"/>
                <w:bottom w:val="none" w:sz="0" w:space="0" w:color="auto"/>
                <w:right w:val="none" w:sz="0" w:space="0" w:color="auto"/>
              </w:divBdr>
              <w:divsChild>
                <w:div w:id="168907550">
                  <w:marLeft w:val="0"/>
                  <w:marRight w:val="0"/>
                  <w:marTop w:val="0"/>
                  <w:marBottom w:val="0"/>
                  <w:divBdr>
                    <w:top w:val="none" w:sz="0" w:space="0" w:color="auto"/>
                    <w:left w:val="none" w:sz="0" w:space="0" w:color="auto"/>
                    <w:bottom w:val="none" w:sz="0" w:space="0" w:color="auto"/>
                    <w:right w:val="none" w:sz="0" w:space="0" w:color="auto"/>
                  </w:divBdr>
                  <w:divsChild>
                    <w:div w:id="1161460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547401">
          <w:marLeft w:val="0"/>
          <w:marRight w:val="0"/>
          <w:marTop w:val="0"/>
          <w:marBottom w:val="0"/>
          <w:divBdr>
            <w:top w:val="none" w:sz="0" w:space="0" w:color="auto"/>
            <w:left w:val="none" w:sz="0" w:space="0" w:color="auto"/>
            <w:bottom w:val="none" w:sz="0" w:space="0" w:color="auto"/>
            <w:right w:val="none" w:sz="0" w:space="0" w:color="auto"/>
          </w:divBdr>
          <w:divsChild>
            <w:div w:id="1307709507">
              <w:marLeft w:val="0"/>
              <w:marRight w:val="0"/>
              <w:marTop w:val="0"/>
              <w:marBottom w:val="0"/>
              <w:divBdr>
                <w:top w:val="none" w:sz="0" w:space="0" w:color="auto"/>
                <w:left w:val="none" w:sz="0" w:space="0" w:color="auto"/>
                <w:bottom w:val="none" w:sz="0" w:space="0" w:color="auto"/>
                <w:right w:val="none" w:sz="0" w:space="0" w:color="auto"/>
              </w:divBdr>
              <w:divsChild>
                <w:div w:id="74907770">
                  <w:marLeft w:val="0"/>
                  <w:marRight w:val="0"/>
                  <w:marTop w:val="0"/>
                  <w:marBottom w:val="0"/>
                  <w:divBdr>
                    <w:top w:val="none" w:sz="0" w:space="0" w:color="auto"/>
                    <w:left w:val="none" w:sz="0" w:space="0" w:color="auto"/>
                    <w:bottom w:val="none" w:sz="0" w:space="0" w:color="auto"/>
                    <w:right w:val="none" w:sz="0" w:space="0" w:color="auto"/>
                  </w:divBdr>
                  <w:divsChild>
                    <w:div w:id="163060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028603_student_uwtsd_ac_uk/Documents/ASSIGNEMENT%20EEEEEE.ods"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028603_student_uwtsd_ac_uk/Documents/ASSIGNEMENT%20EEEEEE.ods"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028603_student_uwtsd_ac_uk/Documents/PROFITIBILTY%20FOR%20SAINTBUTY.ods"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Tesco</a:t>
            </a:r>
            <a:r>
              <a:rPr lang="en-GB" baseline="0"/>
              <a:t> plc</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'[ASSIGNEMENT EEEEEE.ods]Sheet1'!$L$20</c:f>
              <c:strCache>
                <c:ptCount val="1"/>
                <c:pt idx="0">
                  <c:v>Gross profit margin</c:v>
                </c:pt>
              </c:strCache>
            </c:strRef>
          </c:tx>
          <c:spPr>
            <a:solidFill>
              <a:schemeClr val="accent1"/>
            </a:solidFill>
            <a:ln>
              <a:noFill/>
            </a:ln>
            <a:effectLst/>
          </c:spPr>
          <c:invertIfNegative val="0"/>
          <c:cat>
            <c:numRef>
              <c:f>'[ASSIGNEMENT EEEEEE.ods]Sheet1'!$M$19:$R$19</c:f>
              <c:numCache>
                <c:formatCode>General</c:formatCode>
                <c:ptCount val="6"/>
                <c:pt idx="0">
                  <c:v>2024</c:v>
                </c:pt>
                <c:pt idx="1">
                  <c:v>2023</c:v>
                </c:pt>
                <c:pt idx="2">
                  <c:v>2022</c:v>
                </c:pt>
                <c:pt idx="3">
                  <c:v>2021</c:v>
                </c:pt>
                <c:pt idx="4">
                  <c:v>2020</c:v>
                </c:pt>
              </c:numCache>
            </c:numRef>
          </c:cat>
          <c:val>
            <c:numRef>
              <c:f>'[ASSIGNEMENT EEEEEE.ods]Sheet1'!$M$20:$R$20</c:f>
              <c:numCache>
                <c:formatCode>0.00%</c:formatCode>
                <c:ptCount val="6"/>
                <c:pt idx="0">
                  <c:v>3.4000000000000002E-2</c:v>
                </c:pt>
                <c:pt idx="1">
                  <c:v>1.4E-2</c:v>
                </c:pt>
                <c:pt idx="2">
                  <c:v>3.3000000000000002E-2</c:v>
                </c:pt>
                <c:pt idx="3">
                  <c:v>1.0999999999999999E-2</c:v>
                </c:pt>
                <c:pt idx="4">
                  <c:v>1.7999999999999999E-2</c:v>
                </c:pt>
              </c:numCache>
            </c:numRef>
          </c:val>
          <c:extLst>
            <c:ext xmlns:c16="http://schemas.microsoft.com/office/drawing/2014/chart" uri="{C3380CC4-5D6E-409C-BE32-E72D297353CC}">
              <c16:uniqueId val="{00000000-85C0-4574-A23E-5DE276479662}"/>
            </c:ext>
          </c:extLst>
        </c:ser>
        <c:ser>
          <c:idx val="1"/>
          <c:order val="1"/>
          <c:tx>
            <c:strRef>
              <c:f>'[ASSIGNEMENT EEEEEE.ods]Sheet1'!$L$21</c:f>
              <c:strCache>
                <c:ptCount val="1"/>
                <c:pt idx="0">
                  <c:v>opreation profit margin</c:v>
                </c:pt>
              </c:strCache>
            </c:strRef>
          </c:tx>
          <c:spPr>
            <a:solidFill>
              <a:schemeClr val="accent2"/>
            </a:solidFill>
            <a:ln>
              <a:noFill/>
            </a:ln>
            <a:effectLst/>
          </c:spPr>
          <c:invertIfNegative val="0"/>
          <c:cat>
            <c:numRef>
              <c:f>'[ASSIGNEMENT EEEEEE.ods]Sheet1'!$M$19:$R$19</c:f>
              <c:numCache>
                <c:formatCode>General</c:formatCode>
                <c:ptCount val="6"/>
                <c:pt idx="0">
                  <c:v>2024</c:v>
                </c:pt>
                <c:pt idx="1">
                  <c:v>2023</c:v>
                </c:pt>
                <c:pt idx="2">
                  <c:v>2022</c:v>
                </c:pt>
                <c:pt idx="3">
                  <c:v>2021</c:v>
                </c:pt>
                <c:pt idx="4">
                  <c:v>2020</c:v>
                </c:pt>
              </c:numCache>
            </c:numRef>
          </c:cat>
          <c:val>
            <c:numRef>
              <c:f>'[ASSIGNEMENT EEEEEE.ods]Sheet1'!$M$21:$R$21</c:f>
              <c:numCache>
                <c:formatCode>0.00%</c:formatCode>
                <c:ptCount val="6"/>
                <c:pt idx="0">
                  <c:v>4.1500000000000002E-2</c:v>
                </c:pt>
                <c:pt idx="1">
                  <c:v>2.1999999999999999E-2</c:v>
                </c:pt>
                <c:pt idx="2">
                  <c:v>0.01</c:v>
                </c:pt>
                <c:pt idx="3">
                  <c:v>2.7E-2</c:v>
                </c:pt>
                <c:pt idx="4">
                  <c:v>3.7999999999999999E-2</c:v>
                </c:pt>
              </c:numCache>
            </c:numRef>
          </c:val>
          <c:extLst>
            <c:ext xmlns:c16="http://schemas.microsoft.com/office/drawing/2014/chart" uri="{C3380CC4-5D6E-409C-BE32-E72D297353CC}">
              <c16:uniqueId val="{00000001-85C0-4574-A23E-5DE276479662}"/>
            </c:ext>
          </c:extLst>
        </c:ser>
        <c:ser>
          <c:idx val="2"/>
          <c:order val="2"/>
          <c:tx>
            <c:strRef>
              <c:f>'[ASSIGNEMENT EEEEEE.ods]Sheet1'!$L$22</c:f>
              <c:strCache>
                <c:ptCount val="1"/>
                <c:pt idx="0">
                  <c:v>Net profit margin</c:v>
                </c:pt>
              </c:strCache>
            </c:strRef>
          </c:tx>
          <c:spPr>
            <a:solidFill>
              <a:schemeClr val="accent3"/>
            </a:solidFill>
            <a:ln>
              <a:noFill/>
            </a:ln>
            <a:effectLst/>
          </c:spPr>
          <c:invertIfNegative val="0"/>
          <c:cat>
            <c:numRef>
              <c:f>'[ASSIGNEMENT EEEEEE.ods]Sheet1'!$M$19:$R$19</c:f>
              <c:numCache>
                <c:formatCode>General</c:formatCode>
                <c:ptCount val="6"/>
                <c:pt idx="0">
                  <c:v>2024</c:v>
                </c:pt>
                <c:pt idx="1">
                  <c:v>2023</c:v>
                </c:pt>
                <c:pt idx="2">
                  <c:v>2022</c:v>
                </c:pt>
                <c:pt idx="3">
                  <c:v>2021</c:v>
                </c:pt>
                <c:pt idx="4">
                  <c:v>2020</c:v>
                </c:pt>
              </c:numCache>
            </c:numRef>
          </c:cat>
          <c:val>
            <c:numRef>
              <c:f>'[ASSIGNEMENT EEEEEE.ods]Sheet1'!$M$22:$R$22</c:f>
              <c:numCache>
                <c:formatCode>0.00%</c:formatCode>
                <c:ptCount val="6"/>
                <c:pt idx="0">
                  <c:v>2.9700000000000001E-2</c:v>
                </c:pt>
                <c:pt idx="1">
                  <c:v>0.01</c:v>
                </c:pt>
                <c:pt idx="2">
                  <c:v>2.5000000000000001E-2</c:v>
                </c:pt>
                <c:pt idx="3">
                  <c:v>1.0999999999999999E-2</c:v>
                </c:pt>
                <c:pt idx="4">
                  <c:v>1.2999999999999999E-2</c:v>
                </c:pt>
              </c:numCache>
            </c:numRef>
          </c:val>
          <c:extLst>
            <c:ext xmlns:c16="http://schemas.microsoft.com/office/drawing/2014/chart" uri="{C3380CC4-5D6E-409C-BE32-E72D297353CC}">
              <c16:uniqueId val="{00000002-85C0-4574-A23E-5DE276479662}"/>
            </c:ext>
          </c:extLst>
        </c:ser>
        <c:ser>
          <c:idx val="3"/>
          <c:order val="3"/>
          <c:tx>
            <c:strRef>
              <c:f>'[ASSIGNEMENT EEEEEE.ods]Sheet1'!$L$23</c:f>
              <c:strCache>
                <c:ptCount val="1"/>
                <c:pt idx="0">
                  <c:v>Return on Assets</c:v>
                </c:pt>
              </c:strCache>
            </c:strRef>
          </c:tx>
          <c:spPr>
            <a:solidFill>
              <a:schemeClr val="accent4"/>
            </a:solidFill>
            <a:ln>
              <a:noFill/>
            </a:ln>
            <a:effectLst/>
          </c:spPr>
          <c:invertIfNegative val="0"/>
          <c:cat>
            <c:numRef>
              <c:f>'[ASSIGNEMENT EEEEEE.ods]Sheet1'!$M$19:$R$19</c:f>
              <c:numCache>
                <c:formatCode>General</c:formatCode>
                <c:ptCount val="6"/>
                <c:pt idx="0">
                  <c:v>2024</c:v>
                </c:pt>
                <c:pt idx="1">
                  <c:v>2023</c:v>
                </c:pt>
                <c:pt idx="2">
                  <c:v>2022</c:v>
                </c:pt>
                <c:pt idx="3">
                  <c:v>2021</c:v>
                </c:pt>
                <c:pt idx="4">
                  <c:v>2020</c:v>
                </c:pt>
              </c:numCache>
            </c:numRef>
          </c:cat>
          <c:val>
            <c:numRef>
              <c:f>'[ASSIGNEMENT EEEEEE.ods]Sheet1'!$M$23:$R$23</c:f>
              <c:numCache>
                <c:formatCode>0.00%</c:formatCode>
                <c:ptCount val="6"/>
                <c:pt idx="0">
                  <c:v>3.7999999999999999E-2</c:v>
                </c:pt>
                <c:pt idx="1">
                  <c:v>1.4E-2</c:v>
                </c:pt>
                <c:pt idx="2">
                  <c:v>3.1E-2</c:v>
                </c:pt>
                <c:pt idx="3">
                  <c:v>1.2E-2</c:v>
                </c:pt>
                <c:pt idx="4">
                  <c:v>1.4E-2</c:v>
                </c:pt>
              </c:numCache>
            </c:numRef>
          </c:val>
          <c:extLst>
            <c:ext xmlns:c16="http://schemas.microsoft.com/office/drawing/2014/chart" uri="{C3380CC4-5D6E-409C-BE32-E72D297353CC}">
              <c16:uniqueId val="{00000003-85C0-4574-A23E-5DE276479662}"/>
            </c:ext>
          </c:extLst>
        </c:ser>
        <c:ser>
          <c:idx val="4"/>
          <c:order val="4"/>
          <c:tx>
            <c:strRef>
              <c:f>'[ASSIGNEMENT EEEEEE.ods]Sheet1'!$L$24</c:f>
              <c:strCache>
                <c:ptCount val="1"/>
                <c:pt idx="0">
                  <c:v>Return on Equity</c:v>
                </c:pt>
              </c:strCache>
            </c:strRef>
          </c:tx>
          <c:spPr>
            <a:solidFill>
              <a:schemeClr val="accent5"/>
            </a:solidFill>
            <a:ln>
              <a:noFill/>
            </a:ln>
            <a:effectLst/>
          </c:spPr>
          <c:invertIfNegative val="0"/>
          <c:cat>
            <c:numRef>
              <c:f>'[ASSIGNEMENT EEEEEE.ods]Sheet1'!$M$19:$R$19</c:f>
              <c:numCache>
                <c:formatCode>General</c:formatCode>
                <c:ptCount val="6"/>
                <c:pt idx="0">
                  <c:v>2024</c:v>
                </c:pt>
                <c:pt idx="1">
                  <c:v>2023</c:v>
                </c:pt>
                <c:pt idx="2">
                  <c:v>2022</c:v>
                </c:pt>
                <c:pt idx="3">
                  <c:v>2021</c:v>
                </c:pt>
                <c:pt idx="4">
                  <c:v>2020</c:v>
                </c:pt>
              </c:numCache>
            </c:numRef>
          </c:cat>
          <c:val>
            <c:numRef>
              <c:f>'[ASSIGNEMENT EEEEEE.ods]Sheet1'!$M$24:$R$24</c:f>
              <c:numCache>
                <c:formatCode>0.00%</c:formatCode>
                <c:ptCount val="6"/>
                <c:pt idx="0">
                  <c:v>0.151</c:v>
                </c:pt>
                <c:pt idx="1">
                  <c:v>5.3999999999999999E-2</c:v>
                </c:pt>
                <c:pt idx="2">
                  <c:v>9.7000000000000003E-2</c:v>
                </c:pt>
                <c:pt idx="3">
                  <c:v>4.3999999999999997E-2</c:v>
                </c:pt>
                <c:pt idx="4">
                  <c:v>5.5E-2</c:v>
                </c:pt>
              </c:numCache>
            </c:numRef>
          </c:val>
          <c:extLst>
            <c:ext xmlns:c16="http://schemas.microsoft.com/office/drawing/2014/chart" uri="{C3380CC4-5D6E-409C-BE32-E72D297353CC}">
              <c16:uniqueId val="{00000004-85C0-4574-A23E-5DE276479662}"/>
            </c:ext>
          </c:extLst>
        </c:ser>
        <c:ser>
          <c:idx val="5"/>
          <c:order val="5"/>
          <c:tx>
            <c:strRef>
              <c:f>'[ASSIGNEMENT EEEEEE.ods]Sheet1'!$L$25</c:f>
              <c:strCache>
                <c:ptCount val="1"/>
                <c:pt idx="0">
                  <c:v>current   Ratio</c:v>
                </c:pt>
              </c:strCache>
            </c:strRef>
          </c:tx>
          <c:spPr>
            <a:solidFill>
              <a:schemeClr val="accent6"/>
            </a:solidFill>
            <a:ln>
              <a:noFill/>
            </a:ln>
            <a:effectLst/>
          </c:spPr>
          <c:invertIfNegative val="0"/>
          <c:cat>
            <c:numRef>
              <c:f>'[ASSIGNEMENT EEEEEE.ods]Sheet1'!$M$19:$R$19</c:f>
              <c:numCache>
                <c:formatCode>General</c:formatCode>
                <c:ptCount val="6"/>
                <c:pt idx="0">
                  <c:v>2024</c:v>
                </c:pt>
                <c:pt idx="1">
                  <c:v>2023</c:v>
                </c:pt>
                <c:pt idx="2">
                  <c:v>2022</c:v>
                </c:pt>
                <c:pt idx="3">
                  <c:v>2021</c:v>
                </c:pt>
                <c:pt idx="4">
                  <c:v>2020</c:v>
                </c:pt>
              </c:numCache>
            </c:numRef>
          </c:cat>
          <c:val>
            <c:numRef>
              <c:f>'[ASSIGNEMENT EEEEEE.ods]Sheet1'!$M$25:$R$25</c:f>
              <c:numCache>
                <c:formatCode>General</c:formatCode>
                <c:ptCount val="6"/>
                <c:pt idx="0" formatCode="0.00%">
                  <c:v>1.6000000000000001E-3</c:v>
                </c:pt>
                <c:pt idx="1">
                  <c:v>0</c:v>
                </c:pt>
                <c:pt idx="2" formatCode="0.00%">
                  <c:v>9.7000000000000003E-3</c:v>
                </c:pt>
                <c:pt idx="3" formatCode="0.00%">
                  <c:v>9.4000000000000004E-3</c:v>
                </c:pt>
                <c:pt idx="4" formatCode="0.00%">
                  <c:v>1.18E-2</c:v>
                </c:pt>
              </c:numCache>
            </c:numRef>
          </c:val>
          <c:extLst>
            <c:ext xmlns:c16="http://schemas.microsoft.com/office/drawing/2014/chart" uri="{C3380CC4-5D6E-409C-BE32-E72D297353CC}">
              <c16:uniqueId val="{00000005-85C0-4574-A23E-5DE276479662}"/>
            </c:ext>
          </c:extLst>
        </c:ser>
        <c:dLbls>
          <c:showLegendKey val="0"/>
          <c:showVal val="0"/>
          <c:showCatName val="0"/>
          <c:showSerName val="0"/>
          <c:showPercent val="0"/>
          <c:showBubbleSize val="0"/>
        </c:dLbls>
        <c:gapWidth val="219"/>
        <c:overlap val="-27"/>
        <c:axId val="667793312"/>
        <c:axId val="667794392"/>
      </c:barChart>
      <c:lineChart>
        <c:grouping val="standard"/>
        <c:varyColors val="0"/>
        <c:ser>
          <c:idx val="6"/>
          <c:order val="6"/>
          <c:tx>
            <c:strRef>
              <c:f>'[ASSIGNEMENT EEEEEE.ods]Sheet1'!$L$26</c:f>
              <c:strCache>
                <c:ptCount val="1"/>
                <c:pt idx="0">
                  <c:v>Quick Ratio</c:v>
                </c:pt>
              </c:strCache>
            </c:strRef>
          </c:tx>
          <c:spPr>
            <a:ln w="28575" cap="rnd">
              <a:solidFill>
                <a:schemeClr val="accent1">
                  <a:lumMod val="60000"/>
                </a:schemeClr>
              </a:solidFill>
              <a:round/>
            </a:ln>
            <a:effectLst/>
          </c:spPr>
          <c:marker>
            <c:symbol val="none"/>
          </c:marker>
          <c:cat>
            <c:numRef>
              <c:f>'[ASSIGNEMENT EEEEEE.ods]Sheet1'!$M$19:$R$19</c:f>
              <c:numCache>
                <c:formatCode>General</c:formatCode>
                <c:ptCount val="6"/>
                <c:pt idx="0">
                  <c:v>2024</c:v>
                </c:pt>
                <c:pt idx="1">
                  <c:v>2023</c:v>
                </c:pt>
                <c:pt idx="2">
                  <c:v>2022</c:v>
                </c:pt>
                <c:pt idx="3">
                  <c:v>2021</c:v>
                </c:pt>
                <c:pt idx="4">
                  <c:v>2020</c:v>
                </c:pt>
              </c:numCache>
            </c:numRef>
          </c:cat>
          <c:val>
            <c:numRef>
              <c:f>'[ASSIGNEMENT EEEEEE.ods]Sheet1'!$M$26:$R$26</c:f>
              <c:numCache>
                <c:formatCode>0.00%</c:formatCode>
                <c:ptCount val="6"/>
                <c:pt idx="0">
                  <c:v>1.1999999999999999E-3</c:v>
                </c:pt>
                <c:pt idx="1">
                  <c:v>1.2999999999999999E-2</c:v>
                </c:pt>
                <c:pt idx="2">
                  <c:v>1.46E-2</c:v>
                </c:pt>
                <c:pt idx="3">
                  <c:v>1.2999999999999999E-2</c:v>
                </c:pt>
                <c:pt idx="4">
                  <c:v>1.2999999999999999E-2</c:v>
                </c:pt>
              </c:numCache>
            </c:numRef>
          </c:val>
          <c:smooth val="0"/>
          <c:extLst>
            <c:ext xmlns:c16="http://schemas.microsoft.com/office/drawing/2014/chart" uri="{C3380CC4-5D6E-409C-BE32-E72D297353CC}">
              <c16:uniqueId val="{00000006-85C0-4574-A23E-5DE276479662}"/>
            </c:ext>
          </c:extLst>
        </c:ser>
        <c:dLbls>
          <c:showLegendKey val="0"/>
          <c:showVal val="0"/>
          <c:showCatName val="0"/>
          <c:showSerName val="0"/>
          <c:showPercent val="0"/>
          <c:showBubbleSize val="0"/>
        </c:dLbls>
        <c:marker val="1"/>
        <c:smooth val="0"/>
        <c:axId val="659262728"/>
        <c:axId val="659261648"/>
      </c:lineChart>
      <c:catAx>
        <c:axId val="6677933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7794392"/>
        <c:crosses val="autoZero"/>
        <c:auto val="1"/>
        <c:lblAlgn val="ctr"/>
        <c:lblOffset val="100"/>
        <c:noMultiLvlLbl val="0"/>
      </c:catAx>
      <c:valAx>
        <c:axId val="66779439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7793312"/>
        <c:crosses val="autoZero"/>
        <c:crossBetween val="between"/>
      </c:valAx>
      <c:valAx>
        <c:axId val="659261648"/>
        <c:scaling>
          <c:orientation val="minMax"/>
        </c:scaling>
        <c:delete val="0"/>
        <c:axPos val="r"/>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9262728"/>
        <c:crosses val="max"/>
        <c:crossBetween val="between"/>
      </c:valAx>
      <c:catAx>
        <c:axId val="659262728"/>
        <c:scaling>
          <c:orientation val="minMax"/>
        </c:scaling>
        <c:delete val="1"/>
        <c:axPos val="b"/>
        <c:numFmt formatCode="General" sourceLinked="1"/>
        <c:majorTickMark val="none"/>
        <c:minorTickMark val="none"/>
        <c:tickLblPos val="nextTo"/>
        <c:crossAx val="659261648"/>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GB"/>
              <a:t>Tesco plc</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'[ASSIGNEMENT EEEEEE.ods]Sheet1'!$L$39</c:f>
              <c:strCache>
                <c:ptCount val="1"/>
                <c:pt idx="0">
                  <c:v>Debt-on-Eqyity Ratio</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cat>
            <c:strRef>
              <c:f>'[ASSIGNEMENT EEEEEE.ods]Sheet1'!$M$37:$R$38</c:f>
              <c:strCache>
                <c:ptCount val="5"/>
                <c:pt idx="0">
                  <c:v>2024</c:v>
                </c:pt>
                <c:pt idx="1">
                  <c:v>2023</c:v>
                </c:pt>
                <c:pt idx="2">
                  <c:v>2022</c:v>
                </c:pt>
                <c:pt idx="3">
                  <c:v>2021</c:v>
                </c:pt>
                <c:pt idx="4">
                  <c:v>2020</c:v>
                </c:pt>
              </c:strCache>
            </c:strRef>
          </c:cat>
          <c:val>
            <c:numRef>
              <c:f>'[ASSIGNEMENT EEEEEE.ods]Sheet1'!$M$39:$R$39</c:f>
              <c:numCache>
                <c:formatCode>0.00%</c:formatCode>
                <c:ptCount val="6"/>
                <c:pt idx="0">
                  <c:v>1.7999999999999999E-2</c:v>
                </c:pt>
                <c:pt idx="1">
                  <c:v>1.4E-2</c:v>
                </c:pt>
                <c:pt idx="2">
                  <c:v>0.01</c:v>
                </c:pt>
                <c:pt idx="3">
                  <c:v>1.2999999999999999E-2</c:v>
                </c:pt>
                <c:pt idx="4">
                  <c:v>1.4E-2</c:v>
                </c:pt>
              </c:numCache>
            </c:numRef>
          </c:val>
          <c:extLst>
            <c:ext xmlns:c16="http://schemas.microsoft.com/office/drawing/2014/chart" uri="{C3380CC4-5D6E-409C-BE32-E72D297353CC}">
              <c16:uniqueId val="{00000000-57C9-4439-8A10-8A690361C2B9}"/>
            </c:ext>
          </c:extLst>
        </c:ser>
        <c:ser>
          <c:idx val="1"/>
          <c:order val="1"/>
          <c:tx>
            <c:strRef>
              <c:f>'[ASSIGNEMENT EEEEEE.ods]Sheet1'!$L$40</c:f>
              <c:strCache>
                <c:ptCount val="1"/>
                <c:pt idx="0">
                  <c:v>Interest coverage Ratio</c:v>
                </c:pt>
              </c:strCache>
            </c:strRef>
          </c:tx>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invertIfNegative val="0"/>
          <c:cat>
            <c:strRef>
              <c:f>'[ASSIGNEMENT EEEEEE.ods]Sheet1'!$M$37:$R$38</c:f>
              <c:strCache>
                <c:ptCount val="5"/>
                <c:pt idx="0">
                  <c:v>2024</c:v>
                </c:pt>
                <c:pt idx="1">
                  <c:v>2023</c:v>
                </c:pt>
                <c:pt idx="2">
                  <c:v>2022</c:v>
                </c:pt>
                <c:pt idx="3">
                  <c:v>2021</c:v>
                </c:pt>
                <c:pt idx="4">
                  <c:v>2020</c:v>
                </c:pt>
              </c:strCache>
            </c:strRef>
          </c:cat>
          <c:val>
            <c:numRef>
              <c:f>'[ASSIGNEMENT EEEEEE.ods]Sheet1'!$M$40:$R$40</c:f>
              <c:numCache>
                <c:formatCode>0.00%</c:formatCode>
                <c:ptCount val="6"/>
                <c:pt idx="0">
                  <c:v>4.0000000000000001E-3</c:v>
                </c:pt>
                <c:pt idx="1">
                  <c:v>1.6500000000000001E-2</c:v>
                </c:pt>
                <c:pt idx="2">
                  <c:v>3.0000000000000001E-3</c:v>
                </c:pt>
                <c:pt idx="3">
                  <c:v>1.4999999999999999E-2</c:v>
                </c:pt>
                <c:pt idx="4">
                  <c:v>8.9999999999999993E-3</c:v>
                </c:pt>
              </c:numCache>
            </c:numRef>
          </c:val>
          <c:extLst>
            <c:ext xmlns:c16="http://schemas.microsoft.com/office/drawing/2014/chart" uri="{C3380CC4-5D6E-409C-BE32-E72D297353CC}">
              <c16:uniqueId val="{00000001-57C9-4439-8A10-8A690361C2B9}"/>
            </c:ext>
          </c:extLst>
        </c:ser>
        <c:ser>
          <c:idx val="2"/>
          <c:order val="2"/>
          <c:tx>
            <c:strRef>
              <c:f>'[ASSIGNEMENT EEEEEE.ods]Sheet1'!$L$41</c:f>
              <c:strCache>
                <c:ptCount val="1"/>
                <c:pt idx="0">
                  <c:v>Assets turnover  Ratio</c:v>
                </c:pt>
              </c:strCache>
            </c:strRef>
          </c:tx>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invertIfNegative val="0"/>
          <c:cat>
            <c:strRef>
              <c:f>'[ASSIGNEMENT EEEEEE.ods]Sheet1'!$M$37:$R$38</c:f>
              <c:strCache>
                <c:ptCount val="5"/>
                <c:pt idx="0">
                  <c:v>2024</c:v>
                </c:pt>
                <c:pt idx="1">
                  <c:v>2023</c:v>
                </c:pt>
                <c:pt idx="2">
                  <c:v>2022</c:v>
                </c:pt>
                <c:pt idx="3">
                  <c:v>2021</c:v>
                </c:pt>
                <c:pt idx="4">
                  <c:v>2020</c:v>
                </c:pt>
              </c:strCache>
            </c:strRef>
          </c:cat>
          <c:val>
            <c:numRef>
              <c:f>'[ASSIGNEMENT EEEEEE.ods]Sheet1'!$M$41:$R$41</c:f>
              <c:numCache>
                <c:formatCode>0.00%</c:formatCode>
                <c:ptCount val="6"/>
                <c:pt idx="0">
                  <c:v>7.0000000000000001E-3</c:v>
                </c:pt>
                <c:pt idx="1">
                  <c:v>7.0000000000000001E-3</c:v>
                </c:pt>
                <c:pt idx="2">
                  <c:v>8.0000000000000002E-3</c:v>
                </c:pt>
                <c:pt idx="3">
                  <c:v>8.0000000000000002E-3</c:v>
                </c:pt>
                <c:pt idx="4">
                  <c:v>8.9999999999999993E-3</c:v>
                </c:pt>
              </c:numCache>
            </c:numRef>
          </c:val>
          <c:extLst>
            <c:ext xmlns:c16="http://schemas.microsoft.com/office/drawing/2014/chart" uri="{C3380CC4-5D6E-409C-BE32-E72D297353CC}">
              <c16:uniqueId val="{00000002-57C9-4439-8A10-8A690361C2B9}"/>
            </c:ext>
          </c:extLst>
        </c:ser>
        <c:ser>
          <c:idx val="3"/>
          <c:order val="3"/>
          <c:tx>
            <c:strRef>
              <c:f>'[ASSIGNEMENT EEEEEE.ods]Sheet1'!$L$42</c:f>
              <c:strCache>
                <c:ptCount val="1"/>
                <c:pt idx="0">
                  <c:v>Inventory turnover Ratio</c:v>
                </c:pt>
              </c:strCache>
            </c:strRef>
          </c:tx>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invertIfNegative val="0"/>
          <c:cat>
            <c:strRef>
              <c:f>'[ASSIGNEMENT EEEEEE.ods]Sheet1'!$M$37:$R$38</c:f>
              <c:strCache>
                <c:ptCount val="5"/>
                <c:pt idx="0">
                  <c:v>2024</c:v>
                </c:pt>
                <c:pt idx="1">
                  <c:v>2023</c:v>
                </c:pt>
                <c:pt idx="2">
                  <c:v>2022</c:v>
                </c:pt>
                <c:pt idx="3">
                  <c:v>2021</c:v>
                </c:pt>
                <c:pt idx="4">
                  <c:v>2020</c:v>
                </c:pt>
              </c:strCache>
            </c:strRef>
          </c:cat>
          <c:val>
            <c:numRef>
              <c:f>'[ASSIGNEMENT EEEEEE.ods]Sheet1'!$M$42:$R$42</c:f>
              <c:numCache>
                <c:formatCode>0.00%</c:formatCode>
                <c:ptCount val="6"/>
                <c:pt idx="0">
                  <c:v>0.13500000000000001</c:v>
                </c:pt>
                <c:pt idx="1">
                  <c:v>0.125</c:v>
                </c:pt>
                <c:pt idx="2">
                  <c:v>0.111</c:v>
                </c:pt>
                <c:pt idx="3">
                  <c:v>0.12</c:v>
                </c:pt>
                <c:pt idx="4">
                  <c:v>0.107</c:v>
                </c:pt>
              </c:numCache>
            </c:numRef>
          </c:val>
          <c:extLst>
            <c:ext xmlns:c16="http://schemas.microsoft.com/office/drawing/2014/chart" uri="{C3380CC4-5D6E-409C-BE32-E72D297353CC}">
              <c16:uniqueId val="{00000003-57C9-4439-8A10-8A690361C2B9}"/>
            </c:ext>
          </c:extLst>
        </c:ser>
        <c:ser>
          <c:idx val="4"/>
          <c:order val="4"/>
          <c:tx>
            <c:strRef>
              <c:f>'[ASSIGNEMENT EEEEEE.ods]Sheet1'!$L$43</c:f>
              <c:strCache>
                <c:ptCount val="1"/>
                <c:pt idx="0">
                  <c:v>Recievebla turnove Ratio</c:v>
                </c:pt>
              </c:strCache>
            </c:strRef>
          </c:tx>
          <c:spPr>
            <a:gradFill rotWithShape="1">
              <a:gsLst>
                <a:gs pos="0">
                  <a:schemeClr val="accent5">
                    <a:lumMod val="110000"/>
                    <a:satMod val="105000"/>
                    <a:tint val="67000"/>
                  </a:schemeClr>
                </a:gs>
                <a:gs pos="50000">
                  <a:schemeClr val="accent5">
                    <a:lumMod val="105000"/>
                    <a:satMod val="103000"/>
                    <a:tint val="73000"/>
                  </a:schemeClr>
                </a:gs>
                <a:gs pos="100000">
                  <a:schemeClr val="accent5">
                    <a:lumMod val="105000"/>
                    <a:satMod val="109000"/>
                    <a:tint val="81000"/>
                  </a:schemeClr>
                </a:gs>
              </a:gsLst>
              <a:lin ang="5400000" scaled="0"/>
            </a:gradFill>
            <a:ln w="9525" cap="flat" cmpd="sng" algn="ctr">
              <a:solidFill>
                <a:schemeClr val="accent5">
                  <a:shade val="95000"/>
                </a:schemeClr>
              </a:solidFill>
              <a:round/>
            </a:ln>
            <a:effectLst/>
          </c:spPr>
          <c:invertIfNegative val="0"/>
          <c:cat>
            <c:strRef>
              <c:f>'[ASSIGNEMENT EEEEEE.ods]Sheet1'!$M$37:$R$38</c:f>
              <c:strCache>
                <c:ptCount val="5"/>
                <c:pt idx="0">
                  <c:v>2024</c:v>
                </c:pt>
                <c:pt idx="1">
                  <c:v>2023</c:v>
                </c:pt>
                <c:pt idx="2">
                  <c:v>2022</c:v>
                </c:pt>
                <c:pt idx="3">
                  <c:v>2021</c:v>
                </c:pt>
                <c:pt idx="4">
                  <c:v>2020</c:v>
                </c:pt>
              </c:strCache>
            </c:strRef>
          </c:cat>
          <c:val>
            <c:numRef>
              <c:f>'[ASSIGNEMENT EEEEEE.ods]Sheet1'!$M$43:$R$43</c:f>
              <c:numCache>
                <c:formatCode>0.00%</c:formatCode>
                <c:ptCount val="6"/>
                <c:pt idx="0">
                  <c:v>0.70199999999999996</c:v>
                </c:pt>
                <c:pt idx="1">
                  <c:v>0.67100000000000004</c:v>
                </c:pt>
                <c:pt idx="2">
                  <c:v>0.47099999999999997</c:v>
                </c:pt>
                <c:pt idx="3">
                  <c:v>0.57899999999999996</c:v>
                </c:pt>
                <c:pt idx="4">
                  <c:v>0.52100000000000002</c:v>
                </c:pt>
              </c:numCache>
            </c:numRef>
          </c:val>
          <c:extLst>
            <c:ext xmlns:c16="http://schemas.microsoft.com/office/drawing/2014/chart" uri="{C3380CC4-5D6E-409C-BE32-E72D297353CC}">
              <c16:uniqueId val="{00000004-57C9-4439-8A10-8A690361C2B9}"/>
            </c:ext>
          </c:extLst>
        </c:ser>
        <c:dLbls>
          <c:showLegendKey val="0"/>
          <c:showVal val="0"/>
          <c:showCatName val="0"/>
          <c:showSerName val="0"/>
          <c:showPercent val="0"/>
          <c:showBubbleSize val="0"/>
        </c:dLbls>
        <c:gapWidth val="100"/>
        <c:overlap val="-24"/>
        <c:axId val="658694032"/>
        <c:axId val="658691872"/>
        <c:extLst>
          <c:ext xmlns:c15="http://schemas.microsoft.com/office/drawing/2012/chart" uri="{02D57815-91ED-43cb-92C2-25804820EDAC}">
            <c15:filteredBarSeries>
              <c15:ser>
                <c:idx val="5"/>
                <c:order val="5"/>
                <c:tx>
                  <c:strRef>
                    <c:extLst>
                      <c:ext uri="{02D57815-91ED-43cb-92C2-25804820EDAC}">
                        <c15:formulaRef>
                          <c15:sqref>'[ASSIGNEMENT EEEEEE.ods]Sheet1'!$L$44</c15:sqref>
                        </c15:formulaRef>
                      </c:ext>
                    </c:extLst>
                    <c:strCache>
                      <c:ptCount val="1"/>
                    </c:strCache>
                  </c:strRef>
                </c:tx>
                <c:spPr>
                  <a:gradFill rotWithShape="1">
                    <a:gsLst>
                      <a:gs pos="0">
                        <a:schemeClr val="accent6">
                          <a:lumMod val="110000"/>
                          <a:satMod val="105000"/>
                          <a:tint val="67000"/>
                        </a:schemeClr>
                      </a:gs>
                      <a:gs pos="50000">
                        <a:schemeClr val="accent6">
                          <a:lumMod val="105000"/>
                          <a:satMod val="103000"/>
                          <a:tint val="73000"/>
                        </a:schemeClr>
                      </a:gs>
                      <a:gs pos="100000">
                        <a:schemeClr val="accent6">
                          <a:lumMod val="105000"/>
                          <a:satMod val="109000"/>
                          <a:tint val="81000"/>
                        </a:schemeClr>
                      </a:gs>
                    </a:gsLst>
                    <a:lin ang="5400000" scaled="0"/>
                  </a:gradFill>
                  <a:ln w="9525" cap="flat" cmpd="sng" algn="ctr">
                    <a:solidFill>
                      <a:schemeClr val="accent6">
                        <a:shade val="95000"/>
                      </a:schemeClr>
                    </a:solidFill>
                    <a:round/>
                  </a:ln>
                  <a:effectLst/>
                </c:spPr>
                <c:invertIfNegative val="0"/>
                <c:cat>
                  <c:strRef>
                    <c:extLst>
                      <c:ext uri="{02D57815-91ED-43cb-92C2-25804820EDAC}">
                        <c15:formulaRef>
                          <c15:sqref>'[ASSIGNEMENT EEEEEE.ods]Sheet1'!$M$37:$R$38</c15:sqref>
                        </c15:formulaRef>
                      </c:ext>
                    </c:extLst>
                    <c:strCache>
                      <c:ptCount val="5"/>
                      <c:pt idx="0">
                        <c:v>2024</c:v>
                      </c:pt>
                      <c:pt idx="1">
                        <c:v>2023</c:v>
                      </c:pt>
                      <c:pt idx="2">
                        <c:v>2022</c:v>
                      </c:pt>
                      <c:pt idx="3">
                        <c:v>2021</c:v>
                      </c:pt>
                      <c:pt idx="4">
                        <c:v>2020</c:v>
                      </c:pt>
                    </c:strCache>
                  </c:strRef>
                </c:cat>
                <c:val>
                  <c:numRef>
                    <c:extLst>
                      <c:ext uri="{02D57815-91ED-43cb-92C2-25804820EDAC}">
                        <c15:formulaRef>
                          <c15:sqref>'[ASSIGNEMENT EEEEEE.ods]Sheet1'!$M$44:$R$44</c15:sqref>
                        </c15:formulaRef>
                      </c:ext>
                    </c:extLst>
                    <c:numCache>
                      <c:formatCode>General</c:formatCode>
                      <c:ptCount val="6"/>
                    </c:numCache>
                  </c:numRef>
                </c:val>
                <c:extLst>
                  <c:ext xmlns:c16="http://schemas.microsoft.com/office/drawing/2014/chart" uri="{C3380CC4-5D6E-409C-BE32-E72D297353CC}">
                    <c16:uniqueId val="{00000005-57C9-4439-8A10-8A690361C2B9}"/>
                  </c:ext>
                </c:extLst>
              </c15:ser>
            </c15:filteredBarSeries>
          </c:ext>
        </c:extLst>
      </c:barChart>
      <c:catAx>
        <c:axId val="6586940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658691872"/>
        <c:crosses val="autoZero"/>
        <c:auto val="1"/>
        <c:lblAlgn val="ctr"/>
        <c:lblOffset val="100"/>
        <c:noMultiLvlLbl val="0"/>
      </c:catAx>
      <c:valAx>
        <c:axId val="65869187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6586940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Saintsbury</a:t>
            </a:r>
            <a:r>
              <a:rPr lang="en-GB" baseline="0"/>
              <a:t>  FY  Statement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'[PROFITIBILTY FOR SAINTBUTY.ods]Sheet1'!$I$53:$J$53</c:f>
              <c:strCache>
                <c:ptCount val="2"/>
                <c:pt idx="1">
                  <c:v>Gross profit  margin</c:v>
                </c:pt>
              </c:strCache>
            </c:strRef>
          </c:tx>
          <c:spPr>
            <a:solidFill>
              <a:schemeClr val="accent1"/>
            </a:solidFill>
            <a:ln>
              <a:noFill/>
            </a:ln>
            <a:effectLst/>
          </c:spPr>
          <c:invertIfNegative val="0"/>
          <c:cat>
            <c:strRef>
              <c:f>'[PROFITIBILTY FOR SAINTBUTY.ods]Sheet1'!$K$51:$N$52</c:f>
              <c:strCache>
                <c:ptCount val="4"/>
                <c:pt idx="0">
                  <c:v>2024</c:v>
                </c:pt>
                <c:pt idx="1">
                  <c:v>2023</c:v>
                </c:pt>
                <c:pt idx="2">
                  <c:v>2022</c:v>
                </c:pt>
                <c:pt idx="3">
                  <c:v>2021</c:v>
                </c:pt>
              </c:strCache>
            </c:strRef>
          </c:cat>
          <c:val>
            <c:numRef>
              <c:f>'[PROFITIBILTY FOR SAINTBUTY.ods]Sheet1'!$K$53:$N$53</c:f>
              <c:numCache>
                <c:formatCode>0.00%</c:formatCode>
                <c:ptCount val="4"/>
                <c:pt idx="0">
                  <c:v>7.0999999999999994E-2</c:v>
                </c:pt>
                <c:pt idx="1">
                  <c:v>6.4000000000000001E-2</c:v>
                </c:pt>
                <c:pt idx="2">
                  <c:v>7.8E-2</c:v>
                </c:pt>
                <c:pt idx="3">
                  <c:v>6.0999999999999999E-2</c:v>
                </c:pt>
              </c:numCache>
            </c:numRef>
          </c:val>
          <c:extLst>
            <c:ext xmlns:c16="http://schemas.microsoft.com/office/drawing/2014/chart" uri="{C3380CC4-5D6E-409C-BE32-E72D297353CC}">
              <c16:uniqueId val="{00000000-C12D-4A58-92CB-446B6F5B9FD9}"/>
            </c:ext>
          </c:extLst>
        </c:ser>
        <c:ser>
          <c:idx val="1"/>
          <c:order val="1"/>
          <c:tx>
            <c:strRef>
              <c:f>'[PROFITIBILTY FOR SAINTBUTY.ods]Sheet1'!$I$54:$J$54</c:f>
              <c:strCache>
                <c:ptCount val="2"/>
                <c:pt idx="1">
                  <c:v>Operation profit Margin</c:v>
                </c:pt>
              </c:strCache>
            </c:strRef>
          </c:tx>
          <c:spPr>
            <a:solidFill>
              <a:schemeClr val="accent2"/>
            </a:solidFill>
            <a:ln>
              <a:noFill/>
            </a:ln>
            <a:effectLst/>
          </c:spPr>
          <c:invertIfNegative val="0"/>
          <c:cat>
            <c:strRef>
              <c:f>'[PROFITIBILTY FOR SAINTBUTY.ods]Sheet1'!$K$51:$N$52</c:f>
              <c:strCache>
                <c:ptCount val="4"/>
                <c:pt idx="0">
                  <c:v>2024</c:v>
                </c:pt>
                <c:pt idx="1">
                  <c:v>2023</c:v>
                </c:pt>
                <c:pt idx="2">
                  <c:v>2022</c:v>
                </c:pt>
                <c:pt idx="3">
                  <c:v>2021</c:v>
                </c:pt>
              </c:strCache>
            </c:strRef>
          </c:cat>
          <c:val>
            <c:numRef>
              <c:f>'[PROFITIBILTY FOR SAINTBUTY.ods]Sheet1'!$K$54:$N$54</c:f>
              <c:numCache>
                <c:formatCode>0.00%</c:formatCode>
                <c:ptCount val="4"/>
                <c:pt idx="0">
                  <c:v>4.3999999999999997E-2</c:v>
                </c:pt>
                <c:pt idx="1">
                  <c:v>3.7999999999999999E-2</c:v>
                </c:pt>
                <c:pt idx="2">
                  <c:v>4.2000000000000003E-2</c:v>
                </c:pt>
                <c:pt idx="3">
                  <c:v>1.4999999999999999E-2</c:v>
                </c:pt>
              </c:numCache>
            </c:numRef>
          </c:val>
          <c:extLst>
            <c:ext xmlns:c16="http://schemas.microsoft.com/office/drawing/2014/chart" uri="{C3380CC4-5D6E-409C-BE32-E72D297353CC}">
              <c16:uniqueId val="{00000001-C12D-4A58-92CB-446B6F5B9FD9}"/>
            </c:ext>
          </c:extLst>
        </c:ser>
        <c:ser>
          <c:idx val="2"/>
          <c:order val="2"/>
          <c:tx>
            <c:strRef>
              <c:f>'[PROFITIBILTY FOR SAINTBUTY.ods]Sheet1'!$I$55:$J$55</c:f>
              <c:strCache>
                <c:ptCount val="2"/>
                <c:pt idx="1">
                  <c:v>Net profit  Margin</c:v>
                </c:pt>
              </c:strCache>
            </c:strRef>
          </c:tx>
          <c:spPr>
            <a:solidFill>
              <a:schemeClr val="accent3"/>
            </a:solidFill>
            <a:ln>
              <a:noFill/>
            </a:ln>
            <a:effectLst/>
          </c:spPr>
          <c:invertIfNegative val="0"/>
          <c:cat>
            <c:strRef>
              <c:f>'[PROFITIBILTY FOR SAINTBUTY.ods]Sheet1'!$K$51:$N$52</c:f>
              <c:strCache>
                <c:ptCount val="4"/>
                <c:pt idx="0">
                  <c:v>2024</c:v>
                </c:pt>
                <c:pt idx="1">
                  <c:v>2023</c:v>
                </c:pt>
                <c:pt idx="2">
                  <c:v>2022</c:v>
                </c:pt>
                <c:pt idx="3">
                  <c:v>2021</c:v>
                </c:pt>
              </c:strCache>
            </c:strRef>
          </c:cat>
          <c:val>
            <c:numRef>
              <c:f>'[PROFITIBILTY FOR SAINTBUTY.ods]Sheet1'!$K$55:$N$55</c:f>
              <c:numCache>
                <c:formatCode>0.00%</c:formatCode>
                <c:ptCount val="4"/>
                <c:pt idx="0">
                  <c:v>1.7000000000000001E-2</c:v>
                </c:pt>
                <c:pt idx="1">
                  <c:v>1.4999999999999999E-2</c:v>
                </c:pt>
                <c:pt idx="2">
                  <c:v>1.0999999999999999E-2</c:v>
                </c:pt>
                <c:pt idx="3">
                  <c:v>2.5999999999999999E-2</c:v>
                </c:pt>
              </c:numCache>
            </c:numRef>
          </c:val>
          <c:extLst>
            <c:ext xmlns:c16="http://schemas.microsoft.com/office/drawing/2014/chart" uri="{C3380CC4-5D6E-409C-BE32-E72D297353CC}">
              <c16:uniqueId val="{00000002-C12D-4A58-92CB-446B6F5B9FD9}"/>
            </c:ext>
          </c:extLst>
        </c:ser>
        <c:ser>
          <c:idx val="3"/>
          <c:order val="3"/>
          <c:tx>
            <c:strRef>
              <c:f>'[PROFITIBILTY FOR SAINTBUTY.ods]Sheet1'!$I$56:$J$56</c:f>
              <c:strCache>
                <c:ptCount val="2"/>
                <c:pt idx="1">
                  <c:v>Return of Assert</c:v>
                </c:pt>
              </c:strCache>
            </c:strRef>
          </c:tx>
          <c:spPr>
            <a:solidFill>
              <a:schemeClr val="accent4"/>
            </a:solidFill>
            <a:ln>
              <a:noFill/>
            </a:ln>
            <a:effectLst/>
          </c:spPr>
          <c:invertIfNegative val="0"/>
          <c:cat>
            <c:strRef>
              <c:f>'[PROFITIBILTY FOR SAINTBUTY.ods]Sheet1'!$K$51:$N$52</c:f>
              <c:strCache>
                <c:ptCount val="4"/>
                <c:pt idx="0">
                  <c:v>2024</c:v>
                </c:pt>
                <c:pt idx="1">
                  <c:v>2023</c:v>
                </c:pt>
                <c:pt idx="2">
                  <c:v>2022</c:v>
                </c:pt>
                <c:pt idx="3">
                  <c:v>2021</c:v>
                </c:pt>
              </c:strCache>
            </c:strRef>
          </c:cat>
          <c:val>
            <c:numRef>
              <c:f>'[PROFITIBILTY FOR SAINTBUTY.ods]Sheet1'!$K$56:$N$56</c:f>
              <c:numCache>
                <c:formatCode>0.00%</c:formatCode>
                <c:ptCount val="4"/>
                <c:pt idx="0">
                  <c:v>1.7999999999999999E-2</c:v>
                </c:pt>
                <c:pt idx="1">
                  <c:v>1.9E-2</c:v>
                </c:pt>
                <c:pt idx="2">
                  <c:v>1.2999999999999999E-2</c:v>
                </c:pt>
                <c:pt idx="3">
                  <c:v>3.6999999999999998E-2</c:v>
                </c:pt>
              </c:numCache>
            </c:numRef>
          </c:val>
          <c:extLst>
            <c:ext xmlns:c16="http://schemas.microsoft.com/office/drawing/2014/chart" uri="{C3380CC4-5D6E-409C-BE32-E72D297353CC}">
              <c16:uniqueId val="{00000003-C12D-4A58-92CB-446B6F5B9FD9}"/>
            </c:ext>
          </c:extLst>
        </c:ser>
        <c:ser>
          <c:idx val="4"/>
          <c:order val="4"/>
          <c:tx>
            <c:strRef>
              <c:f>'[PROFITIBILTY FOR SAINTBUTY.ods]Sheet1'!$I$57:$J$57</c:f>
              <c:strCache>
                <c:ptCount val="2"/>
                <c:pt idx="1">
                  <c:v>Return of Equity</c:v>
                </c:pt>
              </c:strCache>
            </c:strRef>
          </c:tx>
          <c:spPr>
            <a:solidFill>
              <a:schemeClr val="accent5"/>
            </a:solidFill>
            <a:ln>
              <a:noFill/>
            </a:ln>
            <a:effectLst/>
          </c:spPr>
          <c:invertIfNegative val="0"/>
          <c:cat>
            <c:strRef>
              <c:f>'[PROFITIBILTY FOR SAINTBUTY.ods]Sheet1'!$K$51:$N$52</c:f>
              <c:strCache>
                <c:ptCount val="4"/>
                <c:pt idx="0">
                  <c:v>2024</c:v>
                </c:pt>
                <c:pt idx="1">
                  <c:v>2023</c:v>
                </c:pt>
                <c:pt idx="2">
                  <c:v>2022</c:v>
                </c:pt>
                <c:pt idx="3">
                  <c:v>2021</c:v>
                </c:pt>
              </c:strCache>
            </c:strRef>
          </c:cat>
          <c:val>
            <c:numRef>
              <c:f>'[PROFITIBILTY FOR SAINTBUTY.ods]Sheet1'!$K$57:$N$57</c:f>
              <c:numCache>
                <c:formatCode>0.00%</c:formatCode>
                <c:ptCount val="4"/>
                <c:pt idx="0">
                  <c:v>0.05</c:v>
                </c:pt>
                <c:pt idx="1">
                  <c:v>5.2999999999999999E-2</c:v>
                </c:pt>
                <c:pt idx="2">
                  <c:v>4.1000000000000002E-2</c:v>
                </c:pt>
                <c:pt idx="3">
                  <c:v>9.8000000000000004E-2</c:v>
                </c:pt>
              </c:numCache>
            </c:numRef>
          </c:val>
          <c:extLst>
            <c:ext xmlns:c16="http://schemas.microsoft.com/office/drawing/2014/chart" uri="{C3380CC4-5D6E-409C-BE32-E72D297353CC}">
              <c16:uniqueId val="{00000004-C12D-4A58-92CB-446B6F5B9FD9}"/>
            </c:ext>
          </c:extLst>
        </c:ser>
        <c:dLbls>
          <c:showLegendKey val="0"/>
          <c:showVal val="0"/>
          <c:showCatName val="0"/>
          <c:showSerName val="0"/>
          <c:showPercent val="0"/>
          <c:showBubbleSize val="0"/>
        </c:dLbls>
        <c:gapWidth val="219"/>
        <c:overlap val="-27"/>
        <c:axId val="693485928"/>
        <c:axId val="693494928"/>
        <c:extLst>
          <c:ext xmlns:c15="http://schemas.microsoft.com/office/drawing/2012/chart" uri="{02D57815-91ED-43cb-92C2-25804820EDAC}">
            <c15:filteredBarSeries>
              <c15:ser>
                <c:idx val="5"/>
                <c:order val="5"/>
                <c:tx>
                  <c:strRef>
                    <c:extLst>
                      <c:ext uri="{02D57815-91ED-43cb-92C2-25804820EDAC}">
                        <c15:formulaRef>
                          <c15:sqref>'[PROFITIBILTY FOR SAINTBUTY.ods]Sheet1'!$I$58:$J$58</c15:sqref>
                        </c15:formulaRef>
                      </c:ext>
                    </c:extLst>
                    <c:strCache>
                      <c:ptCount val="2"/>
                      <c:pt idx="1">
                        <c:v>Return of Equity</c:v>
                      </c:pt>
                    </c:strCache>
                  </c:strRef>
                </c:tx>
                <c:spPr>
                  <a:solidFill>
                    <a:schemeClr val="accent6"/>
                  </a:solidFill>
                  <a:ln>
                    <a:noFill/>
                  </a:ln>
                  <a:effectLst/>
                </c:spPr>
                <c:invertIfNegative val="0"/>
                <c:cat>
                  <c:strRef>
                    <c:extLst>
                      <c:ext uri="{02D57815-91ED-43cb-92C2-25804820EDAC}">
                        <c15:formulaRef>
                          <c15:sqref>'[PROFITIBILTY FOR SAINTBUTY.ods]Sheet1'!$K$51:$N$52</c15:sqref>
                        </c15:formulaRef>
                      </c:ext>
                    </c:extLst>
                    <c:strCache>
                      <c:ptCount val="4"/>
                      <c:pt idx="0">
                        <c:v>2024</c:v>
                      </c:pt>
                      <c:pt idx="1">
                        <c:v>2023</c:v>
                      </c:pt>
                      <c:pt idx="2">
                        <c:v>2022</c:v>
                      </c:pt>
                      <c:pt idx="3">
                        <c:v>2021</c:v>
                      </c:pt>
                    </c:strCache>
                  </c:strRef>
                </c:cat>
                <c:val>
                  <c:numRef>
                    <c:extLst>
                      <c:ext uri="{02D57815-91ED-43cb-92C2-25804820EDAC}">
                        <c15:formulaRef>
                          <c15:sqref>'[PROFITIBILTY FOR SAINTBUTY.ods]Sheet1'!$K$58:$N$58</c15:sqref>
                        </c15:formulaRef>
                      </c:ext>
                    </c:extLst>
                    <c:numCache>
                      <c:formatCode>General</c:formatCode>
                      <c:ptCount val="4"/>
                    </c:numCache>
                  </c:numRef>
                </c:val>
                <c:extLst>
                  <c:ext xmlns:c16="http://schemas.microsoft.com/office/drawing/2014/chart" uri="{C3380CC4-5D6E-409C-BE32-E72D297353CC}">
                    <c16:uniqueId val="{00000005-C12D-4A58-92CB-446B6F5B9FD9}"/>
                  </c:ext>
                </c:extLst>
              </c15:ser>
            </c15:filteredBarSeries>
          </c:ext>
        </c:extLst>
      </c:barChart>
      <c:catAx>
        <c:axId val="6934859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3494928"/>
        <c:crosses val="autoZero"/>
        <c:auto val="1"/>
        <c:lblAlgn val="ctr"/>
        <c:lblOffset val="100"/>
        <c:noMultiLvlLbl val="0"/>
      </c:catAx>
      <c:valAx>
        <c:axId val="69349492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34859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615B45-5C0C-4F87-A84A-78237F1AA0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6300</Words>
  <Characters>35913</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Rex Amu (2028603)</dc:creator>
  <cp:keywords/>
  <dc:description/>
  <cp:lastModifiedBy>Rex Amu (2028603)</cp:lastModifiedBy>
  <cp:revision>3</cp:revision>
  <dcterms:created xsi:type="dcterms:W3CDTF">2024-08-20T21:44:00Z</dcterms:created>
  <dcterms:modified xsi:type="dcterms:W3CDTF">2024-08-20T22:57:00Z</dcterms:modified>
</cp:coreProperties>
</file>