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6718C" w14:textId="77777777" w:rsidR="0039628B" w:rsidRPr="008C341D" w:rsidRDefault="0039628B" w:rsidP="0039628B">
      <w:pPr>
        <w:spacing w:line="360" w:lineRule="auto"/>
        <w:rPr>
          <w:rFonts w:ascii="Arial" w:hAnsi="Arial" w:cs="Arial"/>
          <w:sz w:val="23"/>
          <w:szCs w:val="23"/>
        </w:rPr>
      </w:pPr>
      <w:r w:rsidRPr="008C341D">
        <w:rPr>
          <w:rFonts w:ascii="Arial" w:hAnsi="Arial" w:cs="Arial"/>
          <w:sz w:val="23"/>
          <w:szCs w:val="23"/>
        </w:rPr>
        <w:t>Name: Portia Amankonah</w:t>
      </w:r>
    </w:p>
    <w:p w14:paraId="41EEB62A" w14:textId="77777777" w:rsidR="0039628B" w:rsidRPr="008C341D" w:rsidRDefault="0039628B" w:rsidP="0039628B">
      <w:pPr>
        <w:spacing w:line="360" w:lineRule="auto"/>
        <w:rPr>
          <w:rFonts w:ascii="Arial" w:hAnsi="Arial" w:cs="Arial"/>
          <w:sz w:val="23"/>
          <w:szCs w:val="23"/>
        </w:rPr>
      </w:pPr>
    </w:p>
    <w:p w14:paraId="7DCF4CD6" w14:textId="77777777" w:rsidR="0039628B" w:rsidRPr="008C341D" w:rsidRDefault="0039628B" w:rsidP="0039628B">
      <w:pPr>
        <w:spacing w:line="360" w:lineRule="auto"/>
        <w:rPr>
          <w:rFonts w:ascii="Arial" w:hAnsi="Arial" w:cs="Arial"/>
          <w:sz w:val="23"/>
          <w:szCs w:val="23"/>
        </w:rPr>
      </w:pPr>
    </w:p>
    <w:p w14:paraId="14C396F2" w14:textId="77777777" w:rsidR="0039628B" w:rsidRPr="008C341D" w:rsidRDefault="0039628B" w:rsidP="0039628B">
      <w:pPr>
        <w:spacing w:line="360" w:lineRule="auto"/>
        <w:rPr>
          <w:rFonts w:ascii="Arial" w:hAnsi="Arial" w:cs="Arial"/>
          <w:sz w:val="23"/>
          <w:szCs w:val="23"/>
        </w:rPr>
      </w:pPr>
    </w:p>
    <w:p w14:paraId="2E82764A" w14:textId="77777777" w:rsidR="0039628B" w:rsidRPr="008C341D" w:rsidRDefault="0039628B" w:rsidP="0039628B">
      <w:pPr>
        <w:spacing w:line="360" w:lineRule="auto"/>
        <w:rPr>
          <w:rFonts w:ascii="Arial" w:hAnsi="Arial" w:cs="Arial"/>
          <w:sz w:val="23"/>
          <w:szCs w:val="23"/>
        </w:rPr>
      </w:pPr>
    </w:p>
    <w:p w14:paraId="5E00CD72" w14:textId="77777777" w:rsidR="0039628B" w:rsidRPr="008C341D" w:rsidRDefault="0039628B" w:rsidP="0039628B">
      <w:pPr>
        <w:spacing w:line="360" w:lineRule="auto"/>
        <w:rPr>
          <w:rFonts w:ascii="Arial" w:hAnsi="Arial" w:cs="Arial"/>
          <w:sz w:val="23"/>
          <w:szCs w:val="23"/>
        </w:rPr>
      </w:pPr>
    </w:p>
    <w:p w14:paraId="5FD68313" w14:textId="77777777" w:rsidR="0039628B" w:rsidRPr="00353578" w:rsidRDefault="0039628B" w:rsidP="0039628B">
      <w:pPr>
        <w:spacing w:line="360" w:lineRule="auto"/>
        <w:rPr>
          <w:rFonts w:ascii="Arial" w:hAnsi="Arial" w:cs="Arial"/>
          <w:sz w:val="23"/>
          <w:szCs w:val="23"/>
        </w:rPr>
      </w:pPr>
      <w:r w:rsidRPr="00353578">
        <w:rPr>
          <w:rFonts w:ascii="Arial" w:hAnsi="Arial" w:cs="Arial"/>
          <w:sz w:val="23"/>
          <w:szCs w:val="23"/>
        </w:rPr>
        <w:t>Student number: 2426673</w:t>
      </w:r>
    </w:p>
    <w:p w14:paraId="436F68FD" w14:textId="77777777" w:rsidR="0039628B" w:rsidRPr="00353578" w:rsidRDefault="0039628B" w:rsidP="0039628B">
      <w:pPr>
        <w:spacing w:line="360" w:lineRule="auto"/>
        <w:rPr>
          <w:rFonts w:ascii="Arial" w:hAnsi="Arial" w:cs="Arial"/>
          <w:sz w:val="23"/>
          <w:szCs w:val="23"/>
        </w:rPr>
      </w:pPr>
    </w:p>
    <w:p w14:paraId="241B79C5" w14:textId="77777777" w:rsidR="0039628B" w:rsidRPr="00353578" w:rsidRDefault="0039628B" w:rsidP="0039628B">
      <w:pPr>
        <w:spacing w:line="360" w:lineRule="auto"/>
        <w:rPr>
          <w:rFonts w:ascii="Arial" w:hAnsi="Arial" w:cs="Arial"/>
          <w:sz w:val="23"/>
          <w:szCs w:val="23"/>
        </w:rPr>
      </w:pPr>
    </w:p>
    <w:p w14:paraId="4D1B3576" w14:textId="77777777" w:rsidR="0039628B" w:rsidRPr="00353578" w:rsidRDefault="0039628B" w:rsidP="0039628B">
      <w:pPr>
        <w:spacing w:line="360" w:lineRule="auto"/>
        <w:rPr>
          <w:rFonts w:ascii="Arial" w:hAnsi="Arial" w:cs="Arial"/>
          <w:sz w:val="23"/>
          <w:szCs w:val="23"/>
        </w:rPr>
      </w:pPr>
    </w:p>
    <w:p w14:paraId="27DEC0DE" w14:textId="77777777" w:rsidR="0039628B" w:rsidRPr="00353578" w:rsidRDefault="0039628B" w:rsidP="0039628B">
      <w:pPr>
        <w:spacing w:line="360" w:lineRule="auto"/>
        <w:rPr>
          <w:rFonts w:ascii="Arial" w:hAnsi="Arial" w:cs="Arial"/>
          <w:sz w:val="23"/>
          <w:szCs w:val="23"/>
        </w:rPr>
      </w:pPr>
    </w:p>
    <w:p w14:paraId="2799C5B0" w14:textId="77777777" w:rsidR="0039628B" w:rsidRPr="00353578" w:rsidRDefault="0039628B" w:rsidP="0039628B">
      <w:pPr>
        <w:spacing w:line="360" w:lineRule="auto"/>
        <w:rPr>
          <w:rFonts w:ascii="Arial" w:hAnsi="Arial" w:cs="Arial"/>
          <w:sz w:val="23"/>
          <w:szCs w:val="23"/>
        </w:rPr>
      </w:pPr>
    </w:p>
    <w:p w14:paraId="5141BDE3" w14:textId="77777777" w:rsidR="0039628B" w:rsidRPr="00353578" w:rsidRDefault="0039628B" w:rsidP="0039628B">
      <w:pPr>
        <w:spacing w:line="360" w:lineRule="auto"/>
        <w:rPr>
          <w:rFonts w:ascii="Arial" w:hAnsi="Arial" w:cs="Arial"/>
          <w:sz w:val="23"/>
          <w:szCs w:val="23"/>
        </w:rPr>
      </w:pPr>
    </w:p>
    <w:p w14:paraId="621E9C35" w14:textId="046AF4A3" w:rsidR="0039628B" w:rsidRPr="00353578" w:rsidRDefault="0039628B" w:rsidP="0039628B">
      <w:pPr>
        <w:spacing w:before="120" w:after="120"/>
        <w:rPr>
          <w:rFonts w:ascii="Arial" w:hAnsi="Arial" w:cs="Arial"/>
          <w:b/>
          <w:sz w:val="23"/>
          <w:szCs w:val="23"/>
          <w:lang w:eastAsia="zh-CN"/>
        </w:rPr>
      </w:pPr>
      <w:r w:rsidRPr="00353578">
        <w:rPr>
          <w:rFonts w:ascii="Arial" w:hAnsi="Arial" w:cs="Arial"/>
          <w:sz w:val="23"/>
          <w:szCs w:val="23"/>
        </w:rPr>
        <w:t xml:space="preserve">Module: Physiology  </w:t>
      </w:r>
    </w:p>
    <w:p w14:paraId="4B5B88ED" w14:textId="77777777" w:rsidR="0039628B" w:rsidRPr="00353578" w:rsidRDefault="0039628B" w:rsidP="0039628B">
      <w:pPr>
        <w:spacing w:line="360" w:lineRule="auto"/>
        <w:rPr>
          <w:rFonts w:ascii="Arial" w:hAnsi="Arial" w:cs="Arial"/>
          <w:sz w:val="23"/>
          <w:szCs w:val="23"/>
        </w:rPr>
      </w:pPr>
    </w:p>
    <w:p w14:paraId="11A0C69D" w14:textId="77777777" w:rsidR="0039628B" w:rsidRPr="00353578" w:rsidRDefault="0039628B" w:rsidP="0039628B">
      <w:pPr>
        <w:spacing w:line="360" w:lineRule="auto"/>
        <w:rPr>
          <w:rFonts w:ascii="Arial" w:hAnsi="Arial" w:cs="Arial"/>
          <w:sz w:val="23"/>
          <w:szCs w:val="23"/>
        </w:rPr>
      </w:pPr>
    </w:p>
    <w:p w14:paraId="5FF038B2" w14:textId="77777777" w:rsidR="0039628B" w:rsidRPr="00353578" w:rsidRDefault="0039628B" w:rsidP="0039628B">
      <w:pPr>
        <w:spacing w:line="360" w:lineRule="auto"/>
        <w:rPr>
          <w:rFonts w:ascii="Arial" w:hAnsi="Arial" w:cs="Arial"/>
          <w:sz w:val="23"/>
          <w:szCs w:val="23"/>
        </w:rPr>
      </w:pPr>
    </w:p>
    <w:p w14:paraId="1DBBDF54" w14:textId="77777777" w:rsidR="0039628B" w:rsidRPr="00353578" w:rsidRDefault="0039628B" w:rsidP="0039628B">
      <w:pPr>
        <w:spacing w:line="360" w:lineRule="auto"/>
        <w:rPr>
          <w:rFonts w:ascii="Arial" w:hAnsi="Arial" w:cs="Arial"/>
          <w:sz w:val="23"/>
          <w:szCs w:val="23"/>
        </w:rPr>
      </w:pPr>
    </w:p>
    <w:p w14:paraId="4B736B1D" w14:textId="77777777" w:rsidR="0039628B" w:rsidRPr="00353578" w:rsidRDefault="0039628B" w:rsidP="0039628B">
      <w:pPr>
        <w:spacing w:line="360" w:lineRule="auto"/>
        <w:rPr>
          <w:rFonts w:ascii="Arial" w:hAnsi="Arial" w:cs="Arial"/>
          <w:sz w:val="23"/>
          <w:szCs w:val="23"/>
        </w:rPr>
      </w:pPr>
    </w:p>
    <w:p w14:paraId="14C8A0DD" w14:textId="473D0758" w:rsidR="003737B6" w:rsidRPr="00353578" w:rsidRDefault="00353578">
      <w:pPr>
        <w:rPr>
          <w:rFonts w:ascii="Arial" w:hAnsi="Arial" w:cs="Arial"/>
          <w:sz w:val="23"/>
          <w:szCs w:val="23"/>
        </w:rPr>
      </w:pPr>
      <w:r w:rsidRPr="00353578">
        <w:rPr>
          <w:rFonts w:ascii="Arial" w:hAnsi="Arial" w:cs="Arial"/>
          <w:sz w:val="23"/>
          <w:szCs w:val="23"/>
        </w:rPr>
        <w:t>Supporting Effective Self-Management in Type 2 Diabetes: An Analytical Report on Blood Glucose Regulation, Metabolic Processes and Behavioural Change</w:t>
      </w:r>
    </w:p>
    <w:p w14:paraId="7AE1E7B1" w14:textId="77777777" w:rsidR="00381487" w:rsidRPr="00353578" w:rsidRDefault="00381487">
      <w:pPr>
        <w:rPr>
          <w:rFonts w:ascii="Arial" w:hAnsi="Arial" w:cs="Arial"/>
          <w:sz w:val="23"/>
          <w:szCs w:val="23"/>
        </w:rPr>
      </w:pPr>
    </w:p>
    <w:p w14:paraId="71FE76F8" w14:textId="77777777" w:rsidR="00381487" w:rsidRPr="00353578" w:rsidRDefault="00381487">
      <w:pPr>
        <w:rPr>
          <w:rFonts w:ascii="Arial" w:hAnsi="Arial" w:cs="Arial"/>
          <w:sz w:val="23"/>
          <w:szCs w:val="23"/>
        </w:rPr>
      </w:pPr>
    </w:p>
    <w:p w14:paraId="563F7FBD" w14:textId="77777777" w:rsidR="00381487" w:rsidRPr="00353578" w:rsidRDefault="00381487">
      <w:pPr>
        <w:rPr>
          <w:rFonts w:ascii="Arial" w:hAnsi="Arial" w:cs="Arial"/>
          <w:sz w:val="23"/>
          <w:szCs w:val="23"/>
        </w:rPr>
      </w:pPr>
    </w:p>
    <w:p w14:paraId="6F65D13B" w14:textId="77777777" w:rsidR="00381487" w:rsidRPr="00353578" w:rsidRDefault="00381487">
      <w:pPr>
        <w:rPr>
          <w:rFonts w:ascii="Arial" w:hAnsi="Arial" w:cs="Arial"/>
          <w:sz w:val="23"/>
          <w:szCs w:val="23"/>
        </w:rPr>
      </w:pPr>
    </w:p>
    <w:p w14:paraId="3DA77C24" w14:textId="77777777" w:rsidR="00381487" w:rsidRPr="00353578" w:rsidRDefault="00381487">
      <w:pPr>
        <w:rPr>
          <w:rFonts w:ascii="Arial" w:hAnsi="Arial" w:cs="Arial"/>
          <w:sz w:val="23"/>
          <w:szCs w:val="23"/>
        </w:rPr>
      </w:pPr>
    </w:p>
    <w:p w14:paraId="507E1ADD" w14:textId="0D48E278" w:rsidR="00381487" w:rsidRPr="00353578" w:rsidRDefault="00381487" w:rsidP="00381487">
      <w:pPr>
        <w:pStyle w:val="NormalWeb"/>
        <w:rPr>
          <w:rFonts w:ascii="Arial" w:hAnsi="Arial" w:cs="Arial"/>
          <w:sz w:val="23"/>
          <w:szCs w:val="23"/>
        </w:rPr>
      </w:pPr>
      <w:r w:rsidRPr="00353578">
        <w:rPr>
          <w:rFonts w:ascii="Arial" w:hAnsi="Arial" w:cs="Arial"/>
          <w:sz w:val="23"/>
          <w:szCs w:val="23"/>
        </w:rPr>
        <w:lastRenderedPageBreak/>
        <w:t xml:space="preserve">As a practice nurse working in a GP surgery where rising numbers of individuals are being diagnosed with Type 2 diabetes, the ability to translate complex physiology into meaningful, patient-centred education becomes central to safe and collaborative care. Many </w:t>
      </w:r>
      <w:proofErr w:type="gramStart"/>
      <w:r w:rsidR="00956C04">
        <w:rPr>
          <w:rFonts w:ascii="Arial" w:hAnsi="Arial" w:cs="Arial"/>
          <w:sz w:val="23"/>
          <w:szCs w:val="23"/>
        </w:rPr>
        <w:t>patients</w:t>
      </w:r>
      <w:proofErr w:type="gramEnd"/>
      <w:r w:rsidRPr="00353578">
        <w:rPr>
          <w:rFonts w:ascii="Arial" w:hAnsi="Arial" w:cs="Arial"/>
          <w:sz w:val="23"/>
          <w:szCs w:val="23"/>
        </w:rPr>
        <w:t xml:space="preserve"> attending routine clinics express uncertainty about their condition, and this often shows through comments about “not understanding their numbers”, confusion about diet, or difficulty linking daily fluctuations to activities or meals. This gap is not simply a lack of information but reflects a wider challenge: </w:t>
      </w:r>
      <w:r w:rsidRPr="00956C04">
        <w:rPr>
          <w:rStyle w:val="Strong"/>
          <w:rFonts w:ascii="Arial" w:eastAsiaTheme="majorEastAsia" w:hAnsi="Arial" w:cs="Arial"/>
          <w:b w:val="0"/>
          <w:bCs w:val="0"/>
          <w:sz w:val="23"/>
          <w:szCs w:val="23"/>
        </w:rPr>
        <w:t>patients cannot meaningfully engage with their care plans unless they grasp the underlying principles of blood-glucose regulation and the ways lifestyle factors modify these processes</w:t>
      </w:r>
      <w:r w:rsidR="00956C04" w:rsidRPr="00956C04">
        <w:rPr>
          <w:rStyle w:val="Strong"/>
          <w:rFonts w:ascii="Arial" w:eastAsiaTheme="majorEastAsia" w:hAnsi="Arial" w:cs="Arial"/>
          <w:b w:val="0"/>
          <w:bCs w:val="0"/>
          <w:sz w:val="23"/>
          <w:szCs w:val="23"/>
        </w:rPr>
        <w:t xml:space="preserve"> </w:t>
      </w:r>
      <w:r w:rsidR="00956C04" w:rsidRPr="00956C04">
        <w:rPr>
          <w:rFonts w:ascii="Arial" w:eastAsiaTheme="majorEastAsia" w:hAnsi="Arial" w:cs="Arial"/>
          <w:sz w:val="23"/>
          <w:szCs w:val="23"/>
        </w:rPr>
        <w:t>(Sakai et al., 2019</w:t>
      </w:r>
      <w:r w:rsidR="00956C04" w:rsidRPr="00956C04">
        <w:rPr>
          <w:rFonts w:ascii="Arial" w:eastAsiaTheme="majorEastAsia" w:hAnsi="Arial" w:cs="Arial"/>
          <w:b/>
          <w:bCs/>
          <w:sz w:val="23"/>
          <w:szCs w:val="23"/>
        </w:rPr>
        <w:t>).</w:t>
      </w:r>
      <w:r w:rsidRPr="00353578">
        <w:rPr>
          <w:rFonts w:ascii="Arial" w:hAnsi="Arial" w:cs="Arial"/>
          <w:sz w:val="23"/>
          <w:szCs w:val="23"/>
        </w:rPr>
        <w:t xml:space="preserve"> For this reason, gathering structured, evidence-based information that explains what diabetes is, how the body normally maintains glucose, and how behaviours influence symptoms forms the foundation for empowering individuals to manage their condition safely.</w:t>
      </w:r>
    </w:p>
    <w:p w14:paraId="10D9742B" w14:textId="2832F560" w:rsidR="00381487" w:rsidRPr="00353578" w:rsidRDefault="00381487" w:rsidP="00381487">
      <w:pPr>
        <w:pStyle w:val="NormalWeb"/>
        <w:rPr>
          <w:rFonts w:ascii="Arial" w:hAnsi="Arial" w:cs="Arial"/>
          <w:sz w:val="23"/>
          <w:szCs w:val="23"/>
        </w:rPr>
      </w:pPr>
      <w:r w:rsidRPr="00353578">
        <w:rPr>
          <w:rFonts w:ascii="Arial" w:hAnsi="Arial" w:cs="Arial"/>
          <w:sz w:val="23"/>
          <w:szCs w:val="23"/>
        </w:rPr>
        <w:t>Type 2 diabetes is understood as a chronic metabolic disorder arising from a combination of insulin resistance and impaired insulin secretion. Although patients often view diabetes as a sugar problem, the condition is in fact a complex disturbance of cellular signalling, energy regulation, inflammation</w:t>
      </w:r>
      <w:r w:rsidR="001B293C">
        <w:rPr>
          <w:rFonts w:ascii="Arial" w:hAnsi="Arial" w:cs="Arial"/>
          <w:sz w:val="23"/>
          <w:szCs w:val="23"/>
        </w:rPr>
        <w:t>,</w:t>
      </w:r>
      <w:r w:rsidRPr="00353578">
        <w:rPr>
          <w:rFonts w:ascii="Arial" w:hAnsi="Arial" w:cs="Arial"/>
          <w:sz w:val="23"/>
          <w:szCs w:val="23"/>
        </w:rPr>
        <w:t xml:space="preserve"> and metabolism. </w:t>
      </w:r>
      <w:r w:rsidRPr="00EA4A17">
        <w:rPr>
          <w:rStyle w:val="Strong"/>
          <w:rFonts w:ascii="Arial" w:eastAsiaTheme="majorEastAsia" w:hAnsi="Arial" w:cs="Arial"/>
          <w:b w:val="0"/>
          <w:bCs w:val="0"/>
          <w:sz w:val="23"/>
          <w:szCs w:val="23"/>
        </w:rPr>
        <w:t>Insulin resistance develops when cells</w:t>
      </w:r>
      <w:r w:rsidR="00353578" w:rsidRPr="00EA4A17">
        <w:rPr>
          <w:rStyle w:val="Strong"/>
          <w:rFonts w:ascii="Arial" w:eastAsiaTheme="majorEastAsia" w:hAnsi="Arial" w:cs="Arial"/>
          <w:b w:val="0"/>
          <w:bCs w:val="0"/>
          <w:sz w:val="23"/>
          <w:szCs w:val="23"/>
        </w:rPr>
        <w:t xml:space="preserve"> (</w:t>
      </w:r>
      <w:r w:rsidRPr="00EA4A17">
        <w:rPr>
          <w:rStyle w:val="Strong"/>
          <w:rFonts w:ascii="Arial" w:eastAsiaTheme="majorEastAsia" w:hAnsi="Arial" w:cs="Arial"/>
          <w:b w:val="0"/>
          <w:bCs w:val="0"/>
          <w:sz w:val="23"/>
          <w:szCs w:val="23"/>
        </w:rPr>
        <w:t>particularly muscle, liver</w:t>
      </w:r>
      <w:r w:rsidR="001B293C" w:rsidRPr="00EA4A17">
        <w:rPr>
          <w:rStyle w:val="Strong"/>
          <w:rFonts w:ascii="Arial" w:eastAsiaTheme="majorEastAsia" w:hAnsi="Arial" w:cs="Arial"/>
          <w:b w:val="0"/>
          <w:bCs w:val="0"/>
          <w:sz w:val="23"/>
          <w:szCs w:val="23"/>
        </w:rPr>
        <w:t>,</w:t>
      </w:r>
      <w:r w:rsidRPr="00EA4A17">
        <w:rPr>
          <w:rStyle w:val="Strong"/>
          <w:rFonts w:ascii="Arial" w:eastAsiaTheme="majorEastAsia" w:hAnsi="Arial" w:cs="Arial"/>
          <w:b w:val="0"/>
          <w:bCs w:val="0"/>
          <w:sz w:val="23"/>
          <w:szCs w:val="23"/>
        </w:rPr>
        <w:t xml:space="preserve"> and adipose tissue</w:t>
      </w:r>
      <w:r w:rsidR="00353578" w:rsidRPr="00EA4A17">
        <w:rPr>
          <w:rStyle w:val="Strong"/>
          <w:rFonts w:ascii="Arial" w:eastAsiaTheme="majorEastAsia" w:hAnsi="Arial" w:cs="Arial"/>
          <w:b w:val="0"/>
          <w:bCs w:val="0"/>
          <w:sz w:val="23"/>
          <w:szCs w:val="23"/>
        </w:rPr>
        <w:t xml:space="preserve">) </w:t>
      </w:r>
      <w:r w:rsidRPr="00EA4A17">
        <w:rPr>
          <w:rStyle w:val="Strong"/>
          <w:rFonts w:ascii="Arial" w:eastAsiaTheme="majorEastAsia" w:hAnsi="Arial" w:cs="Arial"/>
          <w:b w:val="0"/>
          <w:bCs w:val="0"/>
          <w:sz w:val="23"/>
          <w:szCs w:val="23"/>
        </w:rPr>
        <w:t>become less responsive to insulin’s action, forcing the pancreas to produce more insulin to achieve the same effect</w:t>
      </w:r>
      <w:r w:rsidRPr="00353578">
        <w:rPr>
          <w:rFonts w:ascii="Arial" w:hAnsi="Arial" w:cs="Arial"/>
          <w:sz w:val="23"/>
          <w:szCs w:val="23"/>
        </w:rPr>
        <w:t>.</w:t>
      </w:r>
      <w:r w:rsidR="00695963" w:rsidRPr="00695963">
        <w:rPr>
          <w:rFonts w:ascii="Arial" w:hAnsi="Arial" w:cs="Arial"/>
          <w:sz w:val="23"/>
          <w:szCs w:val="23"/>
        </w:rPr>
        <w:t xml:space="preserve"> </w:t>
      </w:r>
      <w:r w:rsidR="00695963">
        <w:rPr>
          <w:rFonts w:ascii="Arial" w:hAnsi="Arial" w:cs="Arial"/>
          <w:sz w:val="23"/>
          <w:szCs w:val="23"/>
        </w:rPr>
        <w:t>(</w:t>
      </w:r>
      <w:r w:rsidR="00695963" w:rsidRPr="00695963">
        <w:rPr>
          <w:rFonts w:ascii="Arial" w:hAnsi="Arial" w:cs="Arial"/>
          <w:sz w:val="23"/>
          <w:szCs w:val="23"/>
        </w:rPr>
        <w:t>Szablewski, L., 2024</w:t>
      </w:r>
      <w:r w:rsidR="00695963">
        <w:rPr>
          <w:rFonts w:ascii="Arial" w:hAnsi="Arial" w:cs="Arial"/>
          <w:sz w:val="23"/>
          <w:szCs w:val="23"/>
        </w:rPr>
        <w:t>).</w:t>
      </w:r>
      <w:r w:rsidR="00695963" w:rsidRPr="00353578">
        <w:rPr>
          <w:rFonts w:ascii="Arial" w:hAnsi="Arial" w:cs="Arial"/>
          <w:sz w:val="23"/>
          <w:szCs w:val="23"/>
        </w:rPr>
        <w:t xml:space="preserve"> </w:t>
      </w:r>
      <w:r w:rsidRPr="00353578">
        <w:rPr>
          <w:rFonts w:ascii="Arial" w:hAnsi="Arial" w:cs="Arial"/>
          <w:sz w:val="23"/>
          <w:szCs w:val="23"/>
        </w:rPr>
        <w:t>Over time, pancreatic β-cells become fatigued, and insulin secretion gradually declines. This progressive pattern helps explain why some patients report having been “borderline” for years before receiving a formal diagnosis. The condition’s risk factors</w:t>
      </w:r>
      <w:r w:rsidR="007C641A">
        <w:rPr>
          <w:rFonts w:ascii="Arial" w:hAnsi="Arial" w:cs="Arial"/>
          <w:sz w:val="23"/>
          <w:szCs w:val="23"/>
        </w:rPr>
        <w:t xml:space="preserve"> (</w:t>
      </w:r>
      <w:r w:rsidRPr="00353578">
        <w:rPr>
          <w:rFonts w:ascii="Arial" w:hAnsi="Arial" w:cs="Arial"/>
          <w:sz w:val="23"/>
          <w:szCs w:val="23"/>
        </w:rPr>
        <w:t>age, family history, ethnicity, obesity, inactivity, chronic stress</w:t>
      </w:r>
      <w:r w:rsidR="00353578">
        <w:rPr>
          <w:rFonts w:ascii="Arial" w:hAnsi="Arial" w:cs="Arial"/>
          <w:sz w:val="23"/>
          <w:szCs w:val="23"/>
        </w:rPr>
        <w:t>,</w:t>
      </w:r>
      <w:r w:rsidRPr="00353578">
        <w:rPr>
          <w:rFonts w:ascii="Arial" w:hAnsi="Arial" w:cs="Arial"/>
          <w:sz w:val="23"/>
          <w:szCs w:val="23"/>
        </w:rPr>
        <w:t xml:space="preserve"> and smoking</w:t>
      </w:r>
      <w:r w:rsidR="007C641A">
        <w:rPr>
          <w:rFonts w:ascii="Arial" w:hAnsi="Arial" w:cs="Arial"/>
          <w:sz w:val="23"/>
          <w:szCs w:val="23"/>
        </w:rPr>
        <w:t xml:space="preserve">) </w:t>
      </w:r>
      <w:r w:rsidRPr="00353578">
        <w:rPr>
          <w:rFonts w:ascii="Arial" w:hAnsi="Arial" w:cs="Arial"/>
          <w:sz w:val="23"/>
          <w:szCs w:val="23"/>
        </w:rPr>
        <w:t xml:space="preserve">interact in ways patients do not always perceive. For example, many do not realise that </w:t>
      </w:r>
      <w:r w:rsidRPr="00817C93">
        <w:rPr>
          <w:rStyle w:val="Strong"/>
          <w:rFonts w:ascii="Arial" w:eastAsiaTheme="majorEastAsia" w:hAnsi="Arial" w:cs="Arial"/>
          <w:b w:val="0"/>
          <w:bCs w:val="0"/>
          <w:sz w:val="23"/>
          <w:szCs w:val="23"/>
        </w:rPr>
        <w:t>excess visceral fat produces inflammatory cytokines that actively worsen insulin resistance</w:t>
      </w:r>
      <w:r w:rsidR="00817C93">
        <w:rPr>
          <w:rFonts w:ascii="Arial" w:hAnsi="Arial" w:cs="Arial"/>
          <w:sz w:val="23"/>
          <w:szCs w:val="23"/>
        </w:rPr>
        <w:t xml:space="preserve"> (</w:t>
      </w:r>
      <w:proofErr w:type="spellStart"/>
      <w:r w:rsidR="00817C93" w:rsidRPr="00817C93">
        <w:rPr>
          <w:rFonts w:ascii="Arial" w:hAnsi="Arial" w:cs="Arial"/>
          <w:sz w:val="23"/>
          <w:szCs w:val="23"/>
        </w:rPr>
        <w:t>Gastaldelli</w:t>
      </w:r>
      <w:proofErr w:type="spellEnd"/>
      <w:r w:rsidR="00817C93" w:rsidRPr="00817C93">
        <w:rPr>
          <w:rFonts w:ascii="Arial" w:hAnsi="Arial" w:cs="Arial"/>
          <w:sz w:val="23"/>
          <w:szCs w:val="23"/>
        </w:rPr>
        <w:t xml:space="preserve">, A. </w:t>
      </w:r>
      <w:r w:rsidR="00817C93" w:rsidRPr="00817C93">
        <w:rPr>
          <w:rFonts w:ascii="Arial" w:hAnsi="Arial" w:cs="Arial"/>
          <w:i/>
          <w:iCs/>
          <w:sz w:val="23"/>
          <w:szCs w:val="23"/>
        </w:rPr>
        <w:t>et al.</w:t>
      </w:r>
      <w:r w:rsidR="00817C93" w:rsidRPr="00817C93">
        <w:rPr>
          <w:rFonts w:ascii="Arial" w:hAnsi="Arial" w:cs="Arial"/>
          <w:sz w:val="23"/>
          <w:szCs w:val="23"/>
        </w:rPr>
        <w:t xml:space="preserve"> 2002)</w:t>
      </w:r>
      <w:r w:rsidR="00817C93">
        <w:rPr>
          <w:rFonts w:ascii="Arial" w:hAnsi="Arial" w:cs="Arial"/>
          <w:sz w:val="23"/>
          <w:szCs w:val="23"/>
        </w:rPr>
        <w:t xml:space="preserve">, </w:t>
      </w:r>
      <w:r w:rsidRPr="00353578">
        <w:rPr>
          <w:rFonts w:ascii="Arial" w:hAnsi="Arial" w:cs="Arial"/>
          <w:sz w:val="23"/>
          <w:szCs w:val="23"/>
        </w:rPr>
        <w:t xml:space="preserve">which is one reason weight around the abdomen is clinically important. Bringing these mechanisms into everyday language helps ensure that discussions avoid moral </w:t>
      </w:r>
      <w:r w:rsidR="00F91B8F">
        <w:rPr>
          <w:rFonts w:ascii="Arial" w:hAnsi="Arial" w:cs="Arial"/>
          <w:sz w:val="23"/>
          <w:szCs w:val="23"/>
        </w:rPr>
        <w:t>judgment</w:t>
      </w:r>
      <w:r w:rsidRPr="00353578">
        <w:rPr>
          <w:rFonts w:ascii="Arial" w:hAnsi="Arial" w:cs="Arial"/>
          <w:sz w:val="23"/>
          <w:szCs w:val="23"/>
        </w:rPr>
        <w:t>; instead, they highlight the genuine physiological pressures that contribute to dysregulation.</w:t>
      </w:r>
    </w:p>
    <w:p w14:paraId="014A4DF9" w14:textId="50E13F62" w:rsidR="00381487" w:rsidRPr="00353578" w:rsidRDefault="00381487" w:rsidP="00381487">
      <w:pPr>
        <w:pStyle w:val="NormalWeb"/>
        <w:rPr>
          <w:rFonts w:ascii="Arial" w:hAnsi="Arial" w:cs="Arial"/>
          <w:sz w:val="23"/>
          <w:szCs w:val="23"/>
        </w:rPr>
      </w:pPr>
      <w:r w:rsidRPr="00353578">
        <w:rPr>
          <w:rFonts w:ascii="Arial" w:hAnsi="Arial" w:cs="Arial"/>
          <w:sz w:val="23"/>
          <w:szCs w:val="23"/>
        </w:rPr>
        <w:t>Understanding how blood-glucose levels are normally maintained is essential because it enables patients to interpret their readings with greater confidence. In a non-diabetic individual, the body tightly regulates glucose through the coordinated actions of insulin and glucagon. After eating, rising blood glucose stimulates the pancreas to release insulin, which promotes glucose uptake into muscle and adipose tissue and suppresses hepatic glucose production. Between meals, glucagon regulates the release of glucose from liver stores, ensuring the brain and other vital organs have a stable energy supply.</w:t>
      </w:r>
      <w:r w:rsidR="007B51C0" w:rsidRPr="007B51C0">
        <w:rPr>
          <w:rFonts w:asciiTheme="minorHAnsi" w:eastAsiaTheme="minorHAnsi" w:hAnsiTheme="minorHAnsi" w:cstheme="minorBidi"/>
          <w:kern w:val="2"/>
          <w:sz w:val="22"/>
          <w:szCs w:val="22"/>
          <w:lang w:eastAsia="en-US"/>
          <w14:ligatures w14:val="standardContextual"/>
        </w:rPr>
        <w:t xml:space="preserve"> </w:t>
      </w:r>
      <w:r w:rsidR="007B51C0" w:rsidRPr="007B51C0">
        <w:rPr>
          <w:rFonts w:ascii="Arial" w:hAnsi="Arial" w:cs="Arial"/>
          <w:sz w:val="23"/>
          <w:szCs w:val="23"/>
        </w:rPr>
        <w:t>This dynamic balance (glucose homeostasis) is maintained through coordinated insulin and glucagon activity, ensuring stable blood-glucose levels in healthy individuals (Röder et al., 2016)</w:t>
      </w:r>
      <w:r w:rsidRPr="00353578">
        <w:rPr>
          <w:rFonts w:ascii="Arial" w:hAnsi="Arial" w:cs="Arial"/>
          <w:sz w:val="23"/>
          <w:szCs w:val="23"/>
        </w:rPr>
        <w:t>. In Type 2 diabetes, insulin resistance disrupts this relationship; cells no longer respond effectively, and the pancreas cannot produce sufficient insulin to maintain safe levels. Patients often assume high readings occur randomly, yet this physiological explanation reframes their experiences: their numbers fluctuate because the underlying mechanisms are impaired, not because they “failed” to follow instructions. Returning to the case study, this is particularly important in a GP setting where individuals are asked to act upon their readings; a basic understanding of homeostasis allows them to see why certain foods raise their glucose sharply or why stress and illness create unexpected spikes.</w:t>
      </w:r>
    </w:p>
    <w:p w14:paraId="1FF867BC" w14:textId="77777777" w:rsidR="00FE5966" w:rsidRDefault="00FE5966" w:rsidP="00381487">
      <w:pPr>
        <w:pStyle w:val="NormalWeb"/>
        <w:rPr>
          <w:rFonts w:ascii="Arial" w:hAnsi="Arial" w:cs="Arial"/>
          <w:sz w:val="23"/>
          <w:szCs w:val="23"/>
        </w:rPr>
      </w:pPr>
      <w:r w:rsidRPr="00FE5966">
        <w:rPr>
          <w:rFonts w:ascii="Arial" w:hAnsi="Arial" w:cs="Arial"/>
          <w:sz w:val="23"/>
          <w:szCs w:val="23"/>
        </w:rPr>
        <w:t xml:space="preserve">A crucial extension of this explanation involves cellular metabolism. Glucose and oxygen are fundamental substrates for ATP production, the molecule that fuels all cellular </w:t>
      </w:r>
      <w:r w:rsidRPr="00FE5966">
        <w:rPr>
          <w:rFonts w:ascii="Arial" w:hAnsi="Arial" w:cs="Arial"/>
          <w:sz w:val="23"/>
          <w:szCs w:val="23"/>
        </w:rPr>
        <w:lastRenderedPageBreak/>
        <w:t xml:space="preserve">processes. Through glycolysis, the Krebs cycle, and oxidative phosphorylation, glucose is broken down to release energy in a sequence that depends on effective insulin-mediated glucose uptake. However, muscle damage and exercise-induced oxidative stress can suppress insulin signalling, </w:t>
      </w:r>
      <w:proofErr w:type="gramStart"/>
      <w:r w:rsidRPr="00FE5966">
        <w:rPr>
          <w:rFonts w:ascii="Arial" w:hAnsi="Arial" w:cs="Arial"/>
          <w:sz w:val="23"/>
          <w:szCs w:val="23"/>
        </w:rPr>
        <w:t>reducing</w:t>
      </w:r>
      <w:proofErr w:type="gramEnd"/>
      <w:r w:rsidRPr="00FE5966">
        <w:rPr>
          <w:rFonts w:ascii="Arial" w:hAnsi="Arial" w:cs="Arial"/>
          <w:sz w:val="23"/>
          <w:szCs w:val="23"/>
        </w:rPr>
        <w:t xml:space="preserve"> glucose uptake and forcing cells to rely on alternative energy pathways (Aoi, Naito &amp; Yoshikawa, 2013</w:t>
      </w:r>
      <w:r w:rsidRPr="00FE5966">
        <w:rPr>
          <w:rFonts w:ascii="Arial" w:hAnsi="Arial" w:cs="Arial"/>
          <w:b/>
          <w:bCs/>
          <w:sz w:val="23"/>
          <w:szCs w:val="23"/>
        </w:rPr>
        <w:t>).</w:t>
      </w:r>
      <w:r w:rsidRPr="00FE5966">
        <w:rPr>
          <w:rFonts w:ascii="Arial" w:hAnsi="Arial" w:cs="Arial"/>
          <w:sz w:val="23"/>
          <w:szCs w:val="23"/>
        </w:rPr>
        <w:t xml:space="preserve"> This contributes to fatigue, impaired healing, and metabolic inflexibility. Many patients describe feeling unusually tired, thirsty, or mentally foggy during periods of poor control, and they often attribute these sensations to age, stress, or diet rather than to disrupted cellular metabolism. Explaining that these symptoms reflect insufficient ATP production at the cellular level not only validates the patient’s lived experience but also helps them anticipate and respond to physiological cues. This becomes particularly relevant when discussing the connection between glucose readings and subjective symptoms, as it encourages individuals to view their bodies’ responses as informative data rather than as random or alarming events.</w:t>
      </w:r>
    </w:p>
    <w:p w14:paraId="6BF7046A" w14:textId="534BDA09" w:rsidR="002B0CF7" w:rsidRDefault="002B0CF7" w:rsidP="00381487">
      <w:pPr>
        <w:pStyle w:val="NormalWeb"/>
        <w:rPr>
          <w:rFonts w:ascii="Arial" w:hAnsi="Arial" w:cs="Arial"/>
          <w:sz w:val="23"/>
          <w:szCs w:val="23"/>
        </w:rPr>
      </w:pPr>
      <w:r w:rsidRPr="002B0CF7">
        <w:rPr>
          <w:rFonts w:ascii="Arial" w:hAnsi="Arial" w:cs="Arial"/>
          <w:sz w:val="23"/>
          <w:szCs w:val="23"/>
        </w:rPr>
        <w:t xml:space="preserve">Recording and tracking blood-glucose levels extends this physiological knowledge into a practical self-management tool. In routine practice, many patients arrive at appointments with incomplete or inconsistent readings, making it difficult to collaboratively evaluate patterns or adjust treatment. Self-monitoring of blood glucose (SMBG) has been shown to improve glycaemic outcomes by enabling patients to identify the relationship between behaviours, meals, stressors, and glucose responses (Kimura et al., 2022). For example, a patient may notice that their readings rise significantly after </w:t>
      </w:r>
      <w:proofErr w:type="gramStart"/>
      <w:r w:rsidRPr="002B0CF7">
        <w:rPr>
          <w:rFonts w:ascii="Arial" w:hAnsi="Arial" w:cs="Arial"/>
          <w:sz w:val="23"/>
          <w:szCs w:val="23"/>
        </w:rPr>
        <w:t>particular breakfast</w:t>
      </w:r>
      <w:proofErr w:type="gramEnd"/>
      <w:r w:rsidRPr="002B0CF7">
        <w:rPr>
          <w:rFonts w:ascii="Arial" w:hAnsi="Arial" w:cs="Arial"/>
          <w:sz w:val="23"/>
          <w:szCs w:val="23"/>
        </w:rPr>
        <w:t xml:space="preserve"> foods, or that their glucose improves after a short walk. Making these links visible encourages behavioural experimentation and supports motivation, particularly when individuals see improvements reflected numerically. Reviewing glucose logs in the clinic also enhances shared decision-making: both nurse and patient can discuss whether medication adjustments, dietary changes, or additional supports are needed. Trend data, rather than isolated values, allow individuals to understand their condition longitudinally, and this perspective reduces anxiety around occasional high readings. This is especially important for those newly diagnosed, who often feel overwhelmed by the perceived volatility of their numbers.</w:t>
      </w:r>
    </w:p>
    <w:p w14:paraId="679D0330" w14:textId="5EC2A313" w:rsidR="00EF5789" w:rsidRPr="00353578" w:rsidRDefault="00EF5789" w:rsidP="00381487">
      <w:pPr>
        <w:pStyle w:val="NormalWeb"/>
        <w:rPr>
          <w:rFonts w:ascii="Arial" w:hAnsi="Arial" w:cs="Arial"/>
          <w:sz w:val="23"/>
          <w:szCs w:val="23"/>
        </w:rPr>
      </w:pPr>
      <w:r w:rsidRPr="00EF5789">
        <w:rPr>
          <w:rFonts w:ascii="Arial" w:hAnsi="Arial" w:cs="Arial"/>
          <w:sz w:val="23"/>
          <w:szCs w:val="23"/>
        </w:rPr>
        <w:t xml:space="preserve">Lifestyle modification forms a major component of diabetes care, and providing evidence-based recommendations requires both physiological clarity and sensitivity to real-world barriers. The strongest evidence supports dietary change and </w:t>
      </w:r>
      <w:proofErr w:type="gramStart"/>
      <w:r w:rsidRPr="00EF5789">
        <w:rPr>
          <w:rFonts w:ascii="Arial" w:hAnsi="Arial" w:cs="Arial"/>
          <w:sz w:val="23"/>
          <w:szCs w:val="23"/>
        </w:rPr>
        <w:t>increased</w:t>
      </w:r>
      <w:proofErr w:type="gramEnd"/>
      <w:r w:rsidRPr="00EF5789">
        <w:rPr>
          <w:rFonts w:ascii="Arial" w:hAnsi="Arial" w:cs="Arial"/>
          <w:sz w:val="23"/>
          <w:szCs w:val="23"/>
        </w:rPr>
        <w:t xml:space="preserve"> physical activity. </w:t>
      </w:r>
      <w:proofErr w:type="spellStart"/>
      <w:r w:rsidRPr="00EF5789">
        <w:rPr>
          <w:rFonts w:ascii="Arial" w:hAnsi="Arial" w:cs="Arial"/>
          <w:sz w:val="23"/>
          <w:szCs w:val="23"/>
        </w:rPr>
        <w:t>Morieri</w:t>
      </w:r>
      <w:proofErr w:type="spellEnd"/>
      <w:r w:rsidRPr="00EF5789">
        <w:rPr>
          <w:rFonts w:ascii="Arial" w:hAnsi="Arial" w:cs="Arial"/>
          <w:sz w:val="23"/>
          <w:szCs w:val="23"/>
        </w:rPr>
        <w:t xml:space="preserve"> et al. (2025) found that weight loss of 5–10% in individuals with newly diagnosed type 2 diabetes was associated with measurable improvements in HbA1c and other metabolic parameters, highlighting the transformative effect modest changes can have. However, these goals must be framed realistically. Many patients face constraints involving cost, time, cultural food practices, or competing life responsibilities, which can make standard dietary advice feel abstract or impractical. For this reason, using the patient’s own glucose logs to illustrate cause-and-effect relationships can be more effective than generic recommendations. For example, showing a patient how their glucose drops after including more fibre or reducing portion size links physiology to personal experience, increasing the likelihood of sustained change. Dietary discussions should also highlight </w:t>
      </w:r>
      <w:r w:rsidR="00261AB0" w:rsidRPr="00EF5789">
        <w:rPr>
          <w:rFonts w:ascii="Arial" w:hAnsi="Arial" w:cs="Arial"/>
          <w:sz w:val="23"/>
          <w:szCs w:val="23"/>
        </w:rPr>
        <w:t>that</w:t>
      </w:r>
      <w:r w:rsidR="00261AB0">
        <w:rPr>
          <w:rFonts w:asciiTheme="minorHAnsi" w:eastAsiaTheme="minorHAnsi" w:hAnsiTheme="minorHAnsi" w:cstheme="minorBidi"/>
          <w:kern w:val="2"/>
          <w:sz w:val="22"/>
          <w:szCs w:val="22"/>
          <w:lang w:eastAsia="en-US"/>
          <w14:ligatures w14:val="standardContextual"/>
        </w:rPr>
        <w:t xml:space="preserve">, </w:t>
      </w:r>
      <w:r w:rsidR="00261AB0" w:rsidRPr="00261AB0">
        <w:rPr>
          <w:rFonts w:ascii="Arial" w:hAnsi="Arial" w:cs="Arial"/>
          <w:sz w:val="23"/>
          <w:szCs w:val="23"/>
        </w:rPr>
        <w:t>Thomsen et al. (2022) demonstrated that moderate carbohydrate restriction reduced postprandial glucose excursions and improved glycaemic stability in individuals with type 2 diabetes, supporting the idea that foods rich in refined carbohydrates can cause rapid glucose spikes due to their high glycaemic load.</w:t>
      </w:r>
      <w:r w:rsidRPr="00EF5789">
        <w:rPr>
          <w:rFonts w:ascii="Arial" w:hAnsi="Arial" w:cs="Arial"/>
          <w:sz w:val="23"/>
          <w:szCs w:val="23"/>
        </w:rPr>
        <w:t>, and that combining these foods with protein or fat slows absorptio</w:t>
      </w:r>
      <w:r w:rsidR="00BC6D7B">
        <w:rPr>
          <w:rFonts w:ascii="Arial" w:hAnsi="Arial" w:cs="Arial"/>
          <w:sz w:val="23"/>
          <w:szCs w:val="23"/>
        </w:rPr>
        <w:t xml:space="preserve">n - </w:t>
      </w:r>
      <w:r w:rsidRPr="00EF5789">
        <w:rPr>
          <w:rFonts w:ascii="Arial" w:hAnsi="Arial" w:cs="Arial"/>
          <w:sz w:val="23"/>
          <w:szCs w:val="23"/>
        </w:rPr>
        <w:t>an explanation many individuals find empowering.</w:t>
      </w:r>
    </w:p>
    <w:p w14:paraId="2E9A7484" w14:textId="65D81593" w:rsidR="004E5C69" w:rsidRDefault="004E5C69" w:rsidP="00381487">
      <w:pPr>
        <w:pStyle w:val="NormalWeb"/>
        <w:rPr>
          <w:rFonts w:ascii="Arial" w:hAnsi="Arial" w:cs="Arial"/>
          <w:sz w:val="23"/>
          <w:szCs w:val="23"/>
        </w:rPr>
      </w:pPr>
      <w:r w:rsidRPr="004E5C69">
        <w:rPr>
          <w:rFonts w:ascii="Arial" w:hAnsi="Arial" w:cs="Arial"/>
          <w:sz w:val="23"/>
          <w:szCs w:val="23"/>
        </w:rPr>
        <w:lastRenderedPageBreak/>
        <w:t xml:space="preserve">Physical activity is a powerful intervention in type 2 diabetes </w:t>
      </w:r>
      <w:r w:rsidRPr="00DD090C">
        <w:rPr>
          <w:rFonts w:ascii="Arial" w:hAnsi="Arial" w:cs="Arial"/>
          <w:sz w:val="23"/>
          <w:szCs w:val="23"/>
        </w:rPr>
        <w:t>management. Exercise increases glucose uptake into skeletal muscle via insulin-independent pathways</w:t>
      </w:r>
      <w:r w:rsidRPr="004E5C69">
        <w:rPr>
          <w:rFonts w:ascii="Arial" w:hAnsi="Arial" w:cs="Arial"/>
          <w:sz w:val="23"/>
          <w:szCs w:val="23"/>
        </w:rPr>
        <w:t xml:space="preserve"> </w:t>
      </w:r>
      <w:r w:rsidR="00DD090C" w:rsidRPr="00DD090C">
        <w:rPr>
          <w:rFonts w:ascii="Arial" w:hAnsi="Arial" w:cs="Arial"/>
          <w:sz w:val="23"/>
          <w:szCs w:val="23"/>
        </w:rPr>
        <w:t>(Hawley &amp; Lessard, 2008)</w:t>
      </w:r>
      <w:r w:rsidR="00DD090C">
        <w:rPr>
          <w:rFonts w:ascii="Arial" w:hAnsi="Arial" w:cs="Arial"/>
          <w:sz w:val="23"/>
          <w:szCs w:val="23"/>
        </w:rPr>
        <w:t xml:space="preserve">, </w:t>
      </w:r>
      <w:r w:rsidRPr="004E5C69">
        <w:rPr>
          <w:rFonts w:ascii="Arial" w:hAnsi="Arial" w:cs="Arial"/>
          <w:sz w:val="23"/>
          <w:szCs w:val="23"/>
        </w:rPr>
        <w:t>meaning that even individuals with significant insulin resistance can experience immediate metabolic benefits. This mechanism can be highly motivating for patients, particularly those who feel discouraged by weight-focused messages, as it highlights that activity has intrinsic value regardless of body weight. For individuals with mobility limitations, structured guidance on walking, resistance training, or breaking sedentary time into short intervals can make physical activity goals more achievable. Lifestyle counselling should also address smoking cessation, given that tobacco use accelerates endothelial damage, promotes inflammation, and markedly increases cardiovascular risk, which is already elevated in diabetes. Vaping, though sometimes perceived as harmless, may similarly contribute to vascular stress; openly discussing these risks reinforces the broader message that respiratory irritants are not benign.</w:t>
      </w:r>
    </w:p>
    <w:p w14:paraId="25FEE839" w14:textId="6920E913" w:rsidR="00381487" w:rsidRPr="00353578" w:rsidRDefault="00381487" w:rsidP="00381487">
      <w:pPr>
        <w:pStyle w:val="NormalWeb"/>
        <w:rPr>
          <w:rFonts w:ascii="Arial" w:hAnsi="Arial" w:cs="Arial"/>
          <w:sz w:val="23"/>
          <w:szCs w:val="23"/>
        </w:rPr>
      </w:pPr>
      <w:r w:rsidRPr="00353578">
        <w:rPr>
          <w:rFonts w:ascii="Arial" w:hAnsi="Arial" w:cs="Arial"/>
          <w:sz w:val="23"/>
          <w:szCs w:val="23"/>
        </w:rPr>
        <w:t>Beyond diet and physical activity, sleep quality, stress</w:t>
      </w:r>
      <w:r w:rsidR="00C2151A">
        <w:rPr>
          <w:rFonts w:ascii="Arial" w:hAnsi="Arial" w:cs="Arial"/>
          <w:sz w:val="23"/>
          <w:szCs w:val="23"/>
        </w:rPr>
        <w:t>,</w:t>
      </w:r>
      <w:r w:rsidRPr="00353578">
        <w:rPr>
          <w:rFonts w:ascii="Arial" w:hAnsi="Arial" w:cs="Arial"/>
          <w:sz w:val="23"/>
          <w:szCs w:val="23"/>
        </w:rPr>
        <w:t xml:space="preserve"> and medication adherence also play </w:t>
      </w:r>
      <w:r w:rsidR="00A5033D">
        <w:rPr>
          <w:rFonts w:ascii="Arial" w:hAnsi="Arial" w:cs="Arial"/>
          <w:sz w:val="23"/>
          <w:szCs w:val="23"/>
        </w:rPr>
        <w:t xml:space="preserve">an </w:t>
      </w:r>
      <w:r w:rsidRPr="00353578">
        <w:rPr>
          <w:rFonts w:ascii="Arial" w:hAnsi="Arial" w:cs="Arial"/>
          <w:sz w:val="23"/>
          <w:szCs w:val="23"/>
        </w:rPr>
        <w:t>important role</w:t>
      </w:r>
      <w:r w:rsidR="00A5033D">
        <w:rPr>
          <w:rFonts w:ascii="Arial" w:hAnsi="Arial" w:cs="Arial"/>
          <w:sz w:val="23"/>
          <w:szCs w:val="23"/>
        </w:rPr>
        <w:t>.</w:t>
      </w:r>
      <w:r w:rsidR="00A5033D" w:rsidRPr="00A5033D">
        <w:rPr>
          <w:rFonts w:ascii="Arial" w:hAnsi="Arial" w:cs="Arial"/>
          <w:sz w:val="23"/>
          <w:szCs w:val="23"/>
        </w:rPr>
        <w:t xml:space="preserve"> Pinheiro et al. (2025) demonstrate that poor sleep increases insulin resistance through hormonal disruption, and many individuals do not realise that irregular sleep schedules or untreated sleep apnoea can meaningfully worsen their glucose.</w:t>
      </w:r>
      <w:r w:rsidRPr="00353578">
        <w:rPr>
          <w:rFonts w:ascii="Arial" w:hAnsi="Arial" w:cs="Arial"/>
          <w:sz w:val="23"/>
          <w:szCs w:val="23"/>
        </w:rPr>
        <w:t xml:space="preserve"> Similarly, chronic stress elevates cortisol, which triggers hepatic glucose release. Linking these mechanisms to daily experiences</w:t>
      </w:r>
      <w:r w:rsidR="005D17F2">
        <w:rPr>
          <w:rFonts w:ascii="Arial" w:hAnsi="Arial" w:cs="Arial"/>
          <w:sz w:val="23"/>
          <w:szCs w:val="23"/>
        </w:rPr>
        <w:t xml:space="preserve">, </w:t>
      </w:r>
      <w:r w:rsidRPr="00353578">
        <w:rPr>
          <w:rFonts w:ascii="Arial" w:hAnsi="Arial" w:cs="Arial"/>
          <w:sz w:val="23"/>
          <w:szCs w:val="23"/>
        </w:rPr>
        <w:t>such as observing higher glucose on days with poor sleep or emotional strain</w:t>
      </w:r>
      <w:r w:rsidR="005D17F2">
        <w:rPr>
          <w:rFonts w:ascii="Arial" w:hAnsi="Arial" w:cs="Arial"/>
          <w:sz w:val="23"/>
          <w:szCs w:val="23"/>
        </w:rPr>
        <w:t xml:space="preserve">, </w:t>
      </w:r>
      <w:r w:rsidRPr="00353578">
        <w:rPr>
          <w:rFonts w:ascii="Arial" w:hAnsi="Arial" w:cs="Arial"/>
          <w:sz w:val="23"/>
          <w:szCs w:val="23"/>
        </w:rPr>
        <w:t>encourages patients to adopt stress-management strategies or adjust routines. Patients also benefit from guidance on how illness, infection</w:t>
      </w:r>
      <w:r w:rsidR="00A5033D">
        <w:rPr>
          <w:rFonts w:ascii="Arial" w:hAnsi="Arial" w:cs="Arial"/>
          <w:sz w:val="23"/>
          <w:szCs w:val="23"/>
        </w:rPr>
        <w:t>,</w:t>
      </w:r>
      <w:r w:rsidRPr="00353578">
        <w:rPr>
          <w:rFonts w:ascii="Arial" w:hAnsi="Arial" w:cs="Arial"/>
          <w:sz w:val="23"/>
          <w:szCs w:val="23"/>
        </w:rPr>
        <w:t xml:space="preserve"> or steroid medications temporarily raise glucose, helping them interpret unexpected readings without panic. These explanations reinforce the idea that diabetes management is dynamic rather than static, requiring ongoing interpretation rather than rigid adherence.</w:t>
      </w:r>
    </w:p>
    <w:p w14:paraId="3F1F91CC" w14:textId="6137997B" w:rsidR="00381487" w:rsidRPr="00353578" w:rsidRDefault="00381487" w:rsidP="00381487">
      <w:pPr>
        <w:pStyle w:val="NormalWeb"/>
        <w:rPr>
          <w:rFonts w:ascii="Arial" w:hAnsi="Arial" w:cs="Arial"/>
          <w:sz w:val="23"/>
          <w:szCs w:val="23"/>
        </w:rPr>
      </w:pPr>
      <w:r w:rsidRPr="00353578">
        <w:rPr>
          <w:rFonts w:ascii="Arial" w:hAnsi="Arial" w:cs="Arial"/>
          <w:sz w:val="23"/>
          <w:szCs w:val="23"/>
        </w:rPr>
        <w:t xml:space="preserve">Bringing these strands together, effective diabetes education requires not only the transmission of accurate physiological information but also an ability to help patients integrate this knowledge into their daily choices and self-care routines. </w:t>
      </w:r>
      <w:r w:rsidRPr="00DD61A1">
        <w:rPr>
          <w:rStyle w:val="Strong"/>
          <w:rFonts w:ascii="Arial" w:eastAsiaTheme="majorEastAsia" w:hAnsi="Arial" w:cs="Arial"/>
          <w:b w:val="0"/>
          <w:bCs w:val="0"/>
          <w:sz w:val="23"/>
          <w:szCs w:val="23"/>
        </w:rPr>
        <w:t>Engagement improves when individuals understand the rationale behind recommendations rather than viewing them as instructions</w:t>
      </w:r>
      <w:r w:rsidRPr="00DD61A1">
        <w:rPr>
          <w:rFonts w:ascii="Arial" w:hAnsi="Arial" w:cs="Arial"/>
          <w:b/>
          <w:bCs/>
          <w:sz w:val="23"/>
          <w:szCs w:val="23"/>
        </w:rPr>
        <w:t>,</w:t>
      </w:r>
      <w:r w:rsidR="00A67713" w:rsidRPr="00DD61A1">
        <w:rPr>
          <w:rFonts w:asciiTheme="minorHAnsi" w:eastAsiaTheme="minorHAnsi" w:hAnsiTheme="minorHAnsi" w:cstheme="minorBidi"/>
          <w:b/>
          <w:bCs/>
          <w:kern w:val="2"/>
          <w:sz w:val="22"/>
          <w:szCs w:val="22"/>
          <w:lang w:eastAsia="en-US"/>
          <w14:ligatures w14:val="standardContextual"/>
        </w:rPr>
        <w:t xml:space="preserve"> </w:t>
      </w:r>
      <w:r w:rsidR="00A67713" w:rsidRPr="00DD61A1">
        <w:rPr>
          <w:rFonts w:ascii="Arial" w:hAnsi="Arial" w:cs="Arial"/>
          <w:sz w:val="23"/>
          <w:szCs w:val="23"/>
        </w:rPr>
        <w:t>as demonstrated by Lauffenburger et al. (2019</w:t>
      </w:r>
      <w:r w:rsidR="00A67713" w:rsidRPr="00DD61A1">
        <w:rPr>
          <w:rFonts w:ascii="Arial" w:hAnsi="Arial" w:cs="Arial"/>
          <w:b/>
          <w:bCs/>
          <w:sz w:val="23"/>
          <w:szCs w:val="23"/>
        </w:rPr>
        <w:t>)</w:t>
      </w:r>
      <w:r w:rsidR="00A67713" w:rsidRPr="00A67713">
        <w:rPr>
          <w:rFonts w:ascii="Arial" w:hAnsi="Arial" w:cs="Arial"/>
          <w:sz w:val="23"/>
          <w:szCs w:val="23"/>
        </w:rPr>
        <w:t xml:space="preserve"> </w:t>
      </w:r>
      <w:r w:rsidR="00DD61A1" w:rsidRPr="00A67713">
        <w:rPr>
          <w:rFonts w:ascii="Arial" w:hAnsi="Arial" w:cs="Arial"/>
          <w:sz w:val="23"/>
          <w:szCs w:val="23"/>
        </w:rPr>
        <w:t>using</w:t>
      </w:r>
      <w:r w:rsidR="00A67713" w:rsidRPr="00A67713">
        <w:rPr>
          <w:rFonts w:ascii="Arial" w:hAnsi="Arial" w:cs="Arial"/>
          <w:sz w:val="23"/>
          <w:szCs w:val="23"/>
        </w:rPr>
        <w:t xml:space="preserve"> shared decision-making and negotiated interviewing to enhance patient involvement</w:t>
      </w:r>
      <w:r w:rsidR="000F6900">
        <w:rPr>
          <w:rFonts w:ascii="Arial" w:hAnsi="Arial" w:cs="Arial"/>
          <w:sz w:val="23"/>
          <w:szCs w:val="23"/>
        </w:rPr>
        <w:t>,</w:t>
      </w:r>
      <w:r w:rsidRPr="00353578">
        <w:rPr>
          <w:rFonts w:ascii="Arial" w:hAnsi="Arial" w:cs="Arial"/>
          <w:sz w:val="23"/>
          <w:szCs w:val="23"/>
        </w:rPr>
        <w:t xml:space="preserve"> and this is especially true in the GP context described in the case study</w:t>
      </w:r>
      <w:r w:rsidR="00602CB3">
        <w:rPr>
          <w:rFonts w:ascii="Arial" w:hAnsi="Arial" w:cs="Arial"/>
          <w:sz w:val="23"/>
          <w:szCs w:val="23"/>
        </w:rPr>
        <w:t>,</w:t>
      </w:r>
      <w:r w:rsidRPr="00353578">
        <w:rPr>
          <w:rFonts w:ascii="Arial" w:hAnsi="Arial" w:cs="Arial"/>
          <w:sz w:val="23"/>
          <w:szCs w:val="23"/>
        </w:rPr>
        <w:t xml:space="preserve"> where continuity of care enables iterative learning. The narrative approach</w:t>
      </w:r>
      <w:r w:rsidR="00602CB3">
        <w:rPr>
          <w:rFonts w:ascii="Arial" w:hAnsi="Arial" w:cs="Arial"/>
          <w:sz w:val="23"/>
          <w:szCs w:val="23"/>
        </w:rPr>
        <w:t xml:space="preserve"> (</w:t>
      </w:r>
      <w:r w:rsidRPr="00353578">
        <w:rPr>
          <w:rFonts w:ascii="Arial" w:hAnsi="Arial" w:cs="Arial"/>
          <w:sz w:val="23"/>
          <w:szCs w:val="23"/>
        </w:rPr>
        <w:t>linking physiology, symptoms, behaviours</w:t>
      </w:r>
      <w:r w:rsidR="00602CB3">
        <w:rPr>
          <w:rFonts w:ascii="Arial" w:hAnsi="Arial" w:cs="Arial"/>
          <w:sz w:val="23"/>
          <w:szCs w:val="23"/>
        </w:rPr>
        <w:t>,</w:t>
      </w:r>
      <w:r w:rsidRPr="00353578">
        <w:rPr>
          <w:rFonts w:ascii="Arial" w:hAnsi="Arial" w:cs="Arial"/>
          <w:sz w:val="23"/>
          <w:szCs w:val="23"/>
        </w:rPr>
        <w:t xml:space="preserve"> and data</w:t>
      </w:r>
      <w:r w:rsidR="00602CB3">
        <w:rPr>
          <w:rFonts w:ascii="Arial" w:hAnsi="Arial" w:cs="Arial"/>
          <w:sz w:val="23"/>
          <w:szCs w:val="23"/>
        </w:rPr>
        <w:t xml:space="preserve">) </w:t>
      </w:r>
      <w:r w:rsidRPr="00353578">
        <w:rPr>
          <w:rFonts w:ascii="Arial" w:hAnsi="Arial" w:cs="Arial"/>
          <w:sz w:val="23"/>
          <w:szCs w:val="23"/>
        </w:rPr>
        <w:t>supports a more coherent understanding of the condition. It allows the nurse to move beyond addressing isolated problems toward cultivating the patient’s confidence in managing their own health. This not only reduces risk in the short term but also builds the self-efficacy required for long-term glycaemic stability.</w:t>
      </w:r>
    </w:p>
    <w:p w14:paraId="66CCF512" w14:textId="4E005F82" w:rsidR="00381487" w:rsidRDefault="00673C08">
      <w:pPr>
        <w:rPr>
          <w:rFonts w:ascii="Arial" w:hAnsi="Arial" w:cs="Arial"/>
          <w:sz w:val="23"/>
          <w:szCs w:val="23"/>
        </w:rPr>
      </w:pPr>
      <w:r>
        <w:rPr>
          <w:rFonts w:ascii="Arial" w:hAnsi="Arial" w:cs="Arial"/>
          <w:sz w:val="23"/>
          <w:szCs w:val="23"/>
        </w:rPr>
        <w:t>In conclusion</w:t>
      </w:r>
      <w:r w:rsidRPr="00673C08">
        <w:rPr>
          <w:rFonts w:ascii="Arial" w:hAnsi="Arial" w:cs="Arial"/>
          <w:sz w:val="23"/>
          <w:szCs w:val="23"/>
        </w:rPr>
        <w:t xml:space="preserve">, the rising prevalence of Type 2 diabetes in primary care highlights the essential role of clear, accessible, physiologically grounded patient education. By helping individuals understand what diabetes is, how glucose homeostasis normally functions, and how metabolic pathways depend on insulin, oxygen, and glucose, nurses equip patients to interpret their readings with greater accuracy and less fear. Integrating self-monitoring with personalised lifestyle recommendations transforms data into behavioural insight, enabling individuals to make informed choices that reduce risk and improve wellbeing. This is supported by evidence showing that patients who engage with structured diabetes education programmes are more likely to use blood glucose self-assessment and continue drawing on educational resources over time, demonstrating </w:t>
      </w:r>
      <w:r w:rsidRPr="00673C08">
        <w:rPr>
          <w:rFonts w:ascii="Arial" w:hAnsi="Arial" w:cs="Arial"/>
          <w:sz w:val="23"/>
          <w:szCs w:val="23"/>
        </w:rPr>
        <w:lastRenderedPageBreak/>
        <w:t>the value of continuous, person-centred learning</w:t>
      </w:r>
      <w:r w:rsidRPr="00673C08">
        <w:rPr>
          <w:rFonts w:ascii="Arial" w:hAnsi="Arial" w:cs="Arial"/>
          <w:b/>
          <w:bCs/>
          <w:sz w:val="23"/>
          <w:szCs w:val="23"/>
        </w:rPr>
        <w:t>.</w:t>
      </w:r>
      <w:r w:rsidR="00725FE8" w:rsidRPr="00725FE8">
        <w:rPr>
          <w:rFonts w:ascii="Arial" w:hAnsi="Arial" w:cs="Arial"/>
          <w:sz w:val="23"/>
          <w:szCs w:val="23"/>
        </w:rPr>
        <w:t xml:space="preserve"> Lindenmeyer, A. </w:t>
      </w:r>
      <w:r w:rsidR="00725FE8" w:rsidRPr="00725FE8">
        <w:rPr>
          <w:rFonts w:ascii="Arial" w:hAnsi="Arial" w:cs="Arial"/>
          <w:i/>
          <w:iCs/>
          <w:sz w:val="23"/>
          <w:szCs w:val="23"/>
        </w:rPr>
        <w:t>et al.</w:t>
      </w:r>
      <w:r w:rsidR="00725FE8" w:rsidRPr="00725FE8">
        <w:rPr>
          <w:rFonts w:ascii="Arial" w:hAnsi="Arial" w:cs="Arial"/>
          <w:sz w:val="23"/>
          <w:szCs w:val="23"/>
        </w:rPr>
        <w:t xml:space="preserve"> (2010)</w:t>
      </w:r>
      <w:r w:rsidR="00725FE8">
        <w:rPr>
          <w:rFonts w:ascii="Arial" w:hAnsi="Arial" w:cs="Arial"/>
          <w:sz w:val="23"/>
          <w:szCs w:val="23"/>
        </w:rPr>
        <w:t xml:space="preserve">. </w:t>
      </w:r>
      <w:r w:rsidR="00725FE8" w:rsidRPr="00725FE8">
        <w:rPr>
          <w:rFonts w:ascii="Arial" w:hAnsi="Arial" w:cs="Arial"/>
          <w:sz w:val="23"/>
          <w:szCs w:val="23"/>
        </w:rPr>
        <w:t xml:space="preserve"> </w:t>
      </w:r>
      <w:r w:rsidR="00725FE8" w:rsidRPr="00673C08">
        <w:rPr>
          <w:rFonts w:ascii="Arial" w:hAnsi="Arial" w:cs="Arial"/>
          <w:sz w:val="23"/>
          <w:szCs w:val="23"/>
        </w:rPr>
        <w:t>A</w:t>
      </w:r>
      <w:r w:rsidRPr="00673C08">
        <w:rPr>
          <w:rFonts w:ascii="Arial" w:hAnsi="Arial" w:cs="Arial"/>
          <w:sz w:val="23"/>
          <w:szCs w:val="23"/>
        </w:rPr>
        <w:t xml:space="preserve"> continuous, narrative-based educational approach supports not only knowledge acquisition but also empowerment, engagement, and more collaborative long-term management, aligning closely with person-centred care principles. For the practice nurse, this integrated model elevates routine appointments into proactive, shared work that strengthens each patient’s capacity to manage their condition safely and confidently.</w:t>
      </w:r>
    </w:p>
    <w:p w14:paraId="000361E8" w14:textId="77777777" w:rsidR="00353578" w:rsidRDefault="00353578">
      <w:pPr>
        <w:rPr>
          <w:rFonts w:ascii="Arial" w:hAnsi="Arial" w:cs="Arial"/>
          <w:sz w:val="23"/>
          <w:szCs w:val="23"/>
        </w:rPr>
      </w:pPr>
    </w:p>
    <w:p w14:paraId="68111FBE" w14:textId="77777777" w:rsidR="00353578" w:rsidRDefault="00353578">
      <w:pPr>
        <w:rPr>
          <w:rFonts w:ascii="Arial" w:hAnsi="Arial" w:cs="Arial"/>
          <w:sz w:val="23"/>
          <w:szCs w:val="23"/>
        </w:rPr>
      </w:pPr>
    </w:p>
    <w:p w14:paraId="577A2C7B" w14:textId="77777777" w:rsidR="00602CB3" w:rsidRDefault="00602CB3">
      <w:pPr>
        <w:rPr>
          <w:rFonts w:ascii="Arial" w:hAnsi="Arial" w:cs="Arial"/>
          <w:sz w:val="23"/>
          <w:szCs w:val="23"/>
        </w:rPr>
      </w:pPr>
    </w:p>
    <w:p w14:paraId="6920A04A" w14:textId="6106A87A" w:rsidR="00353578" w:rsidRDefault="00353578">
      <w:pPr>
        <w:rPr>
          <w:rFonts w:ascii="Arial" w:hAnsi="Arial" w:cs="Arial"/>
          <w:sz w:val="23"/>
          <w:szCs w:val="23"/>
        </w:rPr>
      </w:pPr>
      <w:r>
        <w:rPr>
          <w:rFonts w:ascii="Arial" w:hAnsi="Arial" w:cs="Arial"/>
          <w:sz w:val="23"/>
          <w:szCs w:val="23"/>
        </w:rPr>
        <w:t xml:space="preserve">REFERENCES: </w:t>
      </w:r>
    </w:p>
    <w:p w14:paraId="29E379F8" w14:textId="1C086F3F" w:rsidR="0026496E" w:rsidRDefault="0026496E">
      <w:pPr>
        <w:rPr>
          <w:rFonts w:ascii="Arial" w:hAnsi="Arial" w:cs="Arial"/>
          <w:sz w:val="23"/>
          <w:szCs w:val="23"/>
        </w:rPr>
      </w:pPr>
      <w:r w:rsidRPr="0026496E">
        <w:rPr>
          <w:rFonts w:ascii="Arial" w:hAnsi="Arial" w:cs="Arial"/>
          <w:sz w:val="23"/>
          <w:szCs w:val="23"/>
        </w:rPr>
        <w:t>SAKAI, R., HASHIMOTO, Y., USHIGOME, E., OKAMURA, T., HAMAGUCHI, M., YAMAZAKI, M., ODA, Y. and FUKUI, M., 2019. Understanding of antidiabetic medication is associated with blood glucose in patients with type 2 diabetes: At baseline date of the KAMOGAWA</w:t>
      </w:r>
      <w:r w:rsidRPr="0026496E">
        <w:rPr>
          <w:rFonts w:ascii="Cambria Math" w:hAnsi="Cambria Math" w:cs="Cambria Math"/>
          <w:sz w:val="23"/>
          <w:szCs w:val="23"/>
        </w:rPr>
        <w:t>‐</w:t>
      </w:r>
      <w:r w:rsidRPr="0026496E">
        <w:rPr>
          <w:rFonts w:ascii="Arial" w:hAnsi="Arial" w:cs="Arial"/>
          <w:sz w:val="23"/>
          <w:szCs w:val="23"/>
        </w:rPr>
        <w:t>DM cohort study. </w:t>
      </w:r>
      <w:r w:rsidRPr="0026496E">
        <w:rPr>
          <w:rFonts w:ascii="Arial" w:hAnsi="Arial" w:cs="Arial"/>
          <w:i/>
          <w:iCs/>
          <w:sz w:val="23"/>
          <w:szCs w:val="23"/>
        </w:rPr>
        <w:t>Journal of Diabetes Investigation, </w:t>
      </w:r>
      <w:r w:rsidRPr="0026496E">
        <w:rPr>
          <w:rFonts w:ascii="Arial" w:hAnsi="Arial" w:cs="Arial"/>
          <w:b/>
          <w:bCs/>
          <w:sz w:val="23"/>
          <w:szCs w:val="23"/>
        </w:rPr>
        <w:t>10</w:t>
      </w:r>
      <w:r w:rsidRPr="0026496E">
        <w:rPr>
          <w:rFonts w:ascii="Arial" w:hAnsi="Arial" w:cs="Arial"/>
          <w:sz w:val="23"/>
          <w:szCs w:val="23"/>
        </w:rPr>
        <w:t>(2), pp. 458-465.</w:t>
      </w:r>
    </w:p>
    <w:p w14:paraId="39868302" w14:textId="58804095" w:rsidR="00695963" w:rsidRDefault="00695963">
      <w:pPr>
        <w:rPr>
          <w:rFonts w:ascii="Arial" w:hAnsi="Arial" w:cs="Arial"/>
          <w:sz w:val="23"/>
          <w:szCs w:val="23"/>
        </w:rPr>
      </w:pPr>
      <w:r w:rsidRPr="00695963">
        <w:rPr>
          <w:rFonts w:ascii="Arial" w:hAnsi="Arial" w:cs="Arial"/>
          <w:sz w:val="23"/>
          <w:szCs w:val="23"/>
        </w:rPr>
        <w:t>SZABLEWSKI, L., 2024. Changes in Cells Associated with Insulin Resistance. </w:t>
      </w:r>
      <w:r w:rsidRPr="00695963">
        <w:rPr>
          <w:rFonts w:ascii="Arial" w:hAnsi="Arial" w:cs="Arial"/>
          <w:i/>
          <w:iCs/>
          <w:sz w:val="23"/>
          <w:szCs w:val="23"/>
        </w:rPr>
        <w:t>International Journal of Molecular Sciences, </w:t>
      </w:r>
      <w:r w:rsidRPr="00695963">
        <w:rPr>
          <w:rFonts w:ascii="Arial" w:hAnsi="Arial" w:cs="Arial"/>
          <w:b/>
          <w:bCs/>
          <w:sz w:val="23"/>
          <w:szCs w:val="23"/>
        </w:rPr>
        <w:t>25</w:t>
      </w:r>
      <w:r w:rsidRPr="00695963">
        <w:rPr>
          <w:rFonts w:ascii="Arial" w:hAnsi="Arial" w:cs="Arial"/>
          <w:sz w:val="23"/>
          <w:szCs w:val="23"/>
        </w:rPr>
        <w:t>(4), pp. 2397</w:t>
      </w:r>
    </w:p>
    <w:p w14:paraId="33977093" w14:textId="6655A07F" w:rsidR="00817C93" w:rsidRDefault="00817C93" w:rsidP="00817C93">
      <w:pPr>
        <w:rPr>
          <w:rFonts w:ascii="Arial" w:hAnsi="Arial" w:cs="Arial"/>
          <w:sz w:val="23"/>
          <w:szCs w:val="23"/>
        </w:rPr>
      </w:pPr>
      <w:r w:rsidRPr="00817C93">
        <w:rPr>
          <w:rFonts w:ascii="Arial" w:hAnsi="Arial" w:cs="Arial"/>
          <w:sz w:val="23"/>
          <w:szCs w:val="23"/>
        </w:rPr>
        <w:t xml:space="preserve">Gastaldelli, A. </w:t>
      </w:r>
      <w:r w:rsidRPr="00817C93">
        <w:rPr>
          <w:rFonts w:ascii="Arial" w:hAnsi="Arial" w:cs="Arial"/>
          <w:i/>
          <w:iCs/>
          <w:sz w:val="23"/>
          <w:szCs w:val="23"/>
        </w:rPr>
        <w:t>et al.</w:t>
      </w:r>
      <w:r w:rsidRPr="00817C93">
        <w:rPr>
          <w:rFonts w:ascii="Arial" w:hAnsi="Arial" w:cs="Arial"/>
          <w:sz w:val="23"/>
          <w:szCs w:val="23"/>
        </w:rPr>
        <w:t xml:space="preserve"> (2002) “Metabolic Effects of Visceral Fat Accumulation in Type 2 Diabetes,” </w:t>
      </w:r>
      <w:r w:rsidRPr="00817C93">
        <w:rPr>
          <w:rFonts w:ascii="Arial" w:hAnsi="Arial" w:cs="Arial"/>
          <w:i/>
          <w:iCs/>
          <w:sz w:val="23"/>
          <w:szCs w:val="23"/>
        </w:rPr>
        <w:t>The journal of clinical endocrinology and metabolism</w:t>
      </w:r>
      <w:r w:rsidRPr="00817C93">
        <w:rPr>
          <w:rFonts w:ascii="Arial" w:hAnsi="Arial" w:cs="Arial"/>
          <w:sz w:val="23"/>
          <w:szCs w:val="23"/>
        </w:rPr>
        <w:t xml:space="preserve">, 87(11), pp. 5098–5103. Available at: </w:t>
      </w:r>
      <w:hyperlink r:id="rId7" w:history="1">
        <w:r w:rsidR="000F6900" w:rsidRPr="00817C93">
          <w:rPr>
            <w:rStyle w:val="Hyperlink"/>
            <w:rFonts w:ascii="Arial" w:hAnsi="Arial" w:cs="Arial"/>
            <w:sz w:val="23"/>
            <w:szCs w:val="23"/>
          </w:rPr>
          <w:t>https://doi.org/10.1210/jc.2002-020696</w:t>
        </w:r>
      </w:hyperlink>
      <w:r w:rsidRPr="00817C93">
        <w:rPr>
          <w:rFonts w:ascii="Arial" w:hAnsi="Arial" w:cs="Arial"/>
          <w:sz w:val="23"/>
          <w:szCs w:val="23"/>
        </w:rPr>
        <w:t>.</w:t>
      </w:r>
    </w:p>
    <w:p w14:paraId="6F9FBC28" w14:textId="7D4A4E45" w:rsidR="00DD61A1" w:rsidRDefault="00DD61A1" w:rsidP="00DD61A1">
      <w:pPr>
        <w:rPr>
          <w:rFonts w:ascii="Arial" w:hAnsi="Arial" w:cs="Arial"/>
          <w:sz w:val="23"/>
          <w:szCs w:val="23"/>
        </w:rPr>
      </w:pPr>
      <w:r w:rsidRPr="009850F5">
        <w:rPr>
          <w:rFonts w:ascii="Arial" w:hAnsi="Arial" w:cs="Arial"/>
          <w:sz w:val="23"/>
          <w:szCs w:val="23"/>
          <w:lang w:val="nl-NL"/>
        </w:rPr>
        <w:t xml:space="preserve">Lauffenburger, J.C. </w:t>
      </w:r>
      <w:r w:rsidRPr="009850F5">
        <w:rPr>
          <w:rFonts w:ascii="Arial" w:hAnsi="Arial" w:cs="Arial"/>
          <w:i/>
          <w:iCs/>
          <w:sz w:val="23"/>
          <w:szCs w:val="23"/>
          <w:lang w:val="nl-NL"/>
        </w:rPr>
        <w:t>et al.</w:t>
      </w:r>
      <w:r w:rsidRPr="009850F5">
        <w:rPr>
          <w:rFonts w:ascii="Arial" w:hAnsi="Arial" w:cs="Arial"/>
          <w:sz w:val="23"/>
          <w:szCs w:val="23"/>
          <w:lang w:val="nl-NL"/>
        </w:rPr>
        <w:t xml:space="preserve"> </w:t>
      </w:r>
      <w:r w:rsidRPr="00DD61A1">
        <w:rPr>
          <w:rFonts w:ascii="Arial" w:hAnsi="Arial" w:cs="Arial"/>
          <w:sz w:val="23"/>
          <w:szCs w:val="23"/>
        </w:rPr>
        <w:t xml:space="preserve">(2019) “Impact of a novel pharmacist-delivered </w:t>
      </w:r>
      <w:proofErr w:type="spellStart"/>
      <w:r w:rsidRPr="00DD61A1">
        <w:rPr>
          <w:rFonts w:ascii="Arial" w:hAnsi="Arial" w:cs="Arial"/>
          <w:sz w:val="23"/>
          <w:szCs w:val="23"/>
        </w:rPr>
        <w:t>behavioral</w:t>
      </w:r>
      <w:proofErr w:type="spellEnd"/>
      <w:r w:rsidRPr="00DD61A1">
        <w:rPr>
          <w:rFonts w:ascii="Arial" w:hAnsi="Arial" w:cs="Arial"/>
          <w:sz w:val="23"/>
          <w:szCs w:val="23"/>
        </w:rPr>
        <w:t xml:space="preserve"> intervention for patients with </w:t>
      </w:r>
      <w:proofErr w:type="gramStart"/>
      <w:r w:rsidRPr="00DD61A1">
        <w:rPr>
          <w:rFonts w:ascii="Arial" w:hAnsi="Arial" w:cs="Arial"/>
          <w:sz w:val="23"/>
          <w:szCs w:val="23"/>
        </w:rPr>
        <w:t>poorly-controlled</w:t>
      </w:r>
      <w:proofErr w:type="gramEnd"/>
      <w:r w:rsidRPr="00DD61A1">
        <w:rPr>
          <w:rFonts w:ascii="Arial" w:hAnsi="Arial" w:cs="Arial"/>
          <w:sz w:val="23"/>
          <w:szCs w:val="23"/>
        </w:rPr>
        <w:t xml:space="preserve"> diabetes: The </w:t>
      </w:r>
      <w:proofErr w:type="spellStart"/>
      <w:r w:rsidRPr="00DD61A1">
        <w:rPr>
          <w:rFonts w:ascii="Arial" w:hAnsi="Arial" w:cs="Arial"/>
          <w:sz w:val="23"/>
          <w:szCs w:val="23"/>
        </w:rPr>
        <w:t>ENhancing</w:t>
      </w:r>
      <w:proofErr w:type="spellEnd"/>
      <w:r w:rsidRPr="00DD61A1">
        <w:rPr>
          <w:rFonts w:ascii="Arial" w:hAnsi="Arial" w:cs="Arial"/>
          <w:sz w:val="23"/>
          <w:szCs w:val="23"/>
        </w:rPr>
        <w:t xml:space="preserve"> outcomes through Goal Assessment and Generating Engagement in Diabetes Mellitus (ENGAGE-DM) pragmatic randomized trial,” </w:t>
      </w:r>
      <w:proofErr w:type="spellStart"/>
      <w:r w:rsidRPr="00DD61A1">
        <w:rPr>
          <w:rFonts w:ascii="Arial" w:hAnsi="Arial" w:cs="Arial"/>
          <w:i/>
          <w:iCs/>
          <w:sz w:val="23"/>
          <w:szCs w:val="23"/>
        </w:rPr>
        <w:t>PloS</w:t>
      </w:r>
      <w:proofErr w:type="spellEnd"/>
      <w:r w:rsidRPr="00DD61A1">
        <w:rPr>
          <w:rFonts w:ascii="Arial" w:hAnsi="Arial" w:cs="Arial"/>
          <w:i/>
          <w:iCs/>
          <w:sz w:val="23"/>
          <w:szCs w:val="23"/>
        </w:rPr>
        <w:t xml:space="preserve"> one</w:t>
      </w:r>
      <w:r w:rsidRPr="00DD61A1">
        <w:rPr>
          <w:rFonts w:ascii="Arial" w:hAnsi="Arial" w:cs="Arial"/>
          <w:sz w:val="23"/>
          <w:szCs w:val="23"/>
        </w:rPr>
        <w:t xml:space="preserve">, 14(4), p. e0214754. Available at: </w:t>
      </w:r>
      <w:hyperlink r:id="rId8" w:history="1">
        <w:r w:rsidR="00533197" w:rsidRPr="00DD61A1">
          <w:rPr>
            <w:rStyle w:val="Hyperlink"/>
            <w:rFonts w:ascii="Arial" w:hAnsi="Arial" w:cs="Arial"/>
            <w:sz w:val="23"/>
            <w:szCs w:val="23"/>
          </w:rPr>
          <w:t>https://doi.org/10.1371/journal.pone.0214754</w:t>
        </w:r>
      </w:hyperlink>
      <w:r w:rsidRPr="00DD61A1">
        <w:rPr>
          <w:rFonts w:ascii="Arial" w:hAnsi="Arial" w:cs="Arial"/>
          <w:sz w:val="23"/>
          <w:szCs w:val="23"/>
        </w:rPr>
        <w:t>.</w:t>
      </w:r>
    </w:p>
    <w:p w14:paraId="0650CFDA" w14:textId="0F64572A" w:rsidR="00533197" w:rsidRDefault="00533197" w:rsidP="00DD61A1">
      <w:pPr>
        <w:rPr>
          <w:rFonts w:ascii="Arial" w:hAnsi="Arial" w:cs="Arial"/>
          <w:sz w:val="23"/>
          <w:szCs w:val="23"/>
        </w:rPr>
      </w:pPr>
      <w:r w:rsidRPr="00533197">
        <w:rPr>
          <w:rFonts w:ascii="Arial" w:hAnsi="Arial" w:cs="Arial"/>
          <w:sz w:val="23"/>
          <w:szCs w:val="23"/>
        </w:rPr>
        <w:t>PINHEIRO, M.C., COSTA, H.E., MELISSA, M. and ELISA, C., 2025. Sleep Deprivation and Its Impact on Insulin Resistance. </w:t>
      </w:r>
      <w:r w:rsidRPr="00533197">
        <w:rPr>
          <w:rFonts w:ascii="Arial" w:hAnsi="Arial" w:cs="Arial"/>
          <w:i/>
          <w:iCs/>
          <w:sz w:val="23"/>
          <w:szCs w:val="23"/>
        </w:rPr>
        <w:t>Endocrines, </w:t>
      </w:r>
      <w:r w:rsidRPr="00533197">
        <w:rPr>
          <w:rFonts w:ascii="Arial" w:hAnsi="Arial" w:cs="Arial"/>
          <w:b/>
          <w:bCs/>
          <w:sz w:val="23"/>
          <w:szCs w:val="23"/>
        </w:rPr>
        <w:t>6</w:t>
      </w:r>
      <w:r w:rsidRPr="00533197">
        <w:rPr>
          <w:rFonts w:ascii="Arial" w:hAnsi="Arial" w:cs="Arial"/>
          <w:sz w:val="23"/>
          <w:szCs w:val="23"/>
        </w:rPr>
        <w:t>(4), pp. 49.</w:t>
      </w:r>
    </w:p>
    <w:p w14:paraId="500FD54C" w14:textId="0A8477D9" w:rsidR="00725FE8" w:rsidRDefault="00725FE8" w:rsidP="00725FE8">
      <w:pPr>
        <w:rPr>
          <w:rFonts w:ascii="Arial" w:hAnsi="Arial" w:cs="Arial"/>
          <w:sz w:val="23"/>
          <w:szCs w:val="23"/>
        </w:rPr>
      </w:pPr>
      <w:r w:rsidRPr="00725FE8">
        <w:rPr>
          <w:rFonts w:ascii="Arial" w:hAnsi="Arial" w:cs="Arial"/>
          <w:sz w:val="23"/>
          <w:szCs w:val="23"/>
        </w:rPr>
        <w:t xml:space="preserve">Lindenmeyer, A. </w:t>
      </w:r>
      <w:r w:rsidRPr="00725FE8">
        <w:rPr>
          <w:rFonts w:ascii="Arial" w:hAnsi="Arial" w:cs="Arial"/>
          <w:i/>
          <w:iCs/>
          <w:sz w:val="23"/>
          <w:szCs w:val="23"/>
        </w:rPr>
        <w:t>et al.</w:t>
      </w:r>
      <w:r w:rsidRPr="00725FE8">
        <w:rPr>
          <w:rFonts w:ascii="Arial" w:hAnsi="Arial" w:cs="Arial"/>
          <w:sz w:val="23"/>
          <w:szCs w:val="23"/>
        </w:rPr>
        <w:t xml:space="preserve"> (2010) “Patient engagement with a diabetes self-management intervention,” </w:t>
      </w:r>
      <w:r w:rsidRPr="00725FE8">
        <w:rPr>
          <w:rFonts w:ascii="Arial" w:hAnsi="Arial" w:cs="Arial"/>
          <w:i/>
          <w:iCs/>
          <w:sz w:val="23"/>
          <w:szCs w:val="23"/>
        </w:rPr>
        <w:t>Chronic illness</w:t>
      </w:r>
      <w:r w:rsidRPr="00725FE8">
        <w:rPr>
          <w:rFonts w:ascii="Arial" w:hAnsi="Arial" w:cs="Arial"/>
          <w:sz w:val="23"/>
          <w:szCs w:val="23"/>
        </w:rPr>
        <w:t xml:space="preserve">, 6(4), pp. 306–316. Available at: </w:t>
      </w:r>
      <w:hyperlink r:id="rId9" w:history="1">
        <w:r w:rsidR="002D3887" w:rsidRPr="00725FE8">
          <w:rPr>
            <w:rStyle w:val="Hyperlink"/>
            <w:rFonts w:ascii="Arial" w:hAnsi="Arial" w:cs="Arial"/>
            <w:sz w:val="23"/>
            <w:szCs w:val="23"/>
          </w:rPr>
          <w:t>https://doi.org/10.1177/1742395310382798</w:t>
        </w:r>
      </w:hyperlink>
      <w:r w:rsidRPr="00725FE8">
        <w:rPr>
          <w:rFonts w:ascii="Arial" w:hAnsi="Arial" w:cs="Arial"/>
          <w:sz w:val="23"/>
          <w:szCs w:val="23"/>
        </w:rPr>
        <w:t>.</w:t>
      </w:r>
    </w:p>
    <w:p w14:paraId="29805F9A" w14:textId="201AA3B8" w:rsidR="002D3887" w:rsidRDefault="002D3887" w:rsidP="002D3887">
      <w:pPr>
        <w:rPr>
          <w:rFonts w:ascii="Arial" w:hAnsi="Arial" w:cs="Arial"/>
          <w:sz w:val="23"/>
          <w:szCs w:val="23"/>
        </w:rPr>
      </w:pPr>
      <w:r w:rsidRPr="002D3887">
        <w:rPr>
          <w:rFonts w:ascii="Arial" w:hAnsi="Arial" w:cs="Arial"/>
          <w:sz w:val="23"/>
          <w:szCs w:val="23"/>
          <w:lang w:val="nl-NL"/>
        </w:rPr>
        <w:t xml:space="preserve">Morieri, M.L. </w:t>
      </w:r>
      <w:r w:rsidRPr="002D3887">
        <w:rPr>
          <w:rFonts w:ascii="Arial" w:hAnsi="Arial" w:cs="Arial"/>
          <w:i/>
          <w:iCs/>
          <w:sz w:val="23"/>
          <w:szCs w:val="23"/>
          <w:lang w:val="nl-NL"/>
        </w:rPr>
        <w:t>et al.</w:t>
      </w:r>
      <w:r w:rsidRPr="002D3887">
        <w:rPr>
          <w:rFonts w:ascii="Arial" w:hAnsi="Arial" w:cs="Arial"/>
          <w:sz w:val="23"/>
          <w:szCs w:val="23"/>
          <w:lang w:val="nl-NL"/>
        </w:rPr>
        <w:t xml:space="preserve"> </w:t>
      </w:r>
      <w:r w:rsidRPr="002D3887">
        <w:rPr>
          <w:rFonts w:ascii="Arial" w:hAnsi="Arial" w:cs="Arial"/>
          <w:sz w:val="23"/>
          <w:szCs w:val="23"/>
        </w:rPr>
        <w:t xml:space="preserve">(2025) “Early weight loss, diabetes remission and long-term trajectory after diagnosis of type 2 diabetes: a retrospective study,” </w:t>
      </w:r>
      <w:proofErr w:type="spellStart"/>
      <w:r w:rsidRPr="002D3887">
        <w:rPr>
          <w:rFonts w:ascii="Arial" w:hAnsi="Arial" w:cs="Arial"/>
          <w:i/>
          <w:iCs/>
          <w:sz w:val="23"/>
          <w:szCs w:val="23"/>
        </w:rPr>
        <w:t>Diabetologia</w:t>
      </w:r>
      <w:proofErr w:type="spellEnd"/>
      <w:r w:rsidRPr="002D3887">
        <w:rPr>
          <w:rFonts w:ascii="Arial" w:hAnsi="Arial" w:cs="Arial"/>
          <w:sz w:val="23"/>
          <w:szCs w:val="23"/>
        </w:rPr>
        <w:t xml:space="preserve">, 68(6), pp. 1115–1125. Available at: </w:t>
      </w:r>
      <w:hyperlink r:id="rId10" w:history="1">
        <w:r w:rsidR="000875A6" w:rsidRPr="002D3887">
          <w:rPr>
            <w:rStyle w:val="Hyperlink"/>
            <w:rFonts w:ascii="Arial" w:hAnsi="Arial" w:cs="Arial"/>
            <w:sz w:val="23"/>
            <w:szCs w:val="23"/>
          </w:rPr>
          <w:t>https://doi.org/10.1007/s00125-025-06402-w</w:t>
        </w:r>
      </w:hyperlink>
      <w:r w:rsidRPr="002D3887">
        <w:rPr>
          <w:rFonts w:ascii="Arial" w:hAnsi="Arial" w:cs="Arial"/>
          <w:sz w:val="23"/>
          <w:szCs w:val="23"/>
        </w:rPr>
        <w:t>.</w:t>
      </w:r>
    </w:p>
    <w:p w14:paraId="6E762FD6" w14:textId="704C51E5" w:rsidR="000875A6" w:rsidRDefault="000875A6" w:rsidP="000875A6">
      <w:pPr>
        <w:rPr>
          <w:rFonts w:ascii="Arial" w:hAnsi="Arial" w:cs="Arial"/>
          <w:sz w:val="23"/>
          <w:szCs w:val="23"/>
        </w:rPr>
      </w:pPr>
      <w:r w:rsidRPr="000875A6">
        <w:rPr>
          <w:rFonts w:ascii="Arial" w:hAnsi="Arial" w:cs="Arial"/>
          <w:sz w:val="23"/>
          <w:szCs w:val="23"/>
        </w:rPr>
        <w:t xml:space="preserve">Thomsen, M.N. </w:t>
      </w:r>
      <w:r w:rsidRPr="000875A6">
        <w:rPr>
          <w:rFonts w:ascii="Arial" w:hAnsi="Arial" w:cs="Arial"/>
          <w:i/>
          <w:iCs/>
          <w:sz w:val="23"/>
          <w:szCs w:val="23"/>
        </w:rPr>
        <w:t>et al.</w:t>
      </w:r>
      <w:r w:rsidRPr="000875A6">
        <w:rPr>
          <w:rFonts w:ascii="Arial" w:hAnsi="Arial" w:cs="Arial"/>
          <w:sz w:val="23"/>
          <w:szCs w:val="23"/>
        </w:rPr>
        <w:t xml:space="preserve"> (2022) “Dietary carbohydrate restriction augments weight loss-induced improvements in glycaemic control and liver fat in individuals with type 2 diabetes: a randomised controlled trial,” </w:t>
      </w:r>
      <w:proofErr w:type="spellStart"/>
      <w:r w:rsidRPr="000875A6">
        <w:rPr>
          <w:rFonts w:ascii="Arial" w:hAnsi="Arial" w:cs="Arial"/>
          <w:i/>
          <w:iCs/>
          <w:sz w:val="23"/>
          <w:szCs w:val="23"/>
        </w:rPr>
        <w:t>Diabetologia</w:t>
      </w:r>
      <w:proofErr w:type="spellEnd"/>
      <w:r w:rsidRPr="000875A6">
        <w:rPr>
          <w:rFonts w:ascii="Arial" w:hAnsi="Arial" w:cs="Arial"/>
          <w:sz w:val="23"/>
          <w:szCs w:val="23"/>
        </w:rPr>
        <w:t xml:space="preserve">, 65(3), pp. 506–517. Available at: </w:t>
      </w:r>
      <w:hyperlink r:id="rId11" w:history="1">
        <w:r w:rsidR="00AC33E2" w:rsidRPr="000875A6">
          <w:rPr>
            <w:rStyle w:val="Hyperlink"/>
            <w:rFonts w:ascii="Arial" w:hAnsi="Arial" w:cs="Arial"/>
            <w:sz w:val="23"/>
            <w:szCs w:val="23"/>
          </w:rPr>
          <w:t>https://doi.org/10.1007/s00125-021-05628-8</w:t>
        </w:r>
      </w:hyperlink>
      <w:r w:rsidRPr="000875A6">
        <w:rPr>
          <w:rFonts w:ascii="Arial" w:hAnsi="Arial" w:cs="Arial"/>
          <w:sz w:val="23"/>
          <w:szCs w:val="23"/>
        </w:rPr>
        <w:t>.</w:t>
      </w:r>
    </w:p>
    <w:p w14:paraId="3F25EC8C" w14:textId="05609B94" w:rsidR="00AC33E2" w:rsidRDefault="00AC33E2" w:rsidP="00AC33E2">
      <w:pPr>
        <w:rPr>
          <w:rFonts w:ascii="Arial" w:hAnsi="Arial" w:cs="Arial"/>
          <w:sz w:val="23"/>
          <w:szCs w:val="23"/>
        </w:rPr>
      </w:pPr>
      <w:r w:rsidRPr="00AC33E2">
        <w:rPr>
          <w:rFonts w:ascii="Arial" w:hAnsi="Arial" w:cs="Arial"/>
          <w:sz w:val="23"/>
          <w:szCs w:val="23"/>
        </w:rPr>
        <w:t xml:space="preserve">Hawley, J.A. and Lessard, S.J. (2008) “Exercise training-induced improvements in insulin action,” </w:t>
      </w:r>
      <w:r w:rsidRPr="00AC33E2">
        <w:rPr>
          <w:rFonts w:ascii="Arial" w:hAnsi="Arial" w:cs="Arial"/>
          <w:i/>
          <w:iCs/>
          <w:sz w:val="23"/>
          <w:szCs w:val="23"/>
        </w:rPr>
        <w:t xml:space="preserve">Acta </w:t>
      </w:r>
      <w:proofErr w:type="spellStart"/>
      <w:r w:rsidRPr="00AC33E2">
        <w:rPr>
          <w:rFonts w:ascii="Arial" w:hAnsi="Arial" w:cs="Arial"/>
          <w:i/>
          <w:iCs/>
          <w:sz w:val="23"/>
          <w:szCs w:val="23"/>
        </w:rPr>
        <w:t>Physiologica</w:t>
      </w:r>
      <w:proofErr w:type="spellEnd"/>
      <w:r w:rsidRPr="00AC33E2">
        <w:rPr>
          <w:rFonts w:ascii="Arial" w:hAnsi="Arial" w:cs="Arial"/>
          <w:sz w:val="23"/>
          <w:szCs w:val="23"/>
        </w:rPr>
        <w:t xml:space="preserve">, 192(1), pp. 127–135. Available at: </w:t>
      </w:r>
      <w:hyperlink r:id="rId12" w:history="1">
        <w:r w:rsidR="002B0CF7" w:rsidRPr="00AC33E2">
          <w:rPr>
            <w:rStyle w:val="Hyperlink"/>
            <w:rFonts w:ascii="Arial" w:hAnsi="Arial" w:cs="Arial"/>
            <w:sz w:val="23"/>
            <w:szCs w:val="23"/>
          </w:rPr>
          <w:t>https://doi.org/10.1111/j.1748-1716.2007.01783.x</w:t>
        </w:r>
      </w:hyperlink>
      <w:r w:rsidRPr="00AC33E2">
        <w:rPr>
          <w:rFonts w:ascii="Arial" w:hAnsi="Arial" w:cs="Arial"/>
          <w:sz w:val="23"/>
          <w:szCs w:val="23"/>
        </w:rPr>
        <w:t>.</w:t>
      </w:r>
    </w:p>
    <w:p w14:paraId="3C45D0B2" w14:textId="4F80F760" w:rsidR="008A6682" w:rsidRDefault="008A6682" w:rsidP="008A6682">
      <w:pPr>
        <w:rPr>
          <w:rFonts w:ascii="Arial" w:hAnsi="Arial" w:cs="Arial"/>
          <w:sz w:val="23"/>
          <w:szCs w:val="23"/>
        </w:rPr>
      </w:pPr>
      <w:r w:rsidRPr="008A6682">
        <w:rPr>
          <w:rFonts w:ascii="Arial" w:hAnsi="Arial" w:cs="Arial"/>
          <w:sz w:val="23"/>
          <w:szCs w:val="23"/>
        </w:rPr>
        <w:t xml:space="preserve">Kimura, M. </w:t>
      </w:r>
      <w:r w:rsidRPr="008A6682">
        <w:rPr>
          <w:rFonts w:ascii="Arial" w:hAnsi="Arial" w:cs="Arial"/>
          <w:i/>
          <w:iCs/>
          <w:sz w:val="23"/>
          <w:szCs w:val="23"/>
        </w:rPr>
        <w:t>et al.</w:t>
      </w:r>
      <w:r w:rsidRPr="008A6682">
        <w:rPr>
          <w:rFonts w:ascii="Arial" w:hAnsi="Arial" w:cs="Arial"/>
          <w:sz w:val="23"/>
          <w:szCs w:val="23"/>
        </w:rPr>
        <w:t xml:space="preserve"> (2022) “The Importance of Patient and Family Engagement, the Needs for Self-Monitoring of Blood Glucose (SMBG) – Our Perspectives Learned Through a </w:t>
      </w:r>
      <w:r w:rsidRPr="008A6682">
        <w:rPr>
          <w:rFonts w:ascii="Arial" w:hAnsi="Arial" w:cs="Arial"/>
          <w:sz w:val="23"/>
          <w:szCs w:val="23"/>
        </w:rPr>
        <w:lastRenderedPageBreak/>
        <w:t xml:space="preserve">Story of SMBG Assistive Devices Made by a Husband of the Patient with Diabetes,” </w:t>
      </w:r>
      <w:r w:rsidRPr="008A6682">
        <w:rPr>
          <w:rFonts w:ascii="Arial" w:hAnsi="Arial" w:cs="Arial"/>
          <w:i/>
          <w:iCs/>
          <w:sz w:val="23"/>
          <w:szCs w:val="23"/>
        </w:rPr>
        <w:t>Diabetes, metabolic syndrome and obesity</w:t>
      </w:r>
      <w:r w:rsidRPr="008A6682">
        <w:rPr>
          <w:rFonts w:ascii="Arial" w:hAnsi="Arial" w:cs="Arial"/>
          <w:sz w:val="23"/>
          <w:szCs w:val="23"/>
        </w:rPr>
        <w:t xml:space="preserve">, 15, pp. 1627–1638. Available at: </w:t>
      </w:r>
      <w:hyperlink r:id="rId13" w:history="1">
        <w:r w:rsidR="000016B1" w:rsidRPr="008A6682">
          <w:rPr>
            <w:rStyle w:val="Hyperlink"/>
            <w:rFonts w:ascii="Arial" w:hAnsi="Arial" w:cs="Arial"/>
            <w:sz w:val="23"/>
            <w:szCs w:val="23"/>
          </w:rPr>
          <w:t>https://doi.org/10.2147/DMSO.S363762</w:t>
        </w:r>
      </w:hyperlink>
      <w:r w:rsidRPr="008A6682">
        <w:rPr>
          <w:rFonts w:ascii="Arial" w:hAnsi="Arial" w:cs="Arial"/>
          <w:sz w:val="23"/>
          <w:szCs w:val="23"/>
        </w:rPr>
        <w:t>.</w:t>
      </w:r>
    </w:p>
    <w:p w14:paraId="15EA2AC5" w14:textId="3B1C6020" w:rsidR="000016B1" w:rsidRDefault="000016B1" w:rsidP="000016B1">
      <w:pPr>
        <w:rPr>
          <w:rFonts w:ascii="Arial" w:hAnsi="Arial" w:cs="Arial"/>
          <w:sz w:val="23"/>
          <w:szCs w:val="23"/>
        </w:rPr>
      </w:pPr>
      <w:r w:rsidRPr="000016B1">
        <w:rPr>
          <w:rFonts w:ascii="Arial" w:hAnsi="Arial" w:cs="Arial"/>
          <w:sz w:val="23"/>
          <w:szCs w:val="23"/>
        </w:rPr>
        <w:t xml:space="preserve">Aoi, W., Naito, Y. and Yoshikawa, T. (2013) “Role of oxidative stress in impaired insulin </w:t>
      </w:r>
      <w:proofErr w:type="spellStart"/>
      <w:r w:rsidRPr="000016B1">
        <w:rPr>
          <w:rFonts w:ascii="Arial" w:hAnsi="Arial" w:cs="Arial"/>
          <w:sz w:val="23"/>
          <w:szCs w:val="23"/>
        </w:rPr>
        <w:t>signaling</w:t>
      </w:r>
      <w:proofErr w:type="spellEnd"/>
      <w:r w:rsidRPr="000016B1">
        <w:rPr>
          <w:rFonts w:ascii="Arial" w:hAnsi="Arial" w:cs="Arial"/>
          <w:sz w:val="23"/>
          <w:szCs w:val="23"/>
        </w:rPr>
        <w:t xml:space="preserve"> associated with exercise-induced muscle damage,” </w:t>
      </w:r>
      <w:r w:rsidRPr="000016B1">
        <w:rPr>
          <w:rFonts w:ascii="Arial" w:hAnsi="Arial" w:cs="Arial"/>
          <w:i/>
          <w:iCs/>
          <w:sz w:val="23"/>
          <w:szCs w:val="23"/>
        </w:rPr>
        <w:t>Free radical biology &amp; medicine</w:t>
      </w:r>
      <w:r w:rsidRPr="000016B1">
        <w:rPr>
          <w:rFonts w:ascii="Arial" w:hAnsi="Arial" w:cs="Arial"/>
          <w:sz w:val="23"/>
          <w:szCs w:val="23"/>
        </w:rPr>
        <w:t xml:space="preserve">, 65, pp. 1265–1272. Available at: </w:t>
      </w:r>
      <w:hyperlink r:id="rId14" w:history="1">
        <w:r w:rsidR="00E0345B" w:rsidRPr="000016B1">
          <w:rPr>
            <w:rStyle w:val="Hyperlink"/>
            <w:rFonts w:ascii="Arial" w:hAnsi="Arial" w:cs="Arial"/>
            <w:sz w:val="23"/>
            <w:szCs w:val="23"/>
          </w:rPr>
          <w:t>https://doi.org/10.1016/j.freeradbiomed.2013.09.014</w:t>
        </w:r>
      </w:hyperlink>
      <w:r w:rsidRPr="000016B1">
        <w:rPr>
          <w:rFonts w:ascii="Arial" w:hAnsi="Arial" w:cs="Arial"/>
          <w:sz w:val="23"/>
          <w:szCs w:val="23"/>
        </w:rPr>
        <w:t>.</w:t>
      </w:r>
    </w:p>
    <w:p w14:paraId="622EE69F" w14:textId="77777777" w:rsidR="00E0345B" w:rsidRPr="00E0345B" w:rsidRDefault="00E0345B" w:rsidP="00E0345B">
      <w:pPr>
        <w:rPr>
          <w:rFonts w:ascii="Arial" w:hAnsi="Arial" w:cs="Arial"/>
          <w:sz w:val="23"/>
          <w:szCs w:val="23"/>
        </w:rPr>
      </w:pPr>
      <w:r w:rsidRPr="00E0345B">
        <w:rPr>
          <w:rFonts w:ascii="Arial" w:hAnsi="Arial" w:cs="Arial"/>
          <w:sz w:val="23"/>
          <w:szCs w:val="23"/>
        </w:rPr>
        <w:t xml:space="preserve">Röder, P.V. </w:t>
      </w:r>
      <w:r w:rsidRPr="00E0345B">
        <w:rPr>
          <w:rFonts w:ascii="Arial" w:hAnsi="Arial" w:cs="Arial"/>
          <w:i/>
          <w:iCs/>
          <w:sz w:val="23"/>
          <w:szCs w:val="23"/>
        </w:rPr>
        <w:t>et al.</w:t>
      </w:r>
      <w:r w:rsidRPr="00E0345B">
        <w:rPr>
          <w:rFonts w:ascii="Arial" w:hAnsi="Arial" w:cs="Arial"/>
          <w:sz w:val="23"/>
          <w:szCs w:val="23"/>
        </w:rPr>
        <w:t xml:space="preserve"> (2016) “Pancreatic regulation of glucose homeostasis,” </w:t>
      </w:r>
      <w:r w:rsidRPr="00E0345B">
        <w:rPr>
          <w:rFonts w:ascii="Arial" w:hAnsi="Arial" w:cs="Arial"/>
          <w:i/>
          <w:iCs/>
          <w:sz w:val="23"/>
          <w:szCs w:val="23"/>
        </w:rPr>
        <w:t>Experimental &amp; molecular medicine</w:t>
      </w:r>
      <w:r w:rsidRPr="00E0345B">
        <w:rPr>
          <w:rFonts w:ascii="Arial" w:hAnsi="Arial" w:cs="Arial"/>
          <w:sz w:val="23"/>
          <w:szCs w:val="23"/>
        </w:rPr>
        <w:t>, 48(3), pp. e219–e219. Available at: https://doi.org/10.1038/emm.2016.6.</w:t>
      </w:r>
    </w:p>
    <w:p w14:paraId="1F3F5F3E" w14:textId="77777777" w:rsidR="00E0345B" w:rsidRPr="000016B1" w:rsidRDefault="00E0345B" w:rsidP="000016B1">
      <w:pPr>
        <w:rPr>
          <w:rFonts w:ascii="Arial" w:hAnsi="Arial" w:cs="Arial"/>
          <w:sz w:val="23"/>
          <w:szCs w:val="23"/>
        </w:rPr>
      </w:pPr>
    </w:p>
    <w:p w14:paraId="0BE35628" w14:textId="77777777" w:rsidR="000016B1" w:rsidRPr="008A6682" w:rsidRDefault="000016B1" w:rsidP="008A6682">
      <w:pPr>
        <w:rPr>
          <w:rFonts w:ascii="Arial" w:hAnsi="Arial" w:cs="Arial"/>
          <w:sz w:val="23"/>
          <w:szCs w:val="23"/>
        </w:rPr>
      </w:pPr>
    </w:p>
    <w:p w14:paraId="59F09A47" w14:textId="77777777" w:rsidR="002B0CF7" w:rsidRPr="00AC33E2" w:rsidRDefault="002B0CF7" w:rsidP="00AC33E2">
      <w:pPr>
        <w:rPr>
          <w:rFonts w:ascii="Arial" w:hAnsi="Arial" w:cs="Arial"/>
          <w:sz w:val="23"/>
          <w:szCs w:val="23"/>
        </w:rPr>
      </w:pPr>
    </w:p>
    <w:p w14:paraId="6710358A" w14:textId="77777777" w:rsidR="00AC33E2" w:rsidRPr="000875A6" w:rsidRDefault="00AC33E2" w:rsidP="000875A6">
      <w:pPr>
        <w:rPr>
          <w:rFonts w:ascii="Arial" w:hAnsi="Arial" w:cs="Arial"/>
          <w:sz w:val="23"/>
          <w:szCs w:val="23"/>
        </w:rPr>
      </w:pPr>
    </w:p>
    <w:p w14:paraId="7987F17D" w14:textId="77777777" w:rsidR="000875A6" w:rsidRPr="002D3887" w:rsidRDefault="000875A6" w:rsidP="002D3887">
      <w:pPr>
        <w:rPr>
          <w:rFonts w:ascii="Arial" w:hAnsi="Arial" w:cs="Arial"/>
          <w:sz w:val="23"/>
          <w:szCs w:val="23"/>
        </w:rPr>
      </w:pPr>
    </w:p>
    <w:p w14:paraId="586E47DF" w14:textId="77777777" w:rsidR="002D3887" w:rsidRPr="00DD61A1" w:rsidRDefault="002D3887" w:rsidP="00DD61A1">
      <w:pPr>
        <w:rPr>
          <w:rFonts w:ascii="Arial" w:hAnsi="Arial" w:cs="Arial"/>
          <w:sz w:val="23"/>
          <w:szCs w:val="23"/>
        </w:rPr>
      </w:pPr>
    </w:p>
    <w:p w14:paraId="53A35BAA" w14:textId="77777777" w:rsidR="000F6900" w:rsidRPr="00817C93" w:rsidRDefault="000F6900" w:rsidP="00817C93">
      <w:pPr>
        <w:rPr>
          <w:rFonts w:ascii="Arial" w:hAnsi="Arial" w:cs="Arial"/>
          <w:sz w:val="23"/>
          <w:szCs w:val="23"/>
        </w:rPr>
      </w:pPr>
    </w:p>
    <w:p w14:paraId="0C369FB5" w14:textId="77777777" w:rsidR="00817C93" w:rsidRDefault="00817C93">
      <w:pPr>
        <w:rPr>
          <w:rFonts w:ascii="Arial" w:hAnsi="Arial" w:cs="Arial"/>
          <w:sz w:val="23"/>
          <w:szCs w:val="23"/>
        </w:rPr>
      </w:pPr>
    </w:p>
    <w:p w14:paraId="2A011800" w14:textId="08D29495" w:rsidR="00353578" w:rsidRPr="00353578" w:rsidRDefault="00353578">
      <w:pPr>
        <w:rPr>
          <w:rFonts w:ascii="Arial" w:hAnsi="Arial" w:cs="Arial"/>
          <w:sz w:val="23"/>
          <w:szCs w:val="23"/>
        </w:rPr>
      </w:pPr>
    </w:p>
    <w:sectPr w:rsidR="00353578" w:rsidRPr="00353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4B4"/>
    <w:rsid w:val="000016B1"/>
    <w:rsid w:val="000875A6"/>
    <w:rsid w:val="000924B4"/>
    <w:rsid w:val="000F6900"/>
    <w:rsid w:val="001B293C"/>
    <w:rsid w:val="00261AB0"/>
    <w:rsid w:val="0026496E"/>
    <w:rsid w:val="002B0CF7"/>
    <w:rsid w:val="002D3887"/>
    <w:rsid w:val="00353578"/>
    <w:rsid w:val="003737B6"/>
    <w:rsid w:val="00381487"/>
    <w:rsid w:val="0039628B"/>
    <w:rsid w:val="004E5C69"/>
    <w:rsid w:val="00533197"/>
    <w:rsid w:val="005C4AC7"/>
    <w:rsid w:val="005D17F2"/>
    <w:rsid w:val="00602CB3"/>
    <w:rsid w:val="00673C08"/>
    <w:rsid w:val="00687D78"/>
    <w:rsid w:val="00695963"/>
    <w:rsid w:val="006D4BA9"/>
    <w:rsid w:val="00725FE8"/>
    <w:rsid w:val="007B51C0"/>
    <w:rsid w:val="007C641A"/>
    <w:rsid w:val="00817C93"/>
    <w:rsid w:val="008A6682"/>
    <w:rsid w:val="00954B1B"/>
    <w:rsid w:val="00956C04"/>
    <w:rsid w:val="00982CB1"/>
    <w:rsid w:val="009850F5"/>
    <w:rsid w:val="00A07F42"/>
    <w:rsid w:val="00A5033D"/>
    <w:rsid w:val="00A67713"/>
    <w:rsid w:val="00AC33E2"/>
    <w:rsid w:val="00BC6D7B"/>
    <w:rsid w:val="00C2151A"/>
    <w:rsid w:val="00CC3CE0"/>
    <w:rsid w:val="00D136DD"/>
    <w:rsid w:val="00DD090C"/>
    <w:rsid w:val="00DD61A1"/>
    <w:rsid w:val="00E0345B"/>
    <w:rsid w:val="00E97DE0"/>
    <w:rsid w:val="00EA4A17"/>
    <w:rsid w:val="00EF5789"/>
    <w:rsid w:val="00F91B8F"/>
    <w:rsid w:val="00FD72FF"/>
    <w:rsid w:val="00FE5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FE315"/>
  <w15:chartTrackingRefBased/>
  <w15:docId w15:val="{8A68D182-31B6-42B0-82D1-BAA7FDC22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4B4"/>
    <w:rPr>
      <w:rFonts w:eastAsiaTheme="majorEastAsia" w:cstheme="majorBidi"/>
      <w:color w:val="272727" w:themeColor="text1" w:themeTint="D8"/>
    </w:rPr>
  </w:style>
  <w:style w:type="paragraph" w:styleId="Title">
    <w:name w:val="Title"/>
    <w:basedOn w:val="Normal"/>
    <w:next w:val="Normal"/>
    <w:link w:val="TitleChar"/>
    <w:uiPriority w:val="10"/>
    <w:qFormat/>
    <w:rsid w:val="00092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4B4"/>
    <w:pPr>
      <w:spacing w:before="160"/>
      <w:jc w:val="center"/>
    </w:pPr>
    <w:rPr>
      <w:i/>
      <w:iCs/>
      <w:color w:val="404040" w:themeColor="text1" w:themeTint="BF"/>
    </w:rPr>
  </w:style>
  <w:style w:type="character" w:customStyle="1" w:styleId="QuoteChar">
    <w:name w:val="Quote Char"/>
    <w:basedOn w:val="DefaultParagraphFont"/>
    <w:link w:val="Quote"/>
    <w:uiPriority w:val="29"/>
    <w:rsid w:val="000924B4"/>
    <w:rPr>
      <w:i/>
      <w:iCs/>
      <w:color w:val="404040" w:themeColor="text1" w:themeTint="BF"/>
    </w:rPr>
  </w:style>
  <w:style w:type="paragraph" w:styleId="ListParagraph">
    <w:name w:val="List Paragraph"/>
    <w:basedOn w:val="Normal"/>
    <w:uiPriority w:val="34"/>
    <w:qFormat/>
    <w:rsid w:val="000924B4"/>
    <w:pPr>
      <w:ind w:left="720"/>
      <w:contextualSpacing/>
    </w:pPr>
  </w:style>
  <w:style w:type="character" w:styleId="IntenseEmphasis">
    <w:name w:val="Intense Emphasis"/>
    <w:basedOn w:val="DefaultParagraphFont"/>
    <w:uiPriority w:val="21"/>
    <w:qFormat/>
    <w:rsid w:val="000924B4"/>
    <w:rPr>
      <w:i/>
      <w:iCs/>
      <w:color w:val="0F4761" w:themeColor="accent1" w:themeShade="BF"/>
    </w:rPr>
  </w:style>
  <w:style w:type="paragraph" w:styleId="IntenseQuote">
    <w:name w:val="Intense Quote"/>
    <w:basedOn w:val="Normal"/>
    <w:next w:val="Normal"/>
    <w:link w:val="IntenseQuoteChar"/>
    <w:uiPriority w:val="30"/>
    <w:qFormat/>
    <w:rsid w:val="00092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4B4"/>
    <w:rPr>
      <w:i/>
      <w:iCs/>
      <w:color w:val="0F4761" w:themeColor="accent1" w:themeShade="BF"/>
    </w:rPr>
  </w:style>
  <w:style w:type="character" w:styleId="IntenseReference">
    <w:name w:val="Intense Reference"/>
    <w:basedOn w:val="DefaultParagraphFont"/>
    <w:uiPriority w:val="32"/>
    <w:qFormat/>
    <w:rsid w:val="000924B4"/>
    <w:rPr>
      <w:b/>
      <w:bCs/>
      <w:smallCaps/>
      <w:color w:val="0F4761" w:themeColor="accent1" w:themeShade="BF"/>
      <w:spacing w:val="5"/>
    </w:rPr>
  </w:style>
  <w:style w:type="paragraph" w:styleId="NormalWeb">
    <w:name w:val="Normal (Web)"/>
    <w:basedOn w:val="Normal"/>
    <w:uiPriority w:val="99"/>
    <w:semiHidden/>
    <w:unhideWhenUsed/>
    <w:rsid w:val="003814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81487"/>
    <w:rPr>
      <w:b/>
      <w:bCs/>
    </w:rPr>
  </w:style>
  <w:style w:type="character" w:styleId="Hyperlink">
    <w:name w:val="Hyperlink"/>
    <w:basedOn w:val="DefaultParagraphFont"/>
    <w:uiPriority w:val="99"/>
    <w:unhideWhenUsed/>
    <w:rsid w:val="000F6900"/>
    <w:rPr>
      <w:color w:val="467886" w:themeColor="hyperlink"/>
      <w:u w:val="single"/>
    </w:rPr>
  </w:style>
  <w:style w:type="character" w:styleId="UnresolvedMention">
    <w:name w:val="Unresolved Mention"/>
    <w:basedOn w:val="DefaultParagraphFont"/>
    <w:uiPriority w:val="99"/>
    <w:semiHidden/>
    <w:unhideWhenUsed/>
    <w:rsid w:val="000F69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14754" TargetMode="External"/><Relationship Id="rId13" Type="http://schemas.openxmlformats.org/officeDocument/2006/relationships/hyperlink" Target="https://doi.org/10.2147/DMSO.S363762" TargetMode="External"/><Relationship Id="rId3" Type="http://schemas.openxmlformats.org/officeDocument/2006/relationships/customXml" Target="../customXml/item3.xml"/><Relationship Id="rId7" Type="http://schemas.openxmlformats.org/officeDocument/2006/relationships/hyperlink" Target="https://doi.org/10.1210/jc.2002-020696" TargetMode="External"/><Relationship Id="rId12" Type="http://schemas.openxmlformats.org/officeDocument/2006/relationships/hyperlink" Target="https://doi.org/10.1111/j.1748-1716.2007.01783.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00125-021-05628-8"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1007/s00125-025-06402-w" TargetMode="External"/><Relationship Id="rId4" Type="http://schemas.openxmlformats.org/officeDocument/2006/relationships/styles" Target="styles.xml"/><Relationship Id="rId9" Type="http://schemas.openxmlformats.org/officeDocument/2006/relationships/hyperlink" Target="https://doi.org/10.1177/1742395310382798" TargetMode="External"/><Relationship Id="rId14" Type="http://schemas.openxmlformats.org/officeDocument/2006/relationships/hyperlink" Target="https://doi.org/10.1016/j.freeradbiomed.2013.09.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2e223c4eb11e0b4c22a6785dc34706c">
  <xsd:schema xmlns:xsd="http://www.w3.org/2001/XMLSchema" xmlns:xs="http://www.w3.org/2001/XMLSchema" xmlns:p="http://schemas.microsoft.com/office/2006/metadata/properties" xmlns:ns3="ccfc14db-0f45-423b-b2f5-752f8f8a0ada" targetNamespace="http://schemas.microsoft.com/office/2006/metadata/properties" ma:root="true" ma:fieldsID="b2f312e64cc1afa99473b2c1bc3a418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891F02-5270-4425-B69D-67F8B9D47003}">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BB451430-5077-4E05-8161-4A829B39DD05}">
  <ds:schemaRefs>
    <ds:schemaRef ds:uri="http://schemas.microsoft.com/sharepoint/v3/contenttype/forms"/>
  </ds:schemaRefs>
</ds:datastoreItem>
</file>

<file path=customXml/itemProps3.xml><?xml version="1.0" encoding="utf-8"?>
<ds:datastoreItem xmlns:ds="http://schemas.openxmlformats.org/officeDocument/2006/customXml" ds:itemID="{F95AA9E0-2466-4F1F-8514-9DFE5E2557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2430</Words>
  <Characters>13855</Characters>
  <Application>Microsoft Office Word</Application>
  <DocSecurity>0</DocSecurity>
  <Lines>115</Lines>
  <Paragraphs>32</Paragraphs>
  <ScaleCrop>false</ScaleCrop>
  <Company/>
  <LinksUpToDate>false</LinksUpToDate>
  <CharactersWithSpaces>16253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Amankonah (2426673)</dc:creator>
  <cp:keywords/>
  <dc:description/>
  <cp:lastModifiedBy>Portia Amankonah</cp:lastModifiedBy>
  <cp:revision>2</cp:revision>
  <dcterms:created xsi:type="dcterms:W3CDTF">2026-02-28T00:31:00Z</dcterms:created>
  <dcterms:modified xsi:type="dcterms:W3CDTF">2026-02-28T00:31:00Z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3cc37ad4-ba59-4be8-a807-e4fffdc62f81</vt:lpwstr>
  </property>
  <property fmtid="{D5CDD505-2E9C-101B-9397-08002B2CF9AE}" pid="3" name="ContentTypeId">
    <vt:lpwstr>0x0101007810DDF4EC27A54C9626255B384F637A</vt:lpwstr>
  </property>
</Properties>
</file>