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9BDEA" w14:textId="19ADD3B7" w:rsidR="00876746" w:rsidRPr="0079684D" w:rsidRDefault="00876746" w:rsidP="009D7C5D">
      <w:pPr>
        <w:spacing w:afterLines="240" w:after="576" w:line="360" w:lineRule="auto"/>
        <w:rPr>
          <w:rFonts w:asciiTheme="minorHAnsi" w:hAnsiTheme="minorHAnsi" w:cstheme="minorHAnsi"/>
          <w:sz w:val="28"/>
          <w:szCs w:val="28"/>
        </w:rPr>
      </w:pPr>
      <w:r w:rsidRPr="0079684D">
        <w:rPr>
          <w:rFonts w:asciiTheme="minorHAnsi" w:hAnsiTheme="minorHAnsi" w:cstheme="minorHAnsi"/>
          <w:sz w:val="28"/>
          <w:szCs w:val="28"/>
        </w:rPr>
        <w:t>HPAH7014 - Object Analysis</w:t>
      </w:r>
    </w:p>
    <w:p w14:paraId="57444306" w14:textId="0978C135" w:rsidR="00876746" w:rsidRPr="0079684D" w:rsidRDefault="00876746" w:rsidP="009D7C5D">
      <w:pPr>
        <w:pStyle w:val="FootnoteText"/>
        <w:spacing w:afterLines="240" w:after="576" w:line="360" w:lineRule="auto"/>
        <w:rPr>
          <w:rFonts w:asciiTheme="minorHAnsi" w:hAnsiTheme="minorHAnsi" w:cstheme="minorHAnsi"/>
          <w:sz w:val="32"/>
          <w:szCs w:val="32"/>
        </w:rPr>
      </w:pPr>
      <w:r w:rsidRPr="0079684D">
        <w:rPr>
          <w:rFonts w:asciiTheme="minorHAnsi" w:hAnsiTheme="minorHAnsi" w:cstheme="minorHAnsi"/>
          <w:sz w:val="32"/>
          <w:szCs w:val="32"/>
        </w:rPr>
        <w:t>Potnia Pomos (The Lady of Pomos)</w:t>
      </w:r>
    </w:p>
    <w:p w14:paraId="6616F8E9" w14:textId="0D4D83B8" w:rsidR="000D0B15" w:rsidRPr="009D7C5D" w:rsidRDefault="0079684D"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noProof/>
          <w:sz w:val="24"/>
          <w:szCs w:val="24"/>
        </w:rPr>
        <w:drawing>
          <wp:anchor distT="0" distB="0" distL="114300" distR="114300" simplePos="0" relativeHeight="251659264" behindDoc="0" locked="0" layoutInCell="1" allowOverlap="1" wp14:anchorId="5B8A37A2" wp14:editId="6E86FFF8">
            <wp:simplePos x="0" y="0"/>
            <wp:positionH relativeFrom="margin">
              <wp:posOffset>-6806</wp:posOffset>
            </wp:positionH>
            <wp:positionV relativeFrom="paragraph">
              <wp:posOffset>1126410</wp:posOffset>
            </wp:positionV>
            <wp:extent cx="2395220" cy="3296920"/>
            <wp:effectExtent l="0" t="0" r="5080" b="0"/>
            <wp:wrapSquare wrapText="bothSides"/>
            <wp:docPr id="1147019326" name="Picture 1" descr="A close-up of a stat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19326" name="Picture 1" descr="A close-up of a statu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5220" cy="3296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6746" w:rsidRPr="009D7C5D">
        <w:rPr>
          <w:rFonts w:asciiTheme="minorHAnsi" w:hAnsiTheme="minorHAnsi" w:cstheme="minorHAnsi"/>
          <w:sz w:val="24"/>
          <w:szCs w:val="24"/>
        </w:rPr>
        <w:t>This object is arguably the single best-known, most ‘iconic’ archaeological object from Cyprus</w:t>
      </w:r>
      <w:r w:rsidR="00A02077" w:rsidRPr="009D7C5D">
        <w:rPr>
          <w:rFonts w:asciiTheme="minorHAnsi" w:hAnsiTheme="minorHAnsi" w:cstheme="minorHAnsi"/>
          <w:sz w:val="24"/>
          <w:szCs w:val="24"/>
        </w:rPr>
        <w:t xml:space="preserve">, </w:t>
      </w:r>
      <w:r w:rsidR="00536DB2" w:rsidRPr="009D7C5D">
        <w:rPr>
          <w:rFonts w:asciiTheme="minorHAnsi" w:hAnsiTheme="minorHAnsi" w:cstheme="minorHAnsi"/>
          <w:sz w:val="24"/>
          <w:szCs w:val="24"/>
        </w:rPr>
        <w:t>referred to as ‘She’ rather than ‘it’ in this essay.</w:t>
      </w:r>
      <w:r w:rsidR="00876746" w:rsidRPr="009D7C5D">
        <w:rPr>
          <w:rFonts w:asciiTheme="minorHAnsi" w:hAnsiTheme="minorHAnsi" w:cstheme="minorHAnsi"/>
          <w:sz w:val="24"/>
          <w:szCs w:val="24"/>
        </w:rPr>
        <w:t xml:space="preserve"> </w:t>
      </w:r>
      <w:r w:rsidR="00536DB2" w:rsidRPr="009D7C5D">
        <w:rPr>
          <w:rFonts w:asciiTheme="minorHAnsi" w:hAnsiTheme="minorHAnsi" w:cstheme="minorHAnsi"/>
          <w:sz w:val="24"/>
          <w:szCs w:val="24"/>
        </w:rPr>
        <w:t>When Cyprus joined the European Union</w:t>
      </w:r>
      <w:r w:rsidR="00B91E04" w:rsidRPr="009D7C5D">
        <w:rPr>
          <w:rFonts w:asciiTheme="minorHAnsi" w:hAnsiTheme="minorHAnsi" w:cstheme="minorHAnsi"/>
          <w:sz w:val="24"/>
          <w:szCs w:val="24"/>
        </w:rPr>
        <w:t xml:space="preserve">, adopting the Euro in 2008, </w:t>
      </w:r>
      <w:r w:rsidR="00536DB2" w:rsidRPr="009D7C5D">
        <w:rPr>
          <w:rFonts w:asciiTheme="minorHAnsi" w:hAnsiTheme="minorHAnsi" w:cstheme="minorHAnsi"/>
          <w:sz w:val="24"/>
          <w:szCs w:val="24"/>
        </w:rPr>
        <w:t>new coin</w:t>
      </w:r>
      <w:r w:rsidR="00475593">
        <w:rPr>
          <w:rFonts w:asciiTheme="minorHAnsi" w:hAnsiTheme="minorHAnsi" w:cstheme="minorHAnsi"/>
          <w:sz w:val="24"/>
          <w:szCs w:val="24"/>
        </w:rPr>
        <w:t xml:space="preserve">s </w:t>
      </w:r>
      <w:r w:rsidR="00536DB2" w:rsidRPr="009D7C5D">
        <w:rPr>
          <w:rFonts w:asciiTheme="minorHAnsi" w:hAnsiTheme="minorHAnsi" w:cstheme="minorHAnsi"/>
          <w:sz w:val="24"/>
          <w:szCs w:val="24"/>
        </w:rPr>
        <w:t xml:space="preserve">for 1-euro and 2-euros </w:t>
      </w:r>
      <w:r w:rsidR="00B91E04" w:rsidRPr="009D7C5D">
        <w:rPr>
          <w:rFonts w:asciiTheme="minorHAnsi" w:hAnsiTheme="minorHAnsi" w:cstheme="minorHAnsi"/>
          <w:sz w:val="24"/>
          <w:szCs w:val="24"/>
        </w:rPr>
        <w:t xml:space="preserve">denominations </w:t>
      </w:r>
      <w:r w:rsidR="001D6E6A" w:rsidRPr="009D7C5D">
        <w:rPr>
          <w:rFonts w:asciiTheme="minorHAnsi" w:hAnsiTheme="minorHAnsi" w:cstheme="minorHAnsi"/>
          <w:sz w:val="24"/>
          <w:szCs w:val="24"/>
        </w:rPr>
        <w:t>w</w:t>
      </w:r>
      <w:r w:rsidR="00475593">
        <w:rPr>
          <w:rFonts w:asciiTheme="minorHAnsi" w:hAnsiTheme="minorHAnsi" w:cstheme="minorHAnsi"/>
          <w:sz w:val="24"/>
          <w:szCs w:val="24"/>
        </w:rPr>
        <w:t>ere</w:t>
      </w:r>
      <w:r w:rsidR="001D6E6A" w:rsidRPr="009D7C5D">
        <w:rPr>
          <w:rFonts w:asciiTheme="minorHAnsi" w:hAnsiTheme="minorHAnsi" w:cstheme="minorHAnsi"/>
          <w:sz w:val="24"/>
          <w:szCs w:val="24"/>
        </w:rPr>
        <w:t xml:space="preserve"> issued, </w:t>
      </w:r>
      <w:r w:rsidR="00536DB2" w:rsidRPr="009D7C5D">
        <w:rPr>
          <w:rFonts w:asciiTheme="minorHAnsi" w:hAnsiTheme="minorHAnsi" w:cstheme="minorHAnsi"/>
          <w:sz w:val="24"/>
          <w:szCs w:val="24"/>
        </w:rPr>
        <w:t>show</w:t>
      </w:r>
      <w:r w:rsidR="001D6E6A" w:rsidRPr="009D7C5D">
        <w:rPr>
          <w:rFonts w:asciiTheme="minorHAnsi" w:hAnsiTheme="minorHAnsi" w:cstheme="minorHAnsi"/>
          <w:sz w:val="24"/>
          <w:szCs w:val="24"/>
        </w:rPr>
        <w:t>ing</w:t>
      </w:r>
      <w:r w:rsidR="00536DB2" w:rsidRPr="009D7C5D">
        <w:rPr>
          <w:rFonts w:asciiTheme="minorHAnsi" w:hAnsiTheme="minorHAnsi" w:cstheme="minorHAnsi"/>
          <w:sz w:val="24"/>
          <w:szCs w:val="24"/>
        </w:rPr>
        <w:t xml:space="preserve"> Her on their obverse</w:t>
      </w:r>
      <w:r w:rsidR="00F8777A" w:rsidRPr="009D7C5D">
        <w:rPr>
          <w:rFonts w:asciiTheme="minorHAnsi" w:hAnsiTheme="minorHAnsi" w:cstheme="minorHAnsi"/>
          <w:sz w:val="24"/>
          <w:szCs w:val="24"/>
        </w:rPr>
        <w:t xml:space="preserve">: </w:t>
      </w:r>
      <w:r w:rsidR="00866F6E" w:rsidRPr="009D7C5D">
        <w:rPr>
          <w:rFonts w:asciiTheme="minorHAnsi" w:hAnsiTheme="minorHAnsi" w:cstheme="minorHAnsi"/>
          <w:sz w:val="24"/>
          <w:szCs w:val="24"/>
        </w:rPr>
        <w:t xml:space="preserve">Her image </w:t>
      </w:r>
      <w:r w:rsidR="00F8777A" w:rsidRPr="009D7C5D">
        <w:rPr>
          <w:rFonts w:asciiTheme="minorHAnsi" w:hAnsiTheme="minorHAnsi" w:cstheme="minorHAnsi"/>
          <w:sz w:val="24"/>
          <w:szCs w:val="24"/>
        </w:rPr>
        <w:t>may thus be described as ubiquitous</w:t>
      </w:r>
      <w:r w:rsidR="00536DB2" w:rsidRPr="009D7C5D">
        <w:rPr>
          <w:rFonts w:asciiTheme="minorHAnsi" w:hAnsiTheme="minorHAnsi" w:cstheme="minorHAnsi"/>
          <w:sz w:val="24"/>
          <w:szCs w:val="24"/>
        </w:rPr>
        <w:t xml:space="preserve">. </w:t>
      </w:r>
    </w:p>
    <w:p w14:paraId="4CEF146C" w14:textId="317269B1" w:rsidR="0051033B" w:rsidRPr="009D7C5D" w:rsidRDefault="0051033B"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i/>
          <w:iCs/>
          <w:sz w:val="24"/>
          <w:szCs w:val="24"/>
        </w:rPr>
        <w:br/>
        <w:t>Potnia Pomos</w:t>
      </w:r>
      <w:r w:rsidRPr="009D7C5D">
        <w:rPr>
          <w:rStyle w:val="FootnoteReference"/>
          <w:rFonts w:asciiTheme="minorHAnsi" w:hAnsiTheme="minorHAnsi" w:cstheme="minorHAnsi"/>
          <w:sz w:val="24"/>
          <w:szCs w:val="24"/>
        </w:rPr>
        <w:footnoteReference w:id="1"/>
      </w:r>
    </w:p>
    <w:p w14:paraId="0AEF5758" w14:textId="77777777" w:rsidR="0051033B" w:rsidRPr="009D7C5D" w:rsidRDefault="0051033B" w:rsidP="009814AF">
      <w:pPr>
        <w:pStyle w:val="FootnoteText"/>
        <w:spacing w:after="240" w:line="360" w:lineRule="auto"/>
        <w:rPr>
          <w:rFonts w:asciiTheme="minorHAnsi" w:hAnsiTheme="minorHAnsi" w:cstheme="minorHAnsi"/>
          <w:sz w:val="24"/>
          <w:szCs w:val="24"/>
        </w:rPr>
      </w:pPr>
    </w:p>
    <w:p w14:paraId="1AF671DC" w14:textId="77777777" w:rsidR="0051033B" w:rsidRPr="009D7C5D" w:rsidRDefault="0051033B" w:rsidP="009814AF">
      <w:pPr>
        <w:pStyle w:val="FootnoteText"/>
        <w:spacing w:after="240" w:line="360" w:lineRule="auto"/>
        <w:rPr>
          <w:rFonts w:asciiTheme="minorHAnsi" w:hAnsiTheme="minorHAnsi" w:cstheme="minorHAnsi"/>
          <w:sz w:val="24"/>
          <w:szCs w:val="24"/>
        </w:rPr>
      </w:pPr>
    </w:p>
    <w:p w14:paraId="7B7AC2CF" w14:textId="77777777" w:rsidR="0051033B" w:rsidRPr="009D7C5D" w:rsidRDefault="0051033B" w:rsidP="009814AF">
      <w:pPr>
        <w:pStyle w:val="FootnoteText"/>
        <w:spacing w:after="240" w:line="360" w:lineRule="auto"/>
        <w:rPr>
          <w:rFonts w:asciiTheme="minorHAnsi" w:hAnsiTheme="minorHAnsi" w:cstheme="minorHAnsi"/>
          <w:sz w:val="24"/>
          <w:szCs w:val="24"/>
        </w:rPr>
      </w:pPr>
    </w:p>
    <w:p w14:paraId="2F9080C0" w14:textId="77777777" w:rsidR="0051033B" w:rsidRDefault="0051033B" w:rsidP="009814AF">
      <w:pPr>
        <w:pStyle w:val="FootnoteText"/>
        <w:spacing w:after="240" w:line="360" w:lineRule="auto"/>
        <w:rPr>
          <w:rFonts w:asciiTheme="minorHAnsi" w:hAnsiTheme="minorHAnsi" w:cstheme="minorHAnsi"/>
          <w:sz w:val="24"/>
          <w:szCs w:val="24"/>
        </w:rPr>
      </w:pPr>
    </w:p>
    <w:p w14:paraId="7051CF13" w14:textId="77777777" w:rsidR="009814AF" w:rsidRPr="009D7C5D" w:rsidRDefault="009814AF" w:rsidP="009814AF">
      <w:pPr>
        <w:pStyle w:val="FootnoteText"/>
        <w:spacing w:after="240" w:line="360" w:lineRule="auto"/>
        <w:rPr>
          <w:rFonts w:asciiTheme="minorHAnsi" w:hAnsiTheme="minorHAnsi" w:cstheme="minorHAnsi"/>
          <w:sz w:val="24"/>
          <w:szCs w:val="24"/>
        </w:rPr>
      </w:pPr>
    </w:p>
    <w:p w14:paraId="3368AF72" w14:textId="01B538E3" w:rsidR="00866F6E" w:rsidRPr="009D7C5D" w:rsidRDefault="000D0B15"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sz w:val="24"/>
          <w:szCs w:val="24"/>
        </w:rPr>
        <w:t xml:space="preserve">She is depicted on the cover of at least two academic works, including Steel’s </w:t>
      </w:r>
      <w:r w:rsidRPr="009D7C5D">
        <w:rPr>
          <w:rFonts w:asciiTheme="minorHAnsi" w:hAnsiTheme="minorHAnsi" w:cstheme="minorHAnsi"/>
          <w:i/>
          <w:iCs/>
          <w:sz w:val="24"/>
          <w:szCs w:val="24"/>
        </w:rPr>
        <w:t>Cyprus before history</w:t>
      </w:r>
      <w:r w:rsidRPr="009D7C5D">
        <w:rPr>
          <w:rStyle w:val="FootnoteReference"/>
          <w:rFonts w:asciiTheme="minorHAnsi" w:hAnsiTheme="minorHAnsi" w:cstheme="minorHAnsi"/>
          <w:sz w:val="24"/>
          <w:szCs w:val="24"/>
        </w:rPr>
        <w:footnoteReference w:id="2"/>
      </w:r>
      <w:r w:rsidRPr="009D7C5D">
        <w:rPr>
          <w:rFonts w:asciiTheme="minorHAnsi" w:hAnsiTheme="minorHAnsi" w:cstheme="minorHAnsi"/>
          <w:sz w:val="24"/>
          <w:szCs w:val="24"/>
        </w:rPr>
        <w:t xml:space="preserve"> and a collection edited by Mina et.al.</w:t>
      </w:r>
      <w:r w:rsidRPr="009D7C5D">
        <w:rPr>
          <w:rStyle w:val="FootnoteReference"/>
          <w:rFonts w:asciiTheme="minorHAnsi" w:hAnsiTheme="minorHAnsi" w:cstheme="minorHAnsi"/>
          <w:sz w:val="24"/>
          <w:szCs w:val="24"/>
        </w:rPr>
        <w:footnoteReference w:id="3"/>
      </w:r>
      <w:r w:rsidRPr="009D7C5D">
        <w:rPr>
          <w:rFonts w:asciiTheme="minorHAnsi" w:hAnsiTheme="minorHAnsi" w:cstheme="minorHAnsi"/>
          <w:sz w:val="24"/>
          <w:szCs w:val="24"/>
        </w:rPr>
        <w:t xml:space="preserve"> Replicas are exhibited in various regional museums and cultural centres: countless smaller versions, </w:t>
      </w:r>
      <w:r w:rsidR="00A02077" w:rsidRPr="009D7C5D">
        <w:rPr>
          <w:rFonts w:asciiTheme="minorHAnsi" w:hAnsiTheme="minorHAnsi" w:cstheme="minorHAnsi"/>
          <w:sz w:val="24"/>
          <w:szCs w:val="24"/>
        </w:rPr>
        <w:t xml:space="preserve">often made as jewellery, </w:t>
      </w:r>
      <w:r w:rsidRPr="009D7C5D">
        <w:rPr>
          <w:rFonts w:asciiTheme="minorHAnsi" w:hAnsiTheme="minorHAnsi" w:cstheme="minorHAnsi"/>
          <w:sz w:val="24"/>
          <w:szCs w:val="24"/>
        </w:rPr>
        <w:t>of varying accuracy, are for sale in every souvenir shop.</w:t>
      </w:r>
      <w:r w:rsidRPr="009D7C5D">
        <w:rPr>
          <w:rStyle w:val="FootnoteReference"/>
          <w:rFonts w:asciiTheme="minorHAnsi" w:hAnsiTheme="minorHAnsi" w:cstheme="minorHAnsi"/>
          <w:sz w:val="24"/>
          <w:szCs w:val="24"/>
        </w:rPr>
        <w:footnoteReference w:id="4"/>
      </w:r>
      <w:r w:rsidRPr="009D7C5D">
        <w:rPr>
          <w:rFonts w:asciiTheme="minorHAnsi" w:hAnsiTheme="minorHAnsi" w:cstheme="minorHAnsi"/>
          <w:sz w:val="24"/>
          <w:szCs w:val="24"/>
        </w:rPr>
        <w:t xml:space="preserve"> The village of Pomos even has </w:t>
      </w:r>
      <w:r w:rsidR="00335D59" w:rsidRPr="009D7C5D">
        <w:rPr>
          <w:rFonts w:asciiTheme="minorHAnsi" w:hAnsiTheme="minorHAnsi" w:cstheme="minorHAnsi"/>
          <w:sz w:val="24"/>
          <w:szCs w:val="24"/>
        </w:rPr>
        <w:t>H</w:t>
      </w:r>
      <w:r w:rsidRPr="009D7C5D">
        <w:rPr>
          <w:rFonts w:asciiTheme="minorHAnsi" w:hAnsiTheme="minorHAnsi" w:cstheme="minorHAnsi"/>
          <w:sz w:val="24"/>
          <w:szCs w:val="24"/>
        </w:rPr>
        <w:t xml:space="preserve">er </w:t>
      </w:r>
      <w:r w:rsidR="00034E17">
        <w:rPr>
          <w:rFonts w:asciiTheme="minorHAnsi" w:hAnsiTheme="minorHAnsi" w:cstheme="minorHAnsi"/>
          <w:sz w:val="24"/>
          <w:szCs w:val="24"/>
        </w:rPr>
        <w:lastRenderedPageBreak/>
        <w:t xml:space="preserve">statue </w:t>
      </w:r>
      <w:r w:rsidRPr="009D7C5D">
        <w:rPr>
          <w:rFonts w:asciiTheme="minorHAnsi" w:hAnsiTheme="minorHAnsi" w:cstheme="minorHAnsi"/>
          <w:sz w:val="24"/>
          <w:szCs w:val="24"/>
        </w:rPr>
        <w:t xml:space="preserve">on </w:t>
      </w:r>
      <w:r w:rsidR="00475593">
        <w:rPr>
          <w:rFonts w:asciiTheme="minorHAnsi" w:hAnsiTheme="minorHAnsi" w:cstheme="minorHAnsi"/>
          <w:sz w:val="24"/>
          <w:szCs w:val="24"/>
        </w:rPr>
        <w:t>its</w:t>
      </w:r>
      <w:r w:rsidRPr="009D7C5D">
        <w:rPr>
          <w:rFonts w:asciiTheme="minorHAnsi" w:hAnsiTheme="minorHAnsi" w:cstheme="minorHAnsi"/>
          <w:sz w:val="24"/>
          <w:szCs w:val="24"/>
        </w:rPr>
        <w:t xml:space="preserve"> ‘welcome’.</w:t>
      </w:r>
      <w:r w:rsidRPr="009D7C5D">
        <w:rPr>
          <w:rStyle w:val="FootnoteReference"/>
          <w:rFonts w:asciiTheme="minorHAnsi" w:hAnsiTheme="minorHAnsi" w:cstheme="minorHAnsi"/>
          <w:sz w:val="24"/>
          <w:szCs w:val="24"/>
        </w:rPr>
        <w:footnoteReference w:id="5"/>
      </w:r>
      <w:r w:rsidR="00866F6E" w:rsidRPr="009D7C5D">
        <w:rPr>
          <w:rFonts w:asciiTheme="minorHAnsi" w:hAnsiTheme="minorHAnsi" w:cstheme="minorHAnsi"/>
          <w:sz w:val="24"/>
          <w:szCs w:val="24"/>
        </w:rPr>
        <w:t xml:space="preserve"> She is believed to be located currently in the Chalcolithic gallery of the Cyprus Museum in Lefkosia.</w:t>
      </w:r>
      <w:r w:rsidR="00866F6E" w:rsidRPr="009D7C5D">
        <w:rPr>
          <w:rStyle w:val="FootnoteReference"/>
          <w:rFonts w:asciiTheme="minorHAnsi" w:hAnsiTheme="minorHAnsi" w:cstheme="minorHAnsi"/>
          <w:sz w:val="24"/>
          <w:szCs w:val="24"/>
        </w:rPr>
        <w:footnoteReference w:id="6"/>
      </w:r>
      <w:r w:rsidR="00866F6E" w:rsidRPr="009D7C5D">
        <w:rPr>
          <w:rFonts w:asciiTheme="minorHAnsi" w:hAnsiTheme="minorHAnsi" w:cstheme="minorHAnsi"/>
          <w:sz w:val="24"/>
          <w:szCs w:val="24"/>
        </w:rPr>
        <w:t xml:space="preserve"> </w:t>
      </w:r>
      <w:r w:rsidR="00CB3230">
        <w:rPr>
          <w:rFonts w:asciiTheme="minorHAnsi" w:hAnsiTheme="minorHAnsi" w:cstheme="minorHAnsi"/>
          <w:sz w:val="24"/>
          <w:szCs w:val="24"/>
        </w:rPr>
        <w:t>Assignment to th</w:t>
      </w:r>
      <w:r w:rsidR="00326D27">
        <w:rPr>
          <w:rFonts w:asciiTheme="minorHAnsi" w:hAnsiTheme="minorHAnsi" w:cstheme="minorHAnsi"/>
          <w:sz w:val="24"/>
          <w:szCs w:val="24"/>
        </w:rPr>
        <w:t>at</w:t>
      </w:r>
      <w:r w:rsidR="00CB3230">
        <w:rPr>
          <w:rFonts w:asciiTheme="minorHAnsi" w:hAnsiTheme="minorHAnsi" w:cstheme="minorHAnsi"/>
          <w:sz w:val="24"/>
          <w:szCs w:val="24"/>
        </w:rPr>
        <w:t xml:space="preserve"> period, </w:t>
      </w:r>
      <w:r w:rsidR="00654BB8">
        <w:rPr>
          <w:rFonts w:asciiTheme="minorHAnsi" w:hAnsiTheme="minorHAnsi" w:cstheme="minorHAnsi"/>
          <w:sz w:val="24"/>
          <w:szCs w:val="24"/>
        </w:rPr>
        <w:t>c</w:t>
      </w:r>
      <w:r w:rsidR="00CB3230">
        <w:rPr>
          <w:rFonts w:asciiTheme="minorHAnsi" w:hAnsiTheme="minorHAnsi" w:cstheme="minorHAnsi"/>
          <w:sz w:val="24"/>
          <w:szCs w:val="24"/>
        </w:rPr>
        <w:t xml:space="preserve">. 3000 BCE, is undoubted: </w:t>
      </w:r>
      <w:r w:rsidR="00260909" w:rsidRPr="009D7C5D">
        <w:rPr>
          <w:rFonts w:asciiTheme="minorHAnsi" w:hAnsiTheme="minorHAnsi" w:cstheme="minorHAnsi"/>
          <w:sz w:val="24"/>
          <w:szCs w:val="24"/>
        </w:rPr>
        <w:t>Düring</w:t>
      </w:r>
      <w:r w:rsidR="00260909">
        <w:rPr>
          <w:rFonts w:asciiTheme="minorHAnsi" w:hAnsiTheme="minorHAnsi" w:cstheme="minorHAnsi"/>
          <w:sz w:val="24"/>
          <w:szCs w:val="24"/>
        </w:rPr>
        <w:t xml:space="preserve"> argues for “emergence of complex societies” in Cyprus from about five hundred years earlier.</w:t>
      </w:r>
      <w:r w:rsidR="00260909">
        <w:rPr>
          <w:rStyle w:val="FootnoteReference"/>
          <w:rFonts w:asciiTheme="minorHAnsi" w:hAnsiTheme="minorHAnsi" w:cstheme="minorHAnsi"/>
          <w:sz w:val="24"/>
          <w:szCs w:val="24"/>
        </w:rPr>
        <w:footnoteReference w:id="7"/>
      </w:r>
      <w:r w:rsidR="00260909">
        <w:rPr>
          <w:rFonts w:asciiTheme="minorHAnsi" w:hAnsiTheme="minorHAnsi" w:cstheme="minorHAnsi"/>
          <w:sz w:val="24"/>
          <w:szCs w:val="24"/>
        </w:rPr>
        <w:t xml:space="preserve"> </w:t>
      </w:r>
      <w:r w:rsidR="00CB3230">
        <w:rPr>
          <w:rFonts w:asciiTheme="minorHAnsi" w:hAnsiTheme="minorHAnsi" w:cstheme="minorHAnsi"/>
          <w:sz w:val="24"/>
          <w:szCs w:val="24"/>
        </w:rPr>
        <w:t xml:space="preserve">Peltenburg describes </w:t>
      </w:r>
      <w:r w:rsidR="00475593">
        <w:rPr>
          <w:rFonts w:asciiTheme="minorHAnsi" w:hAnsiTheme="minorHAnsi" w:cstheme="minorHAnsi"/>
          <w:sz w:val="24"/>
          <w:szCs w:val="24"/>
        </w:rPr>
        <w:t>the Chalcolithic</w:t>
      </w:r>
      <w:r w:rsidR="00CB3230">
        <w:rPr>
          <w:rFonts w:asciiTheme="minorHAnsi" w:hAnsiTheme="minorHAnsi" w:cstheme="minorHAnsi"/>
          <w:sz w:val="24"/>
          <w:szCs w:val="24"/>
        </w:rPr>
        <w:t xml:space="preserve"> as the </w:t>
      </w:r>
      <w:r w:rsidR="005174D3">
        <w:rPr>
          <w:rFonts w:asciiTheme="minorHAnsi" w:hAnsiTheme="minorHAnsi" w:cstheme="minorHAnsi"/>
          <w:sz w:val="24"/>
          <w:szCs w:val="24"/>
        </w:rPr>
        <w:t>“</w:t>
      </w:r>
      <w:r w:rsidR="00CB3230">
        <w:rPr>
          <w:rFonts w:asciiTheme="minorHAnsi" w:hAnsiTheme="minorHAnsi" w:cstheme="minorHAnsi"/>
          <w:sz w:val="24"/>
          <w:szCs w:val="24"/>
        </w:rPr>
        <w:t>zenith of picrolite use”</w:t>
      </w:r>
      <w:r w:rsidR="00260909">
        <w:rPr>
          <w:rFonts w:asciiTheme="minorHAnsi" w:hAnsiTheme="minorHAnsi" w:cstheme="minorHAnsi"/>
          <w:sz w:val="24"/>
          <w:szCs w:val="24"/>
        </w:rPr>
        <w:t>,</w:t>
      </w:r>
      <w:r w:rsidR="00CB3230">
        <w:rPr>
          <w:rStyle w:val="FootnoteReference"/>
          <w:rFonts w:asciiTheme="minorHAnsi" w:hAnsiTheme="minorHAnsi" w:cstheme="minorHAnsi"/>
          <w:sz w:val="24"/>
          <w:szCs w:val="24"/>
        </w:rPr>
        <w:footnoteReference w:id="8"/>
      </w:r>
      <w:r w:rsidR="00475593">
        <w:rPr>
          <w:rFonts w:asciiTheme="minorHAnsi" w:hAnsiTheme="minorHAnsi" w:cstheme="minorHAnsi"/>
          <w:sz w:val="24"/>
          <w:szCs w:val="24"/>
        </w:rPr>
        <w:t xml:space="preserve"> </w:t>
      </w:r>
      <w:r w:rsidR="00260909">
        <w:rPr>
          <w:rFonts w:asciiTheme="minorHAnsi" w:hAnsiTheme="minorHAnsi" w:cstheme="minorHAnsi"/>
          <w:sz w:val="24"/>
          <w:szCs w:val="24"/>
        </w:rPr>
        <w:t>including the development of specific ‘exchange networks’ and that higher concentrations of picrolite are associated with ‘wealthier’ burials of the period.</w:t>
      </w:r>
      <w:r w:rsidR="00260909">
        <w:rPr>
          <w:rStyle w:val="FootnoteReference"/>
          <w:rFonts w:asciiTheme="minorHAnsi" w:hAnsiTheme="minorHAnsi" w:cstheme="minorHAnsi"/>
          <w:sz w:val="24"/>
          <w:szCs w:val="24"/>
        </w:rPr>
        <w:footnoteReference w:id="9"/>
      </w:r>
    </w:p>
    <w:p w14:paraId="572EDAF8" w14:textId="4430CEFB" w:rsidR="00A86858" w:rsidRPr="009D7C5D" w:rsidRDefault="00A86858"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sz w:val="24"/>
          <w:szCs w:val="24"/>
        </w:rPr>
        <w:t xml:space="preserve">The name </w:t>
      </w:r>
      <w:r w:rsidRPr="009D7C5D">
        <w:rPr>
          <w:rFonts w:asciiTheme="minorHAnsi" w:hAnsiTheme="minorHAnsi" w:cstheme="minorHAnsi"/>
          <w:i/>
          <w:iCs/>
          <w:sz w:val="24"/>
          <w:szCs w:val="24"/>
        </w:rPr>
        <w:t>Potnia Pomos</w:t>
      </w:r>
      <w:r w:rsidRPr="009D7C5D">
        <w:rPr>
          <w:rFonts w:asciiTheme="minorHAnsi" w:hAnsiTheme="minorHAnsi" w:cstheme="minorHAnsi"/>
          <w:sz w:val="24"/>
          <w:szCs w:val="24"/>
        </w:rPr>
        <w:t xml:space="preserve"> is used in this essay, but is not standard. She was originally known as ‘Lady of Yialia’</w:t>
      </w:r>
      <w:r w:rsidR="00F8777A" w:rsidRPr="009D7C5D">
        <w:rPr>
          <w:rFonts w:asciiTheme="minorHAnsi" w:hAnsiTheme="minorHAnsi" w:cstheme="minorHAnsi"/>
          <w:sz w:val="24"/>
          <w:szCs w:val="24"/>
        </w:rPr>
        <w:t xml:space="preserve">, </w:t>
      </w:r>
      <w:r w:rsidR="00C2361E" w:rsidRPr="009D7C5D">
        <w:rPr>
          <w:rFonts w:asciiTheme="minorHAnsi" w:hAnsiTheme="minorHAnsi" w:cstheme="minorHAnsi"/>
          <w:sz w:val="24"/>
          <w:szCs w:val="24"/>
        </w:rPr>
        <w:t xml:space="preserve">designated as </w:t>
      </w:r>
      <w:r w:rsidR="001D6E6A" w:rsidRPr="009D7C5D">
        <w:rPr>
          <w:rFonts w:asciiTheme="minorHAnsi" w:hAnsiTheme="minorHAnsi" w:cstheme="minorHAnsi"/>
          <w:sz w:val="24"/>
          <w:szCs w:val="24"/>
        </w:rPr>
        <w:t xml:space="preserve">such </w:t>
      </w:r>
      <w:r w:rsidR="008E5A07" w:rsidRPr="009D7C5D">
        <w:rPr>
          <w:rFonts w:asciiTheme="minorHAnsi" w:hAnsiTheme="minorHAnsi" w:cstheme="minorHAnsi"/>
          <w:sz w:val="24"/>
          <w:szCs w:val="24"/>
        </w:rPr>
        <w:t xml:space="preserve">by </w:t>
      </w:r>
      <w:r w:rsidR="00DD32EA" w:rsidRPr="009D7C5D">
        <w:rPr>
          <w:rFonts w:asciiTheme="minorHAnsi" w:hAnsiTheme="minorHAnsi" w:cstheme="minorHAnsi"/>
          <w:sz w:val="24"/>
          <w:szCs w:val="24"/>
        </w:rPr>
        <w:t>Vagnetti</w:t>
      </w:r>
      <w:r w:rsidR="008E5A07" w:rsidRPr="009D7C5D">
        <w:rPr>
          <w:rFonts w:asciiTheme="minorHAnsi" w:hAnsiTheme="minorHAnsi" w:cstheme="minorHAnsi"/>
          <w:sz w:val="24"/>
          <w:szCs w:val="24"/>
        </w:rPr>
        <w:t>,</w:t>
      </w:r>
      <w:r w:rsidR="008E5A07" w:rsidRPr="009D7C5D">
        <w:rPr>
          <w:rStyle w:val="FootnoteReference"/>
          <w:rFonts w:asciiTheme="minorHAnsi" w:hAnsiTheme="minorHAnsi" w:cstheme="minorHAnsi"/>
          <w:sz w:val="24"/>
          <w:szCs w:val="24"/>
        </w:rPr>
        <w:footnoteReference w:id="10"/>
      </w:r>
      <w:r w:rsidR="008E5A07" w:rsidRPr="009D7C5D">
        <w:rPr>
          <w:rFonts w:asciiTheme="minorHAnsi" w:hAnsiTheme="minorHAnsi" w:cstheme="minorHAnsi"/>
          <w:sz w:val="24"/>
          <w:szCs w:val="24"/>
        </w:rPr>
        <w:t xml:space="preserve"> and later by </w:t>
      </w:r>
      <w:r w:rsidR="00C2361E" w:rsidRPr="009D7C5D">
        <w:rPr>
          <w:rFonts w:asciiTheme="minorHAnsi" w:hAnsiTheme="minorHAnsi" w:cstheme="minorHAnsi"/>
          <w:sz w:val="24"/>
          <w:szCs w:val="24"/>
        </w:rPr>
        <w:t>Steel</w:t>
      </w:r>
      <w:r w:rsidR="00CB3230">
        <w:rPr>
          <w:rFonts w:asciiTheme="minorHAnsi" w:hAnsiTheme="minorHAnsi" w:cstheme="minorHAnsi"/>
          <w:sz w:val="24"/>
          <w:szCs w:val="24"/>
        </w:rPr>
        <w:t>:</w:t>
      </w:r>
      <w:r w:rsidR="00C2361E" w:rsidRPr="009D7C5D">
        <w:rPr>
          <w:rStyle w:val="FootnoteReference"/>
          <w:rFonts w:asciiTheme="minorHAnsi" w:hAnsiTheme="minorHAnsi" w:cstheme="minorHAnsi"/>
          <w:sz w:val="24"/>
          <w:szCs w:val="24"/>
        </w:rPr>
        <w:footnoteReference w:id="11"/>
      </w:r>
      <w:r w:rsidR="00CB3230">
        <w:rPr>
          <w:rFonts w:asciiTheme="minorHAnsi" w:hAnsiTheme="minorHAnsi" w:cstheme="minorHAnsi"/>
          <w:sz w:val="24"/>
          <w:szCs w:val="24"/>
        </w:rPr>
        <w:t xml:space="preserve"> but </w:t>
      </w:r>
      <w:r w:rsidR="000F31F4">
        <w:rPr>
          <w:rFonts w:asciiTheme="minorHAnsi" w:hAnsiTheme="minorHAnsi" w:cstheme="minorHAnsi"/>
          <w:sz w:val="24"/>
          <w:szCs w:val="24"/>
        </w:rPr>
        <w:t xml:space="preserve">has been </w:t>
      </w:r>
      <w:r w:rsidR="00CB3230" w:rsidRPr="009D7C5D">
        <w:rPr>
          <w:rFonts w:asciiTheme="minorHAnsi" w:hAnsiTheme="minorHAnsi" w:cstheme="minorHAnsi"/>
          <w:sz w:val="24"/>
          <w:szCs w:val="24"/>
        </w:rPr>
        <w:t xml:space="preserve">retitled </w:t>
      </w:r>
      <w:r w:rsidR="00CB3230">
        <w:rPr>
          <w:rFonts w:asciiTheme="minorHAnsi" w:hAnsiTheme="minorHAnsi" w:cstheme="minorHAnsi"/>
          <w:sz w:val="24"/>
          <w:szCs w:val="24"/>
        </w:rPr>
        <w:t>a</w:t>
      </w:r>
      <w:r w:rsidR="00CB3230" w:rsidRPr="009D7C5D">
        <w:rPr>
          <w:rFonts w:asciiTheme="minorHAnsi" w:hAnsiTheme="minorHAnsi" w:cstheme="minorHAnsi"/>
          <w:sz w:val="24"/>
          <w:szCs w:val="24"/>
        </w:rPr>
        <w:t>t some point in the last two decades or so</w:t>
      </w:r>
      <w:r w:rsidR="008C3C09">
        <w:rPr>
          <w:rFonts w:asciiTheme="minorHAnsi" w:hAnsiTheme="minorHAnsi" w:cstheme="minorHAnsi"/>
          <w:sz w:val="24"/>
          <w:szCs w:val="24"/>
        </w:rPr>
        <w:t xml:space="preserve"> as ‘Idol of Pomos’</w:t>
      </w:r>
      <w:r w:rsidR="00CB3230">
        <w:rPr>
          <w:rFonts w:asciiTheme="minorHAnsi" w:hAnsiTheme="minorHAnsi" w:cstheme="minorHAnsi"/>
          <w:sz w:val="24"/>
          <w:szCs w:val="24"/>
        </w:rPr>
        <w:t>.</w:t>
      </w:r>
      <w:r w:rsidR="00CB3230" w:rsidRPr="009D7C5D">
        <w:rPr>
          <w:rStyle w:val="FootnoteReference"/>
          <w:rFonts w:asciiTheme="minorHAnsi" w:hAnsiTheme="minorHAnsi" w:cstheme="minorHAnsi"/>
          <w:sz w:val="24"/>
          <w:szCs w:val="24"/>
        </w:rPr>
        <w:footnoteReference w:id="12"/>
      </w:r>
      <w:r w:rsidR="00CB3230" w:rsidRPr="009D7C5D">
        <w:rPr>
          <w:rFonts w:asciiTheme="minorHAnsi" w:hAnsiTheme="minorHAnsi" w:cstheme="minorHAnsi"/>
          <w:sz w:val="24"/>
          <w:szCs w:val="24"/>
        </w:rPr>
        <w:t xml:space="preserve"> </w:t>
      </w:r>
      <w:r w:rsidR="00A3479C" w:rsidRPr="009D7C5D">
        <w:rPr>
          <w:rFonts w:asciiTheme="minorHAnsi" w:hAnsiTheme="minorHAnsi" w:cstheme="minorHAnsi"/>
          <w:sz w:val="24"/>
          <w:szCs w:val="24"/>
        </w:rPr>
        <w:t xml:space="preserve">Her precise provenance is a little blurred: </w:t>
      </w:r>
      <w:r w:rsidR="00326D27">
        <w:rPr>
          <w:rFonts w:asciiTheme="minorHAnsi" w:hAnsiTheme="minorHAnsi" w:cstheme="minorHAnsi"/>
          <w:sz w:val="24"/>
          <w:szCs w:val="24"/>
        </w:rPr>
        <w:t xml:space="preserve">the report states that </w:t>
      </w:r>
      <w:r w:rsidR="00A3479C" w:rsidRPr="009D7C5D">
        <w:rPr>
          <w:rFonts w:asciiTheme="minorHAnsi" w:hAnsiTheme="minorHAnsi" w:cstheme="minorHAnsi"/>
          <w:sz w:val="24"/>
          <w:szCs w:val="24"/>
        </w:rPr>
        <w:t>She was found by a villager of Pomos, but at a site near Yialia, which, rather surprisingly, has never been excavated.</w:t>
      </w:r>
      <w:r w:rsidR="00F8777A" w:rsidRPr="009D7C5D">
        <w:rPr>
          <w:rStyle w:val="FootnoteReference"/>
          <w:rFonts w:asciiTheme="minorHAnsi" w:hAnsiTheme="minorHAnsi" w:cstheme="minorHAnsi"/>
          <w:sz w:val="24"/>
          <w:szCs w:val="24"/>
        </w:rPr>
        <w:footnoteReference w:id="13"/>
      </w:r>
      <w:r w:rsidR="00F8777A" w:rsidRPr="009D7C5D">
        <w:rPr>
          <w:rFonts w:asciiTheme="minorHAnsi" w:hAnsiTheme="minorHAnsi" w:cstheme="minorHAnsi"/>
          <w:sz w:val="24"/>
          <w:szCs w:val="24"/>
        </w:rPr>
        <w:t xml:space="preserve"> </w:t>
      </w:r>
      <w:r w:rsidR="00DD32EA" w:rsidRPr="009D7C5D">
        <w:rPr>
          <w:rFonts w:asciiTheme="minorHAnsi" w:hAnsiTheme="minorHAnsi" w:cstheme="minorHAnsi"/>
          <w:sz w:val="24"/>
          <w:szCs w:val="24"/>
        </w:rPr>
        <w:t xml:space="preserve">This writer </w:t>
      </w:r>
      <w:r w:rsidR="00DD32EA" w:rsidRPr="009D7C5D">
        <w:rPr>
          <w:rFonts w:asciiTheme="minorHAnsi" w:hAnsiTheme="minorHAnsi" w:cstheme="minorHAnsi"/>
          <w:sz w:val="24"/>
          <w:szCs w:val="24"/>
        </w:rPr>
        <w:lastRenderedPageBreak/>
        <w:t xml:space="preserve">considers the term ‘idol’ </w:t>
      </w:r>
      <w:r w:rsidR="003B1819">
        <w:rPr>
          <w:rFonts w:asciiTheme="minorHAnsi" w:hAnsiTheme="minorHAnsi" w:cstheme="minorHAnsi"/>
          <w:sz w:val="24"/>
          <w:szCs w:val="24"/>
        </w:rPr>
        <w:t xml:space="preserve">no less </w:t>
      </w:r>
      <w:r w:rsidR="00DD32EA" w:rsidRPr="009D7C5D">
        <w:rPr>
          <w:rFonts w:asciiTheme="minorHAnsi" w:hAnsiTheme="minorHAnsi" w:cstheme="minorHAnsi"/>
          <w:sz w:val="24"/>
          <w:szCs w:val="24"/>
        </w:rPr>
        <w:t xml:space="preserve">offensive </w:t>
      </w:r>
      <w:r w:rsidR="003B1819">
        <w:rPr>
          <w:rFonts w:asciiTheme="minorHAnsi" w:hAnsiTheme="minorHAnsi" w:cstheme="minorHAnsi"/>
          <w:sz w:val="24"/>
          <w:szCs w:val="24"/>
        </w:rPr>
        <w:t xml:space="preserve">than </w:t>
      </w:r>
      <w:r w:rsidR="00DD32EA" w:rsidRPr="009D7C5D">
        <w:rPr>
          <w:rFonts w:asciiTheme="minorHAnsi" w:hAnsiTheme="minorHAnsi" w:cstheme="minorHAnsi"/>
          <w:sz w:val="24"/>
          <w:szCs w:val="24"/>
        </w:rPr>
        <w:t xml:space="preserve">the use of </w:t>
      </w:r>
      <w:r w:rsidR="005174D3">
        <w:rPr>
          <w:rFonts w:asciiTheme="minorHAnsi" w:hAnsiTheme="minorHAnsi" w:cstheme="minorHAnsi"/>
          <w:sz w:val="24"/>
          <w:szCs w:val="24"/>
        </w:rPr>
        <w:t>‘</w:t>
      </w:r>
      <w:r w:rsidR="00DD32EA" w:rsidRPr="009D7C5D">
        <w:rPr>
          <w:rFonts w:asciiTheme="minorHAnsi" w:hAnsiTheme="minorHAnsi" w:cstheme="minorHAnsi"/>
          <w:sz w:val="24"/>
          <w:szCs w:val="24"/>
        </w:rPr>
        <w:t>n</w:t>
      </w:r>
      <w:r w:rsidR="000D0B15" w:rsidRPr="009D7C5D">
        <w:rPr>
          <w:rFonts w:asciiTheme="minorHAnsi" w:hAnsiTheme="minorHAnsi" w:cstheme="minorHAnsi"/>
          <w:sz w:val="24"/>
          <w:szCs w:val="24"/>
        </w:rPr>
        <w:noBreakHyphen/>
      </w:r>
      <w:r w:rsidR="00DD32EA" w:rsidRPr="009D7C5D">
        <w:rPr>
          <w:rFonts w:asciiTheme="minorHAnsi" w:hAnsiTheme="minorHAnsi" w:cstheme="minorHAnsi"/>
          <w:sz w:val="24"/>
          <w:szCs w:val="24"/>
        </w:rPr>
        <w:t>words</w:t>
      </w:r>
      <w:r w:rsidR="005174D3">
        <w:rPr>
          <w:rFonts w:asciiTheme="minorHAnsi" w:hAnsiTheme="minorHAnsi" w:cstheme="minorHAnsi"/>
          <w:sz w:val="24"/>
          <w:szCs w:val="24"/>
        </w:rPr>
        <w:t>’</w:t>
      </w:r>
      <w:r w:rsidR="00DD32EA" w:rsidRPr="009D7C5D">
        <w:rPr>
          <w:rFonts w:asciiTheme="minorHAnsi" w:hAnsiTheme="minorHAnsi" w:cstheme="minorHAnsi"/>
          <w:sz w:val="24"/>
          <w:szCs w:val="24"/>
        </w:rPr>
        <w:t xml:space="preserve"> </w:t>
      </w:r>
      <w:r w:rsidR="005174D3">
        <w:rPr>
          <w:rFonts w:asciiTheme="minorHAnsi" w:hAnsiTheme="minorHAnsi" w:cstheme="minorHAnsi"/>
          <w:sz w:val="24"/>
          <w:szCs w:val="24"/>
        </w:rPr>
        <w:t xml:space="preserve">etc. </w:t>
      </w:r>
      <w:r w:rsidR="00DD32EA" w:rsidRPr="009D7C5D">
        <w:rPr>
          <w:rFonts w:asciiTheme="minorHAnsi" w:hAnsiTheme="minorHAnsi" w:cstheme="minorHAnsi"/>
          <w:sz w:val="24"/>
          <w:szCs w:val="24"/>
        </w:rPr>
        <w:t>with respect to darker-skinned human beings</w:t>
      </w:r>
      <w:r w:rsidR="003B1819">
        <w:rPr>
          <w:rFonts w:asciiTheme="minorHAnsi" w:hAnsiTheme="minorHAnsi" w:cstheme="minorHAnsi"/>
          <w:sz w:val="24"/>
          <w:szCs w:val="24"/>
        </w:rPr>
        <w:t xml:space="preserve">. </w:t>
      </w:r>
      <w:r w:rsidR="000F31F4">
        <w:rPr>
          <w:rFonts w:asciiTheme="minorHAnsi" w:hAnsiTheme="minorHAnsi" w:cstheme="minorHAnsi"/>
          <w:sz w:val="24"/>
          <w:szCs w:val="24"/>
        </w:rPr>
        <w:t xml:space="preserve">Use of this </w:t>
      </w:r>
      <w:r w:rsidR="00326D27">
        <w:rPr>
          <w:rFonts w:asciiTheme="minorHAnsi" w:hAnsiTheme="minorHAnsi" w:cstheme="minorHAnsi"/>
          <w:sz w:val="24"/>
          <w:szCs w:val="24"/>
        </w:rPr>
        <w:t xml:space="preserve">word </w:t>
      </w:r>
      <w:r w:rsidR="00866F6E" w:rsidRPr="009D7C5D">
        <w:rPr>
          <w:rFonts w:asciiTheme="minorHAnsi" w:hAnsiTheme="minorHAnsi" w:cstheme="minorHAnsi"/>
          <w:sz w:val="24"/>
          <w:szCs w:val="24"/>
        </w:rPr>
        <w:t>should be abandoned by archaeology</w:t>
      </w:r>
      <w:r w:rsidR="000F31F4">
        <w:rPr>
          <w:rFonts w:asciiTheme="minorHAnsi" w:hAnsiTheme="minorHAnsi" w:cstheme="minorHAnsi"/>
          <w:sz w:val="24"/>
          <w:szCs w:val="24"/>
        </w:rPr>
        <w:t>: its ‘definitions’ are entirely misleading</w:t>
      </w:r>
      <w:r w:rsidR="00866F6E" w:rsidRPr="009D7C5D">
        <w:rPr>
          <w:rFonts w:asciiTheme="minorHAnsi" w:hAnsiTheme="minorHAnsi" w:cstheme="minorHAnsi"/>
          <w:sz w:val="24"/>
          <w:szCs w:val="24"/>
        </w:rPr>
        <w:t>.</w:t>
      </w:r>
      <w:r w:rsidR="00866F6E" w:rsidRPr="009D7C5D">
        <w:rPr>
          <w:rStyle w:val="FootnoteReference"/>
          <w:rFonts w:asciiTheme="minorHAnsi" w:hAnsiTheme="minorHAnsi" w:cstheme="minorHAnsi"/>
          <w:sz w:val="24"/>
          <w:szCs w:val="24"/>
        </w:rPr>
        <w:footnoteReference w:id="14"/>
      </w:r>
      <w:r w:rsidR="00866F6E" w:rsidRPr="009D7C5D">
        <w:rPr>
          <w:rFonts w:asciiTheme="minorHAnsi" w:hAnsiTheme="minorHAnsi" w:cstheme="minorHAnsi"/>
          <w:sz w:val="24"/>
          <w:szCs w:val="24"/>
        </w:rPr>
        <w:t xml:space="preserve"> </w:t>
      </w:r>
      <w:r w:rsidR="001D6E6A" w:rsidRPr="009D7C5D">
        <w:rPr>
          <w:rFonts w:asciiTheme="minorHAnsi" w:hAnsiTheme="minorHAnsi" w:cstheme="minorHAnsi"/>
          <w:sz w:val="24"/>
          <w:szCs w:val="24"/>
        </w:rPr>
        <w:t xml:space="preserve">The word </w:t>
      </w:r>
      <w:r w:rsidR="001D6E6A" w:rsidRPr="009D7C5D">
        <w:rPr>
          <w:rFonts w:asciiTheme="minorHAnsi" w:hAnsiTheme="minorHAnsi" w:cstheme="minorHAnsi"/>
          <w:i/>
          <w:iCs/>
          <w:sz w:val="24"/>
          <w:szCs w:val="24"/>
        </w:rPr>
        <w:t>Potnia</w:t>
      </w:r>
      <w:r w:rsidR="001D6E6A" w:rsidRPr="009D7C5D">
        <w:rPr>
          <w:rFonts w:asciiTheme="minorHAnsi" w:hAnsiTheme="minorHAnsi" w:cstheme="minorHAnsi"/>
          <w:sz w:val="24"/>
          <w:szCs w:val="24"/>
        </w:rPr>
        <w:t xml:space="preserve"> is from the oldest</w:t>
      </w:r>
      <w:r w:rsidR="00FA5EBC" w:rsidRPr="009D7C5D">
        <w:rPr>
          <w:rFonts w:asciiTheme="minorHAnsi" w:hAnsiTheme="minorHAnsi" w:cstheme="minorHAnsi"/>
          <w:sz w:val="24"/>
          <w:szCs w:val="24"/>
        </w:rPr>
        <w:t xml:space="preserve">-known </w:t>
      </w:r>
      <w:r w:rsidR="001D6E6A" w:rsidRPr="009D7C5D">
        <w:rPr>
          <w:rFonts w:asciiTheme="minorHAnsi" w:hAnsiTheme="minorHAnsi" w:cstheme="minorHAnsi"/>
          <w:sz w:val="24"/>
          <w:szCs w:val="24"/>
        </w:rPr>
        <w:t xml:space="preserve">stratum of Greek, meaning Mistress / Goddess, / Lady, used in the form </w:t>
      </w:r>
      <w:r w:rsidR="001D6E6A" w:rsidRPr="009D7C5D">
        <w:rPr>
          <w:rFonts w:asciiTheme="minorHAnsi" w:hAnsiTheme="minorHAnsi" w:cstheme="minorHAnsi"/>
          <w:i/>
          <w:iCs/>
          <w:sz w:val="24"/>
          <w:szCs w:val="24"/>
        </w:rPr>
        <w:t>Potnia Theron</w:t>
      </w:r>
      <w:r w:rsidR="001D6E6A" w:rsidRPr="009D7C5D">
        <w:rPr>
          <w:rFonts w:asciiTheme="minorHAnsi" w:hAnsiTheme="minorHAnsi" w:cstheme="minorHAnsi"/>
          <w:sz w:val="24"/>
          <w:szCs w:val="24"/>
        </w:rPr>
        <w:t xml:space="preserve"> (Mistress of the Beasts) for Artemis</w:t>
      </w:r>
      <w:r w:rsidR="00682B05">
        <w:rPr>
          <w:rFonts w:asciiTheme="minorHAnsi" w:hAnsiTheme="minorHAnsi" w:cstheme="minorHAnsi"/>
          <w:sz w:val="24"/>
          <w:szCs w:val="24"/>
        </w:rPr>
        <w:t xml:space="preserve"> and others</w:t>
      </w:r>
      <w:r w:rsidR="001D6E6A" w:rsidRPr="009D7C5D">
        <w:rPr>
          <w:rFonts w:asciiTheme="minorHAnsi" w:hAnsiTheme="minorHAnsi" w:cstheme="minorHAnsi"/>
          <w:sz w:val="24"/>
          <w:szCs w:val="24"/>
        </w:rPr>
        <w:t xml:space="preserve">, also of Demeter. Although giving </w:t>
      </w:r>
      <w:r w:rsidR="00866F6E" w:rsidRPr="009D7C5D">
        <w:rPr>
          <w:rFonts w:asciiTheme="minorHAnsi" w:hAnsiTheme="minorHAnsi" w:cstheme="minorHAnsi"/>
          <w:sz w:val="24"/>
          <w:szCs w:val="24"/>
        </w:rPr>
        <w:t xml:space="preserve">Her </w:t>
      </w:r>
      <w:r w:rsidR="001D6E6A" w:rsidRPr="009D7C5D">
        <w:rPr>
          <w:rFonts w:asciiTheme="minorHAnsi" w:hAnsiTheme="minorHAnsi" w:cstheme="minorHAnsi"/>
          <w:sz w:val="24"/>
          <w:szCs w:val="24"/>
        </w:rPr>
        <w:t xml:space="preserve">proper respect, it is, of course, anachronistic, in that although </w:t>
      </w:r>
      <w:r w:rsidR="0051033B" w:rsidRPr="009D7C5D">
        <w:rPr>
          <w:rFonts w:asciiTheme="minorHAnsi" w:hAnsiTheme="minorHAnsi" w:cstheme="minorHAnsi"/>
          <w:sz w:val="24"/>
          <w:szCs w:val="24"/>
        </w:rPr>
        <w:t xml:space="preserve">the word is </w:t>
      </w:r>
      <w:r w:rsidR="001D6E6A" w:rsidRPr="009D7C5D">
        <w:rPr>
          <w:rFonts w:asciiTheme="minorHAnsi" w:hAnsiTheme="minorHAnsi" w:cstheme="minorHAnsi"/>
          <w:sz w:val="24"/>
          <w:szCs w:val="24"/>
        </w:rPr>
        <w:t xml:space="preserve">known from Mycenaean / Linear-B, Greek was not spoken on Cyprus prior to the </w:t>
      </w:r>
      <w:r w:rsidR="00326D27">
        <w:rPr>
          <w:rFonts w:asciiTheme="minorHAnsi" w:hAnsiTheme="minorHAnsi" w:cstheme="minorHAnsi"/>
          <w:sz w:val="24"/>
          <w:szCs w:val="24"/>
        </w:rPr>
        <w:t xml:space="preserve">(postulated) </w:t>
      </w:r>
      <w:r w:rsidR="001D6E6A" w:rsidRPr="009D7C5D">
        <w:rPr>
          <w:rFonts w:asciiTheme="minorHAnsi" w:hAnsiTheme="minorHAnsi" w:cstheme="minorHAnsi"/>
          <w:sz w:val="24"/>
          <w:szCs w:val="24"/>
        </w:rPr>
        <w:t>Achaean immigration around 1200 BCE.</w:t>
      </w:r>
      <w:r w:rsidR="00475593">
        <w:rPr>
          <w:rStyle w:val="FootnoteReference"/>
          <w:rFonts w:asciiTheme="minorHAnsi" w:hAnsiTheme="minorHAnsi" w:cstheme="minorHAnsi"/>
          <w:sz w:val="24"/>
          <w:szCs w:val="24"/>
        </w:rPr>
        <w:footnoteReference w:id="15"/>
      </w:r>
    </w:p>
    <w:p w14:paraId="39AC94D5" w14:textId="2AF3E7E3" w:rsidR="0031291D" w:rsidRPr="009D7C5D" w:rsidRDefault="0051033B" w:rsidP="009D7C5D">
      <w:pPr>
        <w:pStyle w:val="FootnoteText"/>
        <w:spacing w:afterLines="240" w:after="576" w:line="360" w:lineRule="auto"/>
        <w:rPr>
          <w:sz w:val="24"/>
          <w:szCs w:val="24"/>
        </w:rPr>
      </w:pPr>
      <w:r w:rsidRPr="009D7C5D">
        <w:rPr>
          <w:rFonts w:asciiTheme="minorHAnsi" w:hAnsiTheme="minorHAnsi" w:cstheme="minorHAnsi"/>
          <w:sz w:val="24"/>
          <w:szCs w:val="24"/>
        </w:rPr>
        <w:t xml:space="preserve">She has been </w:t>
      </w:r>
      <w:r w:rsidR="008C5D1E" w:rsidRPr="009D7C5D">
        <w:rPr>
          <w:rFonts w:asciiTheme="minorHAnsi" w:hAnsiTheme="minorHAnsi" w:cstheme="minorHAnsi"/>
          <w:sz w:val="24"/>
          <w:szCs w:val="24"/>
        </w:rPr>
        <w:t xml:space="preserve">created </w:t>
      </w:r>
      <w:r w:rsidRPr="009D7C5D">
        <w:rPr>
          <w:rFonts w:asciiTheme="minorHAnsi" w:hAnsiTheme="minorHAnsi" w:cstheme="minorHAnsi"/>
          <w:sz w:val="24"/>
          <w:szCs w:val="24"/>
        </w:rPr>
        <w:t xml:space="preserve">from a pale </w:t>
      </w:r>
      <w:r w:rsidR="008E5A07" w:rsidRPr="009D7C5D">
        <w:rPr>
          <w:rFonts w:asciiTheme="minorHAnsi" w:hAnsiTheme="minorHAnsi" w:cstheme="minorHAnsi"/>
          <w:sz w:val="24"/>
          <w:szCs w:val="24"/>
        </w:rPr>
        <w:t>green</w:t>
      </w:r>
      <w:r w:rsidRPr="009D7C5D">
        <w:rPr>
          <w:rFonts w:asciiTheme="minorHAnsi" w:hAnsiTheme="minorHAnsi" w:cstheme="minorHAnsi"/>
          <w:sz w:val="24"/>
          <w:szCs w:val="24"/>
        </w:rPr>
        <w:t>,</w:t>
      </w:r>
      <w:r w:rsidR="008E5A07" w:rsidRPr="009D7C5D">
        <w:rPr>
          <w:rFonts w:asciiTheme="minorHAnsi" w:hAnsiTheme="minorHAnsi" w:cstheme="minorHAnsi"/>
          <w:sz w:val="24"/>
          <w:szCs w:val="24"/>
        </w:rPr>
        <w:t xml:space="preserve"> homogeneous picrolite</w:t>
      </w:r>
      <w:r w:rsidRPr="009D7C5D">
        <w:rPr>
          <w:rFonts w:asciiTheme="minorHAnsi" w:hAnsiTheme="minorHAnsi" w:cstheme="minorHAnsi"/>
          <w:sz w:val="24"/>
          <w:szCs w:val="24"/>
        </w:rPr>
        <w:t xml:space="preserve">, most plausibly from a </w:t>
      </w:r>
      <w:r w:rsidR="00981C14" w:rsidRPr="009D7C5D">
        <w:rPr>
          <w:rFonts w:asciiTheme="minorHAnsi" w:hAnsiTheme="minorHAnsi" w:cstheme="minorHAnsi"/>
          <w:sz w:val="24"/>
          <w:szCs w:val="24"/>
        </w:rPr>
        <w:t xml:space="preserve">large </w:t>
      </w:r>
      <w:r w:rsidRPr="009D7C5D">
        <w:rPr>
          <w:rFonts w:asciiTheme="minorHAnsi" w:hAnsiTheme="minorHAnsi" w:cstheme="minorHAnsi"/>
          <w:sz w:val="24"/>
          <w:szCs w:val="24"/>
        </w:rPr>
        <w:t xml:space="preserve">pebble found in the </w:t>
      </w:r>
      <w:r w:rsidR="00981C14" w:rsidRPr="009D7C5D">
        <w:rPr>
          <w:rFonts w:asciiTheme="minorHAnsi" w:hAnsiTheme="minorHAnsi" w:cstheme="minorHAnsi"/>
          <w:sz w:val="24"/>
          <w:szCs w:val="24"/>
        </w:rPr>
        <w:t xml:space="preserve">Karyotis or Kouris rivers that </w:t>
      </w:r>
      <w:r w:rsidRPr="009D7C5D">
        <w:rPr>
          <w:rFonts w:asciiTheme="minorHAnsi" w:hAnsiTheme="minorHAnsi" w:cstheme="minorHAnsi"/>
          <w:sz w:val="24"/>
          <w:szCs w:val="24"/>
        </w:rPr>
        <w:t>descend</w:t>
      </w:r>
      <w:r w:rsidR="00981C14" w:rsidRPr="009D7C5D">
        <w:rPr>
          <w:rFonts w:asciiTheme="minorHAnsi" w:hAnsiTheme="minorHAnsi" w:cstheme="minorHAnsi"/>
          <w:sz w:val="24"/>
          <w:szCs w:val="24"/>
        </w:rPr>
        <w:t xml:space="preserve"> </w:t>
      </w:r>
      <w:r w:rsidRPr="009D7C5D">
        <w:rPr>
          <w:rFonts w:asciiTheme="minorHAnsi" w:hAnsiTheme="minorHAnsi" w:cstheme="minorHAnsi"/>
          <w:sz w:val="24"/>
          <w:szCs w:val="24"/>
        </w:rPr>
        <w:t xml:space="preserve">from the </w:t>
      </w:r>
      <w:r w:rsidR="0031291D" w:rsidRPr="009D7C5D">
        <w:rPr>
          <w:rFonts w:asciiTheme="minorHAnsi" w:hAnsiTheme="minorHAnsi" w:cstheme="minorHAnsi"/>
          <w:sz w:val="24"/>
          <w:szCs w:val="24"/>
        </w:rPr>
        <w:t xml:space="preserve">peaks of the </w:t>
      </w:r>
      <w:r w:rsidRPr="009D7C5D">
        <w:rPr>
          <w:rFonts w:asciiTheme="minorHAnsi" w:hAnsiTheme="minorHAnsi" w:cstheme="minorHAnsi"/>
          <w:sz w:val="24"/>
          <w:szCs w:val="24"/>
        </w:rPr>
        <w:t xml:space="preserve">Troodos </w:t>
      </w:r>
      <w:r w:rsidR="0031291D" w:rsidRPr="009D7C5D">
        <w:rPr>
          <w:rFonts w:asciiTheme="minorHAnsi" w:hAnsiTheme="minorHAnsi" w:cstheme="minorHAnsi"/>
          <w:sz w:val="24"/>
          <w:szCs w:val="24"/>
        </w:rPr>
        <w:t>massif</w:t>
      </w:r>
      <w:r w:rsidRPr="009D7C5D">
        <w:rPr>
          <w:rFonts w:asciiTheme="minorHAnsi" w:hAnsiTheme="minorHAnsi" w:cstheme="minorHAnsi"/>
          <w:sz w:val="24"/>
          <w:szCs w:val="24"/>
        </w:rPr>
        <w:t>.</w:t>
      </w:r>
      <w:r w:rsidR="008C5D1E" w:rsidRPr="009D7C5D">
        <w:rPr>
          <w:rStyle w:val="FootnoteReference"/>
          <w:rFonts w:asciiTheme="minorHAnsi" w:hAnsiTheme="minorHAnsi" w:cstheme="minorHAnsi"/>
          <w:sz w:val="24"/>
          <w:szCs w:val="24"/>
        </w:rPr>
        <w:footnoteReference w:id="16"/>
      </w:r>
      <w:r w:rsidR="008C5D1E" w:rsidRPr="009D7C5D">
        <w:rPr>
          <w:rFonts w:asciiTheme="minorHAnsi" w:hAnsiTheme="minorHAnsi" w:cstheme="minorHAnsi"/>
          <w:sz w:val="24"/>
          <w:szCs w:val="24"/>
        </w:rPr>
        <w:t xml:space="preserve"> </w:t>
      </w:r>
      <w:r w:rsidR="00125BFC" w:rsidRPr="009D7C5D">
        <w:rPr>
          <w:rFonts w:asciiTheme="minorHAnsi" w:hAnsiTheme="minorHAnsi" w:cstheme="minorHAnsi"/>
          <w:sz w:val="24"/>
          <w:szCs w:val="24"/>
        </w:rPr>
        <w:t xml:space="preserve">Peltenburg suggests the material itself </w:t>
      </w:r>
      <w:r w:rsidR="005174D3">
        <w:rPr>
          <w:rFonts w:asciiTheme="minorHAnsi" w:hAnsiTheme="minorHAnsi" w:cstheme="minorHAnsi"/>
          <w:sz w:val="24"/>
          <w:szCs w:val="24"/>
        </w:rPr>
        <w:t>“</w:t>
      </w:r>
      <w:r w:rsidR="00125BFC" w:rsidRPr="009D7C5D">
        <w:rPr>
          <w:rFonts w:asciiTheme="minorHAnsi" w:hAnsiTheme="minorHAnsi" w:cstheme="minorHAnsi"/>
          <w:sz w:val="24"/>
          <w:szCs w:val="24"/>
        </w:rPr>
        <w:t>valued</w:t>
      </w:r>
      <w:r w:rsidR="005174D3">
        <w:rPr>
          <w:rFonts w:asciiTheme="minorHAnsi" w:hAnsiTheme="minorHAnsi" w:cstheme="minorHAnsi"/>
          <w:sz w:val="24"/>
          <w:szCs w:val="24"/>
        </w:rPr>
        <w:t>”</w:t>
      </w:r>
      <w:r w:rsidR="00125BFC" w:rsidRPr="009D7C5D">
        <w:rPr>
          <w:rFonts w:asciiTheme="minorHAnsi" w:hAnsiTheme="minorHAnsi" w:cstheme="minorHAnsi"/>
          <w:sz w:val="24"/>
          <w:szCs w:val="24"/>
        </w:rPr>
        <w:t xml:space="preserve"> but not necessarily </w:t>
      </w:r>
      <w:r w:rsidR="005174D3">
        <w:rPr>
          <w:rFonts w:asciiTheme="minorHAnsi" w:hAnsiTheme="minorHAnsi" w:cstheme="minorHAnsi"/>
          <w:sz w:val="24"/>
          <w:szCs w:val="24"/>
        </w:rPr>
        <w:t>“</w:t>
      </w:r>
      <w:r w:rsidR="00125BFC" w:rsidRPr="009D7C5D">
        <w:rPr>
          <w:rFonts w:asciiTheme="minorHAnsi" w:hAnsiTheme="minorHAnsi" w:cstheme="minorHAnsi"/>
          <w:sz w:val="24"/>
          <w:szCs w:val="24"/>
        </w:rPr>
        <w:t>ideologically charged</w:t>
      </w:r>
      <w:r w:rsidR="005174D3">
        <w:rPr>
          <w:rFonts w:asciiTheme="minorHAnsi" w:hAnsiTheme="minorHAnsi" w:cstheme="minorHAnsi"/>
          <w:sz w:val="24"/>
          <w:szCs w:val="24"/>
        </w:rPr>
        <w:t>”</w:t>
      </w:r>
      <w:r w:rsidR="00125BFC" w:rsidRPr="009D7C5D">
        <w:rPr>
          <w:rFonts w:asciiTheme="minorHAnsi" w:hAnsiTheme="minorHAnsi" w:cstheme="minorHAnsi"/>
          <w:sz w:val="24"/>
          <w:szCs w:val="24"/>
        </w:rPr>
        <w:t>.</w:t>
      </w:r>
      <w:r w:rsidR="008419BD">
        <w:rPr>
          <w:rStyle w:val="FootnoteReference"/>
          <w:rFonts w:asciiTheme="minorHAnsi" w:hAnsiTheme="minorHAnsi" w:cstheme="minorHAnsi"/>
          <w:sz w:val="24"/>
          <w:szCs w:val="24"/>
        </w:rPr>
        <w:footnoteReference w:id="17"/>
      </w:r>
      <w:r w:rsidR="00125BFC" w:rsidRPr="009D7C5D">
        <w:rPr>
          <w:rFonts w:asciiTheme="minorHAnsi" w:hAnsiTheme="minorHAnsi" w:cstheme="minorHAnsi"/>
          <w:sz w:val="24"/>
          <w:szCs w:val="24"/>
        </w:rPr>
        <w:t xml:space="preserve"> </w:t>
      </w:r>
      <w:r w:rsidR="008C5D1E" w:rsidRPr="009D7C5D">
        <w:rPr>
          <w:rFonts w:asciiTheme="minorHAnsi" w:hAnsiTheme="minorHAnsi" w:cstheme="minorHAnsi"/>
          <w:sz w:val="24"/>
          <w:szCs w:val="24"/>
        </w:rPr>
        <w:t xml:space="preserve">Picrolite is a </w:t>
      </w:r>
      <w:r w:rsidR="00B672F0" w:rsidRPr="009D7C5D">
        <w:rPr>
          <w:rFonts w:asciiTheme="minorHAnsi" w:hAnsiTheme="minorHAnsi" w:cstheme="minorHAnsi"/>
          <w:sz w:val="24"/>
          <w:szCs w:val="24"/>
        </w:rPr>
        <w:t xml:space="preserve">specific </w:t>
      </w:r>
      <w:r w:rsidR="008C5D1E" w:rsidRPr="009D7C5D">
        <w:rPr>
          <w:rFonts w:asciiTheme="minorHAnsi" w:hAnsiTheme="minorHAnsi" w:cstheme="minorHAnsi"/>
          <w:sz w:val="24"/>
          <w:szCs w:val="24"/>
        </w:rPr>
        <w:t>form of serpentine</w:t>
      </w:r>
      <w:r w:rsidR="00034E17">
        <w:rPr>
          <w:rFonts w:asciiTheme="minorHAnsi" w:hAnsiTheme="minorHAnsi" w:cstheme="minorHAnsi"/>
          <w:sz w:val="24"/>
          <w:szCs w:val="24"/>
        </w:rPr>
        <w:t xml:space="preserve"> </w:t>
      </w:r>
      <w:r w:rsidR="00034E17" w:rsidRPr="009D7C5D">
        <w:rPr>
          <w:rFonts w:asciiTheme="minorHAnsi" w:hAnsiTheme="minorHAnsi" w:cstheme="minorHAnsi"/>
          <w:sz w:val="24"/>
          <w:szCs w:val="24"/>
        </w:rPr>
        <w:t>found only in Cyprus</w:t>
      </w:r>
      <w:r w:rsidR="008C5D1E" w:rsidRPr="009D7C5D">
        <w:rPr>
          <w:rFonts w:asciiTheme="minorHAnsi" w:hAnsiTheme="minorHAnsi" w:cstheme="minorHAnsi"/>
          <w:sz w:val="24"/>
          <w:szCs w:val="24"/>
        </w:rPr>
        <w:t xml:space="preserve">, a metamorphic </w:t>
      </w:r>
      <w:r w:rsidR="008C5D1E" w:rsidRPr="009D7C5D">
        <w:rPr>
          <w:rFonts w:asciiTheme="minorHAnsi" w:hAnsiTheme="minorHAnsi" w:cstheme="minorHAnsi"/>
          <w:sz w:val="24"/>
          <w:szCs w:val="24"/>
        </w:rPr>
        <w:lastRenderedPageBreak/>
        <w:t xml:space="preserve">rock that is soft enough </w:t>
      </w:r>
      <w:r w:rsidR="00886B88" w:rsidRPr="009D7C5D">
        <w:rPr>
          <w:rFonts w:asciiTheme="minorHAnsi" w:hAnsiTheme="minorHAnsi" w:cstheme="minorHAnsi"/>
          <w:sz w:val="24"/>
          <w:szCs w:val="24"/>
        </w:rPr>
        <w:t xml:space="preserve">(Mohs 3-4) </w:t>
      </w:r>
      <w:r w:rsidR="008C5D1E" w:rsidRPr="009D7C5D">
        <w:rPr>
          <w:rFonts w:asciiTheme="minorHAnsi" w:hAnsiTheme="minorHAnsi" w:cstheme="minorHAnsi"/>
          <w:sz w:val="24"/>
          <w:szCs w:val="24"/>
        </w:rPr>
        <w:t>to be worked easily. The surface is smooth and shining, inviting tactile response</w:t>
      </w:r>
      <w:r w:rsidR="0031291D" w:rsidRPr="009D7C5D">
        <w:rPr>
          <w:rFonts w:asciiTheme="minorHAnsi" w:hAnsiTheme="minorHAnsi" w:cstheme="minorHAnsi"/>
          <w:sz w:val="24"/>
          <w:szCs w:val="24"/>
        </w:rPr>
        <w:t>: tools with the finest of blades and points would be required for the precise carving</w:t>
      </w:r>
      <w:r w:rsidR="00125BFC" w:rsidRPr="009D7C5D">
        <w:rPr>
          <w:rFonts w:asciiTheme="minorHAnsi" w:hAnsiTheme="minorHAnsi" w:cstheme="minorHAnsi"/>
          <w:sz w:val="24"/>
          <w:szCs w:val="24"/>
        </w:rPr>
        <w:t>.</w:t>
      </w:r>
      <w:r w:rsidR="0031291D" w:rsidRPr="009D7C5D">
        <w:rPr>
          <w:rStyle w:val="FootnoteReference"/>
          <w:rFonts w:asciiTheme="minorHAnsi" w:hAnsiTheme="minorHAnsi" w:cstheme="minorHAnsi"/>
          <w:sz w:val="24"/>
          <w:szCs w:val="24"/>
        </w:rPr>
        <w:footnoteReference w:id="18"/>
      </w:r>
      <w:r w:rsidR="0031291D" w:rsidRPr="009D7C5D">
        <w:rPr>
          <w:rFonts w:asciiTheme="minorHAnsi" w:hAnsiTheme="minorHAnsi" w:cstheme="minorHAnsi"/>
          <w:sz w:val="24"/>
          <w:szCs w:val="24"/>
        </w:rPr>
        <w:t xml:space="preserve"> </w:t>
      </w:r>
      <w:r w:rsidR="00260909">
        <w:rPr>
          <w:rFonts w:asciiTheme="minorHAnsi" w:hAnsiTheme="minorHAnsi" w:cstheme="minorHAnsi"/>
          <w:sz w:val="24"/>
          <w:szCs w:val="24"/>
        </w:rPr>
        <w:t xml:space="preserve">Further phenomenological comment is difficult without access to the actual </w:t>
      </w:r>
      <w:r w:rsidR="00260909" w:rsidRPr="005174D3">
        <w:rPr>
          <w:rFonts w:asciiTheme="minorHAnsi" w:hAnsiTheme="minorHAnsi" w:cstheme="minorHAnsi"/>
          <w:sz w:val="24"/>
          <w:szCs w:val="24"/>
        </w:rPr>
        <w:t>object</w:t>
      </w:r>
      <w:r w:rsidR="00A902A5" w:rsidRPr="005174D3">
        <w:rPr>
          <w:rFonts w:asciiTheme="minorHAnsi" w:hAnsiTheme="minorHAnsi" w:cstheme="minorHAnsi"/>
          <w:sz w:val="24"/>
          <w:szCs w:val="24"/>
        </w:rPr>
        <w:t xml:space="preserve"> - understanding would also be aided by the experience of actually working with the stone.</w:t>
      </w:r>
      <w:r w:rsidR="00260909" w:rsidRPr="005174D3">
        <w:rPr>
          <w:rStyle w:val="FootnoteReference"/>
          <w:rFonts w:asciiTheme="minorHAnsi" w:hAnsiTheme="minorHAnsi" w:cstheme="minorHAnsi"/>
          <w:sz w:val="24"/>
          <w:szCs w:val="24"/>
        </w:rPr>
        <w:footnoteReference w:id="19"/>
      </w:r>
      <w:r w:rsidR="00260909" w:rsidRPr="005174D3">
        <w:rPr>
          <w:rFonts w:asciiTheme="minorHAnsi" w:hAnsiTheme="minorHAnsi" w:cstheme="minorHAnsi"/>
          <w:sz w:val="24"/>
          <w:szCs w:val="24"/>
        </w:rPr>
        <w:t xml:space="preserve"> </w:t>
      </w:r>
      <w:r w:rsidR="00125BFC" w:rsidRPr="005174D3">
        <w:rPr>
          <w:rFonts w:asciiTheme="minorHAnsi" w:hAnsiTheme="minorHAnsi" w:cstheme="minorHAnsi"/>
          <w:sz w:val="24"/>
          <w:szCs w:val="24"/>
        </w:rPr>
        <w:t>I</w:t>
      </w:r>
      <w:r w:rsidR="00DE42E4" w:rsidRPr="005174D3">
        <w:rPr>
          <w:rFonts w:asciiTheme="minorHAnsi" w:hAnsiTheme="minorHAnsi" w:cstheme="minorHAnsi"/>
          <w:sz w:val="24"/>
          <w:szCs w:val="24"/>
        </w:rPr>
        <w:t>t a</w:t>
      </w:r>
      <w:r w:rsidR="00DE42E4" w:rsidRPr="009D7C5D">
        <w:rPr>
          <w:rFonts w:asciiTheme="minorHAnsi" w:hAnsiTheme="minorHAnsi" w:cstheme="minorHAnsi"/>
          <w:sz w:val="24"/>
          <w:szCs w:val="24"/>
        </w:rPr>
        <w:t>ppears that a ‘factory’ existed at Souskiou Laona (close to Pal</w:t>
      </w:r>
      <w:r w:rsidR="00D2122A">
        <w:rPr>
          <w:rFonts w:asciiTheme="minorHAnsi" w:hAnsiTheme="minorHAnsi" w:cstheme="minorHAnsi"/>
          <w:sz w:val="24"/>
          <w:szCs w:val="24"/>
        </w:rPr>
        <w:t>a</w:t>
      </w:r>
      <w:r w:rsidR="00DE42E4" w:rsidRPr="009D7C5D">
        <w:rPr>
          <w:rFonts w:asciiTheme="minorHAnsi" w:hAnsiTheme="minorHAnsi" w:cstheme="minorHAnsi"/>
          <w:sz w:val="24"/>
          <w:szCs w:val="24"/>
        </w:rPr>
        <w:t>eapaphos)</w:t>
      </w:r>
      <w:r w:rsidR="00125BFC" w:rsidRPr="009D7C5D">
        <w:rPr>
          <w:rFonts w:asciiTheme="minorHAnsi" w:hAnsiTheme="minorHAnsi" w:cstheme="minorHAnsi"/>
          <w:sz w:val="24"/>
          <w:szCs w:val="24"/>
        </w:rPr>
        <w:t>, certainly producing many similar figurines,</w:t>
      </w:r>
      <w:r w:rsidR="00125BFC" w:rsidRPr="009D7C5D">
        <w:rPr>
          <w:rStyle w:val="FootnoteReference"/>
          <w:rFonts w:asciiTheme="minorHAnsi" w:hAnsiTheme="minorHAnsi" w:cstheme="minorHAnsi"/>
          <w:sz w:val="24"/>
          <w:szCs w:val="24"/>
        </w:rPr>
        <w:footnoteReference w:id="20"/>
      </w:r>
      <w:r w:rsidR="00125BFC" w:rsidRPr="009D7C5D">
        <w:rPr>
          <w:rFonts w:asciiTheme="minorHAnsi" w:hAnsiTheme="minorHAnsi" w:cstheme="minorHAnsi"/>
          <w:sz w:val="24"/>
          <w:szCs w:val="24"/>
        </w:rPr>
        <w:t xml:space="preserve"> but it is not known whether the Lady was carved there</w:t>
      </w:r>
      <w:r w:rsidR="00DE42E4" w:rsidRPr="009D7C5D">
        <w:rPr>
          <w:rFonts w:asciiTheme="minorHAnsi" w:hAnsiTheme="minorHAnsi" w:cstheme="minorHAnsi"/>
          <w:sz w:val="24"/>
          <w:szCs w:val="24"/>
        </w:rPr>
        <w:t>.</w:t>
      </w:r>
      <w:r w:rsidR="00B91E04" w:rsidRPr="009D7C5D">
        <w:rPr>
          <w:rFonts w:asciiTheme="minorHAnsi" w:hAnsiTheme="minorHAnsi" w:cstheme="minorHAnsi"/>
          <w:sz w:val="24"/>
          <w:szCs w:val="24"/>
        </w:rPr>
        <w:t xml:space="preserve"> </w:t>
      </w:r>
      <w:r w:rsidR="00654BB8">
        <w:rPr>
          <w:sz w:val="24"/>
          <w:szCs w:val="24"/>
        </w:rPr>
        <w:t>Peltenburg argues</w:t>
      </w:r>
      <w:r w:rsidR="00D2122A">
        <w:rPr>
          <w:sz w:val="24"/>
          <w:szCs w:val="24"/>
        </w:rPr>
        <w:t xml:space="preserve"> </w:t>
      </w:r>
      <w:r w:rsidR="00654BB8">
        <w:rPr>
          <w:sz w:val="24"/>
          <w:szCs w:val="24"/>
        </w:rPr>
        <w:t>against specialist carvers:</w:t>
      </w:r>
      <w:r w:rsidR="00654BB8">
        <w:rPr>
          <w:rStyle w:val="FootnoteReference"/>
          <w:sz w:val="24"/>
          <w:szCs w:val="24"/>
        </w:rPr>
        <w:footnoteReference w:id="21"/>
      </w:r>
      <w:r w:rsidR="00654BB8">
        <w:rPr>
          <w:sz w:val="24"/>
          <w:szCs w:val="24"/>
        </w:rPr>
        <w:t xml:space="preserve"> this writer prefers to </w:t>
      </w:r>
      <w:r w:rsidR="0031291D" w:rsidRPr="009D7C5D">
        <w:rPr>
          <w:sz w:val="24"/>
          <w:szCs w:val="24"/>
        </w:rPr>
        <w:t xml:space="preserve">speculate that the </w:t>
      </w:r>
      <w:r w:rsidR="00034E17">
        <w:rPr>
          <w:sz w:val="24"/>
          <w:szCs w:val="24"/>
        </w:rPr>
        <w:t xml:space="preserve">sculptor </w:t>
      </w:r>
      <w:r w:rsidR="0031291D" w:rsidRPr="009D7C5D">
        <w:rPr>
          <w:sz w:val="24"/>
          <w:szCs w:val="24"/>
        </w:rPr>
        <w:t xml:space="preserve">thought of </w:t>
      </w:r>
      <w:r w:rsidR="00654BB8">
        <w:rPr>
          <w:sz w:val="24"/>
          <w:szCs w:val="24"/>
        </w:rPr>
        <w:t xml:space="preserve">Potnia Pomos </w:t>
      </w:r>
      <w:r w:rsidR="0031291D" w:rsidRPr="009D7C5D">
        <w:rPr>
          <w:sz w:val="24"/>
          <w:szCs w:val="24"/>
        </w:rPr>
        <w:t xml:space="preserve">being released from the stone in much the same way </w:t>
      </w:r>
      <w:r w:rsidR="00682B05">
        <w:rPr>
          <w:sz w:val="24"/>
          <w:szCs w:val="24"/>
        </w:rPr>
        <w:t xml:space="preserve">(and with no less expertise) </w:t>
      </w:r>
      <w:r w:rsidR="0031291D" w:rsidRPr="009D7C5D">
        <w:rPr>
          <w:sz w:val="24"/>
          <w:szCs w:val="24"/>
        </w:rPr>
        <w:t>that Michaelangelo related to his sculptures</w:t>
      </w:r>
      <w:r w:rsidR="00D2122A">
        <w:rPr>
          <w:sz w:val="24"/>
          <w:szCs w:val="24"/>
        </w:rPr>
        <w:t>.</w:t>
      </w:r>
    </w:p>
    <w:p w14:paraId="13897EA0" w14:textId="67C20372" w:rsidR="00665D1C" w:rsidRDefault="00AE45C6"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sz w:val="24"/>
          <w:szCs w:val="24"/>
        </w:rPr>
        <w:t>A very large number of figurines have been found in Cyprus</w:t>
      </w:r>
      <w:r w:rsidR="00B33147">
        <w:rPr>
          <w:rFonts w:asciiTheme="minorHAnsi" w:hAnsiTheme="minorHAnsi" w:cstheme="minorHAnsi"/>
          <w:sz w:val="24"/>
          <w:szCs w:val="24"/>
        </w:rPr>
        <w:t xml:space="preserve">, </w:t>
      </w:r>
      <w:r w:rsidRPr="009D7C5D">
        <w:rPr>
          <w:rFonts w:asciiTheme="minorHAnsi" w:hAnsiTheme="minorHAnsi" w:cstheme="minorHAnsi"/>
          <w:sz w:val="24"/>
          <w:szCs w:val="24"/>
        </w:rPr>
        <w:t>produced over a period of 2000 years or more</w:t>
      </w:r>
      <w:r w:rsidR="0039509F">
        <w:rPr>
          <w:rFonts w:asciiTheme="minorHAnsi" w:hAnsiTheme="minorHAnsi" w:cstheme="minorHAnsi"/>
          <w:sz w:val="24"/>
          <w:szCs w:val="24"/>
        </w:rPr>
        <w:t xml:space="preserve">, but </w:t>
      </w:r>
      <w:r w:rsidR="00343227">
        <w:rPr>
          <w:rFonts w:asciiTheme="minorHAnsi" w:hAnsiTheme="minorHAnsi" w:cstheme="minorHAnsi"/>
          <w:sz w:val="24"/>
          <w:szCs w:val="24"/>
        </w:rPr>
        <w:t xml:space="preserve">often fragmentary, from </w:t>
      </w:r>
      <w:r w:rsidR="0039509F">
        <w:rPr>
          <w:rFonts w:asciiTheme="minorHAnsi" w:hAnsiTheme="minorHAnsi" w:cstheme="minorHAnsi"/>
          <w:sz w:val="24"/>
          <w:szCs w:val="24"/>
        </w:rPr>
        <w:t>varying contexts or without recorded provenance</w:t>
      </w:r>
      <w:r w:rsidR="00B33147">
        <w:rPr>
          <w:rFonts w:asciiTheme="minorHAnsi" w:hAnsiTheme="minorHAnsi" w:cstheme="minorHAnsi"/>
          <w:sz w:val="24"/>
          <w:szCs w:val="24"/>
        </w:rPr>
        <w:t>.</w:t>
      </w:r>
      <w:r w:rsidR="00343227">
        <w:rPr>
          <w:rStyle w:val="FootnoteReference"/>
          <w:rFonts w:asciiTheme="minorHAnsi" w:hAnsiTheme="minorHAnsi" w:cstheme="minorHAnsi"/>
          <w:sz w:val="24"/>
          <w:szCs w:val="24"/>
        </w:rPr>
        <w:footnoteReference w:id="22"/>
      </w:r>
      <w:r w:rsidR="00B33147">
        <w:rPr>
          <w:rFonts w:asciiTheme="minorHAnsi" w:hAnsiTheme="minorHAnsi" w:cstheme="minorHAnsi"/>
          <w:sz w:val="24"/>
          <w:szCs w:val="24"/>
        </w:rPr>
        <w:t xml:space="preserve"> They are without doubt ‘”uniquely evocative”</w:t>
      </w:r>
      <w:r w:rsidR="00B33147">
        <w:rPr>
          <w:rStyle w:val="FootnoteReference"/>
          <w:rFonts w:asciiTheme="minorHAnsi" w:hAnsiTheme="minorHAnsi" w:cstheme="minorHAnsi"/>
          <w:sz w:val="24"/>
          <w:szCs w:val="24"/>
        </w:rPr>
        <w:footnoteReference w:id="23"/>
      </w:r>
      <w:r w:rsidR="006575FD">
        <w:rPr>
          <w:rFonts w:asciiTheme="minorHAnsi" w:hAnsiTheme="minorHAnsi" w:cstheme="minorHAnsi"/>
          <w:sz w:val="24"/>
          <w:szCs w:val="24"/>
        </w:rPr>
        <w:t xml:space="preserve">, </w:t>
      </w:r>
      <w:r w:rsidR="00B33147">
        <w:rPr>
          <w:rFonts w:asciiTheme="minorHAnsi" w:hAnsiTheme="minorHAnsi" w:cstheme="minorHAnsi"/>
          <w:sz w:val="24"/>
          <w:szCs w:val="24"/>
        </w:rPr>
        <w:t xml:space="preserve">but </w:t>
      </w:r>
      <w:r w:rsidR="002D3139">
        <w:rPr>
          <w:rFonts w:asciiTheme="minorHAnsi" w:hAnsiTheme="minorHAnsi" w:cstheme="minorHAnsi"/>
          <w:sz w:val="24"/>
          <w:szCs w:val="24"/>
        </w:rPr>
        <w:t>t</w:t>
      </w:r>
      <w:r w:rsidR="00B33147">
        <w:rPr>
          <w:rFonts w:asciiTheme="minorHAnsi" w:hAnsiTheme="minorHAnsi" w:cstheme="minorHAnsi"/>
          <w:sz w:val="24"/>
          <w:szCs w:val="24"/>
        </w:rPr>
        <w:t xml:space="preserve">his has </w:t>
      </w:r>
      <w:r w:rsidR="006575FD">
        <w:rPr>
          <w:rFonts w:asciiTheme="minorHAnsi" w:hAnsiTheme="minorHAnsi" w:cstheme="minorHAnsi"/>
          <w:sz w:val="24"/>
          <w:szCs w:val="24"/>
        </w:rPr>
        <w:t xml:space="preserve">often </w:t>
      </w:r>
      <w:r w:rsidR="00B33147">
        <w:rPr>
          <w:rFonts w:asciiTheme="minorHAnsi" w:hAnsiTheme="minorHAnsi" w:cstheme="minorHAnsi"/>
          <w:sz w:val="24"/>
          <w:szCs w:val="24"/>
        </w:rPr>
        <w:t xml:space="preserve">resulted in </w:t>
      </w:r>
      <w:r w:rsidR="00B33147" w:rsidRPr="00B33147">
        <w:rPr>
          <w:rFonts w:asciiTheme="minorHAnsi" w:hAnsiTheme="minorHAnsi" w:cstheme="minorHAnsi"/>
          <w:i/>
          <w:iCs/>
          <w:sz w:val="24"/>
          <w:szCs w:val="24"/>
        </w:rPr>
        <w:t>a priori</w:t>
      </w:r>
      <w:r w:rsidR="00B33147">
        <w:rPr>
          <w:rFonts w:asciiTheme="minorHAnsi" w:hAnsiTheme="minorHAnsi" w:cstheme="minorHAnsi"/>
          <w:sz w:val="24"/>
          <w:szCs w:val="24"/>
        </w:rPr>
        <w:t xml:space="preserve"> </w:t>
      </w:r>
      <w:r w:rsidR="006575FD">
        <w:rPr>
          <w:rFonts w:asciiTheme="minorHAnsi" w:hAnsiTheme="minorHAnsi" w:cstheme="minorHAnsi"/>
          <w:sz w:val="24"/>
          <w:szCs w:val="24"/>
        </w:rPr>
        <w:t>assum</w:t>
      </w:r>
      <w:r w:rsidR="00B33147">
        <w:rPr>
          <w:rFonts w:asciiTheme="minorHAnsi" w:hAnsiTheme="minorHAnsi" w:cstheme="minorHAnsi"/>
          <w:sz w:val="24"/>
          <w:szCs w:val="24"/>
        </w:rPr>
        <w:t xml:space="preserve">ption that all </w:t>
      </w:r>
      <w:r w:rsidRPr="009D7C5D">
        <w:rPr>
          <w:rFonts w:asciiTheme="minorHAnsi" w:hAnsiTheme="minorHAnsi" w:cstheme="minorHAnsi"/>
          <w:sz w:val="24"/>
          <w:szCs w:val="24"/>
        </w:rPr>
        <w:t xml:space="preserve">have the same </w:t>
      </w:r>
      <w:r w:rsidR="006575FD">
        <w:rPr>
          <w:rFonts w:asciiTheme="minorHAnsi" w:hAnsiTheme="minorHAnsi" w:cstheme="minorHAnsi"/>
          <w:sz w:val="24"/>
          <w:szCs w:val="24"/>
        </w:rPr>
        <w:t xml:space="preserve">universal </w:t>
      </w:r>
      <w:r w:rsidRPr="009D7C5D">
        <w:rPr>
          <w:rFonts w:asciiTheme="minorHAnsi" w:hAnsiTheme="minorHAnsi" w:cstheme="minorHAnsi"/>
          <w:sz w:val="24"/>
          <w:szCs w:val="24"/>
        </w:rPr>
        <w:t>cultural meaning</w:t>
      </w:r>
      <w:r w:rsidR="006575FD">
        <w:rPr>
          <w:rFonts w:asciiTheme="minorHAnsi" w:hAnsiTheme="minorHAnsi" w:cstheme="minorHAnsi"/>
          <w:sz w:val="24"/>
          <w:szCs w:val="24"/>
        </w:rPr>
        <w:t>.</w:t>
      </w:r>
      <w:r w:rsidR="00B2269A">
        <w:rPr>
          <w:rStyle w:val="FootnoteReference"/>
          <w:rFonts w:asciiTheme="minorHAnsi" w:hAnsiTheme="minorHAnsi" w:cstheme="minorHAnsi"/>
          <w:sz w:val="24"/>
          <w:szCs w:val="24"/>
        </w:rPr>
        <w:footnoteReference w:id="24"/>
      </w:r>
      <w:r w:rsidR="006575FD">
        <w:rPr>
          <w:rFonts w:asciiTheme="minorHAnsi" w:hAnsiTheme="minorHAnsi" w:cstheme="minorHAnsi"/>
          <w:sz w:val="24"/>
          <w:szCs w:val="24"/>
        </w:rPr>
        <w:t xml:space="preserve"> I</w:t>
      </w:r>
      <w:r w:rsidR="002C10B0">
        <w:rPr>
          <w:rFonts w:asciiTheme="minorHAnsi" w:hAnsiTheme="minorHAnsi" w:cstheme="minorHAnsi"/>
          <w:sz w:val="24"/>
          <w:szCs w:val="24"/>
        </w:rPr>
        <w:t xml:space="preserve">nterpretation has </w:t>
      </w:r>
      <w:r w:rsidR="002C10B0">
        <w:rPr>
          <w:rFonts w:asciiTheme="minorHAnsi" w:hAnsiTheme="minorHAnsi" w:cstheme="minorHAnsi"/>
          <w:sz w:val="24"/>
          <w:szCs w:val="24"/>
        </w:rPr>
        <w:lastRenderedPageBreak/>
        <w:t>been heavily skewed towards modern ideas of ‘art’ in which they are ‘primitive’</w:t>
      </w:r>
      <w:r w:rsidRPr="009D7C5D">
        <w:rPr>
          <w:rFonts w:asciiTheme="minorHAnsi" w:hAnsiTheme="minorHAnsi" w:cstheme="minorHAnsi"/>
          <w:sz w:val="24"/>
          <w:szCs w:val="24"/>
        </w:rPr>
        <w:t>.</w:t>
      </w:r>
      <w:r w:rsidR="002C10B0">
        <w:rPr>
          <w:rStyle w:val="FootnoteReference"/>
          <w:rFonts w:asciiTheme="minorHAnsi" w:hAnsiTheme="minorHAnsi" w:cstheme="minorHAnsi"/>
          <w:sz w:val="24"/>
          <w:szCs w:val="24"/>
        </w:rPr>
        <w:footnoteReference w:id="25"/>
      </w:r>
      <w:r w:rsidRPr="009D7C5D">
        <w:rPr>
          <w:rFonts w:asciiTheme="minorHAnsi" w:hAnsiTheme="minorHAnsi" w:cstheme="minorHAnsi"/>
          <w:sz w:val="24"/>
          <w:szCs w:val="24"/>
        </w:rPr>
        <w:t xml:space="preserve"> </w:t>
      </w:r>
      <w:r w:rsidR="002C10B0">
        <w:rPr>
          <w:rFonts w:asciiTheme="minorHAnsi" w:hAnsiTheme="minorHAnsi" w:cstheme="minorHAnsi"/>
          <w:sz w:val="24"/>
          <w:szCs w:val="24"/>
        </w:rPr>
        <w:t xml:space="preserve">Most appear female, </w:t>
      </w:r>
      <w:r w:rsidRPr="009D7C5D">
        <w:rPr>
          <w:rFonts w:asciiTheme="minorHAnsi" w:hAnsiTheme="minorHAnsi" w:cstheme="minorHAnsi"/>
          <w:sz w:val="24"/>
          <w:szCs w:val="24"/>
        </w:rPr>
        <w:t>almost invariably dubbed ‘fertility figurines’, a notion this writer considers specious</w:t>
      </w:r>
      <w:r w:rsidR="00007E88" w:rsidRPr="009D7C5D">
        <w:rPr>
          <w:rFonts w:asciiTheme="minorHAnsi" w:hAnsiTheme="minorHAnsi" w:cstheme="minorHAnsi"/>
          <w:sz w:val="24"/>
          <w:szCs w:val="24"/>
        </w:rPr>
        <w:t>.</w:t>
      </w:r>
      <w:r w:rsidR="00C24C23">
        <w:rPr>
          <w:rStyle w:val="FootnoteReference"/>
          <w:rFonts w:asciiTheme="minorHAnsi" w:hAnsiTheme="minorHAnsi" w:cstheme="minorHAnsi"/>
          <w:sz w:val="24"/>
          <w:szCs w:val="24"/>
        </w:rPr>
        <w:footnoteReference w:id="26"/>
      </w:r>
      <w:r w:rsidR="00C24C23">
        <w:rPr>
          <w:rFonts w:asciiTheme="minorHAnsi" w:hAnsiTheme="minorHAnsi" w:cstheme="minorHAnsi"/>
          <w:sz w:val="24"/>
          <w:szCs w:val="24"/>
        </w:rPr>
        <w:t xml:space="preserve"> </w:t>
      </w:r>
      <w:r w:rsidR="006575FD">
        <w:rPr>
          <w:rFonts w:asciiTheme="minorHAnsi" w:hAnsiTheme="minorHAnsi" w:cstheme="minorHAnsi"/>
          <w:sz w:val="24"/>
          <w:szCs w:val="24"/>
        </w:rPr>
        <w:t xml:space="preserve">A variation of this idea is that all the figures are ‘Goddesses’ </w:t>
      </w:r>
      <w:r w:rsidR="00D817D8">
        <w:rPr>
          <w:rFonts w:asciiTheme="minorHAnsi" w:hAnsiTheme="minorHAnsi" w:cstheme="minorHAnsi"/>
          <w:sz w:val="24"/>
          <w:szCs w:val="24"/>
        </w:rPr>
        <w:t xml:space="preserve">(directly, </w:t>
      </w:r>
      <w:r w:rsidR="006575FD">
        <w:rPr>
          <w:rFonts w:asciiTheme="minorHAnsi" w:hAnsiTheme="minorHAnsi" w:cstheme="minorHAnsi"/>
          <w:sz w:val="24"/>
          <w:szCs w:val="24"/>
        </w:rPr>
        <w:t>or representations of a unitary being</w:t>
      </w:r>
      <w:r w:rsidR="00D817D8">
        <w:rPr>
          <w:rFonts w:asciiTheme="minorHAnsi" w:hAnsiTheme="minorHAnsi" w:cstheme="minorHAnsi"/>
          <w:sz w:val="24"/>
          <w:szCs w:val="24"/>
        </w:rPr>
        <w:t>)</w:t>
      </w:r>
      <w:r w:rsidR="006575FD">
        <w:rPr>
          <w:rFonts w:asciiTheme="minorHAnsi" w:hAnsiTheme="minorHAnsi" w:cstheme="minorHAnsi"/>
          <w:sz w:val="24"/>
          <w:szCs w:val="24"/>
        </w:rPr>
        <w:t xml:space="preserve">. </w:t>
      </w:r>
      <w:r w:rsidR="00007E88" w:rsidRPr="009D7C5D">
        <w:rPr>
          <w:rFonts w:asciiTheme="minorHAnsi" w:hAnsiTheme="minorHAnsi" w:cstheme="minorHAnsi"/>
          <w:sz w:val="24"/>
          <w:szCs w:val="24"/>
        </w:rPr>
        <w:t>An ‘older generation’ of archaeologists, such as Jaqueline Karageorghis</w:t>
      </w:r>
      <w:r w:rsidR="00D817D8">
        <w:rPr>
          <w:rFonts w:asciiTheme="minorHAnsi" w:hAnsiTheme="minorHAnsi" w:cstheme="minorHAnsi"/>
          <w:sz w:val="24"/>
          <w:szCs w:val="24"/>
        </w:rPr>
        <w:t>, seem to</w:t>
      </w:r>
      <w:r w:rsidR="00007E88" w:rsidRPr="009D7C5D">
        <w:rPr>
          <w:rFonts w:asciiTheme="minorHAnsi" w:hAnsiTheme="minorHAnsi" w:cstheme="minorHAnsi"/>
          <w:sz w:val="24"/>
          <w:szCs w:val="24"/>
        </w:rPr>
        <w:t xml:space="preserve"> use the</w:t>
      </w:r>
      <w:r w:rsidR="006575FD">
        <w:rPr>
          <w:rFonts w:asciiTheme="minorHAnsi" w:hAnsiTheme="minorHAnsi" w:cstheme="minorHAnsi"/>
          <w:sz w:val="24"/>
          <w:szCs w:val="24"/>
        </w:rPr>
        <w:t>se</w:t>
      </w:r>
      <w:r w:rsidR="00007E88" w:rsidRPr="009D7C5D">
        <w:rPr>
          <w:rFonts w:asciiTheme="minorHAnsi" w:hAnsiTheme="minorHAnsi" w:cstheme="minorHAnsi"/>
          <w:sz w:val="24"/>
          <w:szCs w:val="24"/>
        </w:rPr>
        <w:t xml:space="preserve"> term</w:t>
      </w:r>
      <w:r w:rsidR="006575FD">
        <w:rPr>
          <w:rFonts w:asciiTheme="minorHAnsi" w:hAnsiTheme="minorHAnsi" w:cstheme="minorHAnsi"/>
          <w:sz w:val="24"/>
          <w:szCs w:val="24"/>
        </w:rPr>
        <w:t>s</w:t>
      </w:r>
      <w:r w:rsidR="00007E88" w:rsidRPr="009D7C5D">
        <w:rPr>
          <w:rFonts w:asciiTheme="minorHAnsi" w:hAnsiTheme="minorHAnsi" w:cstheme="minorHAnsi"/>
          <w:sz w:val="24"/>
          <w:szCs w:val="24"/>
        </w:rPr>
        <w:t xml:space="preserve"> without restraint</w:t>
      </w:r>
      <w:r w:rsidR="006F7A49">
        <w:rPr>
          <w:rFonts w:asciiTheme="minorHAnsi" w:hAnsiTheme="minorHAnsi" w:cstheme="minorHAnsi"/>
          <w:sz w:val="24"/>
          <w:szCs w:val="24"/>
        </w:rPr>
        <w:t>:</w:t>
      </w:r>
      <w:r w:rsidR="003C2BE4">
        <w:rPr>
          <w:rStyle w:val="FootnoteReference"/>
          <w:rFonts w:asciiTheme="minorHAnsi" w:hAnsiTheme="minorHAnsi" w:cstheme="minorHAnsi"/>
          <w:sz w:val="24"/>
          <w:szCs w:val="24"/>
        </w:rPr>
        <w:footnoteReference w:id="27"/>
      </w:r>
      <w:r w:rsidR="00007E88" w:rsidRPr="009D7C5D">
        <w:rPr>
          <w:rFonts w:asciiTheme="minorHAnsi" w:hAnsiTheme="minorHAnsi" w:cstheme="minorHAnsi"/>
          <w:sz w:val="24"/>
          <w:szCs w:val="24"/>
        </w:rPr>
        <w:t xml:space="preserve"> although perhaps no longer fashionable, </w:t>
      </w:r>
      <w:r w:rsidR="00D817D8">
        <w:rPr>
          <w:rFonts w:asciiTheme="minorHAnsi" w:hAnsiTheme="minorHAnsi" w:cstheme="minorHAnsi"/>
          <w:sz w:val="24"/>
          <w:szCs w:val="24"/>
        </w:rPr>
        <w:t>they</w:t>
      </w:r>
      <w:r w:rsidR="00007E88" w:rsidRPr="009D7C5D">
        <w:rPr>
          <w:rFonts w:asciiTheme="minorHAnsi" w:hAnsiTheme="minorHAnsi" w:cstheme="minorHAnsi"/>
          <w:sz w:val="24"/>
          <w:szCs w:val="24"/>
        </w:rPr>
        <w:t xml:space="preserve"> continue to be found everywhere.</w:t>
      </w:r>
      <w:r w:rsidR="005174D3">
        <w:rPr>
          <w:rStyle w:val="FootnoteReference"/>
          <w:rFonts w:asciiTheme="minorHAnsi" w:hAnsiTheme="minorHAnsi" w:cstheme="minorHAnsi"/>
          <w:sz w:val="24"/>
          <w:szCs w:val="24"/>
        </w:rPr>
        <w:footnoteReference w:id="28"/>
      </w:r>
      <w:r w:rsidRPr="009D7C5D">
        <w:rPr>
          <w:rFonts w:asciiTheme="minorHAnsi" w:hAnsiTheme="minorHAnsi" w:cstheme="minorHAnsi"/>
          <w:sz w:val="24"/>
          <w:szCs w:val="24"/>
        </w:rPr>
        <w:t xml:space="preserve"> </w:t>
      </w:r>
      <w:r w:rsidR="0060480D" w:rsidRPr="009D7C5D">
        <w:rPr>
          <w:rFonts w:asciiTheme="minorHAnsi" w:hAnsiTheme="minorHAnsi" w:cstheme="minorHAnsi"/>
          <w:sz w:val="24"/>
          <w:szCs w:val="24"/>
        </w:rPr>
        <w:t>It is suggested that the very notions of ‘fertility’ and ‘fertility cult’ derive from the incomprehension of Abrahamic religions</w:t>
      </w:r>
      <w:r w:rsidR="005174D3">
        <w:rPr>
          <w:rFonts w:asciiTheme="minorHAnsi" w:hAnsiTheme="minorHAnsi" w:cstheme="minorHAnsi"/>
          <w:sz w:val="24"/>
          <w:szCs w:val="24"/>
        </w:rPr>
        <w:t xml:space="preserve"> with respect to others, added to </w:t>
      </w:r>
      <w:r w:rsidR="00007E88" w:rsidRPr="009D7C5D">
        <w:rPr>
          <w:rFonts w:asciiTheme="minorHAnsi" w:hAnsiTheme="minorHAnsi" w:cstheme="minorHAnsi"/>
          <w:sz w:val="24"/>
          <w:szCs w:val="24"/>
        </w:rPr>
        <w:t xml:space="preserve">a ‘Victorian’ desire to </w:t>
      </w:r>
      <w:r w:rsidR="0060480D" w:rsidRPr="009D7C5D">
        <w:rPr>
          <w:rFonts w:asciiTheme="minorHAnsi" w:hAnsiTheme="minorHAnsi" w:cstheme="minorHAnsi"/>
          <w:sz w:val="24"/>
          <w:szCs w:val="24"/>
        </w:rPr>
        <w:t>euphemis</w:t>
      </w:r>
      <w:r w:rsidR="00007E88" w:rsidRPr="009D7C5D">
        <w:rPr>
          <w:rFonts w:asciiTheme="minorHAnsi" w:hAnsiTheme="minorHAnsi" w:cstheme="minorHAnsi"/>
          <w:sz w:val="24"/>
          <w:szCs w:val="24"/>
        </w:rPr>
        <w:t>e</w:t>
      </w:r>
      <w:r w:rsidR="0060480D" w:rsidRPr="009D7C5D">
        <w:rPr>
          <w:rFonts w:asciiTheme="minorHAnsi" w:hAnsiTheme="minorHAnsi" w:cstheme="minorHAnsi"/>
          <w:sz w:val="24"/>
          <w:szCs w:val="24"/>
        </w:rPr>
        <w:t xml:space="preserve"> religious rites that involve sexual intercourse.</w:t>
      </w:r>
      <w:r w:rsidR="0060480D" w:rsidRPr="009D7C5D">
        <w:rPr>
          <w:rStyle w:val="FootnoteReference"/>
          <w:rFonts w:asciiTheme="minorHAnsi" w:hAnsiTheme="minorHAnsi" w:cstheme="minorHAnsi"/>
          <w:sz w:val="24"/>
          <w:szCs w:val="24"/>
        </w:rPr>
        <w:footnoteReference w:id="29"/>
      </w:r>
      <w:r w:rsidR="0060480D" w:rsidRPr="009D7C5D">
        <w:rPr>
          <w:rFonts w:asciiTheme="minorHAnsi" w:hAnsiTheme="minorHAnsi" w:cstheme="minorHAnsi"/>
          <w:sz w:val="24"/>
          <w:szCs w:val="24"/>
        </w:rPr>
        <w:t xml:space="preserve"> This misunderstanding is compounded by Hobbesian notions of </w:t>
      </w:r>
      <w:r w:rsidR="00007E88" w:rsidRPr="009D7C5D">
        <w:rPr>
          <w:rFonts w:asciiTheme="minorHAnsi" w:hAnsiTheme="minorHAnsi" w:cstheme="minorHAnsi"/>
          <w:sz w:val="24"/>
          <w:szCs w:val="24"/>
        </w:rPr>
        <w:t xml:space="preserve">ancient </w:t>
      </w:r>
      <w:r w:rsidR="0060480D" w:rsidRPr="009D7C5D">
        <w:rPr>
          <w:rFonts w:asciiTheme="minorHAnsi" w:hAnsiTheme="minorHAnsi" w:cstheme="minorHAnsi"/>
          <w:sz w:val="24"/>
          <w:szCs w:val="24"/>
        </w:rPr>
        <w:t>life as “nasty, brutish, and short”, abandoned by anthropology since the 1960’s.</w:t>
      </w:r>
      <w:r w:rsidR="0060480D" w:rsidRPr="009D7C5D">
        <w:rPr>
          <w:rStyle w:val="FootnoteReference"/>
          <w:rFonts w:asciiTheme="minorHAnsi" w:hAnsiTheme="minorHAnsi" w:cstheme="minorHAnsi"/>
          <w:sz w:val="24"/>
          <w:szCs w:val="24"/>
        </w:rPr>
        <w:footnoteReference w:id="30"/>
      </w:r>
      <w:r w:rsidR="0060480D" w:rsidRPr="009D7C5D">
        <w:rPr>
          <w:rFonts w:asciiTheme="minorHAnsi" w:hAnsiTheme="minorHAnsi" w:cstheme="minorHAnsi"/>
          <w:sz w:val="24"/>
          <w:szCs w:val="24"/>
        </w:rPr>
        <w:t xml:space="preserve"> Human beings do not in general seem to have a problem with fertility.</w:t>
      </w:r>
      <w:r w:rsidR="00A248A0">
        <w:rPr>
          <w:rStyle w:val="FootnoteReference"/>
          <w:rFonts w:asciiTheme="minorHAnsi" w:hAnsiTheme="minorHAnsi" w:cstheme="minorHAnsi"/>
          <w:sz w:val="24"/>
          <w:szCs w:val="24"/>
        </w:rPr>
        <w:footnoteReference w:id="31"/>
      </w:r>
      <w:r w:rsidR="0060480D" w:rsidRPr="009D7C5D">
        <w:rPr>
          <w:rFonts w:asciiTheme="minorHAnsi" w:hAnsiTheme="minorHAnsi" w:cstheme="minorHAnsi"/>
          <w:sz w:val="24"/>
          <w:szCs w:val="24"/>
        </w:rPr>
        <w:t xml:space="preserve"> Although </w:t>
      </w:r>
      <w:r w:rsidR="00380211" w:rsidRPr="009D7C5D">
        <w:rPr>
          <w:rFonts w:asciiTheme="minorHAnsi" w:hAnsiTheme="minorHAnsi" w:cstheme="minorHAnsi"/>
          <w:sz w:val="24"/>
          <w:szCs w:val="24"/>
        </w:rPr>
        <w:t xml:space="preserve">pre-modern </w:t>
      </w:r>
      <w:r w:rsidR="0060480D" w:rsidRPr="009D7C5D">
        <w:rPr>
          <w:rFonts w:asciiTheme="minorHAnsi" w:hAnsiTheme="minorHAnsi" w:cstheme="minorHAnsi"/>
          <w:sz w:val="24"/>
          <w:szCs w:val="24"/>
        </w:rPr>
        <w:t>level</w:t>
      </w:r>
      <w:r w:rsidR="00380211" w:rsidRPr="009D7C5D">
        <w:rPr>
          <w:rFonts w:asciiTheme="minorHAnsi" w:hAnsiTheme="minorHAnsi" w:cstheme="minorHAnsi"/>
          <w:sz w:val="24"/>
          <w:szCs w:val="24"/>
        </w:rPr>
        <w:t>s</w:t>
      </w:r>
      <w:r w:rsidR="0060480D" w:rsidRPr="009D7C5D">
        <w:rPr>
          <w:rFonts w:asciiTheme="minorHAnsi" w:hAnsiTheme="minorHAnsi" w:cstheme="minorHAnsi"/>
          <w:sz w:val="24"/>
          <w:szCs w:val="24"/>
        </w:rPr>
        <w:t xml:space="preserve"> of child mortality would require more births per woman than currently in order to maintain population levels, communities also had to ensure that population did not </w:t>
      </w:r>
      <w:r w:rsidR="0060480D" w:rsidRPr="009D7C5D">
        <w:rPr>
          <w:rFonts w:asciiTheme="minorHAnsi" w:hAnsiTheme="minorHAnsi" w:cstheme="minorHAnsi"/>
          <w:sz w:val="24"/>
          <w:szCs w:val="24"/>
        </w:rPr>
        <w:lastRenderedPageBreak/>
        <w:t>expand beyond available resources.</w:t>
      </w:r>
      <w:r w:rsidR="00261B02">
        <w:rPr>
          <w:rStyle w:val="FootnoteReference"/>
          <w:rFonts w:asciiTheme="minorHAnsi" w:hAnsiTheme="minorHAnsi" w:cstheme="minorHAnsi"/>
          <w:sz w:val="24"/>
          <w:szCs w:val="24"/>
        </w:rPr>
        <w:footnoteReference w:id="32"/>
      </w:r>
      <w:r w:rsidR="0060480D" w:rsidRPr="009D7C5D">
        <w:rPr>
          <w:rFonts w:asciiTheme="minorHAnsi" w:hAnsiTheme="minorHAnsi" w:cstheme="minorHAnsi"/>
          <w:sz w:val="24"/>
          <w:szCs w:val="24"/>
        </w:rPr>
        <w:t xml:space="preserve"> </w:t>
      </w:r>
      <w:r w:rsidR="00007E88" w:rsidRPr="009D7C5D">
        <w:rPr>
          <w:rFonts w:asciiTheme="minorHAnsi" w:hAnsiTheme="minorHAnsi" w:cstheme="minorHAnsi"/>
          <w:sz w:val="24"/>
          <w:szCs w:val="24"/>
        </w:rPr>
        <w:t xml:space="preserve">It may reasonably be argued that most individual women, then as now, had more concern for avoiding pregnancy. An excess of births was a problem, as demonstrated by the continuing practice of the ‘exposure’ of infants </w:t>
      </w:r>
      <w:r w:rsidR="00CE764B" w:rsidRPr="009D7C5D">
        <w:rPr>
          <w:rFonts w:asciiTheme="minorHAnsi" w:hAnsiTheme="minorHAnsi" w:cstheme="minorHAnsi"/>
          <w:sz w:val="24"/>
          <w:szCs w:val="24"/>
        </w:rPr>
        <w:t xml:space="preserve">up to Classical times </w:t>
      </w:r>
      <w:r w:rsidR="00007E88" w:rsidRPr="009D7C5D">
        <w:rPr>
          <w:rFonts w:asciiTheme="minorHAnsi" w:hAnsiTheme="minorHAnsi" w:cstheme="minorHAnsi"/>
          <w:sz w:val="24"/>
          <w:szCs w:val="24"/>
        </w:rPr>
        <w:t>- something even done by royalty, as in the Oedipus story.</w:t>
      </w:r>
      <w:r w:rsidR="00A26BE6" w:rsidRPr="009D7C5D">
        <w:rPr>
          <w:rStyle w:val="FootnoteReference"/>
          <w:rFonts w:asciiTheme="minorHAnsi" w:hAnsiTheme="minorHAnsi" w:cstheme="minorHAnsi"/>
          <w:sz w:val="24"/>
          <w:szCs w:val="24"/>
        </w:rPr>
        <w:footnoteReference w:id="33"/>
      </w:r>
      <w:r w:rsidR="00007E88" w:rsidRPr="009D7C5D">
        <w:rPr>
          <w:rFonts w:asciiTheme="minorHAnsi" w:hAnsiTheme="minorHAnsi" w:cstheme="minorHAnsi"/>
          <w:sz w:val="24"/>
          <w:szCs w:val="24"/>
        </w:rPr>
        <w:t xml:space="preserve"> </w:t>
      </w:r>
    </w:p>
    <w:p w14:paraId="1BEA4709" w14:textId="40390B13" w:rsidR="0060480D" w:rsidRPr="009D7C5D" w:rsidRDefault="00007E88"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sz w:val="24"/>
          <w:szCs w:val="24"/>
        </w:rPr>
        <w:t>Actual</w:t>
      </w:r>
      <w:r w:rsidR="00C25FD1">
        <w:rPr>
          <w:rFonts w:asciiTheme="minorHAnsi" w:hAnsiTheme="minorHAnsi" w:cstheme="minorHAnsi"/>
          <w:sz w:val="24"/>
          <w:szCs w:val="24"/>
        </w:rPr>
        <w:t>ly giving</w:t>
      </w:r>
      <w:r w:rsidRPr="009D7C5D">
        <w:rPr>
          <w:rFonts w:asciiTheme="minorHAnsi" w:hAnsiTheme="minorHAnsi" w:cstheme="minorHAnsi"/>
          <w:sz w:val="24"/>
          <w:szCs w:val="24"/>
        </w:rPr>
        <w:t xml:space="preserve"> birth was a very different matter, usually fairly traumatic, often lethal</w:t>
      </w:r>
      <w:r w:rsidR="00665D1C">
        <w:rPr>
          <w:rFonts w:asciiTheme="minorHAnsi" w:hAnsiTheme="minorHAnsi" w:cstheme="minorHAnsi"/>
          <w:sz w:val="24"/>
          <w:szCs w:val="24"/>
        </w:rPr>
        <w:t xml:space="preserve">. </w:t>
      </w:r>
      <w:r w:rsidR="00665D1C" w:rsidRPr="009D7C5D">
        <w:rPr>
          <w:rFonts w:asciiTheme="minorHAnsi" w:hAnsiTheme="minorHAnsi" w:cstheme="minorHAnsi"/>
          <w:sz w:val="24"/>
          <w:szCs w:val="24"/>
        </w:rPr>
        <w:t>This writer finds it impossible to recognise Potnia Pomos as in ‘birthing posture’. Some Cypriot figurines do show an emerging child,</w:t>
      </w:r>
      <w:r w:rsidR="00B67C61">
        <w:rPr>
          <w:rStyle w:val="FootnoteReference"/>
          <w:rFonts w:asciiTheme="minorHAnsi" w:hAnsiTheme="minorHAnsi" w:cstheme="minorHAnsi"/>
          <w:sz w:val="24"/>
          <w:szCs w:val="24"/>
        </w:rPr>
        <w:footnoteReference w:id="34"/>
      </w:r>
      <w:r w:rsidR="00665D1C" w:rsidRPr="009D7C5D">
        <w:rPr>
          <w:rFonts w:asciiTheme="minorHAnsi" w:hAnsiTheme="minorHAnsi" w:cstheme="minorHAnsi"/>
          <w:sz w:val="24"/>
          <w:szCs w:val="24"/>
        </w:rPr>
        <w:t xml:space="preserve"> but She does not: her knees are close together, not at all appropriate for birthing. Indeed only the widening of the hips (and absence of a penis) would indicate Her as female at all: no breasts are indicated, nor pubic area. Her belly is quite flat, wholly unlike that of pregnancy.</w:t>
      </w:r>
      <w:r w:rsidR="00665D1C">
        <w:rPr>
          <w:rStyle w:val="FootnoteReference"/>
          <w:rFonts w:asciiTheme="minorHAnsi" w:hAnsiTheme="minorHAnsi" w:cstheme="minorHAnsi"/>
          <w:sz w:val="24"/>
          <w:szCs w:val="24"/>
        </w:rPr>
        <w:footnoteReference w:id="35"/>
      </w:r>
      <w:r w:rsidR="00665D1C" w:rsidRPr="009D7C5D">
        <w:rPr>
          <w:rFonts w:asciiTheme="minorHAnsi" w:hAnsiTheme="minorHAnsi" w:cstheme="minorHAnsi"/>
          <w:sz w:val="24"/>
          <w:szCs w:val="24"/>
        </w:rPr>
        <w:t xml:space="preserve"> It is easy to speculate that some of the </w:t>
      </w:r>
      <w:r w:rsidR="00665D1C">
        <w:rPr>
          <w:rFonts w:asciiTheme="minorHAnsi" w:hAnsiTheme="minorHAnsi" w:cstheme="minorHAnsi"/>
          <w:sz w:val="24"/>
          <w:szCs w:val="24"/>
        </w:rPr>
        <w:t xml:space="preserve">many Cypriot </w:t>
      </w:r>
      <w:r w:rsidR="00665D1C" w:rsidRPr="009D7C5D">
        <w:rPr>
          <w:rFonts w:asciiTheme="minorHAnsi" w:hAnsiTheme="minorHAnsi" w:cstheme="minorHAnsi"/>
          <w:sz w:val="24"/>
          <w:szCs w:val="24"/>
        </w:rPr>
        <w:t>figurines were meant to be clenched in the fist by women during labour - effectively therefore making them representations of a</w:t>
      </w:r>
      <w:r w:rsidR="00665D1C">
        <w:rPr>
          <w:rFonts w:asciiTheme="minorHAnsi" w:hAnsiTheme="minorHAnsi" w:cstheme="minorHAnsi"/>
          <w:sz w:val="24"/>
          <w:szCs w:val="24"/>
        </w:rPr>
        <w:t>n assisting</w:t>
      </w:r>
      <w:r w:rsidR="00665D1C" w:rsidRPr="009D7C5D">
        <w:rPr>
          <w:rFonts w:asciiTheme="minorHAnsi" w:hAnsiTheme="minorHAnsi" w:cstheme="minorHAnsi"/>
          <w:sz w:val="24"/>
          <w:szCs w:val="24"/>
        </w:rPr>
        <w:t xml:space="preserve"> ‘Midwife Goddess’</w:t>
      </w:r>
      <w:r w:rsidR="00665D1C" w:rsidRPr="009D7C5D">
        <w:rPr>
          <w:rStyle w:val="FootnoteReference"/>
          <w:rFonts w:asciiTheme="minorHAnsi" w:hAnsiTheme="minorHAnsi" w:cstheme="minorHAnsi"/>
          <w:sz w:val="24"/>
          <w:szCs w:val="24"/>
        </w:rPr>
        <w:footnoteReference w:id="36"/>
      </w:r>
      <w:r w:rsidR="00D817D8">
        <w:rPr>
          <w:rFonts w:asciiTheme="minorHAnsi" w:hAnsiTheme="minorHAnsi" w:cstheme="minorHAnsi"/>
          <w:sz w:val="24"/>
          <w:szCs w:val="24"/>
        </w:rPr>
        <w:t>,</w:t>
      </w:r>
      <w:r w:rsidR="00665D1C" w:rsidRPr="009D7C5D">
        <w:rPr>
          <w:rFonts w:asciiTheme="minorHAnsi" w:hAnsiTheme="minorHAnsi" w:cstheme="minorHAnsi"/>
          <w:sz w:val="24"/>
          <w:szCs w:val="24"/>
        </w:rPr>
        <w:t xml:space="preserve"> </w:t>
      </w:r>
      <w:r w:rsidR="00C24C23" w:rsidRPr="009D7C5D">
        <w:rPr>
          <w:rFonts w:asciiTheme="minorHAnsi" w:hAnsiTheme="minorHAnsi" w:cstheme="minorHAnsi"/>
          <w:sz w:val="24"/>
          <w:szCs w:val="24"/>
        </w:rPr>
        <w:t xml:space="preserve">the desire for </w:t>
      </w:r>
      <w:r w:rsidR="00C24C23">
        <w:rPr>
          <w:rFonts w:asciiTheme="minorHAnsi" w:hAnsiTheme="minorHAnsi" w:cstheme="minorHAnsi"/>
          <w:sz w:val="24"/>
          <w:szCs w:val="24"/>
        </w:rPr>
        <w:t xml:space="preserve">divine </w:t>
      </w:r>
      <w:r w:rsidR="00C24C23" w:rsidRPr="009D7C5D">
        <w:rPr>
          <w:rFonts w:asciiTheme="minorHAnsi" w:hAnsiTheme="minorHAnsi" w:cstheme="minorHAnsi"/>
          <w:sz w:val="24"/>
          <w:szCs w:val="24"/>
        </w:rPr>
        <w:t xml:space="preserve">support </w:t>
      </w:r>
      <w:r w:rsidR="00C24C23">
        <w:rPr>
          <w:rFonts w:asciiTheme="minorHAnsi" w:hAnsiTheme="minorHAnsi" w:cstheme="minorHAnsi"/>
          <w:sz w:val="24"/>
          <w:szCs w:val="24"/>
        </w:rPr>
        <w:t xml:space="preserve">from such a being </w:t>
      </w:r>
      <w:r w:rsidR="00C24C23" w:rsidRPr="009D7C5D">
        <w:rPr>
          <w:rFonts w:asciiTheme="minorHAnsi" w:hAnsiTheme="minorHAnsi" w:cstheme="minorHAnsi"/>
          <w:sz w:val="24"/>
          <w:szCs w:val="24"/>
        </w:rPr>
        <w:t>entirely understandable.</w:t>
      </w:r>
      <w:r w:rsidR="00C24C23">
        <w:rPr>
          <w:rStyle w:val="FootnoteReference"/>
          <w:rFonts w:asciiTheme="minorHAnsi" w:hAnsiTheme="minorHAnsi" w:cstheme="minorHAnsi"/>
          <w:sz w:val="24"/>
          <w:szCs w:val="24"/>
        </w:rPr>
        <w:footnoteReference w:id="37"/>
      </w:r>
      <w:r w:rsidR="00C24C23" w:rsidRPr="009D7C5D">
        <w:rPr>
          <w:rFonts w:asciiTheme="minorHAnsi" w:hAnsiTheme="minorHAnsi" w:cstheme="minorHAnsi"/>
          <w:sz w:val="24"/>
          <w:szCs w:val="24"/>
        </w:rPr>
        <w:t xml:space="preserve"> </w:t>
      </w:r>
      <w:r w:rsidR="00665D1C" w:rsidRPr="009D7C5D">
        <w:rPr>
          <w:rFonts w:asciiTheme="minorHAnsi" w:hAnsiTheme="minorHAnsi" w:cstheme="minorHAnsi"/>
          <w:sz w:val="24"/>
          <w:szCs w:val="24"/>
        </w:rPr>
        <w:t>However, at about 15cm tall, Potnia Pomos is one of the largest of the figurines known from Cyprus,</w:t>
      </w:r>
      <w:r w:rsidR="00665D1C">
        <w:rPr>
          <w:rStyle w:val="FootnoteReference"/>
          <w:rFonts w:asciiTheme="minorHAnsi" w:hAnsiTheme="minorHAnsi" w:cstheme="minorHAnsi"/>
          <w:sz w:val="24"/>
          <w:szCs w:val="24"/>
        </w:rPr>
        <w:footnoteReference w:id="38"/>
      </w:r>
      <w:r w:rsidR="00665D1C" w:rsidRPr="009D7C5D">
        <w:rPr>
          <w:rFonts w:asciiTheme="minorHAnsi" w:hAnsiTheme="minorHAnsi" w:cstheme="minorHAnsi"/>
          <w:sz w:val="24"/>
          <w:szCs w:val="24"/>
        </w:rPr>
        <w:t xml:space="preserve"> rather too large to </w:t>
      </w:r>
      <w:r w:rsidR="00665D1C" w:rsidRPr="009D7C5D">
        <w:rPr>
          <w:rFonts w:asciiTheme="minorHAnsi" w:hAnsiTheme="minorHAnsi" w:cstheme="minorHAnsi"/>
          <w:sz w:val="24"/>
          <w:szCs w:val="24"/>
        </w:rPr>
        <w:lastRenderedPageBreak/>
        <w:t>be so used - the more common figurines at 5-6 cm would be more appropriate.</w:t>
      </w:r>
      <w:r w:rsidR="00C24C23">
        <w:rPr>
          <w:rFonts w:asciiTheme="minorHAnsi" w:hAnsiTheme="minorHAnsi" w:cstheme="minorHAnsi"/>
          <w:sz w:val="24"/>
          <w:szCs w:val="24"/>
        </w:rPr>
        <w:t xml:space="preserve"> It may also be noted that a</w:t>
      </w:r>
      <w:r w:rsidRPr="009D7C5D">
        <w:rPr>
          <w:rFonts w:asciiTheme="minorHAnsi" w:hAnsiTheme="minorHAnsi" w:cstheme="minorHAnsi"/>
          <w:sz w:val="24"/>
          <w:szCs w:val="24"/>
        </w:rPr>
        <w:t>nimals also generally have little problem in producing offspring.</w:t>
      </w:r>
      <w:r w:rsidR="00A902A5">
        <w:rPr>
          <w:rStyle w:val="FootnoteReference"/>
          <w:rFonts w:asciiTheme="minorHAnsi" w:hAnsiTheme="minorHAnsi" w:cstheme="minorHAnsi"/>
          <w:sz w:val="24"/>
          <w:szCs w:val="24"/>
        </w:rPr>
        <w:footnoteReference w:id="39"/>
      </w:r>
      <w:r w:rsidRPr="009D7C5D">
        <w:rPr>
          <w:rFonts w:asciiTheme="minorHAnsi" w:hAnsiTheme="minorHAnsi" w:cstheme="minorHAnsi"/>
          <w:sz w:val="24"/>
          <w:szCs w:val="24"/>
        </w:rPr>
        <w:t xml:space="preserve"> </w:t>
      </w:r>
    </w:p>
    <w:p w14:paraId="2B49F9C9" w14:textId="59ACAFF5" w:rsidR="000F31F4" w:rsidRDefault="00AC078A"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sz w:val="24"/>
          <w:szCs w:val="24"/>
        </w:rPr>
        <w:t xml:space="preserve">Abandoning the tired tropes of ‘fertility’, Düring has recently proposed a rather different interpretation of Potnia Pomos as </w:t>
      </w:r>
      <w:r w:rsidR="007D7341" w:rsidRPr="009D7C5D">
        <w:rPr>
          <w:rFonts w:asciiTheme="minorHAnsi" w:hAnsiTheme="minorHAnsi" w:cstheme="minorHAnsi"/>
          <w:sz w:val="24"/>
          <w:szCs w:val="24"/>
        </w:rPr>
        <w:t>a dancer.</w:t>
      </w:r>
      <w:r w:rsidR="007D7341" w:rsidRPr="009D7C5D">
        <w:rPr>
          <w:rStyle w:val="FootnoteReference"/>
          <w:rFonts w:asciiTheme="minorHAnsi" w:hAnsiTheme="minorHAnsi" w:cstheme="minorHAnsi"/>
          <w:sz w:val="24"/>
          <w:szCs w:val="24"/>
        </w:rPr>
        <w:footnoteReference w:id="40"/>
      </w:r>
      <w:r w:rsidR="007D7341" w:rsidRPr="009D7C5D">
        <w:rPr>
          <w:rFonts w:asciiTheme="minorHAnsi" w:hAnsiTheme="minorHAnsi" w:cstheme="minorHAnsi"/>
          <w:sz w:val="24"/>
          <w:szCs w:val="24"/>
        </w:rPr>
        <w:t xml:space="preserve"> This writer thinks </w:t>
      </w:r>
      <w:r w:rsidR="0079684D">
        <w:rPr>
          <w:rFonts w:asciiTheme="minorHAnsi" w:hAnsiTheme="minorHAnsi" w:cstheme="minorHAnsi"/>
          <w:sz w:val="24"/>
          <w:szCs w:val="24"/>
        </w:rPr>
        <w:t xml:space="preserve">however </w:t>
      </w:r>
      <w:r w:rsidR="007D7341" w:rsidRPr="009D7C5D">
        <w:rPr>
          <w:rFonts w:asciiTheme="minorHAnsi" w:hAnsiTheme="minorHAnsi" w:cstheme="minorHAnsi"/>
          <w:sz w:val="24"/>
          <w:szCs w:val="24"/>
        </w:rPr>
        <w:t>that she is mistaken. We certainly cannot assume any correspondence between ‘traditional (folk) dance’ as known in the present day and whatever was surely done five thousand years ago</w:t>
      </w:r>
      <w:r w:rsidR="00335D59" w:rsidRPr="009D7C5D">
        <w:rPr>
          <w:rFonts w:asciiTheme="minorHAnsi" w:hAnsiTheme="minorHAnsi" w:cstheme="minorHAnsi"/>
          <w:sz w:val="24"/>
          <w:szCs w:val="24"/>
        </w:rPr>
        <w:t xml:space="preserve">. </w:t>
      </w:r>
      <w:r w:rsidR="007D7341" w:rsidRPr="009D7C5D">
        <w:rPr>
          <w:rFonts w:asciiTheme="minorHAnsi" w:hAnsiTheme="minorHAnsi" w:cstheme="minorHAnsi"/>
          <w:sz w:val="24"/>
          <w:szCs w:val="24"/>
        </w:rPr>
        <w:t xml:space="preserve">On the other hand, </w:t>
      </w:r>
      <w:r w:rsidR="00512E22" w:rsidRPr="009D7C5D">
        <w:rPr>
          <w:rFonts w:asciiTheme="minorHAnsi" w:hAnsiTheme="minorHAnsi" w:cstheme="minorHAnsi"/>
          <w:sz w:val="24"/>
          <w:szCs w:val="24"/>
        </w:rPr>
        <w:t>ancient images of dancers</w:t>
      </w:r>
      <w:r w:rsidR="008F2E96" w:rsidRPr="009D7C5D">
        <w:rPr>
          <w:rFonts w:asciiTheme="minorHAnsi" w:hAnsiTheme="minorHAnsi" w:cstheme="minorHAnsi"/>
          <w:sz w:val="24"/>
          <w:szCs w:val="24"/>
        </w:rPr>
        <w:t xml:space="preserve">, as </w:t>
      </w:r>
      <w:r w:rsidR="00D515A0" w:rsidRPr="009D7C5D">
        <w:rPr>
          <w:rFonts w:asciiTheme="minorHAnsi" w:hAnsiTheme="minorHAnsi" w:cstheme="minorHAnsi"/>
          <w:sz w:val="24"/>
          <w:szCs w:val="24"/>
        </w:rPr>
        <w:t xml:space="preserve">illustrated </w:t>
      </w:r>
      <w:r w:rsidR="008F2E96" w:rsidRPr="009D7C5D">
        <w:rPr>
          <w:rFonts w:asciiTheme="minorHAnsi" w:hAnsiTheme="minorHAnsi" w:cstheme="minorHAnsi"/>
          <w:sz w:val="24"/>
          <w:szCs w:val="24"/>
        </w:rPr>
        <w:t>below, fr</w:t>
      </w:r>
      <w:r w:rsidR="00512E22" w:rsidRPr="009D7C5D">
        <w:rPr>
          <w:rFonts w:asciiTheme="minorHAnsi" w:hAnsiTheme="minorHAnsi" w:cstheme="minorHAnsi"/>
          <w:sz w:val="24"/>
          <w:szCs w:val="24"/>
        </w:rPr>
        <w:t>om up to 2500 years ago, appear indistinguishable from the modern tradition.</w:t>
      </w:r>
      <w:r w:rsidR="008F2E96" w:rsidRPr="009D7C5D">
        <w:rPr>
          <w:rFonts w:asciiTheme="minorHAnsi" w:hAnsiTheme="minorHAnsi" w:cstheme="minorHAnsi"/>
          <w:sz w:val="24"/>
          <w:szCs w:val="24"/>
        </w:rPr>
        <w:t xml:space="preserve"> The Lady’s posture may be described in balletic terminology as ‘demi-plié’, feet in sixth position - it might well be considered to indicate stasis, or imminent emergence from such, rather than any sort of movement.</w:t>
      </w:r>
      <w:r w:rsidR="00A20819">
        <w:rPr>
          <w:rStyle w:val="FootnoteReference"/>
          <w:rFonts w:asciiTheme="minorHAnsi" w:hAnsiTheme="minorHAnsi" w:cstheme="minorHAnsi"/>
          <w:sz w:val="24"/>
          <w:szCs w:val="24"/>
        </w:rPr>
        <w:footnoteReference w:id="41"/>
      </w:r>
      <w:r w:rsidR="008F2E96" w:rsidRPr="009D7C5D">
        <w:rPr>
          <w:rFonts w:asciiTheme="minorHAnsi" w:hAnsiTheme="minorHAnsi" w:cstheme="minorHAnsi"/>
          <w:sz w:val="24"/>
          <w:szCs w:val="24"/>
        </w:rPr>
        <w:t xml:space="preserve"> To the best of </w:t>
      </w:r>
      <w:r w:rsidR="00D515A0" w:rsidRPr="009D7C5D">
        <w:rPr>
          <w:rFonts w:asciiTheme="minorHAnsi" w:hAnsiTheme="minorHAnsi" w:cstheme="minorHAnsi"/>
          <w:sz w:val="24"/>
          <w:szCs w:val="24"/>
        </w:rPr>
        <w:t xml:space="preserve">this writer’s </w:t>
      </w:r>
      <w:r w:rsidR="008F2E96" w:rsidRPr="009D7C5D">
        <w:rPr>
          <w:rFonts w:asciiTheme="minorHAnsi" w:hAnsiTheme="minorHAnsi" w:cstheme="minorHAnsi"/>
          <w:sz w:val="24"/>
          <w:szCs w:val="24"/>
        </w:rPr>
        <w:t>knowledge, such a position occurs nowhere in the modern repertoire of Greek traditional dance.</w:t>
      </w:r>
      <w:r w:rsidR="008F2E96" w:rsidRPr="009D7C5D">
        <w:rPr>
          <w:rStyle w:val="FootnoteReference"/>
          <w:rFonts w:asciiTheme="minorHAnsi" w:hAnsiTheme="minorHAnsi" w:cstheme="minorHAnsi"/>
          <w:sz w:val="24"/>
          <w:szCs w:val="24"/>
        </w:rPr>
        <w:footnoteReference w:id="42"/>
      </w:r>
      <w:r w:rsidR="008F2E96" w:rsidRPr="009D7C5D">
        <w:rPr>
          <w:rFonts w:asciiTheme="minorHAnsi" w:hAnsiTheme="minorHAnsi" w:cstheme="minorHAnsi"/>
          <w:sz w:val="24"/>
          <w:szCs w:val="24"/>
        </w:rPr>
        <w:t xml:space="preserve"> </w:t>
      </w:r>
    </w:p>
    <w:p w14:paraId="10EFB63C" w14:textId="3D3E80D7" w:rsidR="000F31F4" w:rsidRDefault="000F31F4" w:rsidP="000F31F4">
      <w:pPr>
        <w:pStyle w:val="FootnoteText"/>
        <w:spacing w:after="120"/>
        <w:rPr>
          <w:rFonts w:asciiTheme="minorHAnsi" w:hAnsiTheme="minorHAnsi" w:cstheme="minorHAnsi"/>
          <w:i/>
          <w:iCs/>
          <w:sz w:val="24"/>
          <w:szCs w:val="24"/>
        </w:rPr>
      </w:pPr>
      <w:r w:rsidRPr="009D7C5D">
        <w:rPr>
          <w:rFonts w:asciiTheme="minorHAnsi" w:hAnsiTheme="minorHAnsi" w:cstheme="minorHAnsi"/>
          <w:noProof/>
          <w:sz w:val="24"/>
          <w:szCs w:val="24"/>
        </w:rPr>
        <w:drawing>
          <wp:anchor distT="0" distB="0" distL="114300" distR="114300" simplePos="0" relativeHeight="251672576" behindDoc="0" locked="0" layoutInCell="1" allowOverlap="1" wp14:anchorId="042308A1" wp14:editId="21E19A0A">
            <wp:simplePos x="0" y="0"/>
            <wp:positionH relativeFrom="margin">
              <wp:align>left</wp:align>
            </wp:positionH>
            <wp:positionV relativeFrom="paragraph">
              <wp:posOffset>14633</wp:posOffset>
            </wp:positionV>
            <wp:extent cx="2795905" cy="1574800"/>
            <wp:effectExtent l="0" t="0" r="4445" b="6350"/>
            <wp:wrapSquare wrapText="bothSides"/>
            <wp:docPr id="903775417" name="Picture 2" descr="Attic Black-Figure Kylix, ca. 560 BCE by the C Painter depicting nereids dancing in a line. Source: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ttic Black-Figure Kylix, ca. 560 BCE by the C Painter depicting nereids dancing in a line. Source: Wikimedia Comm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59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24"/>
          <w:szCs w:val="24"/>
        </w:rPr>
        <w:br/>
      </w:r>
      <w:r w:rsidRPr="006F7A49">
        <w:rPr>
          <w:rFonts w:asciiTheme="minorHAnsi" w:hAnsiTheme="minorHAnsi" w:cstheme="minorHAnsi"/>
          <w:i/>
          <w:iCs/>
          <w:sz w:val="24"/>
          <w:szCs w:val="24"/>
        </w:rPr>
        <w:t xml:space="preserve">Attic Black-Figure Kylix, ca. 560 BCE by the </w:t>
      </w:r>
      <w:r>
        <w:rPr>
          <w:rFonts w:asciiTheme="minorHAnsi" w:hAnsiTheme="minorHAnsi" w:cstheme="minorHAnsi"/>
          <w:i/>
          <w:iCs/>
          <w:sz w:val="24"/>
          <w:szCs w:val="24"/>
        </w:rPr>
        <w:t>‘</w:t>
      </w:r>
      <w:r w:rsidRPr="006F7A49">
        <w:rPr>
          <w:rFonts w:asciiTheme="minorHAnsi" w:hAnsiTheme="minorHAnsi" w:cstheme="minorHAnsi"/>
          <w:i/>
          <w:iCs/>
          <w:sz w:val="24"/>
          <w:szCs w:val="24"/>
        </w:rPr>
        <w:t>C Painter</w:t>
      </w:r>
      <w:r>
        <w:rPr>
          <w:rFonts w:asciiTheme="minorHAnsi" w:hAnsiTheme="minorHAnsi" w:cstheme="minorHAnsi"/>
          <w:i/>
          <w:iCs/>
          <w:sz w:val="24"/>
          <w:szCs w:val="24"/>
        </w:rPr>
        <w:t>’</w:t>
      </w:r>
      <w:r w:rsidRPr="006F7A49">
        <w:rPr>
          <w:rFonts w:asciiTheme="minorHAnsi" w:hAnsiTheme="minorHAnsi" w:cstheme="minorHAnsi"/>
          <w:i/>
          <w:iCs/>
          <w:sz w:val="24"/>
          <w:szCs w:val="24"/>
        </w:rPr>
        <w:t xml:space="preserve"> depicting the Subjugation of Thetis. This view shows the dancing Nereids.</w:t>
      </w:r>
      <w:r w:rsidRPr="00516F20">
        <w:rPr>
          <w:rStyle w:val="FootnoteReference"/>
          <w:rFonts w:asciiTheme="minorHAnsi" w:hAnsiTheme="minorHAnsi" w:cstheme="minorHAnsi"/>
          <w:sz w:val="24"/>
          <w:szCs w:val="24"/>
        </w:rPr>
        <w:footnoteReference w:id="43"/>
      </w:r>
    </w:p>
    <w:p w14:paraId="39C2F6C5" w14:textId="2C3D0D93" w:rsidR="000F31F4" w:rsidRDefault="000F31F4" w:rsidP="009D7C5D">
      <w:pPr>
        <w:pStyle w:val="FootnoteText"/>
        <w:spacing w:afterLines="240" w:after="576" w:line="360" w:lineRule="auto"/>
        <w:rPr>
          <w:rFonts w:asciiTheme="minorHAnsi" w:hAnsiTheme="minorHAnsi" w:cstheme="minorHAnsi"/>
          <w:sz w:val="24"/>
          <w:szCs w:val="24"/>
        </w:rPr>
      </w:pPr>
    </w:p>
    <w:p w14:paraId="33FD5D22" w14:textId="1359FB52" w:rsidR="00AC078A" w:rsidRPr="009D7C5D" w:rsidRDefault="000F31F4" w:rsidP="009D7C5D">
      <w:pPr>
        <w:pStyle w:val="FootnoteText"/>
        <w:spacing w:afterLines="240" w:after="576" w:line="360" w:lineRule="auto"/>
        <w:rPr>
          <w:rFonts w:asciiTheme="minorHAnsi" w:hAnsiTheme="minorHAnsi" w:cstheme="minorHAnsi"/>
          <w:sz w:val="24"/>
          <w:szCs w:val="24"/>
        </w:rPr>
      </w:pPr>
      <w:r w:rsidRPr="009D7C5D">
        <w:rPr>
          <w:rFonts w:asciiTheme="minorHAnsi" w:hAnsiTheme="minorHAnsi" w:cstheme="minorHAnsi"/>
          <w:noProof/>
          <w:sz w:val="24"/>
          <w:szCs w:val="24"/>
        </w:rPr>
        <w:lastRenderedPageBreak/>
        <w:drawing>
          <wp:anchor distT="0" distB="0" distL="114300" distR="114300" simplePos="0" relativeHeight="251665408" behindDoc="0" locked="0" layoutInCell="1" allowOverlap="1" wp14:anchorId="39E9044F" wp14:editId="7E0B2D4F">
            <wp:simplePos x="0" y="0"/>
            <wp:positionH relativeFrom="margin">
              <wp:align>left</wp:align>
            </wp:positionH>
            <wp:positionV relativeFrom="paragraph">
              <wp:posOffset>845571</wp:posOffset>
            </wp:positionV>
            <wp:extent cx="3430905" cy="1539240"/>
            <wp:effectExtent l="0" t="0" r="0" b="3810"/>
            <wp:wrapSquare wrapText="bothSides"/>
            <wp:docPr id="1208906055" name="Picture 3" descr="A group of women danc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06055" name="Picture 3" descr="A group of women dancing&#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0905"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008F2E96" w:rsidRPr="009D7C5D">
        <w:rPr>
          <w:rFonts w:asciiTheme="minorHAnsi" w:hAnsiTheme="minorHAnsi" w:cstheme="minorHAnsi"/>
          <w:sz w:val="24"/>
          <w:szCs w:val="24"/>
        </w:rPr>
        <w:t xml:space="preserve">Additionally, </w:t>
      </w:r>
      <w:r w:rsidR="00335D59" w:rsidRPr="009D7C5D">
        <w:rPr>
          <w:rFonts w:asciiTheme="minorHAnsi" w:hAnsiTheme="minorHAnsi" w:cstheme="minorHAnsi"/>
          <w:sz w:val="24"/>
          <w:szCs w:val="24"/>
        </w:rPr>
        <w:t>H</w:t>
      </w:r>
      <w:r w:rsidR="008F2E96" w:rsidRPr="009D7C5D">
        <w:rPr>
          <w:rFonts w:asciiTheme="minorHAnsi" w:hAnsiTheme="minorHAnsi" w:cstheme="minorHAnsi"/>
          <w:sz w:val="24"/>
          <w:szCs w:val="24"/>
        </w:rPr>
        <w:t>er arms are held out in ‘shoulder</w:t>
      </w:r>
      <w:r w:rsidR="00335D59" w:rsidRPr="009D7C5D">
        <w:rPr>
          <w:rFonts w:asciiTheme="minorHAnsi" w:hAnsiTheme="minorHAnsi" w:cstheme="minorHAnsi"/>
          <w:sz w:val="24"/>
          <w:szCs w:val="24"/>
        </w:rPr>
        <w:t>-</w:t>
      </w:r>
      <w:r w:rsidR="008F2E96" w:rsidRPr="009D7C5D">
        <w:rPr>
          <w:rFonts w:asciiTheme="minorHAnsi" w:hAnsiTheme="minorHAnsi" w:cstheme="minorHAnsi"/>
          <w:sz w:val="24"/>
          <w:szCs w:val="24"/>
        </w:rPr>
        <w:t xml:space="preserve">hold’ or T-position, which is not traditionally adopted </w:t>
      </w:r>
      <w:r w:rsidR="00A26BE6" w:rsidRPr="009D7C5D">
        <w:rPr>
          <w:rFonts w:asciiTheme="minorHAnsi" w:hAnsiTheme="minorHAnsi" w:cstheme="minorHAnsi"/>
          <w:sz w:val="24"/>
          <w:szCs w:val="24"/>
        </w:rPr>
        <w:t xml:space="preserve">in </w:t>
      </w:r>
      <w:r w:rsidR="008F2E96" w:rsidRPr="009D7C5D">
        <w:rPr>
          <w:rFonts w:asciiTheme="minorHAnsi" w:hAnsiTheme="minorHAnsi" w:cstheme="minorHAnsi"/>
          <w:sz w:val="24"/>
          <w:szCs w:val="24"/>
        </w:rPr>
        <w:t>women</w:t>
      </w:r>
      <w:r w:rsidR="00A26BE6" w:rsidRPr="009D7C5D">
        <w:rPr>
          <w:rFonts w:asciiTheme="minorHAnsi" w:hAnsiTheme="minorHAnsi" w:cstheme="minorHAnsi"/>
          <w:sz w:val="24"/>
          <w:szCs w:val="24"/>
        </w:rPr>
        <w:t>’s dance</w:t>
      </w:r>
      <w:r w:rsidR="00335D59" w:rsidRPr="009D7C5D">
        <w:rPr>
          <w:rFonts w:asciiTheme="minorHAnsi" w:hAnsiTheme="minorHAnsi" w:cstheme="minorHAnsi"/>
          <w:sz w:val="24"/>
          <w:szCs w:val="24"/>
        </w:rPr>
        <w:t>,</w:t>
      </w:r>
      <w:r w:rsidR="008F2E96" w:rsidRPr="009D7C5D">
        <w:rPr>
          <w:rFonts w:asciiTheme="minorHAnsi" w:hAnsiTheme="minorHAnsi" w:cstheme="minorHAnsi"/>
          <w:sz w:val="24"/>
          <w:szCs w:val="24"/>
        </w:rPr>
        <w:t xml:space="preserve"> but </w:t>
      </w:r>
      <w:r w:rsidR="00335D59" w:rsidRPr="009D7C5D">
        <w:rPr>
          <w:rFonts w:asciiTheme="minorHAnsi" w:hAnsiTheme="minorHAnsi" w:cstheme="minorHAnsi"/>
          <w:sz w:val="24"/>
          <w:szCs w:val="24"/>
        </w:rPr>
        <w:t xml:space="preserve">rather </w:t>
      </w:r>
      <w:r w:rsidR="008F2E96" w:rsidRPr="009D7C5D">
        <w:rPr>
          <w:rFonts w:asciiTheme="minorHAnsi" w:hAnsiTheme="minorHAnsi" w:cstheme="minorHAnsi"/>
          <w:sz w:val="24"/>
          <w:szCs w:val="24"/>
        </w:rPr>
        <w:t xml:space="preserve">belongs </w:t>
      </w:r>
      <w:r w:rsidR="00335D59" w:rsidRPr="009D7C5D">
        <w:rPr>
          <w:rFonts w:asciiTheme="minorHAnsi" w:hAnsiTheme="minorHAnsi" w:cstheme="minorHAnsi"/>
          <w:sz w:val="24"/>
          <w:szCs w:val="24"/>
        </w:rPr>
        <w:t>to "men’s dances” such as Hasapiko</w:t>
      </w:r>
      <w:r w:rsidR="008F2E96" w:rsidRPr="009D7C5D">
        <w:rPr>
          <w:rFonts w:asciiTheme="minorHAnsi" w:hAnsiTheme="minorHAnsi" w:cstheme="minorHAnsi"/>
          <w:sz w:val="24"/>
          <w:szCs w:val="24"/>
        </w:rPr>
        <w:t>.</w:t>
      </w:r>
      <w:r w:rsidR="008F2E96" w:rsidRPr="009D7C5D">
        <w:rPr>
          <w:rStyle w:val="FootnoteReference"/>
          <w:rFonts w:asciiTheme="minorHAnsi" w:hAnsiTheme="minorHAnsi" w:cstheme="minorHAnsi"/>
          <w:sz w:val="24"/>
          <w:szCs w:val="24"/>
        </w:rPr>
        <w:footnoteReference w:id="44"/>
      </w:r>
      <w:r w:rsidR="008F2E96" w:rsidRPr="009D7C5D">
        <w:rPr>
          <w:rFonts w:asciiTheme="minorHAnsi" w:hAnsiTheme="minorHAnsi" w:cstheme="minorHAnsi"/>
          <w:sz w:val="24"/>
          <w:szCs w:val="24"/>
        </w:rPr>
        <w:t xml:space="preserve"> </w:t>
      </w:r>
    </w:p>
    <w:p w14:paraId="5B61D6B9" w14:textId="17181E95" w:rsidR="002F3250" w:rsidRDefault="002F3250" w:rsidP="0079684D">
      <w:pPr>
        <w:pStyle w:val="FootnoteText"/>
        <w:spacing w:after="120"/>
        <w:rPr>
          <w:rFonts w:asciiTheme="minorHAnsi" w:hAnsiTheme="minorHAnsi" w:cstheme="minorHAnsi"/>
          <w:i/>
          <w:iCs/>
          <w:sz w:val="24"/>
          <w:szCs w:val="24"/>
        </w:rPr>
      </w:pPr>
    </w:p>
    <w:p w14:paraId="21B4A33C" w14:textId="77777777" w:rsidR="009814AF" w:rsidRPr="00516F20" w:rsidRDefault="009814AF" w:rsidP="009814AF">
      <w:pPr>
        <w:pStyle w:val="FootnoteText"/>
        <w:spacing w:after="120"/>
        <w:rPr>
          <w:rFonts w:asciiTheme="minorHAnsi" w:hAnsiTheme="minorHAnsi" w:cstheme="minorHAnsi"/>
          <w:sz w:val="24"/>
          <w:szCs w:val="24"/>
        </w:rPr>
      </w:pPr>
      <w:r w:rsidRPr="006F7A49">
        <w:rPr>
          <w:rFonts w:asciiTheme="minorHAnsi" w:hAnsiTheme="minorHAnsi" w:cstheme="minorHAnsi"/>
          <w:i/>
          <w:iCs/>
          <w:sz w:val="24"/>
          <w:szCs w:val="24"/>
        </w:rPr>
        <w:t>Image from ‘Tomb of the Dancers’</w:t>
      </w:r>
      <w:r w:rsidRPr="006F7A49">
        <w:rPr>
          <w:rFonts w:asciiTheme="minorHAnsi" w:hAnsiTheme="minorHAnsi" w:cstheme="minorHAnsi"/>
          <w:b/>
          <w:bCs/>
          <w:i/>
          <w:iCs/>
          <w:sz w:val="24"/>
          <w:szCs w:val="24"/>
        </w:rPr>
        <w:t xml:space="preserve">: </w:t>
      </w:r>
      <w:r w:rsidRPr="006F7A49">
        <w:rPr>
          <w:rFonts w:asciiTheme="minorHAnsi" w:hAnsiTheme="minorHAnsi" w:cstheme="minorHAnsi"/>
          <w:i/>
          <w:iCs/>
          <w:sz w:val="24"/>
          <w:szCs w:val="24"/>
        </w:rPr>
        <w:t>Peucetian tomb in Ruvo di Puglia, Italy</w:t>
      </w:r>
      <w:r w:rsidRPr="00516F20">
        <w:rPr>
          <w:rFonts w:asciiTheme="minorHAnsi" w:hAnsiTheme="minorHAnsi" w:cstheme="minorHAnsi"/>
          <w:sz w:val="24"/>
          <w:szCs w:val="24"/>
        </w:rPr>
        <w:t>.</w:t>
      </w:r>
      <w:r w:rsidRPr="00516F20">
        <w:rPr>
          <w:rStyle w:val="FootnoteReference"/>
          <w:rFonts w:asciiTheme="minorHAnsi" w:hAnsiTheme="minorHAnsi" w:cstheme="minorHAnsi"/>
          <w:sz w:val="24"/>
          <w:szCs w:val="24"/>
        </w:rPr>
        <w:footnoteReference w:id="45"/>
      </w:r>
    </w:p>
    <w:p w14:paraId="1E0A9E44" w14:textId="77777777" w:rsidR="002F3250" w:rsidRDefault="002F3250" w:rsidP="0079684D">
      <w:pPr>
        <w:pStyle w:val="FootnoteText"/>
        <w:spacing w:after="120"/>
        <w:rPr>
          <w:rFonts w:asciiTheme="minorHAnsi" w:hAnsiTheme="minorHAnsi" w:cstheme="minorHAnsi"/>
          <w:i/>
          <w:iCs/>
          <w:sz w:val="24"/>
          <w:szCs w:val="24"/>
        </w:rPr>
      </w:pPr>
    </w:p>
    <w:p w14:paraId="5BCA977E" w14:textId="77777777" w:rsidR="009814AF" w:rsidRDefault="009814AF" w:rsidP="0079684D">
      <w:pPr>
        <w:pStyle w:val="FootnoteText"/>
        <w:spacing w:after="120"/>
        <w:rPr>
          <w:rFonts w:asciiTheme="minorHAnsi" w:hAnsiTheme="minorHAnsi" w:cstheme="minorHAnsi"/>
          <w:i/>
          <w:iCs/>
          <w:sz w:val="24"/>
          <w:szCs w:val="24"/>
        </w:rPr>
      </w:pPr>
    </w:p>
    <w:p w14:paraId="27EDB72C" w14:textId="47738E62" w:rsidR="002F3250" w:rsidRDefault="002F3250" w:rsidP="002F3250">
      <w:pPr>
        <w:pStyle w:val="FootnoteText"/>
      </w:pPr>
    </w:p>
    <w:p w14:paraId="51A64D78" w14:textId="77777777" w:rsidR="0080487C" w:rsidRDefault="0080487C" w:rsidP="00127C13">
      <w:pPr>
        <w:rPr>
          <w:rFonts w:asciiTheme="minorHAnsi" w:hAnsiTheme="minorHAnsi" w:cstheme="minorHAnsi"/>
        </w:rPr>
      </w:pPr>
    </w:p>
    <w:p w14:paraId="6E4DF6F6" w14:textId="5D87F00B" w:rsidR="006575FD" w:rsidRPr="009D7C5D" w:rsidRDefault="006575FD" w:rsidP="006575FD">
      <w:pPr>
        <w:spacing w:afterLines="240" w:after="576" w:line="360" w:lineRule="auto"/>
        <w:rPr>
          <w:rFonts w:asciiTheme="minorHAnsi" w:hAnsiTheme="minorHAnsi" w:cstheme="minorHAnsi"/>
        </w:rPr>
      </w:pPr>
      <w:r w:rsidRPr="009D7C5D">
        <w:rPr>
          <w:rFonts w:asciiTheme="minorHAnsi" w:hAnsiTheme="minorHAnsi" w:cstheme="minorHAnsi"/>
        </w:rPr>
        <w:t xml:space="preserve">The Lady wears a necklace that holds a further </w:t>
      </w:r>
      <w:r>
        <w:rPr>
          <w:rFonts w:asciiTheme="minorHAnsi" w:hAnsiTheme="minorHAnsi" w:cstheme="minorHAnsi"/>
        </w:rPr>
        <w:t xml:space="preserve">exact </w:t>
      </w:r>
      <w:r w:rsidRPr="009D7C5D">
        <w:rPr>
          <w:rFonts w:asciiTheme="minorHAnsi" w:hAnsiTheme="minorHAnsi" w:cstheme="minorHAnsi"/>
        </w:rPr>
        <w:t>image of herself</w:t>
      </w:r>
      <w:r>
        <w:rPr>
          <w:rFonts w:asciiTheme="minorHAnsi" w:hAnsiTheme="minorHAnsi" w:cstheme="minorHAnsi"/>
        </w:rPr>
        <w:t xml:space="preserve">, although suggestion of </w:t>
      </w:r>
      <w:r w:rsidR="000D2C60">
        <w:rPr>
          <w:rFonts w:asciiTheme="minorHAnsi" w:hAnsiTheme="minorHAnsi" w:cstheme="minorHAnsi"/>
        </w:rPr>
        <w:t xml:space="preserve">an </w:t>
      </w:r>
      <w:r>
        <w:rPr>
          <w:rFonts w:asciiTheme="minorHAnsi" w:hAnsiTheme="minorHAnsi" w:cstheme="minorHAnsi"/>
        </w:rPr>
        <w:t xml:space="preserve">infinite regression </w:t>
      </w:r>
      <w:r w:rsidR="0079684D">
        <w:rPr>
          <w:rFonts w:asciiTheme="minorHAnsi" w:hAnsiTheme="minorHAnsi" w:cstheme="minorHAnsi"/>
        </w:rPr>
        <w:t>- known i</w:t>
      </w:r>
      <w:r w:rsidR="0079684D" w:rsidRPr="009D7C5D">
        <w:rPr>
          <w:rFonts w:asciiTheme="minorHAnsi" w:hAnsiTheme="minorHAnsi" w:cstheme="minorHAnsi"/>
        </w:rPr>
        <w:t>n modern art</w:t>
      </w:r>
      <w:r w:rsidR="0079684D">
        <w:rPr>
          <w:rFonts w:asciiTheme="minorHAnsi" w:hAnsiTheme="minorHAnsi" w:cstheme="minorHAnsi"/>
        </w:rPr>
        <w:t xml:space="preserve"> </w:t>
      </w:r>
      <w:r w:rsidR="0079684D" w:rsidRPr="009D7C5D">
        <w:rPr>
          <w:rFonts w:asciiTheme="minorHAnsi" w:hAnsiTheme="minorHAnsi" w:cstheme="minorHAnsi"/>
        </w:rPr>
        <w:t>as the Droste effect</w:t>
      </w:r>
      <w:r w:rsidR="0079684D" w:rsidRPr="009D7C5D">
        <w:rPr>
          <w:rStyle w:val="FootnoteReference"/>
          <w:rFonts w:asciiTheme="minorHAnsi" w:hAnsiTheme="minorHAnsi" w:cstheme="minorHAnsi"/>
        </w:rPr>
        <w:footnoteReference w:id="46"/>
      </w:r>
      <w:r w:rsidR="0079684D">
        <w:rPr>
          <w:rFonts w:asciiTheme="minorHAnsi" w:hAnsiTheme="minorHAnsi" w:cstheme="minorHAnsi"/>
        </w:rPr>
        <w:t xml:space="preserve"> - </w:t>
      </w:r>
      <w:r>
        <w:rPr>
          <w:rFonts w:asciiTheme="minorHAnsi" w:hAnsiTheme="minorHAnsi" w:cstheme="minorHAnsi"/>
        </w:rPr>
        <w:t>is not detectable. As such it is in no way representative of a prospective infant.</w:t>
      </w:r>
      <w:r>
        <w:rPr>
          <w:rStyle w:val="FootnoteReference"/>
          <w:rFonts w:asciiTheme="minorHAnsi" w:hAnsiTheme="minorHAnsi" w:cstheme="minorHAnsi"/>
        </w:rPr>
        <w:footnoteReference w:id="47"/>
      </w:r>
      <w:r>
        <w:rPr>
          <w:rFonts w:asciiTheme="minorHAnsi" w:hAnsiTheme="minorHAnsi" w:cstheme="minorHAnsi"/>
        </w:rPr>
        <w:t xml:space="preserve"> This </w:t>
      </w:r>
      <w:r w:rsidRPr="009D7C5D">
        <w:rPr>
          <w:rFonts w:asciiTheme="minorHAnsi" w:hAnsiTheme="minorHAnsi" w:cstheme="minorHAnsi"/>
        </w:rPr>
        <w:t>a feature that seems under-analysed</w:t>
      </w:r>
      <w:r>
        <w:rPr>
          <w:rFonts w:asciiTheme="minorHAnsi" w:hAnsiTheme="minorHAnsi" w:cstheme="minorHAnsi"/>
        </w:rPr>
        <w:t>: as far as this writer has been able to determine, it is unique.</w:t>
      </w:r>
      <w:r>
        <w:rPr>
          <w:rStyle w:val="FootnoteReference"/>
          <w:rFonts w:asciiTheme="minorHAnsi" w:hAnsiTheme="minorHAnsi" w:cstheme="minorHAnsi"/>
        </w:rPr>
        <w:footnoteReference w:id="48"/>
      </w:r>
      <w:r>
        <w:rPr>
          <w:rFonts w:asciiTheme="minorHAnsi" w:hAnsiTheme="minorHAnsi" w:cstheme="minorHAnsi"/>
        </w:rPr>
        <w:t xml:space="preserve"> </w:t>
      </w:r>
      <w:r w:rsidRPr="009D7C5D">
        <w:rPr>
          <w:rFonts w:asciiTheme="minorHAnsi" w:hAnsiTheme="minorHAnsi" w:cstheme="minorHAnsi"/>
        </w:rPr>
        <w:t xml:space="preserve">It is ubiquitous in present-day ‘Western’ culture for women to wear </w:t>
      </w:r>
      <w:r>
        <w:rPr>
          <w:rFonts w:asciiTheme="minorHAnsi" w:hAnsiTheme="minorHAnsi" w:cstheme="minorHAnsi"/>
        </w:rPr>
        <w:t xml:space="preserve">necklaces with pendant </w:t>
      </w:r>
      <w:r w:rsidRPr="009D7C5D">
        <w:rPr>
          <w:rFonts w:asciiTheme="minorHAnsi" w:hAnsiTheme="minorHAnsi" w:cstheme="minorHAnsi"/>
        </w:rPr>
        <w:t>jewellery, but entirely unheard-of to wear an image of oneself.</w:t>
      </w:r>
      <w:r w:rsidRPr="009D7C5D">
        <w:rPr>
          <w:rStyle w:val="FootnoteReference"/>
          <w:rFonts w:asciiTheme="minorHAnsi" w:hAnsiTheme="minorHAnsi" w:cstheme="minorHAnsi"/>
        </w:rPr>
        <w:footnoteReference w:id="49"/>
      </w:r>
      <w:r w:rsidRPr="009D7C5D">
        <w:rPr>
          <w:rFonts w:asciiTheme="minorHAnsi" w:hAnsiTheme="minorHAnsi" w:cstheme="minorHAnsi"/>
        </w:rPr>
        <w:t xml:space="preserve"> </w:t>
      </w:r>
      <w:r>
        <w:rPr>
          <w:rFonts w:asciiTheme="minorHAnsi" w:hAnsiTheme="minorHAnsi" w:cstheme="minorHAnsi"/>
        </w:rPr>
        <w:t xml:space="preserve">A plausible interpretation is </w:t>
      </w:r>
      <w:r w:rsidRPr="009D7C5D">
        <w:rPr>
          <w:rFonts w:asciiTheme="minorHAnsi" w:hAnsiTheme="minorHAnsi" w:cstheme="minorHAnsi"/>
        </w:rPr>
        <w:t xml:space="preserve">that as such </w:t>
      </w:r>
      <w:r w:rsidRPr="009D7C5D">
        <w:rPr>
          <w:rFonts w:asciiTheme="minorHAnsi" w:hAnsiTheme="minorHAnsi" w:cstheme="minorHAnsi"/>
        </w:rPr>
        <w:lastRenderedPageBreak/>
        <w:t>Potnia Pomos represents something similar to the concept popular in mysticism of correspondence between ‘macrocosm’ and ‘microcosm’, sometimes expressed as “as above, so below”.</w:t>
      </w:r>
      <w:r>
        <w:rPr>
          <w:rStyle w:val="FootnoteReference"/>
          <w:rFonts w:asciiTheme="minorHAnsi" w:hAnsiTheme="minorHAnsi" w:cstheme="minorHAnsi"/>
        </w:rPr>
        <w:footnoteReference w:id="50"/>
      </w:r>
      <w:r w:rsidRPr="009D7C5D">
        <w:rPr>
          <w:rFonts w:asciiTheme="minorHAnsi" w:hAnsiTheme="minorHAnsi" w:cstheme="minorHAnsi"/>
        </w:rPr>
        <w:t xml:space="preserve"> If so, this specific figurine may </w:t>
      </w:r>
      <w:r>
        <w:rPr>
          <w:rFonts w:asciiTheme="minorHAnsi" w:hAnsiTheme="minorHAnsi" w:cstheme="minorHAnsi"/>
        </w:rPr>
        <w:t xml:space="preserve">indeed </w:t>
      </w:r>
      <w:r w:rsidRPr="009D7C5D">
        <w:rPr>
          <w:rFonts w:asciiTheme="minorHAnsi" w:hAnsiTheme="minorHAnsi" w:cstheme="minorHAnsi"/>
        </w:rPr>
        <w:t>be taken as representing a ‘Goddess’</w:t>
      </w:r>
      <w:r>
        <w:rPr>
          <w:rFonts w:asciiTheme="minorHAnsi" w:hAnsiTheme="minorHAnsi" w:cstheme="minorHAnsi"/>
        </w:rPr>
        <w:t xml:space="preserve"> of cosmic import, plausibly deriving from a very specific spiritual vision.</w:t>
      </w:r>
    </w:p>
    <w:p w14:paraId="7E591385" w14:textId="01C7C8ED" w:rsidR="00303B5F" w:rsidRPr="009D7C5D" w:rsidRDefault="00CE764B" w:rsidP="009D7C5D">
      <w:pPr>
        <w:spacing w:afterLines="240" w:after="576" w:line="360" w:lineRule="auto"/>
        <w:rPr>
          <w:rFonts w:asciiTheme="minorHAnsi" w:hAnsiTheme="minorHAnsi" w:cstheme="minorHAnsi"/>
        </w:rPr>
      </w:pPr>
      <w:r w:rsidRPr="009D7C5D">
        <w:rPr>
          <w:rFonts w:asciiTheme="minorHAnsi" w:hAnsiTheme="minorHAnsi" w:cstheme="minorHAnsi"/>
        </w:rPr>
        <w:t xml:space="preserve">The popularity of Potnia Pomos unavoidably raises the question of ‘meaning’: abandonment of ‘fertility’ </w:t>
      </w:r>
      <w:r w:rsidR="004F4EE1">
        <w:rPr>
          <w:rFonts w:asciiTheme="minorHAnsi" w:hAnsiTheme="minorHAnsi" w:cstheme="minorHAnsi"/>
        </w:rPr>
        <w:t xml:space="preserve">and caution re ‘Mother Goddess’ </w:t>
      </w:r>
      <w:r w:rsidRPr="009D7C5D">
        <w:rPr>
          <w:rFonts w:asciiTheme="minorHAnsi" w:hAnsiTheme="minorHAnsi" w:cstheme="minorHAnsi"/>
        </w:rPr>
        <w:t>leaves a serious lacuna</w:t>
      </w:r>
      <w:r w:rsidR="00682B05">
        <w:rPr>
          <w:rFonts w:asciiTheme="minorHAnsi" w:hAnsiTheme="minorHAnsi" w:cstheme="minorHAnsi"/>
        </w:rPr>
        <w:t xml:space="preserve"> that is not obviated by the tourist industry’s appropriation</w:t>
      </w:r>
      <w:r w:rsidRPr="009D7C5D">
        <w:rPr>
          <w:rFonts w:asciiTheme="minorHAnsi" w:hAnsiTheme="minorHAnsi" w:cstheme="minorHAnsi"/>
        </w:rPr>
        <w:t>.</w:t>
      </w:r>
      <w:r w:rsidR="002D2B94">
        <w:rPr>
          <w:rStyle w:val="FootnoteReference"/>
          <w:rFonts w:asciiTheme="minorHAnsi" w:hAnsiTheme="minorHAnsi" w:cstheme="minorHAnsi"/>
        </w:rPr>
        <w:footnoteReference w:id="51"/>
      </w:r>
      <w:r w:rsidRPr="009D7C5D">
        <w:rPr>
          <w:rFonts w:asciiTheme="minorHAnsi" w:hAnsiTheme="minorHAnsi" w:cstheme="minorHAnsi"/>
        </w:rPr>
        <w:t xml:space="preserve"> </w:t>
      </w:r>
      <w:r w:rsidR="000D2C60">
        <w:rPr>
          <w:rFonts w:asciiTheme="minorHAnsi" w:hAnsiTheme="minorHAnsi" w:cstheme="minorHAnsi"/>
        </w:rPr>
        <w:t>In addition to the comment above, t</w:t>
      </w:r>
      <w:r w:rsidR="0080487C">
        <w:rPr>
          <w:rFonts w:asciiTheme="minorHAnsi" w:hAnsiTheme="minorHAnsi" w:cstheme="minorHAnsi"/>
        </w:rPr>
        <w:t>his essay proposes a</w:t>
      </w:r>
      <w:r w:rsidR="000D2C60">
        <w:rPr>
          <w:rFonts w:asciiTheme="minorHAnsi" w:hAnsiTheme="minorHAnsi" w:cstheme="minorHAnsi"/>
        </w:rPr>
        <w:t>n</w:t>
      </w:r>
      <w:r w:rsidR="006B6229">
        <w:rPr>
          <w:rFonts w:asciiTheme="minorHAnsi" w:hAnsiTheme="minorHAnsi" w:cstheme="minorHAnsi"/>
        </w:rPr>
        <w:t xml:space="preserve"> </w:t>
      </w:r>
      <w:r w:rsidR="0080487C">
        <w:rPr>
          <w:rFonts w:asciiTheme="minorHAnsi" w:hAnsiTheme="minorHAnsi" w:cstheme="minorHAnsi"/>
        </w:rPr>
        <w:t xml:space="preserve">‘explanation’ that </w:t>
      </w:r>
      <w:r w:rsidR="000D2C60">
        <w:rPr>
          <w:rFonts w:asciiTheme="minorHAnsi" w:hAnsiTheme="minorHAnsi" w:cstheme="minorHAnsi"/>
        </w:rPr>
        <w:t>d</w:t>
      </w:r>
      <w:r w:rsidR="0080487C">
        <w:rPr>
          <w:rFonts w:asciiTheme="minorHAnsi" w:hAnsiTheme="minorHAnsi" w:cstheme="minorHAnsi"/>
        </w:rPr>
        <w:t>oes not seem articulated previously</w:t>
      </w:r>
      <w:r w:rsidR="00D4195F">
        <w:rPr>
          <w:rFonts w:asciiTheme="minorHAnsi" w:hAnsiTheme="minorHAnsi" w:cstheme="minorHAnsi"/>
        </w:rPr>
        <w:t xml:space="preserve">. It </w:t>
      </w:r>
      <w:r w:rsidR="004F4EE1">
        <w:rPr>
          <w:rFonts w:asciiTheme="minorHAnsi" w:hAnsiTheme="minorHAnsi" w:cstheme="minorHAnsi"/>
        </w:rPr>
        <w:t xml:space="preserve">is </w:t>
      </w:r>
      <w:r w:rsidRPr="009D7C5D">
        <w:rPr>
          <w:rFonts w:asciiTheme="minorHAnsi" w:hAnsiTheme="minorHAnsi" w:cstheme="minorHAnsi"/>
        </w:rPr>
        <w:t xml:space="preserve">based on the work of Felicitas Goodman at the </w:t>
      </w:r>
      <w:r w:rsidR="0092045C" w:rsidRPr="009D7C5D">
        <w:rPr>
          <w:rFonts w:cstheme="minorHAnsi"/>
        </w:rPr>
        <w:t xml:space="preserve">Cuyamungue Institute </w:t>
      </w:r>
      <w:r w:rsidRPr="009D7C5D">
        <w:rPr>
          <w:rFonts w:asciiTheme="minorHAnsi" w:hAnsiTheme="minorHAnsi" w:cstheme="minorHAnsi"/>
        </w:rPr>
        <w:t>in New Mexico, continued by Belinda Gore:</w:t>
      </w:r>
      <w:r w:rsidRPr="009D7C5D">
        <w:rPr>
          <w:rStyle w:val="FootnoteReference"/>
          <w:rFonts w:asciiTheme="minorHAnsi" w:hAnsiTheme="minorHAnsi" w:cstheme="minorHAnsi"/>
        </w:rPr>
        <w:footnoteReference w:id="52"/>
      </w:r>
      <w:r w:rsidRPr="009D7C5D">
        <w:rPr>
          <w:rFonts w:asciiTheme="minorHAnsi" w:hAnsiTheme="minorHAnsi" w:cstheme="minorHAnsi"/>
        </w:rPr>
        <w:t xml:space="preserve"> their discoveries seem to have been largely ignored within anthropology, entirely </w:t>
      </w:r>
      <w:r w:rsidR="00CE6E9E">
        <w:rPr>
          <w:rFonts w:asciiTheme="minorHAnsi" w:hAnsiTheme="minorHAnsi" w:cstheme="minorHAnsi"/>
        </w:rPr>
        <w:t xml:space="preserve">so </w:t>
      </w:r>
      <w:r w:rsidRPr="009D7C5D">
        <w:rPr>
          <w:rFonts w:asciiTheme="minorHAnsi" w:hAnsiTheme="minorHAnsi" w:cstheme="minorHAnsi"/>
        </w:rPr>
        <w:t>as far as archaeology is concerned.</w:t>
      </w:r>
      <w:r w:rsidRPr="009D7C5D">
        <w:rPr>
          <w:rStyle w:val="FootnoteReference"/>
          <w:rFonts w:asciiTheme="minorHAnsi" w:hAnsiTheme="minorHAnsi" w:cstheme="minorHAnsi"/>
        </w:rPr>
        <w:footnoteReference w:id="53"/>
      </w:r>
      <w:r w:rsidRPr="009D7C5D">
        <w:rPr>
          <w:rFonts w:asciiTheme="minorHAnsi" w:hAnsiTheme="minorHAnsi" w:cstheme="minorHAnsi"/>
        </w:rPr>
        <w:t xml:space="preserve"> Engaged in modern </w:t>
      </w:r>
      <w:r w:rsidR="004540C4">
        <w:rPr>
          <w:rFonts w:asciiTheme="minorHAnsi" w:hAnsiTheme="minorHAnsi" w:cstheme="minorHAnsi"/>
        </w:rPr>
        <w:t>‘</w:t>
      </w:r>
      <w:r w:rsidRPr="009D7C5D">
        <w:rPr>
          <w:rFonts w:asciiTheme="minorHAnsi" w:hAnsiTheme="minorHAnsi" w:cstheme="minorHAnsi"/>
        </w:rPr>
        <w:t>shamanic workshops’, in which trance was induced by sonic driving (</w:t>
      </w:r>
      <w:r w:rsidR="00270FD4" w:rsidRPr="009D7C5D">
        <w:rPr>
          <w:rFonts w:asciiTheme="minorHAnsi" w:hAnsiTheme="minorHAnsi" w:cstheme="minorHAnsi"/>
        </w:rPr>
        <w:t xml:space="preserve">usually with gourd </w:t>
      </w:r>
      <w:r w:rsidRPr="009D7C5D">
        <w:rPr>
          <w:rFonts w:asciiTheme="minorHAnsi" w:hAnsiTheme="minorHAnsi" w:cstheme="minorHAnsi"/>
        </w:rPr>
        <w:t>rattle</w:t>
      </w:r>
      <w:r w:rsidR="00BA308E" w:rsidRPr="009D7C5D">
        <w:rPr>
          <w:rFonts w:asciiTheme="minorHAnsi" w:hAnsiTheme="minorHAnsi" w:cstheme="minorHAnsi"/>
        </w:rPr>
        <w:t xml:space="preserve"> and sometimes by drum</w:t>
      </w:r>
      <w:r w:rsidRPr="009D7C5D">
        <w:rPr>
          <w:rFonts w:asciiTheme="minorHAnsi" w:hAnsiTheme="minorHAnsi" w:cstheme="minorHAnsi"/>
        </w:rPr>
        <w:t>), it was found that the posture adopted by the participants had a significant effect on the nature of the ‘altered state’ experience</w:t>
      </w:r>
      <w:r w:rsidR="0074537D" w:rsidRPr="009D7C5D">
        <w:rPr>
          <w:rFonts w:asciiTheme="minorHAnsi" w:hAnsiTheme="minorHAnsi" w:cstheme="minorHAnsi"/>
        </w:rPr>
        <w:t>. This was not random</w:t>
      </w:r>
      <w:r w:rsidR="00C3482B" w:rsidRPr="009D7C5D">
        <w:rPr>
          <w:rFonts w:asciiTheme="minorHAnsi" w:hAnsiTheme="minorHAnsi" w:cstheme="minorHAnsi"/>
        </w:rPr>
        <w:t>: “these postures in a predictable way shaped not merely the somatic perceptions, but even more importantly the contents of the visionary experience”.</w:t>
      </w:r>
      <w:r w:rsidR="00C3482B" w:rsidRPr="009D7C5D">
        <w:rPr>
          <w:rStyle w:val="FootnoteReference"/>
          <w:rFonts w:asciiTheme="minorHAnsi" w:hAnsiTheme="minorHAnsi" w:cstheme="minorHAnsi"/>
        </w:rPr>
        <w:footnoteReference w:id="54"/>
      </w:r>
      <w:r w:rsidR="0074537D" w:rsidRPr="009D7C5D">
        <w:rPr>
          <w:rFonts w:asciiTheme="minorHAnsi" w:hAnsiTheme="minorHAnsi" w:cstheme="minorHAnsi"/>
        </w:rPr>
        <w:t xml:space="preserve"> Well-known postures </w:t>
      </w:r>
      <w:r w:rsidR="00C3482B" w:rsidRPr="009D7C5D">
        <w:rPr>
          <w:rFonts w:asciiTheme="minorHAnsi" w:hAnsiTheme="minorHAnsi" w:cstheme="minorHAnsi"/>
        </w:rPr>
        <w:t xml:space="preserve">of relevance </w:t>
      </w:r>
      <w:r w:rsidR="0074537D" w:rsidRPr="009D7C5D">
        <w:rPr>
          <w:rFonts w:asciiTheme="minorHAnsi" w:hAnsiTheme="minorHAnsi" w:cstheme="minorHAnsi"/>
        </w:rPr>
        <w:t xml:space="preserve">include the ‘Sami </w:t>
      </w:r>
      <w:r w:rsidR="0074537D" w:rsidRPr="009D7C5D">
        <w:rPr>
          <w:rFonts w:asciiTheme="minorHAnsi" w:hAnsiTheme="minorHAnsi" w:cstheme="minorHAnsi"/>
        </w:rPr>
        <w:lastRenderedPageBreak/>
        <w:t>Shaman’ (prone, drum resting laid on the back)</w:t>
      </w:r>
      <w:r w:rsidR="006B6229">
        <w:rPr>
          <w:rFonts w:asciiTheme="minorHAnsi" w:hAnsiTheme="minorHAnsi" w:cstheme="minorHAnsi"/>
        </w:rPr>
        <w:t>.</w:t>
      </w:r>
      <w:r w:rsidR="006B6229">
        <w:rPr>
          <w:rStyle w:val="FootnoteReference"/>
          <w:rFonts w:asciiTheme="minorHAnsi" w:hAnsiTheme="minorHAnsi" w:cstheme="minorHAnsi"/>
        </w:rPr>
        <w:footnoteReference w:id="55"/>
      </w:r>
      <w:r w:rsidR="006B6229">
        <w:rPr>
          <w:rFonts w:asciiTheme="minorHAnsi" w:hAnsiTheme="minorHAnsi" w:cstheme="minorHAnsi"/>
        </w:rPr>
        <w:t xml:space="preserve"> V</w:t>
      </w:r>
      <w:r w:rsidR="004F4EE1">
        <w:rPr>
          <w:rFonts w:asciiTheme="minorHAnsi" w:hAnsiTheme="minorHAnsi" w:cstheme="minorHAnsi"/>
        </w:rPr>
        <w:t xml:space="preserve">ariations </w:t>
      </w:r>
      <w:r w:rsidR="00AF0131">
        <w:rPr>
          <w:rFonts w:asciiTheme="minorHAnsi" w:hAnsiTheme="minorHAnsi" w:cstheme="minorHAnsi"/>
        </w:rPr>
        <w:t xml:space="preserve">in trance relate to </w:t>
      </w:r>
      <w:r w:rsidR="004F4EE1">
        <w:rPr>
          <w:rFonts w:asciiTheme="minorHAnsi" w:hAnsiTheme="minorHAnsi" w:cstheme="minorHAnsi"/>
        </w:rPr>
        <w:t>destination (lower-world</w:t>
      </w:r>
      <w:r w:rsidR="00AF0131">
        <w:rPr>
          <w:rFonts w:asciiTheme="minorHAnsi" w:hAnsiTheme="minorHAnsi" w:cstheme="minorHAnsi"/>
        </w:rPr>
        <w:t xml:space="preserve">, </w:t>
      </w:r>
      <w:r w:rsidR="004F4EE1">
        <w:rPr>
          <w:rFonts w:asciiTheme="minorHAnsi" w:hAnsiTheme="minorHAnsi" w:cstheme="minorHAnsi"/>
        </w:rPr>
        <w:t>upper-world</w:t>
      </w:r>
      <w:r w:rsidR="00AF0131">
        <w:rPr>
          <w:rFonts w:asciiTheme="minorHAnsi" w:hAnsiTheme="minorHAnsi" w:cstheme="minorHAnsi"/>
        </w:rPr>
        <w:t xml:space="preserve">, </w:t>
      </w:r>
      <w:r w:rsidR="006B6229">
        <w:rPr>
          <w:rFonts w:asciiTheme="minorHAnsi" w:hAnsiTheme="minorHAnsi" w:cstheme="minorHAnsi"/>
        </w:rPr>
        <w:t xml:space="preserve">or </w:t>
      </w:r>
      <w:r w:rsidR="00AF0131">
        <w:rPr>
          <w:rFonts w:asciiTheme="minorHAnsi" w:hAnsiTheme="minorHAnsi" w:cstheme="minorHAnsi"/>
        </w:rPr>
        <w:t>this / ‘middle</w:t>
      </w:r>
      <w:r w:rsidR="006B6229">
        <w:rPr>
          <w:rFonts w:asciiTheme="minorHAnsi" w:hAnsiTheme="minorHAnsi" w:cstheme="minorHAnsi"/>
        </w:rPr>
        <w:t xml:space="preserve">’ </w:t>
      </w:r>
      <w:r w:rsidR="00AF0131">
        <w:rPr>
          <w:rFonts w:asciiTheme="minorHAnsi" w:hAnsiTheme="minorHAnsi" w:cstheme="minorHAnsi"/>
        </w:rPr>
        <w:t>world</w:t>
      </w:r>
      <w:r w:rsidR="004F4EE1">
        <w:rPr>
          <w:rFonts w:asciiTheme="minorHAnsi" w:hAnsiTheme="minorHAnsi" w:cstheme="minorHAnsi"/>
        </w:rPr>
        <w:t>) and purpose (divination, healing, etc</w:t>
      </w:r>
      <w:r w:rsidR="006B6229">
        <w:rPr>
          <w:rFonts w:asciiTheme="minorHAnsi" w:hAnsiTheme="minorHAnsi" w:cstheme="minorHAnsi"/>
        </w:rPr>
        <w:t xml:space="preserve">). </w:t>
      </w:r>
      <w:r w:rsidR="0074537D" w:rsidRPr="009D7C5D">
        <w:rPr>
          <w:rFonts w:asciiTheme="minorHAnsi" w:hAnsiTheme="minorHAnsi" w:cstheme="minorHAnsi"/>
        </w:rPr>
        <w:t xml:space="preserve">The less obvious </w:t>
      </w:r>
      <w:r w:rsidR="00AF0131">
        <w:rPr>
          <w:rFonts w:asciiTheme="minorHAnsi" w:hAnsiTheme="minorHAnsi" w:cstheme="minorHAnsi"/>
        </w:rPr>
        <w:t xml:space="preserve">postures </w:t>
      </w:r>
      <w:r w:rsidR="0074537D" w:rsidRPr="009D7C5D">
        <w:rPr>
          <w:rFonts w:asciiTheme="minorHAnsi" w:hAnsiTheme="minorHAnsi" w:cstheme="minorHAnsi"/>
        </w:rPr>
        <w:t>include various asymmetries of limbs, head positions and even tongue protrusion.</w:t>
      </w:r>
      <w:r w:rsidR="00270FD4" w:rsidRPr="009D7C5D">
        <w:rPr>
          <w:rFonts w:asciiTheme="minorHAnsi" w:hAnsiTheme="minorHAnsi" w:cstheme="minorHAnsi"/>
        </w:rPr>
        <w:t xml:space="preserve"> The postures do not necessarily match those traditionally considered ‘religious’, such as the raised-arm ‘invocation position’ shown by Mycenaean psi-figurines and still used widely </w:t>
      </w:r>
      <w:r w:rsidR="00BA308E" w:rsidRPr="009D7C5D">
        <w:rPr>
          <w:rFonts w:asciiTheme="minorHAnsi" w:hAnsiTheme="minorHAnsi" w:cstheme="minorHAnsi"/>
        </w:rPr>
        <w:t xml:space="preserve">or </w:t>
      </w:r>
      <w:r w:rsidR="00CE6E9E">
        <w:rPr>
          <w:rFonts w:asciiTheme="minorHAnsi" w:hAnsiTheme="minorHAnsi" w:cstheme="minorHAnsi"/>
        </w:rPr>
        <w:t xml:space="preserve">the </w:t>
      </w:r>
      <w:r w:rsidR="00BA308E" w:rsidRPr="009D7C5D">
        <w:rPr>
          <w:rFonts w:asciiTheme="minorHAnsi" w:hAnsiTheme="minorHAnsi" w:cstheme="minorHAnsi"/>
        </w:rPr>
        <w:t>‘hands forward-facing’ position seen often in Egyptian devotion.</w:t>
      </w:r>
      <w:r w:rsidR="00890D2B">
        <w:rPr>
          <w:rStyle w:val="FootnoteReference"/>
          <w:rFonts w:asciiTheme="minorHAnsi" w:hAnsiTheme="minorHAnsi" w:cstheme="minorHAnsi"/>
        </w:rPr>
        <w:footnoteReference w:id="56"/>
      </w:r>
      <w:r w:rsidR="00BA308E" w:rsidRPr="009D7C5D">
        <w:rPr>
          <w:rFonts w:asciiTheme="minorHAnsi" w:hAnsiTheme="minorHAnsi" w:cstheme="minorHAnsi"/>
        </w:rPr>
        <w:t xml:space="preserve"> </w:t>
      </w:r>
    </w:p>
    <w:p w14:paraId="1877047F" w14:textId="01BF99B4" w:rsidR="0074537D" w:rsidRDefault="0074537D" w:rsidP="009D7C5D">
      <w:pPr>
        <w:pStyle w:val="FootnoteText"/>
        <w:spacing w:afterLines="240" w:after="576" w:line="360" w:lineRule="auto"/>
        <w:rPr>
          <w:sz w:val="24"/>
          <w:szCs w:val="24"/>
        </w:rPr>
      </w:pPr>
      <w:r w:rsidRPr="009D7C5D">
        <w:rPr>
          <w:sz w:val="24"/>
          <w:szCs w:val="24"/>
        </w:rPr>
        <w:t xml:space="preserve">Goodman and Gore examined a variety of traditional artefacts </w:t>
      </w:r>
      <w:r w:rsidR="00AF0131" w:rsidRPr="009D7C5D">
        <w:rPr>
          <w:sz w:val="24"/>
          <w:szCs w:val="24"/>
        </w:rPr>
        <w:t>that had no ‘explanation’ as to ‘meaning’ of the posture depicted</w:t>
      </w:r>
      <w:r w:rsidR="00D4195F">
        <w:rPr>
          <w:sz w:val="24"/>
          <w:szCs w:val="24"/>
        </w:rPr>
        <w:t>, researching whether these artefacts encoded valuable information without a need for oral transmission.</w:t>
      </w:r>
      <w:r w:rsidR="00AF0131">
        <w:rPr>
          <w:sz w:val="24"/>
          <w:szCs w:val="24"/>
        </w:rPr>
        <w:t xml:space="preserve"> </w:t>
      </w:r>
      <w:r w:rsidR="0007092B">
        <w:rPr>
          <w:sz w:val="24"/>
          <w:szCs w:val="24"/>
        </w:rPr>
        <w:t>At first m</w:t>
      </w:r>
      <w:r w:rsidRPr="009D7C5D">
        <w:rPr>
          <w:sz w:val="24"/>
          <w:szCs w:val="24"/>
        </w:rPr>
        <w:t>ostly from the American continents,</w:t>
      </w:r>
      <w:r w:rsidR="00AF0131">
        <w:rPr>
          <w:sz w:val="24"/>
          <w:szCs w:val="24"/>
        </w:rPr>
        <w:t xml:space="preserve"> the scope spread world-wide: the ‘Bear’ healing posture</w:t>
      </w:r>
      <w:r w:rsidR="0007092B">
        <w:rPr>
          <w:sz w:val="24"/>
          <w:szCs w:val="24"/>
        </w:rPr>
        <w:t>,</w:t>
      </w:r>
      <w:r w:rsidR="00AF0131">
        <w:rPr>
          <w:sz w:val="24"/>
          <w:szCs w:val="24"/>
        </w:rPr>
        <w:t xml:space="preserve"> for example</w:t>
      </w:r>
      <w:r w:rsidR="0007092B">
        <w:rPr>
          <w:sz w:val="24"/>
          <w:szCs w:val="24"/>
        </w:rPr>
        <w:t>,</w:t>
      </w:r>
      <w:r w:rsidR="00AF0131">
        <w:rPr>
          <w:sz w:val="24"/>
          <w:szCs w:val="24"/>
        </w:rPr>
        <w:t xml:space="preserve"> found extensively.</w:t>
      </w:r>
      <w:r w:rsidR="0007092B">
        <w:rPr>
          <w:rStyle w:val="FootnoteReference"/>
          <w:sz w:val="24"/>
          <w:szCs w:val="24"/>
        </w:rPr>
        <w:footnoteReference w:id="57"/>
      </w:r>
      <w:r w:rsidR="00AF0131">
        <w:rPr>
          <w:sz w:val="24"/>
          <w:szCs w:val="24"/>
        </w:rPr>
        <w:t xml:space="preserve"> Closer to Cyprus, the Cycladic figurine shown below was related to the function of the psychopomp - quite independently, Gimbutas noted the association of these figurines with burials.</w:t>
      </w:r>
      <w:r w:rsidR="00D82B69">
        <w:rPr>
          <w:rStyle w:val="FootnoteReference"/>
          <w:sz w:val="24"/>
          <w:szCs w:val="24"/>
        </w:rPr>
        <w:footnoteReference w:id="58"/>
      </w:r>
      <w:r w:rsidR="00AF0131">
        <w:rPr>
          <w:sz w:val="24"/>
          <w:szCs w:val="24"/>
        </w:rPr>
        <w:t xml:space="preserve"> </w:t>
      </w:r>
      <w:r w:rsidR="0007092B">
        <w:rPr>
          <w:sz w:val="24"/>
          <w:szCs w:val="24"/>
        </w:rPr>
        <w:t xml:space="preserve">Other postures from </w:t>
      </w:r>
      <w:r w:rsidR="00A61EA9">
        <w:rPr>
          <w:sz w:val="24"/>
          <w:szCs w:val="24"/>
        </w:rPr>
        <w:t xml:space="preserve">Greek </w:t>
      </w:r>
      <w:r w:rsidR="0007092B">
        <w:rPr>
          <w:sz w:val="24"/>
          <w:szCs w:val="24"/>
        </w:rPr>
        <w:t xml:space="preserve">tradition are described as related to initiatory experience. </w:t>
      </w:r>
      <w:r w:rsidR="0007092B">
        <w:rPr>
          <w:rStyle w:val="FootnoteReference"/>
          <w:sz w:val="24"/>
          <w:szCs w:val="24"/>
        </w:rPr>
        <w:footnoteReference w:id="59"/>
      </w:r>
      <w:r w:rsidR="00ED4EA3">
        <w:rPr>
          <w:sz w:val="24"/>
          <w:szCs w:val="24"/>
        </w:rPr>
        <w:t xml:space="preserve"> The relation of Aegean figurines in general to shamanic postures remains to be fully explored.</w:t>
      </w:r>
      <w:r w:rsidR="00ED4EA3">
        <w:rPr>
          <w:rStyle w:val="FootnoteReference"/>
          <w:sz w:val="24"/>
          <w:szCs w:val="24"/>
        </w:rPr>
        <w:footnoteReference w:id="60"/>
      </w:r>
    </w:p>
    <w:p w14:paraId="71CBF826" w14:textId="7416B7FF" w:rsidR="00D82B69" w:rsidRDefault="00ED4EA3" w:rsidP="00B91F14">
      <w:pPr>
        <w:pStyle w:val="FootnoteText"/>
        <w:spacing w:after="240" w:line="360" w:lineRule="auto"/>
        <w:rPr>
          <w:sz w:val="24"/>
          <w:szCs w:val="24"/>
        </w:rPr>
      </w:pPr>
      <w:r>
        <w:rPr>
          <w:i/>
          <w:iCs/>
          <w:sz w:val="24"/>
          <w:szCs w:val="24"/>
        </w:rPr>
        <w:lastRenderedPageBreak/>
        <w:br/>
      </w:r>
      <w:r>
        <w:rPr>
          <w:noProof/>
          <w:sz w:val="24"/>
          <w:szCs w:val="24"/>
        </w:rPr>
        <w:drawing>
          <wp:anchor distT="0" distB="0" distL="114300" distR="114300" simplePos="0" relativeHeight="251674624" behindDoc="0" locked="0" layoutInCell="1" allowOverlap="1" wp14:anchorId="541F6EDE" wp14:editId="5CCF471D">
            <wp:simplePos x="0" y="0"/>
            <wp:positionH relativeFrom="margin">
              <wp:posOffset>125509</wp:posOffset>
            </wp:positionH>
            <wp:positionV relativeFrom="paragraph">
              <wp:posOffset>9774</wp:posOffset>
            </wp:positionV>
            <wp:extent cx="915670" cy="2401570"/>
            <wp:effectExtent l="0" t="0" r="0" b="0"/>
            <wp:wrapSquare wrapText="bothSides"/>
            <wp:docPr id="797340773" name="Picture 3" descr="A cartoon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40773" name="Picture 3" descr="A cartoon of a perso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5670" cy="2401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3250">
        <w:rPr>
          <w:noProof/>
        </w:rPr>
        <w:drawing>
          <wp:anchor distT="0" distB="0" distL="114300" distR="114300" simplePos="0" relativeHeight="251668480" behindDoc="0" locked="0" layoutInCell="1" allowOverlap="1" wp14:anchorId="5DCE05E5" wp14:editId="1596F329">
            <wp:simplePos x="0" y="0"/>
            <wp:positionH relativeFrom="margin">
              <wp:posOffset>4655185</wp:posOffset>
            </wp:positionH>
            <wp:positionV relativeFrom="paragraph">
              <wp:posOffset>627380</wp:posOffset>
            </wp:positionV>
            <wp:extent cx="950595" cy="2227580"/>
            <wp:effectExtent l="0" t="0" r="1905" b="1270"/>
            <wp:wrapSquare wrapText="bothSides"/>
            <wp:docPr id="88741642" name="Picture 1" descr="Bronze figurine of the Astarte-on-the-Ingot type from Teratsoudhia, Tomb 104: Chamber K, No. 5 (Courtesy of the Department of Antiquities, Cyp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figurine of the Astarte-on-the-Ingot type from Teratsoudhia, Tomb 104: Chamber K, No. 5 (Courtesy of the Department of Antiquities, Cypru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496" t="72" r="7608" b="5552"/>
                    <a:stretch>
                      <a:fillRect/>
                    </a:stretch>
                  </pic:blipFill>
                  <pic:spPr bwMode="auto">
                    <a:xfrm>
                      <a:off x="0" y="0"/>
                      <a:ext cx="950595" cy="2227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2B69" w:rsidRPr="00D82B69">
        <w:rPr>
          <w:i/>
          <w:iCs/>
          <w:sz w:val="24"/>
          <w:szCs w:val="24"/>
        </w:rPr>
        <w:t xml:space="preserve">Cycladic ‘burial’ </w:t>
      </w:r>
      <w:r w:rsidR="006B6229">
        <w:rPr>
          <w:i/>
          <w:iCs/>
          <w:sz w:val="24"/>
          <w:szCs w:val="24"/>
        </w:rPr>
        <w:t xml:space="preserve">/ ‘psychopomp’ </w:t>
      </w:r>
      <w:r w:rsidR="00D82B69" w:rsidRPr="00D82B69">
        <w:rPr>
          <w:i/>
          <w:iCs/>
          <w:sz w:val="24"/>
          <w:szCs w:val="24"/>
        </w:rPr>
        <w:t xml:space="preserve">figurine, marble, </w:t>
      </w:r>
      <w:r w:rsidR="00B91F14">
        <w:rPr>
          <w:i/>
          <w:iCs/>
          <w:sz w:val="24"/>
          <w:szCs w:val="24"/>
        </w:rPr>
        <w:br/>
      </w:r>
      <w:r w:rsidR="00D82B69" w:rsidRPr="00D82B69">
        <w:rPr>
          <w:i/>
          <w:iCs/>
          <w:sz w:val="24"/>
          <w:szCs w:val="24"/>
        </w:rPr>
        <w:t>approximately contemporary with Potnia Pomos</w:t>
      </w:r>
      <w:r w:rsidR="00D82B69">
        <w:rPr>
          <w:sz w:val="24"/>
          <w:szCs w:val="24"/>
        </w:rPr>
        <w:t>.</w:t>
      </w:r>
      <w:r w:rsidR="00D82B69">
        <w:rPr>
          <w:rStyle w:val="FootnoteReference"/>
          <w:sz w:val="24"/>
          <w:szCs w:val="24"/>
        </w:rPr>
        <w:footnoteReference w:id="61"/>
      </w:r>
      <w:r w:rsidR="00D82B69">
        <w:rPr>
          <w:sz w:val="24"/>
          <w:szCs w:val="24"/>
        </w:rPr>
        <w:t xml:space="preserve"> </w:t>
      </w:r>
    </w:p>
    <w:p w14:paraId="2D288FFE" w14:textId="7449B93E" w:rsidR="00D82B69" w:rsidRDefault="00D82B69" w:rsidP="00B91F14">
      <w:pPr>
        <w:pStyle w:val="FootnoteText"/>
        <w:spacing w:after="240" w:line="360" w:lineRule="auto"/>
        <w:rPr>
          <w:sz w:val="24"/>
          <w:szCs w:val="24"/>
        </w:rPr>
      </w:pPr>
    </w:p>
    <w:p w14:paraId="23108F33" w14:textId="77777777" w:rsidR="00D82B69" w:rsidRDefault="00D82B69" w:rsidP="00B91F14">
      <w:pPr>
        <w:pStyle w:val="FootnoteText"/>
        <w:spacing w:after="240" w:line="360" w:lineRule="auto"/>
        <w:rPr>
          <w:sz w:val="24"/>
          <w:szCs w:val="24"/>
        </w:rPr>
      </w:pPr>
    </w:p>
    <w:p w14:paraId="61B0E9C3" w14:textId="77777777" w:rsidR="00B91F14" w:rsidRDefault="00B91F14" w:rsidP="00B91F14">
      <w:pPr>
        <w:pStyle w:val="FootnoteText"/>
        <w:spacing w:after="240" w:line="360" w:lineRule="auto"/>
        <w:rPr>
          <w:sz w:val="24"/>
          <w:szCs w:val="24"/>
        </w:rPr>
      </w:pPr>
    </w:p>
    <w:p w14:paraId="6CDCEB73" w14:textId="711968D3" w:rsidR="00D82B69" w:rsidRPr="00B91F14" w:rsidRDefault="00B91F14" w:rsidP="00B91F14">
      <w:pPr>
        <w:pStyle w:val="FootnoteText"/>
        <w:spacing w:afterLines="240" w:after="576" w:line="360" w:lineRule="auto"/>
        <w:jc w:val="right"/>
        <w:rPr>
          <w:sz w:val="24"/>
          <w:szCs w:val="24"/>
        </w:rPr>
      </w:pPr>
      <w:r w:rsidRPr="00B91F14">
        <w:rPr>
          <w:i/>
          <w:iCs/>
          <w:sz w:val="24"/>
          <w:szCs w:val="24"/>
        </w:rPr>
        <w:t xml:space="preserve">‘Teratsoudhia’ figurine, bronze, </w:t>
      </w:r>
      <w:r>
        <w:rPr>
          <w:i/>
          <w:iCs/>
          <w:sz w:val="24"/>
          <w:szCs w:val="24"/>
        </w:rPr>
        <w:br/>
      </w:r>
      <w:r w:rsidR="009814AF">
        <w:rPr>
          <w:i/>
          <w:iCs/>
          <w:sz w:val="24"/>
          <w:szCs w:val="24"/>
        </w:rPr>
        <w:t xml:space="preserve">Cyprus, </w:t>
      </w:r>
      <w:r w:rsidRPr="00B91F14">
        <w:rPr>
          <w:i/>
          <w:iCs/>
          <w:sz w:val="24"/>
          <w:szCs w:val="24"/>
        </w:rPr>
        <w:t>Mid-</w:t>
      </w:r>
      <w:r>
        <w:rPr>
          <w:i/>
          <w:iCs/>
          <w:sz w:val="24"/>
          <w:szCs w:val="24"/>
        </w:rPr>
        <w:t>L</w:t>
      </w:r>
      <w:r w:rsidRPr="00B91F14">
        <w:rPr>
          <w:i/>
          <w:iCs/>
          <w:sz w:val="24"/>
          <w:szCs w:val="24"/>
        </w:rPr>
        <w:t>ate Bronze Age</w:t>
      </w:r>
      <w:r>
        <w:rPr>
          <w:i/>
          <w:iCs/>
          <w:sz w:val="24"/>
          <w:szCs w:val="24"/>
        </w:rPr>
        <w:t>,</w:t>
      </w:r>
      <w:r>
        <w:rPr>
          <w:i/>
          <w:iCs/>
          <w:sz w:val="24"/>
          <w:szCs w:val="24"/>
        </w:rPr>
        <w:br/>
      </w:r>
      <w:r w:rsidRPr="00B91F14">
        <w:rPr>
          <w:i/>
          <w:iCs/>
          <w:sz w:val="24"/>
          <w:szCs w:val="24"/>
        </w:rPr>
        <w:t>1000+ years later than Potnia Pomos</w:t>
      </w:r>
      <w:r w:rsidRPr="00B91F14">
        <w:rPr>
          <w:rStyle w:val="FootnoteReference"/>
          <w:sz w:val="24"/>
          <w:szCs w:val="24"/>
        </w:rPr>
        <w:footnoteReference w:id="62"/>
      </w:r>
    </w:p>
    <w:p w14:paraId="35915C48" w14:textId="11F176AB" w:rsidR="00AF0131" w:rsidRPr="00CA5BB1" w:rsidRDefault="0007092B" w:rsidP="009D7C5D">
      <w:pPr>
        <w:pStyle w:val="FootnoteText"/>
        <w:spacing w:afterLines="240" w:after="576" w:line="360" w:lineRule="auto"/>
        <w:rPr>
          <w:sz w:val="24"/>
          <w:szCs w:val="24"/>
        </w:rPr>
      </w:pPr>
      <w:r>
        <w:rPr>
          <w:sz w:val="24"/>
          <w:szCs w:val="24"/>
        </w:rPr>
        <w:t xml:space="preserve">Although not catalogued by Goodman or Gore, the Cypriot </w:t>
      </w:r>
      <w:r w:rsidR="00B2269A">
        <w:rPr>
          <w:sz w:val="24"/>
          <w:szCs w:val="24"/>
        </w:rPr>
        <w:t xml:space="preserve">Teratsoudhia figurine, </w:t>
      </w:r>
      <w:r w:rsidR="00B91F14">
        <w:rPr>
          <w:sz w:val="24"/>
          <w:szCs w:val="24"/>
        </w:rPr>
        <w:t xml:space="preserve">above, </w:t>
      </w:r>
      <w:r w:rsidR="00B2269A">
        <w:rPr>
          <w:sz w:val="24"/>
          <w:szCs w:val="24"/>
        </w:rPr>
        <w:t xml:space="preserve">for example, rather than </w:t>
      </w:r>
      <w:r w:rsidR="00B91F14">
        <w:rPr>
          <w:sz w:val="24"/>
          <w:szCs w:val="24"/>
        </w:rPr>
        <w:t xml:space="preserve">necessarily </w:t>
      </w:r>
      <w:r w:rsidR="00B2269A">
        <w:rPr>
          <w:sz w:val="24"/>
          <w:szCs w:val="24"/>
        </w:rPr>
        <w:t>being ‘erotic’ or ‘fecund’, seems close to the ‘Singing Shaman’ posture.</w:t>
      </w:r>
      <w:r w:rsidR="00B2269A">
        <w:rPr>
          <w:rStyle w:val="FootnoteReference"/>
          <w:sz w:val="24"/>
          <w:szCs w:val="24"/>
        </w:rPr>
        <w:footnoteReference w:id="63"/>
      </w:r>
      <w:r w:rsidR="00B2269A">
        <w:rPr>
          <w:sz w:val="24"/>
          <w:szCs w:val="24"/>
        </w:rPr>
        <w:t xml:space="preserve"> </w:t>
      </w:r>
      <w:r w:rsidR="00CA5BB1">
        <w:rPr>
          <w:sz w:val="24"/>
          <w:szCs w:val="24"/>
        </w:rPr>
        <w:t xml:space="preserve">For the present, the </w:t>
      </w:r>
      <w:r w:rsidR="00AF0131" w:rsidRPr="009D7C5D">
        <w:rPr>
          <w:rFonts w:asciiTheme="minorHAnsi" w:hAnsiTheme="minorHAnsi" w:cstheme="minorHAnsi"/>
          <w:sz w:val="24"/>
          <w:szCs w:val="24"/>
        </w:rPr>
        <w:t>alternative explanation</w:t>
      </w:r>
      <w:r w:rsidR="00CA5BB1">
        <w:rPr>
          <w:rFonts w:asciiTheme="minorHAnsi" w:hAnsiTheme="minorHAnsi" w:cstheme="minorHAnsi"/>
          <w:sz w:val="24"/>
          <w:szCs w:val="24"/>
        </w:rPr>
        <w:t xml:space="preserve"> proposed as ‘meaning’ (or a primary component thereof) applies only </w:t>
      </w:r>
      <w:r w:rsidR="00AF0131" w:rsidRPr="00CA5BB1">
        <w:rPr>
          <w:rFonts w:asciiTheme="minorHAnsi" w:hAnsiTheme="minorHAnsi" w:cstheme="minorHAnsi"/>
          <w:sz w:val="24"/>
          <w:szCs w:val="24"/>
        </w:rPr>
        <w:t xml:space="preserve">for Potnia Pomos and </w:t>
      </w:r>
      <w:r w:rsidR="00CA5BB1" w:rsidRPr="00CA5BB1">
        <w:rPr>
          <w:rFonts w:asciiTheme="minorHAnsi" w:hAnsiTheme="minorHAnsi" w:cstheme="minorHAnsi"/>
          <w:sz w:val="24"/>
          <w:szCs w:val="24"/>
        </w:rPr>
        <w:t xml:space="preserve">perhaps </w:t>
      </w:r>
      <w:r w:rsidR="00AF0131" w:rsidRPr="00CA5BB1">
        <w:rPr>
          <w:rFonts w:asciiTheme="minorHAnsi" w:hAnsiTheme="minorHAnsi" w:cstheme="minorHAnsi"/>
          <w:sz w:val="24"/>
          <w:szCs w:val="24"/>
        </w:rPr>
        <w:t>other cruciform demi-</w:t>
      </w:r>
      <w:r w:rsidR="00CA5BB1" w:rsidRPr="00CA5BB1">
        <w:rPr>
          <w:rFonts w:asciiTheme="minorHAnsi" w:hAnsiTheme="minorHAnsi" w:cstheme="minorHAnsi"/>
          <w:sz w:val="24"/>
          <w:szCs w:val="24"/>
        </w:rPr>
        <w:t>p</w:t>
      </w:r>
      <w:r w:rsidR="00AF0131" w:rsidRPr="00CA5BB1">
        <w:rPr>
          <w:rFonts w:asciiTheme="minorHAnsi" w:hAnsiTheme="minorHAnsi" w:cstheme="minorHAnsi"/>
          <w:sz w:val="24"/>
          <w:szCs w:val="24"/>
        </w:rPr>
        <w:t>li</w:t>
      </w:r>
      <w:r w:rsidR="00CA5BB1" w:rsidRPr="00CA5BB1">
        <w:rPr>
          <w:rFonts w:asciiTheme="minorHAnsi" w:hAnsiTheme="minorHAnsi" w:cstheme="minorHAnsi"/>
          <w:sz w:val="24"/>
          <w:szCs w:val="24"/>
        </w:rPr>
        <w:t>é</w:t>
      </w:r>
      <w:r w:rsidR="00AF0131" w:rsidRPr="00CA5BB1">
        <w:rPr>
          <w:rFonts w:asciiTheme="minorHAnsi" w:hAnsiTheme="minorHAnsi" w:cstheme="minorHAnsi"/>
          <w:sz w:val="24"/>
          <w:szCs w:val="24"/>
        </w:rPr>
        <w:t xml:space="preserve"> figurines.</w:t>
      </w:r>
      <w:r w:rsidR="00FF45AF">
        <w:rPr>
          <w:rStyle w:val="FootnoteReference"/>
          <w:rFonts w:asciiTheme="minorHAnsi" w:hAnsiTheme="minorHAnsi" w:cstheme="minorHAnsi"/>
          <w:sz w:val="24"/>
          <w:szCs w:val="24"/>
        </w:rPr>
        <w:footnoteReference w:id="64"/>
      </w:r>
      <w:r w:rsidR="00CA5BB1">
        <w:rPr>
          <w:rFonts w:asciiTheme="minorHAnsi" w:hAnsiTheme="minorHAnsi" w:cstheme="minorHAnsi"/>
          <w:sz w:val="24"/>
          <w:szCs w:val="24"/>
        </w:rPr>
        <w:t xml:space="preserve"> Th</w:t>
      </w:r>
      <w:r w:rsidR="00D4195F">
        <w:rPr>
          <w:rFonts w:asciiTheme="minorHAnsi" w:hAnsiTheme="minorHAnsi" w:cstheme="minorHAnsi"/>
          <w:sz w:val="24"/>
          <w:szCs w:val="24"/>
        </w:rPr>
        <w:t>e</w:t>
      </w:r>
      <w:r w:rsidR="00CA5BB1">
        <w:rPr>
          <w:rFonts w:asciiTheme="minorHAnsi" w:hAnsiTheme="minorHAnsi" w:cstheme="minorHAnsi"/>
          <w:sz w:val="24"/>
          <w:szCs w:val="24"/>
        </w:rPr>
        <w:t xml:space="preserve"> </w:t>
      </w:r>
      <w:r w:rsidR="00D4195F">
        <w:rPr>
          <w:rFonts w:asciiTheme="minorHAnsi" w:hAnsiTheme="minorHAnsi" w:cstheme="minorHAnsi"/>
          <w:sz w:val="24"/>
          <w:szCs w:val="24"/>
        </w:rPr>
        <w:t xml:space="preserve">proposal here </w:t>
      </w:r>
      <w:r w:rsidR="00CA5BB1">
        <w:rPr>
          <w:rFonts w:asciiTheme="minorHAnsi" w:hAnsiTheme="minorHAnsi" w:cstheme="minorHAnsi"/>
          <w:sz w:val="24"/>
          <w:szCs w:val="24"/>
        </w:rPr>
        <w:t xml:space="preserve">has the advantage that it is testable, </w:t>
      </w:r>
      <w:r w:rsidR="00A61EA9">
        <w:rPr>
          <w:rFonts w:asciiTheme="minorHAnsi" w:hAnsiTheme="minorHAnsi" w:cstheme="minorHAnsi"/>
          <w:sz w:val="24"/>
          <w:szCs w:val="24"/>
        </w:rPr>
        <w:t xml:space="preserve">hence permitting either </w:t>
      </w:r>
      <w:r w:rsidR="00CA5BB1">
        <w:rPr>
          <w:rFonts w:asciiTheme="minorHAnsi" w:hAnsiTheme="minorHAnsi" w:cstheme="minorHAnsi"/>
          <w:sz w:val="24"/>
          <w:szCs w:val="24"/>
        </w:rPr>
        <w:t>confirmation or falsification, unlike the purely intellectual approaches that are customary.</w:t>
      </w:r>
    </w:p>
    <w:p w14:paraId="1BA576CA" w14:textId="3F0D409E" w:rsidR="0074537D" w:rsidRPr="009D7C5D" w:rsidRDefault="0074537D" w:rsidP="009D7C5D">
      <w:pPr>
        <w:pStyle w:val="FootnoteText"/>
        <w:spacing w:afterLines="240" w:after="576" w:line="360" w:lineRule="auto"/>
        <w:rPr>
          <w:sz w:val="24"/>
          <w:szCs w:val="24"/>
        </w:rPr>
      </w:pPr>
      <w:r w:rsidRPr="009D7C5D">
        <w:rPr>
          <w:sz w:val="24"/>
          <w:szCs w:val="24"/>
        </w:rPr>
        <w:t xml:space="preserve">It is suggested then that Potnia Pomos depicts a </w:t>
      </w:r>
      <w:r w:rsidR="00DB25CB">
        <w:rPr>
          <w:sz w:val="24"/>
          <w:szCs w:val="24"/>
        </w:rPr>
        <w:t xml:space="preserve">specific </w:t>
      </w:r>
      <w:r w:rsidRPr="009D7C5D">
        <w:rPr>
          <w:sz w:val="24"/>
          <w:szCs w:val="24"/>
        </w:rPr>
        <w:t xml:space="preserve">meditation / trance position. It would </w:t>
      </w:r>
      <w:r w:rsidR="00CA5BB1">
        <w:rPr>
          <w:sz w:val="24"/>
          <w:szCs w:val="24"/>
        </w:rPr>
        <w:t xml:space="preserve">certainly </w:t>
      </w:r>
      <w:r w:rsidRPr="009D7C5D">
        <w:rPr>
          <w:sz w:val="24"/>
          <w:szCs w:val="24"/>
        </w:rPr>
        <w:t xml:space="preserve">be physically stressful to maintain </w:t>
      </w:r>
      <w:r w:rsidR="00CA5BB1">
        <w:rPr>
          <w:sz w:val="24"/>
          <w:szCs w:val="24"/>
        </w:rPr>
        <w:t xml:space="preserve">it </w:t>
      </w:r>
      <w:r w:rsidRPr="009D7C5D">
        <w:rPr>
          <w:sz w:val="24"/>
          <w:szCs w:val="24"/>
        </w:rPr>
        <w:t xml:space="preserve">for more than a </w:t>
      </w:r>
      <w:r w:rsidR="00CA5BB1">
        <w:rPr>
          <w:sz w:val="24"/>
          <w:szCs w:val="24"/>
        </w:rPr>
        <w:t>brief</w:t>
      </w:r>
      <w:r w:rsidRPr="009D7C5D">
        <w:rPr>
          <w:sz w:val="24"/>
          <w:szCs w:val="24"/>
        </w:rPr>
        <w:t xml:space="preserve"> time:</w:t>
      </w:r>
      <w:r w:rsidR="00CA5BB1">
        <w:rPr>
          <w:rStyle w:val="FootnoteReference"/>
          <w:sz w:val="24"/>
          <w:szCs w:val="24"/>
        </w:rPr>
        <w:footnoteReference w:id="65"/>
      </w:r>
      <w:r w:rsidRPr="009D7C5D">
        <w:rPr>
          <w:sz w:val="24"/>
          <w:szCs w:val="24"/>
        </w:rPr>
        <w:t xml:space="preserve"> the </w:t>
      </w:r>
      <w:r w:rsidRPr="009D7C5D">
        <w:rPr>
          <w:sz w:val="24"/>
          <w:szCs w:val="24"/>
        </w:rPr>
        <w:lastRenderedPageBreak/>
        <w:t xml:space="preserve">physiological response to the posture would play its part in the </w:t>
      </w:r>
      <w:r w:rsidR="00DB25CB">
        <w:rPr>
          <w:sz w:val="24"/>
          <w:szCs w:val="24"/>
        </w:rPr>
        <w:t xml:space="preserve">precise </w:t>
      </w:r>
      <w:r w:rsidRPr="009D7C5D">
        <w:rPr>
          <w:sz w:val="24"/>
          <w:szCs w:val="24"/>
        </w:rPr>
        <w:t>experience of a devotee.</w:t>
      </w:r>
      <w:r w:rsidR="00F64EF2" w:rsidRPr="009D7C5D">
        <w:rPr>
          <w:rStyle w:val="FootnoteReference"/>
          <w:sz w:val="24"/>
          <w:szCs w:val="24"/>
        </w:rPr>
        <w:footnoteReference w:id="66"/>
      </w:r>
      <w:r w:rsidRPr="009D7C5D">
        <w:rPr>
          <w:sz w:val="24"/>
          <w:szCs w:val="24"/>
        </w:rPr>
        <w:t xml:space="preserve"> </w:t>
      </w:r>
      <w:r w:rsidR="00E32A89" w:rsidRPr="009D7C5D">
        <w:rPr>
          <w:sz w:val="24"/>
          <w:szCs w:val="24"/>
        </w:rPr>
        <w:t xml:space="preserve">That Her head is </w:t>
      </w:r>
      <w:r w:rsidRPr="009D7C5D">
        <w:rPr>
          <w:sz w:val="24"/>
          <w:szCs w:val="24"/>
        </w:rPr>
        <w:t>tipped</w:t>
      </w:r>
      <w:r w:rsidR="00E32A89" w:rsidRPr="009D7C5D">
        <w:rPr>
          <w:sz w:val="24"/>
          <w:szCs w:val="24"/>
        </w:rPr>
        <w:t xml:space="preserve"> </w:t>
      </w:r>
      <w:r w:rsidRPr="009D7C5D">
        <w:rPr>
          <w:sz w:val="24"/>
          <w:szCs w:val="24"/>
        </w:rPr>
        <w:t>back</w:t>
      </w:r>
      <w:r w:rsidR="00E32A89" w:rsidRPr="009D7C5D">
        <w:rPr>
          <w:sz w:val="24"/>
          <w:szCs w:val="24"/>
        </w:rPr>
        <w:t xml:space="preserve">ward from ‘natural’ position has been generally noticed: this writer can speak from personal experience that to do </w:t>
      </w:r>
      <w:r w:rsidR="00270FD4" w:rsidRPr="009D7C5D">
        <w:rPr>
          <w:sz w:val="24"/>
          <w:szCs w:val="24"/>
        </w:rPr>
        <w:t xml:space="preserve">this </w:t>
      </w:r>
      <w:r w:rsidR="00E32A89" w:rsidRPr="009D7C5D">
        <w:rPr>
          <w:sz w:val="24"/>
          <w:szCs w:val="24"/>
        </w:rPr>
        <w:t xml:space="preserve">can </w:t>
      </w:r>
      <w:r w:rsidR="00270FD4" w:rsidRPr="009D7C5D">
        <w:rPr>
          <w:sz w:val="24"/>
          <w:szCs w:val="24"/>
        </w:rPr>
        <w:t xml:space="preserve">precipitate </w:t>
      </w:r>
      <w:r w:rsidR="00E32A89" w:rsidRPr="009D7C5D">
        <w:rPr>
          <w:sz w:val="24"/>
          <w:szCs w:val="24"/>
        </w:rPr>
        <w:t>trance induction</w:t>
      </w:r>
      <w:r w:rsidR="00B2269A">
        <w:rPr>
          <w:sz w:val="24"/>
          <w:szCs w:val="24"/>
        </w:rPr>
        <w:t>. T</w:t>
      </w:r>
      <w:r w:rsidR="006B6229">
        <w:rPr>
          <w:sz w:val="24"/>
          <w:szCs w:val="24"/>
        </w:rPr>
        <w:t>he extended neck plausibly indicates an aspect of the trance experience, a ‘separation’ of head from body.</w:t>
      </w:r>
      <w:r w:rsidR="00883152">
        <w:rPr>
          <w:rStyle w:val="FootnoteReference"/>
          <w:sz w:val="24"/>
          <w:szCs w:val="24"/>
        </w:rPr>
        <w:footnoteReference w:id="67"/>
      </w:r>
      <w:r w:rsidR="006B6229">
        <w:rPr>
          <w:sz w:val="24"/>
          <w:szCs w:val="24"/>
        </w:rPr>
        <w:t xml:space="preserve"> A</w:t>
      </w:r>
      <w:r w:rsidR="00270FD4" w:rsidRPr="009D7C5D">
        <w:rPr>
          <w:sz w:val="24"/>
          <w:szCs w:val="24"/>
        </w:rPr>
        <w:t xml:space="preserve"> practice of directed gaze is also </w:t>
      </w:r>
      <w:r w:rsidR="006B6229">
        <w:rPr>
          <w:sz w:val="24"/>
          <w:szCs w:val="24"/>
        </w:rPr>
        <w:t xml:space="preserve">plausibly </w:t>
      </w:r>
      <w:r w:rsidR="00270FD4" w:rsidRPr="009D7C5D">
        <w:rPr>
          <w:sz w:val="24"/>
          <w:szCs w:val="24"/>
        </w:rPr>
        <w:t>significant</w:t>
      </w:r>
      <w:r w:rsidR="006B6229">
        <w:rPr>
          <w:sz w:val="24"/>
          <w:szCs w:val="24"/>
        </w:rPr>
        <w:t>: although Go</w:t>
      </w:r>
      <w:r w:rsidR="00B2269A">
        <w:rPr>
          <w:sz w:val="24"/>
          <w:szCs w:val="24"/>
        </w:rPr>
        <w:t>o</w:t>
      </w:r>
      <w:r w:rsidR="006B6229">
        <w:rPr>
          <w:sz w:val="24"/>
          <w:szCs w:val="24"/>
        </w:rPr>
        <w:t>dman’s trancework requires the eyes closed, open-eyed trance is also widespread in the world</w:t>
      </w:r>
      <w:r w:rsidR="00270FD4" w:rsidRPr="009D7C5D">
        <w:rPr>
          <w:sz w:val="24"/>
          <w:szCs w:val="24"/>
        </w:rPr>
        <w:t>.</w:t>
      </w:r>
      <w:r w:rsidR="00DB25CB">
        <w:rPr>
          <w:rStyle w:val="FootnoteReference"/>
          <w:sz w:val="24"/>
          <w:szCs w:val="24"/>
        </w:rPr>
        <w:footnoteReference w:id="68"/>
      </w:r>
      <w:r w:rsidR="00270FD4" w:rsidRPr="009D7C5D">
        <w:rPr>
          <w:sz w:val="24"/>
          <w:szCs w:val="24"/>
        </w:rPr>
        <w:t xml:space="preserve"> </w:t>
      </w:r>
    </w:p>
    <w:p w14:paraId="42AFBB70" w14:textId="51B89411" w:rsidR="0074537D" w:rsidRPr="009D7C5D" w:rsidRDefault="0074537D" w:rsidP="009D7C5D">
      <w:pPr>
        <w:pStyle w:val="FootnoteText"/>
        <w:spacing w:afterLines="240" w:after="576" w:line="360" w:lineRule="auto"/>
        <w:rPr>
          <w:sz w:val="24"/>
          <w:szCs w:val="24"/>
        </w:rPr>
      </w:pPr>
      <w:r w:rsidRPr="009D7C5D">
        <w:rPr>
          <w:sz w:val="24"/>
          <w:szCs w:val="24"/>
        </w:rPr>
        <w:t xml:space="preserve">In one sense then, Potnia Pomos could be considered </w:t>
      </w:r>
      <w:r w:rsidR="009814AF">
        <w:rPr>
          <w:sz w:val="24"/>
          <w:szCs w:val="24"/>
        </w:rPr>
        <w:t>non-</w:t>
      </w:r>
      <w:r w:rsidR="00E32A89" w:rsidRPr="009D7C5D">
        <w:rPr>
          <w:sz w:val="24"/>
          <w:szCs w:val="24"/>
        </w:rPr>
        <w:t xml:space="preserve">personal, </w:t>
      </w:r>
      <w:r w:rsidRPr="009D7C5D">
        <w:rPr>
          <w:sz w:val="24"/>
          <w:szCs w:val="24"/>
        </w:rPr>
        <w:t>a ‘teaching aid’, or a medium for knowledge transmission</w:t>
      </w:r>
      <w:r w:rsidR="00ED4EA3">
        <w:rPr>
          <w:sz w:val="24"/>
          <w:szCs w:val="24"/>
        </w:rPr>
        <w:t xml:space="preserve"> and ‘cultural memory’</w:t>
      </w:r>
      <w:r w:rsidR="00B91F14">
        <w:rPr>
          <w:sz w:val="24"/>
          <w:szCs w:val="24"/>
        </w:rPr>
        <w:t>.</w:t>
      </w:r>
      <w:r w:rsidR="00B91F14">
        <w:rPr>
          <w:rStyle w:val="FootnoteReference"/>
          <w:sz w:val="24"/>
          <w:szCs w:val="24"/>
        </w:rPr>
        <w:footnoteReference w:id="69"/>
      </w:r>
      <w:r w:rsidRPr="009D7C5D">
        <w:rPr>
          <w:sz w:val="24"/>
          <w:szCs w:val="24"/>
        </w:rPr>
        <w:t xml:space="preserve"> However, no single mode of usage or explanation should be considered sufficient. </w:t>
      </w:r>
      <w:r w:rsidR="00E32A89" w:rsidRPr="009D7C5D">
        <w:rPr>
          <w:sz w:val="24"/>
          <w:szCs w:val="24"/>
        </w:rPr>
        <w:t xml:space="preserve">Simultaneously, the figurine represents the individual devotee expressing worship by engaging in trance practice. It is not possible to give a view more precisely as to what kind of experience is </w:t>
      </w:r>
      <w:r w:rsidR="0092045C" w:rsidRPr="009D7C5D">
        <w:rPr>
          <w:sz w:val="24"/>
          <w:szCs w:val="24"/>
        </w:rPr>
        <w:t>in</w:t>
      </w:r>
      <w:r w:rsidR="00E32A89" w:rsidRPr="009D7C5D">
        <w:rPr>
          <w:sz w:val="24"/>
          <w:szCs w:val="24"/>
        </w:rPr>
        <w:t>duced by the posture</w:t>
      </w:r>
      <w:r w:rsidR="008436B9">
        <w:rPr>
          <w:sz w:val="24"/>
          <w:szCs w:val="24"/>
        </w:rPr>
        <w:t>:</w:t>
      </w:r>
      <w:r w:rsidR="0092045C" w:rsidRPr="009D7C5D">
        <w:rPr>
          <w:sz w:val="24"/>
          <w:szCs w:val="24"/>
        </w:rPr>
        <w:t xml:space="preserve"> there is no correlation between</w:t>
      </w:r>
      <w:r w:rsidR="008436B9">
        <w:rPr>
          <w:sz w:val="24"/>
          <w:szCs w:val="24"/>
        </w:rPr>
        <w:t xml:space="preserve"> how the posture might be understood in </w:t>
      </w:r>
      <w:r w:rsidR="008436B9" w:rsidRPr="009D7C5D">
        <w:rPr>
          <w:sz w:val="24"/>
          <w:szCs w:val="24"/>
        </w:rPr>
        <w:t xml:space="preserve">everyday </w:t>
      </w:r>
      <w:r w:rsidR="008436B9">
        <w:rPr>
          <w:sz w:val="24"/>
          <w:szCs w:val="24"/>
        </w:rPr>
        <w:t>‘normal consciousness’ and what derives from the altered state.</w:t>
      </w:r>
      <w:r w:rsidR="0092045C" w:rsidRPr="009D7C5D">
        <w:rPr>
          <w:sz w:val="24"/>
          <w:szCs w:val="24"/>
        </w:rPr>
        <w:t xml:space="preserve"> It can therefore be but speculation that the Potnia Pomos posture </w:t>
      </w:r>
      <w:r w:rsidR="008436B9">
        <w:rPr>
          <w:sz w:val="24"/>
          <w:szCs w:val="24"/>
        </w:rPr>
        <w:t>more specifically (that is, including the wearing of the self-reflexive pendant</w:t>
      </w:r>
      <w:r w:rsidR="00B67C61">
        <w:rPr>
          <w:rStyle w:val="FootnoteReference"/>
          <w:sz w:val="24"/>
          <w:szCs w:val="24"/>
        </w:rPr>
        <w:footnoteReference w:id="70"/>
      </w:r>
      <w:r w:rsidR="008436B9">
        <w:rPr>
          <w:sz w:val="24"/>
          <w:szCs w:val="24"/>
        </w:rPr>
        <w:t xml:space="preserve">) </w:t>
      </w:r>
      <w:r w:rsidR="0092045C" w:rsidRPr="009D7C5D">
        <w:rPr>
          <w:sz w:val="24"/>
          <w:szCs w:val="24"/>
        </w:rPr>
        <w:t xml:space="preserve">typically involves a form of identification with and </w:t>
      </w:r>
      <w:r w:rsidR="0092045C" w:rsidRPr="009D7C5D">
        <w:rPr>
          <w:sz w:val="24"/>
          <w:szCs w:val="24"/>
        </w:rPr>
        <w:lastRenderedPageBreak/>
        <w:t>‘</w:t>
      </w:r>
      <w:r w:rsidR="00F64EF2" w:rsidRPr="009D7C5D">
        <w:rPr>
          <w:sz w:val="24"/>
          <w:szCs w:val="24"/>
        </w:rPr>
        <w:t>channelling</w:t>
      </w:r>
      <w:r w:rsidR="0092045C" w:rsidRPr="009D7C5D">
        <w:rPr>
          <w:sz w:val="24"/>
          <w:szCs w:val="24"/>
        </w:rPr>
        <w:t>’ or ‘</w:t>
      </w:r>
      <w:r w:rsidR="003538ED" w:rsidRPr="009D7C5D">
        <w:rPr>
          <w:sz w:val="24"/>
          <w:szCs w:val="24"/>
        </w:rPr>
        <w:t>possession</w:t>
      </w:r>
      <w:r w:rsidR="0092045C" w:rsidRPr="009D7C5D">
        <w:rPr>
          <w:sz w:val="24"/>
          <w:szCs w:val="24"/>
        </w:rPr>
        <w:t>’ by a female deity,</w:t>
      </w:r>
      <w:r w:rsidR="00F64EF2" w:rsidRPr="009D7C5D">
        <w:rPr>
          <w:rStyle w:val="FootnoteReference"/>
          <w:sz w:val="24"/>
          <w:szCs w:val="24"/>
        </w:rPr>
        <w:footnoteReference w:id="71"/>
      </w:r>
      <w:r w:rsidR="0092045C" w:rsidRPr="009D7C5D">
        <w:rPr>
          <w:sz w:val="24"/>
          <w:szCs w:val="24"/>
        </w:rPr>
        <w:t xml:space="preserve"> </w:t>
      </w:r>
      <w:r w:rsidR="00B2269A">
        <w:rPr>
          <w:sz w:val="24"/>
          <w:szCs w:val="24"/>
        </w:rPr>
        <w:t xml:space="preserve">and indicated as such via </w:t>
      </w:r>
      <w:r w:rsidR="00F64EF2" w:rsidRPr="009D7C5D">
        <w:rPr>
          <w:sz w:val="24"/>
          <w:szCs w:val="24"/>
        </w:rPr>
        <w:t>H</w:t>
      </w:r>
      <w:r w:rsidR="0092045C" w:rsidRPr="009D7C5D">
        <w:rPr>
          <w:sz w:val="24"/>
          <w:szCs w:val="24"/>
        </w:rPr>
        <w:t xml:space="preserve">er necklace. Potnia Pomos may then be interpreted as </w:t>
      </w:r>
      <w:r w:rsidR="0092045C" w:rsidRPr="009D7C5D">
        <w:rPr>
          <w:i/>
          <w:iCs/>
          <w:sz w:val="24"/>
          <w:szCs w:val="24"/>
        </w:rPr>
        <w:t>both</w:t>
      </w:r>
      <w:r w:rsidR="0092045C" w:rsidRPr="009D7C5D">
        <w:rPr>
          <w:sz w:val="24"/>
          <w:szCs w:val="24"/>
        </w:rPr>
        <w:t xml:space="preserve"> Goddess and devotee.</w:t>
      </w:r>
    </w:p>
    <w:p w14:paraId="37025C14" w14:textId="77777777" w:rsidR="005C4415" w:rsidRDefault="005C4415" w:rsidP="003538ED">
      <w:pPr>
        <w:pStyle w:val="FootnoteText"/>
        <w:rPr>
          <w:sz w:val="24"/>
          <w:szCs w:val="24"/>
          <w:u w:val="single"/>
        </w:rPr>
      </w:pPr>
    </w:p>
    <w:p w14:paraId="5C3F34F2" w14:textId="77777777" w:rsidR="005C4415" w:rsidRDefault="005C4415" w:rsidP="003538ED">
      <w:pPr>
        <w:pStyle w:val="FootnoteText"/>
        <w:rPr>
          <w:sz w:val="24"/>
          <w:szCs w:val="24"/>
          <w:u w:val="single"/>
        </w:rPr>
      </w:pPr>
    </w:p>
    <w:p w14:paraId="2B6402FE" w14:textId="77777777" w:rsidR="005C4415" w:rsidRDefault="005C4415" w:rsidP="003538ED">
      <w:pPr>
        <w:pStyle w:val="FootnoteText"/>
        <w:rPr>
          <w:sz w:val="24"/>
          <w:szCs w:val="24"/>
          <w:u w:val="single"/>
        </w:rPr>
      </w:pPr>
    </w:p>
    <w:p w14:paraId="2AA2F35F" w14:textId="7FDF0F89" w:rsidR="003538ED" w:rsidRPr="00105C81" w:rsidRDefault="00105C81" w:rsidP="003538ED">
      <w:pPr>
        <w:pStyle w:val="FootnoteText"/>
        <w:rPr>
          <w:sz w:val="24"/>
          <w:szCs w:val="24"/>
          <w:u w:val="single"/>
        </w:rPr>
      </w:pPr>
      <w:r w:rsidRPr="00105C81">
        <w:rPr>
          <w:sz w:val="24"/>
          <w:szCs w:val="24"/>
          <w:u w:val="single"/>
        </w:rPr>
        <w:t>Works Cited</w:t>
      </w:r>
      <w:r w:rsidR="00D045AE">
        <w:rPr>
          <w:rStyle w:val="FootnoteReference"/>
          <w:sz w:val="24"/>
          <w:szCs w:val="24"/>
          <w:u w:val="single"/>
        </w:rPr>
        <w:footnoteReference w:id="72"/>
      </w:r>
    </w:p>
    <w:p w14:paraId="6DAB4B0B" w14:textId="77777777" w:rsidR="00105C81" w:rsidRDefault="00105C81" w:rsidP="003538ED">
      <w:pPr>
        <w:pStyle w:val="FootnoteText"/>
      </w:pPr>
    </w:p>
    <w:p w14:paraId="0504DF51" w14:textId="066DF38B" w:rsidR="00131963" w:rsidRPr="00131963" w:rsidRDefault="00131963" w:rsidP="00131963">
      <w:pPr>
        <w:pStyle w:val="FootnoteText"/>
        <w:spacing w:after="120"/>
        <w:rPr>
          <w:sz w:val="24"/>
          <w:szCs w:val="24"/>
        </w:rPr>
      </w:pPr>
      <w:r w:rsidRPr="00131963">
        <w:rPr>
          <w:sz w:val="24"/>
          <w:szCs w:val="24"/>
        </w:rPr>
        <w:t>Alphas, E. (2019). Woman in labour. In R. B. Halbertsma, &amp; D. Pilides (Eds.), </w:t>
      </w:r>
      <w:r w:rsidRPr="00131963">
        <w:rPr>
          <w:i/>
          <w:iCs/>
          <w:sz w:val="24"/>
          <w:szCs w:val="24"/>
        </w:rPr>
        <w:t>Cyprus: A Dynamic Island</w:t>
      </w:r>
      <w:r w:rsidRPr="00131963">
        <w:rPr>
          <w:sz w:val="24"/>
          <w:szCs w:val="24"/>
        </w:rPr>
        <w:t> (pp. 72–72). Leiden: Sidestone Press.</w:t>
      </w:r>
    </w:p>
    <w:p w14:paraId="26F7CBD1" w14:textId="77777777" w:rsidR="00131963" w:rsidRPr="00131963" w:rsidRDefault="00131963" w:rsidP="00131963">
      <w:pPr>
        <w:pStyle w:val="FootnoteText"/>
        <w:spacing w:after="120"/>
        <w:rPr>
          <w:sz w:val="24"/>
          <w:szCs w:val="24"/>
        </w:rPr>
      </w:pPr>
      <w:r w:rsidRPr="00131963">
        <w:rPr>
          <w:sz w:val="24"/>
          <w:szCs w:val="24"/>
        </w:rPr>
        <w:t>Bailey, D. (2014). Touch and the cheirotic apprehension of prehistoric figurines. In P. Dent (Ed.), </w:t>
      </w:r>
      <w:r w:rsidRPr="00131963">
        <w:rPr>
          <w:i/>
          <w:iCs/>
          <w:sz w:val="24"/>
          <w:szCs w:val="24"/>
        </w:rPr>
        <w:t>Sculpture and touch</w:t>
      </w:r>
      <w:r w:rsidRPr="00131963">
        <w:rPr>
          <w:sz w:val="24"/>
          <w:szCs w:val="24"/>
        </w:rPr>
        <w:t> (pp. 27–44). Aldershot: Gower Publishing Co. Ltd.</w:t>
      </w:r>
    </w:p>
    <w:p w14:paraId="0B52DCE8" w14:textId="77777777" w:rsidR="00131963" w:rsidRPr="00131963" w:rsidRDefault="00131963" w:rsidP="00131963">
      <w:pPr>
        <w:pStyle w:val="FootnoteText"/>
        <w:spacing w:after="120"/>
        <w:rPr>
          <w:sz w:val="24"/>
          <w:szCs w:val="24"/>
        </w:rPr>
      </w:pPr>
      <w:r w:rsidRPr="00131963">
        <w:rPr>
          <w:sz w:val="24"/>
          <w:szCs w:val="24"/>
        </w:rPr>
        <w:t>Budin, S. L. (2000). </w:t>
      </w:r>
      <w:r w:rsidRPr="00131963">
        <w:rPr>
          <w:i/>
          <w:iCs/>
          <w:sz w:val="24"/>
          <w:szCs w:val="24"/>
        </w:rPr>
        <w:t>The origins of Aphrodite</w:t>
      </w:r>
    </w:p>
    <w:p w14:paraId="04F16ACE" w14:textId="77777777" w:rsidR="00131963" w:rsidRPr="00131963" w:rsidRDefault="00131963" w:rsidP="00131963">
      <w:pPr>
        <w:pStyle w:val="FootnoteText"/>
        <w:spacing w:after="120"/>
        <w:rPr>
          <w:sz w:val="24"/>
          <w:szCs w:val="24"/>
        </w:rPr>
      </w:pPr>
      <w:r w:rsidRPr="00131963">
        <w:rPr>
          <w:sz w:val="24"/>
          <w:szCs w:val="24"/>
        </w:rPr>
        <w:t>Ciaccia, O. (2022). Seeking Sekhmet: The veneration of Sekhmet Statues in contemporary museums.</w:t>
      </w:r>
      <w:r w:rsidRPr="00131963">
        <w:rPr>
          <w:i/>
          <w:iCs/>
          <w:sz w:val="24"/>
          <w:szCs w:val="24"/>
        </w:rPr>
        <w:t> The Pomegranate (Corbett, Or.), 23</w:t>
      </w:r>
      <w:r w:rsidRPr="00131963">
        <w:rPr>
          <w:sz w:val="24"/>
          <w:szCs w:val="24"/>
        </w:rPr>
        <w:t>(1-2)10.1558/pome.18653</w:t>
      </w:r>
    </w:p>
    <w:p w14:paraId="3C9B0EFE" w14:textId="780AC245" w:rsidR="00131963" w:rsidRPr="00131963" w:rsidRDefault="00131963" w:rsidP="00131963">
      <w:pPr>
        <w:pStyle w:val="FootnoteText"/>
        <w:spacing w:after="120"/>
        <w:rPr>
          <w:sz w:val="24"/>
          <w:szCs w:val="24"/>
        </w:rPr>
      </w:pPr>
      <w:r w:rsidRPr="00131963">
        <w:rPr>
          <w:sz w:val="24"/>
          <w:szCs w:val="24"/>
        </w:rPr>
        <w:t>Collard, D. (2011). </w:t>
      </w:r>
      <w:r w:rsidRPr="00131963">
        <w:rPr>
          <w:i/>
          <w:iCs/>
          <w:sz w:val="24"/>
          <w:szCs w:val="24"/>
        </w:rPr>
        <w:t xml:space="preserve">Altered states of consciousness and ritual in late bronze age </w:t>
      </w:r>
      <w:r>
        <w:rPr>
          <w:i/>
          <w:iCs/>
          <w:sz w:val="24"/>
          <w:szCs w:val="24"/>
        </w:rPr>
        <w:t>C</w:t>
      </w:r>
      <w:r w:rsidRPr="00131963">
        <w:rPr>
          <w:i/>
          <w:iCs/>
          <w:sz w:val="24"/>
          <w:szCs w:val="24"/>
        </w:rPr>
        <w:t>yprus</w:t>
      </w:r>
    </w:p>
    <w:p w14:paraId="239AFBEB" w14:textId="77777777" w:rsidR="00131963" w:rsidRPr="00131963" w:rsidRDefault="00131963" w:rsidP="00131963">
      <w:pPr>
        <w:pStyle w:val="FootnoteText"/>
        <w:spacing w:after="120"/>
        <w:rPr>
          <w:sz w:val="24"/>
          <w:szCs w:val="24"/>
        </w:rPr>
      </w:pPr>
      <w:r w:rsidRPr="00131963">
        <w:rPr>
          <w:sz w:val="24"/>
          <w:szCs w:val="24"/>
        </w:rPr>
        <w:t>Dikaios, P. (1934). Two Neolithic Steatite Idols.</w:t>
      </w:r>
      <w:r w:rsidRPr="00131963">
        <w:rPr>
          <w:i/>
          <w:iCs/>
          <w:sz w:val="24"/>
          <w:szCs w:val="24"/>
        </w:rPr>
        <w:t> Report of the Department of Antiquities, Cyprus, 16, </w:t>
      </w:r>
      <w:r w:rsidRPr="00131963">
        <w:rPr>
          <w:sz w:val="24"/>
          <w:szCs w:val="24"/>
        </w:rPr>
        <w:t>, 10.</w:t>
      </w:r>
    </w:p>
    <w:p w14:paraId="0BBF3174" w14:textId="77777777" w:rsidR="00131963" w:rsidRPr="00131963" w:rsidRDefault="00131963" w:rsidP="00131963">
      <w:pPr>
        <w:pStyle w:val="FootnoteText"/>
        <w:spacing w:after="120"/>
        <w:rPr>
          <w:sz w:val="24"/>
          <w:szCs w:val="24"/>
        </w:rPr>
      </w:pPr>
      <w:r w:rsidRPr="00131963">
        <w:rPr>
          <w:sz w:val="24"/>
          <w:szCs w:val="24"/>
        </w:rPr>
        <w:t>Düring, B. S. (2023). Reconsidering cruciform figurines of Chalcolithic Cyprus. In Düring B.S. &amp; Akkermans P.M.M.G. (Ed.), </w:t>
      </w:r>
      <w:r w:rsidRPr="00131963">
        <w:rPr>
          <w:i/>
          <w:iCs/>
          <w:sz w:val="24"/>
          <w:szCs w:val="24"/>
        </w:rPr>
        <w:t>Style and society in the prehistory of West Asia: Essays in honour of Olivier P. Niewenhuyse.</w:t>
      </w:r>
      <w:r w:rsidRPr="00131963">
        <w:rPr>
          <w:sz w:val="24"/>
          <w:szCs w:val="24"/>
        </w:rPr>
        <w:t> (pp. 149–156). Sidestone Press: Leiden.</w:t>
      </w:r>
    </w:p>
    <w:p w14:paraId="40D8E2C4" w14:textId="77777777" w:rsidR="00131963" w:rsidRPr="00131963" w:rsidRDefault="00131963" w:rsidP="00131963">
      <w:pPr>
        <w:pStyle w:val="FootnoteText"/>
        <w:spacing w:after="120"/>
        <w:rPr>
          <w:sz w:val="24"/>
          <w:szCs w:val="24"/>
        </w:rPr>
      </w:pPr>
      <w:r w:rsidRPr="00131963">
        <w:rPr>
          <w:sz w:val="24"/>
          <w:szCs w:val="24"/>
        </w:rPr>
        <w:t>Gimbutas, M., &amp; Dexter, M. R. (1999). </w:t>
      </w:r>
      <w:r w:rsidRPr="00131963">
        <w:rPr>
          <w:i/>
          <w:iCs/>
          <w:sz w:val="24"/>
          <w:szCs w:val="24"/>
        </w:rPr>
        <w:t>The living goddesses</w:t>
      </w:r>
      <w:r w:rsidRPr="00131963">
        <w:rPr>
          <w:sz w:val="24"/>
          <w:szCs w:val="24"/>
        </w:rPr>
        <w:t>. Berkeley: University of California Press.</w:t>
      </w:r>
    </w:p>
    <w:p w14:paraId="5B8058CF" w14:textId="77777777" w:rsidR="00131963" w:rsidRPr="00131963" w:rsidRDefault="00131963" w:rsidP="00131963">
      <w:pPr>
        <w:pStyle w:val="FootnoteText"/>
        <w:spacing w:after="120"/>
        <w:rPr>
          <w:sz w:val="24"/>
          <w:szCs w:val="24"/>
        </w:rPr>
      </w:pPr>
      <w:r w:rsidRPr="00131963">
        <w:rPr>
          <w:sz w:val="24"/>
          <w:szCs w:val="24"/>
        </w:rPr>
        <w:t>Goodman, F. D. (1990a). A Trance Dance with Masks: Research and Performance at the Cuyamungue Institute.</w:t>
      </w:r>
      <w:r w:rsidRPr="00131963">
        <w:rPr>
          <w:i/>
          <w:iCs/>
          <w:sz w:val="24"/>
          <w:szCs w:val="24"/>
        </w:rPr>
        <w:t> TDR : Drama Review, 34</w:t>
      </w:r>
      <w:r w:rsidRPr="00131963">
        <w:rPr>
          <w:sz w:val="24"/>
          <w:szCs w:val="24"/>
        </w:rPr>
        <w:t>(1), 102–114. 10.2307/1146010</w:t>
      </w:r>
    </w:p>
    <w:p w14:paraId="65DBF4B5" w14:textId="77777777" w:rsidR="00131963" w:rsidRPr="00131963" w:rsidRDefault="00131963" w:rsidP="00131963">
      <w:pPr>
        <w:pStyle w:val="FootnoteText"/>
        <w:spacing w:after="120"/>
        <w:rPr>
          <w:sz w:val="24"/>
          <w:szCs w:val="24"/>
        </w:rPr>
      </w:pPr>
      <w:r w:rsidRPr="00131963">
        <w:rPr>
          <w:sz w:val="24"/>
          <w:szCs w:val="24"/>
        </w:rPr>
        <w:t>Goodman, F. D. (1990b). </w:t>
      </w:r>
      <w:r w:rsidRPr="00131963">
        <w:rPr>
          <w:i/>
          <w:iCs/>
          <w:sz w:val="24"/>
          <w:szCs w:val="24"/>
        </w:rPr>
        <w:t>Where  the Spirits Ride the Wind: Trance Journeys and Other Ecstatic Experiences</w:t>
      </w:r>
      <w:r w:rsidRPr="00131963">
        <w:rPr>
          <w:sz w:val="24"/>
          <w:szCs w:val="24"/>
        </w:rPr>
        <w:t>. Bloomington: Indiana University Press.</w:t>
      </w:r>
    </w:p>
    <w:p w14:paraId="4247B917" w14:textId="77777777" w:rsidR="00131963" w:rsidRPr="00131963" w:rsidRDefault="00131963" w:rsidP="00131963">
      <w:pPr>
        <w:pStyle w:val="FootnoteText"/>
        <w:spacing w:after="120"/>
        <w:rPr>
          <w:sz w:val="24"/>
          <w:szCs w:val="24"/>
        </w:rPr>
      </w:pPr>
      <w:r w:rsidRPr="00131963">
        <w:rPr>
          <w:sz w:val="24"/>
          <w:szCs w:val="24"/>
        </w:rPr>
        <w:t>Goodman, F. D. (1999). Ritual Body Postures, Channeling, and the Ecstatic Body Trance.</w:t>
      </w:r>
      <w:r w:rsidRPr="00131963">
        <w:rPr>
          <w:i/>
          <w:iCs/>
          <w:sz w:val="24"/>
          <w:szCs w:val="24"/>
        </w:rPr>
        <w:t> Anthropology of Consciousness, 10</w:t>
      </w:r>
      <w:r w:rsidRPr="00131963">
        <w:rPr>
          <w:sz w:val="24"/>
          <w:szCs w:val="24"/>
        </w:rPr>
        <w:t>(1), 54–59. 10.1525/ac.1999.10.1.54</w:t>
      </w:r>
    </w:p>
    <w:p w14:paraId="5494926D" w14:textId="77777777" w:rsidR="00131963" w:rsidRPr="00131963" w:rsidRDefault="00131963" w:rsidP="00131963">
      <w:pPr>
        <w:pStyle w:val="FootnoteText"/>
        <w:spacing w:after="120"/>
        <w:rPr>
          <w:sz w:val="24"/>
          <w:szCs w:val="24"/>
        </w:rPr>
      </w:pPr>
      <w:r w:rsidRPr="00131963">
        <w:rPr>
          <w:sz w:val="24"/>
          <w:szCs w:val="24"/>
        </w:rPr>
        <w:t>Gore, B. (1995). </w:t>
      </w:r>
      <w:r w:rsidRPr="00131963">
        <w:rPr>
          <w:i/>
          <w:iCs/>
          <w:sz w:val="24"/>
          <w:szCs w:val="24"/>
        </w:rPr>
        <w:t>Ecstatic Body Postures</w:t>
      </w:r>
      <w:r w:rsidRPr="00131963">
        <w:rPr>
          <w:sz w:val="24"/>
          <w:szCs w:val="24"/>
        </w:rPr>
        <w:t>. Santa Fe: Bear &amp; Co.</w:t>
      </w:r>
    </w:p>
    <w:p w14:paraId="62C24F17" w14:textId="77777777" w:rsidR="00131963" w:rsidRPr="00131963" w:rsidRDefault="00131963" w:rsidP="00131963">
      <w:pPr>
        <w:pStyle w:val="FootnoteText"/>
        <w:spacing w:after="120"/>
        <w:rPr>
          <w:sz w:val="24"/>
          <w:szCs w:val="24"/>
        </w:rPr>
      </w:pPr>
      <w:r w:rsidRPr="00131963">
        <w:rPr>
          <w:sz w:val="24"/>
          <w:szCs w:val="24"/>
        </w:rPr>
        <w:t>Goring, E. (2019). Figurines and figurative pendants. In E. J. Peltenburg, D. Bolger &amp; L. Crewe (Eds.), </w:t>
      </w:r>
      <w:r w:rsidRPr="00131963">
        <w:rPr>
          <w:i/>
          <w:iCs/>
          <w:sz w:val="24"/>
          <w:szCs w:val="24"/>
        </w:rPr>
        <w:t>Figurine makers of prehistoric Cyprus : settlement and cemeteries at Souskiou</w:t>
      </w:r>
      <w:r w:rsidRPr="00131963">
        <w:rPr>
          <w:sz w:val="24"/>
          <w:szCs w:val="24"/>
        </w:rPr>
        <w:t> (pp. 207–222). Oxford ;: Oxbow Books.</w:t>
      </w:r>
    </w:p>
    <w:p w14:paraId="536109FC" w14:textId="77777777" w:rsidR="00131963" w:rsidRPr="00131963" w:rsidRDefault="00131963" w:rsidP="00131963">
      <w:pPr>
        <w:pStyle w:val="FootnoteText"/>
        <w:spacing w:after="120"/>
        <w:rPr>
          <w:sz w:val="24"/>
          <w:szCs w:val="24"/>
        </w:rPr>
      </w:pPr>
      <w:r w:rsidRPr="00131963">
        <w:rPr>
          <w:sz w:val="24"/>
          <w:szCs w:val="24"/>
        </w:rPr>
        <w:t>Grant, J. (1956). </w:t>
      </w:r>
      <w:r w:rsidRPr="00131963">
        <w:rPr>
          <w:i/>
          <w:iCs/>
          <w:sz w:val="24"/>
          <w:szCs w:val="24"/>
        </w:rPr>
        <w:t>Far Memory</w:t>
      </w:r>
      <w:r w:rsidRPr="00131963">
        <w:rPr>
          <w:sz w:val="24"/>
          <w:szCs w:val="24"/>
        </w:rPr>
        <w:t>. London: Arthur Barker.</w:t>
      </w:r>
    </w:p>
    <w:p w14:paraId="4CC8E036" w14:textId="06FC1795" w:rsidR="00131963" w:rsidRPr="00131963" w:rsidRDefault="00131963" w:rsidP="00131963">
      <w:pPr>
        <w:pStyle w:val="FootnoteText"/>
        <w:spacing w:after="120"/>
        <w:rPr>
          <w:sz w:val="24"/>
          <w:szCs w:val="24"/>
        </w:rPr>
      </w:pPr>
      <w:r w:rsidRPr="00131963">
        <w:rPr>
          <w:sz w:val="24"/>
          <w:szCs w:val="24"/>
        </w:rPr>
        <w:lastRenderedPageBreak/>
        <w:t>Halbertsma, R. B., &amp; Pilides, D. (Eds.). (2019). </w:t>
      </w:r>
      <w:r w:rsidRPr="00131963">
        <w:rPr>
          <w:i/>
          <w:iCs/>
          <w:sz w:val="24"/>
          <w:szCs w:val="24"/>
        </w:rPr>
        <w:t>Cyprus: A Dynamic Island</w:t>
      </w:r>
      <w:r w:rsidRPr="00131963">
        <w:rPr>
          <w:sz w:val="24"/>
          <w:szCs w:val="24"/>
        </w:rPr>
        <w:t>. Leiden: Sidestone Press.</w:t>
      </w:r>
    </w:p>
    <w:p w14:paraId="514E6563" w14:textId="77777777" w:rsidR="00131963" w:rsidRPr="00131963" w:rsidRDefault="00131963" w:rsidP="00131963">
      <w:pPr>
        <w:pStyle w:val="FootnoteText"/>
        <w:spacing w:after="120"/>
        <w:rPr>
          <w:sz w:val="24"/>
          <w:szCs w:val="24"/>
        </w:rPr>
      </w:pPr>
      <w:r w:rsidRPr="00131963">
        <w:rPr>
          <w:sz w:val="24"/>
          <w:szCs w:val="24"/>
        </w:rPr>
        <w:t>Holden, R. &amp;. V., Mary. (1976). </w:t>
      </w:r>
      <w:r w:rsidRPr="00131963">
        <w:rPr>
          <w:i/>
          <w:iCs/>
          <w:sz w:val="24"/>
          <w:szCs w:val="24"/>
        </w:rPr>
        <w:t>Greek Folk Dance</w:t>
      </w:r>
      <w:r w:rsidRPr="00131963">
        <w:rPr>
          <w:sz w:val="24"/>
          <w:szCs w:val="24"/>
        </w:rPr>
        <w:t>. Newark, NJ: Folkraft.</w:t>
      </w:r>
    </w:p>
    <w:p w14:paraId="479464C6" w14:textId="77777777" w:rsidR="00131963" w:rsidRPr="00131963" w:rsidRDefault="00131963" w:rsidP="00131963">
      <w:pPr>
        <w:pStyle w:val="FootnoteText"/>
        <w:spacing w:after="120"/>
        <w:rPr>
          <w:sz w:val="24"/>
          <w:szCs w:val="24"/>
        </w:rPr>
      </w:pPr>
      <w:r w:rsidRPr="00131963">
        <w:rPr>
          <w:sz w:val="24"/>
          <w:szCs w:val="24"/>
        </w:rPr>
        <w:t>Karageorghis, J. (2005). </w:t>
      </w:r>
      <w:r w:rsidRPr="00131963">
        <w:rPr>
          <w:i/>
          <w:iCs/>
          <w:sz w:val="24"/>
          <w:szCs w:val="24"/>
        </w:rPr>
        <w:t>Kypris : the Aphrodite of Cyprus : ancient sources and archaeological evidence</w:t>
      </w:r>
      <w:r w:rsidRPr="00131963">
        <w:rPr>
          <w:sz w:val="24"/>
          <w:szCs w:val="24"/>
        </w:rPr>
        <w:t>. Nicosia: A.G. Leventis Foundation.</w:t>
      </w:r>
    </w:p>
    <w:p w14:paraId="22EAE9A8" w14:textId="77777777" w:rsidR="00131963" w:rsidRPr="00131963" w:rsidRDefault="00131963" w:rsidP="00131963">
      <w:pPr>
        <w:pStyle w:val="FootnoteText"/>
        <w:spacing w:after="120"/>
        <w:rPr>
          <w:sz w:val="24"/>
          <w:szCs w:val="24"/>
        </w:rPr>
      </w:pPr>
      <w:r w:rsidRPr="00131963">
        <w:rPr>
          <w:sz w:val="24"/>
          <w:szCs w:val="24"/>
        </w:rPr>
        <w:t>Kassianidou, V. (2013). Mining landscapes of Prehistoric Cyprus.</w:t>
      </w:r>
      <w:r w:rsidRPr="00131963">
        <w:rPr>
          <w:i/>
          <w:iCs/>
          <w:sz w:val="24"/>
          <w:szCs w:val="24"/>
        </w:rPr>
        <w:t> Metalla, 20</w:t>
      </w:r>
      <w:r w:rsidRPr="00131963">
        <w:rPr>
          <w:sz w:val="24"/>
          <w:szCs w:val="24"/>
        </w:rPr>
        <w:t>(2), 36–45.</w:t>
      </w:r>
    </w:p>
    <w:p w14:paraId="291290D3" w14:textId="77777777" w:rsidR="00131963" w:rsidRPr="00131963" w:rsidRDefault="00131963" w:rsidP="00131963">
      <w:pPr>
        <w:pStyle w:val="FootnoteText"/>
        <w:spacing w:after="120"/>
        <w:rPr>
          <w:sz w:val="24"/>
          <w:szCs w:val="24"/>
        </w:rPr>
      </w:pPr>
      <w:r w:rsidRPr="00131963">
        <w:rPr>
          <w:sz w:val="24"/>
          <w:szCs w:val="24"/>
        </w:rPr>
        <w:t>Kieburg, A. (2008). Aphrodite, Hephaistos and Ares: Some thoughts on the origins of the mythical connection of the three gods in the metallurgy of Late Bronze Age Cyprus. In &amp;. McCarthy, &amp; Andrew P. (Eds.), </w:t>
      </w:r>
      <w:r w:rsidRPr="00131963">
        <w:rPr>
          <w:i/>
          <w:iCs/>
          <w:sz w:val="24"/>
          <w:szCs w:val="24"/>
        </w:rPr>
        <w:t>Island Dialogues: Cyprus in the Mediterranean Network</w:t>
      </w:r>
      <w:r w:rsidRPr="00131963">
        <w:rPr>
          <w:sz w:val="24"/>
          <w:szCs w:val="24"/>
        </w:rPr>
        <w:t> (pp. 210–231). Edinburgh: University of Edinburgh.</w:t>
      </w:r>
    </w:p>
    <w:p w14:paraId="484AAA5F" w14:textId="77777777" w:rsidR="00131963" w:rsidRPr="00131963" w:rsidRDefault="00131963" w:rsidP="00131963">
      <w:pPr>
        <w:pStyle w:val="FootnoteText"/>
        <w:spacing w:after="120"/>
        <w:rPr>
          <w:sz w:val="24"/>
          <w:szCs w:val="24"/>
        </w:rPr>
      </w:pPr>
      <w:r w:rsidRPr="00131963">
        <w:rPr>
          <w:sz w:val="24"/>
          <w:szCs w:val="24"/>
        </w:rPr>
        <w:t>Knox, D. (2012). </w:t>
      </w:r>
      <w:r w:rsidRPr="00131963">
        <w:rPr>
          <w:i/>
          <w:iCs/>
          <w:sz w:val="24"/>
          <w:szCs w:val="24"/>
        </w:rPr>
        <w:t>Making Sense of Figurines in Bronze Age Cyprus: A Comprehensive Analysis of Cypriot Ceramic Figurative Material from EC I - LC IIIA (c.2300BC - c.1100BC)</w:t>
      </w:r>
    </w:p>
    <w:p w14:paraId="7376CF6E" w14:textId="77777777" w:rsidR="00131963" w:rsidRPr="00131963" w:rsidRDefault="00131963" w:rsidP="00131963">
      <w:pPr>
        <w:pStyle w:val="FootnoteText"/>
        <w:spacing w:after="120"/>
        <w:rPr>
          <w:sz w:val="24"/>
          <w:szCs w:val="24"/>
        </w:rPr>
      </w:pPr>
      <w:r w:rsidRPr="00131963">
        <w:rPr>
          <w:sz w:val="24"/>
          <w:szCs w:val="24"/>
        </w:rPr>
        <w:t>Lewis-Williams, J. (2010). </w:t>
      </w:r>
      <w:r w:rsidRPr="00131963">
        <w:rPr>
          <w:i/>
          <w:iCs/>
          <w:sz w:val="24"/>
          <w:szCs w:val="24"/>
        </w:rPr>
        <w:t>Conceiving God : the cognitive origin and evolution of religion</w:t>
      </w:r>
      <w:r w:rsidRPr="00131963">
        <w:rPr>
          <w:sz w:val="24"/>
          <w:szCs w:val="24"/>
        </w:rPr>
        <w:t>. London: Thames &amp; Hudson.</w:t>
      </w:r>
    </w:p>
    <w:p w14:paraId="3000B5C2" w14:textId="77777777" w:rsidR="00131963" w:rsidRPr="00131963" w:rsidRDefault="00131963" w:rsidP="00131963">
      <w:pPr>
        <w:pStyle w:val="FootnoteText"/>
        <w:spacing w:after="120"/>
        <w:rPr>
          <w:sz w:val="24"/>
          <w:szCs w:val="24"/>
        </w:rPr>
      </w:pPr>
      <w:r w:rsidRPr="00131963">
        <w:rPr>
          <w:sz w:val="24"/>
          <w:szCs w:val="24"/>
        </w:rPr>
        <w:t>Maier, F. G., Karageorghis, V., &amp; Leventis Foundation., A. G. (1984). </w:t>
      </w:r>
      <w:r w:rsidRPr="00131963">
        <w:rPr>
          <w:i/>
          <w:iCs/>
          <w:sz w:val="24"/>
          <w:szCs w:val="24"/>
        </w:rPr>
        <w:t>Paphos : history and archaeology</w:t>
      </w:r>
      <w:r w:rsidRPr="00131963">
        <w:rPr>
          <w:sz w:val="24"/>
          <w:szCs w:val="24"/>
        </w:rPr>
        <w:t>. Nicosia: A.G. Leventis Foundation.</w:t>
      </w:r>
    </w:p>
    <w:p w14:paraId="2649A4A0" w14:textId="77777777" w:rsidR="00131963" w:rsidRPr="00131963" w:rsidRDefault="00131963" w:rsidP="00131963">
      <w:pPr>
        <w:pStyle w:val="FootnoteText"/>
        <w:spacing w:after="120"/>
        <w:rPr>
          <w:sz w:val="24"/>
          <w:szCs w:val="24"/>
        </w:rPr>
      </w:pPr>
      <w:r w:rsidRPr="00131963">
        <w:rPr>
          <w:sz w:val="24"/>
          <w:szCs w:val="24"/>
        </w:rPr>
        <w:t>Mina, M., Triantaphyllou, S., &amp; Papadatos, G. (2016). </w:t>
      </w:r>
      <w:r w:rsidRPr="00131963">
        <w:rPr>
          <w:i/>
          <w:iCs/>
          <w:sz w:val="24"/>
          <w:szCs w:val="24"/>
        </w:rPr>
        <w:t>An archaeology of prehistoric bodies and embodied identities in the eastern Mediterranean</w:t>
      </w:r>
      <w:r w:rsidRPr="00131963">
        <w:rPr>
          <w:sz w:val="24"/>
          <w:szCs w:val="24"/>
        </w:rPr>
        <w:t>. Oxford ;: Oxbow Books.</w:t>
      </w:r>
    </w:p>
    <w:p w14:paraId="723D5D19" w14:textId="77777777" w:rsidR="00131963" w:rsidRPr="00131963" w:rsidRDefault="00131963" w:rsidP="00131963">
      <w:pPr>
        <w:pStyle w:val="FootnoteText"/>
        <w:spacing w:after="120"/>
        <w:rPr>
          <w:sz w:val="24"/>
          <w:szCs w:val="24"/>
          <w:lang w:val="fr-FR"/>
        </w:rPr>
      </w:pPr>
      <w:r w:rsidRPr="00131963">
        <w:rPr>
          <w:sz w:val="24"/>
          <w:szCs w:val="24"/>
        </w:rPr>
        <w:t>Murphy, C. (2015). (A) Choreographed Frenzy: A Sequence of Steps Towards Understanding Movement and Dance in Aegean Bronze Age Iconography. In S. Cappel, U. Günkel-Maschek &amp; D. Panagiotopoulos (Eds.), </w:t>
      </w:r>
      <w:r w:rsidRPr="00131963">
        <w:rPr>
          <w:i/>
          <w:iCs/>
          <w:sz w:val="24"/>
          <w:szCs w:val="24"/>
        </w:rPr>
        <w:t>Minoan archaeology : Perspectives for the 21st century : proceedings of the International Ph.D. and Post-Doc conference at Heidelberg, 23-27 March 2011</w:t>
      </w:r>
      <w:r w:rsidRPr="00131963">
        <w:rPr>
          <w:sz w:val="24"/>
          <w:szCs w:val="24"/>
        </w:rPr>
        <w:t xml:space="preserve"> (pp. 311–318). </w:t>
      </w:r>
      <w:r w:rsidRPr="00131963">
        <w:rPr>
          <w:sz w:val="24"/>
          <w:szCs w:val="24"/>
          <w:lang w:val="fr-FR"/>
        </w:rPr>
        <w:t>Louvain-la-Neuve: Presses Universitaires de Louvain.</w:t>
      </w:r>
    </w:p>
    <w:p w14:paraId="37297328" w14:textId="10215A71" w:rsidR="00131963" w:rsidRPr="00131963" w:rsidRDefault="00131963" w:rsidP="00131963">
      <w:pPr>
        <w:pStyle w:val="FootnoteText"/>
        <w:spacing w:after="120"/>
        <w:rPr>
          <w:sz w:val="24"/>
          <w:szCs w:val="24"/>
        </w:rPr>
      </w:pPr>
      <w:r w:rsidRPr="00131963">
        <w:rPr>
          <w:sz w:val="24"/>
          <w:szCs w:val="24"/>
          <w:lang w:val="fr-FR"/>
        </w:rPr>
        <w:t xml:space="preserve">Peltenburg, E. J., Bolger, D., &amp; Crewe, L. (Eds.). </w:t>
      </w:r>
      <w:r w:rsidRPr="00131963">
        <w:rPr>
          <w:sz w:val="24"/>
          <w:szCs w:val="24"/>
        </w:rPr>
        <w:t>(2019). </w:t>
      </w:r>
      <w:r w:rsidRPr="00131963">
        <w:rPr>
          <w:i/>
          <w:iCs/>
          <w:sz w:val="24"/>
          <w:szCs w:val="24"/>
        </w:rPr>
        <w:t>Figurine makers of prehistoric Cyprus: settlement and cemeteries at Souskiou</w:t>
      </w:r>
      <w:r w:rsidRPr="00131963">
        <w:rPr>
          <w:sz w:val="24"/>
          <w:szCs w:val="24"/>
        </w:rPr>
        <w:t>. Oxford ;: Oxbow Books.</w:t>
      </w:r>
    </w:p>
    <w:p w14:paraId="4C338EBC" w14:textId="77777777" w:rsidR="00131963" w:rsidRPr="00131963" w:rsidRDefault="00131963" w:rsidP="00131963">
      <w:pPr>
        <w:pStyle w:val="FootnoteText"/>
        <w:spacing w:after="120"/>
        <w:rPr>
          <w:sz w:val="24"/>
          <w:szCs w:val="24"/>
        </w:rPr>
      </w:pPr>
      <w:r w:rsidRPr="00131963">
        <w:rPr>
          <w:sz w:val="24"/>
          <w:szCs w:val="24"/>
        </w:rPr>
        <w:t>Peltenburg, E. (1991). Local Exchange in Prehistoric Cyprus: An Initial Assessment of Picrolite.</w:t>
      </w:r>
      <w:r w:rsidRPr="00131963">
        <w:rPr>
          <w:i/>
          <w:iCs/>
          <w:sz w:val="24"/>
          <w:szCs w:val="24"/>
        </w:rPr>
        <w:t> Bulletin of the American Schools of Oriental Research, 282</w:t>
      </w:r>
      <w:r w:rsidRPr="00131963">
        <w:rPr>
          <w:sz w:val="24"/>
          <w:szCs w:val="24"/>
        </w:rPr>
        <w:t>(282), 107–126. 10.2307/1357265</w:t>
      </w:r>
    </w:p>
    <w:p w14:paraId="70F7ADE4" w14:textId="77777777" w:rsidR="00131963" w:rsidRPr="00131963" w:rsidRDefault="00131963" w:rsidP="00131963">
      <w:pPr>
        <w:pStyle w:val="FootnoteText"/>
        <w:spacing w:after="120"/>
        <w:rPr>
          <w:sz w:val="24"/>
          <w:szCs w:val="24"/>
          <w:lang w:val="fr-FR"/>
        </w:rPr>
      </w:pPr>
      <w:r w:rsidRPr="00131963">
        <w:rPr>
          <w:sz w:val="24"/>
          <w:szCs w:val="24"/>
        </w:rPr>
        <w:t>Peltenburg, E. (2019). Picrolite procurement, manufacture and use. In E. J. Peltenburg, D. Bolger &amp; L. Crewe (Eds.), </w:t>
      </w:r>
      <w:r w:rsidRPr="00131963">
        <w:rPr>
          <w:i/>
          <w:iCs/>
          <w:sz w:val="24"/>
          <w:szCs w:val="24"/>
        </w:rPr>
        <w:t>Figurine makers of prehistoric Cyprus : settlement and cemeteries at Souskiou</w:t>
      </w:r>
      <w:r w:rsidRPr="00131963">
        <w:rPr>
          <w:sz w:val="24"/>
          <w:szCs w:val="24"/>
        </w:rPr>
        <w:t xml:space="preserve"> (pp. 233–248). </w:t>
      </w:r>
      <w:r w:rsidRPr="00131963">
        <w:rPr>
          <w:sz w:val="24"/>
          <w:szCs w:val="24"/>
          <w:lang w:val="fr-FR"/>
        </w:rPr>
        <w:t>Oxford ;: Oxbow Books.</w:t>
      </w:r>
    </w:p>
    <w:p w14:paraId="68D6FDBC" w14:textId="77777777" w:rsidR="00131963" w:rsidRPr="00131963" w:rsidRDefault="00131963" w:rsidP="00131963">
      <w:pPr>
        <w:pStyle w:val="FootnoteText"/>
        <w:spacing w:after="120"/>
        <w:rPr>
          <w:sz w:val="24"/>
          <w:szCs w:val="24"/>
          <w:lang w:val="fr-FR"/>
        </w:rPr>
      </w:pPr>
      <w:r w:rsidRPr="00131963">
        <w:rPr>
          <w:sz w:val="24"/>
          <w:szCs w:val="24"/>
          <w:lang w:val="fr-FR"/>
        </w:rPr>
        <w:t>Sauneron, S. (1962). </w:t>
      </w:r>
      <w:r w:rsidRPr="00131963">
        <w:rPr>
          <w:i/>
          <w:iCs/>
          <w:sz w:val="24"/>
          <w:szCs w:val="24"/>
          <w:lang w:val="fr-FR"/>
        </w:rPr>
        <w:t>Les fêtes religieuses d'Esna aux derniers siècles du paganisme</w:t>
      </w:r>
    </w:p>
    <w:p w14:paraId="1AD10385" w14:textId="77777777" w:rsidR="00131963" w:rsidRPr="00131963" w:rsidRDefault="00131963" w:rsidP="00131963">
      <w:pPr>
        <w:pStyle w:val="FootnoteText"/>
        <w:spacing w:after="120"/>
        <w:rPr>
          <w:sz w:val="24"/>
          <w:szCs w:val="24"/>
        </w:rPr>
      </w:pPr>
      <w:r w:rsidRPr="00131963">
        <w:rPr>
          <w:sz w:val="24"/>
          <w:szCs w:val="24"/>
        </w:rPr>
        <w:t>Steel, L. (2002). </w:t>
      </w:r>
      <w:r w:rsidRPr="00131963">
        <w:rPr>
          <w:i/>
          <w:iCs/>
          <w:sz w:val="24"/>
          <w:szCs w:val="24"/>
        </w:rPr>
        <w:t>Cyprus before history : from the earliest settlers to the end of the Bronze Age</w:t>
      </w:r>
      <w:r w:rsidRPr="00131963">
        <w:rPr>
          <w:sz w:val="24"/>
          <w:szCs w:val="24"/>
        </w:rPr>
        <w:t>. London: Duckworth.</w:t>
      </w:r>
    </w:p>
    <w:p w14:paraId="5F80C035" w14:textId="77777777" w:rsidR="00131963" w:rsidRPr="00131963" w:rsidRDefault="00131963" w:rsidP="00131963">
      <w:pPr>
        <w:pStyle w:val="FootnoteText"/>
        <w:spacing w:after="120"/>
        <w:rPr>
          <w:sz w:val="24"/>
          <w:szCs w:val="24"/>
        </w:rPr>
      </w:pPr>
      <w:r w:rsidRPr="00131963">
        <w:rPr>
          <w:sz w:val="24"/>
          <w:szCs w:val="24"/>
        </w:rPr>
        <w:t>Ucko, P. J. (1962). The Interpretation of Prehistoric Anthropomorphic Figurines.</w:t>
      </w:r>
      <w:r w:rsidRPr="00131963">
        <w:rPr>
          <w:i/>
          <w:iCs/>
          <w:sz w:val="24"/>
          <w:szCs w:val="24"/>
        </w:rPr>
        <w:t> The Journal of the Royal Anthropological Institute of Great Britain and Ireland, 92</w:t>
      </w:r>
      <w:r w:rsidRPr="00131963">
        <w:rPr>
          <w:sz w:val="24"/>
          <w:szCs w:val="24"/>
        </w:rPr>
        <w:t>(1), 38–54. 10.2307/2844320</w:t>
      </w:r>
    </w:p>
    <w:p w14:paraId="695AA89D" w14:textId="77777777" w:rsidR="00131963" w:rsidRPr="00131963" w:rsidRDefault="00131963" w:rsidP="00131963">
      <w:pPr>
        <w:pStyle w:val="FootnoteText"/>
        <w:spacing w:after="120"/>
        <w:rPr>
          <w:sz w:val="24"/>
          <w:szCs w:val="24"/>
        </w:rPr>
      </w:pPr>
      <w:r w:rsidRPr="00131963">
        <w:rPr>
          <w:sz w:val="24"/>
          <w:szCs w:val="24"/>
        </w:rPr>
        <w:t>Vagnetti, L. (1991). Stone Sculpture in Chalcolithic Cyprus. In J. &amp;. P. Walsh Athasanios (Ed.), </w:t>
      </w:r>
      <w:r w:rsidRPr="00131963">
        <w:rPr>
          <w:i/>
          <w:iCs/>
          <w:sz w:val="24"/>
          <w:szCs w:val="24"/>
        </w:rPr>
        <w:t>Chalcolithic Cyprus</w:t>
      </w:r>
      <w:r w:rsidRPr="00131963">
        <w:rPr>
          <w:sz w:val="24"/>
          <w:szCs w:val="24"/>
        </w:rPr>
        <w:t> (pp. 139–151). Malibu, CA: Americal Schools of Oriental Research.</w:t>
      </w:r>
    </w:p>
    <w:p w14:paraId="5603766F" w14:textId="77777777" w:rsidR="00131963" w:rsidRPr="00131963" w:rsidRDefault="00131963" w:rsidP="00131963">
      <w:pPr>
        <w:pStyle w:val="FootnoteText"/>
        <w:spacing w:after="120"/>
        <w:rPr>
          <w:sz w:val="24"/>
          <w:szCs w:val="24"/>
        </w:rPr>
      </w:pPr>
      <w:r w:rsidRPr="00131963">
        <w:rPr>
          <w:sz w:val="24"/>
          <w:szCs w:val="24"/>
        </w:rPr>
        <w:lastRenderedPageBreak/>
        <w:t>Walsh, J., &amp; and Papageorghiou, A. (Eds.). (1991). </w:t>
      </w:r>
      <w:r w:rsidRPr="00131963">
        <w:rPr>
          <w:i/>
          <w:iCs/>
          <w:sz w:val="24"/>
          <w:szCs w:val="24"/>
        </w:rPr>
        <w:t>Chalcolithic Cyprus</w:t>
      </w:r>
      <w:r w:rsidRPr="00131963">
        <w:rPr>
          <w:sz w:val="24"/>
          <w:szCs w:val="24"/>
        </w:rPr>
        <w:t>. Malibu, CA: Americal Schools of Oriental Research.</w:t>
      </w:r>
    </w:p>
    <w:p w14:paraId="4C828E35" w14:textId="18346CC0" w:rsidR="00ED4EA3" w:rsidRPr="00131963" w:rsidRDefault="00131963" w:rsidP="00ED4EA3">
      <w:pPr>
        <w:pStyle w:val="FootnoteText"/>
        <w:spacing w:after="120"/>
        <w:rPr>
          <w:sz w:val="24"/>
          <w:szCs w:val="24"/>
        </w:rPr>
      </w:pPr>
      <w:r w:rsidRPr="00131963">
        <w:rPr>
          <w:sz w:val="24"/>
          <w:szCs w:val="24"/>
        </w:rPr>
        <w:t>Xenophontos, C. (1991). Picrolite, Its Nature, Provenance, and Possible Distribution Patterns in the Chalcolithic Period of Cyprus.</w:t>
      </w:r>
      <w:r w:rsidRPr="00131963">
        <w:rPr>
          <w:i/>
          <w:iCs/>
          <w:sz w:val="24"/>
          <w:szCs w:val="24"/>
        </w:rPr>
        <w:t> Bulletin of the American Schools of Oriental Research, 282</w:t>
      </w:r>
      <w:r w:rsidRPr="00131963">
        <w:rPr>
          <w:sz w:val="24"/>
          <w:szCs w:val="24"/>
        </w:rPr>
        <w:t>(282), 127–138. 10.2307/1357266</w:t>
      </w:r>
      <w:r w:rsidR="00D045AE" w:rsidRPr="00131963">
        <w:rPr>
          <w:sz w:val="24"/>
          <w:szCs w:val="24"/>
        </w:rPr>
        <w:t>.</w:t>
      </w:r>
    </w:p>
    <w:sectPr w:rsidR="00ED4EA3" w:rsidRPr="00131963" w:rsidSect="00F97B0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8A512" w14:textId="77777777" w:rsidR="00E170E1" w:rsidRDefault="00E170E1" w:rsidP="00536DB2">
      <w:pPr>
        <w:spacing w:after="0"/>
      </w:pPr>
      <w:r>
        <w:separator/>
      </w:r>
    </w:p>
  </w:endnote>
  <w:endnote w:type="continuationSeparator" w:id="0">
    <w:p w14:paraId="13D0063E" w14:textId="77777777" w:rsidR="00E170E1" w:rsidRDefault="00E170E1" w:rsidP="00536D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800574"/>
      <w:docPartObj>
        <w:docPartGallery w:val="Page Numbers (Bottom of Page)"/>
        <w:docPartUnique/>
      </w:docPartObj>
    </w:sdtPr>
    <w:sdtContent>
      <w:sdt>
        <w:sdtPr>
          <w:id w:val="-1705238520"/>
          <w:docPartObj>
            <w:docPartGallery w:val="Page Numbers (Top of Page)"/>
            <w:docPartUnique/>
          </w:docPartObj>
        </w:sdtPr>
        <w:sdtContent>
          <w:p w14:paraId="77F6D077" w14:textId="072E6AB4" w:rsidR="009D7C5D" w:rsidRDefault="009D7C5D">
            <w:pPr>
              <w:pStyle w:val="Footer"/>
            </w:pPr>
            <w:r>
              <w:t>HPAH7014-2025-2-Object</w:t>
            </w:r>
            <w:r>
              <w:tab/>
              <w:t>2310535</w:t>
            </w:r>
            <w:r>
              <w:tab/>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C95586D" w14:textId="77777777" w:rsidR="009D7C5D" w:rsidRDefault="009D7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A2C2B" w14:textId="77777777" w:rsidR="00E170E1" w:rsidRDefault="00E170E1" w:rsidP="00536DB2">
      <w:pPr>
        <w:spacing w:after="0"/>
      </w:pPr>
      <w:r>
        <w:separator/>
      </w:r>
    </w:p>
  </w:footnote>
  <w:footnote w:type="continuationSeparator" w:id="0">
    <w:p w14:paraId="65283BE8" w14:textId="77777777" w:rsidR="00E170E1" w:rsidRDefault="00E170E1" w:rsidP="00536DB2">
      <w:pPr>
        <w:spacing w:after="0"/>
      </w:pPr>
      <w:r>
        <w:continuationSeparator/>
      </w:r>
    </w:p>
  </w:footnote>
  <w:footnote w:id="1">
    <w:p w14:paraId="6CD1EEFD" w14:textId="77777777" w:rsidR="0051033B" w:rsidRPr="0079684D" w:rsidRDefault="0051033B" w:rsidP="0079684D">
      <w:pPr>
        <w:pStyle w:val="FootnoteText"/>
        <w:spacing w:after="120"/>
        <w:rPr>
          <w:rFonts w:asciiTheme="minorHAnsi" w:hAnsiTheme="minorHAnsi" w:cstheme="minorHAnsi"/>
          <w:sz w:val="22"/>
          <w:szCs w:val="22"/>
        </w:rPr>
      </w:pPr>
      <w:r w:rsidRPr="0079684D">
        <w:rPr>
          <w:rStyle w:val="FootnoteReference"/>
          <w:rFonts w:asciiTheme="minorHAnsi" w:hAnsiTheme="minorHAnsi" w:cstheme="minorHAnsi"/>
          <w:sz w:val="22"/>
          <w:szCs w:val="22"/>
        </w:rPr>
        <w:footnoteRef/>
      </w:r>
      <w:r w:rsidRPr="0079684D">
        <w:rPr>
          <w:rFonts w:asciiTheme="minorHAnsi" w:hAnsiTheme="minorHAnsi" w:cstheme="minorHAnsi"/>
          <w:sz w:val="22"/>
          <w:szCs w:val="22"/>
        </w:rPr>
        <w:t xml:space="preserve"> Image from https://archive.ph/20120911235408/http://www.premierdmc.com.cy/IdolPomos.htm</w:t>
      </w:r>
    </w:p>
  </w:footnote>
  <w:footnote w:id="2">
    <w:p w14:paraId="635729B5" w14:textId="77777777" w:rsidR="000D0B15" w:rsidRPr="0079684D" w:rsidRDefault="000D0B15" w:rsidP="0079684D">
      <w:pPr>
        <w:pStyle w:val="FootnoteText"/>
        <w:spacing w:after="120"/>
        <w:rPr>
          <w:rFonts w:asciiTheme="minorHAnsi" w:hAnsiTheme="minorHAnsi" w:cstheme="minorHAnsi"/>
          <w:sz w:val="22"/>
          <w:szCs w:val="22"/>
        </w:rPr>
      </w:pPr>
      <w:r w:rsidRPr="0079684D">
        <w:rPr>
          <w:rStyle w:val="FootnoteReference"/>
          <w:rFonts w:asciiTheme="minorHAnsi" w:hAnsiTheme="minorHAnsi" w:cstheme="minorHAnsi"/>
          <w:sz w:val="22"/>
          <w:szCs w:val="22"/>
        </w:rPr>
        <w:footnoteRef/>
      </w:r>
      <w:r w:rsidRPr="0079684D">
        <w:rPr>
          <w:rFonts w:asciiTheme="minorHAnsi" w:hAnsiTheme="minorHAnsi" w:cstheme="minorHAnsi"/>
          <w:sz w:val="22"/>
          <w:szCs w:val="22"/>
        </w:rPr>
        <w:t xml:space="preserve"> Steel, 2005.</w:t>
      </w:r>
    </w:p>
  </w:footnote>
  <w:footnote w:id="3">
    <w:p w14:paraId="21E7F214" w14:textId="12029749" w:rsidR="000D0B15" w:rsidRPr="0079684D" w:rsidRDefault="000D0B15" w:rsidP="0079684D">
      <w:pPr>
        <w:pStyle w:val="FootnoteText"/>
        <w:spacing w:after="120"/>
        <w:rPr>
          <w:rFonts w:asciiTheme="minorHAnsi" w:hAnsiTheme="minorHAnsi" w:cstheme="minorHAnsi"/>
          <w:sz w:val="22"/>
          <w:szCs w:val="22"/>
        </w:rPr>
      </w:pPr>
      <w:r w:rsidRPr="0079684D">
        <w:rPr>
          <w:rStyle w:val="FootnoteReference"/>
          <w:rFonts w:asciiTheme="minorHAnsi" w:hAnsiTheme="minorHAnsi" w:cstheme="minorHAnsi"/>
          <w:sz w:val="22"/>
          <w:szCs w:val="22"/>
        </w:rPr>
        <w:footnoteRef/>
      </w:r>
      <w:r w:rsidRPr="0079684D">
        <w:rPr>
          <w:rFonts w:asciiTheme="minorHAnsi" w:hAnsiTheme="minorHAnsi" w:cstheme="minorHAnsi"/>
          <w:sz w:val="22"/>
          <w:szCs w:val="22"/>
        </w:rPr>
        <w:t xml:space="preserve"> Mina et. al., 2016. The cover of Peltenb</w:t>
      </w:r>
      <w:r w:rsidR="009D7C5D" w:rsidRPr="0079684D">
        <w:rPr>
          <w:rFonts w:asciiTheme="minorHAnsi" w:hAnsiTheme="minorHAnsi" w:cstheme="minorHAnsi"/>
          <w:sz w:val="22"/>
          <w:szCs w:val="22"/>
        </w:rPr>
        <w:t>u</w:t>
      </w:r>
      <w:r w:rsidRPr="0079684D">
        <w:rPr>
          <w:rFonts w:asciiTheme="minorHAnsi" w:hAnsiTheme="minorHAnsi" w:cstheme="minorHAnsi"/>
          <w:sz w:val="22"/>
          <w:szCs w:val="22"/>
        </w:rPr>
        <w:t xml:space="preserve">rg et.al., 2019, shows a number of similar cruciform figurines from </w:t>
      </w:r>
      <w:r w:rsidR="009D7C5D" w:rsidRPr="0079684D">
        <w:rPr>
          <w:rFonts w:asciiTheme="minorHAnsi" w:hAnsiTheme="minorHAnsi" w:cstheme="minorHAnsi"/>
          <w:sz w:val="22"/>
          <w:szCs w:val="22"/>
        </w:rPr>
        <w:t>Souskiou</w:t>
      </w:r>
      <w:r w:rsidRPr="0079684D">
        <w:rPr>
          <w:rFonts w:asciiTheme="minorHAnsi" w:hAnsiTheme="minorHAnsi" w:cstheme="minorHAnsi"/>
          <w:sz w:val="22"/>
          <w:szCs w:val="22"/>
        </w:rPr>
        <w:t>, but not Potnia Pomos.</w:t>
      </w:r>
    </w:p>
  </w:footnote>
  <w:footnote w:id="4">
    <w:p w14:paraId="5A3E9D44" w14:textId="249FD501" w:rsidR="000D0B15" w:rsidRPr="0079684D" w:rsidRDefault="000D0B15" w:rsidP="0079684D">
      <w:pPr>
        <w:pStyle w:val="FootnoteText"/>
        <w:spacing w:after="120"/>
        <w:rPr>
          <w:rFonts w:asciiTheme="minorHAnsi" w:hAnsiTheme="minorHAnsi" w:cstheme="minorHAnsi"/>
          <w:sz w:val="22"/>
          <w:szCs w:val="22"/>
        </w:rPr>
      </w:pPr>
      <w:r w:rsidRPr="0079684D">
        <w:rPr>
          <w:rStyle w:val="FootnoteReference"/>
          <w:rFonts w:asciiTheme="minorHAnsi" w:hAnsiTheme="minorHAnsi" w:cstheme="minorHAnsi"/>
          <w:sz w:val="22"/>
          <w:szCs w:val="22"/>
        </w:rPr>
        <w:footnoteRef/>
      </w:r>
      <w:r w:rsidRPr="0079684D">
        <w:rPr>
          <w:rFonts w:asciiTheme="minorHAnsi" w:hAnsiTheme="minorHAnsi" w:cstheme="minorHAnsi"/>
          <w:sz w:val="22"/>
          <w:szCs w:val="22"/>
        </w:rPr>
        <w:t xml:space="preserve"> This writer is pleased to own such a copy, </w:t>
      </w:r>
      <w:r w:rsidR="00883152">
        <w:rPr>
          <w:rFonts w:asciiTheme="minorHAnsi" w:hAnsiTheme="minorHAnsi" w:cstheme="minorHAnsi"/>
          <w:sz w:val="22"/>
          <w:szCs w:val="22"/>
        </w:rPr>
        <w:t xml:space="preserve">even the </w:t>
      </w:r>
      <w:r w:rsidRPr="0079684D">
        <w:rPr>
          <w:rFonts w:asciiTheme="minorHAnsi" w:hAnsiTheme="minorHAnsi" w:cstheme="minorHAnsi"/>
          <w:sz w:val="22"/>
          <w:szCs w:val="22"/>
        </w:rPr>
        <w:t xml:space="preserve">damage reproduced, 7cm high, in a white material </w:t>
      </w:r>
      <w:r w:rsidR="00B672F0" w:rsidRPr="0079684D">
        <w:rPr>
          <w:rFonts w:asciiTheme="minorHAnsi" w:hAnsiTheme="minorHAnsi" w:cstheme="minorHAnsi"/>
          <w:sz w:val="22"/>
          <w:szCs w:val="22"/>
        </w:rPr>
        <w:t xml:space="preserve">- </w:t>
      </w:r>
      <w:r w:rsidR="009D7C5D" w:rsidRPr="0079684D">
        <w:rPr>
          <w:rFonts w:asciiTheme="minorHAnsi" w:hAnsiTheme="minorHAnsi" w:cstheme="minorHAnsi"/>
          <w:sz w:val="22"/>
          <w:szCs w:val="22"/>
        </w:rPr>
        <w:t>perhaps</w:t>
      </w:r>
      <w:r w:rsidR="00B672F0" w:rsidRPr="0079684D">
        <w:rPr>
          <w:rFonts w:asciiTheme="minorHAnsi" w:hAnsiTheme="minorHAnsi" w:cstheme="minorHAnsi"/>
          <w:sz w:val="22"/>
          <w:szCs w:val="22"/>
        </w:rPr>
        <w:t xml:space="preserve"> steatite (soapstone), often confused with picrolite </w:t>
      </w:r>
      <w:r w:rsidRPr="0079684D">
        <w:rPr>
          <w:rFonts w:asciiTheme="minorHAnsi" w:hAnsiTheme="minorHAnsi" w:cstheme="minorHAnsi"/>
          <w:sz w:val="22"/>
          <w:szCs w:val="22"/>
        </w:rPr>
        <w:t>(and with a fridge magnet attached to Her back!) She seems to serve devotional purposes just as well as might the original. Other reproductions are widely available, often in metals such as brass, bronze and gold. Almost all of the internet sites found under ‘Idol of Pomos’ are attempting to sell such.</w:t>
      </w:r>
    </w:p>
  </w:footnote>
  <w:footnote w:id="5">
    <w:p w14:paraId="2F2415CB" w14:textId="513EE793" w:rsidR="000D0B15" w:rsidRPr="009814AF" w:rsidRDefault="000D0B15" w:rsidP="009814AF">
      <w:pPr>
        <w:pStyle w:val="FootnoteText"/>
        <w:spacing w:after="120"/>
        <w:rPr>
          <w:rFonts w:asciiTheme="minorHAnsi" w:hAnsiTheme="minorHAnsi" w:cstheme="minorHAnsi"/>
          <w:sz w:val="22"/>
          <w:szCs w:val="22"/>
        </w:rPr>
      </w:pPr>
      <w:r w:rsidRPr="0079684D">
        <w:rPr>
          <w:rStyle w:val="FootnoteReference"/>
          <w:rFonts w:asciiTheme="minorHAnsi" w:hAnsiTheme="minorHAnsi" w:cstheme="minorHAnsi"/>
          <w:sz w:val="22"/>
          <w:szCs w:val="22"/>
        </w:rPr>
        <w:footnoteRef/>
      </w:r>
      <w:r w:rsidRPr="0079684D">
        <w:rPr>
          <w:rFonts w:asciiTheme="minorHAnsi" w:hAnsiTheme="minorHAnsi" w:cstheme="minorHAnsi"/>
          <w:sz w:val="22"/>
          <w:szCs w:val="22"/>
        </w:rPr>
        <w:t xml:space="preserve"> https://pomos.org.cy/en/what-to-see/culture/#toggle-id-2. Photographs from the Pomos museum (htt</w:t>
      </w:r>
      <w:r w:rsidRPr="009814AF">
        <w:rPr>
          <w:rFonts w:asciiTheme="minorHAnsi" w:hAnsiTheme="minorHAnsi" w:cstheme="minorHAnsi"/>
          <w:sz w:val="22"/>
          <w:szCs w:val="22"/>
        </w:rPr>
        <w:t>ps://www.polis.org.cy/en/pomos-museum) do not, however, seem to include Her.</w:t>
      </w:r>
    </w:p>
  </w:footnote>
  <w:footnote w:id="6">
    <w:p w14:paraId="1A87AF4F" w14:textId="0B618D41" w:rsidR="00866F6E" w:rsidRPr="009814AF" w:rsidRDefault="00866F6E"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9D7C5D" w:rsidRPr="009814AF">
        <w:rPr>
          <w:rFonts w:asciiTheme="minorHAnsi" w:hAnsiTheme="minorHAnsi" w:cstheme="minorHAnsi"/>
          <w:sz w:val="22"/>
          <w:szCs w:val="22"/>
        </w:rPr>
        <w:t>However, a search of their web pages for ‘Idol of Pomos’ returns the bizarre message: “</w:t>
      </w:r>
      <w:r w:rsidR="009D7C5D" w:rsidRPr="009814AF">
        <w:rPr>
          <w:rFonts w:asciiTheme="minorHAnsi" w:hAnsiTheme="minorHAnsi" w:cstheme="minorHAnsi"/>
          <w:i/>
          <w:iCs/>
          <w:sz w:val="22"/>
          <w:szCs w:val="22"/>
        </w:rPr>
        <w:t>The keywords you have used are excluded from the acceptable search terms”</w:t>
      </w:r>
      <w:r w:rsidR="009D7C5D" w:rsidRPr="009814AF">
        <w:rPr>
          <w:rFonts w:asciiTheme="minorHAnsi" w:hAnsiTheme="minorHAnsi" w:cstheme="minorHAnsi"/>
          <w:sz w:val="22"/>
          <w:szCs w:val="22"/>
        </w:rPr>
        <w:t xml:space="preserve">, nor did a search in Greek produce better results. </w:t>
      </w:r>
      <w:r w:rsidR="0095681E" w:rsidRPr="009814AF">
        <w:rPr>
          <w:rFonts w:asciiTheme="minorHAnsi" w:hAnsiTheme="minorHAnsi" w:cstheme="minorHAnsi"/>
          <w:sz w:val="22"/>
          <w:szCs w:val="22"/>
        </w:rPr>
        <w:t xml:space="preserve">Searches simply for ‘Pomos’ and ‘Yialia’ were similarly useless. ‘Gialia’ produces only the monastery excavation. </w:t>
      </w:r>
      <w:r w:rsidRPr="009814AF">
        <w:rPr>
          <w:rFonts w:asciiTheme="minorHAnsi" w:hAnsiTheme="minorHAnsi" w:cstheme="minorHAnsi"/>
          <w:sz w:val="22"/>
          <w:szCs w:val="22"/>
        </w:rPr>
        <w:t>Wikipedia: https://en.wikipedia.org/wiki/Idol_of_Pomos, has what looks like a photograph of the museum exhibit.</w:t>
      </w:r>
    </w:p>
  </w:footnote>
  <w:footnote w:id="7">
    <w:p w14:paraId="5BC11F87" w14:textId="77777777" w:rsidR="00260909" w:rsidRPr="009814AF" w:rsidRDefault="00260909"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Düring, 2019, p. 37, arguing against Cyprus as backwater prior to the Bronze Age (at around 2400 BCE). She also argues (p. 38) for “exchange networks stretching beyond the island” but these do not seem to have included picrolite.</w:t>
      </w:r>
    </w:p>
  </w:footnote>
  <w:footnote w:id="8">
    <w:p w14:paraId="55E2A8D6" w14:textId="6CCD8489" w:rsidR="00CB3230" w:rsidRPr="009814AF" w:rsidRDefault="00CB3230"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Peltenburg, 1991, pp. 113-115.</w:t>
      </w:r>
      <w:r w:rsidR="00654BB8" w:rsidRPr="009814AF">
        <w:rPr>
          <w:rFonts w:asciiTheme="minorHAnsi" w:hAnsiTheme="minorHAnsi" w:cstheme="minorHAnsi"/>
          <w:sz w:val="22"/>
          <w:szCs w:val="22"/>
        </w:rPr>
        <w:t xml:space="preserve"> He terms the increase in number of picrolites at this period as ‘dramatic’. There seems to be rather few anthropomorphic figurines prior to this.</w:t>
      </w:r>
    </w:p>
  </w:footnote>
  <w:footnote w:id="9">
    <w:p w14:paraId="3DE67D12" w14:textId="77777777" w:rsidR="00260909" w:rsidRPr="009814AF" w:rsidRDefault="00260909"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Peltenburg, 1991, pp. 117-118.</w:t>
      </w:r>
    </w:p>
  </w:footnote>
  <w:footnote w:id="10">
    <w:p w14:paraId="248D11C5" w14:textId="53C74C7B" w:rsidR="008E5A07" w:rsidRPr="009814AF" w:rsidRDefault="008E5A07"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DD32EA" w:rsidRPr="009814AF">
        <w:rPr>
          <w:rFonts w:asciiTheme="minorHAnsi" w:hAnsiTheme="minorHAnsi" w:cstheme="minorHAnsi"/>
          <w:sz w:val="22"/>
          <w:szCs w:val="22"/>
        </w:rPr>
        <w:t>Vagnetti, 1991, p. 141.</w:t>
      </w:r>
    </w:p>
  </w:footnote>
  <w:footnote w:id="11">
    <w:p w14:paraId="3B5BFA69" w14:textId="56BDE1BF" w:rsidR="00C2361E" w:rsidRPr="009814AF" w:rsidRDefault="00C2361E"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Steel, 2005, p. </w:t>
      </w:r>
      <w:r w:rsidR="00DD32EA" w:rsidRPr="009814AF">
        <w:rPr>
          <w:rFonts w:asciiTheme="minorHAnsi" w:hAnsiTheme="minorHAnsi" w:cstheme="minorHAnsi"/>
          <w:sz w:val="22"/>
          <w:szCs w:val="22"/>
        </w:rPr>
        <w:t>102, &amp; pl. 13.</w:t>
      </w:r>
    </w:p>
  </w:footnote>
  <w:footnote w:id="12">
    <w:p w14:paraId="4E712CD1" w14:textId="0C5D739D" w:rsidR="00CB3230" w:rsidRPr="009814AF" w:rsidRDefault="00CB3230"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Internet search for ‘Lady of Yialia’ mostly references Panagia Chrysogialiotissa as noted above. It is not known whether the renaming was an archaeological preference or due to pressure from the Cypriot Orthodox Church (perhaps wanting the Yialia title for their own ‘Lady’) as Potnia Pomos became popular.</w:t>
      </w:r>
      <w:r w:rsidR="006339FD" w:rsidRPr="009814AF">
        <w:rPr>
          <w:rFonts w:asciiTheme="minorHAnsi" w:hAnsiTheme="minorHAnsi" w:cstheme="minorHAnsi"/>
          <w:sz w:val="22"/>
          <w:szCs w:val="22"/>
        </w:rPr>
        <w:t xml:space="preserve"> The Yialia attribution is still used as late as Knox’ thesis </w:t>
      </w:r>
      <w:r w:rsidR="00127C13" w:rsidRPr="009814AF">
        <w:rPr>
          <w:rFonts w:asciiTheme="minorHAnsi" w:hAnsiTheme="minorHAnsi" w:cstheme="minorHAnsi"/>
          <w:sz w:val="22"/>
          <w:szCs w:val="22"/>
        </w:rPr>
        <w:t>of</w:t>
      </w:r>
      <w:r w:rsidR="006339FD" w:rsidRPr="009814AF">
        <w:rPr>
          <w:rFonts w:asciiTheme="minorHAnsi" w:hAnsiTheme="minorHAnsi" w:cstheme="minorHAnsi"/>
          <w:sz w:val="22"/>
          <w:szCs w:val="22"/>
        </w:rPr>
        <w:t xml:space="preserve"> 2012.</w:t>
      </w:r>
    </w:p>
  </w:footnote>
  <w:footnote w:id="13">
    <w:p w14:paraId="6B186895" w14:textId="426C5FEE" w:rsidR="00F8777A" w:rsidRPr="009814AF" w:rsidRDefault="00F8777A" w:rsidP="009814AF">
      <w:pPr>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A3479C" w:rsidRPr="009814AF">
        <w:rPr>
          <w:rFonts w:asciiTheme="minorHAnsi" w:hAnsiTheme="minorHAnsi" w:cstheme="minorHAnsi"/>
          <w:sz w:val="22"/>
          <w:szCs w:val="22"/>
        </w:rPr>
        <w:t xml:space="preserve">Dikaios, 1934. </w:t>
      </w:r>
      <w:r w:rsidR="004540C4" w:rsidRPr="009814AF">
        <w:rPr>
          <w:rFonts w:asciiTheme="minorHAnsi" w:hAnsiTheme="minorHAnsi" w:cstheme="minorHAnsi"/>
          <w:sz w:val="22"/>
          <w:szCs w:val="22"/>
        </w:rPr>
        <w:t xml:space="preserve">He </w:t>
      </w:r>
      <w:r w:rsidR="00A3479C" w:rsidRPr="009814AF">
        <w:rPr>
          <w:rFonts w:asciiTheme="minorHAnsi" w:hAnsiTheme="minorHAnsi" w:cstheme="minorHAnsi"/>
          <w:sz w:val="22"/>
          <w:szCs w:val="22"/>
        </w:rPr>
        <w:t xml:space="preserve">confuses </w:t>
      </w:r>
      <w:r w:rsidR="004540C4" w:rsidRPr="009814AF">
        <w:rPr>
          <w:rFonts w:asciiTheme="minorHAnsi" w:hAnsiTheme="minorHAnsi" w:cstheme="minorHAnsi"/>
          <w:sz w:val="22"/>
          <w:szCs w:val="22"/>
        </w:rPr>
        <w:t>H</w:t>
      </w:r>
      <w:r w:rsidR="00A3479C" w:rsidRPr="009814AF">
        <w:rPr>
          <w:rFonts w:asciiTheme="minorHAnsi" w:hAnsiTheme="minorHAnsi" w:cstheme="minorHAnsi"/>
          <w:sz w:val="22"/>
          <w:szCs w:val="22"/>
        </w:rPr>
        <w:t>er material with steatite</w:t>
      </w:r>
      <w:r w:rsidR="004540C4" w:rsidRPr="009814AF">
        <w:rPr>
          <w:rFonts w:asciiTheme="minorHAnsi" w:hAnsiTheme="minorHAnsi" w:cstheme="minorHAnsi"/>
          <w:sz w:val="22"/>
          <w:szCs w:val="22"/>
        </w:rPr>
        <w:t xml:space="preserve"> (soapstone)</w:t>
      </w:r>
      <w:r w:rsidR="00A3479C" w:rsidRPr="009814AF">
        <w:rPr>
          <w:rFonts w:asciiTheme="minorHAnsi" w:hAnsiTheme="minorHAnsi" w:cstheme="minorHAnsi"/>
          <w:sz w:val="22"/>
          <w:szCs w:val="22"/>
        </w:rPr>
        <w:t xml:space="preserve">, which actually is a softer rock of different chemical composition. </w:t>
      </w:r>
      <w:r w:rsidR="00D10E92" w:rsidRPr="009814AF">
        <w:rPr>
          <w:rFonts w:asciiTheme="minorHAnsi" w:hAnsiTheme="minorHAnsi" w:cstheme="minorHAnsi"/>
          <w:sz w:val="22"/>
          <w:szCs w:val="22"/>
        </w:rPr>
        <w:t xml:space="preserve">Xenophontos, 1991, provides the detailed geological analysis, </w:t>
      </w:r>
      <w:r w:rsidR="00475593" w:rsidRPr="009814AF">
        <w:rPr>
          <w:rFonts w:asciiTheme="minorHAnsi" w:hAnsiTheme="minorHAnsi" w:cstheme="minorHAnsi"/>
          <w:sz w:val="22"/>
          <w:szCs w:val="22"/>
        </w:rPr>
        <w:t xml:space="preserve">the term ‘picrolite’ </w:t>
      </w:r>
      <w:r w:rsidR="00D10E92" w:rsidRPr="009814AF">
        <w:rPr>
          <w:rFonts w:asciiTheme="minorHAnsi" w:hAnsiTheme="minorHAnsi" w:cstheme="minorHAnsi"/>
          <w:sz w:val="22"/>
          <w:szCs w:val="22"/>
        </w:rPr>
        <w:t xml:space="preserve">now adopted generally. </w:t>
      </w:r>
      <w:r w:rsidRPr="009814AF">
        <w:rPr>
          <w:rFonts w:asciiTheme="minorHAnsi" w:hAnsiTheme="minorHAnsi" w:cstheme="minorHAnsi"/>
          <w:sz w:val="22"/>
          <w:szCs w:val="22"/>
        </w:rPr>
        <w:t xml:space="preserve">Pomos is a small village on the coast north of Paphos. Gialia (Yialia) is in the nearby forest, close to a medieval Georgian monastery, abandoned after the Ottoman takeover of 1571. The monastery is now ruined but covered to protect the archaeological site, excavation having been done by a joint Cypriot-Georgian team. The monastery was dedicated to Panagia Chrysogialiotissa (the Golden Virgin Mary of Gialia) with also a minor church dedicated to St. George. (retrieved by Wayback machine: </w:t>
      </w:r>
      <w:r w:rsidR="00866F6E" w:rsidRPr="009814AF">
        <w:rPr>
          <w:rFonts w:asciiTheme="minorHAnsi" w:hAnsiTheme="minorHAnsi" w:cstheme="minorHAnsi"/>
          <w:sz w:val="22"/>
          <w:szCs w:val="22"/>
        </w:rPr>
        <w:t>http://www.cyprus.gov.cy/MOI/pio/pio.nsf/All/AE9E2250A22AC7F0C225723B00600EB4</w:t>
      </w:r>
      <w:r w:rsidR="00866F6E" w:rsidRPr="009814AF">
        <w:rPr>
          <w:rFonts w:asciiTheme="minorHAnsi" w:hAnsiTheme="minorHAnsi" w:cstheme="minorHAnsi"/>
          <w:sz w:val="22"/>
          <w:szCs w:val="22"/>
        </w:rPr>
        <w:br/>
      </w:r>
      <w:r w:rsidRPr="009814AF">
        <w:rPr>
          <w:rFonts w:asciiTheme="minorHAnsi" w:hAnsiTheme="minorHAnsi" w:cstheme="minorHAnsi"/>
          <w:sz w:val="22"/>
          <w:szCs w:val="22"/>
        </w:rPr>
        <w:t>?OpenDocument, linked from Wikipedia https://en.wikipedia.org/wiki/Gialia_Monastery November 10th 2025)</w:t>
      </w:r>
      <w:r w:rsidR="00374EE0" w:rsidRPr="009814AF">
        <w:rPr>
          <w:rFonts w:asciiTheme="minorHAnsi" w:hAnsiTheme="minorHAnsi" w:cstheme="minorHAnsi"/>
          <w:sz w:val="22"/>
          <w:szCs w:val="22"/>
        </w:rPr>
        <w:t xml:space="preserve">. </w:t>
      </w:r>
      <w:r w:rsidR="00866F6E" w:rsidRPr="009814AF">
        <w:rPr>
          <w:rFonts w:asciiTheme="minorHAnsi" w:hAnsiTheme="minorHAnsi" w:cstheme="minorHAnsi"/>
          <w:sz w:val="22"/>
          <w:szCs w:val="22"/>
        </w:rPr>
        <w:t xml:space="preserve">Whether such dedications are parallel to, or a ‘survival’ of the ancient celebration of Aphrodite and the spear-wielding ‘Ingot God’ can only be conjecture. </w:t>
      </w:r>
      <w:r w:rsidR="00374EE0" w:rsidRPr="009814AF">
        <w:rPr>
          <w:rFonts w:asciiTheme="minorHAnsi" w:hAnsiTheme="minorHAnsi" w:cstheme="minorHAnsi"/>
          <w:sz w:val="22"/>
          <w:szCs w:val="22"/>
        </w:rPr>
        <w:t>At Pomos, the local church i</w:t>
      </w:r>
      <w:r w:rsidR="00866F6E" w:rsidRPr="009814AF">
        <w:rPr>
          <w:rFonts w:asciiTheme="minorHAnsi" w:hAnsiTheme="minorHAnsi" w:cstheme="minorHAnsi"/>
          <w:sz w:val="22"/>
          <w:szCs w:val="22"/>
        </w:rPr>
        <w:t>s</w:t>
      </w:r>
      <w:r w:rsidR="00374EE0" w:rsidRPr="009814AF">
        <w:rPr>
          <w:rFonts w:asciiTheme="minorHAnsi" w:hAnsiTheme="minorHAnsi" w:cstheme="minorHAnsi"/>
          <w:sz w:val="22"/>
          <w:szCs w:val="22"/>
        </w:rPr>
        <w:t xml:space="preserve"> dedicated to Panagia </w:t>
      </w:r>
      <w:r w:rsidR="00374EE0" w:rsidRPr="009814AF">
        <w:rPr>
          <w:rFonts w:asciiTheme="minorHAnsi" w:hAnsiTheme="minorHAnsi" w:cstheme="minorHAnsi"/>
          <w:i/>
          <w:iCs/>
          <w:sz w:val="22"/>
          <w:szCs w:val="22"/>
        </w:rPr>
        <w:t xml:space="preserve">Chrysopateritissa </w:t>
      </w:r>
      <w:r w:rsidR="00374EE0" w:rsidRPr="009814AF">
        <w:rPr>
          <w:rFonts w:asciiTheme="minorHAnsi" w:hAnsiTheme="minorHAnsi" w:cstheme="minorHAnsi"/>
          <w:sz w:val="22"/>
          <w:szCs w:val="22"/>
        </w:rPr>
        <w:t xml:space="preserve">(most plausibly derived from ‘golden staff’, alternatively ‘golden priests’). Due south, on the edge of the Troodos foothills about halfway to Paphos is the </w:t>
      </w:r>
      <w:r w:rsidR="00374EE0" w:rsidRPr="009814AF">
        <w:rPr>
          <w:rFonts w:asciiTheme="minorHAnsi" w:hAnsiTheme="minorHAnsi" w:cstheme="minorHAnsi"/>
          <w:i/>
          <w:iCs/>
          <w:sz w:val="22"/>
          <w:szCs w:val="22"/>
        </w:rPr>
        <w:t xml:space="preserve">Chrysoroyiatissa </w:t>
      </w:r>
      <w:r w:rsidR="00374EE0" w:rsidRPr="009814AF">
        <w:rPr>
          <w:rFonts w:asciiTheme="minorHAnsi" w:hAnsiTheme="minorHAnsi" w:cstheme="minorHAnsi"/>
          <w:sz w:val="22"/>
          <w:szCs w:val="22"/>
        </w:rPr>
        <w:t>(golden pomegranate) monastery. A theme of ‘gold’ seems significant</w:t>
      </w:r>
      <w:r w:rsidR="00A902A5">
        <w:rPr>
          <w:rFonts w:asciiTheme="minorHAnsi" w:hAnsiTheme="minorHAnsi" w:cstheme="minorHAnsi"/>
          <w:sz w:val="22"/>
          <w:szCs w:val="22"/>
        </w:rPr>
        <w:t xml:space="preserve"> - it is of course a standard epithet of Aphrodite</w:t>
      </w:r>
      <w:r w:rsidR="00374EE0" w:rsidRPr="009814AF">
        <w:rPr>
          <w:rFonts w:asciiTheme="minorHAnsi" w:hAnsiTheme="minorHAnsi" w:cstheme="minorHAnsi"/>
          <w:sz w:val="22"/>
          <w:szCs w:val="22"/>
        </w:rPr>
        <w:t>.</w:t>
      </w:r>
    </w:p>
  </w:footnote>
  <w:footnote w:id="14">
    <w:p w14:paraId="5B51BBD2" w14:textId="609C92BB" w:rsidR="00866F6E" w:rsidRPr="009814AF" w:rsidRDefault="00866F6E"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037657">
        <w:rPr>
          <w:rFonts w:asciiTheme="minorHAnsi" w:hAnsiTheme="minorHAnsi" w:cstheme="minorHAnsi"/>
          <w:sz w:val="22"/>
          <w:szCs w:val="22"/>
        </w:rPr>
        <w:t>‘</w:t>
      </w:r>
      <w:r w:rsidRPr="009814AF">
        <w:rPr>
          <w:rFonts w:asciiTheme="minorHAnsi" w:hAnsiTheme="minorHAnsi" w:cstheme="minorHAnsi"/>
          <w:sz w:val="22"/>
          <w:szCs w:val="22"/>
        </w:rPr>
        <w:t>Definitions</w:t>
      </w:r>
      <w:r w:rsidR="00037657">
        <w:rPr>
          <w:rFonts w:asciiTheme="minorHAnsi" w:hAnsiTheme="minorHAnsi" w:cstheme="minorHAnsi"/>
          <w:sz w:val="22"/>
          <w:szCs w:val="22"/>
        </w:rPr>
        <w:t>’</w:t>
      </w:r>
      <w:r w:rsidRPr="009814AF">
        <w:rPr>
          <w:rFonts w:asciiTheme="minorHAnsi" w:hAnsiTheme="minorHAnsi" w:cstheme="minorHAnsi"/>
          <w:sz w:val="22"/>
          <w:szCs w:val="22"/>
        </w:rPr>
        <w:t xml:space="preserve"> refer to the worship of </w:t>
      </w:r>
      <w:r w:rsidR="00037657">
        <w:rPr>
          <w:rFonts w:asciiTheme="minorHAnsi" w:hAnsiTheme="minorHAnsi" w:cstheme="minorHAnsi"/>
          <w:sz w:val="22"/>
          <w:szCs w:val="22"/>
        </w:rPr>
        <w:t>“</w:t>
      </w:r>
      <w:r w:rsidR="00037657" w:rsidRPr="009814AF">
        <w:rPr>
          <w:rFonts w:asciiTheme="minorHAnsi" w:hAnsiTheme="minorHAnsi" w:cstheme="minorHAnsi"/>
          <w:sz w:val="22"/>
          <w:szCs w:val="22"/>
        </w:rPr>
        <w:t>false gods</w:t>
      </w:r>
      <w:r w:rsidR="00037657">
        <w:rPr>
          <w:rFonts w:asciiTheme="minorHAnsi" w:hAnsiTheme="minorHAnsi" w:cstheme="minorHAnsi"/>
          <w:sz w:val="22"/>
          <w:szCs w:val="22"/>
        </w:rPr>
        <w:t xml:space="preserve">” and of </w:t>
      </w:r>
      <w:r w:rsidRPr="009814AF">
        <w:rPr>
          <w:rFonts w:asciiTheme="minorHAnsi" w:hAnsiTheme="minorHAnsi" w:cstheme="minorHAnsi"/>
          <w:sz w:val="22"/>
          <w:szCs w:val="22"/>
        </w:rPr>
        <w:t>a physical object as a deity</w:t>
      </w:r>
      <w:r w:rsidR="00037657">
        <w:rPr>
          <w:rFonts w:asciiTheme="minorHAnsi" w:hAnsiTheme="minorHAnsi" w:cstheme="minorHAnsi"/>
          <w:sz w:val="22"/>
          <w:szCs w:val="22"/>
        </w:rPr>
        <w:t xml:space="preserve">. In actuality, Pagans / Polytheists do not worship ‘objects’. Rather, in the case of a statue for example, they </w:t>
      </w:r>
      <w:r w:rsidR="00326D27">
        <w:rPr>
          <w:rFonts w:asciiTheme="minorHAnsi" w:hAnsiTheme="minorHAnsi" w:cstheme="minorHAnsi"/>
          <w:sz w:val="22"/>
          <w:szCs w:val="22"/>
        </w:rPr>
        <w:t xml:space="preserve">may well </w:t>
      </w:r>
      <w:r w:rsidR="00037657">
        <w:rPr>
          <w:rFonts w:asciiTheme="minorHAnsi" w:hAnsiTheme="minorHAnsi" w:cstheme="minorHAnsi"/>
          <w:sz w:val="22"/>
          <w:szCs w:val="22"/>
        </w:rPr>
        <w:t>consider the deity wholly present in the physical object, but unconstrained by its physicality</w:t>
      </w:r>
      <w:r w:rsidR="00EB1D76">
        <w:rPr>
          <w:rFonts w:asciiTheme="minorHAnsi" w:hAnsiTheme="minorHAnsi" w:cstheme="minorHAnsi"/>
          <w:sz w:val="22"/>
          <w:szCs w:val="22"/>
        </w:rPr>
        <w:t xml:space="preserve"> (so can be wholly present in multiple statues)</w:t>
      </w:r>
      <w:r w:rsidR="00037657">
        <w:rPr>
          <w:rFonts w:asciiTheme="minorHAnsi" w:hAnsiTheme="minorHAnsi" w:cstheme="minorHAnsi"/>
          <w:sz w:val="22"/>
          <w:szCs w:val="22"/>
        </w:rPr>
        <w:t>. See for example, Ciaccia, 2022, pp. 42, 49, passim</w:t>
      </w:r>
      <w:r w:rsidR="00037657" w:rsidRPr="009814AF">
        <w:rPr>
          <w:rFonts w:asciiTheme="minorHAnsi" w:hAnsiTheme="minorHAnsi" w:cstheme="minorHAnsi"/>
          <w:sz w:val="22"/>
          <w:szCs w:val="22"/>
        </w:rPr>
        <w:t>.</w:t>
      </w:r>
      <w:r w:rsidR="00EB1D76">
        <w:rPr>
          <w:rFonts w:asciiTheme="minorHAnsi" w:hAnsiTheme="minorHAnsi" w:cstheme="minorHAnsi"/>
          <w:sz w:val="22"/>
          <w:szCs w:val="22"/>
        </w:rPr>
        <w:t xml:space="preserve"> In Egypt, </w:t>
      </w:r>
      <w:r w:rsidR="00270ADF">
        <w:rPr>
          <w:rFonts w:asciiTheme="minorHAnsi" w:hAnsiTheme="minorHAnsi" w:cstheme="minorHAnsi"/>
          <w:sz w:val="22"/>
          <w:szCs w:val="22"/>
        </w:rPr>
        <w:t xml:space="preserve">after the initial ‘opening of the mouth’, </w:t>
      </w:r>
      <w:r w:rsidR="00EB1D76">
        <w:rPr>
          <w:rFonts w:asciiTheme="minorHAnsi" w:hAnsiTheme="minorHAnsi" w:cstheme="minorHAnsi"/>
          <w:sz w:val="22"/>
          <w:szCs w:val="22"/>
        </w:rPr>
        <w:t xml:space="preserve">exposure of the divine statue to the rays of the sun was a part of ensuring the </w:t>
      </w:r>
      <w:r w:rsidR="00270ADF">
        <w:rPr>
          <w:rFonts w:asciiTheme="minorHAnsi" w:hAnsiTheme="minorHAnsi" w:cstheme="minorHAnsi"/>
          <w:sz w:val="22"/>
          <w:szCs w:val="22"/>
        </w:rPr>
        <w:t xml:space="preserve">continued </w:t>
      </w:r>
      <w:r w:rsidR="00EB1D76">
        <w:rPr>
          <w:rFonts w:asciiTheme="minorHAnsi" w:hAnsiTheme="minorHAnsi" w:cstheme="minorHAnsi"/>
          <w:sz w:val="22"/>
          <w:szCs w:val="22"/>
        </w:rPr>
        <w:t>presence of the deity</w:t>
      </w:r>
      <w:r w:rsidR="001A66F8">
        <w:rPr>
          <w:rFonts w:asciiTheme="minorHAnsi" w:hAnsiTheme="minorHAnsi" w:cstheme="minorHAnsi"/>
          <w:sz w:val="22"/>
          <w:szCs w:val="22"/>
        </w:rPr>
        <w:t>, a rite known as ‘union with the disk’.</w:t>
      </w:r>
      <w:r w:rsidR="00EB1D76">
        <w:rPr>
          <w:rFonts w:asciiTheme="minorHAnsi" w:hAnsiTheme="minorHAnsi" w:cstheme="minorHAnsi"/>
          <w:sz w:val="22"/>
          <w:szCs w:val="22"/>
        </w:rPr>
        <w:t>(Sauneron, 1962,</w:t>
      </w:r>
      <w:r w:rsidR="001A66F8">
        <w:rPr>
          <w:rFonts w:asciiTheme="minorHAnsi" w:hAnsiTheme="minorHAnsi" w:cstheme="minorHAnsi"/>
          <w:sz w:val="22"/>
          <w:szCs w:val="22"/>
        </w:rPr>
        <w:t xml:space="preserve"> </w:t>
      </w:r>
      <w:r w:rsidR="00EB1D76">
        <w:rPr>
          <w:rFonts w:asciiTheme="minorHAnsi" w:hAnsiTheme="minorHAnsi" w:cstheme="minorHAnsi"/>
          <w:sz w:val="22"/>
          <w:szCs w:val="22"/>
        </w:rPr>
        <w:t>p</w:t>
      </w:r>
      <w:r w:rsidR="001A66F8">
        <w:rPr>
          <w:rFonts w:asciiTheme="minorHAnsi" w:hAnsiTheme="minorHAnsi" w:cstheme="minorHAnsi"/>
          <w:sz w:val="22"/>
          <w:szCs w:val="22"/>
        </w:rPr>
        <w:t>p</w:t>
      </w:r>
      <w:r w:rsidR="00EB1D76">
        <w:rPr>
          <w:rFonts w:asciiTheme="minorHAnsi" w:hAnsiTheme="minorHAnsi" w:cstheme="minorHAnsi"/>
          <w:sz w:val="22"/>
          <w:szCs w:val="22"/>
        </w:rPr>
        <w:t>. 125</w:t>
      </w:r>
      <w:r w:rsidR="001A66F8">
        <w:rPr>
          <w:rFonts w:asciiTheme="minorHAnsi" w:hAnsiTheme="minorHAnsi" w:cstheme="minorHAnsi"/>
          <w:sz w:val="22"/>
          <w:szCs w:val="22"/>
        </w:rPr>
        <w:t>-126</w:t>
      </w:r>
      <w:r w:rsidR="00EB1D76">
        <w:rPr>
          <w:rFonts w:asciiTheme="minorHAnsi" w:hAnsiTheme="minorHAnsi" w:cstheme="minorHAnsi"/>
          <w:sz w:val="22"/>
          <w:szCs w:val="22"/>
        </w:rPr>
        <w:t>, French edition - English translation in progress by this writer).</w:t>
      </w:r>
    </w:p>
  </w:footnote>
  <w:footnote w:id="15">
    <w:p w14:paraId="0F0A968E" w14:textId="72DED76F" w:rsidR="00475593" w:rsidRPr="009814AF" w:rsidRDefault="00475593"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There is no knowledge of what the Lady was called in ancient Cyprus. The Eteocypriot script, although similar to Linear-A, remains almost entirely undeciphered. </w:t>
      </w:r>
    </w:p>
  </w:footnote>
  <w:footnote w:id="16">
    <w:p w14:paraId="7F6586A4" w14:textId="7829021B" w:rsidR="008C5D1E" w:rsidRPr="009814AF" w:rsidRDefault="008C5D1E"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E55820" w:rsidRPr="009814AF">
        <w:rPr>
          <w:rFonts w:asciiTheme="minorHAnsi" w:hAnsiTheme="minorHAnsi" w:cstheme="minorHAnsi"/>
          <w:sz w:val="22"/>
          <w:szCs w:val="22"/>
        </w:rPr>
        <w:t>Actual picrolite source</w:t>
      </w:r>
      <w:r w:rsidR="00DE42E4" w:rsidRPr="009814AF">
        <w:rPr>
          <w:rFonts w:asciiTheme="minorHAnsi" w:hAnsiTheme="minorHAnsi" w:cstheme="minorHAnsi"/>
          <w:sz w:val="22"/>
          <w:szCs w:val="22"/>
        </w:rPr>
        <w:t>s are</w:t>
      </w:r>
      <w:r w:rsidR="00E55820" w:rsidRPr="009814AF">
        <w:rPr>
          <w:rFonts w:asciiTheme="minorHAnsi" w:hAnsiTheme="minorHAnsi" w:cstheme="minorHAnsi"/>
          <w:sz w:val="22"/>
          <w:szCs w:val="22"/>
        </w:rPr>
        <w:t xml:space="preserve"> near the top of the Troodos. (</w:t>
      </w:r>
      <w:r w:rsidR="00DE42E4" w:rsidRPr="009814AF">
        <w:rPr>
          <w:rFonts w:asciiTheme="minorHAnsi" w:hAnsiTheme="minorHAnsi" w:cstheme="minorHAnsi"/>
          <w:sz w:val="22"/>
          <w:szCs w:val="22"/>
        </w:rPr>
        <w:t>Kassaniadou, 2013,</w:t>
      </w:r>
      <w:r w:rsidR="00E55820" w:rsidRPr="009814AF">
        <w:rPr>
          <w:rFonts w:asciiTheme="minorHAnsi" w:hAnsiTheme="minorHAnsi" w:cstheme="minorHAnsi"/>
          <w:sz w:val="22"/>
          <w:szCs w:val="22"/>
        </w:rPr>
        <w:t xml:space="preserve"> p. 38) </w:t>
      </w:r>
      <w:r w:rsidR="003D7792" w:rsidRPr="009814AF">
        <w:rPr>
          <w:rFonts w:asciiTheme="minorHAnsi" w:hAnsiTheme="minorHAnsi" w:cstheme="minorHAnsi"/>
          <w:sz w:val="22"/>
          <w:szCs w:val="22"/>
        </w:rPr>
        <w:t>It appears that the stone was also quarried</w:t>
      </w:r>
      <w:r w:rsidR="00DE42E4" w:rsidRPr="009814AF">
        <w:rPr>
          <w:rFonts w:asciiTheme="minorHAnsi" w:hAnsiTheme="minorHAnsi" w:cstheme="minorHAnsi"/>
          <w:sz w:val="22"/>
          <w:szCs w:val="22"/>
        </w:rPr>
        <w:t>, as slabs,</w:t>
      </w:r>
      <w:r w:rsidR="003D7792" w:rsidRPr="009814AF">
        <w:rPr>
          <w:rFonts w:asciiTheme="minorHAnsi" w:hAnsiTheme="minorHAnsi" w:cstheme="minorHAnsi"/>
          <w:sz w:val="22"/>
          <w:szCs w:val="22"/>
        </w:rPr>
        <w:t xml:space="preserve"> from outcrops (</w:t>
      </w:r>
      <w:r w:rsidR="00DE42E4" w:rsidRPr="009814AF">
        <w:rPr>
          <w:rFonts w:asciiTheme="minorHAnsi" w:hAnsiTheme="minorHAnsi" w:cstheme="minorHAnsi"/>
          <w:sz w:val="22"/>
          <w:szCs w:val="22"/>
        </w:rPr>
        <w:t>P</w:t>
      </w:r>
      <w:r w:rsidR="003D7792" w:rsidRPr="009814AF">
        <w:rPr>
          <w:rFonts w:asciiTheme="minorHAnsi" w:hAnsiTheme="minorHAnsi" w:cstheme="minorHAnsi"/>
          <w:sz w:val="22"/>
          <w:szCs w:val="22"/>
        </w:rPr>
        <w:t xml:space="preserve">eltenburg, 2019, p. 236). The Troodos </w:t>
      </w:r>
      <w:r w:rsidR="00DE42E4" w:rsidRPr="009814AF">
        <w:rPr>
          <w:rFonts w:asciiTheme="minorHAnsi" w:hAnsiTheme="minorHAnsi" w:cstheme="minorHAnsi"/>
          <w:sz w:val="22"/>
          <w:szCs w:val="22"/>
        </w:rPr>
        <w:t xml:space="preserve">is source for many </w:t>
      </w:r>
      <w:r w:rsidR="0031291D" w:rsidRPr="009814AF">
        <w:rPr>
          <w:rFonts w:asciiTheme="minorHAnsi" w:hAnsiTheme="minorHAnsi" w:cstheme="minorHAnsi"/>
          <w:sz w:val="22"/>
          <w:szCs w:val="22"/>
        </w:rPr>
        <w:t>other minerals</w:t>
      </w:r>
      <w:r w:rsidR="00DE42E4" w:rsidRPr="009814AF">
        <w:rPr>
          <w:rFonts w:asciiTheme="minorHAnsi" w:hAnsiTheme="minorHAnsi" w:cstheme="minorHAnsi"/>
          <w:sz w:val="22"/>
          <w:szCs w:val="22"/>
        </w:rPr>
        <w:t xml:space="preserve">: </w:t>
      </w:r>
      <w:r w:rsidR="0031291D" w:rsidRPr="009814AF">
        <w:rPr>
          <w:rFonts w:asciiTheme="minorHAnsi" w:hAnsiTheme="minorHAnsi" w:cstheme="minorHAnsi"/>
          <w:sz w:val="22"/>
          <w:szCs w:val="22"/>
        </w:rPr>
        <w:t xml:space="preserve">Kassaniadou, </w:t>
      </w:r>
      <w:r w:rsidR="00DE42E4" w:rsidRPr="009814AF">
        <w:rPr>
          <w:rFonts w:asciiTheme="minorHAnsi" w:hAnsiTheme="minorHAnsi" w:cstheme="minorHAnsi"/>
          <w:sz w:val="22"/>
          <w:szCs w:val="22"/>
        </w:rPr>
        <w:t xml:space="preserve">2013, </w:t>
      </w:r>
      <w:r w:rsidR="0031291D" w:rsidRPr="009814AF">
        <w:rPr>
          <w:rFonts w:asciiTheme="minorHAnsi" w:hAnsiTheme="minorHAnsi" w:cstheme="minorHAnsi"/>
          <w:sz w:val="22"/>
          <w:szCs w:val="22"/>
        </w:rPr>
        <w:t xml:space="preserve">p. </w:t>
      </w:r>
      <w:r w:rsidR="00DE42E4" w:rsidRPr="009814AF">
        <w:rPr>
          <w:rFonts w:asciiTheme="minorHAnsi" w:hAnsiTheme="minorHAnsi" w:cstheme="minorHAnsi"/>
          <w:sz w:val="22"/>
          <w:szCs w:val="22"/>
        </w:rPr>
        <w:t xml:space="preserve">36, </w:t>
      </w:r>
      <w:r w:rsidR="0031291D" w:rsidRPr="009814AF">
        <w:rPr>
          <w:rFonts w:asciiTheme="minorHAnsi" w:hAnsiTheme="minorHAnsi" w:cstheme="minorHAnsi"/>
          <w:sz w:val="22"/>
          <w:szCs w:val="22"/>
        </w:rPr>
        <w:t xml:space="preserve">quotes ‘Psuedo-Aristotle’ as to the presence of gold and silver. Massive copper deposits </w:t>
      </w:r>
      <w:r w:rsidR="00E55820" w:rsidRPr="009814AF">
        <w:rPr>
          <w:rFonts w:asciiTheme="minorHAnsi" w:hAnsiTheme="minorHAnsi" w:cstheme="minorHAnsi"/>
          <w:sz w:val="22"/>
          <w:szCs w:val="22"/>
        </w:rPr>
        <w:t xml:space="preserve">(up to 40m in thickness) </w:t>
      </w:r>
      <w:r w:rsidR="0031291D" w:rsidRPr="009814AF">
        <w:rPr>
          <w:rFonts w:asciiTheme="minorHAnsi" w:hAnsiTheme="minorHAnsi" w:cstheme="minorHAnsi"/>
          <w:sz w:val="22"/>
          <w:szCs w:val="22"/>
        </w:rPr>
        <w:t>are present in the ‘pillow lavas’ on the massif margins</w:t>
      </w:r>
      <w:r w:rsidR="00DE42E4" w:rsidRPr="009814AF">
        <w:rPr>
          <w:rFonts w:asciiTheme="minorHAnsi" w:hAnsiTheme="minorHAnsi" w:cstheme="minorHAnsi"/>
          <w:sz w:val="22"/>
          <w:szCs w:val="22"/>
        </w:rPr>
        <w:t xml:space="preserve"> (Kassaniadou, 2013, p. 37).</w:t>
      </w:r>
    </w:p>
  </w:footnote>
  <w:footnote w:id="17">
    <w:p w14:paraId="5BAAF55E" w14:textId="52EBA614" w:rsidR="008419BD" w:rsidRPr="009814AF" w:rsidRDefault="008419BD" w:rsidP="009814AF">
      <w:pPr>
        <w:pStyle w:val="FootnoteText"/>
        <w:spacing w:after="120"/>
        <w:rPr>
          <w:sz w:val="22"/>
          <w:szCs w:val="22"/>
        </w:rPr>
      </w:pPr>
      <w:r w:rsidRPr="009814AF">
        <w:rPr>
          <w:rStyle w:val="FootnoteReference"/>
          <w:sz w:val="22"/>
          <w:szCs w:val="22"/>
        </w:rPr>
        <w:footnoteRef/>
      </w:r>
      <w:r w:rsidRPr="009814AF">
        <w:rPr>
          <w:sz w:val="22"/>
          <w:szCs w:val="22"/>
        </w:rPr>
        <w:t xml:space="preserve"> Peltenburg, 2019, p. 234. His argument is based on the use of picrolite for </w:t>
      </w:r>
      <w:r w:rsidR="005174D3">
        <w:rPr>
          <w:sz w:val="22"/>
          <w:szCs w:val="22"/>
        </w:rPr>
        <w:t>“</w:t>
      </w:r>
      <w:r w:rsidRPr="009814AF">
        <w:rPr>
          <w:sz w:val="22"/>
          <w:szCs w:val="22"/>
        </w:rPr>
        <w:t>small functional items</w:t>
      </w:r>
      <w:r w:rsidR="005174D3">
        <w:rPr>
          <w:sz w:val="22"/>
          <w:szCs w:val="22"/>
        </w:rPr>
        <w:t>”</w:t>
      </w:r>
      <w:r w:rsidRPr="009814AF">
        <w:rPr>
          <w:sz w:val="22"/>
          <w:szCs w:val="22"/>
        </w:rPr>
        <w:t>, that is, as tools. The stone nonetheless is very soft for tool usage: if only used in the context of making something of greater sanctity his argument would seem to fail. He</w:t>
      </w:r>
      <w:r w:rsidRPr="009814AF">
        <w:rPr>
          <w:rFonts w:asciiTheme="minorHAnsi" w:hAnsiTheme="minorHAnsi" w:cstheme="minorHAnsi"/>
          <w:sz w:val="22"/>
          <w:szCs w:val="22"/>
        </w:rPr>
        <w:t xml:space="preserve"> also, p. 233-234, suggests the alternate proviso that “ascription of tools to the mundane world is misconceived”.</w:t>
      </w:r>
    </w:p>
  </w:footnote>
  <w:footnote w:id="18">
    <w:p w14:paraId="0F67A021" w14:textId="6ED5D550" w:rsidR="0031291D" w:rsidRPr="009814AF" w:rsidRDefault="0031291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9D7C5D" w:rsidRPr="009814AF">
        <w:rPr>
          <w:rFonts w:asciiTheme="minorHAnsi" w:hAnsiTheme="minorHAnsi" w:cstheme="minorHAnsi"/>
          <w:sz w:val="22"/>
          <w:szCs w:val="22"/>
        </w:rPr>
        <w:t>It is u</w:t>
      </w:r>
      <w:r w:rsidRPr="009814AF">
        <w:rPr>
          <w:rFonts w:asciiTheme="minorHAnsi" w:hAnsiTheme="minorHAnsi" w:cstheme="minorHAnsi"/>
          <w:sz w:val="22"/>
          <w:szCs w:val="22"/>
        </w:rPr>
        <w:t xml:space="preserve">nclear whether copper implements or microliths </w:t>
      </w:r>
      <w:r w:rsidR="009D7C5D" w:rsidRPr="009814AF">
        <w:rPr>
          <w:rFonts w:asciiTheme="minorHAnsi" w:hAnsiTheme="minorHAnsi" w:cstheme="minorHAnsi"/>
          <w:sz w:val="22"/>
          <w:szCs w:val="22"/>
        </w:rPr>
        <w:t>(</w:t>
      </w:r>
      <w:r w:rsidRPr="009814AF">
        <w:rPr>
          <w:rFonts w:asciiTheme="minorHAnsi" w:hAnsiTheme="minorHAnsi" w:cstheme="minorHAnsi"/>
          <w:sz w:val="22"/>
          <w:szCs w:val="22"/>
        </w:rPr>
        <w:t>flint or obsidian</w:t>
      </w:r>
      <w:r w:rsidR="009D7C5D" w:rsidRPr="009814AF">
        <w:rPr>
          <w:rFonts w:asciiTheme="minorHAnsi" w:hAnsiTheme="minorHAnsi" w:cstheme="minorHAnsi"/>
          <w:sz w:val="22"/>
          <w:szCs w:val="22"/>
        </w:rPr>
        <w:t xml:space="preserve">) were used (it is conceivable that a modern microscopic comparative analysis might determine such questions) </w:t>
      </w:r>
      <w:r w:rsidRPr="009814AF">
        <w:rPr>
          <w:rFonts w:asciiTheme="minorHAnsi" w:hAnsiTheme="minorHAnsi" w:cstheme="minorHAnsi"/>
          <w:sz w:val="22"/>
          <w:szCs w:val="22"/>
        </w:rPr>
        <w:t>.</w:t>
      </w:r>
    </w:p>
  </w:footnote>
  <w:footnote w:id="19">
    <w:p w14:paraId="27E87FF8" w14:textId="7DDFCD1E" w:rsidR="00604A6F" w:rsidRPr="009814AF" w:rsidRDefault="00260909"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39509F" w:rsidRPr="009814AF">
        <w:rPr>
          <w:rFonts w:asciiTheme="minorHAnsi" w:hAnsiTheme="minorHAnsi" w:cstheme="minorHAnsi"/>
          <w:sz w:val="22"/>
          <w:szCs w:val="22"/>
        </w:rPr>
        <w:t xml:space="preserve">This writer entirely endorses the perspective of Bailey, 2014, that the ‘cheirotic approach’, actually handling the object, provides a deeper insight than can be afforded from the visual (and second-hand representations such as photographs). Further though, this </w:t>
      </w:r>
      <w:r w:rsidRPr="009814AF">
        <w:rPr>
          <w:rFonts w:asciiTheme="minorHAnsi" w:hAnsiTheme="minorHAnsi" w:cstheme="minorHAnsi"/>
          <w:sz w:val="22"/>
          <w:szCs w:val="22"/>
        </w:rPr>
        <w:t xml:space="preserve">writer would like to record access to Potnia Pomos </w:t>
      </w:r>
      <w:r w:rsidR="00127C13" w:rsidRPr="009814AF">
        <w:rPr>
          <w:rFonts w:asciiTheme="minorHAnsi" w:hAnsiTheme="minorHAnsi" w:cstheme="minorHAnsi"/>
          <w:sz w:val="22"/>
          <w:szCs w:val="22"/>
        </w:rPr>
        <w:t xml:space="preserve">(and other similar items) </w:t>
      </w:r>
      <w:r w:rsidRPr="009814AF">
        <w:rPr>
          <w:rFonts w:asciiTheme="minorHAnsi" w:hAnsiTheme="minorHAnsi" w:cstheme="minorHAnsi"/>
          <w:sz w:val="22"/>
          <w:szCs w:val="22"/>
        </w:rPr>
        <w:t xml:space="preserve">by a competent psychometrist. </w:t>
      </w:r>
      <w:r w:rsidR="00604A6F" w:rsidRPr="009814AF">
        <w:rPr>
          <w:rFonts w:asciiTheme="minorHAnsi" w:hAnsiTheme="minorHAnsi" w:cstheme="minorHAnsi"/>
          <w:sz w:val="22"/>
          <w:szCs w:val="22"/>
        </w:rPr>
        <w:t>(P</w:t>
      </w:r>
      <w:r w:rsidR="00604A6F" w:rsidRPr="009814AF">
        <w:rPr>
          <w:rFonts w:cstheme="minorHAnsi"/>
          <w:color w:val="000000" w:themeColor="text1"/>
          <w:sz w:val="22"/>
          <w:szCs w:val="22"/>
        </w:rPr>
        <w:t>sychometry is the idea of ‘reading back’ events thought to have been ‘recorded’ in a physical object.</w:t>
      </w:r>
      <w:r w:rsidR="00604A6F" w:rsidRPr="009814AF">
        <w:rPr>
          <w:rFonts w:asciiTheme="minorHAnsi" w:hAnsiTheme="minorHAnsi" w:cstheme="minorHAnsi"/>
          <w:sz w:val="22"/>
          <w:szCs w:val="22"/>
        </w:rPr>
        <w:t xml:space="preserve">) </w:t>
      </w:r>
      <w:r w:rsidRPr="009814AF">
        <w:rPr>
          <w:rFonts w:asciiTheme="minorHAnsi" w:hAnsiTheme="minorHAnsi" w:cstheme="minorHAnsi"/>
          <w:sz w:val="22"/>
          <w:szCs w:val="22"/>
        </w:rPr>
        <w:t>Certainly the account by Grant</w:t>
      </w:r>
      <w:r w:rsidR="00604A6F" w:rsidRPr="009814AF">
        <w:rPr>
          <w:rFonts w:asciiTheme="minorHAnsi" w:hAnsiTheme="minorHAnsi" w:cstheme="minorHAnsi"/>
          <w:sz w:val="22"/>
          <w:szCs w:val="22"/>
        </w:rPr>
        <w:t xml:space="preserve">, </w:t>
      </w:r>
      <w:r w:rsidR="00604A6F" w:rsidRPr="009814AF">
        <w:rPr>
          <w:sz w:val="22"/>
          <w:szCs w:val="22"/>
        </w:rPr>
        <w:t>1956, pp. 211-212,</w:t>
      </w:r>
      <w:r w:rsidRPr="009814AF">
        <w:rPr>
          <w:rFonts w:asciiTheme="minorHAnsi" w:hAnsiTheme="minorHAnsi" w:cstheme="minorHAnsi"/>
          <w:sz w:val="22"/>
          <w:szCs w:val="22"/>
        </w:rPr>
        <w:t xml:space="preserve"> suggests this worthwhile</w:t>
      </w:r>
      <w:r w:rsidR="00604A6F" w:rsidRPr="009814AF">
        <w:rPr>
          <w:rFonts w:asciiTheme="minorHAnsi" w:hAnsiTheme="minorHAnsi" w:cstheme="minorHAnsi"/>
          <w:sz w:val="22"/>
          <w:szCs w:val="22"/>
        </w:rPr>
        <w:t>: she</w:t>
      </w:r>
      <w:r w:rsidR="00604A6F" w:rsidRPr="009814AF">
        <w:rPr>
          <w:sz w:val="22"/>
          <w:szCs w:val="22"/>
        </w:rPr>
        <w:t xml:space="preserve"> relates her ‘reading’ from a Mesopotamian cylinder seal, saying that these were worn on a large sharp pin, potentially a weapon, rather than a string. Initial castigation by ‘scientific’ archaeologists had to be reversed when a text was soon after found precisely describing an attack with such.</w:t>
      </w:r>
    </w:p>
  </w:footnote>
  <w:footnote w:id="20">
    <w:p w14:paraId="796FECDA" w14:textId="647BDE4B" w:rsidR="00125BFC" w:rsidRPr="009814AF" w:rsidRDefault="00125BFC"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Peltenburg et.al., 2019</w:t>
      </w:r>
      <w:r w:rsidR="00343227" w:rsidRPr="009814AF">
        <w:rPr>
          <w:rFonts w:asciiTheme="minorHAnsi" w:hAnsiTheme="minorHAnsi" w:cstheme="minorHAnsi"/>
          <w:sz w:val="22"/>
          <w:szCs w:val="22"/>
        </w:rPr>
        <w:t>, as a whole, discusses this site: a</w:t>
      </w:r>
      <w:r w:rsidRPr="009814AF">
        <w:rPr>
          <w:rFonts w:asciiTheme="minorHAnsi" w:hAnsiTheme="minorHAnsi" w:cstheme="minorHAnsi"/>
          <w:sz w:val="22"/>
          <w:szCs w:val="22"/>
        </w:rPr>
        <w:t>bout 800 picrolites</w:t>
      </w:r>
      <w:r w:rsidR="00FC5264" w:rsidRPr="009814AF">
        <w:rPr>
          <w:rFonts w:asciiTheme="minorHAnsi" w:hAnsiTheme="minorHAnsi" w:cstheme="minorHAnsi"/>
          <w:sz w:val="22"/>
          <w:szCs w:val="22"/>
        </w:rPr>
        <w:t>, in states from unworked to finished,</w:t>
      </w:r>
      <w:r w:rsidRPr="009814AF">
        <w:rPr>
          <w:rFonts w:asciiTheme="minorHAnsi" w:hAnsiTheme="minorHAnsi" w:cstheme="minorHAnsi"/>
          <w:sz w:val="22"/>
          <w:szCs w:val="22"/>
        </w:rPr>
        <w:t xml:space="preserve"> </w:t>
      </w:r>
      <w:r w:rsidR="00FC5264" w:rsidRPr="009814AF">
        <w:rPr>
          <w:rFonts w:asciiTheme="minorHAnsi" w:hAnsiTheme="minorHAnsi" w:cstheme="minorHAnsi"/>
          <w:sz w:val="22"/>
          <w:szCs w:val="22"/>
        </w:rPr>
        <w:t xml:space="preserve">almost half only as ‘debitage’, </w:t>
      </w:r>
      <w:r w:rsidRPr="009814AF">
        <w:rPr>
          <w:rFonts w:asciiTheme="minorHAnsi" w:hAnsiTheme="minorHAnsi" w:cstheme="minorHAnsi"/>
          <w:sz w:val="22"/>
          <w:szCs w:val="22"/>
        </w:rPr>
        <w:t>have been found at the</w:t>
      </w:r>
      <w:r w:rsidR="00343227" w:rsidRPr="009814AF">
        <w:rPr>
          <w:rFonts w:asciiTheme="minorHAnsi" w:hAnsiTheme="minorHAnsi" w:cstheme="minorHAnsi"/>
          <w:sz w:val="22"/>
          <w:szCs w:val="22"/>
        </w:rPr>
        <w:t>re.</w:t>
      </w:r>
      <w:r w:rsidRPr="009814AF">
        <w:rPr>
          <w:rFonts w:asciiTheme="minorHAnsi" w:hAnsiTheme="minorHAnsi" w:cstheme="minorHAnsi"/>
          <w:sz w:val="22"/>
          <w:szCs w:val="22"/>
        </w:rPr>
        <w:t xml:space="preserve"> </w:t>
      </w:r>
      <w:r w:rsidR="001458A9" w:rsidRPr="009814AF">
        <w:rPr>
          <w:rFonts w:asciiTheme="minorHAnsi" w:hAnsiTheme="minorHAnsi" w:cstheme="minorHAnsi"/>
          <w:sz w:val="22"/>
          <w:szCs w:val="22"/>
        </w:rPr>
        <w:t xml:space="preserve">Peltenburg, 2019, p. 239, fig.13-15 illustrates some 16 cruciform figurines. </w:t>
      </w:r>
      <w:r w:rsidRPr="009814AF">
        <w:rPr>
          <w:rFonts w:asciiTheme="minorHAnsi" w:hAnsiTheme="minorHAnsi" w:cstheme="minorHAnsi"/>
          <w:sz w:val="22"/>
          <w:szCs w:val="22"/>
        </w:rPr>
        <w:t xml:space="preserve">Peltenburg, 2019, p. 233, </w:t>
      </w:r>
      <w:r w:rsidR="001458A9" w:rsidRPr="009814AF">
        <w:rPr>
          <w:rFonts w:asciiTheme="minorHAnsi" w:hAnsiTheme="minorHAnsi" w:cstheme="minorHAnsi"/>
          <w:sz w:val="22"/>
          <w:szCs w:val="22"/>
        </w:rPr>
        <w:t xml:space="preserve">describes </w:t>
      </w:r>
      <w:r w:rsidRPr="009814AF">
        <w:rPr>
          <w:rFonts w:asciiTheme="minorHAnsi" w:hAnsiTheme="minorHAnsi" w:cstheme="minorHAnsi"/>
          <w:sz w:val="22"/>
          <w:szCs w:val="22"/>
        </w:rPr>
        <w:t xml:space="preserve">some items </w:t>
      </w:r>
      <w:r w:rsidR="001458A9" w:rsidRPr="009814AF">
        <w:rPr>
          <w:rFonts w:asciiTheme="minorHAnsi" w:hAnsiTheme="minorHAnsi" w:cstheme="minorHAnsi"/>
          <w:sz w:val="22"/>
          <w:szCs w:val="22"/>
        </w:rPr>
        <w:t xml:space="preserve">certainly </w:t>
      </w:r>
      <w:r w:rsidRPr="009814AF">
        <w:rPr>
          <w:rFonts w:asciiTheme="minorHAnsi" w:hAnsiTheme="minorHAnsi" w:cstheme="minorHAnsi"/>
          <w:sz w:val="22"/>
          <w:szCs w:val="22"/>
        </w:rPr>
        <w:t xml:space="preserve">as </w:t>
      </w:r>
      <w:r w:rsidR="001458A9" w:rsidRPr="009814AF">
        <w:rPr>
          <w:rFonts w:asciiTheme="minorHAnsi" w:hAnsiTheme="minorHAnsi" w:cstheme="minorHAnsi"/>
          <w:sz w:val="22"/>
          <w:szCs w:val="22"/>
        </w:rPr>
        <w:t>‘</w:t>
      </w:r>
      <w:r w:rsidRPr="009814AF">
        <w:rPr>
          <w:rFonts w:asciiTheme="minorHAnsi" w:hAnsiTheme="minorHAnsi" w:cstheme="minorHAnsi"/>
          <w:sz w:val="22"/>
          <w:szCs w:val="22"/>
        </w:rPr>
        <w:t>tools</w:t>
      </w:r>
      <w:r w:rsidR="001458A9" w:rsidRPr="009814AF">
        <w:rPr>
          <w:rFonts w:asciiTheme="minorHAnsi" w:hAnsiTheme="minorHAnsi" w:cstheme="minorHAnsi"/>
          <w:sz w:val="22"/>
          <w:szCs w:val="22"/>
        </w:rPr>
        <w:t>’</w:t>
      </w:r>
      <w:r w:rsidRPr="009814AF">
        <w:rPr>
          <w:rFonts w:asciiTheme="minorHAnsi" w:hAnsiTheme="minorHAnsi" w:cstheme="minorHAnsi"/>
          <w:sz w:val="22"/>
          <w:szCs w:val="22"/>
        </w:rPr>
        <w:t xml:space="preserve"> rather than all being figurines </w:t>
      </w:r>
      <w:r w:rsidR="00FC5264" w:rsidRPr="009814AF">
        <w:rPr>
          <w:rFonts w:asciiTheme="minorHAnsi" w:hAnsiTheme="minorHAnsi" w:cstheme="minorHAnsi"/>
          <w:sz w:val="22"/>
          <w:szCs w:val="22"/>
        </w:rPr>
        <w:t xml:space="preserve">or </w:t>
      </w:r>
      <w:r w:rsidRPr="009814AF">
        <w:rPr>
          <w:rFonts w:asciiTheme="minorHAnsi" w:hAnsiTheme="minorHAnsi" w:cstheme="minorHAnsi"/>
          <w:sz w:val="22"/>
          <w:szCs w:val="22"/>
        </w:rPr>
        <w:t>otherwise decorative</w:t>
      </w:r>
      <w:r w:rsidR="001458A9" w:rsidRPr="009814AF">
        <w:rPr>
          <w:rFonts w:asciiTheme="minorHAnsi" w:hAnsiTheme="minorHAnsi" w:cstheme="minorHAnsi"/>
          <w:sz w:val="22"/>
          <w:szCs w:val="22"/>
        </w:rPr>
        <w:t>, but also</w:t>
      </w:r>
      <w:r w:rsidR="009D7C5D" w:rsidRPr="009814AF">
        <w:rPr>
          <w:rFonts w:asciiTheme="minorHAnsi" w:hAnsiTheme="minorHAnsi" w:cstheme="minorHAnsi"/>
          <w:sz w:val="22"/>
          <w:szCs w:val="22"/>
        </w:rPr>
        <w:t xml:space="preserve">, p. 233-234, </w:t>
      </w:r>
      <w:r w:rsidR="001458A9" w:rsidRPr="009814AF">
        <w:rPr>
          <w:rFonts w:asciiTheme="minorHAnsi" w:hAnsiTheme="minorHAnsi" w:cstheme="minorHAnsi"/>
          <w:sz w:val="22"/>
          <w:szCs w:val="22"/>
        </w:rPr>
        <w:t xml:space="preserve">suggests </w:t>
      </w:r>
      <w:r w:rsidR="009D7C5D" w:rsidRPr="009814AF">
        <w:rPr>
          <w:rFonts w:asciiTheme="minorHAnsi" w:hAnsiTheme="minorHAnsi" w:cstheme="minorHAnsi"/>
          <w:sz w:val="22"/>
          <w:szCs w:val="22"/>
        </w:rPr>
        <w:t>the alternate proviso that “ascription of tools to the mundane world is misconceived”</w:t>
      </w:r>
      <w:r w:rsidR="00343227" w:rsidRPr="009814AF">
        <w:rPr>
          <w:rFonts w:asciiTheme="minorHAnsi" w:hAnsiTheme="minorHAnsi" w:cstheme="minorHAnsi"/>
          <w:sz w:val="22"/>
          <w:szCs w:val="22"/>
        </w:rPr>
        <w:t>.</w:t>
      </w:r>
    </w:p>
  </w:footnote>
  <w:footnote w:id="21">
    <w:p w14:paraId="33DEA963" w14:textId="599A397F" w:rsidR="00654BB8" w:rsidRPr="009814AF" w:rsidRDefault="00654BB8"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Peltenburg, 1991, p. 116. He also claims a cruciform figure easily replicated in less than an hour</w:t>
      </w:r>
      <w:r w:rsidR="00DD3DE5" w:rsidRPr="009814AF">
        <w:rPr>
          <w:rFonts w:asciiTheme="minorHAnsi" w:hAnsiTheme="minorHAnsi" w:cstheme="minorHAnsi"/>
          <w:sz w:val="22"/>
          <w:szCs w:val="22"/>
        </w:rPr>
        <w:t>, a time that seems rather short for the institution of the Souskiou ‘factory’</w:t>
      </w:r>
      <w:r w:rsidR="00326D27">
        <w:rPr>
          <w:rFonts w:asciiTheme="minorHAnsi" w:hAnsiTheme="minorHAnsi" w:cstheme="minorHAnsi"/>
          <w:sz w:val="22"/>
          <w:szCs w:val="22"/>
        </w:rPr>
        <w:t xml:space="preserve"> to have been required</w:t>
      </w:r>
      <w:r w:rsidR="00DD3DE5" w:rsidRPr="009814AF">
        <w:rPr>
          <w:rFonts w:asciiTheme="minorHAnsi" w:hAnsiTheme="minorHAnsi" w:cstheme="minorHAnsi"/>
          <w:sz w:val="22"/>
          <w:szCs w:val="22"/>
        </w:rPr>
        <w:t>.</w:t>
      </w:r>
    </w:p>
  </w:footnote>
  <w:footnote w:id="22">
    <w:p w14:paraId="353C9A38" w14:textId="325C36C2" w:rsidR="00343227" w:rsidRPr="009814AF" w:rsidRDefault="00343227" w:rsidP="009814AF">
      <w:pPr>
        <w:pStyle w:val="FootnoteText"/>
        <w:spacing w:after="120"/>
        <w:rPr>
          <w:sz w:val="22"/>
          <w:szCs w:val="22"/>
        </w:rPr>
      </w:pPr>
      <w:r w:rsidRPr="009814AF">
        <w:rPr>
          <w:rStyle w:val="FootnoteReference"/>
          <w:sz w:val="22"/>
          <w:szCs w:val="22"/>
        </w:rPr>
        <w:footnoteRef/>
      </w:r>
      <w:r w:rsidRPr="009814AF">
        <w:rPr>
          <w:sz w:val="22"/>
          <w:szCs w:val="22"/>
        </w:rPr>
        <w:t xml:space="preserve"> Goring, 1991, p. 153.</w:t>
      </w:r>
    </w:p>
  </w:footnote>
  <w:footnote w:id="23">
    <w:p w14:paraId="53CD652B" w14:textId="267C96A2" w:rsidR="00B33147" w:rsidRPr="009814AF" w:rsidRDefault="00B33147"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Knox, 2012, p. 21.</w:t>
      </w:r>
    </w:p>
  </w:footnote>
  <w:footnote w:id="24">
    <w:p w14:paraId="7E0A8DBB" w14:textId="3286C83B" w:rsidR="00B2269A" w:rsidRPr="009814AF" w:rsidRDefault="00B2269A" w:rsidP="009814AF">
      <w:pPr>
        <w:pStyle w:val="FootnoteText"/>
        <w:spacing w:after="120"/>
        <w:rPr>
          <w:sz w:val="22"/>
          <w:szCs w:val="22"/>
        </w:rPr>
      </w:pPr>
      <w:r w:rsidRPr="009814AF">
        <w:rPr>
          <w:rStyle w:val="FootnoteReference"/>
          <w:sz w:val="22"/>
          <w:szCs w:val="22"/>
        </w:rPr>
        <w:footnoteRef/>
      </w:r>
      <w:r w:rsidRPr="009814AF">
        <w:rPr>
          <w:sz w:val="22"/>
          <w:szCs w:val="22"/>
        </w:rPr>
        <w:t xml:space="preserve"> Ucko, 1962, p. 39, argues that “jumping from Bronze Age European figurines to </w:t>
      </w:r>
      <w:r w:rsidR="00ED4EA3" w:rsidRPr="009814AF">
        <w:rPr>
          <w:sz w:val="22"/>
          <w:szCs w:val="22"/>
        </w:rPr>
        <w:t>Palaeolithic</w:t>
      </w:r>
      <w:r w:rsidRPr="009814AF">
        <w:rPr>
          <w:sz w:val="22"/>
          <w:szCs w:val="22"/>
        </w:rPr>
        <w:t xml:space="preserve"> Venuses and back again to neolithic material is unscientific”. </w:t>
      </w:r>
      <w:r w:rsidR="00A248A0" w:rsidRPr="009814AF">
        <w:rPr>
          <w:sz w:val="22"/>
          <w:szCs w:val="22"/>
        </w:rPr>
        <w:t xml:space="preserve">This criticism might be considered invalid if a ‘Mother Goddess’ belief complex dated sufficiently far back in prehistory, </w:t>
      </w:r>
      <w:r w:rsidR="003B1819">
        <w:rPr>
          <w:sz w:val="22"/>
          <w:szCs w:val="22"/>
        </w:rPr>
        <w:t xml:space="preserve">perhaps even from </w:t>
      </w:r>
      <w:r w:rsidR="00A248A0" w:rsidRPr="009814AF">
        <w:rPr>
          <w:sz w:val="22"/>
          <w:szCs w:val="22"/>
        </w:rPr>
        <w:t xml:space="preserve">before </w:t>
      </w:r>
      <w:r w:rsidR="003B1819">
        <w:rPr>
          <w:sz w:val="22"/>
          <w:szCs w:val="22"/>
        </w:rPr>
        <w:t xml:space="preserve">modern humans’ </w:t>
      </w:r>
      <w:r w:rsidR="00A248A0" w:rsidRPr="009814AF">
        <w:rPr>
          <w:sz w:val="22"/>
          <w:szCs w:val="22"/>
        </w:rPr>
        <w:t>diaspora from Africa.</w:t>
      </w:r>
      <w:r w:rsidR="003B1819">
        <w:rPr>
          <w:sz w:val="22"/>
          <w:szCs w:val="22"/>
        </w:rPr>
        <w:t xml:space="preserve"> The idea that ‘science’ must always separate cultures rather than look for connection must be considered epistemologically questionable. </w:t>
      </w:r>
    </w:p>
  </w:footnote>
  <w:footnote w:id="25">
    <w:p w14:paraId="784C27B4" w14:textId="3604496F" w:rsidR="002C10B0" w:rsidRPr="009814AF" w:rsidRDefault="002C10B0"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Knox</w:t>
      </w:r>
      <w:r w:rsidR="00C24C23" w:rsidRPr="009814AF">
        <w:rPr>
          <w:rFonts w:asciiTheme="minorHAnsi" w:hAnsiTheme="minorHAnsi" w:cstheme="minorHAnsi"/>
          <w:sz w:val="22"/>
          <w:szCs w:val="22"/>
        </w:rPr>
        <w:t>, 2012, pp.</w:t>
      </w:r>
      <w:r w:rsidRPr="009814AF">
        <w:rPr>
          <w:rFonts w:asciiTheme="minorHAnsi" w:hAnsiTheme="minorHAnsi" w:cstheme="minorHAnsi"/>
          <w:sz w:val="22"/>
          <w:szCs w:val="22"/>
        </w:rPr>
        <w:t xml:space="preserve"> 22-29</w:t>
      </w:r>
      <w:r w:rsidR="00C24C23" w:rsidRPr="009814AF">
        <w:rPr>
          <w:rFonts w:asciiTheme="minorHAnsi" w:hAnsiTheme="minorHAnsi" w:cstheme="minorHAnsi"/>
          <w:sz w:val="22"/>
          <w:szCs w:val="22"/>
        </w:rPr>
        <w:t xml:space="preserve">, discusses the biases of interpretation as ‘art’. ‘Primitiveness’ </w:t>
      </w:r>
      <w:r w:rsidR="00682B05">
        <w:rPr>
          <w:rFonts w:asciiTheme="minorHAnsi" w:hAnsiTheme="minorHAnsi" w:cstheme="minorHAnsi"/>
          <w:sz w:val="22"/>
          <w:szCs w:val="22"/>
        </w:rPr>
        <w:t xml:space="preserve">is axiomatic </w:t>
      </w:r>
      <w:r w:rsidR="00C24C23" w:rsidRPr="009814AF">
        <w:rPr>
          <w:rFonts w:asciiTheme="minorHAnsi" w:hAnsiTheme="minorHAnsi" w:cstheme="minorHAnsi"/>
          <w:sz w:val="22"/>
          <w:szCs w:val="22"/>
        </w:rPr>
        <w:t xml:space="preserve">in the </w:t>
      </w:r>
      <w:r w:rsidR="006575FD" w:rsidRPr="009814AF">
        <w:rPr>
          <w:rFonts w:asciiTheme="minorHAnsi" w:hAnsiTheme="minorHAnsi" w:cstheme="minorHAnsi"/>
          <w:sz w:val="22"/>
          <w:szCs w:val="22"/>
        </w:rPr>
        <w:t>teleology</w:t>
      </w:r>
      <w:r w:rsidR="00C24C23" w:rsidRPr="009814AF">
        <w:rPr>
          <w:rFonts w:asciiTheme="minorHAnsi" w:hAnsiTheme="minorHAnsi" w:cstheme="minorHAnsi"/>
          <w:sz w:val="22"/>
          <w:szCs w:val="22"/>
        </w:rPr>
        <w:t xml:space="preserve"> of the 19</w:t>
      </w:r>
      <w:r w:rsidR="00C24C23" w:rsidRPr="009814AF">
        <w:rPr>
          <w:rFonts w:asciiTheme="minorHAnsi" w:hAnsiTheme="minorHAnsi" w:cstheme="minorHAnsi"/>
          <w:sz w:val="22"/>
          <w:szCs w:val="22"/>
          <w:vertAlign w:val="superscript"/>
        </w:rPr>
        <w:t>th</w:t>
      </w:r>
      <w:r w:rsidR="00C24C23" w:rsidRPr="009814AF">
        <w:rPr>
          <w:rFonts w:asciiTheme="minorHAnsi" w:hAnsiTheme="minorHAnsi" w:cstheme="minorHAnsi"/>
          <w:sz w:val="22"/>
          <w:szCs w:val="22"/>
        </w:rPr>
        <w:t xml:space="preserve"> century ‘social-evolution’ paradigm, in which modern (that is, Western European) existence and religion are no longer so designated.</w:t>
      </w:r>
    </w:p>
  </w:footnote>
  <w:footnote w:id="26">
    <w:p w14:paraId="68F21A12" w14:textId="793C9392" w:rsidR="00C24C23" w:rsidRPr="009814AF" w:rsidRDefault="00C24C23"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D817D8" w:rsidRPr="009814AF">
        <w:rPr>
          <w:rFonts w:asciiTheme="minorHAnsi" w:hAnsiTheme="minorHAnsi" w:cstheme="minorHAnsi"/>
          <w:sz w:val="22"/>
          <w:szCs w:val="22"/>
        </w:rPr>
        <w:t>Cyprus has a number of ‘plank figurines’, mostly designated as ‘female’ even when not showing any appropriate anatomical details.</w:t>
      </w:r>
      <w:r w:rsidR="00B33147" w:rsidRPr="009814AF">
        <w:rPr>
          <w:rFonts w:asciiTheme="minorHAnsi" w:hAnsiTheme="minorHAnsi" w:cstheme="minorHAnsi"/>
          <w:sz w:val="22"/>
          <w:szCs w:val="22"/>
        </w:rPr>
        <w:t xml:space="preserve"> Knox, 2012, p. 31, criticise</w:t>
      </w:r>
      <w:r w:rsidR="003B1819">
        <w:rPr>
          <w:rFonts w:asciiTheme="minorHAnsi" w:hAnsiTheme="minorHAnsi" w:cstheme="minorHAnsi"/>
          <w:sz w:val="22"/>
          <w:szCs w:val="22"/>
        </w:rPr>
        <w:t>s</w:t>
      </w:r>
      <w:r w:rsidR="00B33147" w:rsidRPr="009814AF">
        <w:rPr>
          <w:rFonts w:asciiTheme="minorHAnsi" w:hAnsiTheme="minorHAnsi" w:cstheme="minorHAnsi"/>
          <w:sz w:val="22"/>
          <w:szCs w:val="22"/>
        </w:rPr>
        <w:t xml:space="preserve"> this assumption by multiple authors.</w:t>
      </w:r>
    </w:p>
  </w:footnote>
  <w:footnote w:id="27">
    <w:p w14:paraId="0B757EC1" w14:textId="735A6758" w:rsidR="003C2BE4" w:rsidRPr="009814AF" w:rsidRDefault="003C2BE4"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Karageorghis, 2005, </w:t>
      </w:r>
      <w:r w:rsidR="006D10F4" w:rsidRPr="009814AF">
        <w:rPr>
          <w:rFonts w:asciiTheme="minorHAnsi" w:hAnsiTheme="minorHAnsi" w:cstheme="minorHAnsi"/>
          <w:sz w:val="22"/>
          <w:szCs w:val="22"/>
        </w:rPr>
        <w:t>has no less than 51 index references to ‘fertility’, as such or associated with ‘cult’ or ‘deity’ without the slightest critical examination of the term.</w:t>
      </w:r>
    </w:p>
  </w:footnote>
  <w:footnote w:id="28">
    <w:p w14:paraId="0E646EE8" w14:textId="35A7F48F" w:rsidR="005174D3" w:rsidRPr="005174D3" w:rsidRDefault="005174D3" w:rsidP="005174D3">
      <w:pPr>
        <w:pStyle w:val="FootnoteText"/>
        <w:spacing w:after="120"/>
        <w:rPr>
          <w:sz w:val="22"/>
          <w:szCs w:val="22"/>
        </w:rPr>
      </w:pPr>
      <w:r w:rsidRPr="005174D3">
        <w:rPr>
          <w:rStyle w:val="FootnoteReference"/>
          <w:sz w:val="22"/>
          <w:szCs w:val="22"/>
        </w:rPr>
        <w:footnoteRef/>
      </w:r>
      <w:r w:rsidRPr="005174D3">
        <w:rPr>
          <w:sz w:val="22"/>
          <w:szCs w:val="22"/>
        </w:rPr>
        <w:t xml:space="preserve"> This writer previously noted uncritical usage by Kieburg (2008).</w:t>
      </w:r>
    </w:p>
  </w:footnote>
  <w:footnote w:id="29">
    <w:p w14:paraId="33CDF06D" w14:textId="282728AE" w:rsidR="0060480D" w:rsidRPr="009814AF" w:rsidRDefault="0060480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6F7A49" w:rsidRPr="009814AF">
        <w:rPr>
          <w:rFonts w:asciiTheme="minorHAnsi" w:hAnsiTheme="minorHAnsi" w:cstheme="minorHAnsi"/>
          <w:sz w:val="22"/>
          <w:szCs w:val="22"/>
        </w:rPr>
        <w:t xml:space="preserve">The term ‘fertility cult’ is first </w:t>
      </w:r>
      <w:r w:rsidR="00DD3DE5" w:rsidRPr="009814AF">
        <w:rPr>
          <w:rFonts w:asciiTheme="minorHAnsi" w:hAnsiTheme="minorHAnsi" w:cstheme="minorHAnsi"/>
          <w:sz w:val="22"/>
          <w:szCs w:val="22"/>
        </w:rPr>
        <w:t>a</w:t>
      </w:r>
      <w:r w:rsidR="006F7A49" w:rsidRPr="009814AF">
        <w:rPr>
          <w:rFonts w:asciiTheme="minorHAnsi" w:hAnsiTheme="minorHAnsi" w:cstheme="minorHAnsi"/>
          <w:sz w:val="22"/>
          <w:szCs w:val="22"/>
        </w:rPr>
        <w:t>ttested in the OED at 1904.</w:t>
      </w:r>
      <w:r w:rsidRPr="009814AF">
        <w:rPr>
          <w:rFonts w:asciiTheme="minorHAnsi" w:hAnsiTheme="minorHAnsi" w:cstheme="minorHAnsi"/>
          <w:sz w:val="22"/>
          <w:szCs w:val="22"/>
        </w:rPr>
        <w:t>The</w:t>
      </w:r>
      <w:r w:rsidR="006F7A49" w:rsidRPr="009814AF">
        <w:rPr>
          <w:rFonts w:asciiTheme="minorHAnsi" w:hAnsiTheme="minorHAnsi" w:cstheme="minorHAnsi"/>
          <w:sz w:val="22"/>
          <w:szCs w:val="22"/>
        </w:rPr>
        <w:t xml:space="preserve"> notion is </w:t>
      </w:r>
      <w:r w:rsidRPr="009814AF">
        <w:rPr>
          <w:rFonts w:asciiTheme="minorHAnsi" w:hAnsiTheme="minorHAnsi" w:cstheme="minorHAnsi"/>
          <w:sz w:val="22"/>
          <w:szCs w:val="22"/>
        </w:rPr>
        <w:t xml:space="preserve">well summarised </w:t>
      </w:r>
      <w:r w:rsidR="00ED4EA3">
        <w:rPr>
          <w:rFonts w:asciiTheme="minorHAnsi" w:hAnsiTheme="minorHAnsi" w:cstheme="minorHAnsi"/>
          <w:sz w:val="22"/>
          <w:szCs w:val="22"/>
        </w:rPr>
        <w:t xml:space="preserve">(though objectionably to this writer) </w:t>
      </w:r>
      <w:r w:rsidRPr="009814AF">
        <w:rPr>
          <w:rFonts w:asciiTheme="minorHAnsi" w:hAnsiTheme="minorHAnsi" w:cstheme="minorHAnsi"/>
          <w:sz w:val="22"/>
          <w:szCs w:val="22"/>
        </w:rPr>
        <w:t>by the Holman Bible Dictionary. “Fertility cults attribute the fertility of the cropland and herds to the sexual relations of the divine couple. Sacral sexual intercourse by priests and priestesses or by cult prostitutes was an act of worship intended to emulate the gods and share in their powers of procreation or else an act of imitative magic by which the gods were compelled to preserve the earth's fertility”.</w:t>
      </w:r>
      <w:r w:rsidR="00ED4EA3">
        <w:rPr>
          <w:rFonts w:asciiTheme="minorHAnsi" w:hAnsiTheme="minorHAnsi" w:cstheme="minorHAnsi"/>
          <w:sz w:val="22"/>
          <w:szCs w:val="22"/>
        </w:rPr>
        <w:t xml:space="preserve"> h</w:t>
      </w:r>
      <w:r w:rsidRPr="009814AF">
        <w:rPr>
          <w:rFonts w:asciiTheme="minorHAnsi" w:hAnsiTheme="minorHAnsi" w:cstheme="minorHAnsi"/>
          <w:sz w:val="22"/>
          <w:szCs w:val="22"/>
        </w:rPr>
        <w:t xml:space="preserve">ttps://www.studylight.org/dictionaries/eng/hbd/f/fertility-cult.html </w:t>
      </w:r>
      <w:r w:rsidR="00ED4EA3">
        <w:rPr>
          <w:rFonts w:asciiTheme="minorHAnsi" w:hAnsiTheme="minorHAnsi" w:cstheme="minorHAnsi"/>
          <w:sz w:val="22"/>
          <w:szCs w:val="22"/>
        </w:rPr>
        <w:br/>
      </w:r>
      <w:r w:rsidRPr="009814AF">
        <w:rPr>
          <w:rFonts w:asciiTheme="minorHAnsi" w:hAnsiTheme="minorHAnsi" w:cstheme="minorHAnsi"/>
          <w:sz w:val="22"/>
          <w:szCs w:val="22"/>
        </w:rPr>
        <w:t>accessed November 10th</w:t>
      </w:r>
      <w:r w:rsidR="00A248A0" w:rsidRPr="009814AF">
        <w:rPr>
          <w:rFonts w:asciiTheme="minorHAnsi" w:hAnsiTheme="minorHAnsi" w:cstheme="minorHAnsi"/>
          <w:sz w:val="22"/>
          <w:szCs w:val="22"/>
        </w:rPr>
        <w:t>, 2025</w:t>
      </w:r>
      <w:r w:rsidRPr="009814AF">
        <w:rPr>
          <w:rFonts w:asciiTheme="minorHAnsi" w:hAnsiTheme="minorHAnsi" w:cstheme="minorHAnsi"/>
          <w:sz w:val="22"/>
          <w:szCs w:val="22"/>
        </w:rPr>
        <w:t>.</w:t>
      </w:r>
    </w:p>
  </w:footnote>
  <w:footnote w:id="30">
    <w:p w14:paraId="0CE61391" w14:textId="087DB438" w:rsidR="0060480D" w:rsidRPr="009814AF" w:rsidRDefault="0060480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4F4EE1" w:rsidRPr="009814AF">
        <w:rPr>
          <w:rFonts w:asciiTheme="minorHAnsi" w:hAnsiTheme="minorHAnsi" w:cstheme="minorHAnsi"/>
          <w:sz w:val="22"/>
          <w:szCs w:val="22"/>
        </w:rPr>
        <w:t xml:space="preserve">Hobbes’ notion was expressed in his </w:t>
      </w:r>
      <w:r w:rsidR="004F4EE1" w:rsidRPr="009814AF">
        <w:rPr>
          <w:rFonts w:asciiTheme="minorHAnsi" w:hAnsiTheme="minorHAnsi" w:cstheme="minorHAnsi"/>
          <w:i/>
          <w:iCs/>
          <w:sz w:val="22"/>
          <w:szCs w:val="22"/>
        </w:rPr>
        <w:t>Leviathan</w:t>
      </w:r>
      <w:r w:rsidR="004F4EE1" w:rsidRPr="009814AF">
        <w:rPr>
          <w:rFonts w:asciiTheme="minorHAnsi" w:hAnsiTheme="minorHAnsi" w:cstheme="minorHAnsi"/>
          <w:sz w:val="22"/>
          <w:szCs w:val="22"/>
        </w:rPr>
        <w:t xml:space="preserve"> (1651). </w:t>
      </w:r>
      <w:r w:rsidRPr="009814AF">
        <w:rPr>
          <w:rFonts w:asciiTheme="minorHAnsi" w:hAnsiTheme="minorHAnsi" w:cstheme="minorHAnsi"/>
          <w:sz w:val="22"/>
          <w:szCs w:val="22"/>
        </w:rPr>
        <w:t>Sahlin</w:t>
      </w:r>
      <w:r w:rsidR="004F4EE1" w:rsidRPr="009814AF">
        <w:rPr>
          <w:rFonts w:asciiTheme="minorHAnsi" w:hAnsiTheme="minorHAnsi" w:cstheme="minorHAnsi"/>
          <w:sz w:val="22"/>
          <w:szCs w:val="22"/>
        </w:rPr>
        <w:t>’</w:t>
      </w:r>
      <w:r w:rsidRPr="009814AF">
        <w:rPr>
          <w:rFonts w:asciiTheme="minorHAnsi" w:hAnsiTheme="minorHAnsi" w:cstheme="minorHAnsi"/>
          <w:sz w:val="22"/>
          <w:szCs w:val="22"/>
        </w:rPr>
        <w:t xml:space="preserve">s </w:t>
      </w:r>
      <w:r w:rsidR="004F4EE1" w:rsidRPr="009814AF">
        <w:rPr>
          <w:rFonts w:asciiTheme="minorHAnsi" w:hAnsiTheme="minorHAnsi" w:cstheme="minorHAnsi"/>
          <w:i/>
          <w:iCs/>
          <w:sz w:val="22"/>
          <w:szCs w:val="22"/>
        </w:rPr>
        <w:t>Stone Age Economics</w:t>
      </w:r>
      <w:r w:rsidR="004F4EE1" w:rsidRPr="009814AF">
        <w:rPr>
          <w:rFonts w:asciiTheme="minorHAnsi" w:hAnsiTheme="minorHAnsi" w:cstheme="minorHAnsi"/>
          <w:sz w:val="22"/>
          <w:szCs w:val="22"/>
        </w:rPr>
        <w:t xml:space="preserve"> </w:t>
      </w:r>
      <w:r w:rsidRPr="009814AF">
        <w:rPr>
          <w:rFonts w:asciiTheme="minorHAnsi" w:hAnsiTheme="minorHAnsi" w:cstheme="minorHAnsi"/>
          <w:sz w:val="22"/>
          <w:szCs w:val="22"/>
        </w:rPr>
        <w:t xml:space="preserve">is the </w:t>
      </w:r>
      <w:r w:rsidR="006F7A49" w:rsidRPr="009814AF">
        <w:rPr>
          <w:rFonts w:asciiTheme="minorHAnsi" w:hAnsiTheme="minorHAnsi" w:cstheme="minorHAnsi"/>
          <w:sz w:val="22"/>
          <w:szCs w:val="22"/>
        </w:rPr>
        <w:t>best-known</w:t>
      </w:r>
      <w:r w:rsidRPr="009814AF">
        <w:rPr>
          <w:rFonts w:asciiTheme="minorHAnsi" w:hAnsiTheme="minorHAnsi" w:cstheme="minorHAnsi"/>
          <w:sz w:val="22"/>
          <w:szCs w:val="22"/>
        </w:rPr>
        <w:t xml:space="preserve"> rebuttal of that view.</w:t>
      </w:r>
    </w:p>
  </w:footnote>
  <w:footnote w:id="31">
    <w:p w14:paraId="03A35CA2" w14:textId="5D81F459" w:rsidR="00A248A0" w:rsidRPr="009814AF" w:rsidRDefault="00A248A0" w:rsidP="009814AF">
      <w:pPr>
        <w:pStyle w:val="FootnoteText"/>
        <w:spacing w:after="120"/>
        <w:rPr>
          <w:sz w:val="22"/>
          <w:szCs w:val="22"/>
        </w:rPr>
      </w:pPr>
      <w:r w:rsidRPr="009814AF">
        <w:rPr>
          <w:rStyle w:val="FootnoteReference"/>
          <w:sz w:val="22"/>
          <w:szCs w:val="22"/>
        </w:rPr>
        <w:footnoteRef/>
      </w:r>
      <w:r w:rsidRPr="009814AF">
        <w:rPr>
          <w:sz w:val="22"/>
          <w:szCs w:val="22"/>
        </w:rPr>
        <w:t xml:space="preserve"> Ucko’s general scepticism with regard to Cretan figurines concludes (1962, p. 48)</w:t>
      </w:r>
      <w:r w:rsidR="00682B05">
        <w:rPr>
          <w:sz w:val="22"/>
          <w:szCs w:val="22"/>
        </w:rPr>
        <w:t xml:space="preserve"> </w:t>
      </w:r>
      <w:r w:rsidRPr="009814AF">
        <w:rPr>
          <w:sz w:val="22"/>
          <w:szCs w:val="22"/>
        </w:rPr>
        <w:t>with a statement that (for Crete) there is in fact “no evidence for the existence of any deity connected with fertility”.</w:t>
      </w:r>
    </w:p>
  </w:footnote>
  <w:footnote w:id="32">
    <w:p w14:paraId="6E79C340" w14:textId="718F1680" w:rsidR="00261B02" w:rsidRPr="009814AF" w:rsidRDefault="00261B02"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Knox</w:t>
      </w:r>
      <w:r w:rsidR="00D817D8" w:rsidRPr="009814AF">
        <w:rPr>
          <w:rFonts w:asciiTheme="minorHAnsi" w:hAnsiTheme="minorHAnsi" w:cstheme="minorHAnsi"/>
          <w:sz w:val="22"/>
          <w:szCs w:val="22"/>
        </w:rPr>
        <w:t>, 2012,</w:t>
      </w:r>
      <w:r w:rsidRPr="009814AF">
        <w:rPr>
          <w:rFonts w:asciiTheme="minorHAnsi" w:hAnsiTheme="minorHAnsi" w:cstheme="minorHAnsi"/>
          <w:sz w:val="22"/>
          <w:szCs w:val="22"/>
        </w:rPr>
        <w:t xml:space="preserve"> </w:t>
      </w:r>
      <w:r w:rsidR="002C10B0" w:rsidRPr="009814AF">
        <w:rPr>
          <w:rFonts w:asciiTheme="minorHAnsi" w:hAnsiTheme="minorHAnsi" w:cstheme="minorHAnsi"/>
          <w:sz w:val="22"/>
          <w:szCs w:val="22"/>
        </w:rPr>
        <w:t>p 37</w:t>
      </w:r>
      <w:r w:rsidR="00D817D8" w:rsidRPr="009814AF">
        <w:rPr>
          <w:rFonts w:asciiTheme="minorHAnsi" w:hAnsiTheme="minorHAnsi" w:cstheme="minorHAnsi"/>
          <w:sz w:val="22"/>
          <w:szCs w:val="22"/>
        </w:rPr>
        <w:t>,</w:t>
      </w:r>
      <w:r w:rsidR="002C10B0" w:rsidRPr="009814AF">
        <w:rPr>
          <w:rFonts w:asciiTheme="minorHAnsi" w:hAnsiTheme="minorHAnsi" w:cstheme="minorHAnsi"/>
          <w:sz w:val="22"/>
          <w:szCs w:val="22"/>
        </w:rPr>
        <w:t xml:space="preserve"> </w:t>
      </w:r>
      <w:r w:rsidRPr="009814AF">
        <w:rPr>
          <w:rFonts w:asciiTheme="minorHAnsi" w:hAnsiTheme="minorHAnsi" w:cstheme="minorHAnsi"/>
          <w:sz w:val="22"/>
          <w:szCs w:val="22"/>
        </w:rPr>
        <w:t>cites Schafer to this effect</w:t>
      </w:r>
      <w:r w:rsidR="002C10B0" w:rsidRPr="009814AF">
        <w:rPr>
          <w:rFonts w:asciiTheme="minorHAnsi" w:hAnsiTheme="minorHAnsi" w:cstheme="minorHAnsi"/>
          <w:sz w:val="22"/>
          <w:szCs w:val="22"/>
        </w:rPr>
        <w:t xml:space="preserve"> from his study of figurines in Texas.</w:t>
      </w:r>
    </w:p>
  </w:footnote>
  <w:footnote w:id="33">
    <w:p w14:paraId="60BC9316" w14:textId="3382F002" w:rsidR="00A26BE6" w:rsidRPr="009814AF" w:rsidRDefault="00A26BE6"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2C10B0" w:rsidRPr="009814AF">
        <w:rPr>
          <w:rFonts w:asciiTheme="minorHAnsi" w:hAnsiTheme="minorHAnsi" w:cstheme="minorHAnsi"/>
          <w:sz w:val="22"/>
          <w:szCs w:val="22"/>
        </w:rPr>
        <w:t xml:space="preserve">The tragedy results from the loss of Oedipus’ parental contact due to exposure (from which he was rescued). </w:t>
      </w:r>
      <w:r w:rsidRPr="009814AF">
        <w:rPr>
          <w:rFonts w:asciiTheme="minorHAnsi" w:hAnsiTheme="minorHAnsi" w:cstheme="minorHAnsi"/>
          <w:sz w:val="22"/>
          <w:szCs w:val="22"/>
        </w:rPr>
        <w:t>Ucko, 1968, p. 39, makes much the same point, questioning the desirability of numerous children in hunter-gatherer (Palaeolithic) society, though still tending to accept the opposite for the Neolithic.</w:t>
      </w:r>
    </w:p>
  </w:footnote>
  <w:footnote w:id="34">
    <w:p w14:paraId="6DC6E386" w14:textId="31BD8D07" w:rsidR="00B67C61" w:rsidRPr="009814AF" w:rsidRDefault="00B67C61" w:rsidP="009814AF">
      <w:pPr>
        <w:pStyle w:val="FootnoteText"/>
        <w:spacing w:after="120"/>
        <w:rPr>
          <w:sz w:val="22"/>
          <w:szCs w:val="22"/>
        </w:rPr>
      </w:pPr>
      <w:r w:rsidRPr="009814AF">
        <w:rPr>
          <w:rStyle w:val="FootnoteReference"/>
          <w:sz w:val="22"/>
          <w:szCs w:val="22"/>
        </w:rPr>
        <w:footnoteRef/>
      </w:r>
      <w:r w:rsidRPr="009814AF">
        <w:rPr>
          <w:sz w:val="22"/>
          <w:szCs w:val="22"/>
        </w:rPr>
        <w:t xml:space="preserve"> Goring</w:t>
      </w:r>
      <w:r w:rsidR="00F86332" w:rsidRPr="009814AF">
        <w:rPr>
          <w:sz w:val="22"/>
          <w:szCs w:val="22"/>
        </w:rPr>
        <w:t xml:space="preserve">, 1991, pp. 156-157, with reference to a group of terracotta figures. </w:t>
      </w:r>
    </w:p>
  </w:footnote>
  <w:footnote w:id="35">
    <w:p w14:paraId="23949DBC" w14:textId="77777777" w:rsidR="00665D1C" w:rsidRPr="009814AF" w:rsidRDefault="00665D1C"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Karageorghis, 2005, p. 11, fig. 6-8, for example, illustrates three cruciform figurines, very similar to Potnia Pomos, knees together and flat-bellied, nonetheless stating definitively that they represent a woman giving birth.</w:t>
      </w:r>
    </w:p>
  </w:footnote>
  <w:footnote w:id="36">
    <w:p w14:paraId="177401BA" w14:textId="3C51A279" w:rsidR="00665D1C" w:rsidRPr="009814AF" w:rsidRDefault="00665D1C"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As known later in the Goddess Eileithyia</w:t>
      </w:r>
      <w:r w:rsidRPr="009814AF">
        <w:rPr>
          <w:rFonts w:asciiTheme="minorHAnsi" w:hAnsiTheme="minorHAnsi" w:cstheme="minorHAnsi"/>
          <w:b/>
          <w:bCs/>
          <w:sz w:val="22"/>
          <w:szCs w:val="22"/>
        </w:rPr>
        <w:t xml:space="preserve"> </w:t>
      </w:r>
      <w:r w:rsidRPr="009814AF">
        <w:rPr>
          <w:rFonts w:asciiTheme="minorHAnsi" w:hAnsiTheme="minorHAnsi" w:cstheme="minorHAnsi"/>
          <w:sz w:val="22"/>
          <w:szCs w:val="22"/>
        </w:rPr>
        <w:t>(Εἰλείθυια), considered entirely distinct from, say, Aphrodite</w:t>
      </w:r>
      <w:r w:rsidR="00127C13" w:rsidRPr="009814AF">
        <w:rPr>
          <w:rFonts w:asciiTheme="minorHAnsi" w:hAnsiTheme="minorHAnsi" w:cstheme="minorHAnsi"/>
          <w:sz w:val="22"/>
          <w:szCs w:val="22"/>
        </w:rPr>
        <w:t>, Herself by no means a ‘Fertility Goddess’</w:t>
      </w:r>
      <w:r w:rsidR="00C25FD1" w:rsidRPr="009814AF">
        <w:rPr>
          <w:rFonts w:asciiTheme="minorHAnsi" w:hAnsiTheme="minorHAnsi" w:cstheme="minorHAnsi"/>
          <w:sz w:val="22"/>
          <w:szCs w:val="22"/>
        </w:rPr>
        <w:t>, whatever that term properly means. B</w:t>
      </w:r>
      <w:r w:rsidR="00127C13" w:rsidRPr="009814AF">
        <w:rPr>
          <w:rFonts w:asciiTheme="minorHAnsi" w:hAnsiTheme="minorHAnsi" w:cstheme="minorHAnsi"/>
          <w:sz w:val="22"/>
          <w:szCs w:val="22"/>
        </w:rPr>
        <w:t>udin</w:t>
      </w:r>
      <w:r w:rsidR="00C25FD1" w:rsidRPr="009814AF">
        <w:rPr>
          <w:rFonts w:asciiTheme="minorHAnsi" w:hAnsiTheme="minorHAnsi" w:cstheme="minorHAnsi"/>
          <w:sz w:val="22"/>
          <w:szCs w:val="22"/>
        </w:rPr>
        <w:t>, 2000, p. 20, describes Aphrodite as “above all, a goddess of sexuality and love”</w:t>
      </w:r>
      <w:r w:rsidRPr="009814AF">
        <w:rPr>
          <w:rFonts w:asciiTheme="minorHAnsi" w:hAnsiTheme="minorHAnsi" w:cstheme="minorHAnsi"/>
          <w:sz w:val="22"/>
          <w:szCs w:val="22"/>
        </w:rPr>
        <w:t>.</w:t>
      </w:r>
    </w:p>
  </w:footnote>
  <w:footnote w:id="37">
    <w:p w14:paraId="646925D4" w14:textId="104D1C1F" w:rsidR="00C24C23" w:rsidRPr="009814AF" w:rsidRDefault="00C24C23"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One notes that birthing women can express considerable hostility to ‘fertility’!</w:t>
      </w:r>
      <w:r w:rsidR="003B1819">
        <w:rPr>
          <w:rFonts w:asciiTheme="minorHAnsi" w:hAnsiTheme="minorHAnsi" w:cstheme="minorHAnsi"/>
          <w:sz w:val="22"/>
          <w:szCs w:val="22"/>
        </w:rPr>
        <w:t xml:space="preserve"> That Potnia Pomos has no mouth is discussed below - at this point it may simply be noted that birthing women are rarely silent…</w:t>
      </w:r>
    </w:p>
  </w:footnote>
  <w:footnote w:id="38">
    <w:p w14:paraId="5872FA89" w14:textId="77777777" w:rsidR="00665D1C" w:rsidRPr="009814AF" w:rsidRDefault="00665D1C"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Larger than any of those found at Souskiou (Goring, 2019, p. 210).</w:t>
      </w:r>
    </w:p>
  </w:footnote>
  <w:footnote w:id="39">
    <w:p w14:paraId="2EC024F7" w14:textId="640B48AF" w:rsidR="00A902A5" w:rsidRPr="00A902A5" w:rsidRDefault="00A902A5" w:rsidP="00A902A5">
      <w:pPr>
        <w:pStyle w:val="FootnoteText"/>
        <w:spacing w:after="120"/>
        <w:rPr>
          <w:rFonts w:asciiTheme="minorHAnsi" w:hAnsiTheme="minorHAnsi" w:cstheme="minorHAnsi"/>
          <w:sz w:val="24"/>
          <w:szCs w:val="24"/>
        </w:rPr>
      </w:pPr>
      <w:r>
        <w:rPr>
          <w:rStyle w:val="FootnoteReference"/>
        </w:rPr>
        <w:footnoteRef/>
      </w:r>
      <w:r>
        <w:t xml:space="preserve"> </w:t>
      </w:r>
      <w:r w:rsidRPr="00A902A5">
        <w:rPr>
          <w:rFonts w:asciiTheme="minorHAnsi" w:hAnsiTheme="minorHAnsi" w:cstheme="minorHAnsi"/>
          <w:sz w:val="22"/>
          <w:szCs w:val="22"/>
        </w:rPr>
        <w:t>The rather different issue of crops producing good harvests depends as much on ‘Weather Gods’, often conceived as male, than on ‘Mother Earth’.</w:t>
      </w:r>
      <w:r w:rsidRPr="009D7C5D">
        <w:rPr>
          <w:rFonts w:asciiTheme="minorHAnsi" w:hAnsiTheme="minorHAnsi" w:cstheme="minorHAnsi"/>
          <w:sz w:val="24"/>
          <w:szCs w:val="24"/>
        </w:rPr>
        <w:t xml:space="preserve"> </w:t>
      </w:r>
    </w:p>
  </w:footnote>
  <w:footnote w:id="40">
    <w:p w14:paraId="0448194D" w14:textId="67A26A16" w:rsidR="007D7341" w:rsidRPr="009814AF" w:rsidRDefault="007D7341"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8F2E96" w:rsidRPr="009814AF">
        <w:rPr>
          <w:rFonts w:asciiTheme="minorHAnsi" w:hAnsiTheme="minorHAnsi" w:cstheme="minorHAnsi"/>
          <w:sz w:val="22"/>
          <w:szCs w:val="22"/>
        </w:rPr>
        <w:t>During</w:t>
      </w:r>
      <w:r w:rsidR="006F7A49" w:rsidRPr="009814AF">
        <w:rPr>
          <w:rFonts w:asciiTheme="minorHAnsi" w:hAnsiTheme="minorHAnsi" w:cstheme="minorHAnsi"/>
          <w:sz w:val="22"/>
          <w:szCs w:val="22"/>
        </w:rPr>
        <w:t xml:space="preserve">, 2023, p. 153-154 &amp; </w:t>
      </w:r>
      <w:r w:rsidR="004540C4" w:rsidRPr="009814AF">
        <w:rPr>
          <w:rFonts w:asciiTheme="minorHAnsi" w:hAnsiTheme="minorHAnsi" w:cstheme="minorHAnsi"/>
          <w:sz w:val="22"/>
          <w:szCs w:val="22"/>
        </w:rPr>
        <w:t xml:space="preserve">photograph </w:t>
      </w:r>
      <w:r w:rsidR="006F7A49" w:rsidRPr="009814AF">
        <w:rPr>
          <w:rFonts w:asciiTheme="minorHAnsi" w:hAnsiTheme="minorHAnsi" w:cstheme="minorHAnsi"/>
          <w:sz w:val="22"/>
          <w:szCs w:val="22"/>
        </w:rPr>
        <w:t>fig 9.2.</w:t>
      </w:r>
    </w:p>
  </w:footnote>
  <w:footnote w:id="41">
    <w:p w14:paraId="6AFB340B" w14:textId="487C5EE3" w:rsidR="00A20819" w:rsidRPr="009814AF" w:rsidRDefault="00A20819" w:rsidP="009814AF">
      <w:pPr>
        <w:pStyle w:val="FootnoteText"/>
        <w:spacing w:after="120"/>
        <w:rPr>
          <w:sz w:val="22"/>
          <w:szCs w:val="22"/>
        </w:rPr>
      </w:pPr>
      <w:r w:rsidRPr="009814AF">
        <w:rPr>
          <w:rStyle w:val="FootnoteReference"/>
          <w:sz w:val="22"/>
          <w:szCs w:val="22"/>
        </w:rPr>
        <w:footnoteRef/>
      </w:r>
      <w:r w:rsidRPr="009814AF">
        <w:rPr>
          <w:sz w:val="22"/>
          <w:szCs w:val="22"/>
        </w:rPr>
        <w:t xml:space="preserve"> Murphy, 2015, discusses the difficulty of interpreting dance movement from static / two-dimensional representations - dance in general ‘parsimoniously discussed’ (p. 312). Certainly, with Potnia Pomos it is difficult to see ‘”quick rhythmic movement” characteristic of dance moves’ (phrase cited by Murphy, 2015, p. 311. after Evans re Cretan figures).</w:t>
      </w:r>
    </w:p>
  </w:footnote>
  <w:footnote w:id="42">
    <w:p w14:paraId="3B3B08B7" w14:textId="30EB7877" w:rsidR="008F2E96" w:rsidRPr="009814AF" w:rsidRDefault="008F2E96"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Holden</w:t>
      </w:r>
      <w:r w:rsidR="00D515A0" w:rsidRPr="009814AF">
        <w:rPr>
          <w:rFonts w:asciiTheme="minorHAnsi" w:hAnsiTheme="minorHAnsi" w:cstheme="minorHAnsi"/>
          <w:sz w:val="22"/>
          <w:szCs w:val="22"/>
        </w:rPr>
        <w:t xml:space="preserve"> &amp; Vouras, 1976, describe around 150 Greek dances. The only dances, to my knowledge, in the current European Folk Dance repertoire that use a demi-plié are Passo Torau, from Sardinia and El Ginat Egoz (originally created for couples rather than the communal lines and circles) by Yemeni-Jewish choreographer Sara Levi-Tannai, 1944. </w:t>
      </w:r>
    </w:p>
  </w:footnote>
  <w:footnote w:id="43">
    <w:p w14:paraId="38B02F2A" w14:textId="77777777" w:rsidR="000F31F4" w:rsidRPr="009814AF" w:rsidRDefault="000F31F4" w:rsidP="000F31F4">
      <w:pPr>
        <w:pStyle w:val="FootnoteText"/>
        <w:spacing w:after="120"/>
        <w:rPr>
          <w:rFonts w:asciiTheme="minorHAnsi" w:hAnsiTheme="minorHAnsi" w:cstheme="minorHAnsi"/>
          <w:sz w:val="22"/>
          <w:szCs w:val="22"/>
          <w:lang w:val="fr-FR"/>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lang w:val="fr-FR"/>
        </w:rPr>
        <w:t xml:space="preserve"> Source: https://commons.wikimedia.org/wiki/File:</w:t>
      </w:r>
      <w:r w:rsidRPr="009814AF">
        <w:rPr>
          <w:rFonts w:asciiTheme="minorHAnsi" w:hAnsiTheme="minorHAnsi" w:cstheme="minorHAnsi"/>
          <w:sz w:val="22"/>
          <w:szCs w:val="22"/>
          <w:lang w:val="fr-FR"/>
        </w:rPr>
        <w:br/>
        <w:t>Peleus_Nereides_Staatliche_Antikensammlungen_8966_n1_resized_glare_reduced_white_bg.png</w:t>
      </w:r>
    </w:p>
  </w:footnote>
  <w:footnote w:id="44">
    <w:p w14:paraId="4739C647" w14:textId="54794CEA" w:rsidR="008F2E96" w:rsidRPr="009814AF" w:rsidRDefault="008F2E96"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In modern times, these gendered conventions no longer apply. Female </w:t>
      </w:r>
      <w:r w:rsidR="00335D59" w:rsidRPr="009814AF">
        <w:rPr>
          <w:rFonts w:asciiTheme="minorHAnsi" w:hAnsiTheme="minorHAnsi" w:cstheme="minorHAnsi"/>
          <w:sz w:val="22"/>
          <w:szCs w:val="22"/>
        </w:rPr>
        <w:t>professional dancer</w:t>
      </w:r>
      <w:r w:rsidR="000D2C60" w:rsidRPr="009814AF">
        <w:rPr>
          <w:rFonts w:asciiTheme="minorHAnsi" w:hAnsiTheme="minorHAnsi" w:cstheme="minorHAnsi"/>
          <w:sz w:val="22"/>
          <w:szCs w:val="22"/>
        </w:rPr>
        <w:t>s</w:t>
      </w:r>
      <w:r w:rsidR="00335D59" w:rsidRPr="009814AF">
        <w:rPr>
          <w:rFonts w:asciiTheme="minorHAnsi" w:hAnsiTheme="minorHAnsi" w:cstheme="minorHAnsi"/>
          <w:sz w:val="22"/>
          <w:szCs w:val="22"/>
        </w:rPr>
        <w:t xml:space="preserve"> may well wear trousers and dance Hasapiko alongside men and in village festivals younger women often do adopt should</w:t>
      </w:r>
      <w:r w:rsidR="004540C4" w:rsidRPr="009814AF">
        <w:rPr>
          <w:rFonts w:asciiTheme="minorHAnsi" w:hAnsiTheme="minorHAnsi" w:cstheme="minorHAnsi"/>
          <w:sz w:val="22"/>
          <w:szCs w:val="22"/>
        </w:rPr>
        <w:t>er</w:t>
      </w:r>
      <w:r w:rsidR="00335D59" w:rsidRPr="009814AF">
        <w:rPr>
          <w:rFonts w:asciiTheme="minorHAnsi" w:hAnsiTheme="minorHAnsi" w:cstheme="minorHAnsi"/>
          <w:sz w:val="22"/>
          <w:szCs w:val="22"/>
        </w:rPr>
        <w:t>-hold for some dances.</w:t>
      </w:r>
      <w:r w:rsidR="006F7A49" w:rsidRPr="009814AF">
        <w:rPr>
          <w:rFonts w:asciiTheme="minorHAnsi" w:hAnsiTheme="minorHAnsi" w:cstheme="minorHAnsi"/>
          <w:sz w:val="22"/>
          <w:szCs w:val="22"/>
        </w:rPr>
        <w:t xml:space="preserve"> Düring</w:t>
      </w:r>
      <w:r w:rsidR="004540C4" w:rsidRPr="009814AF">
        <w:rPr>
          <w:rFonts w:asciiTheme="minorHAnsi" w:hAnsiTheme="minorHAnsi" w:cstheme="minorHAnsi"/>
          <w:sz w:val="22"/>
          <w:szCs w:val="22"/>
        </w:rPr>
        <w:t xml:space="preserve">’s </w:t>
      </w:r>
      <w:r w:rsidR="006F7A49" w:rsidRPr="009814AF">
        <w:rPr>
          <w:rFonts w:asciiTheme="minorHAnsi" w:hAnsiTheme="minorHAnsi" w:cstheme="minorHAnsi"/>
          <w:sz w:val="22"/>
          <w:szCs w:val="22"/>
        </w:rPr>
        <w:t>unavoidably modern photograph</w:t>
      </w:r>
      <w:r w:rsidR="004540C4" w:rsidRPr="009814AF">
        <w:rPr>
          <w:rFonts w:asciiTheme="minorHAnsi" w:hAnsiTheme="minorHAnsi" w:cstheme="minorHAnsi"/>
          <w:sz w:val="22"/>
          <w:szCs w:val="22"/>
        </w:rPr>
        <w:t xml:space="preserve"> shows the women’s hands joined in the lower ‘V’ position. Ucko, 1968, p. 51, fig. 5, has an African female figurine in T-position, but in no way suggesting dance.</w:t>
      </w:r>
    </w:p>
  </w:footnote>
  <w:footnote w:id="45">
    <w:p w14:paraId="29E6EC9F" w14:textId="77777777" w:rsidR="009814AF" w:rsidRPr="009814AF" w:rsidRDefault="009814AF" w:rsidP="009814AF">
      <w:pPr>
        <w:pStyle w:val="FootnoteText"/>
        <w:spacing w:after="120"/>
        <w:rPr>
          <w:rFonts w:asciiTheme="minorHAnsi" w:hAnsiTheme="minorHAnsi" w:cstheme="minorHAnsi"/>
          <w:sz w:val="22"/>
          <w:szCs w:val="22"/>
          <w:lang w:val="fr-FR"/>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lang w:val="fr-FR"/>
        </w:rPr>
        <w:t xml:space="preserve">Source: https://en.wikipedia.org/wiki/Tomb_of_the_Dancers </w:t>
      </w:r>
    </w:p>
  </w:footnote>
  <w:footnote w:id="46">
    <w:p w14:paraId="238A834D" w14:textId="77777777" w:rsidR="0079684D" w:rsidRPr="009814AF" w:rsidRDefault="0079684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Actually from a cocoa powder advertisement by the Droste brand from 1904.</w:t>
      </w:r>
    </w:p>
  </w:footnote>
  <w:footnote w:id="47">
    <w:p w14:paraId="400823F8" w14:textId="77777777" w:rsidR="006575FD" w:rsidRPr="009814AF" w:rsidRDefault="006575F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Alphas, 2020, p. 73, endorses the ‘birthing’ interpretation and the pendant as a child. </w:t>
      </w:r>
    </w:p>
  </w:footnote>
  <w:footnote w:id="48">
    <w:p w14:paraId="1358AA74" w14:textId="0F4FC68C" w:rsidR="006575FD" w:rsidRPr="009814AF" w:rsidRDefault="006575F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The figures in Karageorghis’ illustration (noted above) do not have the reflexive representation. Alphas, 2020, p. 73, claims that “a number of terracotta Chalcolithic female figurines…wear figurine pendants around their necks”. However, she does not provide any evidence for this claim. Vagnetti, 1991, has ample illustrations, but only one (p. 148, fig, 11, made of limestone) has any hint of necklace, and it does not have a self-image. Certainly, </w:t>
      </w:r>
      <w:r w:rsidR="00CE6E9E" w:rsidRPr="009814AF">
        <w:rPr>
          <w:rFonts w:asciiTheme="minorHAnsi" w:hAnsiTheme="minorHAnsi" w:cstheme="minorHAnsi"/>
          <w:sz w:val="22"/>
          <w:szCs w:val="22"/>
        </w:rPr>
        <w:t xml:space="preserve">it appears that </w:t>
      </w:r>
      <w:r w:rsidRPr="009814AF">
        <w:rPr>
          <w:rFonts w:asciiTheme="minorHAnsi" w:hAnsiTheme="minorHAnsi" w:cstheme="minorHAnsi"/>
          <w:sz w:val="22"/>
          <w:szCs w:val="22"/>
        </w:rPr>
        <w:t xml:space="preserve">some of the figurines were meant to be worn as necklace pendants, by a human being, but this is rather different from reflexivity in the figurine itself: these items generally seem to have a simple hole replacing head features. Similarly, none of the plates in Peltenburg et.al., 2019, seem to have the feature: the picrolite figurines seem mostly well-preserved, so deterioration over time is not acceptable as an explanation for the absence. </w:t>
      </w:r>
    </w:p>
  </w:footnote>
  <w:footnote w:id="49">
    <w:p w14:paraId="4B8FD0F3" w14:textId="7F8873D5" w:rsidR="006575FD" w:rsidRPr="009814AF" w:rsidRDefault="006575F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There is a substantial of psychological analysis of modern practice</w:t>
      </w:r>
      <w:r w:rsidR="00883152">
        <w:rPr>
          <w:rFonts w:asciiTheme="minorHAnsi" w:hAnsiTheme="minorHAnsi" w:cstheme="minorHAnsi"/>
          <w:sz w:val="22"/>
          <w:szCs w:val="22"/>
        </w:rPr>
        <w:t xml:space="preserve"> of wearing necklaces and pendants</w:t>
      </w:r>
      <w:r w:rsidRPr="009814AF">
        <w:rPr>
          <w:rFonts w:asciiTheme="minorHAnsi" w:hAnsiTheme="minorHAnsi" w:cstheme="minorHAnsi"/>
          <w:sz w:val="22"/>
          <w:szCs w:val="22"/>
        </w:rPr>
        <w:t>, although ‘explanations’ seem mostly somewhat trivial. Such items are worn much less frequently by males, partly due to male fashion for neckties that cover the area below the neck. A major use is as a statement of religious identity by Christians, in which it seems that the dedicated (</w:t>
      </w:r>
      <w:r w:rsidR="00CE6E9E" w:rsidRPr="009814AF">
        <w:rPr>
          <w:rFonts w:asciiTheme="minorHAnsi" w:hAnsiTheme="minorHAnsi" w:cstheme="minorHAnsi"/>
          <w:sz w:val="22"/>
          <w:szCs w:val="22"/>
        </w:rPr>
        <w:t xml:space="preserve">monks and </w:t>
      </w:r>
      <w:r w:rsidRPr="009814AF">
        <w:rPr>
          <w:rFonts w:asciiTheme="minorHAnsi" w:hAnsiTheme="minorHAnsi" w:cstheme="minorHAnsi"/>
          <w:sz w:val="22"/>
          <w:szCs w:val="22"/>
        </w:rPr>
        <w:t>nuns, etc) and the senior clergy (bishops etc.) have pendants significantly larger than crosses worn by the general public. Pagans and Polytheists also widely use necklace pendants, as a sign of identity together with rather deeper significance.</w:t>
      </w:r>
    </w:p>
  </w:footnote>
  <w:footnote w:id="50">
    <w:p w14:paraId="7A5BADA8" w14:textId="77777777" w:rsidR="006575FD" w:rsidRPr="009814AF" w:rsidRDefault="006575FD"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This concept is of great age: the earliest-known version is from the Hermetic Emerald Tablet, traditionally attributed to Hermes Trismegistus.</w:t>
      </w:r>
    </w:p>
  </w:footnote>
  <w:footnote w:id="51">
    <w:p w14:paraId="7DBF2922" w14:textId="790FA132" w:rsidR="002D2B94" w:rsidRPr="009814AF" w:rsidRDefault="002D2B94"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B67C61" w:rsidRPr="009814AF">
        <w:rPr>
          <w:rFonts w:asciiTheme="minorHAnsi" w:hAnsiTheme="minorHAnsi" w:cstheme="minorHAnsi"/>
          <w:sz w:val="22"/>
          <w:szCs w:val="22"/>
        </w:rPr>
        <w:t>Ucko’s suggestion</w:t>
      </w:r>
      <w:r w:rsidR="00CE6E9E" w:rsidRPr="009814AF">
        <w:rPr>
          <w:rFonts w:asciiTheme="minorHAnsi" w:hAnsiTheme="minorHAnsi" w:cstheme="minorHAnsi"/>
          <w:sz w:val="22"/>
          <w:szCs w:val="22"/>
        </w:rPr>
        <w:t xml:space="preserve">, 1962, pp. </w:t>
      </w:r>
      <w:r w:rsidR="00ED4EA3" w:rsidRPr="009814AF">
        <w:rPr>
          <w:rFonts w:asciiTheme="minorHAnsi" w:hAnsiTheme="minorHAnsi" w:cstheme="minorHAnsi"/>
          <w:sz w:val="22"/>
          <w:szCs w:val="22"/>
        </w:rPr>
        <w:t>44-47</w:t>
      </w:r>
      <w:r w:rsidR="00ED4EA3">
        <w:rPr>
          <w:rFonts w:asciiTheme="minorHAnsi" w:hAnsiTheme="minorHAnsi" w:cstheme="minorHAnsi"/>
          <w:sz w:val="22"/>
          <w:szCs w:val="22"/>
        </w:rPr>
        <w:t>,</w:t>
      </w:r>
      <w:r w:rsidR="00CE6E9E" w:rsidRPr="009814AF">
        <w:rPr>
          <w:rFonts w:asciiTheme="minorHAnsi" w:hAnsiTheme="minorHAnsi" w:cstheme="minorHAnsi"/>
          <w:sz w:val="22"/>
          <w:szCs w:val="22"/>
        </w:rPr>
        <w:t xml:space="preserve"> </w:t>
      </w:r>
      <w:r w:rsidR="00B67C61" w:rsidRPr="009814AF">
        <w:rPr>
          <w:rFonts w:asciiTheme="minorHAnsi" w:hAnsiTheme="minorHAnsi" w:cstheme="minorHAnsi"/>
          <w:sz w:val="22"/>
          <w:szCs w:val="22"/>
        </w:rPr>
        <w:t xml:space="preserve">of figurines as children’s toys might surely apply to some figurines, but does not seem credible for Potnia Pomos. </w:t>
      </w:r>
      <w:r w:rsidRPr="009814AF">
        <w:rPr>
          <w:rFonts w:asciiTheme="minorHAnsi" w:hAnsiTheme="minorHAnsi" w:cstheme="minorHAnsi"/>
          <w:sz w:val="22"/>
          <w:szCs w:val="22"/>
        </w:rPr>
        <w:t xml:space="preserve">Goring’s </w:t>
      </w:r>
      <w:r w:rsidR="003538ED" w:rsidRPr="009814AF">
        <w:rPr>
          <w:rFonts w:asciiTheme="minorHAnsi" w:hAnsiTheme="minorHAnsi" w:cstheme="minorHAnsi"/>
          <w:sz w:val="22"/>
          <w:szCs w:val="22"/>
        </w:rPr>
        <w:t xml:space="preserve">(2019) </w:t>
      </w:r>
      <w:r w:rsidRPr="009814AF">
        <w:rPr>
          <w:rFonts w:asciiTheme="minorHAnsi" w:hAnsiTheme="minorHAnsi" w:cstheme="minorHAnsi"/>
          <w:sz w:val="22"/>
          <w:szCs w:val="22"/>
        </w:rPr>
        <w:t>exemplary archaeological typology of the Souski</w:t>
      </w:r>
      <w:r w:rsidR="003538ED" w:rsidRPr="009814AF">
        <w:rPr>
          <w:rFonts w:asciiTheme="minorHAnsi" w:hAnsiTheme="minorHAnsi" w:cstheme="minorHAnsi"/>
          <w:sz w:val="22"/>
          <w:szCs w:val="22"/>
        </w:rPr>
        <w:t xml:space="preserve">ou </w:t>
      </w:r>
      <w:r w:rsidR="00B67C61" w:rsidRPr="009814AF">
        <w:rPr>
          <w:rFonts w:asciiTheme="minorHAnsi" w:hAnsiTheme="minorHAnsi" w:cstheme="minorHAnsi"/>
          <w:sz w:val="22"/>
          <w:szCs w:val="22"/>
        </w:rPr>
        <w:t xml:space="preserve">figurines </w:t>
      </w:r>
      <w:r w:rsidRPr="009814AF">
        <w:rPr>
          <w:rFonts w:asciiTheme="minorHAnsi" w:hAnsiTheme="minorHAnsi" w:cstheme="minorHAnsi"/>
          <w:sz w:val="22"/>
          <w:szCs w:val="22"/>
        </w:rPr>
        <w:t>does not give any assistance in this quest.</w:t>
      </w:r>
    </w:p>
  </w:footnote>
  <w:footnote w:id="52">
    <w:p w14:paraId="181CF0DC" w14:textId="744B9283" w:rsidR="00CE764B" w:rsidRPr="009814AF" w:rsidRDefault="00CE764B"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See Goodman,</w:t>
      </w:r>
      <w:r w:rsidR="002D0E27" w:rsidRPr="009814AF">
        <w:rPr>
          <w:rFonts w:asciiTheme="minorHAnsi" w:hAnsiTheme="minorHAnsi" w:cstheme="minorHAnsi"/>
          <w:sz w:val="22"/>
          <w:szCs w:val="22"/>
        </w:rPr>
        <w:t xml:space="preserve"> 1990</w:t>
      </w:r>
      <w:r w:rsidR="00D045AE">
        <w:rPr>
          <w:rFonts w:asciiTheme="minorHAnsi" w:hAnsiTheme="minorHAnsi" w:cstheme="minorHAnsi"/>
          <w:sz w:val="22"/>
          <w:szCs w:val="22"/>
        </w:rPr>
        <w:t>b</w:t>
      </w:r>
      <w:r w:rsidRPr="009814AF">
        <w:rPr>
          <w:rFonts w:asciiTheme="minorHAnsi" w:hAnsiTheme="minorHAnsi" w:cstheme="minorHAnsi"/>
          <w:sz w:val="22"/>
          <w:szCs w:val="22"/>
        </w:rPr>
        <w:t>; Gore</w:t>
      </w:r>
      <w:r w:rsidR="002D0E27" w:rsidRPr="009814AF">
        <w:rPr>
          <w:rFonts w:asciiTheme="minorHAnsi" w:hAnsiTheme="minorHAnsi" w:cstheme="minorHAnsi"/>
          <w:sz w:val="22"/>
          <w:szCs w:val="22"/>
        </w:rPr>
        <w:t>, 1995.</w:t>
      </w:r>
    </w:p>
  </w:footnote>
  <w:footnote w:id="53">
    <w:p w14:paraId="28093575" w14:textId="6C2CB384" w:rsidR="00CE764B" w:rsidRPr="009814AF" w:rsidRDefault="00CE764B"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Although Lewis-Williams proposes A</w:t>
      </w:r>
      <w:r w:rsidR="002D0E27" w:rsidRPr="009814AF">
        <w:rPr>
          <w:rFonts w:asciiTheme="minorHAnsi" w:hAnsiTheme="minorHAnsi" w:cstheme="minorHAnsi"/>
          <w:sz w:val="22"/>
          <w:szCs w:val="22"/>
        </w:rPr>
        <w:t xml:space="preserve">ltered </w:t>
      </w:r>
      <w:r w:rsidRPr="009814AF">
        <w:rPr>
          <w:rFonts w:asciiTheme="minorHAnsi" w:hAnsiTheme="minorHAnsi" w:cstheme="minorHAnsi"/>
          <w:sz w:val="22"/>
          <w:szCs w:val="22"/>
        </w:rPr>
        <w:t>S</w:t>
      </w:r>
      <w:r w:rsidR="002D0E27" w:rsidRPr="009814AF">
        <w:rPr>
          <w:rFonts w:asciiTheme="minorHAnsi" w:hAnsiTheme="minorHAnsi" w:cstheme="minorHAnsi"/>
          <w:sz w:val="22"/>
          <w:szCs w:val="22"/>
        </w:rPr>
        <w:t xml:space="preserve">tates of Consciousness </w:t>
      </w:r>
      <w:r w:rsidRPr="009814AF">
        <w:rPr>
          <w:rFonts w:asciiTheme="minorHAnsi" w:hAnsiTheme="minorHAnsi" w:cstheme="minorHAnsi"/>
          <w:sz w:val="22"/>
          <w:szCs w:val="22"/>
        </w:rPr>
        <w:t>as the experiential basis of religion,</w:t>
      </w:r>
      <w:r w:rsidR="002D0E27" w:rsidRPr="009814AF">
        <w:rPr>
          <w:rFonts w:asciiTheme="minorHAnsi" w:hAnsiTheme="minorHAnsi" w:cstheme="minorHAnsi"/>
          <w:sz w:val="22"/>
          <w:szCs w:val="22"/>
        </w:rPr>
        <w:t xml:space="preserve"> for example, 2010, p. 149 “Religious experience emerges from the human body”,</w:t>
      </w:r>
      <w:r w:rsidR="004F4EE1" w:rsidRPr="009814AF">
        <w:rPr>
          <w:rFonts w:asciiTheme="minorHAnsi" w:hAnsiTheme="minorHAnsi" w:cstheme="minorHAnsi"/>
          <w:sz w:val="22"/>
          <w:szCs w:val="22"/>
        </w:rPr>
        <w:t xml:space="preserve"> </w:t>
      </w:r>
      <w:r w:rsidRPr="009814AF">
        <w:rPr>
          <w:rFonts w:asciiTheme="minorHAnsi" w:hAnsiTheme="minorHAnsi" w:cstheme="minorHAnsi"/>
          <w:sz w:val="22"/>
          <w:szCs w:val="22"/>
        </w:rPr>
        <w:t xml:space="preserve">he nonetheless </w:t>
      </w:r>
      <w:r w:rsidR="002D0E27" w:rsidRPr="009814AF">
        <w:rPr>
          <w:rFonts w:asciiTheme="minorHAnsi" w:hAnsiTheme="minorHAnsi" w:cstheme="minorHAnsi"/>
          <w:sz w:val="22"/>
          <w:szCs w:val="22"/>
        </w:rPr>
        <w:t xml:space="preserve">(for example, 2010, p. 290, “no such things as supernatural realms”) </w:t>
      </w:r>
      <w:r w:rsidRPr="009814AF">
        <w:rPr>
          <w:rFonts w:asciiTheme="minorHAnsi" w:hAnsiTheme="minorHAnsi" w:cstheme="minorHAnsi"/>
          <w:sz w:val="22"/>
          <w:szCs w:val="22"/>
        </w:rPr>
        <w:t xml:space="preserve">considers all to be delusion. It is not surprising that </w:t>
      </w:r>
      <w:r w:rsidR="0074537D" w:rsidRPr="009814AF">
        <w:rPr>
          <w:rFonts w:asciiTheme="minorHAnsi" w:hAnsiTheme="minorHAnsi" w:cstheme="minorHAnsi"/>
          <w:sz w:val="22"/>
          <w:szCs w:val="22"/>
        </w:rPr>
        <w:t>rationalist</w:t>
      </w:r>
      <w:r w:rsidR="003538ED" w:rsidRPr="009814AF">
        <w:rPr>
          <w:rFonts w:asciiTheme="minorHAnsi" w:hAnsiTheme="minorHAnsi" w:cstheme="minorHAnsi"/>
          <w:sz w:val="22"/>
          <w:szCs w:val="22"/>
        </w:rPr>
        <w:t xml:space="preserve"> archaeologists</w:t>
      </w:r>
      <w:r w:rsidR="0074537D" w:rsidRPr="009814AF">
        <w:rPr>
          <w:rFonts w:asciiTheme="minorHAnsi" w:hAnsiTheme="minorHAnsi" w:cstheme="minorHAnsi"/>
          <w:sz w:val="22"/>
          <w:szCs w:val="22"/>
        </w:rPr>
        <w:t xml:space="preserve"> have not been interested in varieties of </w:t>
      </w:r>
      <w:r w:rsidR="004F4EE1" w:rsidRPr="009814AF">
        <w:rPr>
          <w:rFonts w:asciiTheme="minorHAnsi" w:hAnsiTheme="minorHAnsi" w:cstheme="minorHAnsi"/>
          <w:sz w:val="22"/>
          <w:szCs w:val="22"/>
        </w:rPr>
        <w:t>‘</w:t>
      </w:r>
      <w:r w:rsidR="0074537D" w:rsidRPr="009814AF">
        <w:rPr>
          <w:rFonts w:asciiTheme="minorHAnsi" w:hAnsiTheme="minorHAnsi" w:cstheme="minorHAnsi"/>
          <w:sz w:val="22"/>
          <w:szCs w:val="22"/>
        </w:rPr>
        <w:t>delusion</w:t>
      </w:r>
      <w:r w:rsidR="004F4EE1" w:rsidRPr="009814AF">
        <w:rPr>
          <w:rFonts w:asciiTheme="minorHAnsi" w:hAnsiTheme="minorHAnsi" w:cstheme="minorHAnsi"/>
          <w:sz w:val="22"/>
          <w:szCs w:val="22"/>
        </w:rPr>
        <w:t>’</w:t>
      </w:r>
      <w:r w:rsidR="0074537D" w:rsidRPr="009814AF">
        <w:rPr>
          <w:rFonts w:asciiTheme="minorHAnsi" w:hAnsiTheme="minorHAnsi" w:cstheme="minorHAnsi"/>
          <w:sz w:val="22"/>
          <w:szCs w:val="22"/>
        </w:rPr>
        <w:t>.</w:t>
      </w:r>
      <w:r w:rsidR="003538ED" w:rsidRPr="009814AF">
        <w:rPr>
          <w:rFonts w:asciiTheme="minorHAnsi" w:hAnsiTheme="minorHAnsi" w:cstheme="minorHAnsi"/>
          <w:sz w:val="22"/>
          <w:szCs w:val="22"/>
        </w:rPr>
        <w:t xml:space="preserve"> </w:t>
      </w:r>
      <w:r w:rsidR="00A9234D">
        <w:rPr>
          <w:rFonts w:asciiTheme="minorHAnsi" w:hAnsiTheme="minorHAnsi" w:cstheme="minorHAnsi"/>
          <w:sz w:val="22"/>
          <w:szCs w:val="22"/>
        </w:rPr>
        <w:t xml:space="preserve">(Collard, 2011, p. 25, also makes this point, mentioning Goodman’s similar comment , 1986, p. 84.) </w:t>
      </w:r>
      <w:r w:rsidR="003538ED" w:rsidRPr="009814AF">
        <w:rPr>
          <w:rFonts w:asciiTheme="minorHAnsi" w:hAnsiTheme="minorHAnsi" w:cstheme="minorHAnsi"/>
          <w:sz w:val="22"/>
          <w:szCs w:val="22"/>
        </w:rPr>
        <w:t>Whereas in anthropology the importance of the ‘emic’ perspective is no longer doubted, in archaeology, the relevant community is long dead: nonetheless, they certainly had an ‘emic’ view of their own, very plausibly quite different from modern</w:t>
      </w:r>
      <w:r w:rsidR="00ED4EA3">
        <w:rPr>
          <w:rFonts w:asciiTheme="minorHAnsi" w:hAnsiTheme="minorHAnsi" w:cstheme="minorHAnsi"/>
          <w:sz w:val="22"/>
          <w:szCs w:val="22"/>
        </w:rPr>
        <w:t xml:space="preserve"> ‘scientific’</w:t>
      </w:r>
      <w:r w:rsidR="003538ED" w:rsidRPr="009814AF">
        <w:rPr>
          <w:rFonts w:asciiTheme="minorHAnsi" w:hAnsiTheme="minorHAnsi" w:cstheme="minorHAnsi"/>
          <w:sz w:val="22"/>
          <w:szCs w:val="22"/>
        </w:rPr>
        <w:t xml:space="preserve"> interpretation</w:t>
      </w:r>
      <w:r w:rsidR="00516F20" w:rsidRPr="009814AF">
        <w:rPr>
          <w:rFonts w:asciiTheme="minorHAnsi" w:hAnsiTheme="minorHAnsi" w:cstheme="minorHAnsi"/>
          <w:sz w:val="22"/>
          <w:szCs w:val="22"/>
        </w:rPr>
        <w:t>s</w:t>
      </w:r>
      <w:r w:rsidR="003538ED" w:rsidRPr="009814AF">
        <w:rPr>
          <w:rFonts w:asciiTheme="minorHAnsi" w:hAnsiTheme="minorHAnsi" w:cstheme="minorHAnsi"/>
          <w:sz w:val="22"/>
          <w:szCs w:val="22"/>
        </w:rPr>
        <w:t>.</w:t>
      </w:r>
    </w:p>
  </w:footnote>
  <w:footnote w:id="54">
    <w:p w14:paraId="134FED70" w14:textId="7AF5E083" w:rsidR="00C3482B" w:rsidRPr="009814AF" w:rsidRDefault="00C3482B"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Goodman, 1990</w:t>
      </w:r>
      <w:r w:rsidR="00D045AE">
        <w:rPr>
          <w:rFonts w:asciiTheme="minorHAnsi" w:hAnsiTheme="minorHAnsi" w:cstheme="minorHAnsi"/>
          <w:sz w:val="22"/>
          <w:szCs w:val="22"/>
        </w:rPr>
        <w:t>a</w:t>
      </w:r>
      <w:r w:rsidRPr="009814AF">
        <w:rPr>
          <w:rFonts w:asciiTheme="minorHAnsi" w:hAnsiTheme="minorHAnsi" w:cstheme="minorHAnsi"/>
          <w:sz w:val="22"/>
          <w:szCs w:val="22"/>
        </w:rPr>
        <w:t>, p. 103.</w:t>
      </w:r>
    </w:p>
  </w:footnote>
  <w:footnote w:id="55">
    <w:p w14:paraId="6D7CDEB7" w14:textId="1240B16A" w:rsidR="006B6229" w:rsidRPr="009814AF" w:rsidRDefault="006B6229" w:rsidP="009814AF">
      <w:pPr>
        <w:pStyle w:val="FootnoteText"/>
        <w:spacing w:after="120"/>
        <w:rPr>
          <w:sz w:val="22"/>
          <w:szCs w:val="22"/>
        </w:rPr>
      </w:pPr>
      <w:r w:rsidRPr="009814AF">
        <w:rPr>
          <w:rStyle w:val="FootnoteReference"/>
          <w:sz w:val="22"/>
          <w:szCs w:val="22"/>
        </w:rPr>
        <w:footnoteRef/>
      </w:r>
      <w:r w:rsidRPr="009814AF">
        <w:rPr>
          <w:sz w:val="22"/>
          <w:szCs w:val="22"/>
        </w:rPr>
        <w:t xml:space="preserve"> </w:t>
      </w:r>
      <w:r w:rsidR="002D0E27" w:rsidRPr="009814AF">
        <w:rPr>
          <w:sz w:val="22"/>
          <w:szCs w:val="22"/>
        </w:rPr>
        <w:t>Goodman, 1990</w:t>
      </w:r>
      <w:r w:rsidR="00D045AE">
        <w:rPr>
          <w:sz w:val="22"/>
          <w:szCs w:val="22"/>
        </w:rPr>
        <w:t>b</w:t>
      </w:r>
      <w:r w:rsidR="002D0E27" w:rsidRPr="009814AF">
        <w:rPr>
          <w:sz w:val="22"/>
          <w:szCs w:val="22"/>
        </w:rPr>
        <w:t xml:space="preserve">, pp. 76-78. </w:t>
      </w:r>
      <w:r w:rsidR="006A0A8F">
        <w:rPr>
          <w:sz w:val="22"/>
          <w:szCs w:val="22"/>
        </w:rPr>
        <w:t>See also Morris &amp; Peatfield, 2004, p. 38.</w:t>
      </w:r>
    </w:p>
  </w:footnote>
  <w:footnote w:id="56">
    <w:p w14:paraId="4AEB7942" w14:textId="05700606" w:rsidR="00890D2B" w:rsidRPr="009814AF" w:rsidRDefault="00890D2B"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Nor, of course, the ‘feudal submission’ posture usual in Christian prayer.</w:t>
      </w:r>
    </w:p>
  </w:footnote>
  <w:footnote w:id="57">
    <w:p w14:paraId="29F49C36" w14:textId="56E2F2DE" w:rsidR="0007092B" w:rsidRPr="009814AF" w:rsidRDefault="0007092B" w:rsidP="009814AF">
      <w:pPr>
        <w:pStyle w:val="FootnoteText"/>
        <w:spacing w:after="120"/>
        <w:rPr>
          <w:sz w:val="22"/>
          <w:szCs w:val="22"/>
        </w:rPr>
      </w:pPr>
      <w:r w:rsidRPr="009814AF">
        <w:rPr>
          <w:rStyle w:val="FootnoteReference"/>
          <w:sz w:val="22"/>
          <w:szCs w:val="22"/>
        </w:rPr>
        <w:footnoteRef/>
      </w:r>
      <w:r w:rsidRPr="009814AF">
        <w:rPr>
          <w:sz w:val="22"/>
          <w:szCs w:val="22"/>
        </w:rPr>
        <w:t xml:space="preserve"> Goodman, 1990</w:t>
      </w:r>
      <w:r w:rsidR="00D045AE">
        <w:rPr>
          <w:sz w:val="22"/>
          <w:szCs w:val="22"/>
        </w:rPr>
        <w:t>b</w:t>
      </w:r>
      <w:r w:rsidRPr="009814AF">
        <w:rPr>
          <w:sz w:val="22"/>
          <w:szCs w:val="22"/>
        </w:rPr>
        <w:t>, p. 107, gives a map of locations where the Bear Spirit posture is identifiable in archaeology, and in the present day.</w:t>
      </w:r>
    </w:p>
  </w:footnote>
  <w:footnote w:id="58">
    <w:p w14:paraId="1FCC90A9" w14:textId="171A9950" w:rsidR="00D82B69" w:rsidRPr="009814AF" w:rsidRDefault="00D82B69"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Gimbutas, 1999, pp. 22-23. All of the images noted by Gimbutas here </w:t>
      </w:r>
      <w:r w:rsidR="00F1644E" w:rsidRPr="009814AF">
        <w:rPr>
          <w:rFonts w:asciiTheme="minorHAnsi" w:hAnsiTheme="minorHAnsi" w:cstheme="minorHAnsi"/>
          <w:sz w:val="22"/>
          <w:szCs w:val="22"/>
        </w:rPr>
        <w:t xml:space="preserve">have similar arm positions, described by her </w:t>
      </w:r>
      <w:r w:rsidRPr="009814AF">
        <w:rPr>
          <w:rFonts w:asciiTheme="minorHAnsi" w:hAnsiTheme="minorHAnsi" w:cstheme="minorHAnsi"/>
          <w:sz w:val="22"/>
          <w:szCs w:val="22"/>
        </w:rPr>
        <w:t>as ‘stiff nudes’</w:t>
      </w:r>
      <w:r w:rsidR="00F1644E" w:rsidRPr="009814AF">
        <w:rPr>
          <w:rFonts w:asciiTheme="minorHAnsi" w:hAnsiTheme="minorHAnsi" w:cstheme="minorHAnsi"/>
          <w:sz w:val="22"/>
          <w:szCs w:val="22"/>
        </w:rPr>
        <w:t>,</w:t>
      </w:r>
      <w:r w:rsidRPr="009814AF">
        <w:rPr>
          <w:rFonts w:asciiTheme="minorHAnsi" w:hAnsiTheme="minorHAnsi" w:cstheme="minorHAnsi"/>
          <w:sz w:val="22"/>
          <w:szCs w:val="22"/>
        </w:rPr>
        <w:t xml:space="preserve"> </w:t>
      </w:r>
      <w:r w:rsidR="00F1644E" w:rsidRPr="009814AF">
        <w:rPr>
          <w:rFonts w:asciiTheme="minorHAnsi" w:hAnsiTheme="minorHAnsi" w:cstheme="minorHAnsi"/>
          <w:sz w:val="22"/>
          <w:szCs w:val="22"/>
        </w:rPr>
        <w:t>“stiff as the bare bone that symbolizes death”.</w:t>
      </w:r>
      <w:r w:rsidRPr="009814AF">
        <w:rPr>
          <w:rFonts w:asciiTheme="minorHAnsi" w:hAnsiTheme="minorHAnsi" w:cstheme="minorHAnsi"/>
          <w:sz w:val="22"/>
          <w:szCs w:val="22"/>
        </w:rPr>
        <w:t xml:space="preserve"> Gimbutas herself, </w:t>
      </w:r>
      <w:r w:rsidR="006B6229" w:rsidRPr="009814AF">
        <w:rPr>
          <w:rFonts w:asciiTheme="minorHAnsi" w:hAnsiTheme="minorHAnsi" w:cstheme="minorHAnsi"/>
          <w:sz w:val="22"/>
          <w:szCs w:val="22"/>
        </w:rPr>
        <w:t xml:space="preserve">like other </w:t>
      </w:r>
      <w:r w:rsidRPr="009814AF">
        <w:rPr>
          <w:rFonts w:asciiTheme="minorHAnsi" w:hAnsiTheme="minorHAnsi" w:cstheme="minorHAnsi"/>
          <w:sz w:val="22"/>
          <w:szCs w:val="22"/>
        </w:rPr>
        <w:t>archaeologist</w:t>
      </w:r>
      <w:r w:rsidR="006B6229" w:rsidRPr="009814AF">
        <w:rPr>
          <w:rFonts w:asciiTheme="minorHAnsi" w:hAnsiTheme="minorHAnsi" w:cstheme="minorHAnsi"/>
          <w:sz w:val="22"/>
          <w:szCs w:val="22"/>
        </w:rPr>
        <w:t>s</w:t>
      </w:r>
      <w:r w:rsidRPr="009814AF">
        <w:rPr>
          <w:rFonts w:asciiTheme="minorHAnsi" w:hAnsiTheme="minorHAnsi" w:cstheme="minorHAnsi"/>
          <w:sz w:val="22"/>
          <w:szCs w:val="22"/>
        </w:rPr>
        <w:t xml:space="preserve">, </w:t>
      </w:r>
      <w:r w:rsidR="0007092B" w:rsidRPr="009814AF">
        <w:rPr>
          <w:rFonts w:asciiTheme="minorHAnsi" w:hAnsiTheme="minorHAnsi" w:cstheme="minorHAnsi"/>
          <w:sz w:val="22"/>
          <w:szCs w:val="22"/>
        </w:rPr>
        <w:t xml:space="preserve">seems to think only in terms of </w:t>
      </w:r>
      <w:r w:rsidR="00034E17">
        <w:rPr>
          <w:rFonts w:asciiTheme="minorHAnsi" w:hAnsiTheme="minorHAnsi" w:cstheme="minorHAnsi"/>
          <w:sz w:val="22"/>
          <w:szCs w:val="22"/>
        </w:rPr>
        <w:t xml:space="preserve">‘symbolism’ and </w:t>
      </w:r>
      <w:r w:rsidR="0007092B" w:rsidRPr="009814AF">
        <w:rPr>
          <w:rFonts w:asciiTheme="minorHAnsi" w:hAnsiTheme="minorHAnsi" w:cstheme="minorHAnsi"/>
          <w:sz w:val="22"/>
          <w:szCs w:val="22"/>
        </w:rPr>
        <w:t xml:space="preserve">‘belief’, and </w:t>
      </w:r>
      <w:r w:rsidRPr="009814AF">
        <w:rPr>
          <w:rFonts w:asciiTheme="minorHAnsi" w:hAnsiTheme="minorHAnsi" w:cstheme="minorHAnsi"/>
          <w:sz w:val="22"/>
          <w:szCs w:val="22"/>
        </w:rPr>
        <w:t xml:space="preserve">rarely, if ever, makes any mention of spiritual experience or practice. </w:t>
      </w:r>
      <w:r w:rsidR="00F1644E" w:rsidRPr="009814AF">
        <w:rPr>
          <w:rFonts w:asciiTheme="minorHAnsi" w:hAnsiTheme="minorHAnsi" w:cstheme="minorHAnsi"/>
          <w:sz w:val="22"/>
          <w:szCs w:val="22"/>
        </w:rPr>
        <w:t xml:space="preserve">Goodman’s discussion, </w:t>
      </w:r>
      <w:r w:rsidR="00D045AE">
        <w:rPr>
          <w:rFonts w:asciiTheme="minorHAnsi" w:hAnsiTheme="minorHAnsi" w:cstheme="minorHAnsi"/>
          <w:sz w:val="22"/>
          <w:szCs w:val="22"/>
        </w:rPr>
        <w:t xml:space="preserve">1990b, </w:t>
      </w:r>
      <w:r w:rsidR="00F1644E" w:rsidRPr="009814AF">
        <w:rPr>
          <w:rFonts w:asciiTheme="minorHAnsi" w:hAnsiTheme="minorHAnsi" w:cstheme="minorHAnsi"/>
          <w:sz w:val="22"/>
          <w:szCs w:val="22"/>
        </w:rPr>
        <w:t xml:space="preserve">pp. 155-159, notes “every </w:t>
      </w:r>
      <w:r w:rsidR="006B6229" w:rsidRPr="009814AF">
        <w:rPr>
          <w:rFonts w:asciiTheme="minorHAnsi" w:hAnsiTheme="minorHAnsi" w:cstheme="minorHAnsi"/>
          <w:sz w:val="22"/>
          <w:szCs w:val="22"/>
        </w:rPr>
        <w:t xml:space="preserve">[Cycladic] </w:t>
      </w:r>
      <w:r w:rsidR="00F1644E" w:rsidRPr="009814AF">
        <w:rPr>
          <w:rFonts w:asciiTheme="minorHAnsi" w:hAnsiTheme="minorHAnsi" w:cstheme="minorHAnsi"/>
          <w:sz w:val="22"/>
          <w:szCs w:val="22"/>
        </w:rPr>
        <w:t>grave…of that particular period…contains a characteristic figurin</w:t>
      </w:r>
      <w:r w:rsidR="002F70FB">
        <w:rPr>
          <w:rFonts w:asciiTheme="minorHAnsi" w:hAnsiTheme="minorHAnsi" w:cstheme="minorHAnsi"/>
          <w:sz w:val="22"/>
          <w:szCs w:val="22"/>
        </w:rPr>
        <w:t>e</w:t>
      </w:r>
      <w:r w:rsidR="00F1644E" w:rsidRPr="009814AF">
        <w:rPr>
          <w:rFonts w:asciiTheme="minorHAnsi" w:hAnsiTheme="minorHAnsi" w:cstheme="minorHAnsi"/>
          <w:sz w:val="22"/>
          <w:szCs w:val="22"/>
        </w:rPr>
        <w:t xml:space="preserve"> exhibiting this posture”. </w:t>
      </w:r>
      <w:r w:rsidR="007E72CD">
        <w:rPr>
          <w:rFonts w:asciiTheme="minorHAnsi" w:hAnsiTheme="minorHAnsi" w:cstheme="minorHAnsi"/>
          <w:sz w:val="22"/>
          <w:szCs w:val="22"/>
        </w:rPr>
        <w:t>Bolger, et.al, 2019, p. 329, discuss the substantial number of picrolites found in the Souskiou tombs.</w:t>
      </w:r>
      <w:r w:rsidR="004F340D">
        <w:rPr>
          <w:rFonts w:asciiTheme="minorHAnsi" w:hAnsiTheme="minorHAnsi" w:cstheme="minorHAnsi"/>
          <w:sz w:val="22"/>
          <w:szCs w:val="22"/>
        </w:rPr>
        <w:t xml:space="preserve"> Maier &amp; Karageorghis, 1984, p. 34, suggest smaller picrolite figurines as “substitute for a companion to the dead”.</w:t>
      </w:r>
    </w:p>
  </w:footnote>
  <w:footnote w:id="59">
    <w:p w14:paraId="1289C72A" w14:textId="446C7955" w:rsidR="0007092B" w:rsidRPr="009814AF" w:rsidRDefault="0007092B" w:rsidP="009814AF">
      <w:pPr>
        <w:pStyle w:val="FootnoteText"/>
        <w:spacing w:after="120"/>
        <w:rPr>
          <w:sz w:val="22"/>
          <w:szCs w:val="22"/>
        </w:rPr>
      </w:pPr>
      <w:r w:rsidRPr="009814AF">
        <w:rPr>
          <w:rStyle w:val="FootnoteReference"/>
          <w:sz w:val="22"/>
          <w:szCs w:val="22"/>
        </w:rPr>
        <w:footnoteRef/>
      </w:r>
      <w:r w:rsidRPr="009814AF">
        <w:rPr>
          <w:sz w:val="22"/>
          <w:szCs w:val="22"/>
        </w:rPr>
        <w:t xml:space="preserve"> Gore, 1995, pp. 224-230.</w:t>
      </w:r>
    </w:p>
  </w:footnote>
  <w:footnote w:id="60">
    <w:p w14:paraId="1E27CDBB" w14:textId="77777777" w:rsidR="00ED4EA3" w:rsidRPr="00DB25CB" w:rsidRDefault="00ED4EA3" w:rsidP="00ED4EA3">
      <w:pPr>
        <w:pStyle w:val="FootnoteText"/>
        <w:spacing w:after="120"/>
        <w:rPr>
          <w:sz w:val="22"/>
          <w:szCs w:val="22"/>
        </w:rPr>
      </w:pPr>
      <w:r w:rsidRPr="00DB25CB">
        <w:rPr>
          <w:rStyle w:val="FootnoteReference"/>
          <w:sz w:val="22"/>
          <w:szCs w:val="22"/>
        </w:rPr>
        <w:footnoteRef/>
      </w:r>
      <w:r w:rsidRPr="00DB25CB">
        <w:rPr>
          <w:sz w:val="22"/>
          <w:szCs w:val="22"/>
        </w:rPr>
        <w:t xml:space="preserve"> That project must remain somewhat beyond the scope of this essay.</w:t>
      </w:r>
    </w:p>
  </w:footnote>
  <w:footnote w:id="61">
    <w:p w14:paraId="58AA0F1A" w14:textId="44301FD3" w:rsidR="00D82B69" w:rsidRPr="009814AF" w:rsidRDefault="00D82B69"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Source: Goodman</w:t>
      </w:r>
      <w:r w:rsidR="00D045AE">
        <w:rPr>
          <w:rFonts w:asciiTheme="minorHAnsi" w:hAnsiTheme="minorHAnsi" w:cstheme="minorHAnsi"/>
          <w:sz w:val="22"/>
          <w:szCs w:val="22"/>
        </w:rPr>
        <w:t>, 1990b</w:t>
      </w:r>
      <w:r w:rsidRPr="009814AF">
        <w:rPr>
          <w:rFonts w:asciiTheme="minorHAnsi" w:hAnsiTheme="minorHAnsi" w:cstheme="minorHAnsi"/>
          <w:sz w:val="22"/>
          <w:szCs w:val="22"/>
        </w:rPr>
        <w:t xml:space="preserve"> , p. 159.</w:t>
      </w:r>
    </w:p>
  </w:footnote>
  <w:footnote w:id="62">
    <w:p w14:paraId="00FEE252" w14:textId="1532C113" w:rsidR="00B91F14" w:rsidRPr="00A9234D" w:rsidRDefault="00B91F14" w:rsidP="009814AF">
      <w:pPr>
        <w:pStyle w:val="FootnoteText"/>
        <w:spacing w:after="120"/>
        <w:rPr>
          <w:sz w:val="22"/>
          <w:szCs w:val="22"/>
        </w:rPr>
      </w:pPr>
      <w:r w:rsidRPr="009814AF">
        <w:rPr>
          <w:rStyle w:val="FootnoteReference"/>
          <w:sz w:val="22"/>
          <w:szCs w:val="22"/>
        </w:rPr>
        <w:footnoteRef/>
      </w:r>
      <w:r w:rsidRPr="00A9234D">
        <w:rPr>
          <w:sz w:val="22"/>
          <w:szCs w:val="22"/>
        </w:rPr>
        <w:t xml:space="preserve"> Source: https://www.researchgate.net/figure/Bronze-figurine-of-the-Astarte-on-the-Ingot-type-from-Teratsoudhia-Tomb-104-Chamber-K_fig7_31885207 </w:t>
      </w:r>
    </w:p>
  </w:footnote>
  <w:footnote w:id="63">
    <w:p w14:paraId="2342FB16" w14:textId="6F501D2C" w:rsidR="00B2269A" w:rsidRPr="009814AF" w:rsidRDefault="00B2269A" w:rsidP="009814AF">
      <w:pPr>
        <w:pStyle w:val="FootnoteText"/>
        <w:spacing w:after="120"/>
        <w:rPr>
          <w:sz w:val="22"/>
          <w:szCs w:val="22"/>
        </w:rPr>
      </w:pPr>
      <w:r w:rsidRPr="009814AF">
        <w:rPr>
          <w:rStyle w:val="FootnoteReference"/>
          <w:sz w:val="22"/>
          <w:szCs w:val="22"/>
        </w:rPr>
        <w:footnoteRef/>
      </w:r>
      <w:r w:rsidRPr="009814AF">
        <w:rPr>
          <w:sz w:val="22"/>
          <w:szCs w:val="22"/>
        </w:rPr>
        <w:t xml:space="preserve"> Gore, 1995, pp. 272-277.</w:t>
      </w:r>
      <w:r w:rsidR="00A248A0" w:rsidRPr="009814AF">
        <w:rPr>
          <w:sz w:val="22"/>
          <w:szCs w:val="22"/>
        </w:rPr>
        <w:t xml:space="preserve"> A broken</w:t>
      </w:r>
      <w:r w:rsidR="00927A42" w:rsidRPr="009814AF">
        <w:rPr>
          <w:sz w:val="22"/>
          <w:szCs w:val="22"/>
        </w:rPr>
        <w:t>, presumably</w:t>
      </w:r>
      <w:r w:rsidR="00A248A0" w:rsidRPr="009814AF">
        <w:rPr>
          <w:sz w:val="22"/>
          <w:szCs w:val="22"/>
        </w:rPr>
        <w:t xml:space="preserve"> </w:t>
      </w:r>
      <w:r w:rsidR="00927A42" w:rsidRPr="009814AF">
        <w:rPr>
          <w:sz w:val="22"/>
          <w:szCs w:val="22"/>
        </w:rPr>
        <w:t xml:space="preserve">male, </w:t>
      </w:r>
      <w:r w:rsidR="00A248A0" w:rsidRPr="009814AF">
        <w:rPr>
          <w:sz w:val="22"/>
          <w:szCs w:val="22"/>
        </w:rPr>
        <w:t>figure in Ucko (1962, p. 49, figure 1.10</w:t>
      </w:r>
      <w:r w:rsidR="00927A42" w:rsidRPr="009814AF">
        <w:rPr>
          <w:sz w:val="22"/>
          <w:szCs w:val="22"/>
        </w:rPr>
        <w:t>) can also be so interpreted.</w:t>
      </w:r>
      <w:r w:rsidR="006A0A8F">
        <w:rPr>
          <w:sz w:val="22"/>
          <w:szCs w:val="22"/>
        </w:rPr>
        <w:t xml:space="preserve"> Similarly, the male figurine from Petsophas, Crete (Morris &amp; Peatfield, 2004, p. 46). </w:t>
      </w:r>
    </w:p>
  </w:footnote>
  <w:footnote w:id="64">
    <w:p w14:paraId="3B8B5380" w14:textId="615A404C" w:rsidR="00FF45AF" w:rsidRPr="009814AF" w:rsidRDefault="00FF45AF"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It must </w:t>
      </w:r>
      <w:r w:rsidR="006B6229" w:rsidRPr="009814AF">
        <w:rPr>
          <w:rFonts w:asciiTheme="minorHAnsi" w:hAnsiTheme="minorHAnsi" w:cstheme="minorHAnsi"/>
          <w:sz w:val="22"/>
          <w:szCs w:val="22"/>
        </w:rPr>
        <w:t xml:space="preserve">also </w:t>
      </w:r>
      <w:r w:rsidRPr="009814AF">
        <w:rPr>
          <w:rFonts w:asciiTheme="minorHAnsi" w:hAnsiTheme="minorHAnsi" w:cstheme="minorHAnsi"/>
          <w:sz w:val="22"/>
          <w:szCs w:val="22"/>
        </w:rPr>
        <w:t xml:space="preserve">be plausible that the arms-extended </w:t>
      </w:r>
      <w:r w:rsidR="007E72CD">
        <w:rPr>
          <w:rFonts w:asciiTheme="minorHAnsi" w:hAnsiTheme="minorHAnsi" w:cstheme="minorHAnsi"/>
          <w:sz w:val="22"/>
          <w:szCs w:val="22"/>
        </w:rPr>
        <w:t xml:space="preserve">‘cruciform’ </w:t>
      </w:r>
      <w:r w:rsidRPr="009814AF">
        <w:rPr>
          <w:rFonts w:asciiTheme="minorHAnsi" w:hAnsiTheme="minorHAnsi" w:cstheme="minorHAnsi"/>
          <w:sz w:val="22"/>
          <w:szCs w:val="22"/>
        </w:rPr>
        <w:t>posture is significant in itself, without the demi</w:t>
      </w:r>
      <w:r w:rsidR="006B6229" w:rsidRPr="009814AF">
        <w:rPr>
          <w:rFonts w:asciiTheme="minorHAnsi" w:hAnsiTheme="minorHAnsi" w:cstheme="minorHAnsi"/>
          <w:sz w:val="22"/>
          <w:szCs w:val="22"/>
        </w:rPr>
        <w:noBreakHyphen/>
      </w:r>
      <w:r w:rsidRPr="009814AF">
        <w:rPr>
          <w:rFonts w:asciiTheme="minorHAnsi" w:hAnsiTheme="minorHAnsi" w:cstheme="minorHAnsi"/>
          <w:sz w:val="22"/>
          <w:szCs w:val="22"/>
        </w:rPr>
        <w:t>plié</w:t>
      </w:r>
    </w:p>
  </w:footnote>
  <w:footnote w:id="65">
    <w:p w14:paraId="21DBA486" w14:textId="3BE7CC8A" w:rsidR="00CA5BB1" w:rsidRPr="009814AF" w:rsidRDefault="00CA5BB1"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w:t>
      </w:r>
      <w:r w:rsidR="006B6229" w:rsidRPr="009814AF">
        <w:rPr>
          <w:rFonts w:asciiTheme="minorHAnsi" w:hAnsiTheme="minorHAnsi" w:cstheme="minorHAnsi"/>
          <w:sz w:val="22"/>
          <w:szCs w:val="22"/>
        </w:rPr>
        <w:t>Amateur folk d</w:t>
      </w:r>
      <w:r w:rsidRPr="009814AF">
        <w:rPr>
          <w:rFonts w:asciiTheme="minorHAnsi" w:hAnsiTheme="minorHAnsi" w:cstheme="minorHAnsi"/>
          <w:sz w:val="22"/>
          <w:szCs w:val="22"/>
        </w:rPr>
        <w:t xml:space="preserve">ancers rarely maintain a shoulder-hold dance for than about five minutes, whereas the trance experiences studied by Goodman &amp; Gore require a posture held for about fifteen minutes, and without ‘micro-adjustments’ that are possible to mobile dancers to relieve tension. On the other hand, it is suggested that today’s trained professional dancers </w:t>
      </w:r>
      <w:r w:rsidR="002B03F4" w:rsidRPr="009814AF">
        <w:rPr>
          <w:rFonts w:asciiTheme="minorHAnsi" w:hAnsiTheme="minorHAnsi" w:cstheme="minorHAnsi"/>
          <w:sz w:val="22"/>
          <w:szCs w:val="22"/>
        </w:rPr>
        <w:t xml:space="preserve">(or mime-artistes etc) </w:t>
      </w:r>
      <w:r w:rsidRPr="009814AF">
        <w:rPr>
          <w:rFonts w:asciiTheme="minorHAnsi" w:hAnsiTheme="minorHAnsi" w:cstheme="minorHAnsi"/>
          <w:sz w:val="22"/>
          <w:szCs w:val="22"/>
        </w:rPr>
        <w:t xml:space="preserve">would be able to maintain such a position. </w:t>
      </w:r>
    </w:p>
  </w:footnote>
  <w:footnote w:id="66">
    <w:p w14:paraId="1F807A01" w14:textId="4E0C9714" w:rsidR="00F64EF2" w:rsidRPr="009814AF" w:rsidRDefault="00F64EF2"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Goodman, 199</w:t>
      </w:r>
      <w:r w:rsidR="00DE650F" w:rsidRPr="009814AF">
        <w:rPr>
          <w:rFonts w:asciiTheme="minorHAnsi" w:hAnsiTheme="minorHAnsi" w:cstheme="minorHAnsi"/>
          <w:sz w:val="22"/>
          <w:szCs w:val="22"/>
        </w:rPr>
        <w:t>9</w:t>
      </w:r>
      <w:r w:rsidRPr="009814AF">
        <w:rPr>
          <w:rFonts w:asciiTheme="minorHAnsi" w:hAnsiTheme="minorHAnsi" w:cstheme="minorHAnsi"/>
          <w:sz w:val="22"/>
          <w:szCs w:val="22"/>
        </w:rPr>
        <w:t>, discusses some changes in brain chemistry occurring during trance.</w:t>
      </w:r>
    </w:p>
  </w:footnote>
  <w:footnote w:id="67">
    <w:p w14:paraId="30DA6892" w14:textId="69F6706C" w:rsidR="00883152" w:rsidRPr="00883152" w:rsidRDefault="00883152" w:rsidP="00883152">
      <w:pPr>
        <w:pStyle w:val="FootnoteText"/>
        <w:spacing w:after="120"/>
        <w:rPr>
          <w:sz w:val="22"/>
          <w:szCs w:val="22"/>
        </w:rPr>
      </w:pPr>
      <w:r w:rsidRPr="00883152">
        <w:rPr>
          <w:rStyle w:val="FootnoteReference"/>
          <w:sz w:val="22"/>
          <w:szCs w:val="22"/>
        </w:rPr>
        <w:footnoteRef/>
      </w:r>
      <w:r w:rsidRPr="00883152">
        <w:rPr>
          <w:sz w:val="22"/>
          <w:szCs w:val="22"/>
        </w:rPr>
        <w:t xml:space="preserve"> It is also noticeable that although eyes and nose are in prominent relief, no mouth is shown, perhaps indicating a state outside normal conversational communication.</w:t>
      </w:r>
      <w:r w:rsidR="000F31F4">
        <w:rPr>
          <w:sz w:val="22"/>
          <w:szCs w:val="22"/>
        </w:rPr>
        <w:t xml:space="preserve"> The depiction of eyes and nose is perhaps canonical, portrayed similarly in the ‘Lady of Lemba’, but some other figurines </w:t>
      </w:r>
      <w:r w:rsidR="004F340D">
        <w:rPr>
          <w:sz w:val="22"/>
          <w:szCs w:val="22"/>
        </w:rPr>
        <w:t xml:space="preserve">(for example, a large (39.5cm) limestone, thought to be from Souskiou (Maier, p. 35, fig 16) </w:t>
      </w:r>
      <w:r w:rsidR="000F31F4">
        <w:rPr>
          <w:sz w:val="22"/>
          <w:szCs w:val="22"/>
        </w:rPr>
        <w:t xml:space="preserve">do show a mouth. </w:t>
      </w:r>
    </w:p>
  </w:footnote>
  <w:footnote w:id="68">
    <w:p w14:paraId="7A74CAD5" w14:textId="49B9D517" w:rsidR="00DB25CB" w:rsidRPr="00DB25CB" w:rsidRDefault="00DB25CB" w:rsidP="00DB25CB">
      <w:pPr>
        <w:pStyle w:val="FootnoteText"/>
        <w:spacing w:after="120"/>
        <w:rPr>
          <w:sz w:val="22"/>
          <w:szCs w:val="22"/>
        </w:rPr>
      </w:pPr>
      <w:r w:rsidRPr="00DB25CB">
        <w:rPr>
          <w:rStyle w:val="FootnoteReference"/>
          <w:sz w:val="22"/>
          <w:szCs w:val="22"/>
        </w:rPr>
        <w:footnoteRef/>
      </w:r>
      <w:r w:rsidRPr="00DB25CB">
        <w:rPr>
          <w:sz w:val="22"/>
          <w:szCs w:val="22"/>
        </w:rPr>
        <w:t xml:space="preserve"> Forms of ‘scrying’ (gazing into tealeaves, crystal-ball, bowl. etc) are all open-eyed trance.</w:t>
      </w:r>
    </w:p>
  </w:footnote>
  <w:footnote w:id="69">
    <w:p w14:paraId="2265A3A3" w14:textId="59DBDB12" w:rsidR="00B91F14" w:rsidRPr="009814AF" w:rsidRDefault="00B91F14" w:rsidP="009814AF">
      <w:pPr>
        <w:pStyle w:val="FootnoteText"/>
        <w:spacing w:after="120"/>
        <w:rPr>
          <w:sz w:val="22"/>
          <w:szCs w:val="22"/>
        </w:rPr>
      </w:pPr>
      <w:r w:rsidRPr="009814AF">
        <w:rPr>
          <w:rStyle w:val="FootnoteReference"/>
          <w:sz w:val="22"/>
          <w:szCs w:val="22"/>
        </w:rPr>
        <w:footnoteRef/>
      </w:r>
      <w:r w:rsidRPr="009814AF">
        <w:rPr>
          <w:sz w:val="22"/>
          <w:szCs w:val="22"/>
        </w:rPr>
        <w:t xml:space="preserve"> Ucko, 1962, p. 46, suggests such use, but seems to focus on knowledge of pregnancy, which might be doubted as problematic in the relevant cultures (unlike that of his own day).</w:t>
      </w:r>
    </w:p>
  </w:footnote>
  <w:footnote w:id="70">
    <w:p w14:paraId="234B288A" w14:textId="3387AB5E" w:rsidR="00B67C61" w:rsidRPr="009814AF" w:rsidRDefault="00B67C61" w:rsidP="009814AF">
      <w:pPr>
        <w:pStyle w:val="FootnoteText"/>
        <w:spacing w:after="120"/>
        <w:rPr>
          <w:sz w:val="22"/>
          <w:szCs w:val="22"/>
        </w:rPr>
      </w:pPr>
      <w:r w:rsidRPr="009814AF">
        <w:rPr>
          <w:rStyle w:val="FootnoteReference"/>
          <w:sz w:val="22"/>
          <w:szCs w:val="22"/>
        </w:rPr>
        <w:footnoteRef/>
      </w:r>
      <w:r w:rsidRPr="009814AF">
        <w:rPr>
          <w:sz w:val="22"/>
          <w:szCs w:val="22"/>
        </w:rPr>
        <w:t xml:space="preserve"> A plausible alternative to the reflexive pendant might be to hold one of the figurines that depict the posture.</w:t>
      </w:r>
    </w:p>
  </w:footnote>
  <w:footnote w:id="71">
    <w:p w14:paraId="52B13937" w14:textId="272C6999" w:rsidR="00F64EF2" w:rsidRPr="009814AF" w:rsidRDefault="00F64EF2" w:rsidP="009814AF">
      <w:pPr>
        <w:pStyle w:val="FootnoteText"/>
        <w:spacing w:after="120"/>
        <w:rPr>
          <w:rFonts w:asciiTheme="minorHAnsi" w:hAnsiTheme="minorHAnsi" w:cstheme="minorHAnsi"/>
          <w:sz w:val="22"/>
          <w:szCs w:val="22"/>
        </w:rPr>
      </w:pPr>
      <w:r w:rsidRPr="009814AF">
        <w:rPr>
          <w:rStyle w:val="FootnoteReference"/>
          <w:rFonts w:asciiTheme="minorHAnsi" w:hAnsiTheme="minorHAnsi" w:cstheme="minorHAnsi"/>
          <w:sz w:val="22"/>
          <w:szCs w:val="22"/>
        </w:rPr>
        <w:footnoteRef/>
      </w:r>
      <w:r w:rsidRPr="009814AF">
        <w:rPr>
          <w:rFonts w:asciiTheme="minorHAnsi" w:hAnsiTheme="minorHAnsi" w:cstheme="minorHAnsi"/>
          <w:sz w:val="22"/>
          <w:szCs w:val="22"/>
        </w:rPr>
        <w:t xml:space="preserve"> It should be noted that although ‘channelling’ experience typically involves contact with some transpersonal entity, this is by no means always a ‘god/dess’. The well-known work</w:t>
      </w:r>
      <w:r w:rsidR="00C51471">
        <w:rPr>
          <w:rFonts w:asciiTheme="minorHAnsi" w:hAnsiTheme="minorHAnsi" w:cstheme="minorHAnsi"/>
          <w:sz w:val="22"/>
          <w:szCs w:val="22"/>
        </w:rPr>
        <w:t>s</w:t>
      </w:r>
      <w:r w:rsidRPr="009814AF">
        <w:rPr>
          <w:rFonts w:asciiTheme="minorHAnsi" w:hAnsiTheme="minorHAnsi" w:cstheme="minorHAnsi"/>
          <w:sz w:val="22"/>
          <w:szCs w:val="22"/>
        </w:rPr>
        <w:t xml:space="preserve"> by Jane Roberts relate to an entity she called ‘Seth’, apparently unrelated to the Egyptian deity.</w:t>
      </w:r>
    </w:p>
  </w:footnote>
  <w:footnote w:id="72">
    <w:p w14:paraId="41D668E3" w14:textId="5A0CB8BB" w:rsidR="00D045AE" w:rsidRDefault="00D045AE">
      <w:pPr>
        <w:pStyle w:val="FootnoteText"/>
      </w:pPr>
      <w:r>
        <w:rPr>
          <w:rStyle w:val="FootnoteReference"/>
        </w:rPr>
        <w:footnoteRef/>
      </w:r>
      <w:r>
        <w:t xml:space="preserve"> As generated from RefWorks, </w:t>
      </w:r>
      <w:r w:rsidR="00C51471">
        <w:t>style</w:t>
      </w:r>
      <w:r w:rsidR="00131963">
        <w:t xml:space="preserve"> APA 6th .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C6950"/>
    <w:multiLevelType w:val="multilevel"/>
    <w:tmpl w:val="F1526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944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746"/>
    <w:rsid w:val="00007E88"/>
    <w:rsid w:val="00012398"/>
    <w:rsid w:val="00034E17"/>
    <w:rsid w:val="0003619C"/>
    <w:rsid w:val="00037657"/>
    <w:rsid w:val="00041E32"/>
    <w:rsid w:val="0007092B"/>
    <w:rsid w:val="000C765F"/>
    <w:rsid w:val="000D0B15"/>
    <w:rsid w:val="000D2C60"/>
    <w:rsid w:val="000F31F4"/>
    <w:rsid w:val="00105C81"/>
    <w:rsid w:val="00125BFC"/>
    <w:rsid w:val="00127C13"/>
    <w:rsid w:val="00131963"/>
    <w:rsid w:val="001458A9"/>
    <w:rsid w:val="00150D39"/>
    <w:rsid w:val="001A66F8"/>
    <w:rsid w:val="001C3284"/>
    <w:rsid w:val="001D6E6A"/>
    <w:rsid w:val="00260909"/>
    <w:rsid w:val="00261B02"/>
    <w:rsid w:val="00270ADF"/>
    <w:rsid w:val="00270FD4"/>
    <w:rsid w:val="002801D0"/>
    <w:rsid w:val="002B03F4"/>
    <w:rsid w:val="002C10B0"/>
    <w:rsid w:val="002D0E27"/>
    <w:rsid w:val="002D2B94"/>
    <w:rsid w:val="002D3139"/>
    <w:rsid w:val="002F3250"/>
    <w:rsid w:val="002F70FB"/>
    <w:rsid w:val="00303B5F"/>
    <w:rsid w:val="00306E66"/>
    <w:rsid w:val="0031291D"/>
    <w:rsid w:val="00326D27"/>
    <w:rsid w:val="00335D59"/>
    <w:rsid w:val="00343227"/>
    <w:rsid w:val="003538ED"/>
    <w:rsid w:val="00374EE0"/>
    <w:rsid w:val="00380211"/>
    <w:rsid w:val="0039509F"/>
    <w:rsid w:val="003A44ED"/>
    <w:rsid w:val="003B1819"/>
    <w:rsid w:val="003C2BE4"/>
    <w:rsid w:val="003D5458"/>
    <w:rsid w:val="003D7792"/>
    <w:rsid w:val="004540C4"/>
    <w:rsid w:val="00475593"/>
    <w:rsid w:val="0049253F"/>
    <w:rsid w:val="004B683B"/>
    <w:rsid w:val="004E42A7"/>
    <w:rsid w:val="004F340D"/>
    <w:rsid w:val="004F4EE1"/>
    <w:rsid w:val="0051033B"/>
    <w:rsid w:val="00512E22"/>
    <w:rsid w:val="00516F20"/>
    <w:rsid w:val="005174D3"/>
    <w:rsid w:val="00536DB2"/>
    <w:rsid w:val="0055615E"/>
    <w:rsid w:val="00570A02"/>
    <w:rsid w:val="005A2BD3"/>
    <w:rsid w:val="005B569E"/>
    <w:rsid w:val="005C288F"/>
    <w:rsid w:val="005C4415"/>
    <w:rsid w:val="005F14F6"/>
    <w:rsid w:val="005F2FB4"/>
    <w:rsid w:val="0060480D"/>
    <w:rsid w:val="00604A6F"/>
    <w:rsid w:val="006339FD"/>
    <w:rsid w:val="00654BB8"/>
    <w:rsid w:val="006575FD"/>
    <w:rsid w:val="00665D1C"/>
    <w:rsid w:val="006674A5"/>
    <w:rsid w:val="00682B05"/>
    <w:rsid w:val="006A0A8F"/>
    <w:rsid w:val="006A2AE6"/>
    <w:rsid w:val="006A608A"/>
    <w:rsid w:val="006B6229"/>
    <w:rsid w:val="006D10F4"/>
    <w:rsid w:val="006D545A"/>
    <w:rsid w:val="006F7A49"/>
    <w:rsid w:val="00733E65"/>
    <w:rsid w:val="0074186E"/>
    <w:rsid w:val="0074537D"/>
    <w:rsid w:val="0079684D"/>
    <w:rsid w:val="007C110B"/>
    <w:rsid w:val="007C2E5A"/>
    <w:rsid w:val="007D7341"/>
    <w:rsid w:val="007E1E10"/>
    <w:rsid w:val="007E72CD"/>
    <w:rsid w:val="0080487C"/>
    <w:rsid w:val="00830785"/>
    <w:rsid w:val="008419BD"/>
    <w:rsid w:val="008436B9"/>
    <w:rsid w:val="00866F6E"/>
    <w:rsid w:val="00876746"/>
    <w:rsid w:val="00883152"/>
    <w:rsid w:val="00886B88"/>
    <w:rsid w:val="00890D2B"/>
    <w:rsid w:val="008C3C09"/>
    <w:rsid w:val="008C5D1E"/>
    <w:rsid w:val="008E5A07"/>
    <w:rsid w:val="008F2E96"/>
    <w:rsid w:val="00902E94"/>
    <w:rsid w:val="0092045C"/>
    <w:rsid w:val="00927A42"/>
    <w:rsid w:val="0095681E"/>
    <w:rsid w:val="009814AF"/>
    <w:rsid w:val="00981C14"/>
    <w:rsid w:val="009A319A"/>
    <w:rsid w:val="009D7C5D"/>
    <w:rsid w:val="00A02077"/>
    <w:rsid w:val="00A05E10"/>
    <w:rsid w:val="00A20819"/>
    <w:rsid w:val="00A248A0"/>
    <w:rsid w:val="00A26BE6"/>
    <w:rsid w:val="00A3479C"/>
    <w:rsid w:val="00A61EA9"/>
    <w:rsid w:val="00A7194E"/>
    <w:rsid w:val="00A86858"/>
    <w:rsid w:val="00A902A5"/>
    <w:rsid w:val="00A9234D"/>
    <w:rsid w:val="00AC078A"/>
    <w:rsid w:val="00AE45C6"/>
    <w:rsid w:val="00AF0131"/>
    <w:rsid w:val="00B2269A"/>
    <w:rsid w:val="00B32F23"/>
    <w:rsid w:val="00B33147"/>
    <w:rsid w:val="00B672F0"/>
    <w:rsid w:val="00B67C61"/>
    <w:rsid w:val="00B91E04"/>
    <w:rsid w:val="00B91F14"/>
    <w:rsid w:val="00BA308E"/>
    <w:rsid w:val="00C0626B"/>
    <w:rsid w:val="00C15DDE"/>
    <w:rsid w:val="00C2361E"/>
    <w:rsid w:val="00C24C23"/>
    <w:rsid w:val="00C25FD1"/>
    <w:rsid w:val="00C3482B"/>
    <w:rsid w:val="00C51471"/>
    <w:rsid w:val="00CA5BB1"/>
    <w:rsid w:val="00CB3230"/>
    <w:rsid w:val="00CE6E9E"/>
    <w:rsid w:val="00CE764B"/>
    <w:rsid w:val="00D045AE"/>
    <w:rsid w:val="00D10E92"/>
    <w:rsid w:val="00D1273D"/>
    <w:rsid w:val="00D2122A"/>
    <w:rsid w:val="00D4195F"/>
    <w:rsid w:val="00D515A0"/>
    <w:rsid w:val="00D57AE5"/>
    <w:rsid w:val="00D73E93"/>
    <w:rsid w:val="00D817D8"/>
    <w:rsid w:val="00D82B69"/>
    <w:rsid w:val="00DB25CB"/>
    <w:rsid w:val="00DD32EA"/>
    <w:rsid w:val="00DD3DE5"/>
    <w:rsid w:val="00DE42E4"/>
    <w:rsid w:val="00DE650F"/>
    <w:rsid w:val="00E170E1"/>
    <w:rsid w:val="00E32A89"/>
    <w:rsid w:val="00E55820"/>
    <w:rsid w:val="00EB0560"/>
    <w:rsid w:val="00EB1D76"/>
    <w:rsid w:val="00ED4EA3"/>
    <w:rsid w:val="00F027FD"/>
    <w:rsid w:val="00F05540"/>
    <w:rsid w:val="00F1644E"/>
    <w:rsid w:val="00F64EF2"/>
    <w:rsid w:val="00F657FB"/>
    <w:rsid w:val="00F86332"/>
    <w:rsid w:val="00F8777A"/>
    <w:rsid w:val="00F97B0F"/>
    <w:rsid w:val="00FA5EBC"/>
    <w:rsid w:val="00FB589E"/>
    <w:rsid w:val="00FC5264"/>
    <w:rsid w:val="00FF45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231A58"/>
  <w15:chartTrackingRefBased/>
  <w15:docId w15:val="{B5A2C322-26CD-4C44-811A-407D80D9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FootnoteText"/>
    <w:qFormat/>
    <w:rsid w:val="0055615E"/>
    <w:pPr>
      <w:spacing w:after="120" w:line="240" w:lineRule="auto"/>
    </w:pPr>
    <w:rPr>
      <w:rFonts w:ascii="Calibri" w:hAnsi="Calibri"/>
    </w:rPr>
  </w:style>
  <w:style w:type="paragraph" w:styleId="Heading1">
    <w:name w:val="heading 1"/>
    <w:basedOn w:val="Normal"/>
    <w:next w:val="Normal"/>
    <w:link w:val="Heading1Char"/>
    <w:uiPriority w:val="9"/>
    <w:qFormat/>
    <w:rsid w:val="008767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767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7674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674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7674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767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7674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7674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7674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5615E"/>
    <w:pPr>
      <w:spacing w:after="0"/>
    </w:pPr>
    <w:rPr>
      <w:sz w:val="20"/>
      <w:szCs w:val="20"/>
    </w:rPr>
  </w:style>
  <w:style w:type="character" w:customStyle="1" w:styleId="FootnoteTextChar">
    <w:name w:val="Footnote Text Char"/>
    <w:basedOn w:val="DefaultParagraphFont"/>
    <w:link w:val="FootnoteText"/>
    <w:uiPriority w:val="99"/>
    <w:rsid w:val="0055615E"/>
    <w:rPr>
      <w:rFonts w:ascii="Calibri" w:hAnsi="Calibri"/>
      <w:sz w:val="20"/>
      <w:szCs w:val="20"/>
    </w:rPr>
  </w:style>
  <w:style w:type="character" w:customStyle="1" w:styleId="Heading1Char">
    <w:name w:val="Heading 1 Char"/>
    <w:basedOn w:val="DefaultParagraphFont"/>
    <w:link w:val="Heading1"/>
    <w:uiPriority w:val="9"/>
    <w:rsid w:val="008767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767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767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67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67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6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746"/>
    <w:rPr>
      <w:rFonts w:eastAsiaTheme="majorEastAsia" w:cstheme="majorBidi"/>
      <w:color w:val="272727" w:themeColor="text1" w:themeTint="D8"/>
    </w:rPr>
  </w:style>
  <w:style w:type="paragraph" w:styleId="Title">
    <w:name w:val="Title"/>
    <w:basedOn w:val="Normal"/>
    <w:next w:val="Normal"/>
    <w:link w:val="TitleChar"/>
    <w:uiPriority w:val="10"/>
    <w:qFormat/>
    <w:rsid w:val="008767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7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7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6746"/>
    <w:rPr>
      <w:rFonts w:ascii="Calibri" w:hAnsi="Calibri"/>
      <w:i/>
      <w:iCs/>
      <w:color w:val="404040" w:themeColor="text1" w:themeTint="BF"/>
    </w:rPr>
  </w:style>
  <w:style w:type="paragraph" w:styleId="ListParagraph">
    <w:name w:val="List Paragraph"/>
    <w:basedOn w:val="Normal"/>
    <w:uiPriority w:val="34"/>
    <w:qFormat/>
    <w:rsid w:val="00876746"/>
    <w:pPr>
      <w:ind w:left="720"/>
      <w:contextualSpacing/>
    </w:pPr>
  </w:style>
  <w:style w:type="character" w:styleId="IntenseEmphasis">
    <w:name w:val="Intense Emphasis"/>
    <w:basedOn w:val="DefaultParagraphFont"/>
    <w:uiPriority w:val="21"/>
    <w:qFormat/>
    <w:rsid w:val="00876746"/>
    <w:rPr>
      <w:i/>
      <w:iCs/>
      <w:color w:val="2F5496" w:themeColor="accent1" w:themeShade="BF"/>
    </w:rPr>
  </w:style>
  <w:style w:type="paragraph" w:styleId="IntenseQuote">
    <w:name w:val="Intense Quote"/>
    <w:basedOn w:val="Normal"/>
    <w:next w:val="Normal"/>
    <w:link w:val="IntenseQuoteChar"/>
    <w:uiPriority w:val="30"/>
    <w:qFormat/>
    <w:rsid w:val="008767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6746"/>
    <w:rPr>
      <w:rFonts w:ascii="Calibri" w:hAnsi="Calibri"/>
      <w:i/>
      <w:iCs/>
      <w:color w:val="2F5496" w:themeColor="accent1" w:themeShade="BF"/>
    </w:rPr>
  </w:style>
  <w:style w:type="character" w:styleId="IntenseReference">
    <w:name w:val="Intense Reference"/>
    <w:basedOn w:val="DefaultParagraphFont"/>
    <w:uiPriority w:val="32"/>
    <w:qFormat/>
    <w:rsid w:val="00876746"/>
    <w:rPr>
      <w:b/>
      <w:bCs/>
      <w:smallCaps/>
      <w:color w:val="2F5496" w:themeColor="accent1" w:themeShade="BF"/>
      <w:spacing w:val="5"/>
    </w:rPr>
  </w:style>
  <w:style w:type="character" w:styleId="Hyperlink">
    <w:name w:val="Hyperlink"/>
    <w:basedOn w:val="DefaultParagraphFont"/>
    <w:uiPriority w:val="99"/>
    <w:unhideWhenUsed/>
    <w:rsid w:val="00876746"/>
    <w:rPr>
      <w:color w:val="0563C1" w:themeColor="hyperlink"/>
      <w:u w:val="single"/>
    </w:rPr>
  </w:style>
  <w:style w:type="character" w:styleId="UnresolvedMention">
    <w:name w:val="Unresolved Mention"/>
    <w:basedOn w:val="DefaultParagraphFont"/>
    <w:uiPriority w:val="99"/>
    <w:semiHidden/>
    <w:unhideWhenUsed/>
    <w:rsid w:val="00876746"/>
    <w:rPr>
      <w:color w:val="605E5C"/>
      <w:shd w:val="clear" w:color="auto" w:fill="E1DFDD"/>
    </w:rPr>
  </w:style>
  <w:style w:type="character" w:styleId="FootnoteReference">
    <w:name w:val="footnote reference"/>
    <w:basedOn w:val="DefaultParagraphFont"/>
    <w:uiPriority w:val="99"/>
    <w:semiHidden/>
    <w:unhideWhenUsed/>
    <w:rsid w:val="00536DB2"/>
    <w:rPr>
      <w:vertAlign w:val="superscript"/>
    </w:rPr>
  </w:style>
  <w:style w:type="character" w:styleId="FollowedHyperlink">
    <w:name w:val="FollowedHyperlink"/>
    <w:basedOn w:val="DefaultParagraphFont"/>
    <w:uiPriority w:val="99"/>
    <w:semiHidden/>
    <w:unhideWhenUsed/>
    <w:rsid w:val="00B672F0"/>
    <w:rPr>
      <w:color w:val="954F72" w:themeColor="followedHyperlink"/>
      <w:u w:val="single"/>
    </w:rPr>
  </w:style>
  <w:style w:type="paragraph" w:styleId="NormalWeb">
    <w:name w:val="Normal (Web)"/>
    <w:basedOn w:val="Normal"/>
    <w:uiPriority w:val="99"/>
    <w:semiHidden/>
    <w:unhideWhenUsed/>
    <w:rsid w:val="00AC078A"/>
    <w:rPr>
      <w:rFonts w:ascii="Times New Roman" w:hAnsi="Times New Roman" w:cs="Times New Roman"/>
    </w:rPr>
  </w:style>
  <w:style w:type="paragraph" w:styleId="Header">
    <w:name w:val="header"/>
    <w:basedOn w:val="Normal"/>
    <w:link w:val="HeaderChar"/>
    <w:uiPriority w:val="99"/>
    <w:unhideWhenUsed/>
    <w:rsid w:val="009D7C5D"/>
    <w:pPr>
      <w:tabs>
        <w:tab w:val="center" w:pos="4513"/>
        <w:tab w:val="right" w:pos="9026"/>
      </w:tabs>
      <w:spacing w:after="0"/>
    </w:pPr>
  </w:style>
  <w:style w:type="character" w:customStyle="1" w:styleId="HeaderChar">
    <w:name w:val="Header Char"/>
    <w:basedOn w:val="DefaultParagraphFont"/>
    <w:link w:val="Header"/>
    <w:uiPriority w:val="99"/>
    <w:rsid w:val="009D7C5D"/>
    <w:rPr>
      <w:rFonts w:ascii="Calibri" w:hAnsi="Calibri"/>
    </w:rPr>
  </w:style>
  <w:style w:type="paragraph" w:styleId="Footer">
    <w:name w:val="footer"/>
    <w:basedOn w:val="Normal"/>
    <w:link w:val="FooterChar"/>
    <w:uiPriority w:val="99"/>
    <w:unhideWhenUsed/>
    <w:rsid w:val="009D7C5D"/>
    <w:pPr>
      <w:tabs>
        <w:tab w:val="center" w:pos="4513"/>
        <w:tab w:val="right" w:pos="9026"/>
      </w:tabs>
      <w:spacing w:after="0"/>
    </w:pPr>
  </w:style>
  <w:style w:type="character" w:customStyle="1" w:styleId="FooterChar">
    <w:name w:val="Footer Char"/>
    <w:basedOn w:val="DefaultParagraphFont"/>
    <w:link w:val="Footer"/>
    <w:uiPriority w:val="99"/>
    <w:rsid w:val="009D7C5D"/>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C062A-3FD8-4C47-A997-6AE89EAA1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5497</TotalTime>
  <Pages>15</Pages>
  <Words>2766</Words>
  <Characters>15768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Maychild (2310535)</dc:creator>
  <cp:keywords/>
  <dc:description/>
  <cp:lastModifiedBy>Rufus Maychild (2310535)</cp:lastModifiedBy>
  <cp:revision>33</cp:revision>
  <cp:lastPrinted>2025-11-26T10:39:00Z</cp:lastPrinted>
  <dcterms:created xsi:type="dcterms:W3CDTF">2025-11-10T08:55:00Z</dcterms:created>
  <dcterms:modified xsi:type="dcterms:W3CDTF">2025-12-18T14:12:00Z</dcterms:modified>
</cp:coreProperties>
</file>