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068893" w14:textId="77777777" w:rsidR="000F372C" w:rsidRPr="00DB39C6" w:rsidRDefault="000F372C" w:rsidP="000F372C">
      <w:pPr>
        <w:spacing w:line="360" w:lineRule="auto"/>
        <w:jc w:val="center"/>
        <w:rPr>
          <w:rFonts w:ascii="Arial" w:hAnsi="Arial"/>
          <w:sz w:val="22"/>
          <w:szCs w:val="22"/>
        </w:rPr>
      </w:pPr>
    </w:p>
    <w:p w14:paraId="3660FE5E" w14:textId="77777777" w:rsidR="000F372C" w:rsidRPr="00DB39C6" w:rsidRDefault="000F372C" w:rsidP="000F372C">
      <w:pPr>
        <w:spacing w:line="360" w:lineRule="auto"/>
        <w:jc w:val="center"/>
        <w:rPr>
          <w:rFonts w:ascii="Arial" w:hAnsi="Arial"/>
          <w:sz w:val="22"/>
          <w:szCs w:val="22"/>
        </w:rPr>
      </w:pPr>
    </w:p>
    <w:p w14:paraId="41FDC9C6" w14:textId="77777777" w:rsidR="000F372C" w:rsidRPr="00DB39C6" w:rsidRDefault="000F372C" w:rsidP="000F372C">
      <w:pPr>
        <w:spacing w:line="360" w:lineRule="auto"/>
        <w:jc w:val="center"/>
        <w:rPr>
          <w:rFonts w:ascii="Arial" w:hAnsi="Arial"/>
          <w:sz w:val="22"/>
          <w:szCs w:val="22"/>
        </w:rPr>
      </w:pPr>
    </w:p>
    <w:p w14:paraId="6DB1FCDB" w14:textId="77777777" w:rsidR="000F372C" w:rsidRPr="00DB39C6" w:rsidRDefault="000F372C" w:rsidP="000F372C">
      <w:pPr>
        <w:spacing w:line="360" w:lineRule="auto"/>
        <w:jc w:val="center"/>
        <w:rPr>
          <w:rFonts w:ascii="Arial" w:hAnsi="Arial"/>
          <w:sz w:val="22"/>
          <w:szCs w:val="22"/>
        </w:rPr>
      </w:pPr>
    </w:p>
    <w:p w14:paraId="21966FEB" w14:textId="440C31E5" w:rsidR="00DA0CAD" w:rsidRPr="00DB39C6" w:rsidRDefault="00CF321F" w:rsidP="000F372C">
      <w:pPr>
        <w:spacing w:line="360" w:lineRule="auto"/>
        <w:jc w:val="center"/>
        <w:rPr>
          <w:rFonts w:ascii="Arial" w:hAnsi="Arial"/>
          <w:sz w:val="22"/>
          <w:szCs w:val="22"/>
        </w:rPr>
      </w:pPr>
      <w:r w:rsidRPr="00DB39C6">
        <w:rPr>
          <w:rFonts w:ascii="Arial" w:hAnsi="Arial"/>
          <w:sz w:val="22"/>
          <w:szCs w:val="22"/>
        </w:rPr>
        <w:t>CASE STUDY REPORT</w:t>
      </w:r>
    </w:p>
    <w:p w14:paraId="0E538835" w14:textId="77777777" w:rsidR="00FE7B35" w:rsidRPr="00DB39C6" w:rsidRDefault="00FE7B35" w:rsidP="00906CE7">
      <w:pPr>
        <w:spacing w:line="360" w:lineRule="auto"/>
        <w:rPr>
          <w:rFonts w:ascii="Arial" w:hAnsi="Arial"/>
          <w:sz w:val="22"/>
          <w:szCs w:val="22"/>
        </w:rPr>
      </w:pPr>
    </w:p>
    <w:p w14:paraId="4EE9F296" w14:textId="7258271F" w:rsidR="003D6B86" w:rsidRPr="00906CE7" w:rsidRDefault="00CF321F" w:rsidP="000F372C">
      <w:pPr>
        <w:spacing w:line="360" w:lineRule="auto"/>
        <w:jc w:val="center"/>
        <w:rPr>
          <w:rFonts w:ascii="Arial" w:hAnsi="Arial"/>
          <w:sz w:val="22"/>
          <w:szCs w:val="22"/>
        </w:rPr>
      </w:pPr>
      <w:r w:rsidRPr="00906CE7">
        <w:rPr>
          <w:rFonts w:ascii="Arial" w:hAnsi="Arial"/>
          <w:sz w:val="22"/>
          <w:szCs w:val="22"/>
        </w:rPr>
        <w:t>Student’s Name</w:t>
      </w:r>
      <w:r w:rsidR="00D306AF" w:rsidRPr="00906CE7">
        <w:rPr>
          <w:rFonts w:ascii="Arial" w:hAnsi="Arial"/>
          <w:sz w:val="22"/>
          <w:szCs w:val="22"/>
        </w:rPr>
        <w:t xml:space="preserve">: </w:t>
      </w:r>
      <w:proofErr w:type="spellStart"/>
      <w:r w:rsidR="00D306AF" w:rsidRPr="00906CE7">
        <w:rPr>
          <w:rFonts w:ascii="Arial" w:hAnsi="Arial"/>
          <w:sz w:val="22"/>
          <w:szCs w:val="22"/>
        </w:rPr>
        <w:t>Kadiatou</w:t>
      </w:r>
      <w:proofErr w:type="spellEnd"/>
      <w:r w:rsidR="00D306AF" w:rsidRPr="00906CE7">
        <w:rPr>
          <w:rFonts w:ascii="Arial" w:hAnsi="Arial"/>
          <w:sz w:val="22"/>
          <w:szCs w:val="22"/>
        </w:rPr>
        <w:t xml:space="preserve"> Diallo</w:t>
      </w:r>
    </w:p>
    <w:p w14:paraId="0F995594" w14:textId="5601EF56" w:rsidR="00FE7B35" w:rsidRPr="00AD2A2C" w:rsidRDefault="00CF321F" w:rsidP="000F372C">
      <w:pPr>
        <w:spacing w:line="360" w:lineRule="auto"/>
        <w:jc w:val="center"/>
        <w:rPr>
          <w:rFonts w:ascii="Arial" w:hAnsi="Arial"/>
          <w:sz w:val="22"/>
          <w:szCs w:val="22"/>
        </w:rPr>
      </w:pPr>
      <w:r w:rsidRPr="00AD2A2C">
        <w:rPr>
          <w:rFonts w:ascii="Arial" w:hAnsi="Arial"/>
          <w:sz w:val="22"/>
          <w:szCs w:val="22"/>
        </w:rPr>
        <w:t>Student</w:t>
      </w:r>
      <w:r w:rsidR="00AD2A2C" w:rsidRPr="00AD2A2C">
        <w:rPr>
          <w:rFonts w:ascii="Arial" w:hAnsi="Arial"/>
          <w:sz w:val="22"/>
          <w:szCs w:val="22"/>
        </w:rPr>
        <w:t>’</w:t>
      </w:r>
      <w:r w:rsidRPr="00AD2A2C">
        <w:rPr>
          <w:rFonts w:ascii="Arial" w:hAnsi="Arial"/>
          <w:sz w:val="22"/>
          <w:szCs w:val="22"/>
        </w:rPr>
        <w:t>s Number</w:t>
      </w:r>
      <w:r w:rsidR="00AD2A2C" w:rsidRPr="00AD2A2C">
        <w:rPr>
          <w:rFonts w:ascii="Arial" w:hAnsi="Arial"/>
          <w:sz w:val="22"/>
          <w:szCs w:val="22"/>
        </w:rPr>
        <w:t>: 2118524</w:t>
      </w:r>
    </w:p>
    <w:p w14:paraId="542FD142" w14:textId="2CB6F16D" w:rsidR="003D6B86" w:rsidRDefault="00CF321F" w:rsidP="000F372C">
      <w:pPr>
        <w:spacing w:line="360" w:lineRule="auto"/>
        <w:jc w:val="center"/>
        <w:rPr>
          <w:rFonts w:ascii="Arial" w:hAnsi="Arial"/>
          <w:sz w:val="22"/>
          <w:szCs w:val="22"/>
        </w:rPr>
      </w:pPr>
      <w:r w:rsidRPr="00DB39C6">
        <w:rPr>
          <w:rFonts w:ascii="Arial" w:hAnsi="Arial"/>
          <w:sz w:val="22"/>
          <w:szCs w:val="22"/>
        </w:rPr>
        <w:t>Module Title</w:t>
      </w:r>
      <w:r w:rsidR="00AD2A2C">
        <w:rPr>
          <w:rFonts w:ascii="Arial" w:hAnsi="Arial"/>
          <w:sz w:val="22"/>
          <w:szCs w:val="22"/>
        </w:rPr>
        <w:t xml:space="preserve">: </w:t>
      </w:r>
      <w:r w:rsidR="00E71311">
        <w:rPr>
          <w:rFonts w:ascii="Arial" w:hAnsi="Arial"/>
          <w:sz w:val="22"/>
          <w:szCs w:val="22"/>
        </w:rPr>
        <w:t>Psychology</w:t>
      </w:r>
      <w:r w:rsidR="00314B2E">
        <w:rPr>
          <w:rFonts w:ascii="Arial" w:hAnsi="Arial"/>
          <w:sz w:val="22"/>
          <w:szCs w:val="22"/>
        </w:rPr>
        <w:t xml:space="preserve"> in H</w:t>
      </w:r>
      <w:r w:rsidR="004143BB">
        <w:rPr>
          <w:rFonts w:ascii="Arial" w:hAnsi="Arial"/>
          <w:sz w:val="22"/>
          <w:szCs w:val="22"/>
        </w:rPr>
        <w:t>ealth and Social Care</w:t>
      </w:r>
    </w:p>
    <w:p w14:paraId="43B7EC91" w14:textId="1379D37A" w:rsidR="00E71311" w:rsidRPr="00F15FFA" w:rsidRDefault="00EB0B1A" w:rsidP="000F372C">
      <w:pPr>
        <w:spacing w:line="360" w:lineRule="auto"/>
        <w:jc w:val="center"/>
        <w:rPr>
          <w:rFonts w:ascii="Arial" w:hAnsi="Arial"/>
          <w:sz w:val="22"/>
          <w:szCs w:val="22"/>
          <w:lang w:val="fr-FR"/>
        </w:rPr>
      </w:pPr>
      <w:r w:rsidRPr="00F15FFA">
        <w:rPr>
          <w:rFonts w:ascii="Arial" w:hAnsi="Arial"/>
          <w:sz w:val="22"/>
          <w:szCs w:val="22"/>
          <w:lang w:val="fr-FR"/>
        </w:rPr>
        <w:t>Module Code</w:t>
      </w:r>
      <w:r w:rsidR="003350AB" w:rsidRPr="00F15FFA">
        <w:rPr>
          <w:rFonts w:ascii="Arial" w:hAnsi="Arial"/>
          <w:sz w:val="22"/>
          <w:szCs w:val="22"/>
          <w:lang w:val="fr-FR"/>
        </w:rPr>
        <w:t xml:space="preserve">: </w:t>
      </w:r>
      <w:r w:rsidR="00F15FFA" w:rsidRPr="00F15FFA">
        <w:rPr>
          <w:rFonts w:ascii="Arial" w:hAnsi="Arial"/>
          <w:sz w:val="22"/>
          <w:szCs w:val="22"/>
          <w:lang w:val="fr-FR"/>
        </w:rPr>
        <w:t>B</w:t>
      </w:r>
      <w:r w:rsidR="00F15FFA">
        <w:rPr>
          <w:rFonts w:ascii="Arial" w:hAnsi="Arial"/>
          <w:sz w:val="22"/>
          <w:szCs w:val="22"/>
          <w:lang w:val="fr-FR"/>
        </w:rPr>
        <w:t>MHP4003</w:t>
      </w:r>
    </w:p>
    <w:p w14:paraId="7DB74DA0" w14:textId="2FEA0326" w:rsidR="003D6B86" w:rsidRPr="00BD157E" w:rsidRDefault="00CF321F" w:rsidP="005F3EEE">
      <w:pPr>
        <w:spacing w:line="360" w:lineRule="auto"/>
        <w:jc w:val="center"/>
        <w:rPr>
          <w:rFonts w:ascii="Arial" w:hAnsi="Arial"/>
          <w:sz w:val="22"/>
          <w:szCs w:val="22"/>
          <w:lang w:val="fr-FR"/>
        </w:rPr>
      </w:pPr>
      <w:proofErr w:type="spellStart"/>
      <w:r w:rsidRPr="00F15FFA">
        <w:rPr>
          <w:rFonts w:ascii="Arial" w:hAnsi="Arial"/>
          <w:sz w:val="22"/>
          <w:szCs w:val="22"/>
          <w:lang w:val="fr-FR"/>
        </w:rPr>
        <w:t>Lecturer’s</w:t>
      </w:r>
      <w:proofErr w:type="spellEnd"/>
      <w:r w:rsidRPr="00F15FFA">
        <w:rPr>
          <w:rFonts w:ascii="Arial" w:hAnsi="Arial"/>
          <w:sz w:val="22"/>
          <w:szCs w:val="22"/>
          <w:lang w:val="fr-FR"/>
        </w:rPr>
        <w:t xml:space="preserve"> Name</w:t>
      </w:r>
      <w:r w:rsidR="00524ECB">
        <w:rPr>
          <w:rFonts w:ascii="Arial" w:hAnsi="Arial"/>
          <w:sz w:val="22"/>
          <w:szCs w:val="22"/>
          <w:lang w:val="fr-FR"/>
        </w:rPr>
        <w:t xml:space="preserve">: </w:t>
      </w:r>
      <w:r w:rsidR="00BD157E">
        <w:rPr>
          <w:rFonts w:ascii="Arial" w:hAnsi="Arial"/>
          <w:sz w:val="22"/>
          <w:szCs w:val="22"/>
          <w:lang w:val="fr-FR"/>
        </w:rPr>
        <w:t>Joanne</w:t>
      </w:r>
      <w:r w:rsidR="00D41278">
        <w:rPr>
          <w:rFonts w:ascii="Arial" w:hAnsi="Arial"/>
          <w:sz w:val="22"/>
          <w:szCs w:val="22"/>
          <w:lang w:val="fr-FR"/>
        </w:rPr>
        <w:t xml:space="preserve"> </w:t>
      </w:r>
    </w:p>
    <w:p w14:paraId="0DADFDE1" w14:textId="77777777" w:rsidR="003D6B86" w:rsidRPr="00BD157E" w:rsidRDefault="003D6B86" w:rsidP="00F600A5">
      <w:pPr>
        <w:spacing w:line="360" w:lineRule="auto"/>
        <w:rPr>
          <w:rFonts w:ascii="Arial" w:hAnsi="Arial"/>
          <w:sz w:val="22"/>
          <w:szCs w:val="22"/>
          <w:lang w:val="fr-FR"/>
        </w:rPr>
      </w:pPr>
    </w:p>
    <w:p w14:paraId="2A848721" w14:textId="77777777" w:rsidR="00DA0CAD" w:rsidRPr="00BD157E" w:rsidRDefault="00CF321F" w:rsidP="00F600A5">
      <w:pPr>
        <w:spacing w:line="360" w:lineRule="auto"/>
        <w:rPr>
          <w:rFonts w:ascii="Arial" w:hAnsi="Arial"/>
          <w:sz w:val="22"/>
          <w:szCs w:val="22"/>
          <w:lang w:val="fr-FR"/>
        </w:rPr>
      </w:pPr>
      <w:r w:rsidRPr="00BD157E">
        <w:rPr>
          <w:rFonts w:ascii="Arial" w:hAnsi="Arial"/>
          <w:sz w:val="22"/>
          <w:szCs w:val="22"/>
          <w:lang w:val="fr-FR"/>
        </w:rPr>
        <w:br w:type="page"/>
      </w:r>
    </w:p>
    <w:p w14:paraId="79A9E694" w14:textId="5972F742" w:rsidR="00796C95" w:rsidRPr="00DB39C6" w:rsidRDefault="00CF321F" w:rsidP="00FE7B35">
      <w:pPr>
        <w:spacing w:line="360" w:lineRule="auto"/>
        <w:jc w:val="both"/>
        <w:rPr>
          <w:rFonts w:ascii="Arial" w:hAnsi="Arial"/>
          <w:b/>
          <w:sz w:val="22"/>
          <w:szCs w:val="22"/>
        </w:rPr>
      </w:pPr>
      <w:r w:rsidRPr="00DB39C6">
        <w:rPr>
          <w:rFonts w:ascii="Arial" w:hAnsi="Arial"/>
          <w:b/>
          <w:sz w:val="22"/>
          <w:szCs w:val="22"/>
        </w:rPr>
        <w:lastRenderedPageBreak/>
        <w:t>Introduction</w:t>
      </w:r>
    </w:p>
    <w:p w14:paraId="6E5C93E9" w14:textId="35E444EB" w:rsidR="00796C95" w:rsidRPr="00DB39C6" w:rsidRDefault="00CF321F" w:rsidP="00FE7B35">
      <w:pPr>
        <w:spacing w:line="360" w:lineRule="auto"/>
        <w:jc w:val="both"/>
        <w:rPr>
          <w:rFonts w:ascii="Arial" w:hAnsi="Arial"/>
          <w:sz w:val="22"/>
          <w:szCs w:val="22"/>
        </w:rPr>
      </w:pPr>
      <w:r w:rsidRPr="00DB39C6">
        <w:rPr>
          <w:rFonts w:ascii="Arial" w:hAnsi="Arial"/>
          <w:sz w:val="22"/>
          <w:szCs w:val="22"/>
        </w:rPr>
        <w:t>Historically, criminal beha</w:t>
      </w:r>
      <w:r w:rsidR="002B3594" w:rsidRPr="00DB39C6">
        <w:rPr>
          <w:rFonts w:ascii="Arial" w:hAnsi="Arial"/>
          <w:sz w:val="22"/>
          <w:szCs w:val="22"/>
        </w:rPr>
        <w:t>viour was erroneously rationalis</w:t>
      </w:r>
      <w:r w:rsidRPr="00DB39C6">
        <w:rPr>
          <w:rFonts w:ascii="Arial" w:hAnsi="Arial"/>
          <w:sz w:val="22"/>
          <w:szCs w:val="22"/>
        </w:rPr>
        <w:t>ed on the basis of the biological defects of some human beings</w:t>
      </w:r>
      <w:r w:rsidR="002B3594" w:rsidRPr="00DB39C6">
        <w:rPr>
          <w:rFonts w:ascii="Arial" w:hAnsi="Arial"/>
          <w:sz w:val="22"/>
          <w:szCs w:val="22"/>
        </w:rPr>
        <w:t xml:space="preserve"> (Charness and Chen, 2020)</w:t>
      </w:r>
      <w:r w:rsidRPr="00DB39C6">
        <w:rPr>
          <w:rFonts w:ascii="Arial" w:hAnsi="Arial"/>
          <w:sz w:val="22"/>
          <w:szCs w:val="22"/>
        </w:rPr>
        <w:t>. It was considered that abnormal engagements that affected the society were mostly done by individuals suffering from severe physical deviances in their development</w:t>
      </w:r>
      <w:r w:rsidR="002B3594" w:rsidRPr="00DB39C6">
        <w:rPr>
          <w:rFonts w:ascii="Arial" w:hAnsi="Arial"/>
          <w:sz w:val="22"/>
          <w:szCs w:val="22"/>
        </w:rPr>
        <w:t xml:space="preserve"> (Charness and Chen, 2020)</w:t>
      </w:r>
      <w:r w:rsidRPr="00DB39C6">
        <w:rPr>
          <w:rFonts w:ascii="Arial" w:hAnsi="Arial"/>
          <w:sz w:val="22"/>
          <w:szCs w:val="22"/>
        </w:rPr>
        <w:t>. However, as scientific research progressed, researchers began to investigate other potential causes of antisocial behaviour, with psychology increasing its scrutiny of this area. Currently, it has been established that negative environmental influences, poor parenting styles, and having improper role models produce inner conflicts that result in abnormal behaviours</w:t>
      </w:r>
      <w:r w:rsidR="002B3594" w:rsidRPr="00DB39C6">
        <w:rPr>
          <w:rFonts w:ascii="Arial" w:hAnsi="Arial"/>
          <w:sz w:val="22"/>
          <w:szCs w:val="22"/>
        </w:rPr>
        <w:t xml:space="preserve"> (Bochatay et al., 2019)</w:t>
      </w:r>
      <w:r w:rsidRPr="00DB39C6">
        <w:rPr>
          <w:rFonts w:ascii="Arial" w:hAnsi="Arial"/>
          <w:sz w:val="22"/>
          <w:szCs w:val="22"/>
        </w:rPr>
        <w:t xml:space="preserve">. This report examines how these attributes influence the behaviour of a person and result in criminal conduct, illustrating using Gareth's case. </w:t>
      </w:r>
    </w:p>
    <w:p w14:paraId="7BE62886" w14:textId="77B04F1A" w:rsidR="0015251A" w:rsidRPr="00DB39C6" w:rsidRDefault="00CF321F" w:rsidP="00FE7B35">
      <w:pPr>
        <w:spacing w:line="360" w:lineRule="auto"/>
        <w:jc w:val="both"/>
        <w:rPr>
          <w:rFonts w:ascii="Arial" w:hAnsi="Arial"/>
          <w:sz w:val="22"/>
          <w:szCs w:val="22"/>
        </w:rPr>
      </w:pPr>
      <w:r w:rsidRPr="00DB39C6">
        <w:rPr>
          <w:rFonts w:ascii="Arial" w:hAnsi="Arial"/>
          <w:sz w:val="22"/>
          <w:szCs w:val="22"/>
        </w:rPr>
        <w:t xml:space="preserve">It is imperative that a distinction between psychological and biological factors influencing a person's behaviour is drawn. </w:t>
      </w:r>
      <w:r w:rsidR="00357A23" w:rsidRPr="00DB39C6">
        <w:rPr>
          <w:rFonts w:ascii="Arial" w:hAnsi="Arial"/>
          <w:sz w:val="22"/>
          <w:szCs w:val="22"/>
        </w:rPr>
        <w:t>Biological factors encompass physical anomalies such as bradygenesis, neurotransmitter dysfunction, and other neural development issues caused by injury or trauma or genetically predisposed (</w:t>
      </w:r>
      <w:r w:rsidR="007B5AED" w:rsidRPr="00DB39C6">
        <w:rPr>
          <w:rFonts w:ascii="Arial" w:hAnsi="Arial"/>
          <w:sz w:val="22"/>
          <w:szCs w:val="22"/>
        </w:rPr>
        <w:t>Charness and Chen, 2020</w:t>
      </w:r>
      <w:r w:rsidR="00357A23" w:rsidRPr="00DB39C6">
        <w:rPr>
          <w:rFonts w:ascii="Arial" w:hAnsi="Arial"/>
          <w:sz w:val="22"/>
          <w:szCs w:val="22"/>
        </w:rPr>
        <w:t xml:space="preserve">). Psychological factors, on the other hand, are mental disorders and deviances in the mental development and education of a person. While the differences between the two appear to be obvious, the two areas are deeply interconnected. </w:t>
      </w:r>
      <w:r w:rsidR="00F3025E" w:rsidRPr="00DB39C6">
        <w:rPr>
          <w:rFonts w:ascii="Arial" w:hAnsi="Arial"/>
          <w:sz w:val="22"/>
          <w:szCs w:val="22"/>
        </w:rPr>
        <w:t xml:space="preserve">As Bochatay et al. (2019) affirm, the association between nature and nurture is present in every human being. </w:t>
      </w:r>
      <w:r w:rsidR="00357A23" w:rsidRPr="00DB39C6">
        <w:rPr>
          <w:rFonts w:ascii="Arial" w:hAnsi="Arial"/>
          <w:sz w:val="22"/>
          <w:szCs w:val="22"/>
        </w:rPr>
        <w:t xml:space="preserve">Further, </w:t>
      </w:r>
      <w:r w:rsidR="00C05226" w:rsidRPr="00DB39C6">
        <w:rPr>
          <w:rFonts w:ascii="Arial" w:hAnsi="Arial"/>
          <w:sz w:val="22"/>
          <w:szCs w:val="22"/>
        </w:rPr>
        <w:t>Dunlea and Heiphetz (2020</w:t>
      </w:r>
      <w:r w:rsidR="00357A23" w:rsidRPr="00DB39C6">
        <w:rPr>
          <w:rFonts w:ascii="Arial" w:hAnsi="Arial"/>
          <w:sz w:val="22"/>
          <w:szCs w:val="22"/>
        </w:rPr>
        <w:t xml:space="preserve">) believe that everything that is psychological is concurrently biological. </w:t>
      </w:r>
      <w:r w:rsidR="00653789" w:rsidRPr="00DB39C6">
        <w:rPr>
          <w:rFonts w:ascii="Arial" w:hAnsi="Arial"/>
          <w:sz w:val="22"/>
          <w:szCs w:val="22"/>
        </w:rPr>
        <w:t xml:space="preserve">Therefore, various theoretical considerations are positioned to explain the origin and development of deviant behaviour. </w:t>
      </w:r>
    </w:p>
    <w:p w14:paraId="025A6C16" w14:textId="61F1455B" w:rsidR="004E52DD" w:rsidRPr="00DB39C6" w:rsidRDefault="00CF321F" w:rsidP="00FE7B35">
      <w:pPr>
        <w:spacing w:line="360" w:lineRule="auto"/>
        <w:jc w:val="both"/>
        <w:rPr>
          <w:rFonts w:ascii="Arial" w:hAnsi="Arial"/>
          <w:b/>
          <w:sz w:val="22"/>
          <w:szCs w:val="22"/>
        </w:rPr>
      </w:pPr>
      <w:r w:rsidRPr="00DB39C6">
        <w:rPr>
          <w:rFonts w:ascii="Arial" w:hAnsi="Arial"/>
          <w:b/>
          <w:sz w:val="22"/>
          <w:szCs w:val="22"/>
        </w:rPr>
        <w:t>Social Identity Theory</w:t>
      </w:r>
    </w:p>
    <w:p w14:paraId="7BF1E6B0" w14:textId="04C24DEA" w:rsidR="00653826" w:rsidRPr="00DB39C6" w:rsidRDefault="00CF321F" w:rsidP="00FE7B35">
      <w:pPr>
        <w:spacing w:line="360" w:lineRule="auto"/>
        <w:jc w:val="both"/>
        <w:rPr>
          <w:rFonts w:ascii="Arial" w:hAnsi="Arial"/>
          <w:sz w:val="22"/>
          <w:szCs w:val="22"/>
        </w:rPr>
      </w:pPr>
      <w:r w:rsidRPr="00DB39C6">
        <w:rPr>
          <w:rFonts w:ascii="Arial" w:hAnsi="Arial"/>
          <w:sz w:val="22"/>
          <w:szCs w:val="22"/>
        </w:rPr>
        <w:t>As underscored in the Social Identity Theory, the reali</w:t>
      </w:r>
      <w:r w:rsidR="00F3025E" w:rsidRPr="00DB39C6">
        <w:rPr>
          <w:rFonts w:ascii="Arial" w:hAnsi="Arial"/>
          <w:sz w:val="22"/>
          <w:szCs w:val="22"/>
        </w:rPr>
        <w:t>s</w:t>
      </w:r>
      <w:r w:rsidRPr="00DB39C6">
        <w:rPr>
          <w:rFonts w:ascii="Arial" w:hAnsi="Arial"/>
          <w:sz w:val="22"/>
          <w:szCs w:val="22"/>
        </w:rPr>
        <w:t>ation of a positive social identity is essential for a person’s self-esteem (</w:t>
      </w:r>
      <w:r w:rsidR="007B5AED" w:rsidRPr="00DB39C6">
        <w:rPr>
          <w:rFonts w:ascii="Arial" w:hAnsi="Arial"/>
          <w:sz w:val="22"/>
          <w:szCs w:val="22"/>
        </w:rPr>
        <w:t>Kay and Monaghan, 2019</w:t>
      </w:r>
      <w:r w:rsidRPr="00DB39C6">
        <w:rPr>
          <w:rFonts w:ascii="Arial" w:hAnsi="Arial"/>
          <w:sz w:val="22"/>
          <w:szCs w:val="22"/>
        </w:rPr>
        <w:t>). A positive social identity can be cultivated through constructive comparisons between out-group and in-group members, a process commonly positioned as in-group favouritism (</w:t>
      </w:r>
      <w:r w:rsidR="007B5AED" w:rsidRPr="00DB39C6">
        <w:rPr>
          <w:rFonts w:ascii="Arial" w:hAnsi="Arial"/>
          <w:sz w:val="22"/>
          <w:szCs w:val="22"/>
        </w:rPr>
        <w:t>Radburn and Stott, 2019</w:t>
      </w:r>
      <w:r w:rsidRPr="00DB39C6">
        <w:rPr>
          <w:rFonts w:ascii="Arial" w:hAnsi="Arial"/>
          <w:sz w:val="22"/>
          <w:szCs w:val="22"/>
        </w:rPr>
        <w:t>).</w:t>
      </w:r>
      <w:r w:rsidR="00AF6302" w:rsidRPr="00DB39C6">
        <w:rPr>
          <w:rFonts w:ascii="Arial" w:hAnsi="Arial"/>
          <w:sz w:val="22"/>
          <w:szCs w:val="22"/>
        </w:rPr>
        <w:t xml:space="preserve"> When the outcome of this comparison in not satisfactory, a different form of group membership is assumed (</w:t>
      </w:r>
      <w:r w:rsidR="007B5AED" w:rsidRPr="00DB39C6">
        <w:rPr>
          <w:rFonts w:ascii="Arial" w:hAnsi="Arial"/>
          <w:sz w:val="22"/>
          <w:szCs w:val="22"/>
        </w:rPr>
        <w:t>Charness and Chen, 2020</w:t>
      </w:r>
      <w:r w:rsidR="00AF6302" w:rsidRPr="00DB39C6">
        <w:rPr>
          <w:rFonts w:ascii="Arial" w:hAnsi="Arial"/>
          <w:sz w:val="22"/>
          <w:szCs w:val="22"/>
        </w:rPr>
        <w:t>). Individuals associated with groups that are valued negatively, and membership that cannot be voluntarily or easily altered, tend to adopt social creativity strategy such that the meaning of the implication of the group is reconstructed to enable positive evaluations (</w:t>
      </w:r>
      <w:r w:rsidR="007B5AED" w:rsidRPr="00DB39C6">
        <w:rPr>
          <w:rFonts w:ascii="Arial" w:hAnsi="Arial"/>
          <w:sz w:val="22"/>
          <w:szCs w:val="22"/>
        </w:rPr>
        <w:t>Kay and Monaghan, 2019</w:t>
      </w:r>
      <w:r w:rsidR="00AF6302" w:rsidRPr="00DB39C6">
        <w:rPr>
          <w:rFonts w:ascii="Arial" w:hAnsi="Arial"/>
          <w:sz w:val="22"/>
          <w:szCs w:val="22"/>
        </w:rPr>
        <w:t>). While this approach is known to boost the subjective consideration of an in-group, it cannot alter the existence of a disadvantage (</w:t>
      </w:r>
      <w:r w:rsidR="007B5AED" w:rsidRPr="00DB39C6">
        <w:rPr>
          <w:rFonts w:ascii="Arial" w:hAnsi="Arial"/>
          <w:sz w:val="22"/>
          <w:szCs w:val="22"/>
        </w:rPr>
        <w:t>Radburn and Stott, 2019</w:t>
      </w:r>
      <w:r w:rsidR="00AF6302" w:rsidRPr="00DB39C6">
        <w:rPr>
          <w:rFonts w:ascii="Arial" w:hAnsi="Arial"/>
          <w:sz w:val="22"/>
          <w:szCs w:val="22"/>
        </w:rPr>
        <w:t xml:space="preserve">). </w:t>
      </w:r>
      <w:r w:rsidR="00D63527" w:rsidRPr="00DB39C6">
        <w:rPr>
          <w:rFonts w:ascii="Arial" w:hAnsi="Arial"/>
          <w:sz w:val="22"/>
          <w:szCs w:val="22"/>
        </w:rPr>
        <w:t xml:space="preserve">Moreover, while social identity is a </w:t>
      </w:r>
      <w:r w:rsidR="00D63527" w:rsidRPr="00DB39C6">
        <w:rPr>
          <w:rFonts w:ascii="Arial" w:hAnsi="Arial"/>
          <w:sz w:val="22"/>
          <w:szCs w:val="22"/>
        </w:rPr>
        <w:lastRenderedPageBreak/>
        <w:t>vital source of self-esteem, research has established that members of groups with high status tend to report better self-esteem levels when compared to those of low status (</w:t>
      </w:r>
      <w:r w:rsidR="007B5AED" w:rsidRPr="00DB39C6">
        <w:rPr>
          <w:rFonts w:ascii="Arial" w:hAnsi="Arial"/>
          <w:sz w:val="22"/>
          <w:szCs w:val="22"/>
        </w:rPr>
        <w:t>Kay and Monaghan, 2019</w:t>
      </w:r>
      <w:r w:rsidR="00D63527" w:rsidRPr="00DB39C6">
        <w:rPr>
          <w:rFonts w:ascii="Arial" w:hAnsi="Arial"/>
          <w:sz w:val="22"/>
          <w:szCs w:val="22"/>
        </w:rPr>
        <w:t>). It has also been established that people with poor self-esteem are more likely to participate in social differentiation (</w:t>
      </w:r>
      <w:r w:rsidR="00774366" w:rsidRPr="00DB39C6">
        <w:rPr>
          <w:rFonts w:ascii="Arial" w:hAnsi="Arial"/>
          <w:sz w:val="22"/>
          <w:szCs w:val="22"/>
        </w:rPr>
        <w:t>Bochatay et al., 2019</w:t>
      </w:r>
      <w:r w:rsidR="00D63527" w:rsidRPr="00DB39C6">
        <w:rPr>
          <w:rFonts w:ascii="Arial" w:hAnsi="Arial"/>
          <w:sz w:val="22"/>
          <w:szCs w:val="22"/>
        </w:rPr>
        <w:t>)</w:t>
      </w:r>
      <w:r w:rsidR="00F0187A" w:rsidRPr="00DB39C6">
        <w:rPr>
          <w:rFonts w:ascii="Arial" w:hAnsi="Arial"/>
          <w:sz w:val="22"/>
          <w:szCs w:val="22"/>
        </w:rPr>
        <w:t xml:space="preserve">, which results in a strong identification with a specific group. Therefore, augmented social identity standing is a function of low self-esteem and is not constantly predictive of optimistic self-evaluations. </w:t>
      </w:r>
    </w:p>
    <w:p w14:paraId="39932CCF" w14:textId="50152F04" w:rsidR="004E52DD" w:rsidRPr="00DB39C6" w:rsidRDefault="00CF321F" w:rsidP="00FE7B35">
      <w:pPr>
        <w:spacing w:line="360" w:lineRule="auto"/>
        <w:jc w:val="both"/>
        <w:rPr>
          <w:rFonts w:ascii="Arial" w:hAnsi="Arial"/>
          <w:b/>
          <w:sz w:val="22"/>
          <w:szCs w:val="22"/>
        </w:rPr>
      </w:pPr>
      <w:r w:rsidRPr="00DB39C6">
        <w:rPr>
          <w:rFonts w:ascii="Arial" w:hAnsi="Arial"/>
          <w:b/>
          <w:sz w:val="22"/>
          <w:szCs w:val="22"/>
        </w:rPr>
        <w:t xml:space="preserve">The Theory of Planned </w:t>
      </w:r>
      <w:r w:rsidR="00F3025E" w:rsidRPr="00DB39C6">
        <w:rPr>
          <w:rFonts w:ascii="Arial" w:hAnsi="Arial"/>
          <w:b/>
          <w:sz w:val="22"/>
          <w:szCs w:val="22"/>
        </w:rPr>
        <w:t>Behaviour</w:t>
      </w:r>
    </w:p>
    <w:p w14:paraId="2EE38431" w14:textId="0D80AD5C" w:rsidR="004E52DD" w:rsidRPr="00DB39C6" w:rsidRDefault="00CF321F" w:rsidP="00FE7B35">
      <w:pPr>
        <w:spacing w:line="360" w:lineRule="auto"/>
        <w:jc w:val="both"/>
        <w:rPr>
          <w:rFonts w:ascii="Arial" w:hAnsi="Arial"/>
          <w:sz w:val="22"/>
          <w:szCs w:val="22"/>
        </w:rPr>
      </w:pPr>
      <w:r w:rsidRPr="00DB39C6">
        <w:rPr>
          <w:rFonts w:ascii="Arial" w:hAnsi="Arial"/>
          <w:sz w:val="22"/>
          <w:szCs w:val="22"/>
        </w:rPr>
        <w:t xml:space="preserve">The </w:t>
      </w:r>
      <w:r w:rsidR="002B3594" w:rsidRPr="00DB39C6">
        <w:rPr>
          <w:rFonts w:ascii="Arial" w:hAnsi="Arial"/>
          <w:sz w:val="22"/>
          <w:szCs w:val="22"/>
        </w:rPr>
        <w:t>‘</w:t>
      </w:r>
      <w:r w:rsidRPr="00DB39C6">
        <w:rPr>
          <w:rFonts w:ascii="Arial" w:hAnsi="Arial"/>
          <w:sz w:val="22"/>
          <w:szCs w:val="22"/>
        </w:rPr>
        <w:t xml:space="preserve">Theory of Planned </w:t>
      </w:r>
      <w:r w:rsidR="00F3025E" w:rsidRPr="00DB39C6">
        <w:rPr>
          <w:rFonts w:ascii="Arial" w:hAnsi="Arial"/>
          <w:sz w:val="22"/>
          <w:szCs w:val="22"/>
        </w:rPr>
        <w:t>Behaviour</w:t>
      </w:r>
      <w:r w:rsidRPr="00DB39C6">
        <w:rPr>
          <w:rFonts w:ascii="Arial" w:hAnsi="Arial"/>
          <w:sz w:val="22"/>
          <w:szCs w:val="22"/>
        </w:rPr>
        <w:t xml:space="preserve"> (TPB)</w:t>
      </w:r>
      <w:r w:rsidR="002B3594" w:rsidRPr="00DB39C6">
        <w:rPr>
          <w:rFonts w:ascii="Arial" w:hAnsi="Arial"/>
          <w:sz w:val="22"/>
          <w:szCs w:val="22"/>
        </w:rPr>
        <w:t>’</w:t>
      </w:r>
      <w:r w:rsidRPr="00DB39C6">
        <w:rPr>
          <w:rFonts w:ascii="Arial" w:hAnsi="Arial"/>
          <w:sz w:val="22"/>
          <w:szCs w:val="22"/>
        </w:rPr>
        <w:t xml:space="preserve"> argues that both plans and actual behaviour are </w:t>
      </w:r>
      <w:r w:rsidR="00905B51" w:rsidRPr="00DB39C6">
        <w:rPr>
          <w:rFonts w:ascii="Arial" w:hAnsi="Arial"/>
          <w:sz w:val="22"/>
          <w:szCs w:val="22"/>
        </w:rPr>
        <w:t>subjective</w:t>
      </w:r>
      <w:r w:rsidRPr="00DB39C6">
        <w:rPr>
          <w:rFonts w:ascii="Arial" w:hAnsi="Arial"/>
          <w:sz w:val="22"/>
          <w:szCs w:val="22"/>
        </w:rPr>
        <w:t xml:space="preserve"> </w:t>
      </w:r>
      <w:r w:rsidR="00905B51" w:rsidRPr="00DB39C6">
        <w:rPr>
          <w:rFonts w:ascii="Arial" w:hAnsi="Arial"/>
          <w:sz w:val="22"/>
          <w:szCs w:val="22"/>
        </w:rPr>
        <w:t>to</w:t>
      </w:r>
      <w:r w:rsidRPr="00DB39C6">
        <w:rPr>
          <w:rFonts w:ascii="Arial" w:hAnsi="Arial"/>
          <w:sz w:val="22"/>
          <w:szCs w:val="22"/>
        </w:rPr>
        <w:t xml:space="preserve"> attitudes and norms</w:t>
      </w:r>
      <w:r w:rsidR="00F848D0" w:rsidRPr="00DB39C6">
        <w:rPr>
          <w:rFonts w:ascii="Arial" w:hAnsi="Arial"/>
          <w:sz w:val="22"/>
          <w:szCs w:val="22"/>
        </w:rPr>
        <w:t xml:space="preserve"> (Foster and Fullagar, 2018)</w:t>
      </w:r>
      <w:r w:rsidR="008F245C" w:rsidRPr="00DB39C6">
        <w:rPr>
          <w:rFonts w:ascii="Arial" w:hAnsi="Arial"/>
          <w:sz w:val="22"/>
          <w:szCs w:val="22"/>
        </w:rPr>
        <w:t xml:space="preserve">. Moreover, TPB underscores the significance of perceived behaviour control which refers to individuals' </w:t>
      </w:r>
      <w:r w:rsidR="009C4B50" w:rsidRPr="00DB39C6">
        <w:rPr>
          <w:rFonts w:ascii="Arial" w:hAnsi="Arial"/>
          <w:sz w:val="22"/>
          <w:szCs w:val="22"/>
        </w:rPr>
        <w:t xml:space="preserve">considerations of their capacity to perform certain behaviours. </w:t>
      </w:r>
      <w:r w:rsidR="007B5AED" w:rsidRPr="00DB39C6">
        <w:rPr>
          <w:rFonts w:ascii="Arial" w:hAnsi="Arial"/>
          <w:sz w:val="22"/>
          <w:szCs w:val="22"/>
        </w:rPr>
        <w:t>Foster and Fullagar (2018</w:t>
      </w:r>
      <w:r w:rsidR="009C4B50" w:rsidRPr="00DB39C6">
        <w:rPr>
          <w:rFonts w:ascii="Arial" w:hAnsi="Arial"/>
          <w:sz w:val="22"/>
          <w:szCs w:val="22"/>
        </w:rPr>
        <w:t xml:space="preserve">) </w:t>
      </w:r>
      <w:r w:rsidR="002B3594" w:rsidRPr="00DB39C6">
        <w:rPr>
          <w:rFonts w:ascii="Arial" w:hAnsi="Arial"/>
          <w:sz w:val="22"/>
          <w:szCs w:val="22"/>
        </w:rPr>
        <w:t xml:space="preserve">posit that ‘perceived behaviour control’ can be a person’s belief of easiness or difficulty of </w:t>
      </w:r>
      <w:r w:rsidR="00F3025E" w:rsidRPr="00DB39C6">
        <w:rPr>
          <w:rFonts w:ascii="Arial" w:hAnsi="Arial"/>
          <w:sz w:val="22"/>
          <w:szCs w:val="22"/>
        </w:rPr>
        <w:t>engaging</w:t>
      </w:r>
      <w:r w:rsidR="002B3594" w:rsidRPr="00DB39C6">
        <w:rPr>
          <w:rFonts w:ascii="Arial" w:hAnsi="Arial"/>
          <w:sz w:val="22"/>
          <w:szCs w:val="22"/>
        </w:rPr>
        <w:t xml:space="preserve"> </w:t>
      </w:r>
      <w:r w:rsidR="00F3025E" w:rsidRPr="00DB39C6">
        <w:rPr>
          <w:rFonts w:ascii="Arial" w:hAnsi="Arial"/>
          <w:sz w:val="22"/>
          <w:szCs w:val="22"/>
        </w:rPr>
        <w:t>in a</w:t>
      </w:r>
      <w:r w:rsidR="002B3594" w:rsidRPr="00DB39C6">
        <w:rPr>
          <w:rFonts w:ascii="Arial" w:hAnsi="Arial"/>
          <w:sz w:val="22"/>
          <w:szCs w:val="22"/>
        </w:rPr>
        <w:t xml:space="preserve"> certain behaviour</w:t>
      </w:r>
      <w:r w:rsidR="009C4B50" w:rsidRPr="00DB39C6">
        <w:rPr>
          <w:rFonts w:ascii="Arial" w:hAnsi="Arial"/>
          <w:sz w:val="22"/>
          <w:szCs w:val="22"/>
        </w:rPr>
        <w:t>. However, perceptions of 'difficult/easy' and 'not controllable/controllable' are not founded on similar concepts (</w:t>
      </w:r>
      <w:r w:rsidR="00C05226" w:rsidRPr="00DB39C6">
        <w:rPr>
          <w:rFonts w:ascii="Arial" w:hAnsi="Arial"/>
          <w:sz w:val="22"/>
          <w:szCs w:val="22"/>
        </w:rPr>
        <w:t>Taing and Chang, 2021</w:t>
      </w:r>
      <w:r w:rsidR="009C4B50" w:rsidRPr="00DB39C6">
        <w:rPr>
          <w:rFonts w:ascii="Arial" w:hAnsi="Arial"/>
          <w:sz w:val="22"/>
          <w:szCs w:val="22"/>
        </w:rPr>
        <w:t>) are two perspectives perceived behaviour control</w:t>
      </w:r>
      <w:r w:rsidR="007A58D3" w:rsidRPr="00DB39C6">
        <w:rPr>
          <w:rFonts w:ascii="Arial" w:hAnsi="Arial"/>
          <w:sz w:val="22"/>
          <w:szCs w:val="22"/>
        </w:rPr>
        <w:t>. Consequently, the theory of perceived behaviour can be applied in analy</w:t>
      </w:r>
      <w:r w:rsidR="00F3025E" w:rsidRPr="00DB39C6">
        <w:rPr>
          <w:rFonts w:ascii="Arial" w:hAnsi="Arial"/>
          <w:sz w:val="22"/>
          <w:szCs w:val="22"/>
        </w:rPr>
        <w:t>s</w:t>
      </w:r>
      <w:r w:rsidR="007A58D3" w:rsidRPr="00DB39C6">
        <w:rPr>
          <w:rFonts w:ascii="Arial" w:hAnsi="Arial"/>
          <w:sz w:val="22"/>
          <w:szCs w:val="22"/>
        </w:rPr>
        <w:t xml:space="preserve">ing how interpersonal developments and primary groups such as peers, friends, and family provide a person with role definition, support, and social identity. </w:t>
      </w:r>
      <w:r w:rsidR="004C4A3C" w:rsidRPr="00DB39C6">
        <w:rPr>
          <w:rFonts w:ascii="Arial" w:hAnsi="Arial"/>
          <w:sz w:val="22"/>
          <w:szCs w:val="22"/>
        </w:rPr>
        <w:t>Specifically, Gareth being a teenager in aggressive situations who identifies himself as deficient in skills, time and other vital conflict resolution strategies may not consider not fighting or problem-solving as a possible strategy (</w:t>
      </w:r>
      <w:r w:rsidR="005B194D" w:rsidRPr="00DB39C6">
        <w:rPr>
          <w:rFonts w:ascii="Arial" w:hAnsi="Arial"/>
          <w:sz w:val="22"/>
          <w:szCs w:val="22"/>
        </w:rPr>
        <w:t>Yang et al., 2018</w:t>
      </w:r>
      <w:r w:rsidR="004C4A3C" w:rsidRPr="00DB39C6">
        <w:rPr>
          <w:rFonts w:ascii="Arial" w:hAnsi="Arial"/>
          <w:sz w:val="22"/>
          <w:szCs w:val="22"/>
        </w:rPr>
        <w:t xml:space="preserve">). Rather, he perceives himself as lacking sufficient control over his behaviours during aggressive situations which makes him commit aggressive acts. </w:t>
      </w:r>
      <w:r w:rsidR="00C05226" w:rsidRPr="00DB39C6">
        <w:rPr>
          <w:rFonts w:ascii="Arial" w:hAnsi="Arial"/>
          <w:sz w:val="22"/>
          <w:szCs w:val="22"/>
        </w:rPr>
        <w:t>Taing and Chang's (2021</w:t>
      </w:r>
      <w:r w:rsidR="003B19BA" w:rsidRPr="00DB39C6">
        <w:rPr>
          <w:rFonts w:ascii="Arial" w:hAnsi="Arial"/>
          <w:sz w:val="22"/>
          <w:szCs w:val="22"/>
        </w:rPr>
        <w:t xml:space="preserve">) study established that perceived norms of both parental and peer relationships are significant predictors of aggressive behaviours. This </w:t>
      </w:r>
      <w:r w:rsidR="00341995" w:rsidRPr="00DB39C6">
        <w:rPr>
          <w:rFonts w:ascii="Arial" w:hAnsi="Arial"/>
          <w:sz w:val="22"/>
          <w:szCs w:val="22"/>
        </w:rPr>
        <w:t>agrees</w:t>
      </w:r>
      <w:r w:rsidR="003B19BA" w:rsidRPr="00DB39C6">
        <w:rPr>
          <w:rFonts w:ascii="Arial" w:hAnsi="Arial"/>
          <w:sz w:val="22"/>
          <w:szCs w:val="22"/>
        </w:rPr>
        <w:t xml:space="preserve"> with established youth development models that are founded on a social-ecological paradigm to position social foundations of health, such as relationships with family and peers, which significantly influence the well-being of youths (</w:t>
      </w:r>
      <w:r w:rsidR="007B5AED" w:rsidRPr="00DB39C6">
        <w:rPr>
          <w:rFonts w:ascii="Arial" w:hAnsi="Arial"/>
          <w:sz w:val="22"/>
          <w:szCs w:val="22"/>
        </w:rPr>
        <w:t>Foster and Fullagar, 2018</w:t>
      </w:r>
      <w:r w:rsidR="003B19BA" w:rsidRPr="00DB39C6">
        <w:rPr>
          <w:rFonts w:ascii="Arial" w:hAnsi="Arial"/>
          <w:sz w:val="22"/>
          <w:szCs w:val="22"/>
        </w:rPr>
        <w:t xml:space="preserve">). For Gareth, his perception of the relationship that he has with his peers appears to be more significant than his attitude towards aggressive conduct. </w:t>
      </w:r>
      <w:r w:rsidR="00570D45" w:rsidRPr="00DB39C6">
        <w:rPr>
          <w:rFonts w:ascii="Arial" w:hAnsi="Arial"/>
          <w:sz w:val="22"/>
          <w:szCs w:val="22"/>
        </w:rPr>
        <w:t>Characteristics associated with criminal behaviours in the literature include family factors, demographic factors, peer and school factors and low social and economic status (</w:t>
      </w:r>
      <w:r w:rsidR="005B194D" w:rsidRPr="00DB39C6">
        <w:rPr>
          <w:rFonts w:ascii="Arial" w:hAnsi="Arial"/>
          <w:sz w:val="22"/>
          <w:szCs w:val="22"/>
        </w:rPr>
        <w:t>Taing and Chang, 2021</w:t>
      </w:r>
      <w:r w:rsidR="00570D45" w:rsidRPr="00DB39C6">
        <w:rPr>
          <w:rFonts w:ascii="Arial" w:hAnsi="Arial"/>
          <w:sz w:val="22"/>
          <w:szCs w:val="22"/>
        </w:rPr>
        <w:t xml:space="preserve">). </w:t>
      </w:r>
      <w:r w:rsidR="001E021F" w:rsidRPr="00DB39C6">
        <w:rPr>
          <w:rFonts w:ascii="Arial" w:hAnsi="Arial"/>
          <w:sz w:val="22"/>
          <w:szCs w:val="22"/>
        </w:rPr>
        <w:t xml:space="preserve">It can be predicted that perceived behaviour control is connected to criminal behaviours. </w:t>
      </w:r>
      <w:r w:rsidR="005B194D" w:rsidRPr="00DB39C6">
        <w:rPr>
          <w:rFonts w:ascii="Arial" w:hAnsi="Arial"/>
          <w:sz w:val="22"/>
          <w:szCs w:val="22"/>
        </w:rPr>
        <w:t>Yang et al. (2018</w:t>
      </w:r>
      <w:r w:rsidR="001E021F" w:rsidRPr="00DB39C6">
        <w:rPr>
          <w:rFonts w:ascii="Arial" w:hAnsi="Arial"/>
          <w:sz w:val="22"/>
          <w:szCs w:val="22"/>
        </w:rPr>
        <w:t xml:space="preserve">) </w:t>
      </w:r>
      <w:r w:rsidR="00934397" w:rsidRPr="00DB39C6">
        <w:rPr>
          <w:rFonts w:ascii="Arial" w:hAnsi="Arial"/>
          <w:sz w:val="22"/>
          <w:szCs w:val="22"/>
        </w:rPr>
        <w:t xml:space="preserve">found that self-control significantly lessens the chances of youths manifesting aggressive and criminal behaviours. It can be claimed that Gareth's perception of his own behaviour is connected to his perception of what he would do rather than a reflection of his control level and hence his behaviour. </w:t>
      </w:r>
      <w:r w:rsidR="008B59EF" w:rsidRPr="00DB39C6">
        <w:rPr>
          <w:rFonts w:ascii="Arial" w:hAnsi="Arial"/>
          <w:sz w:val="22"/>
          <w:szCs w:val="22"/>
        </w:rPr>
        <w:t xml:space="preserve">Moreover, living in communities that are economically </w:t>
      </w:r>
      <w:r w:rsidR="008B59EF" w:rsidRPr="00DB39C6">
        <w:rPr>
          <w:rFonts w:ascii="Arial" w:hAnsi="Arial"/>
          <w:sz w:val="22"/>
          <w:szCs w:val="22"/>
        </w:rPr>
        <w:lastRenderedPageBreak/>
        <w:t>disadvantaged has been found to enhance the possibility of a youth participating in deviant peer relationships, easy access to weapons, personal knowledge regarding violent victimi</w:t>
      </w:r>
      <w:r w:rsidR="00F3025E" w:rsidRPr="00DB39C6">
        <w:rPr>
          <w:rFonts w:ascii="Arial" w:hAnsi="Arial"/>
          <w:sz w:val="22"/>
          <w:szCs w:val="22"/>
        </w:rPr>
        <w:t>s</w:t>
      </w:r>
      <w:r w:rsidR="008B59EF" w:rsidRPr="00DB39C6">
        <w:rPr>
          <w:rFonts w:ascii="Arial" w:hAnsi="Arial"/>
          <w:sz w:val="22"/>
          <w:szCs w:val="22"/>
        </w:rPr>
        <w:t xml:space="preserve">ation, observing community violence, and </w:t>
      </w:r>
      <w:r w:rsidR="001D0E42" w:rsidRPr="00DB39C6">
        <w:rPr>
          <w:rFonts w:ascii="Arial" w:hAnsi="Arial"/>
          <w:sz w:val="22"/>
          <w:szCs w:val="22"/>
        </w:rPr>
        <w:t>expectations of exposure to victimi</w:t>
      </w:r>
      <w:r w:rsidR="00F3025E" w:rsidRPr="00DB39C6">
        <w:rPr>
          <w:rFonts w:ascii="Arial" w:hAnsi="Arial"/>
          <w:sz w:val="22"/>
          <w:szCs w:val="22"/>
        </w:rPr>
        <w:t>s</w:t>
      </w:r>
      <w:r w:rsidR="001D0E42" w:rsidRPr="00DB39C6">
        <w:rPr>
          <w:rFonts w:ascii="Arial" w:hAnsi="Arial"/>
          <w:sz w:val="22"/>
          <w:szCs w:val="22"/>
        </w:rPr>
        <w:t xml:space="preserve">ation </w:t>
      </w:r>
      <w:r w:rsidR="00F3025E" w:rsidRPr="00DB39C6">
        <w:rPr>
          <w:rFonts w:ascii="Arial" w:hAnsi="Arial"/>
          <w:sz w:val="22"/>
          <w:szCs w:val="22"/>
        </w:rPr>
        <w:t>resulting</w:t>
      </w:r>
      <w:r w:rsidR="001D0E42" w:rsidRPr="00DB39C6">
        <w:rPr>
          <w:rFonts w:ascii="Arial" w:hAnsi="Arial"/>
          <w:sz w:val="22"/>
          <w:szCs w:val="22"/>
        </w:rPr>
        <w:t xml:space="preserve"> in death, which impedes the effectiveness of families in managing aggressive behaviours among youth (</w:t>
      </w:r>
      <w:r w:rsidR="00C05226" w:rsidRPr="00DB39C6">
        <w:rPr>
          <w:rFonts w:ascii="Arial" w:hAnsi="Arial"/>
          <w:sz w:val="22"/>
          <w:szCs w:val="22"/>
        </w:rPr>
        <w:t>Yang et al., 2018</w:t>
      </w:r>
      <w:r w:rsidR="001D0E42" w:rsidRPr="00DB39C6">
        <w:rPr>
          <w:rFonts w:ascii="Arial" w:hAnsi="Arial"/>
          <w:sz w:val="22"/>
          <w:szCs w:val="22"/>
        </w:rPr>
        <w:t xml:space="preserve">). Research has established that relationships with parents and peers, as well as self-control diminish the risks associated with aggressive behaviours among teenagers living in such environments that are high risk </w:t>
      </w:r>
      <w:r w:rsidR="007B5AED" w:rsidRPr="00DB39C6">
        <w:rPr>
          <w:rFonts w:ascii="Arial" w:hAnsi="Arial"/>
          <w:sz w:val="22"/>
          <w:szCs w:val="22"/>
        </w:rPr>
        <w:t>(Foster and Fullagar, 2018</w:t>
      </w:r>
      <w:r w:rsidR="001D0E42" w:rsidRPr="00DB39C6">
        <w:rPr>
          <w:rFonts w:ascii="Arial" w:hAnsi="Arial"/>
          <w:sz w:val="22"/>
          <w:szCs w:val="22"/>
        </w:rPr>
        <w:t>).</w:t>
      </w:r>
    </w:p>
    <w:p w14:paraId="540AC0FD" w14:textId="465A1C12" w:rsidR="004E52DD" w:rsidRPr="00DB39C6" w:rsidRDefault="00CF321F" w:rsidP="00FE7B35">
      <w:pPr>
        <w:spacing w:line="360" w:lineRule="auto"/>
        <w:jc w:val="both"/>
        <w:rPr>
          <w:rFonts w:ascii="Arial" w:hAnsi="Arial"/>
          <w:b/>
          <w:sz w:val="22"/>
          <w:szCs w:val="22"/>
        </w:rPr>
      </w:pPr>
      <w:r w:rsidRPr="00DB39C6">
        <w:rPr>
          <w:rFonts w:ascii="Arial" w:hAnsi="Arial"/>
          <w:b/>
          <w:sz w:val="22"/>
          <w:szCs w:val="22"/>
        </w:rPr>
        <w:t xml:space="preserve"> Frustration-Aggression Hypothesis</w:t>
      </w:r>
    </w:p>
    <w:p w14:paraId="33BB4505" w14:textId="2F15BCC8" w:rsidR="00FC72D8" w:rsidRPr="00DB39C6" w:rsidRDefault="00CF321F" w:rsidP="00FE7B35">
      <w:pPr>
        <w:spacing w:line="360" w:lineRule="auto"/>
        <w:jc w:val="both"/>
        <w:rPr>
          <w:rFonts w:ascii="Arial" w:hAnsi="Arial"/>
          <w:sz w:val="22"/>
          <w:szCs w:val="22"/>
        </w:rPr>
      </w:pPr>
      <w:r w:rsidRPr="00DB39C6">
        <w:rPr>
          <w:rFonts w:ascii="Arial" w:hAnsi="Arial"/>
          <w:sz w:val="22"/>
          <w:szCs w:val="22"/>
        </w:rPr>
        <w:t>A</w:t>
      </w:r>
      <w:r w:rsidR="005D0260" w:rsidRPr="00DB39C6">
        <w:rPr>
          <w:rFonts w:ascii="Arial" w:hAnsi="Arial"/>
          <w:sz w:val="22"/>
          <w:szCs w:val="22"/>
        </w:rPr>
        <w:t xml:space="preserve">ggression is viewed to be a product of frustration under the Frustration-Aggression Hypothesis. </w:t>
      </w:r>
      <w:r w:rsidR="002B3594" w:rsidRPr="00DB39C6">
        <w:rPr>
          <w:rFonts w:ascii="Arial" w:hAnsi="Arial"/>
          <w:sz w:val="22"/>
          <w:szCs w:val="22"/>
        </w:rPr>
        <w:t xml:space="preserve">Any event or provocation that can hinder an individual from realising a certain goal and its related reinforcement quality is referred to as frustration </w:t>
      </w:r>
      <w:r w:rsidR="00686D5D" w:rsidRPr="00DB39C6">
        <w:rPr>
          <w:rFonts w:ascii="Arial" w:hAnsi="Arial"/>
          <w:sz w:val="22"/>
          <w:szCs w:val="22"/>
        </w:rPr>
        <w:t>(</w:t>
      </w:r>
      <w:r w:rsidR="00206F50" w:rsidRPr="00DB39C6">
        <w:rPr>
          <w:rFonts w:ascii="Arial" w:hAnsi="Arial"/>
          <w:sz w:val="22"/>
          <w:szCs w:val="22"/>
        </w:rPr>
        <w:t>Dunlea and Heiphetz, 2020</w:t>
      </w:r>
      <w:r w:rsidR="00686D5D" w:rsidRPr="00DB39C6">
        <w:rPr>
          <w:rFonts w:ascii="Arial" w:hAnsi="Arial"/>
          <w:sz w:val="22"/>
          <w:szCs w:val="22"/>
        </w:rPr>
        <w:t>). Accordingly, the inability of an individual to attain a given goal, the obligation to block needs, feelings and emotions, and live with dissatisfaction and frustration can cause inappropriate behaviour and violence (</w:t>
      </w:r>
      <w:r w:rsidR="00206F50" w:rsidRPr="00DB39C6">
        <w:rPr>
          <w:rFonts w:ascii="Arial" w:hAnsi="Arial"/>
          <w:sz w:val="22"/>
          <w:szCs w:val="22"/>
        </w:rPr>
        <w:t>Ajah and Ugwuoke, 2018</w:t>
      </w:r>
      <w:r w:rsidR="00686D5D" w:rsidRPr="00DB39C6">
        <w:rPr>
          <w:rFonts w:ascii="Arial" w:hAnsi="Arial"/>
          <w:sz w:val="22"/>
          <w:szCs w:val="22"/>
        </w:rPr>
        <w:t>). Gareth</w:t>
      </w:r>
      <w:r w:rsidR="0052712B" w:rsidRPr="00DB39C6">
        <w:rPr>
          <w:rFonts w:ascii="Arial" w:hAnsi="Arial"/>
          <w:sz w:val="22"/>
          <w:szCs w:val="22"/>
        </w:rPr>
        <w:t>’s case</w:t>
      </w:r>
      <w:r w:rsidR="00686D5D" w:rsidRPr="00DB39C6">
        <w:rPr>
          <w:rFonts w:ascii="Arial" w:hAnsi="Arial"/>
          <w:sz w:val="22"/>
          <w:szCs w:val="22"/>
        </w:rPr>
        <w:t xml:space="preserve"> highlights how an individual’s </w:t>
      </w:r>
      <w:r w:rsidR="0052712B" w:rsidRPr="00DB39C6">
        <w:rPr>
          <w:rFonts w:ascii="Arial" w:hAnsi="Arial"/>
          <w:sz w:val="22"/>
          <w:szCs w:val="22"/>
        </w:rPr>
        <w:t>frustrations affect the lives of many people within a society. Gareth's words, thoughts, actions, and behaviour cause many misunderstandings. It is evident that the Youth Offending Team has been unable to understand and support him effectively. This implies conceptuali</w:t>
      </w:r>
      <w:r w:rsidR="00F3025E" w:rsidRPr="00DB39C6">
        <w:rPr>
          <w:rFonts w:ascii="Arial" w:hAnsi="Arial"/>
          <w:sz w:val="22"/>
          <w:szCs w:val="22"/>
        </w:rPr>
        <w:t>s</w:t>
      </w:r>
      <w:r w:rsidR="0052712B" w:rsidRPr="00DB39C6">
        <w:rPr>
          <w:rFonts w:ascii="Arial" w:hAnsi="Arial"/>
          <w:sz w:val="22"/>
          <w:szCs w:val="22"/>
        </w:rPr>
        <w:t>ing the case under the Frustration-Aggression Theory, which affirms that frustration breeds a desire to aggress (</w:t>
      </w:r>
      <w:r w:rsidR="00206F50" w:rsidRPr="00DB39C6">
        <w:rPr>
          <w:rFonts w:ascii="Arial" w:hAnsi="Arial"/>
          <w:sz w:val="22"/>
          <w:szCs w:val="22"/>
        </w:rPr>
        <w:t>Lankford, 2021</w:t>
      </w:r>
      <w:r w:rsidR="0052712B" w:rsidRPr="00DB39C6">
        <w:rPr>
          <w:rFonts w:ascii="Arial" w:hAnsi="Arial"/>
          <w:sz w:val="22"/>
          <w:szCs w:val="22"/>
        </w:rPr>
        <w:t xml:space="preserve">). </w:t>
      </w:r>
      <w:r w:rsidR="00D7733D" w:rsidRPr="00DB39C6">
        <w:rPr>
          <w:rFonts w:ascii="Arial" w:hAnsi="Arial"/>
          <w:sz w:val="22"/>
          <w:szCs w:val="22"/>
        </w:rPr>
        <w:t>While Gareth's aggression was unexpected as he was resistant to people that were attempting to make his life more meaningful, Gareth could have been upset due to the necessity of taking care of his future life. Gareth could have been facing challenges with coping with the personal challenges and duties of being a straightforward member of the society. He was, therefore, confused and not thinking rationally. He, therefore, made a mistake that would mean facing more repercussions from a criminal justice point of view. The Frustration-Aggression Theory underlines the fact that aggression takes various forms, and individuals tend to be in danger due to their limited capacity of timely discovering aggression</w:t>
      </w:r>
      <w:r w:rsidR="00206F50" w:rsidRPr="00DB39C6">
        <w:rPr>
          <w:rFonts w:ascii="Arial" w:hAnsi="Arial"/>
          <w:sz w:val="22"/>
          <w:szCs w:val="22"/>
        </w:rPr>
        <w:t xml:space="preserve"> (Das et al., 2019)</w:t>
      </w:r>
      <w:r w:rsidR="00D7733D" w:rsidRPr="00DB39C6">
        <w:rPr>
          <w:rFonts w:ascii="Arial" w:hAnsi="Arial"/>
          <w:sz w:val="22"/>
          <w:szCs w:val="22"/>
        </w:rPr>
        <w:t xml:space="preserve">. The Youth Offending Team can observe the effects of Gareth's actions, but as it appears it may be too late to salvage him from further punishment from the criminal justice system. </w:t>
      </w:r>
    </w:p>
    <w:p w14:paraId="64B62143" w14:textId="5763D4F6" w:rsidR="004E52DD" w:rsidRPr="00DB39C6" w:rsidRDefault="00CF321F" w:rsidP="00FE7B35">
      <w:pPr>
        <w:spacing w:line="360" w:lineRule="auto"/>
        <w:jc w:val="both"/>
        <w:rPr>
          <w:rFonts w:ascii="Arial" w:hAnsi="Arial"/>
          <w:b/>
          <w:sz w:val="22"/>
          <w:szCs w:val="22"/>
        </w:rPr>
      </w:pPr>
      <w:r w:rsidRPr="00DB39C6">
        <w:rPr>
          <w:rFonts w:ascii="Arial" w:hAnsi="Arial"/>
          <w:b/>
          <w:sz w:val="22"/>
          <w:szCs w:val="22"/>
        </w:rPr>
        <w:t>Social Identity and Aggression</w:t>
      </w:r>
    </w:p>
    <w:p w14:paraId="59636844" w14:textId="2B2AABB7" w:rsidR="00C313A5" w:rsidRPr="00DB39C6" w:rsidRDefault="00CF321F" w:rsidP="00FE7B35">
      <w:pPr>
        <w:spacing w:line="360" w:lineRule="auto"/>
        <w:jc w:val="both"/>
        <w:rPr>
          <w:rFonts w:ascii="Arial" w:hAnsi="Arial"/>
          <w:sz w:val="22"/>
          <w:szCs w:val="22"/>
        </w:rPr>
      </w:pPr>
      <w:r w:rsidRPr="00DB39C6">
        <w:rPr>
          <w:rFonts w:ascii="Arial" w:hAnsi="Arial"/>
          <w:sz w:val="22"/>
          <w:szCs w:val="22"/>
        </w:rPr>
        <w:t>It is easier to act aggressively when an individual perceives others in the out-group as all the same or inferior</w:t>
      </w:r>
      <w:r w:rsidR="00F3025E" w:rsidRPr="00DB39C6">
        <w:rPr>
          <w:rFonts w:ascii="Arial" w:hAnsi="Arial"/>
          <w:sz w:val="22"/>
          <w:szCs w:val="22"/>
        </w:rPr>
        <w:t xml:space="preserve"> (Dunlea and Heiphetz, 2020)</w:t>
      </w:r>
      <w:r w:rsidRPr="00DB39C6">
        <w:rPr>
          <w:rFonts w:ascii="Arial" w:hAnsi="Arial"/>
          <w:sz w:val="22"/>
          <w:szCs w:val="22"/>
        </w:rPr>
        <w:t xml:space="preserve">. Aggression directed at individuals outside one's group is common within the criminal justice system when a person undergoing </w:t>
      </w:r>
      <w:r w:rsidRPr="00DB39C6">
        <w:rPr>
          <w:rFonts w:ascii="Arial" w:hAnsi="Arial"/>
          <w:sz w:val="22"/>
          <w:szCs w:val="22"/>
        </w:rPr>
        <w:lastRenderedPageBreak/>
        <w:t xml:space="preserve">rehabilitation </w:t>
      </w:r>
      <w:r w:rsidR="004D5FCC" w:rsidRPr="00DB39C6">
        <w:rPr>
          <w:rFonts w:ascii="Arial" w:hAnsi="Arial"/>
          <w:sz w:val="22"/>
          <w:szCs w:val="22"/>
        </w:rPr>
        <w:t>views individuals outside their group as both indistinguishable and evil, regardless of whether they are trying to assist them or not</w:t>
      </w:r>
      <w:r w:rsidR="00206F50" w:rsidRPr="00DB39C6">
        <w:rPr>
          <w:rFonts w:ascii="Arial" w:hAnsi="Arial"/>
          <w:sz w:val="22"/>
          <w:szCs w:val="22"/>
        </w:rPr>
        <w:t xml:space="preserve"> (Das et al., 2019)</w:t>
      </w:r>
      <w:r w:rsidR="004D5FCC" w:rsidRPr="00DB39C6">
        <w:rPr>
          <w:rFonts w:ascii="Arial" w:hAnsi="Arial"/>
          <w:sz w:val="22"/>
          <w:szCs w:val="22"/>
        </w:rPr>
        <w:t>. Moreover, aggressive behaviours are learned in a similar fashion as other behaviours through observing others. Therefore, when parents are aggressive, the child is expected to model his/her behaviour on similar grounds. This underlines why the cycle of criminal behaviours tends to be generational (</w:t>
      </w:r>
      <w:r w:rsidR="007B5AED" w:rsidRPr="00DB39C6">
        <w:rPr>
          <w:rFonts w:ascii="Arial" w:hAnsi="Arial"/>
          <w:sz w:val="22"/>
          <w:szCs w:val="22"/>
        </w:rPr>
        <w:t>Foster and Fullagar, 2018</w:t>
      </w:r>
      <w:r w:rsidR="004D5FCC" w:rsidRPr="00DB39C6">
        <w:rPr>
          <w:rFonts w:ascii="Arial" w:hAnsi="Arial"/>
          <w:sz w:val="22"/>
          <w:szCs w:val="22"/>
        </w:rPr>
        <w:t xml:space="preserve">). </w:t>
      </w:r>
      <w:r w:rsidR="000E7496" w:rsidRPr="00DB39C6">
        <w:rPr>
          <w:rFonts w:ascii="Arial" w:hAnsi="Arial"/>
          <w:sz w:val="22"/>
          <w:szCs w:val="22"/>
        </w:rPr>
        <w:t xml:space="preserve">This explains why psychologists tend to oppose physical forms of discipline such as spanking. While the goal of physical discipline is normally to associate bad behaviour with negative consequences, it has been known to function as a model that actually reinforces aggression. </w:t>
      </w:r>
      <w:r w:rsidRPr="00DB39C6">
        <w:rPr>
          <w:rFonts w:ascii="Arial" w:hAnsi="Arial"/>
          <w:sz w:val="22"/>
          <w:szCs w:val="22"/>
        </w:rPr>
        <w:t xml:space="preserve">Another source of aggression and stereotyping that can be associated with Gareth's case is frustration, as highlighted within the frustration-aggression </w:t>
      </w:r>
      <w:r w:rsidR="00F3025E" w:rsidRPr="00DB39C6">
        <w:rPr>
          <w:rFonts w:ascii="Arial" w:hAnsi="Arial"/>
          <w:sz w:val="22"/>
          <w:szCs w:val="22"/>
        </w:rPr>
        <w:t>theory;</w:t>
      </w:r>
      <w:r w:rsidRPr="00DB39C6">
        <w:rPr>
          <w:rFonts w:ascii="Arial" w:hAnsi="Arial"/>
          <w:sz w:val="22"/>
          <w:szCs w:val="22"/>
        </w:rPr>
        <w:t xml:space="preserve"> frustrated individuals act out in an aggressive manner</w:t>
      </w:r>
      <w:r w:rsidR="00206F50" w:rsidRPr="00DB39C6">
        <w:rPr>
          <w:rFonts w:ascii="Arial" w:hAnsi="Arial"/>
          <w:sz w:val="22"/>
          <w:szCs w:val="22"/>
        </w:rPr>
        <w:t xml:space="preserve"> (Das et al., 2019)</w:t>
      </w:r>
      <w:r w:rsidRPr="00DB39C6">
        <w:rPr>
          <w:rFonts w:ascii="Arial" w:hAnsi="Arial"/>
          <w:sz w:val="22"/>
          <w:szCs w:val="22"/>
        </w:rPr>
        <w:t xml:space="preserve"> which explains why the follow-up by the Youth Offending Team </w:t>
      </w:r>
      <w:r w:rsidR="008744A3" w:rsidRPr="00DB39C6">
        <w:rPr>
          <w:rFonts w:ascii="Arial" w:hAnsi="Arial"/>
          <w:sz w:val="22"/>
          <w:szCs w:val="22"/>
        </w:rPr>
        <w:t xml:space="preserve">resulted to an instance of verbal aggressiveness and walkout by Gareth. </w:t>
      </w:r>
      <w:r w:rsidR="00524AD5" w:rsidRPr="00DB39C6">
        <w:rPr>
          <w:rFonts w:ascii="Arial" w:hAnsi="Arial"/>
          <w:sz w:val="22"/>
          <w:szCs w:val="22"/>
        </w:rPr>
        <w:t>When a person feels frustrated due to the inability to reali</w:t>
      </w:r>
      <w:r w:rsidR="00F3025E" w:rsidRPr="00DB39C6">
        <w:rPr>
          <w:rFonts w:ascii="Arial" w:hAnsi="Arial"/>
          <w:sz w:val="22"/>
          <w:szCs w:val="22"/>
        </w:rPr>
        <w:t>s</w:t>
      </w:r>
      <w:r w:rsidR="00524AD5" w:rsidRPr="00DB39C6">
        <w:rPr>
          <w:rFonts w:ascii="Arial" w:hAnsi="Arial"/>
          <w:sz w:val="22"/>
          <w:szCs w:val="22"/>
        </w:rPr>
        <w:t>e his goal, they tend to displace their tension to any available target. Gareth's frustration can be acute if he feels that other individuals are meaningfully advantaged</w:t>
      </w:r>
      <w:r w:rsidR="00453794" w:rsidRPr="00DB39C6">
        <w:rPr>
          <w:rFonts w:ascii="Arial" w:hAnsi="Arial"/>
          <w:sz w:val="22"/>
          <w:szCs w:val="22"/>
        </w:rPr>
        <w:t xml:space="preserve"> </w:t>
      </w:r>
      <w:r w:rsidR="001C75D1" w:rsidRPr="00DB39C6">
        <w:rPr>
          <w:rFonts w:ascii="Arial" w:hAnsi="Arial"/>
          <w:sz w:val="22"/>
          <w:szCs w:val="22"/>
        </w:rPr>
        <w:t xml:space="preserve">in some situations. </w:t>
      </w:r>
      <w:r w:rsidR="00774366" w:rsidRPr="00DB39C6">
        <w:rPr>
          <w:rFonts w:ascii="Arial" w:hAnsi="Arial"/>
          <w:sz w:val="22"/>
          <w:szCs w:val="22"/>
        </w:rPr>
        <w:t>Bochatay et al. (2019</w:t>
      </w:r>
      <w:r w:rsidR="001C75D1" w:rsidRPr="00DB39C6">
        <w:rPr>
          <w:rFonts w:ascii="Arial" w:hAnsi="Arial"/>
          <w:sz w:val="22"/>
          <w:szCs w:val="22"/>
        </w:rPr>
        <w:t xml:space="preserve">) assert that any form of an unpleasant condition, such as crowding, noise, and heat, results in a negative feeling that can make a person aggressive. </w:t>
      </w:r>
    </w:p>
    <w:p w14:paraId="114DB05A" w14:textId="163D7C88" w:rsidR="004953CC" w:rsidRPr="00DB39C6" w:rsidRDefault="00CF321F" w:rsidP="00FE7B35">
      <w:pPr>
        <w:spacing w:line="360" w:lineRule="auto"/>
        <w:jc w:val="both"/>
        <w:rPr>
          <w:rFonts w:ascii="Arial" w:hAnsi="Arial"/>
          <w:b/>
          <w:sz w:val="22"/>
          <w:szCs w:val="22"/>
        </w:rPr>
      </w:pPr>
      <w:r w:rsidRPr="00DB39C6">
        <w:rPr>
          <w:rFonts w:ascii="Arial" w:hAnsi="Arial"/>
          <w:b/>
          <w:sz w:val="22"/>
          <w:szCs w:val="22"/>
        </w:rPr>
        <w:t>Conclusion</w:t>
      </w:r>
    </w:p>
    <w:p w14:paraId="00E0E2C6" w14:textId="6C7930FC" w:rsidR="004953CC" w:rsidRPr="00DB39C6" w:rsidRDefault="00CF321F" w:rsidP="00FE7B35">
      <w:pPr>
        <w:spacing w:line="360" w:lineRule="auto"/>
        <w:jc w:val="both"/>
        <w:rPr>
          <w:rFonts w:ascii="Arial" w:hAnsi="Arial"/>
          <w:sz w:val="22"/>
          <w:szCs w:val="22"/>
        </w:rPr>
      </w:pPr>
      <w:r w:rsidRPr="00DB39C6">
        <w:rPr>
          <w:rFonts w:ascii="Arial" w:hAnsi="Arial"/>
          <w:sz w:val="22"/>
          <w:szCs w:val="22"/>
        </w:rPr>
        <w:t xml:space="preserve">The environment can significantly influence a person negatively not just through offence. </w:t>
      </w:r>
      <w:r w:rsidR="00F3025E" w:rsidRPr="00DB39C6">
        <w:rPr>
          <w:rFonts w:ascii="Arial" w:hAnsi="Arial"/>
          <w:sz w:val="22"/>
          <w:szCs w:val="22"/>
        </w:rPr>
        <w:t xml:space="preserve">Since late childhood, people begin to be significantly influenced by the attitudes and opinions of friends, and therefore, the bad company has been found to breed deviant behaviour. </w:t>
      </w:r>
      <w:r w:rsidRPr="00DB39C6">
        <w:rPr>
          <w:rFonts w:ascii="Arial" w:hAnsi="Arial"/>
          <w:sz w:val="22"/>
          <w:szCs w:val="22"/>
        </w:rPr>
        <w:t xml:space="preserve">Unsuitable role modelling makes an individual follow unfitting directions, the absence or loss of proper guidelines, and hence culminate in discrepancy to generally accepted social standards. Desire to adhere to a group mentality motivates teenagers to criminal behaviours. Therefore, these criminal groups that encompass young people rarely commit heinous crimes such as murder or rape, but commonly commit drug sales, assault, or theft. </w:t>
      </w:r>
    </w:p>
    <w:p w14:paraId="36E55347" w14:textId="77777777" w:rsidR="00DA0CAD" w:rsidRPr="00DB39C6" w:rsidRDefault="00CF321F" w:rsidP="00FE7B35">
      <w:pPr>
        <w:spacing w:line="360" w:lineRule="auto"/>
        <w:jc w:val="both"/>
        <w:rPr>
          <w:rFonts w:ascii="Arial" w:hAnsi="Arial"/>
          <w:sz w:val="22"/>
          <w:szCs w:val="22"/>
        </w:rPr>
      </w:pPr>
      <w:r w:rsidRPr="00DB39C6">
        <w:rPr>
          <w:rFonts w:ascii="Arial" w:hAnsi="Arial"/>
          <w:sz w:val="22"/>
          <w:szCs w:val="22"/>
        </w:rPr>
        <w:br w:type="page"/>
      </w:r>
    </w:p>
    <w:p w14:paraId="0481B718" w14:textId="4A94509C" w:rsidR="00DA0CAD" w:rsidRPr="00DB39C6" w:rsidRDefault="00CF321F" w:rsidP="00C810A5">
      <w:pPr>
        <w:spacing w:line="360" w:lineRule="auto"/>
        <w:jc w:val="center"/>
        <w:rPr>
          <w:rFonts w:ascii="Arial" w:hAnsi="Arial"/>
          <w:b/>
          <w:sz w:val="22"/>
          <w:szCs w:val="22"/>
        </w:rPr>
      </w:pPr>
      <w:r w:rsidRPr="00DB39C6">
        <w:rPr>
          <w:rFonts w:ascii="Arial" w:hAnsi="Arial"/>
          <w:b/>
          <w:sz w:val="22"/>
          <w:szCs w:val="22"/>
        </w:rPr>
        <w:lastRenderedPageBreak/>
        <w:t>References</w:t>
      </w:r>
    </w:p>
    <w:p w14:paraId="7AD27F80" w14:textId="489013E4" w:rsidR="00C810A5" w:rsidRPr="00DB39C6" w:rsidRDefault="00CF321F" w:rsidP="00F600A5">
      <w:pPr>
        <w:spacing w:line="360" w:lineRule="auto"/>
        <w:rPr>
          <w:rFonts w:ascii="Arial" w:hAnsi="Arial"/>
          <w:sz w:val="22"/>
          <w:szCs w:val="22"/>
        </w:rPr>
      </w:pPr>
      <w:r w:rsidRPr="00DB39C6">
        <w:rPr>
          <w:rFonts w:ascii="Arial" w:hAnsi="Arial"/>
          <w:sz w:val="22"/>
          <w:szCs w:val="22"/>
        </w:rPr>
        <w:t>Ajah,</w:t>
      </w:r>
      <w:r w:rsidR="00FE7B35" w:rsidRPr="00DB39C6">
        <w:rPr>
          <w:rFonts w:ascii="Arial" w:hAnsi="Arial"/>
          <w:sz w:val="22"/>
          <w:szCs w:val="22"/>
        </w:rPr>
        <w:t xml:space="preserve"> B. O., and Ugwuoke, C. O. (2018)</w:t>
      </w:r>
      <w:r w:rsidRPr="00DB39C6">
        <w:rPr>
          <w:rFonts w:ascii="Arial" w:hAnsi="Arial"/>
          <w:sz w:val="22"/>
          <w:szCs w:val="22"/>
        </w:rPr>
        <w:t xml:space="preserve"> </w:t>
      </w:r>
      <w:r w:rsidR="00FE7B35" w:rsidRPr="00DB39C6">
        <w:rPr>
          <w:rFonts w:ascii="Arial" w:hAnsi="Arial"/>
          <w:sz w:val="22"/>
          <w:szCs w:val="22"/>
        </w:rPr>
        <w:t>‘</w:t>
      </w:r>
      <w:r w:rsidRPr="00DB39C6">
        <w:rPr>
          <w:rFonts w:ascii="Arial" w:hAnsi="Arial"/>
          <w:sz w:val="22"/>
          <w:szCs w:val="22"/>
        </w:rPr>
        <w:t>Juvenile justice administration</w:t>
      </w:r>
      <w:r w:rsidR="00FE7B35" w:rsidRPr="00DB39C6">
        <w:rPr>
          <w:rFonts w:ascii="Arial" w:hAnsi="Arial"/>
          <w:sz w:val="22"/>
          <w:szCs w:val="22"/>
        </w:rPr>
        <w:t xml:space="preserve"> and child prisoners in Nigeria’,</w:t>
      </w:r>
      <w:r w:rsidRPr="00DB39C6">
        <w:rPr>
          <w:rFonts w:ascii="Arial" w:hAnsi="Arial"/>
          <w:sz w:val="22"/>
          <w:szCs w:val="22"/>
        </w:rPr>
        <w:t> </w:t>
      </w:r>
      <w:r w:rsidRPr="00DB39C6">
        <w:rPr>
          <w:rFonts w:ascii="Arial" w:hAnsi="Arial"/>
          <w:i/>
          <w:iCs/>
          <w:sz w:val="22"/>
          <w:szCs w:val="22"/>
        </w:rPr>
        <w:t>International Journal of Criminal Justice Sciences</w:t>
      </w:r>
      <w:r w:rsidRPr="00DB39C6">
        <w:rPr>
          <w:rFonts w:ascii="Arial" w:hAnsi="Arial"/>
          <w:sz w:val="22"/>
          <w:szCs w:val="22"/>
        </w:rPr>
        <w:t>, </w:t>
      </w:r>
      <w:r w:rsidRPr="00DB39C6">
        <w:rPr>
          <w:rFonts w:ascii="Arial" w:hAnsi="Arial"/>
          <w:i/>
          <w:iCs/>
          <w:sz w:val="22"/>
          <w:szCs w:val="22"/>
        </w:rPr>
        <w:t>13</w:t>
      </w:r>
      <w:r w:rsidRPr="00DB39C6">
        <w:rPr>
          <w:rFonts w:ascii="Arial" w:hAnsi="Arial"/>
          <w:sz w:val="22"/>
          <w:szCs w:val="22"/>
        </w:rPr>
        <w:t>(2).</w:t>
      </w:r>
    </w:p>
    <w:p w14:paraId="78724D47" w14:textId="3314005D" w:rsidR="00C810A5" w:rsidRPr="00DB39C6" w:rsidRDefault="00CF321F" w:rsidP="00F600A5">
      <w:pPr>
        <w:spacing w:line="360" w:lineRule="auto"/>
        <w:rPr>
          <w:rFonts w:ascii="Arial" w:hAnsi="Arial"/>
          <w:sz w:val="22"/>
          <w:szCs w:val="22"/>
        </w:rPr>
      </w:pPr>
      <w:r w:rsidRPr="00DB39C6">
        <w:rPr>
          <w:rFonts w:ascii="Arial" w:hAnsi="Arial"/>
          <w:sz w:val="22"/>
          <w:szCs w:val="22"/>
        </w:rPr>
        <w:t>Bochatay, N., Bajwa, N. M., Blondon, K. S., Junod Perron, N., Cull</w:t>
      </w:r>
      <w:r w:rsidR="00FE7B35" w:rsidRPr="00DB39C6">
        <w:rPr>
          <w:rFonts w:ascii="Arial" w:hAnsi="Arial"/>
          <w:sz w:val="22"/>
          <w:szCs w:val="22"/>
        </w:rPr>
        <w:t>ati, S., &amp; Nendaz, M. R. (2019)</w:t>
      </w:r>
      <w:r w:rsidRPr="00DB39C6">
        <w:rPr>
          <w:rFonts w:ascii="Arial" w:hAnsi="Arial"/>
          <w:sz w:val="22"/>
          <w:szCs w:val="22"/>
        </w:rPr>
        <w:t xml:space="preserve"> </w:t>
      </w:r>
      <w:r w:rsidR="00FE7B35" w:rsidRPr="00DB39C6">
        <w:rPr>
          <w:rFonts w:ascii="Arial" w:hAnsi="Arial"/>
          <w:sz w:val="22"/>
          <w:szCs w:val="22"/>
        </w:rPr>
        <w:t>‘</w:t>
      </w:r>
      <w:r w:rsidRPr="00DB39C6">
        <w:rPr>
          <w:rFonts w:ascii="Arial" w:hAnsi="Arial"/>
          <w:sz w:val="22"/>
          <w:szCs w:val="22"/>
        </w:rPr>
        <w:t xml:space="preserve">Exploring group boundaries and conflicts: A social </w:t>
      </w:r>
      <w:r w:rsidR="00FE7B35" w:rsidRPr="00DB39C6">
        <w:rPr>
          <w:rFonts w:ascii="Arial" w:hAnsi="Arial"/>
          <w:sz w:val="22"/>
          <w:szCs w:val="22"/>
        </w:rPr>
        <w:t>identity theory perspective’,</w:t>
      </w:r>
      <w:r w:rsidRPr="00DB39C6">
        <w:rPr>
          <w:rFonts w:ascii="Arial" w:hAnsi="Arial"/>
          <w:sz w:val="22"/>
          <w:szCs w:val="22"/>
        </w:rPr>
        <w:t> </w:t>
      </w:r>
      <w:r w:rsidRPr="00DB39C6">
        <w:rPr>
          <w:rFonts w:ascii="Arial" w:hAnsi="Arial"/>
          <w:i/>
          <w:iCs/>
          <w:sz w:val="22"/>
          <w:szCs w:val="22"/>
        </w:rPr>
        <w:t>Medical Education</w:t>
      </w:r>
      <w:r w:rsidRPr="00DB39C6">
        <w:rPr>
          <w:rFonts w:ascii="Arial" w:hAnsi="Arial"/>
          <w:sz w:val="22"/>
          <w:szCs w:val="22"/>
        </w:rPr>
        <w:t>, </w:t>
      </w:r>
      <w:r w:rsidRPr="00DB39C6">
        <w:rPr>
          <w:rFonts w:ascii="Arial" w:hAnsi="Arial"/>
          <w:i/>
          <w:iCs/>
          <w:sz w:val="22"/>
          <w:szCs w:val="22"/>
        </w:rPr>
        <w:t>53</w:t>
      </w:r>
      <w:r w:rsidRPr="00DB39C6">
        <w:rPr>
          <w:rFonts w:ascii="Arial" w:hAnsi="Arial"/>
          <w:sz w:val="22"/>
          <w:szCs w:val="22"/>
        </w:rPr>
        <w:t>(8), 799-807.</w:t>
      </w:r>
    </w:p>
    <w:p w14:paraId="540B9FB1" w14:textId="6322100B" w:rsidR="00C810A5" w:rsidRPr="00DB39C6" w:rsidRDefault="00CF321F" w:rsidP="00F600A5">
      <w:pPr>
        <w:spacing w:line="360" w:lineRule="auto"/>
        <w:rPr>
          <w:rFonts w:ascii="Arial" w:hAnsi="Arial"/>
          <w:sz w:val="22"/>
          <w:szCs w:val="22"/>
        </w:rPr>
      </w:pPr>
      <w:r w:rsidRPr="00DB39C6">
        <w:rPr>
          <w:rFonts w:ascii="Arial" w:hAnsi="Arial"/>
          <w:sz w:val="22"/>
          <w:szCs w:val="22"/>
        </w:rPr>
        <w:t>Charness, G., &amp; Chen, Y. (2020) ‘Social identity, group behaviour, and teams’, </w:t>
      </w:r>
      <w:r w:rsidRPr="00DB39C6">
        <w:rPr>
          <w:rFonts w:ascii="Arial" w:hAnsi="Arial"/>
          <w:i/>
          <w:iCs/>
          <w:sz w:val="22"/>
          <w:szCs w:val="22"/>
        </w:rPr>
        <w:t>Annual Review of Economics</w:t>
      </w:r>
      <w:r w:rsidRPr="00DB39C6">
        <w:rPr>
          <w:rFonts w:ascii="Arial" w:hAnsi="Arial"/>
          <w:sz w:val="22"/>
          <w:szCs w:val="22"/>
        </w:rPr>
        <w:t>, 691-713.</w:t>
      </w:r>
    </w:p>
    <w:p w14:paraId="5CFA2FBA" w14:textId="44FCF986" w:rsidR="00C810A5" w:rsidRPr="00DB39C6" w:rsidRDefault="00CF321F" w:rsidP="00F600A5">
      <w:pPr>
        <w:spacing w:line="360" w:lineRule="auto"/>
        <w:rPr>
          <w:rFonts w:ascii="Arial" w:hAnsi="Arial"/>
          <w:sz w:val="22"/>
          <w:szCs w:val="22"/>
        </w:rPr>
      </w:pPr>
      <w:r w:rsidRPr="00DB39C6">
        <w:rPr>
          <w:rFonts w:ascii="Arial" w:hAnsi="Arial"/>
          <w:sz w:val="22"/>
          <w:szCs w:val="22"/>
        </w:rPr>
        <w:t>Das, S., Mitra, N</w:t>
      </w:r>
      <w:r w:rsidR="00FE7B35" w:rsidRPr="00DB39C6">
        <w:rPr>
          <w:rFonts w:ascii="Arial" w:hAnsi="Arial"/>
          <w:sz w:val="22"/>
          <w:szCs w:val="22"/>
        </w:rPr>
        <w:t>., Podder, P., &amp; Roy, S. (2019)</w:t>
      </w:r>
      <w:r w:rsidRPr="00DB39C6">
        <w:rPr>
          <w:rFonts w:ascii="Arial" w:hAnsi="Arial"/>
          <w:sz w:val="22"/>
          <w:szCs w:val="22"/>
        </w:rPr>
        <w:t xml:space="preserve"> </w:t>
      </w:r>
      <w:r w:rsidR="00FE7B35" w:rsidRPr="00DB39C6">
        <w:rPr>
          <w:rFonts w:ascii="Arial" w:hAnsi="Arial"/>
          <w:sz w:val="22"/>
          <w:szCs w:val="22"/>
        </w:rPr>
        <w:t>‘</w:t>
      </w:r>
      <w:r w:rsidRPr="00DB39C6">
        <w:rPr>
          <w:rFonts w:ascii="Arial" w:hAnsi="Arial"/>
          <w:sz w:val="22"/>
          <w:szCs w:val="22"/>
        </w:rPr>
        <w:t xml:space="preserve">Aggression in Juveniles: </w:t>
      </w:r>
      <w:r w:rsidR="00FE7B35" w:rsidRPr="00DB39C6">
        <w:rPr>
          <w:rFonts w:ascii="Arial" w:hAnsi="Arial"/>
          <w:sz w:val="22"/>
          <w:szCs w:val="22"/>
        </w:rPr>
        <w:t>Current Psychosocial Context’,</w:t>
      </w:r>
      <w:r w:rsidRPr="00DB39C6">
        <w:rPr>
          <w:rFonts w:ascii="Arial" w:hAnsi="Arial"/>
          <w:sz w:val="22"/>
          <w:szCs w:val="22"/>
        </w:rPr>
        <w:t> </w:t>
      </w:r>
      <w:r w:rsidRPr="00DB39C6">
        <w:rPr>
          <w:rFonts w:ascii="Arial" w:hAnsi="Arial"/>
          <w:i/>
          <w:iCs/>
          <w:sz w:val="22"/>
          <w:szCs w:val="22"/>
        </w:rPr>
        <w:t>Available at SSRN 3434328</w:t>
      </w:r>
      <w:r w:rsidRPr="00DB39C6">
        <w:rPr>
          <w:rFonts w:ascii="Arial" w:hAnsi="Arial"/>
          <w:sz w:val="22"/>
          <w:szCs w:val="22"/>
        </w:rPr>
        <w:t>.</w:t>
      </w:r>
    </w:p>
    <w:p w14:paraId="0505D807" w14:textId="0EDCACA7" w:rsidR="00C810A5" w:rsidRPr="00DB39C6" w:rsidRDefault="00CF321F" w:rsidP="00F600A5">
      <w:pPr>
        <w:spacing w:line="360" w:lineRule="auto"/>
        <w:rPr>
          <w:rFonts w:ascii="Arial" w:hAnsi="Arial"/>
          <w:sz w:val="22"/>
          <w:szCs w:val="22"/>
        </w:rPr>
      </w:pPr>
      <w:r w:rsidRPr="00DB39C6">
        <w:rPr>
          <w:rFonts w:ascii="Arial" w:hAnsi="Arial"/>
          <w:sz w:val="22"/>
          <w:szCs w:val="22"/>
        </w:rPr>
        <w:t>Dunle</w:t>
      </w:r>
      <w:r w:rsidR="00FE7B35" w:rsidRPr="00DB39C6">
        <w:rPr>
          <w:rFonts w:ascii="Arial" w:hAnsi="Arial"/>
          <w:sz w:val="22"/>
          <w:szCs w:val="22"/>
        </w:rPr>
        <w:t>a, J. P., &amp; Heiphetz, L. (2020)</w:t>
      </w:r>
      <w:r w:rsidRPr="00DB39C6">
        <w:rPr>
          <w:rFonts w:ascii="Arial" w:hAnsi="Arial"/>
          <w:sz w:val="22"/>
          <w:szCs w:val="22"/>
        </w:rPr>
        <w:t xml:space="preserve"> </w:t>
      </w:r>
      <w:r w:rsidR="00FE7B35" w:rsidRPr="00DB39C6">
        <w:rPr>
          <w:rFonts w:ascii="Arial" w:hAnsi="Arial"/>
          <w:sz w:val="22"/>
          <w:szCs w:val="22"/>
        </w:rPr>
        <w:t>‘</w:t>
      </w:r>
      <w:r w:rsidRPr="00DB39C6">
        <w:rPr>
          <w:rFonts w:ascii="Arial" w:hAnsi="Arial"/>
          <w:sz w:val="22"/>
          <w:szCs w:val="22"/>
        </w:rPr>
        <w:t xml:space="preserve">Children's and adults' understanding of punishment </w:t>
      </w:r>
      <w:r w:rsidR="00FE7B35" w:rsidRPr="00DB39C6">
        <w:rPr>
          <w:rFonts w:ascii="Arial" w:hAnsi="Arial"/>
          <w:sz w:val="22"/>
          <w:szCs w:val="22"/>
        </w:rPr>
        <w:t>and the criminal justice system’,</w:t>
      </w:r>
      <w:r w:rsidRPr="00DB39C6">
        <w:rPr>
          <w:rFonts w:ascii="Arial" w:hAnsi="Arial"/>
          <w:sz w:val="22"/>
          <w:szCs w:val="22"/>
        </w:rPr>
        <w:t> </w:t>
      </w:r>
      <w:r w:rsidRPr="00DB39C6">
        <w:rPr>
          <w:rFonts w:ascii="Arial" w:hAnsi="Arial"/>
          <w:i/>
          <w:iCs/>
          <w:sz w:val="22"/>
          <w:szCs w:val="22"/>
        </w:rPr>
        <w:t>Journal of Experimental Social Psychology</w:t>
      </w:r>
      <w:r w:rsidRPr="00DB39C6">
        <w:rPr>
          <w:rFonts w:ascii="Arial" w:hAnsi="Arial"/>
          <w:sz w:val="22"/>
          <w:szCs w:val="22"/>
        </w:rPr>
        <w:t>, </w:t>
      </w:r>
      <w:r w:rsidRPr="00DB39C6">
        <w:rPr>
          <w:rFonts w:ascii="Arial" w:hAnsi="Arial"/>
          <w:i/>
          <w:iCs/>
          <w:sz w:val="22"/>
          <w:szCs w:val="22"/>
        </w:rPr>
        <w:t>87</w:t>
      </w:r>
      <w:r w:rsidRPr="00DB39C6">
        <w:rPr>
          <w:rFonts w:ascii="Arial" w:hAnsi="Arial"/>
          <w:sz w:val="22"/>
          <w:szCs w:val="22"/>
        </w:rPr>
        <w:t>, 103913.</w:t>
      </w:r>
    </w:p>
    <w:p w14:paraId="4C3D35C5" w14:textId="3E607217" w:rsidR="00C810A5" w:rsidRPr="00DB39C6" w:rsidRDefault="00CF321F" w:rsidP="00F600A5">
      <w:pPr>
        <w:spacing w:line="360" w:lineRule="auto"/>
        <w:rPr>
          <w:rFonts w:ascii="Arial" w:hAnsi="Arial"/>
          <w:sz w:val="22"/>
          <w:szCs w:val="22"/>
        </w:rPr>
      </w:pPr>
      <w:r w:rsidRPr="00DB39C6">
        <w:rPr>
          <w:rFonts w:ascii="Arial" w:hAnsi="Arial"/>
          <w:sz w:val="22"/>
          <w:szCs w:val="22"/>
        </w:rPr>
        <w:t>Foster, P. J., &amp; Fulla</w:t>
      </w:r>
      <w:r w:rsidR="00FE7B35" w:rsidRPr="00DB39C6">
        <w:rPr>
          <w:rFonts w:ascii="Arial" w:hAnsi="Arial"/>
          <w:sz w:val="22"/>
          <w:szCs w:val="22"/>
        </w:rPr>
        <w:t>gar, C. J. (2018)</w:t>
      </w:r>
      <w:r w:rsidRPr="00DB39C6">
        <w:rPr>
          <w:rFonts w:ascii="Arial" w:hAnsi="Arial"/>
          <w:sz w:val="22"/>
          <w:szCs w:val="22"/>
        </w:rPr>
        <w:t xml:space="preserve"> </w:t>
      </w:r>
      <w:r w:rsidR="00FE7B35" w:rsidRPr="00DB39C6">
        <w:rPr>
          <w:rFonts w:ascii="Arial" w:hAnsi="Arial"/>
          <w:sz w:val="22"/>
          <w:szCs w:val="22"/>
        </w:rPr>
        <w:t>‘</w:t>
      </w:r>
      <w:r w:rsidRPr="00DB39C6">
        <w:rPr>
          <w:rFonts w:ascii="Arial" w:hAnsi="Arial"/>
          <w:sz w:val="22"/>
          <w:szCs w:val="22"/>
        </w:rPr>
        <w:t>Why don’t we report sexual harassment? An application of</w:t>
      </w:r>
      <w:r w:rsidR="00FE7B35" w:rsidRPr="00DB39C6">
        <w:rPr>
          <w:rFonts w:ascii="Arial" w:hAnsi="Arial"/>
          <w:sz w:val="22"/>
          <w:szCs w:val="22"/>
        </w:rPr>
        <w:t xml:space="preserve"> the theory of planned behaviour’,</w:t>
      </w:r>
      <w:r w:rsidRPr="00DB39C6">
        <w:rPr>
          <w:rFonts w:ascii="Arial" w:hAnsi="Arial"/>
          <w:sz w:val="22"/>
          <w:szCs w:val="22"/>
        </w:rPr>
        <w:t> </w:t>
      </w:r>
      <w:r w:rsidRPr="00DB39C6">
        <w:rPr>
          <w:rFonts w:ascii="Arial" w:hAnsi="Arial"/>
          <w:i/>
          <w:iCs/>
          <w:sz w:val="22"/>
          <w:szCs w:val="22"/>
        </w:rPr>
        <w:t>Basic and applied social psychology</w:t>
      </w:r>
      <w:r w:rsidRPr="00DB39C6">
        <w:rPr>
          <w:rFonts w:ascii="Arial" w:hAnsi="Arial"/>
          <w:sz w:val="22"/>
          <w:szCs w:val="22"/>
        </w:rPr>
        <w:t>, </w:t>
      </w:r>
      <w:r w:rsidRPr="00DB39C6">
        <w:rPr>
          <w:rFonts w:ascii="Arial" w:hAnsi="Arial"/>
          <w:i/>
          <w:iCs/>
          <w:sz w:val="22"/>
          <w:szCs w:val="22"/>
        </w:rPr>
        <w:t>40</w:t>
      </w:r>
      <w:r w:rsidRPr="00DB39C6">
        <w:rPr>
          <w:rFonts w:ascii="Arial" w:hAnsi="Arial"/>
          <w:sz w:val="22"/>
          <w:szCs w:val="22"/>
        </w:rPr>
        <w:t>(3), 148-160.</w:t>
      </w:r>
    </w:p>
    <w:p w14:paraId="6344AD5E" w14:textId="170A8673" w:rsidR="00C810A5" w:rsidRPr="00DB39C6" w:rsidRDefault="00CF321F" w:rsidP="00F600A5">
      <w:pPr>
        <w:spacing w:line="360" w:lineRule="auto"/>
        <w:rPr>
          <w:rFonts w:ascii="Arial" w:hAnsi="Arial"/>
          <w:sz w:val="22"/>
          <w:szCs w:val="22"/>
        </w:rPr>
      </w:pPr>
      <w:r w:rsidRPr="00DB39C6">
        <w:rPr>
          <w:rFonts w:ascii="Arial" w:hAnsi="Arial"/>
          <w:sz w:val="22"/>
          <w:szCs w:val="22"/>
        </w:rPr>
        <w:t>Kay, C., &amp; Monaghan, M. (2019) ‘Rethinking recovery and desistance processes: developing a social identity model of transition’, </w:t>
      </w:r>
      <w:r w:rsidRPr="00DB39C6">
        <w:rPr>
          <w:rFonts w:ascii="Arial" w:hAnsi="Arial"/>
          <w:i/>
          <w:iCs/>
          <w:sz w:val="22"/>
          <w:szCs w:val="22"/>
        </w:rPr>
        <w:t>Addiction Research &amp; Theory</w:t>
      </w:r>
      <w:r w:rsidRPr="00DB39C6">
        <w:rPr>
          <w:rFonts w:ascii="Arial" w:hAnsi="Arial"/>
          <w:sz w:val="22"/>
          <w:szCs w:val="22"/>
        </w:rPr>
        <w:t>, </w:t>
      </w:r>
      <w:r w:rsidRPr="00DB39C6">
        <w:rPr>
          <w:rFonts w:ascii="Arial" w:hAnsi="Arial"/>
          <w:i/>
          <w:iCs/>
          <w:sz w:val="22"/>
          <w:szCs w:val="22"/>
        </w:rPr>
        <w:t>27</w:t>
      </w:r>
      <w:r w:rsidRPr="00DB39C6">
        <w:rPr>
          <w:rFonts w:ascii="Arial" w:hAnsi="Arial"/>
          <w:sz w:val="22"/>
          <w:szCs w:val="22"/>
        </w:rPr>
        <w:t>(1), 47-54.</w:t>
      </w:r>
    </w:p>
    <w:p w14:paraId="5CBBD114" w14:textId="77777777" w:rsidR="00C810A5" w:rsidRPr="00DB39C6" w:rsidRDefault="00CF321F" w:rsidP="00F600A5">
      <w:pPr>
        <w:spacing w:line="360" w:lineRule="auto"/>
        <w:rPr>
          <w:rFonts w:ascii="Arial" w:hAnsi="Arial"/>
          <w:sz w:val="22"/>
          <w:szCs w:val="22"/>
        </w:rPr>
      </w:pPr>
      <w:r w:rsidRPr="00DB39C6">
        <w:rPr>
          <w:rFonts w:ascii="Arial" w:hAnsi="Arial"/>
          <w:sz w:val="22"/>
          <w:szCs w:val="22"/>
        </w:rPr>
        <w:t>Lankford, A. (2021). A sexual frustration theory of aggression, violence, and crime. </w:t>
      </w:r>
      <w:r w:rsidRPr="00DB39C6">
        <w:rPr>
          <w:rFonts w:ascii="Arial" w:hAnsi="Arial"/>
          <w:i/>
          <w:iCs/>
          <w:sz w:val="22"/>
          <w:szCs w:val="22"/>
        </w:rPr>
        <w:t>Journal of criminal justice</w:t>
      </w:r>
      <w:r w:rsidRPr="00DB39C6">
        <w:rPr>
          <w:rFonts w:ascii="Arial" w:hAnsi="Arial"/>
          <w:sz w:val="22"/>
          <w:szCs w:val="22"/>
        </w:rPr>
        <w:t>, </w:t>
      </w:r>
      <w:r w:rsidRPr="00DB39C6">
        <w:rPr>
          <w:rFonts w:ascii="Arial" w:hAnsi="Arial"/>
          <w:i/>
          <w:iCs/>
          <w:sz w:val="22"/>
          <w:szCs w:val="22"/>
        </w:rPr>
        <w:t>77</w:t>
      </w:r>
      <w:r w:rsidRPr="00DB39C6">
        <w:rPr>
          <w:rFonts w:ascii="Arial" w:hAnsi="Arial"/>
          <w:sz w:val="22"/>
          <w:szCs w:val="22"/>
        </w:rPr>
        <w:t>, 101865.</w:t>
      </w:r>
    </w:p>
    <w:p w14:paraId="2C50D59E" w14:textId="02859D56" w:rsidR="00C810A5" w:rsidRPr="00DB39C6" w:rsidRDefault="00CF321F" w:rsidP="00F600A5">
      <w:pPr>
        <w:spacing w:line="360" w:lineRule="auto"/>
        <w:rPr>
          <w:rFonts w:ascii="Arial" w:hAnsi="Arial"/>
          <w:sz w:val="22"/>
          <w:szCs w:val="22"/>
        </w:rPr>
      </w:pPr>
      <w:r w:rsidRPr="00DB39C6">
        <w:rPr>
          <w:rFonts w:ascii="Arial" w:hAnsi="Arial"/>
          <w:sz w:val="22"/>
          <w:szCs w:val="22"/>
        </w:rPr>
        <w:t>Olwenyo,</w:t>
      </w:r>
      <w:r w:rsidR="00FE7B35" w:rsidRPr="00DB39C6">
        <w:rPr>
          <w:rFonts w:ascii="Arial" w:hAnsi="Arial"/>
          <w:sz w:val="22"/>
          <w:szCs w:val="22"/>
        </w:rPr>
        <w:t xml:space="preserve"> J. F. O., &amp; Ater, E. O. (2022)</w:t>
      </w:r>
      <w:r w:rsidRPr="00DB39C6">
        <w:rPr>
          <w:rFonts w:ascii="Arial" w:hAnsi="Arial"/>
          <w:sz w:val="22"/>
          <w:szCs w:val="22"/>
        </w:rPr>
        <w:t xml:space="preserve"> </w:t>
      </w:r>
      <w:r w:rsidR="00FE7B35" w:rsidRPr="00DB39C6">
        <w:rPr>
          <w:rFonts w:ascii="Arial" w:hAnsi="Arial"/>
          <w:sz w:val="22"/>
          <w:szCs w:val="22"/>
        </w:rPr>
        <w:t>‘</w:t>
      </w:r>
      <w:r w:rsidRPr="00DB39C6">
        <w:rPr>
          <w:rFonts w:ascii="Arial" w:hAnsi="Arial"/>
          <w:sz w:val="22"/>
          <w:szCs w:val="22"/>
        </w:rPr>
        <w:t>Assessing the Expeditiousness of Existing Strategies for Preventing and Countering Youth Radicali</w:t>
      </w:r>
      <w:r w:rsidR="00F3025E" w:rsidRPr="00DB39C6">
        <w:rPr>
          <w:rFonts w:ascii="Arial" w:hAnsi="Arial"/>
          <w:sz w:val="22"/>
          <w:szCs w:val="22"/>
        </w:rPr>
        <w:t>s</w:t>
      </w:r>
      <w:r w:rsidRPr="00DB39C6">
        <w:rPr>
          <w:rFonts w:ascii="Arial" w:hAnsi="Arial"/>
          <w:sz w:val="22"/>
          <w:szCs w:val="22"/>
        </w:rPr>
        <w:t>ation through Prison’s Aspect of Criminal Justice</w:t>
      </w:r>
      <w:r w:rsidR="00FE7B35" w:rsidRPr="00DB39C6">
        <w:rPr>
          <w:rFonts w:ascii="Arial" w:hAnsi="Arial"/>
          <w:sz w:val="22"/>
          <w:szCs w:val="22"/>
        </w:rPr>
        <w:t xml:space="preserve"> System in Isiolo County, Kenya’,</w:t>
      </w:r>
      <w:r w:rsidRPr="00DB39C6">
        <w:rPr>
          <w:rFonts w:ascii="Arial" w:hAnsi="Arial"/>
          <w:sz w:val="22"/>
          <w:szCs w:val="22"/>
        </w:rPr>
        <w:t> </w:t>
      </w:r>
      <w:r w:rsidRPr="00DB39C6">
        <w:rPr>
          <w:rFonts w:ascii="Arial" w:hAnsi="Arial"/>
          <w:i/>
          <w:iCs/>
          <w:sz w:val="22"/>
          <w:szCs w:val="22"/>
        </w:rPr>
        <w:t>East African Journal of Arts and Social Sciences</w:t>
      </w:r>
      <w:r w:rsidRPr="00DB39C6">
        <w:rPr>
          <w:rFonts w:ascii="Arial" w:hAnsi="Arial"/>
          <w:sz w:val="22"/>
          <w:szCs w:val="22"/>
        </w:rPr>
        <w:t>, </w:t>
      </w:r>
      <w:r w:rsidRPr="00DB39C6">
        <w:rPr>
          <w:rFonts w:ascii="Arial" w:hAnsi="Arial"/>
          <w:i/>
          <w:iCs/>
          <w:sz w:val="22"/>
          <w:szCs w:val="22"/>
        </w:rPr>
        <w:t>5</w:t>
      </w:r>
      <w:r w:rsidRPr="00DB39C6">
        <w:rPr>
          <w:rFonts w:ascii="Arial" w:hAnsi="Arial"/>
          <w:sz w:val="22"/>
          <w:szCs w:val="22"/>
        </w:rPr>
        <w:t>(2), 58-81.</w:t>
      </w:r>
    </w:p>
    <w:p w14:paraId="341FD0B6" w14:textId="2B65F0FB" w:rsidR="00C810A5" w:rsidRPr="00DB39C6" w:rsidRDefault="00CF321F" w:rsidP="00F600A5">
      <w:pPr>
        <w:spacing w:line="360" w:lineRule="auto"/>
        <w:rPr>
          <w:rFonts w:ascii="Arial" w:hAnsi="Arial"/>
          <w:sz w:val="22"/>
          <w:szCs w:val="22"/>
        </w:rPr>
      </w:pPr>
      <w:r w:rsidRPr="00DB39C6">
        <w:rPr>
          <w:rFonts w:ascii="Arial" w:hAnsi="Arial"/>
          <w:sz w:val="22"/>
          <w:szCs w:val="22"/>
        </w:rPr>
        <w:t>Radburn, M., &amp; Stott, C. (</w:t>
      </w:r>
      <w:r w:rsidR="00FE7B35" w:rsidRPr="00DB39C6">
        <w:rPr>
          <w:rFonts w:ascii="Arial" w:hAnsi="Arial"/>
          <w:sz w:val="22"/>
          <w:szCs w:val="22"/>
        </w:rPr>
        <w:t>2019)</w:t>
      </w:r>
      <w:r w:rsidRPr="00DB39C6">
        <w:rPr>
          <w:rFonts w:ascii="Arial" w:hAnsi="Arial"/>
          <w:sz w:val="22"/>
          <w:szCs w:val="22"/>
        </w:rPr>
        <w:t xml:space="preserve"> </w:t>
      </w:r>
      <w:r w:rsidR="00FE7B35" w:rsidRPr="00DB39C6">
        <w:rPr>
          <w:rFonts w:ascii="Arial" w:hAnsi="Arial"/>
          <w:sz w:val="22"/>
          <w:szCs w:val="22"/>
        </w:rPr>
        <w:t>‘</w:t>
      </w:r>
      <w:r w:rsidRPr="00DB39C6">
        <w:rPr>
          <w:rFonts w:ascii="Arial" w:hAnsi="Arial"/>
          <w:sz w:val="22"/>
          <w:szCs w:val="22"/>
        </w:rPr>
        <w:t>The social psychological processes of ‘procedural justice’: Concep</w:t>
      </w:r>
      <w:r w:rsidR="00FE7B35" w:rsidRPr="00DB39C6">
        <w:rPr>
          <w:rFonts w:ascii="Arial" w:hAnsi="Arial"/>
          <w:sz w:val="22"/>
          <w:szCs w:val="22"/>
        </w:rPr>
        <w:t>ts, critiques and opportunities’,</w:t>
      </w:r>
      <w:r w:rsidRPr="00DB39C6">
        <w:rPr>
          <w:rFonts w:ascii="Arial" w:hAnsi="Arial"/>
          <w:sz w:val="22"/>
          <w:szCs w:val="22"/>
        </w:rPr>
        <w:t> </w:t>
      </w:r>
      <w:r w:rsidRPr="00DB39C6">
        <w:rPr>
          <w:rFonts w:ascii="Arial" w:hAnsi="Arial"/>
          <w:i/>
          <w:iCs/>
          <w:sz w:val="22"/>
          <w:szCs w:val="22"/>
        </w:rPr>
        <w:t>Criminology &amp; Criminal Justice</w:t>
      </w:r>
      <w:r w:rsidRPr="00DB39C6">
        <w:rPr>
          <w:rFonts w:ascii="Arial" w:hAnsi="Arial"/>
          <w:sz w:val="22"/>
          <w:szCs w:val="22"/>
        </w:rPr>
        <w:t>, </w:t>
      </w:r>
      <w:r w:rsidRPr="00DB39C6">
        <w:rPr>
          <w:rFonts w:ascii="Arial" w:hAnsi="Arial"/>
          <w:i/>
          <w:iCs/>
          <w:sz w:val="22"/>
          <w:szCs w:val="22"/>
        </w:rPr>
        <w:t>19</w:t>
      </w:r>
      <w:r w:rsidRPr="00DB39C6">
        <w:rPr>
          <w:rFonts w:ascii="Arial" w:hAnsi="Arial"/>
          <w:sz w:val="22"/>
          <w:szCs w:val="22"/>
        </w:rPr>
        <w:t>(4), 421-438.</w:t>
      </w:r>
    </w:p>
    <w:p w14:paraId="4396A671" w14:textId="0AC7D66C" w:rsidR="00C810A5" w:rsidRPr="00DB39C6" w:rsidRDefault="00CF321F" w:rsidP="00F600A5">
      <w:pPr>
        <w:spacing w:line="360" w:lineRule="auto"/>
        <w:rPr>
          <w:rFonts w:ascii="Arial" w:hAnsi="Arial"/>
          <w:sz w:val="22"/>
          <w:szCs w:val="22"/>
        </w:rPr>
      </w:pPr>
      <w:r w:rsidRPr="00DB39C6">
        <w:rPr>
          <w:rFonts w:ascii="Arial" w:hAnsi="Arial"/>
          <w:sz w:val="22"/>
          <w:szCs w:val="22"/>
        </w:rPr>
        <w:t>T</w:t>
      </w:r>
      <w:r w:rsidR="00FE7B35" w:rsidRPr="00DB39C6">
        <w:rPr>
          <w:rFonts w:ascii="Arial" w:hAnsi="Arial"/>
          <w:sz w:val="22"/>
          <w:szCs w:val="22"/>
        </w:rPr>
        <w:t>aing, H. B., &amp; Chang, Y. (2021)</w:t>
      </w:r>
      <w:r w:rsidRPr="00DB39C6">
        <w:rPr>
          <w:rFonts w:ascii="Arial" w:hAnsi="Arial"/>
          <w:sz w:val="22"/>
          <w:szCs w:val="22"/>
        </w:rPr>
        <w:t xml:space="preserve"> </w:t>
      </w:r>
      <w:r w:rsidR="00FE7B35" w:rsidRPr="00DB39C6">
        <w:rPr>
          <w:rFonts w:ascii="Arial" w:hAnsi="Arial"/>
          <w:sz w:val="22"/>
          <w:szCs w:val="22"/>
        </w:rPr>
        <w:t>‘</w:t>
      </w:r>
      <w:r w:rsidRPr="00DB39C6">
        <w:rPr>
          <w:rFonts w:ascii="Arial" w:hAnsi="Arial"/>
          <w:sz w:val="22"/>
          <w:szCs w:val="22"/>
        </w:rPr>
        <w:t>Determinants of tax compliance intention: Focus on the theory of pla</w:t>
      </w:r>
      <w:r w:rsidR="00FE7B35" w:rsidRPr="00DB39C6">
        <w:rPr>
          <w:rFonts w:ascii="Arial" w:hAnsi="Arial"/>
          <w:sz w:val="22"/>
          <w:szCs w:val="22"/>
        </w:rPr>
        <w:t>nned behaviour’,</w:t>
      </w:r>
      <w:r w:rsidRPr="00DB39C6">
        <w:rPr>
          <w:rFonts w:ascii="Arial" w:hAnsi="Arial"/>
          <w:sz w:val="22"/>
          <w:szCs w:val="22"/>
        </w:rPr>
        <w:t> </w:t>
      </w:r>
      <w:r w:rsidRPr="00DB39C6">
        <w:rPr>
          <w:rFonts w:ascii="Arial" w:hAnsi="Arial"/>
          <w:i/>
          <w:iCs/>
          <w:sz w:val="22"/>
          <w:szCs w:val="22"/>
        </w:rPr>
        <w:t>International journal of public administration</w:t>
      </w:r>
      <w:r w:rsidRPr="00DB39C6">
        <w:rPr>
          <w:rFonts w:ascii="Arial" w:hAnsi="Arial"/>
          <w:sz w:val="22"/>
          <w:szCs w:val="22"/>
        </w:rPr>
        <w:t>, </w:t>
      </w:r>
      <w:r w:rsidRPr="00DB39C6">
        <w:rPr>
          <w:rFonts w:ascii="Arial" w:hAnsi="Arial"/>
          <w:i/>
          <w:iCs/>
          <w:sz w:val="22"/>
          <w:szCs w:val="22"/>
        </w:rPr>
        <w:t>44</w:t>
      </w:r>
      <w:r w:rsidRPr="00DB39C6">
        <w:rPr>
          <w:rFonts w:ascii="Arial" w:hAnsi="Arial"/>
          <w:sz w:val="22"/>
          <w:szCs w:val="22"/>
        </w:rPr>
        <w:t>(1), 62-73.</w:t>
      </w:r>
    </w:p>
    <w:p w14:paraId="057C0C1B" w14:textId="37F2929A" w:rsidR="00C810A5" w:rsidRPr="00DB39C6" w:rsidRDefault="00CF321F" w:rsidP="00F600A5">
      <w:pPr>
        <w:spacing w:line="360" w:lineRule="auto"/>
        <w:rPr>
          <w:rFonts w:ascii="Arial" w:hAnsi="Arial"/>
          <w:sz w:val="22"/>
          <w:szCs w:val="22"/>
        </w:rPr>
      </w:pPr>
      <w:r w:rsidRPr="00DB39C6">
        <w:rPr>
          <w:rFonts w:ascii="Arial" w:hAnsi="Arial"/>
          <w:sz w:val="22"/>
          <w:szCs w:val="22"/>
        </w:rPr>
        <w:lastRenderedPageBreak/>
        <w:t>Yang, H., Liu, X., Su, F., Cherr</w:t>
      </w:r>
      <w:r w:rsidR="00FE7B35" w:rsidRPr="00DB39C6">
        <w:rPr>
          <w:rFonts w:ascii="Arial" w:hAnsi="Arial"/>
          <w:sz w:val="22"/>
          <w:szCs w:val="22"/>
        </w:rPr>
        <w:t>y, C., Liu, Y., &amp; Li, Y. (2018)</w:t>
      </w:r>
      <w:r w:rsidRPr="00DB39C6">
        <w:rPr>
          <w:rFonts w:ascii="Arial" w:hAnsi="Arial"/>
          <w:sz w:val="22"/>
          <w:szCs w:val="22"/>
        </w:rPr>
        <w:t xml:space="preserve"> </w:t>
      </w:r>
      <w:r w:rsidR="00FE7B35" w:rsidRPr="00DB39C6">
        <w:rPr>
          <w:rFonts w:ascii="Arial" w:hAnsi="Arial"/>
          <w:sz w:val="22"/>
          <w:szCs w:val="22"/>
        </w:rPr>
        <w:t>‘</w:t>
      </w:r>
      <w:r w:rsidRPr="00DB39C6">
        <w:rPr>
          <w:rFonts w:ascii="Arial" w:hAnsi="Arial"/>
          <w:sz w:val="22"/>
          <w:szCs w:val="22"/>
        </w:rPr>
        <w:t>Predicting e-bike users’ intention to run the red light: an application and extension of the theory of planned beh</w:t>
      </w:r>
      <w:r w:rsidR="00FE7B35" w:rsidRPr="00DB39C6">
        <w:rPr>
          <w:rFonts w:ascii="Arial" w:hAnsi="Arial"/>
          <w:sz w:val="22"/>
          <w:szCs w:val="22"/>
        </w:rPr>
        <w:t>aviour’,</w:t>
      </w:r>
      <w:r w:rsidRPr="00DB39C6">
        <w:rPr>
          <w:rFonts w:ascii="Arial" w:hAnsi="Arial"/>
          <w:sz w:val="22"/>
          <w:szCs w:val="22"/>
        </w:rPr>
        <w:t> </w:t>
      </w:r>
      <w:r w:rsidRPr="00DB39C6">
        <w:rPr>
          <w:rFonts w:ascii="Arial" w:hAnsi="Arial"/>
          <w:i/>
          <w:iCs/>
          <w:sz w:val="22"/>
          <w:szCs w:val="22"/>
        </w:rPr>
        <w:t>Transportation research part F: traffic psychology and behaviour</w:t>
      </w:r>
      <w:r w:rsidRPr="00DB39C6">
        <w:rPr>
          <w:rFonts w:ascii="Arial" w:hAnsi="Arial"/>
          <w:sz w:val="22"/>
          <w:szCs w:val="22"/>
        </w:rPr>
        <w:t>, </w:t>
      </w:r>
      <w:r w:rsidRPr="00DB39C6">
        <w:rPr>
          <w:rFonts w:ascii="Arial" w:hAnsi="Arial"/>
          <w:i/>
          <w:iCs/>
          <w:sz w:val="22"/>
          <w:szCs w:val="22"/>
        </w:rPr>
        <w:t>58</w:t>
      </w:r>
      <w:r w:rsidRPr="00DB39C6">
        <w:rPr>
          <w:rFonts w:ascii="Arial" w:hAnsi="Arial"/>
          <w:sz w:val="22"/>
          <w:szCs w:val="22"/>
        </w:rPr>
        <w:t>, 282-291.</w:t>
      </w:r>
    </w:p>
    <w:p w14:paraId="4DF7E522" w14:textId="77777777" w:rsidR="00C943EB" w:rsidRPr="00DB39C6" w:rsidRDefault="00C943EB" w:rsidP="00F600A5">
      <w:pPr>
        <w:spacing w:line="360" w:lineRule="auto"/>
        <w:rPr>
          <w:rFonts w:ascii="Arial" w:hAnsi="Arial"/>
          <w:sz w:val="22"/>
          <w:szCs w:val="22"/>
        </w:rPr>
      </w:pPr>
    </w:p>
    <w:p w14:paraId="68A6A574" w14:textId="77777777" w:rsidR="001C5D5F" w:rsidRPr="00DB39C6" w:rsidRDefault="001C5D5F" w:rsidP="00F600A5">
      <w:pPr>
        <w:spacing w:line="360" w:lineRule="auto"/>
        <w:rPr>
          <w:rFonts w:ascii="Arial" w:hAnsi="Arial"/>
          <w:sz w:val="22"/>
          <w:szCs w:val="22"/>
        </w:rPr>
      </w:pPr>
    </w:p>
    <w:sectPr w:rsidR="001C5D5F" w:rsidRPr="00DB39C6" w:rsidSect="00DA0CAD">
      <w:headerReference w:type="even" r:id="rId6"/>
      <w:headerReference w:type="default" r:id="rId7"/>
      <w:headerReference w:type="firs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1BDB5B" w14:textId="77777777" w:rsidR="007F7C57" w:rsidRDefault="007F7C57" w:rsidP="00DA0CAD">
      <w:pPr>
        <w:spacing w:before="0" w:after="0" w:line="240" w:lineRule="auto"/>
      </w:pPr>
      <w:r>
        <w:separator/>
      </w:r>
    </w:p>
  </w:endnote>
  <w:endnote w:type="continuationSeparator" w:id="0">
    <w:p w14:paraId="32A7E08A" w14:textId="77777777" w:rsidR="007F7C57" w:rsidRDefault="007F7C57" w:rsidP="00DA0CA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298F2E" w14:textId="77777777" w:rsidR="007F7C57" w:rsidRDefault="007F7C57" w:rsidP="00DA0CAD">
      <w:pPr>
        <w:spacing w:before="0" w:after="0" w:line="240" w:lineRule="auto"/>
      </w:pPr>
      <w:r>
        <w:separator/>
      </w:r>
    </w:p>
  </w:footnote>
  <w:footnote w:type="continuationSeparator" w:id="0">
    <w:p w14:paraId="3FB63FE5" w14:textId="77777777" w:rsidR="007F7C57" w:rsidRDefault="007F7C57" w:rsidP="00DA0CA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2418679"/>
      <w:docPartObj>
        <w:docPartGallery w:val="Page Numbers (Top of Page)"/>
        <w:docPartUnique/>
      </w:docPartObj>
    </w:sdtPr>
    <w:sdtContent>
      <w:p w14:paraId="23A925F5" w14:textId="4DC285C9" w:rsidR="00DA0CAD" w:rsidRDefault="00CF321F" w:rsidP="000C0FF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7D0967" w14:textId="77777777" w:rsidR="00DA0CAD" w:rsidRDefault="00DA0CAD" w:rsidP="00DA0CA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4558978"/>
      <w:docPartObj>
        <w:docPartGallery w:val="Page Numbers (Top of Page)"/>
        <w:docPartUnique/>
      </w:docPartObj>
    </w:sdtPr>
    <w:sdtContent>
      <w:p w14:paraId="1F76B831" w14:textId="1D894378" w:rsidR="00DA0CAD" w:rsidRDefault="00CF321F" w:rsidP="000C0FF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DB39C6">
          <w:rPr>
            <w:rStyle w:val="PageNumber"/>
            <w:noProof/>
          </w:rPr>
          <w:t>1</w:t>
        </w:r>
        <w:r>
          <w:rPr>
            <w:rStyle w:val="PageNumber"/>
          </w:rPr>
          <w:fldChar w:fldCharType="end"/>
        </w:r>
      </w:p>
    </w:sdtContent>
  </w:sdt>
  <w:p w14:paraId="394C286A" w14:textId="0BC2B03B" w:rsidR="00DA0CAD" w:rsidRPr="00DA0CAD" w:rsidRDefault="00CF321F" w:rsidP="00DA0CAD">
    <w:pPr>
      <w:spacing w:line="360" w:lineRule="auto"/>
      <w:rPr>
        <w:rFonts w:ascii="Arial" w:hAnsi="Arial"/>
        <w:sz w:val="22"/>
        <w:szCs w:val="22"/>
      </w:rPr>
    </w:pPr>
    <w:r>
      <w:rPr>
        <w:rFonts w:ascii="Arial" w:hAnsi="Arial"/>
        <w:sz w:val="22"/>
        <w:szCs w:val="22"/>
      </w:rPr>
      <w:t>Case Study Report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A2F9C5" w14:textId="69B27272" w:rsidR="00DA0CAD" w:rsidRPr="00DA0CAD" w:rsidRDefault="00CF321F" w:rsidP="00DA0CAD">
    <w:pPr>
      <w:spacing w:line="360" w:lineRule="auto"/>
      <w:rPr>
        <w:rFonts w:ascii="Arial" w:hAnsi="Arial"/>
        <w:sz w:val="22"/>
        <w:szCs w:val="22"/>
      </w:rPr>
    </w:pPr>
    <w:r>
      <w:rPr>
        <w:rFonts w:ascii="Arial" w:hAnsi="Arial"/>
        <w:sz w:val="22"/>
        <w:szCs w:val="22"/>
      </w:rPr>
      <w:t>Case Study Report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96C95"/>
    <w:rsid w:val="00046F90"/>
    <w:rsid w:val="000C0FF1"/>
    <w:rsid w:val="000E7496"/>
    <w:rsid w:val="000F372C"/>
    <w:rsid w:val="0015251A"/>
    <w:rsid w:val="001C5D5F"/>
    <w:rsid w:val="001C75D1"/>
    <w:rsid w:val="001D0E42"/>
    <w:rsid w:val="001E021F"/>
    <w:rsid w:val="00206F50"/>
    <w:rsid w:val="00285188"/>
    <w:rsid w:val="002B3594"/>
    <w:rsid w:val="00314B2E"/>
    <w:rsid w:val="003350AB"/>
    <w:rsid w:val="00341995"/>
    <w:rsid w:val="00357A23"/>
    <w:rsid w:val="003B19BA"/>
    <w:rsid w:val="003D6B86"/>
    <w:rsid w:val="004143BB"/>
    <w:rsid w:val="00442450"/>
    <w:rsid w:val="00453794"/>
    <w:rsid w:val="004953CC"/>
    <w:rsid w:val="004C4A3C"/>
    <w:rsid w:val="004D5FCC"/>
    <w:rsid w:val="004E52DD"/>
    <w:rsid w:val="00524AD5"/>
    <w:rsid w:val="00524ECB"/>
    <w:rsid w:val="0052712B"/>
    <w:rsid w:val="00570D45"/>
    <w:rsid w:val="005B194D"/>
    <w:rsid w:val="005B7BE9"/>
    <w:rsid w:val="005D0260"/>
    <w:rsid w:val="005E1DFB"/>
    <w:rsid w:val="005F3EEE"/>
    <w:rsid w:val="00613E83"/>
    <w:rsid w:val="006306C1"/>
    <w:rsid w:val="00653789"/>
    <w:rsid w:val="00653826"/>
    <w:rsid w:val="00686D5D"/>
    <w:rsid w:val="006F350E"/>
    <w:rsid w:val="00774366"/>
    <w:rsid w:val="00796C95"/>
    <w:rsid w:val="007A58D3"/>
    <w:rsid w:val="007B5AED"/>
    <w:rsid w:val="007F7C57"/>
    <w:rsid w:val="008744A3"/>
    <w:rsid w:val="008B59EF"/>
    <w:rsid w:val="008E02E2"/>
    <w:rsid w:val="008F245C"/>
    <w:rsid w:val="00905B51"/>
    <w:rsid w:val="00906CE7"/>
    <w:rsid w:val="00934397"/>
    <w:rsid w:val="00962FD9"/>
    <w:rsid w:val="009C4B50"/>
    <w:rsid w:val="00AD1DB8"/>
    <w:rsid w:val="00AD2A2C"/>
    <w:rsid w:val="00AF6302"/>
    <w:rsid w:val="00BC6F76"/>
    <w:rsid w:val="00BD157E"/>
    <w:rsid w:val="00C05226"/>
    <w:rsid w:val="00C313A5"/>
    <w:rsid w:val="00C810A5"/>
    <w:rsid w:val="00C943EB"/>
    <w:rsid w:val="00CF321F"/>
    <w:rsid w:val="00D306AF"/>
    <w:rsid w:val="00D41278"/>
    <w:rsid w:val="00D63527"/>
    <w:rsid w:val="00D7733D"/>
    <w:rsid w:val="00DA0CAD"/>
    <w:rsid w:val="00DB39C6"/>
    <w:rsid w:val="00E71311"/>
    <w:rsid w:val="00E85160"/>
    <w:rsid w:val="00EB0B1A"/>
    <w:rsid w:val="00EE5E97"/>
    <w:rsid w:val="00F0187A"/>
    <w:rsid w:val="00F01EC3"/>
    <w:rsid w:val="00F15FFA"/>
    <w:rsid w:val="00F3025E"/>
    <w:rsid w:val="00F600A5"/>
    <w:rsid w:val="00F848D0"/>
    <w:rsid w:val="00FC72D8"/>
    <w:rsid w:val="00FE7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D9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bCs/>
        <w:sz w:val="24"/>
        <w:szCs w:val="24"/>
        <w:lang w:val="en-GB" w:eastAsia="en-US" w:bidi="ar-SA"/>
      </w:rPr>
    </w:rPrDefault>
    <w:pPrDefault>
      <w:pPr>
        <w:spacing w:before="100" w:beforeAutospacing="1" w:after="100" w:afterAutospacing="1"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DB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0CA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A0CAD"/>
    <w:rPr>
      <w:lang w:val="en-GB"/>
    </w:rPr>
  </w:style>
  <w:style w:type="paragraph" w:styleId="Footer">
    <w:name w:val="footer"/>
    <w:basedOn w:val="Normal"/>
    <w:link w:val="FooterChar"/>
    <w:uiPriority w:val="99"/>
    <w:unhideWhenUsed/>
    <w:rsid w:val="00DA0CA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A0CAD"/>
    <w:rPr>
      <w:lang w:val="en-GB"/>
    </w:rPr>
  </w:style>
  <w:style w:type="character" w:styleId="PageNumber">
    <w:name w:val="page number"/>
    <w:basedOn w:val="DefaultParagraphFont"/>
    <w:uiPriority w:val="99"/>
    <w:semiHidden/>
    <w:unhideWhenUsed/>
    <w:rsid w:val="00DA0C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2009</Words>
  <Characters>11456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2022-10-31T15:54:00Z</dcterms:created>
  <dcterms:modified xsi:type="dcterms:W3CDTF">2022-11-23T21:21:00Z</dcterms:modified>
</cp:coreProperties>
</file>