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rPr>
          <w:rFonts w:ascii="Arial" w:cs="Arial" w:hAnsi="Arial" w:eastAsia="Arial"/>
        </w:rPr>
      </w:pPr>
    </w:p>
    <w:tbl>
      <w:tblPr>
        <w:tblW w:w="9922"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9922"/>
      </w:tblGrid>
      <w:tr>
        <w:tblPrEx>
          <w:shd w:val="clear" w:color="auto" w:fill="cadfff"/>
        </w:tblPrEx>
        <w:trPr>
          <w:trHeight w:val="467" w:hRule="atLeast"/>
        </w:trPr>
        <w:tc>
          <w:tcPr>
            <w:tcW w:type="dxa" w:w="99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0c0c0"/>
            <w:tcMar>
              <w:top w:type="dxa" w:w="80"/>
              <w:left w:type="dxa" w:w="80"/>
              <w:bottom w:type="dxa" w:w="80"/>
              <w:right w:type="dxa" w:w="80"/>
            </w:tcMar>
            <w:vAlign w:val="top"/>
          </w:tcPr>
          <w:p>
            <w:pPr>
              <w:pStyle w:val="Default"/>
              <w:keepNext w:val="1"/>
              <w:spacing w:before="120" w:after="120" w:line="240" w:lineRule="auto"/>
              <w:jc w:val="center"/>
              <w:outlineLvl w:val="2"/>
            </w:pPr>
            <w:r>
              <w:rPr>
                <w:rFonts w:ascii="Arial" w:hAnsi="Arial"/>
                <w:b w:val="1"/>
                <w:bCs w:val="1"/>
                <w:sz w:val="40"/>
                <w:szCs w:val="40"/>
                <w:shd w:val="nil" w:color="auto" w:fill="auto"/>
                <w:rtl w:val="0"/>
                <w:lang w:val="en-US"/>
              </w:rPr>
              <w:t xml:space="preserve">LEVEL 6 ASSESSMENT SPECIFICATION </w:t>
            </w:r>
          </w:p>
        </w:tc>
      </w:tr>
    </w:tbl>
    <w:p>
      <w:pPr>
        <w:pStyle w:val="Body A"/>
        <w:widowControl w:val="0"/>
        <w:ind w:left="108" w:hanging="108"/>
        <w:rPr>
          <w:rFonts w:ascii="Arial" w:cs="Arial" w:hAnsi="Arial" w:eastAsia="Arial"/>
        </w:rPr>
      </w:pPr>
    </w:p>
    <w:p>
      <w:pPr>
        <w:pStyle w:val="Body A"/>
        <w:rPr>
          <w:rFonts w:ascii="Arial" w:cs="Arial" w:hAnsi="Arial" w:eastAsia="Arial"/>
        </w:rPr>
      </w:pPr>
    </w:p>
    <w:p>
      <w:pPr>
        <w:pStyle w:val="Body A"/>
        <w:rPr>
          <w:rFonts w:ascii="Arial" w:cs="Arial" w:hAnsi="Arial" w:eastAsia="Arial"/>
        </w:rPr>
      </w:pPr>
    </w:p>
    <w:tbl>
      <w:tblPr>
        <w:tblW w:w="9922"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2093"/>
        <w:gridCol w:w="3293"/>
        <w:gridCol w:w="2267"/>
        <w:gridCol w:w="2269"/>
      </w:tblGrid>
      <w:tr>
        <w:tblPrEx>
          <w:shd w:val="clear" w:color="auto" w:fill="cadfff"/>
        </w:tblPrEx>
        <w:trPr>
          <w:trHeight w:val="49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hd w:val="nil" w:color="auto" w:fill="auto"/>
                <w:rtl w:val="0"/>
                <w:lang w:val="en-US"/>
              </w:rPr>
              <w:t>Student name: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Arial" w:hAnsi="Arial" w:hint="default"/>
                <w:b w:val="1"/>
                <w:bCs w:val="1"/>
                <w:shd w:val="nil" w:color="auto" w:fill="auto"/>
                <w:rtl w:val="0"/>
              </w:rPr>
              <w:t> </w:t>
            </w:r>
            <w:r>
              <w:rPr>
                <w:rFonts w:ascii="Arial" w:hAnsi="Arial"/>
                <w:b w:val="1"/>
                <w:bCs w:val="1"/>
                <w:shd w:val="nil" w:color="auto" w:fill="auto"/>
                <w:rtl w:val="0"/>
                <w:lang w:val="en-US"/>
              </w:rPr>
              <w:t>Jack Starkey</w:t>
            </w:r>
            <w:r>
              <w:rPr>
                <w:rFonts w:ascii="Arial" w:hAnsi="Arial" w:hint="default"/>
                <w:b w:val="1"/>
                <w:bCs w:val="1"/>
                <w:shd w:val="nil" w:color="auto" w:fill="auto"/>
                <w:rtl w:val="0"/>
              </w:rPr>
              <w:t>    </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hd w:val="nil" w:color="auto" w:fill="auto"/>
                <w:rtl w:val="0"/>
                <w:lang w:val="en-US"/>
              </w:rPr>
              <w:t>Student ID number:</w:t>
            </w:r>
          </w:p>
        </w:tc>
        <w:tc>
          <w:tcPr>
            <w:tcW w:type="dxa" w:w="2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spacing w:before="120" w:after="120" w:line="240" w:lineRule="auto"/>
              <w:jc w:val="both"/>
            </w:pPr>
            <w:r>
              <w:rPr>
                <w:rFonts w:ascii="Arial" w:hAnsi="Arial"/>
                <w:b w:val="1"/>
                <w:bCs w:val="1"/>
                <w:sz w:val="22"/>
                <w:szCs w:val="22"/>
                <w:shd w:val="nil" w:color="auto" w:fill="auto"/>
                <w:rtl w:val="0"/>
                <w:lang w:val="en-US"/>
              </w:rPr>
              <w:t>2000916</w:t>
            </w:r>
          </w:p>
        </w:tc>
      </w:tr>
      <w:tr>
        <w:tblPrEx>
          <w:shd w:val="clear" w:color="auto" w:fill="cadfff"/>
        </w:tblPrEx>
        <w:trPr>
          <w:trHeight w:val="25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hd w:val="nil" w:color="auto" w:fill="auto"/>
                <w:rtl w:val="0"/>
                <w:lang w:val="en-US"/>
              </w:rPr>
              <w:t>Program:</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spacing w:before="120" w:after="120"/>
              <w:jc w:val="both"/>
            </w:pPr>
            <w:r>
              <w:rPr>
                <w:rFonts w:ascii="Arial" w:hAnsi="Arial"/>
                <w:b w:val="1"/>
                <w:bCs w:val="1"/>
                <w:shd w:val="nil" w:color="auto" w:fill="auto"/>
                <w:rtl w:val="0"/>
                <w:lang w:val="en-US"/>
              </w:rPr>
              <w:t xml:space="preserve">Physical Education and Outdoor Adventure Education </w:t>
            </w:r>
          </w:p>
        </w:tc>
      </w:tr>
      <w:tr>
        <w:tblPrEx>
          <w:shd w:val="clear" w:color="auto" w:fill="cadfff"/>
        </w:tblPrEx>
        <w:trPr>
          <w:trHeight w:val="25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hd w:val="nil" w:color="auto" w:fill="auto"/>
                <w:rtl w:val="0"/>
                <w:lang w:val="en-US"/>
              </w:rPr>
              <w:t>Module:</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Arial" w:hAnsi="Arial"/>
                <w:b w:val="1"/>
                <w:bCs w:val="1"/>
                <w:shd w:val="nil" w:color="auto" w:fill="auto"/>
                <w:rtl w:val="0"/>
                <w:lang w:val="en-US"/>
              </w:rPr>
              <w:t>Curriculum Adventure</w:t>
            </w:r>
          </w:p>
        </w:tc>
      </w:tr>
      <w:tr>
        <w:tblPrEx>
          <w:shd w:val="clear" w:color="auto" w:fill="cadfff"/>
        </w:tblPrEx>
        <w:trPr>
          <w:trHeight w:val="73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hd w:val="nil" w:color="auto" w:fill="auto"/>
                <w:rtl w:val="0"/>
                <w:lang w:val="en-US"/>
              </w:rPr>
              <w:t>Module code: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spacing w:before="120" w:after="120"/>
              <w:jc w:val="both"/>
            </w:pPr>
            <w:r>
              <w:rPr>
                <w:rFonts w:ascii="Arial" w:hAnsi="Arial"/>
                <w:b w:val="1"/>
                <w:bCs w:val="1"/>
                <w:shd w:val="nil" w:color="auto" w:fill="auto"/>
                <w:rtl w:val="0"/>
                <w:lang w:val="en-US"/>
              </w:rPr>
              <w:t xml:space="preserve">BMOE6002 </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Heading 2"/>
              <w:jc w:val="both"/>
            </w:pPr>
            <w:r>
              <w:rPr>
                <w:rFonts w:ascii="Arial" w:hAnsi="Arial"/>
                <w:sz w:val="22"/>
                <w:szCs w:val="22"/>
                <w:shd w:val="nil" w:color="auto" w:fill="auto"/>
                <w:rtl w:val="0"/>
                <w:lang w:val="en-US"/>
              </w:rPr>
              <w:t>Contribution to Overall Module Assessment (%):</w:t>
            </w:r>
          </w:p>
        </w:tc>
        <w:tc>
          <w:tcPr>
            <w:tcW w:type="dxa" w:w="2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spacing w:before="120" w:after="120"/>
              <w:jc w:val="both"/>
            </w:pPr>
            <w:r>
              <w:rPr>
                <w:rFonts w:ascii="Arial" w:hAnsi="Arial"/>
                <w:b w:val="1"/>
                <w:bCs w:val="1"/>
                <w:shd w:val="nil" w:color="auto" w:fill="auto"/>
                <w:rtl w:val="0"/>
                <w:lang w:val="en-US"/>
              </w:rPr>
              <w:t>50%</w:t>
            </w:r>
          </w:p>
        </w:tc>
      </w:tr>
      <w:tr>
        <w:tblPrEx>
          <w:shd w:val="clear" w:color="auto" w:fill="cadfff"/>
        </w:tblPrEx>
        <w:trPr>
          <w:trHeight w:val="300"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hd w:val="nil" w:color="auto" w:fill="auto"/>
                <w:rtl w:val="0"/>
                <w:lang w:val="en-US"/>
              </w:rPr>
              <w:t>Lecturer:</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Arial" w:hAnsi="Arial"/>
                <w:b w:val="1"/>
                <w:bCs w:val="1"/>
                <w:shd w:val="nil" w:color="auto" w:fill="auto"/>
                <w:rtl w:val="0"/>
                <w:lang w:val="en-US"/>
              </w:rPr>
              <w:t>Dr Nalda Wainwright</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hd w:val="nil" w:color="auto" w:fill="auto"/>
                <w:rtl w:val="0"/>
                <w:lang w:val="en-US"/>
              </w:rPr>
              <w:t>Internal Verifier:</w:t>
            </w:r>
          </w:p>
        </w:tc>
        <w:tc>
          <w:tcPr>
            <w:tcW w:type="dxa" w:w="2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adfff"/>
        </w:tblPrEx>
        <w:trPr>
          <w:trHeight w:val="81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hd w:val="nil" w:color="auto" w:fill="auto"/>
                <w:rtl w:val="0"/>
                <w:lang w:val="en-US"/>
              </w:rPr>
              <w:t>Assignment Title: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pPr>
            <w:r>
              <w:rPr>
                <w:rFonts w:ascii="Times New Roman" w:hAnsi="Times New Roman"/>
                <w:b w:val="1"/>
                <w:bCs w:val="1"/>
                <w:sz w:val="20"/>
                <w:szCs w:val="20"/>
                <w:shd w:val="nil" w:color="auto" w:fill="auto"/>
                <w:rtl w:val="0"/>
                <w:lang w:val="en-US"/>
              </w:rPr>
              <w:t>Problem Based learning assignment</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hd w:val="nil" w:color="auto" w:fill="auto"/>
                <w:rtl w:val="0"/>
                <w:lang w:val="en-US"/>
              </w:rPr>
              <w:t>Word count (or equivalent):</w:t>
            </w:r>
          </w:p>
        </w:tc>
        <w:tc>
          <w:tcPr>
            <w:tcW w:type="dxa" w:w="2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spacing w:before="120" w:after="120"/>
              <w:jc w:val="both"/>
            </w:pPr>
            <w:r>
              <w:rPr>
                <w:rFonts w:ascii="Arial" w:hAnsi="Arial"/>
                <w:b w:val="1"/>
                <w:bCs w:val="1"/>
                <w:shd w:val="nil" w:color="auto" w:fill="auto"/>
                <w:rtl w:val="0"/>
                <w:lang w:val="en-US"/>
              </w:rPr>
              <w:t>2500</w:t>
            </w:r>
          </w:p>
        </w:tc>
      </w:tr>
      <w:tr>
        <w:tblPrEx>
          <w:shd w:val="clear" w:color="auto" w:fill="cadfff"/>
        </w:tblPrEx>
        <w:trPr>
          <w:trHeight w:val="96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hd w:val="nil" w:color="auto" w:fill="auto"/>
                <w:rtl w:val="0"/>
                <w:lang w:val="en-US"/>
              </w:rPr>
              <w:t>Submission deadline: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Arial" w:hAnsi="Arial"/>
                <w:b w:val="1"/>
                <w:bCs w:val="1"/>
                <w:shd w:val="nil" w:color="auto" w:fill="auto"/>
                <w:rtl w:val="0"/>
                <w:lang w:val="en-US"/>
              </w:rPr>
              <w:t>Dec 9</w:t>
            </w:r>
            <w:r>
              <w:rPr>
                <w:rFonts w:ascii="Arial" w:hAnsi="Arial"/>
                <w:b w:val="1"/>
                <w:bCs w:val="1"/>
                <w:shd w:val="nil" w:color="auto" w:fill="auto"/>
                <w:vertAlign w:val="superscript"/>
                <w:rtl w:val="0"/>
                <w:lang w:val="en-US"/>
              </w:rPr>
              <w:t>th</w:t>
            </w:r>
            <w:r>
              <w:rPr>
                <w:rFonts w:ascii="Arial" w:hAnsi="Arial"/>
                <w:b w:val="1"/>
                <w:bCs w:val="1"/>
                <w:shd w:val="nil" w:color="auto" w:fill="auto"/>
                <w:rtl w:val="0"/>
                <w:lang w:val="en-US"/>
              </w:rPr>
              <w:t xml:space="preserve"> 2022</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hd w:val="nil" w:color="auto" w:fill="auto"/>
                <w:rtl w:val="0"/>
                <w:lang w:val="en-US"/>
              </w:rPr>
              <w:t>Return date of provisional marks &amp; written feedback:</w:t>
            </w:r>
          </w:p>
        </w:tc>
        <w:tc>
          <w:tcPr>
            <w:tcW w:type="dxa" w:w="2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adfff"/>
        </w:tblPrEx>
        <w:trPr>
          <w:trHeight w:val="241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hd w:val="nil" w:color="auto" w:fill="auto"/>
                <w:rtl w:val="0"/>
                <w:lang w:val="en-US"/>
              </w:rPr>
              <w:t>Submission method:</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All written assessments, where practical and possible, must be submitted via Turnitin unless otherwise instructed by the Lecturer. (Please DO NOT put this assessment specification into Turnitin or it will match many similarities with other students</w:t>
            </w:r>
            <w:r>
              <w:rPr>
                <w:rFonts w:ascii="Arial" w:hAnsi="Arial" w:hint="default"/>
                <w:shd w:val="nil" w:color="auto" w:fill="auto"/>
                <w:rtl w:val="0"/>
                <w:lang w:val="en-US"/>
              </w:rPr>
              <w:t xml:space="preserve">’ </w:t>
            </w:r>
            <w:r>
              <w:rPr>
                <w:rFonts w:ascii="Arial" w:hAnsi="Arial"/>
                <w:shd w:val="nil" w:color="auto" w:fill="auto"/>
                <w:rtl w:val="0"/>
                <w:lang w:val="en-US"/>
              </w:rPr>
              <w:t>submissions.)</w:t>
            </w:r>
          </w:p>
          <w:p>
            <w:pPr>
              <w:pStyle w:val="Body A"/>
              <w:bidi w:val="0"/>
              <w:spacing w:before="120" w:after="120"/>
              <w:ind w:left="0" w:right="0" w:firstLine="0"/>
              <w:jc w:val="both"/>
              <w:rPr>
                <w:rFonts w:ascii="Arial" w:cs="Arial" w:hAnsi="Arial" w:eastAsia="Arial"/>
                <w:b w:val="1"/>
                <w:bCs w:val="1"/>
                <w:shd w:val="nil" w:color="auto" w:fill="auto"/>
                <w:rtl w:val="0"/>
              </w:rPr>
            </w:pPr>
            <w:r>
              <w:rPr>
                <w:rFonts w:ascii="Arial" w:hAnsi="Arial"/>
                <w:b w:val="1"/>
                <w:bCs w:val="1"/>
                <w:shd w:val="nil" w:color="auto" w:fill="auto"/>
                <w:rtl w:val="0"/>
                <w:lang w:val="en-US"/>
              </w:rPr>
              <w:t xml:space="preserve">Alternative submission method (if applicable): </w:t>
            </w:r>
          </w:p>
          <w:p>
            <w:pPr>
              <w:pStyle w:val="Body A"/>
              <w:bidi w:val="0"/>
              <w:spacing w:before="120" w:after="120"/>
              <w:ind w:left="0" w:right="0" w:firstLine="0"/>
              <w:jc w:val="both"/>
              <w:rPr>
                <w:rtl w:val="0"/>
              </w:rPr>
            </w:pPr>
            <w:r>
              <w:rPr>
                <w:rFonts w:ascii="Arial" w:hAnsi="Arial"/>
                <w:b w:val="1"/>
                <w:bCs w:val="1"/>
                <w:shd w:val="nil" w:color="auto" w:fill="auto"/>
                <w:rtl w:val="0"/>
                <w:lang w:val="en-US"/>
              </w:rPr>
              <w:t xml:space="preserve">Late submission of the assessment will result in a late penalty mark.  </w:t>
            </w:r>
            <w:r>
              <w:rPr>
                <w:rFonts w:ascii="Arial" w:hAnsi="Arial"/>
                <w:shd w:val="nil" w:color="auto" w:fill="auto"/>
                <w:rtl w:val="0"/>
                <w:lang w:val="en-US"/>
              </w:rPr>
              <w:t>Penalties for late submission: Up to one week late, maximum mark of 40%.  Over one week late, 0%.  Only the Extenuating Circumstances Panel may approve a change to submission dates.</w:t>
            </w:r>
          </w:p>
        </w:tc>
      </w:tr>
      <w:tr>
        <w:tblPrEx>
          <w:shd w:val="clear" w:color="auto" w:fill="cadfff"/>
        </w:tblPrEx>
        <w:trPr>
          <w:trHeight w:val="121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pPr>
            <w:r>
              <w:rPr>
                <w:rFonts w:ascii="Arial" w:hAnsi="Arial"/>
                <w:b w:val="1"/>
                <w:bCs w:val="1"/>
                <w:shd w:val="nil" w:color="auto" w:fill="auto"/>
                <w:rtl w:val="0"/>
                <w:lang w:val="en-US"/>
              </w:rPr>
              <w:t>Academic honesty / referencing:</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Arial" w:hAnsi="Arial"/>
                <w:shd w:val="nil" w:color="auto" w:fill="auto"/>
                <w:rtl w:val="0"/>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pPr>
        <w:pStyle w:val="Body A"/>
        <w:widowControl w:val="0"/>
        <w:ind w:left="108" w:hanging="108"/>
        <w:rPr>
          <w:rFonts w:ascii="Arial" w:cs="Arial" w:hAnsi="Arial" w:eastAsia="Arial"/>
        </w:rPr>
      </w:pPr>
    </w:p>
    <w:p>
      <w:pPr>
        <w:pStyle w:val="Body A"/>
        <w:rPr>
          <w:rFonts w:ascii="Arial" w:cs="Arial" w:hAnsi="Arial" w:eastAsia="Arial"/>
        </w:rPr>
      </w:pPr>
    </w:p>
    <w:p>
      <w:pPr>
        <w:pStyle w:val="Body A"/>
        <w:rPr>
          <w:rFonts w:ascii="Arial" w:cs="Arial" w:hAnsi="Arial" w:eastAsia="Arial"/>
        </w:rPr>
      </w:pPr>
    </w:p>
    <w:p>
      <w:pPr>
        <w:pStyle w:val="Body A"/>
        <w:jc w:val="both"/>
        <w:rPr>
          <w:rFonts w:ascii="Arial" w:cs="Arial" w:hAnsi="Arial" w:eastAsia="Arial"/>
        </w:rPr>
      </w:pPr>
    </w:p>
    <w:p>
      <w:pPr>
        <w:pStyle w:val="Body A"/>
        <w:spacing w:line="360" w:lineRule="auto"/>
        <w:jc w:val="both"/>
        <w:rPr>
          <w:rFonts w:ascii="Arial" w:cs="Arial" w:hAnsi="Arial" w:eastAsia="Arial"/>
        </w:rPr>
      </w:pPr>
      <w:r>
        <w:rPr>
          <w:rFonts w:ascii="Arial" w:hAnsi="Arial"/>
          <w:rtl w:val="0"/>
          <w:lang w:val="en-US"/>
        </w:rPr>
        <w:t>With the disruption caused by the COVID-19 pandemic, it has led to society as well as the world to change, especially regarding educational facilities to cater to innumerable changes</w:t>
      </w:r>
      <w:r>
        <w:rPr>
          <w:rFonts w:ascii="Arial" w:hAnsi="Arial"/>
          <w:rtl w:val="0"/>
        </w:rPr>
        <w:t xml:space="preserve"> </w:t>
      </w:r>
      <w:r>
        <w:rPr>
          <w:rFonts w:ascii="Arial" w:hAnsi="Arial"/>
          <w:rtl w:val="0"/>
          <w:lang w:val="en-US"/>
        </w:rPr>
        <w:t>(</w:t>
      </w:r>
      <w:r>
        <w:rPr>
          <w:rFonts w:ascii="Arial" w:hAnsi="Arial"/>
          <w:rtl w:val="0"/>
          <w:lang w:val="it-IT"/>
        </w:rPr>
        <w:t>Varea, Gonz</w:t>
      </w:r>
      <w:r>
        <w:rPr>
          <w:rFonts w:ascii="Arial" w:hAnsi="Arial" w:hint="default"/>
          <w:rtl w:val="0"/>
        </w:rPr>
        <w:t>á</w:t>
      </w:r>
      <w:r>
        <w:rPr>
          <w:rFonts w:ascii="Arial" w:hAnsi="Arial"/>
          <w:rtl w:val="0"/>
          <w:lang w:val="en-US"/>
        </w:rPr>
        <w:t>lez-Calvo, and Garc</w:t>
      </w:r>
      <w:r>
        <w:rPr>
          <w:rFonts w:ascii="Arial" w:hAnsi="Arial" w:hint="default"/>
          <w:rtl w:val="0"/>
        </w:rPr>
        <w:t>í</w:t>
      </w:r>
      <w:r>
        <w:rPr>
          <w:rFonts w:ascii="Arial" w:hAnsi="Arial"/>
          <w:rtl w:val="0"/>
        </w:rPr>
        <w:t xml:space="preserve">a-Monge, 2022) </w:t>
      </w:r>
      <w:r>
        <w:rPr>
          <w:rFonts w:ascii="Arial" w:hAnsi="Arial"/>
          <w:rtl w:val="0"/>
          <w:lang w:val="en-US"/>
        </w:rPr>
        <w:t xml:space="preserve">Therefore, this has led to concern for physical education to begin focussing on the changes that need to be made such as the consideration of moving on from the traditional delivery of the subject </w:t>
      </w:r>
      <w:r>
        <w:rPr>
          <w:rFonts w:ascii="Arial" w:hAnsi="Arial"/>
          <w:rtl w:val="0"/>
          <w:lang w:val="it-IT"/>
        </w:rPr>
        <w:t>(Varea, Gonz</w:t>
      </w:r>
      <w:r>
        <w:rPr>
          <w:rFonts w:ascii="Arial" w:hAnsi="Arial" w:hint="default"/>
          <w:rtl w:val="0"/>
        </w:rPr>
        <w:t>á</w:t>
      </w:r>
      <w:r>
        <w:rPr>
          <w:rFonts w:ascii="Arial" w:hAnsi="Arial"/>
          <w:rtl w:val="0"/>
          <w:lang w:val="en-US"/>
        </w:rPr>
        <w:t>lez-Calvo, and Garc</w:t>
      </w:r>
      <w:r>
        <w:rPr>
          <w:rFonts w:ascii="Arial" w:hAnsi="Arial" w:hint="default"/>
          <w:rtl w:val="0"/>
        </w:rPr>
        <w:t>í</w:t>
      </w:r>
      <w:r>
        <w:rPr>
          <w:rFonts w:ascii="Arial" w:hAnsi="Arial"/>
          <w:rtl w:val="0"/>
          <w:lang w:val="en-US"/>
        </w:rPr>
        <w:t>a-Monge, 2022). However, since the COVID-19 pandemic, the government particularly the world health organisation (WHO) has been promoting health through physical activity, and the use of rural green space(</w:t>
      </w:r>
      <w:r>
        <w:rPr>
          <w:rFonts w:ascii="Arial" w:hAnsi="Arial"/>
          <w:rtl w:val="0"/>
          <w:lang w:val="pt-PT"/>
        </w:rPr>
        <w:t>Spencer</w:t>
      </w:r>
      <w:r>
        <w:rPr>
          <w:rFonts w:ascii="Arial" w:hAnsi="Arial"/>
          <w:rtl w:val="0"/>
          <w:lang w:val="en-US"/>
        </w:rPr>
        <w:t xml:space="preserve"> </w:t>
      </w:r>
      <w:r>
        <w:rPr>
          <w:rFonts w:ascii="Arial" w:hAnsi="Arial"/>
          <w:i w:val="1"/>
          <w:iCs w:val="1"/>
          <w:rtl w:val="0"/>
          <w:lang w:val="en-US"/>
        </w:rPr>
        <w:t xml:space="preserve">et al. </w:t>
      </w:r>
      <w:r>
        <w:rPr>
          <w:rFonts w:ascii="Arial" w:hAnsi="Arial"/>
          <w:rtl w:val="0"/>
        </w:rPr>
        <w:t>2020</w:t>
      </w:r>
      <w:r>
        <w:rPr>
          <w:rFonts w:ascii="Arial" w:hAnsi="Arial"/>
          <w:rtl w:val="0"/>
          <w:lang w:val="en-US"/>
        </w:rPr>
        <w:t>). This highlights how the COVID-19 pandemic has shown the importance of the use of local green spaces as well as outdoor activities to engage in physical activity but also the improvement it can provide for the well-being of the participants involved (</w:t>
      </w:r>
      <w:r>
        <w:rPr>
          <w:rFonts w:ascii="Arial" w:hAnsi="Arial"/>
          <w:rtl w:val="0"/>
          <w:lang w:val="pt-PT"/>
        </w:rPr>
        <w:t>Spencer</w:t>
      </w:r>
      <w:r>
        <w:rPr>
          <w:rFonts w:ascii="Arial" w:hAnsi="Arial"/>
          <w:rtl w:val="0"/>
          <w:lang w:val="en-US"/>
        </w:rPr>
        <w:t xml:space="preserve"> </w:t>
      </w:r>
      <w:r>
        <w:rPr>
          <w:rFonts w:ascii="Arial" w:hAnsi="Arial"/>
          <w:i w:val="1"/>
          <w:iCs w:val="1"/>
          <w:rtl w:val="0"/>
          <w:lang w:val="en-US"/>
        </w:rPr>
        <w:t xml:space="preserve">et al. </w:t>
      </w:r>
      <w:r>
        <w:rPr>
          <w:rFonts w:ascii="Arial" w:hAnsi="Arial"/>
          <w:rtl w:val="0"/>
        </w:rPr>
        <w:t>2020</w:t>
      </w:r>
      <w:r>
        <w:rPr>
          <w:rFonts w:ascii="Arial" w:hAnsi="Arial"/>
          <w:rtl w:val="0"/>
          <w:lang w:val="en-US"/>
        </w:rPr>
        <w:t>)</w:t>
      </w:r>
      <w:r>
        <w:rPr>
          <w:rFonts w:ascii="Arial" w:hAnsi="Arial"/>
          <w:rtl w:val="0"/>
        </w:rPr>
        <w:t>.</w:t>
      </w:r>
    </w:p>
    <w:p>
      <w:pPr>
        <w:pStyle w:val="Body A"/>
        <w:spacing w:line="360" w:lineRule="auto"/>
        <w:jc w:val="both"/>
        <w:rPr>
          <w:rFonts w:ascii="Arial" w:cs="Arial" w:hAnsi="Arial" w:eastAsia="Arial"/>
        </w:rPr>
      </w:pPr>
    </w:p>
    <w:p>
      <w:pPr>
        <w:pStyle w:val="Body A"/>
        <w:spacing w:line="360" w:lineRule="auto"/>
        <w:jc w:val="both"/>
        <w:rPr>
          <w:rFonts w:ascii="Arial" w:cs="Arial" w:hAnsi="Arial" w:eastAsia="Arial"/>
        </w:rPr>
      </w:pPr>
    </w:p>
    <w:p>
      <w:pPr>
        <w:pStyle w:val="Body A"/>
        <w:spacing w:line="360" w:lineRule="auto"/>
        <w:jc w:val="both"/>
        <w:rPr>
          <w:rFonts w:ascii="Arial" w:cs="Arial" w:hAnsi="Arial" w:eastAsia="Arial"/>
        </w:rPr>
      </w:pPr>
      <w:r>
        <w:rPr>
          <w:rFonts w:ascii="Arial" w:hAnsi="Arial"/>
          <w:rtl w:val="0"/>
          <w:lang w:val="en-US"/>
        </w:rPr>
        <w:t>This essay will intend to present several concepts and ideas focussing on the job description which details exploring how the use of the outdoor environment can be developed within the secondary school detailed in the question. To explore the concept of how learning can be implemented through the use of outdoor activities. Firstly, the exploration of outdoor activities and environments will be researched regarding how the use of these elements can develop students learning. Therefore, this will lead to the discussion of different approaches, such as the implementation of outdoor activities which can underpin the development of physical literacy, as well as support health and wellbeing as an area of the learning experience within the school. Finally, this will lead to changes within the curriculum in Wales, and how this affects the physical education department's willingness to implement new pedagogical models with a focus on outdoor education. These ideologies will aim to detail how outdoor activities can implement these models to provide development in learning experiences focusing particularly on outdoor learning for students attending secondary school.</w:t>
      </w:r>
    </w:p>
    <w:p>
      <w:pPr>
        <w:pStyle w:val="Body A"/>
        <w:spacing w:line="360" w:lineRule="auto"/>
        <w:jc w:val="both"/>
        <w:rPr>
          <w:rFonts w:ascii="Arial" w:cs="Arial" w:hAnsi="Arial" w:eastAsia="Arial"/>
        </w:rPr>
      </w:pPr>
    </w:p>
    <w:p>
      <w:pPr>
        <w:pStyle w:val="Body A"/>
        <w:spacing w:line="360" w:lineRule="auto"/>
        <w:jc w:val="both"/>
        <w:rPr>
          <w:rFonts w:ascii="Arial" w:cs="Arial" w:hAnsi="Arial" w:eastAsia="Arial"/>
        </w:rPr>
      </w:pPr>
      <w:r>
        <w:rPr>
          <w:rFonts w:ascii="Arial" w:hAnsi="Arial"/>
          <w:rtl w:val="0"/>
          <w:lang w:val="en-US"/>
        </w:rPr>
        <w:t xml:space="preserve">As the essay has already begun to highlight through the topic of the COVID-19 pandemic there is a need to amend school grounds to provide students with the opportunities to use outdoor spaces within their schools. Research conducted by </w:t>
      </w:r>
      <w:r>
        <w:rPr>
          <w:rFonts w:ascii="Arial" w:hAnsi="Arial"/>
          <w:rtl w:val="0"/>
          <w:lang w:val="de-DE"/>
        </w:rPr>
        <w:t>Christie</w:t>
      </w:r>
      <w:r>
        <w:rPr>
          <w:rFonts w:ascii="Arial" w:hAnsi="Arial"/>
          <w:rtl w:val="0"/>
          <w:lang w:val="en-US"/>
        </w:rPr>
        <w:t xml:space="preserve">, </w:t>
      </w:r>
      <w:r>
        <w:rPr>
          <w:rFonts w:ascii="Arial" w:hAnsi="Arial"/>
          <w:i w:val="1"/>
          <w:iCs w:val="1"/>
          <w:rtl w:val="0"/>
          <w:lang w:val="en-US"/>
        </w:rPr>
        <w:t xml:space="preserve">et al </w:t>
      </w:r>
      <w:r>
        <w:rPr>
          <w:rFonts w:ascii="Arial" w:hAnsi="Arial"/>
          <w:rtl w:val="0"/>
        </w:rPr>
        <w:t xml:space="preserve"> </w:t>
      </w:r>
      <w:r>
        <w:rPr>
          <w:rFonts w:ascii="Arial" w:hAnsi="Arial"/>
          <w:rtl w:val="0"/>
          <w:lang w:val="en-US"/>
        </w:rPr>
        <w:t>(</w:t>
      </w:r>
      <w:r>
        <w:rPr>
          <w:rFonts w:ascii="Arial" w:hAnsi="Arial"/>
          <w:rtl w:val="0"/>
        </w:rPr>
        <w:t>2014</w:t>
      </w:r>
      <w:r>
        <w:rPr>
          <w:rFonts w:ascii="Arial" w:hAnsi="Arial"/>
          <w:rtl w:val="0"/>
          <w:lang w:val="en-US"/>
        </w:rPr>
        <w:t xml:space="preserve">) has shown that Scotland has positioned itself through pedagogical approaches to highlight that primary schools are developing their schools' ground and areas within a walking distance of the school to introduce outdoor learning. This leads </w:t>
      </w:r>
      <w:r>
        <w:rPr>
          <w:rFonts w:ascii="Arial" w:hAnsi="Arial"/>
          <w:rtl w:val="0"/>
          <w:lang w:val="de-DE"/>
        </w:rPr>
        <w:t>Christie</w:t>
      </w:r>
      <w:r>
        <w:rPr>
          <w:rFonts w:ascii="Arial" w:hAnsi="Arial"/>
          <w:rtl w:val="0"/>
          <w:lang w:val="en-US"/>
        </w:rPr>
        <w:t xml:space="preserve">, </w:t>
      </w:r>
      <w:r>
        <w:rPr>
          <w:rFonts w:ascii="Arial" w:hAnsi="Arial"/>
          <w:i w:val="1"/>
          <w:iCs w:val="1"/>
          <w:rtl w:val="0"/>
          <w:lang w:val="en-US"/>
        </w:rPr>
        <w:t xml:space="preserve">et al </w:t>
      </w:r>
      <w:r>
        <w:rPr>
          <w:rFonts w:ascii="Arial" w:hAnsi="Arial"/>
          <w:rtl w:val="0"/>
        </w:rPr>
        <w:t xml:space="preserve"> </w:t>
      </w:r>
      <w:r>
        <w:rPr>
          <w:rFonts w:ascii="Arial" w:hAnsi="Arial"/>
          <w:rtl w:val="0"/>
          <w:lang w:val="en-US"/>
        </w:rPr>
        <w:t>(</w:t>
      </w:r>
      <w:r>
        <w:rPr>
          <w:rFonts w:ascii="Arial" w:hAnsi="Arial"/>
          <w:rtl w:val="0"/>
        </w:rPr>
        <w:t>2014</w:t>
      </w:r>
      <w:r>
        <w:rPr>
          <w:rFonts w:ascii="Arial" w:hAnsi="Arial"/>
          <w:rtl w:val="0"/>
          <w:lang w:val="en-US"/>
        </w:rPr>
        <w:t xml:space="preserve">) work to highlight that secondary schools within Scotland are keen to develop an outdoor learning provision by adjusting timetables to allow for a flexible approach across their curriculum aims. The work of </w:t>
      </w:r>
      <w:r>
        <w:rPr>
          <w:rFonts w:ascii="Arial" w:hAnsi="Arial"/>
          <w:rtl w:val="0"/>
          <w:lang w:val="fr-FR"/>
        </w:rPr>
        <w:t>Waite</w:t>
      </w:r>
      <w:r>
        <w:rPr>
          <w:rFonts w:ascii="Arial" w:hAnsi="Arial"/>
          <w:rtl w:val="0"/>
          <w:lang w:val="en-US"/>
        </w:rPr>
        <w:t xml:space="preserve"> </w:t>
      </w:r>
      <w:r>
        <w:rPr>
          <w:rFonts w:ascii="Arial" w:hAnsi="Arial"/>
          <w:rtl w:val="0"/>
        </w:rPr>
        <w:t>(2011)</w:t>
      </w:r>
      <w:r>
        <w:rPr>
          <w:rFonts w:ascii="Arial" w:hAnsi="Arial"/>
          <w:rtl w:val="0"/>
          <w:lang w:val="en-US"/>
        </w:rPr>
        <w:t xml:space="preserve"> suggests that the theories of change should underpin the use of outdoor learning practices. Therefore, this leads to the discussion of what is currently being changed, the welsh government has recently developed a new framework for their school curriculum with key stage 2 students being introduced to regular outdoor learning such as the forest school approach</w:t>
      </w:r>
      <w:r>
        <w:rPr>
          <w:rFonts w:ascii="Arial" w:hAnsi="Arial"/>
          <w:rtl w:val="0"/>
        </w:rPr>
        <w:t xml:space="preserve"> </w:t>
      </w:r>
      <w:r>
        <w:rPr>
          <w:rFonts w:ascii="Arial" w:hAnsi="Arial"/>
          <w:rtl w:val="0"/>
          <w:lang w:val="en-US"/>
        </w:rPr>
        <w:t>(</w:t>
      </w:r>
      <w:r>
        <w:rPr>
          <w:rFonts w:ascii="Arial" w:hAnsi="Arial"/>
          <w:rtl w:val="0"/>
          <w:lang w:val="fr-FR"/>
        </w:rPr>
        <w:t>Marchant</w:t>
      </w:r>
      <w:r>
        <w:rPr>
          <w:rFonts w:ascii="Arial" w:hAnsi="Arial"/>
          <w:rtl w:val="0"/>
          <w:lang w:val="en-US"/>
        </w:rPr>
        <w:t xml:space="preserve"> </w:t>
      </w:r>
      <w:r>
        <w:rPr>
          <w:rFonts w:ascii="Arial" w:hAnsi="Arial"/>
          <w:i w:val="1"/>
          <w:iCs w:val="1"/>
          <w:rtl w:val="0"/>
          <w:lang w:val="en-US"/>
        </w:rPr>
        <w:t xml:space="preserve">et al. </w:t>
      </w:r>
      <w:r>
        <w:rPr>
          <w:rFonts w:ascii="Arial" w:hAnsi="Arial"/>
          <w:rtl w:val="0"/>
        </w:rPr>
        <w:t>2019</w:t>
      </w:r>
      <w:r>
        <w:rPr>
          <w:rFonts w:ascii="Arial" w:hAnsi="Arial"/>
          <w:rtl w:val="0"/>
          <w:lang w:val="en-US"/>
        </w:rPr>
        <w:t>)</w:t>
      </w:r>
      <w:r>
        <w:rPr>
          <w:rFonts w:ascii="Arial" w:hAnsi="Arial"/>
          <w:rtl w:val="0"/>
        </w:rPr>
        <w:t>.</w:t>
      </w:r>
      <w:r>
        <w:rPr>
          <w:rFonts w:ascii="Arial" w:hAnsi="Arial"/>
          <w:rtl w:val="0"/>
          <w:lang w:val="en-US"/>
        </w:rPr>
        <w:t xml:space="preserve"> Wainwright, (2021) provides further evidence on the welsh curriculum providing opportunities for outdoor learning to be involved in each of the seven areas of learning for students within primary schools. This leads to Wainwright, (2021) refereeing to outdoor learning as being unstructured play for children, with the results being children who take part in playful conditions have been able to show superior performance academically.  However, this highlights the concern that although outdoor learning is becoming an acceptable use for education from ages 3-11, there is very little evidence to suggest that secondary schools are attempting to replicate this approach. Therefore, secondary schools such as the one in the essay basis concerned should begin to implement changes to the school grounds to develop upon the concepts that primary education is successfully implementing.</w:t>
      </w:r>
    </w:p>
    <w:p>
      <w:pPr>
        <w:pStyle w:val="Body A"/>
        <w:spacing w:line="360" w:lineRule="auto"/>
        <w:jc w:val="both"/>
        <w:rPr>
          <w:rFonts w:ascii="Arial" w:cs="Arial" w:hAnsi="Arial" w:eastAsia="Arial"/>
        </w:rPr>
      </w:pPr>
    </w:p>
    <w:p>
      <w:pPr>
        <w:pStyle w:val="Body A"/>
        <w:spacing w:line="360" w:lineRule="auto"/>
        <w:jc w:val="both"/>
        <w:rPr>
          <w:rFonts w:ascii="Arial" w:cs="Arial" w:hAnsi="Arial" w:eastAsia="Arial"/>
        </w:rPr>
      </w:pPr>
      <w:r>
        <w:rPr>
          <w:rFonts w:ascii="Arial" w:hAnsi="Arial"/>
          <w:rtl w:val="0"/>
          <w:lang w:val="en-US"/>
        </w:rPr>
        <w:t xml:space="preserve">The first concept this essay will introduce is incorporating an adventurous activity within the school grounds of the school, the implementation suggested will be the use of mountain biking through the creation of a trail as seen in figure 1. </w:t>
      </w:r>
      <w:r>
        <w:rPr>
          <w:rFonts w:ascii="Arial" w:hAnsi="Arial"/>
          <w:rtl w:val="0"/>
        </w:rPr>
        <w:t>Palmer, (2006)</w:t>
      </w:r>
      <w:r>
        <w:rPr>
          <w:rFonts w:ascii="Arial" w:hAnsi="Arial"/>
          <w:rtl w:val="0"/>
          <w:lang w:val="en-US"/>
        </w:rPr>
        <w:t xml:space="preserve"> draws upon the perspective of Whitehead's (2013) theory of physical literacy with the ideology that physical education should promote lifelong physical activity. Therefore </w:t>
      </w:r>
      <w:r>
        <w:rPr>
          <w:rFonts w:ascii="Arial" w:hAnsi="Arial"/>
          <w:rtl w:val="0"/>
        </w:rPr>
        <w:t>Palmer, (2006)</w:t>
      </w:r>
      <w:r>
        <w:rPr>
          <w:rFonts w:ascii="Arial" w:hAnsi="Arial"/>
          <w:rtl w:val="0"/>
          <w:lang w:val="en-US"/>
        </w:rPr>
        <w:t xml:space="preserve"> and the British Cycling (2022)</w:t>
      </w:r>
      <w:r>
        <w:rPr>
          <w:rFonts w:ascii="Arial" w:hAnsi="Arial"/>
          <w:i w:val="1"/>
          <w:iCs w:val="1"/>
          <w:rtl w:val="0"/>
          <w:lang w:val="en-US"/>
        </w:rPr>
        <w:t xml:space="preserve"> </w:t>
      </w:r>
      <w:r>
        <w:rPr>
          <w:rFonts w:ascii="Arial" w:hAnsi="Arial"/>
          <w:rtl w:val="0"/>
          <w:lang w:val="en-US"/>
        </w:rPr>
        <w:t xml:space="preserve">organisation uses this theory to argue that the implementation of recreational activities such as mountain biking should be a part of secondary school practice, due to the opportunity for these activities to transition towards lifetime activities. The use of mountain biking within physical education lessons has been proven to develop elements of the student's education through identification of how the use of mountain biking can lead to healthy lifestyles, but also to begin the process of students identifying risks within an activity (British Cycling, </w:t>
      </w:r>
      <w:r>
        <w:rPr>
          <w:rFonts w:ascii="Arial" w:hAnsi="Arial"/>
          <w:rtl w:val="0"/>
        </w:rPr>
        <w:t>2022)</w:t>
      </w:r>
      <w:r>
        <w:rPr>
          <w:rFonts w:ascii="Arial" w:hAnsi="Arial"/>
          <w:rtl w:val="0"/>
          <w:lang w:val="en-US"/>
        </w:rPr>
        <w:t xml:space="preserve">. </w:t>
      </w:r>
      <w:r>
        <w:rPr>
          <w:rFonts w:ascii="Arial" w:hAnsi="Arial"/>
          <w:rtl w:val="0"/>
        </w:rPr>
        <w:t>British Cycling (2022)</w:t>
      </w:r>
      <w:r>
        <w:rPr>
          <w:rFonts w:ascii="Arial" w:hAnsi="Arial"/>
          <w:rtl w:val="0"/>
          <w:lang w:val="en-US"/>
        </w:rPr>
        <w:t xml:space="preserve"> reviews how the implementation of mountain biking in physical education lessons allows students to become self-confident due to it being an independent activity they are able to become the master of this particular skill. This can be linked to </w:t>
      </w:r>
      <w:r>
        <w:rPr>
          <w:rFonts w:ascii="Arial" w:hAnsi="Arial"/>
          <w:rtl w:val="0"/>
          <w:lang w:val="de-DE"/>
        </w:rPr>
        <w:t>Tillmann,</w:t>
      </w:r>
      <w:r>
        <w:rPr>
          <w:rFonts w:ascii="Arial" w:hAnsi="Arial"/>
          <w:rtl w:val="0"/>
          <w:lang w:val="en-US"/>
        </w:rPr>
        <w:t xml:space="preserve"> </w:t>
      </w:r>
      <w:r>
        <w:rPr>
          <w:rFonts w:ascii="Arial" w:hAnsi="Arial"/>
          <w:i w:val="1"/>
          <w:iCs w:val="1"/>
          <w:rtl w:val="0"/>
          <w:lang w:val="en-US"/>
        </w:rPr>
        <w:t xml:space="preserve">et al </w:t>
      </w:r>
      <w:r>
        <w:rPr>
          <w:rFonts w:ascii="Arial" w:hAnsi="Arial"/>
          <w:rtl w:val="0"/>
          <w:lang w:val="en-US"/>
        </w:rPr>
        <w:t>(</w:t>
      </w:r>
      <w:r>
        <w:rPr>
          <w:rFonts w:ascii="Arial" w:hAnsi="Arial"/>
          <w:rtl w:val="0"/>
        </w:rPr>
        <w:t>2018</w:t>
      </w:r>
      <w:r>
        <w:rPr>
          <w:rFonts w:ascii="Arial" w:hAnsi="Arial"/>
          <w:rtl w:val="0"/>
          <w:lang w:val="en-US"/>
        </w:rPr>
        <w:t>) research which explores how nature can provide mental health benefits to those involved, with the activity seen in figure 1 students' self-esteem can be built through individual progression. The use of this activity can provide an inclusive environment for all students to make use of the trails along with the design of the trails to have different levels of expertise to have the continuous development of skill (</w:t>
      </w:r>
      <w:r>
        <w:rPr>
          <w:rFonts w:ascii="Arial" w:hAnsi="Arial"/>
          <w:rtl w:val="0"/>
          <w:lang w:val="de-DE"/>
        </w:rPr>
        <w:t>Tillmann,</w:t>
      </w:r>
      <w:r>
        <w:rPr>
          <w:rFonts w:ascii="Arial" w:hAnsi="Arial"/>
          <w:rtl w:val="0"/>
          <w:lang w:val="en-US"/>
        </w:rPr>
        <w:t xml:space="preserve"> </w:t>
      </w:r>
      <w:r>
        <w:rPr>
          <w:rFonts w:ascii="Arial" w:hAnsi="Arial"/>
          <w:i w:val="1"/>
          <w:iCs w:val="1"/>
          <w:rtl w:val="0"/>
          <w:lang w:val="en-US"/>
        </w:rPr>
        <w:t xml:space="preserve">et al. </w:t>
      </w:r>
      <w:r>
        <w:rPr>
          <w:rFonts w:ascii="Arial" w:hAnsi="Arial"/>
          <w:rtl w:val="0"/>
        </w:rPr>
        <w:t>2018</w:t>
      </w:r>
      <w:r>
        <w:rPr>
          <w:rFonts w:ascii="Arial" w:hAnsi="Arial"/>
          <w:rtl w:val="0"/>
          <w:lang w:val="en-US"/>
        </w:rPr>
        <w:t>). With the size of the school field within the school grounds, there is plenty of unused ground to utilize to create a track with slopes similar to figure 1. Figure 1 can show the use of bends and slopes to create the basis of what a natural mountain bike trail would be perceived as, allowing students to have the opportunity to learn correct techniques before attempting this activity outside of the school period.</w:t>
      </w:r>
    </w:p>
    <w:p>
      <w:pPr>
        <w:pStyle w:val="Body A"/>
        <w:spacing w:line="360" w:lineRule="auto"/>
        <w:jc w:val="both"/>
        <w:rPr>
          <w:rFonts w:ascii="Arial" w:cs="Arial" w:hAnsi="Arial" w:eastAsia="Arial"/>
        </w:rPr>
      </w:pPr>
    </w:p>
    <w:p>
      <w:pPr>
        <w:pStyle w:val="Body A"/>
        <w:spacing w:line="360" w:lineRule="auto"/>
        <w:jc w:val="both"/>
        <w:rPr>
          <w:rFonts w:ascii="Arial" w:cs="Arial" w:hAnsi="Arial" w:eastAsia="Arial"/>
        </w:rPr>
      </w:pPr>
    </w:p>
    <w:p>
      <w:pPr>
        <w:pStyle w:val="Body A"/>
        <w:spacing w:line="360" w:lineRule="auto"/>
        <w:jc w:val="both"/>
        <w:rPr>
          <w:rFonts w:ascii="Arial" w:cs="Arial" w:hAnsi="Arial" w:eastAsia="Arial"/>
        </w:rPr>
      </w:pPr>
      <w:r>
        <w:rPr>
          <w:rFonts w:ascii="Arial" w:hAnsi="Arial"/>
          <w:rtl w:val="0"/>
          <w:lang w:val="en-US"/>
        </w:rPr>
        <w:t xml:space="preserve">With the continued consideration of mental health among adolescents and the avenue of nature being a successful approach to improving mental health the use of nature is the suggested process   (Lackey </w:t>
      </w:r>
      <w:r>
        <w:rPr>
          <w:rFonts w:ascii="Arial" w:hAnsi="Arial"/>
          <w:i w:val="1"/>
          <w:iCs w:val="1"/>
          <w:rtl w:val="0"/>
          <w:lang w:val="en-US"/>
        </w:rPr>
        <w:t xml:space="preserve">et al. </w:t>
      </w:r>
      <w:r>
        <w:rPr>
          <w:rFonts w:ascii="Arial" w:hAnsi="Arial"/>
          <w:rtl w:val="0"/>
          <w:lang w:val="en-US"/>
        </w:rPr>
        <w:t>2021)</w:t>
      </w:r>
      <w:r>
        <w:rPr>
          <w:rFonts w:ascii="Arial" w:hAnsi="Arial"/>
          <w:rtl w:val="0"/>
        </w:rPr>
        <w:t>.</w:t>
      </w:r>
      <w:r>
        <w:rPr>
          <w:rFonts w:ascii="Arial" w:hAnsi="Arial"/>
          <w:rtl w:val="0"/>
          <w:lang w:val="en-US"/>
        </w:rPr>
        <w:t xml:space="preserve"> This leads to the idea of implementing an allotment area or garden within the school ground for students to use within after-school clubs, during physical education lessons, or during their lunch breaks to use as a place for study. From the research conducted by Lackey </w:t>
      </w:r>
      <w:r>
        <w:rPr>
          <w:rFonts w:ascii="Arial" w:hAnsi="Arial"/>
          <w:i w:val="1"/>
          <w:iCs w:val="1"/>
          <w:rtl w:val="0"/>
          <w:lang w:val="en-US"/>
        </w:rPr>
        <w:t xml:space="preserve">et al. </w:t>
      </w:r>
      <w:r>
        <w:rPr>
          <w:rFonts w:ascii="Arial" w:hAnsi="Arial"/>
          <w:rtl w:val="0"/>
          <w:lang w:val="en-US"/>
        </w:rPr>
        <w:t xml:space="preserve">(2021) and </w:t>
      </w:r>
      <w:r>
        <w:rPr>
          <w:rFonts w:ascii="Arial" w:hAnsi="Arial"/>
          <w:rtl w:val="0"/>
        </w:rPr>
        <w:t>Tillmann</w:t>
      </w:r>
      <w:r>
        <w:rPr>
          <w:rFonts w:ascii="Arial" w:hAnsi="Arial"/>
          <w:rtl w:val="0"/>
          <w:lang w:val="en-US"/>
        </w:rPr>
        <w:t xml:space="preserve">, </w:t>
      </w:r>
      <w:r>
        <w:rPr>
          <w:rFonts w:ascii="Arial" w:hAnsi="Arial"/>
          <w:i w:val="1"/>
          <w:iCs w:val="1"/>
          <w:rtl w:val="0"/>
          <w:lang w:val="en-US"/>
        </w:rPr>
        <w:t xml:space="preserve">et al </w:t>
      </w:r>
      <w:r>
        <w:rPr>
          <w:rFonts w:ascii="Arial" w:hAnsi="Arial"/>
          <w:rtl w:val="0"/>
          <w:lang w:val="en-US"/>
        </w:rPr>
        <w:t>(</w:t>
      </w:r>
      <w:r>
        <w:rPr>
          <w:rFonts w:ascii="Arial" w:hAnsi="Arial"/>
          <w:rtl w:val="0"/>
        </w:rPr>
        <w:t>2018</w:t>
      </w:r>
      <w:r>
        <w:rPr>
          <w:rFonts w:ascii="Arial" w:hAnsi="Arial"/>
          <w:rtl w:val="0"/>
          <w:lang w:val="en-US"/>
        </w:rPr>
        <w:t>) it is evident that the incorporation of green spaces allows for wider participation in the time spent outdoors which has shown the ability to reduce levels of anxiety and stress. When considering the stress that is placed upon secondary school students, particularly those that are studying for their GCSE exams it is important to provide outlooks for students suffering from stress</w:t>
      </w:r>
      <w:r>
        <w:rPr>
          <w:rFonts w:ascii="Arial" w:hAnsi="Arial"/>
          <w:rtl w:val="0"/>
        </w:rPr>
        <w:t xml:space="preserve"> </w:t>
      </w:r>
      <w:r>
        <w:rPr>
          <w:rFonts w:ascii="Arial" w:hAnsi="Arial"/>
          <w:rtl w:val="0"/>
          <w:lang w:val="en-US"/>
        </w:rPr>
        <w:t xml:space="preserve">(Banks and Smyth, </w:t>
      </w:r>
      <w:r>
        <w:rPr>
          <w:rFonts w:ascii="Arial" w:hAnsi="Arial"/>
          <w:rtl w:val="0"/>
        </w:rPr>
        <w:t>2015)</w:t>
      </w:r>
      <w:r>
        <w:rPr>
          <w:rFonts w:ascii="Arial" w:hAnsi="Arial"/>
          <w:rtl w:val="0"/>
          <w:lang w:val="en-US"/>
        </w:rPr>
        <w:t xml:space="preserve">. The use of green spaces has proven to provide cognitive and emotional development due to the opportunity for students to have time for reflection, thinking, and planning with their peers allowing for a social aspect to be made (Dadvand </w:t>
      </w:r>
      <w:r>
        <w:rPr>
          <w:rFonts w:ascii="Arial" w:hAnsi="Arial"/>
          <w:i w:val="1"/>
          <w:iCs w:val="1"/>
          <w:rtl w:val="0"/>
          <w:lang w:val="en-US"/>
        </w:rPr>
        <w:t>et al.</w:t>
      </w:r>
      <w:r>
        <w:rPr>
          <w:rFonts w:ascii="Arial" w:hAnsi="Arial"/>
          <w:rtl w:val="0"/>
        </w:rPr>
        <w:t xml:space="preserve"> 2015</w:t>
      </w:r>
      <w:r>
        <w:rPr>
          <w:rFonts w:ascii="Arial" w:hAnsi="Arial"/>
          <w:rtl w:val="0"/>
          <w:lang w:val="en-US"/>
        </w:rPr>
        <w:t>). This leads to the studies of schools within South Africa that have incorporated gardens have shown that participants within the study who visited the garden</w:t>
      </w:r>
      <w:r>
        <w:rPr>
          <w:rFonts w:ascii="Arial" w:hAnsi="Arial" w:hint="default"/>
          <w:rtl w:val="0"/>
          <w:lang w:val="en-US"/>
        </w:rPr>
        <w:t>’</w:t>
      </w:r>
      <w:r>
        <w:rPr>
          <w:rFonts w:ascii="Arial" w:hAnsi="Arial"/>
          <w:rtl w:val="0"/>
          <w:lang w:val="en-US"/>
        </w:rPr>
        <w:t xml:space="preserve">s enjoyed the social aspect of walking through the gardens or taking a seat on the patches of green space that were available (Banks and Smyth, 2015; </w:t>
      </w:r>
      <w:r>
        <w:rPr>
          <w:rFonts w:ascii="Arial" w:hAnsi="Arial"/>
          <w:rtl w:val="0"/>
          <w:lang w:val="da-DK"/>
        </w:rPr>
        <w:t>Ward, Parker</w:t>
      </w:r>
      <w:r>
        <w:rPr>
          <w:rFonts w:ascii="Arial" w:hAnsi="Arial"/>
          <w:rtl w:val="0"/>
          <w:lang w:val="en-US"/>
        </w:rPr>
        <w:t xml:space="preserve"> and Shackleton, </w:t>
      </w:r>
      <w:r>
        <w:rPr>
          <w:rFonts w:ascii="Arial" w:hAnsi="Arial"/>
          <w:rtl w:val="0"/>
        </w:rPr>
        <w:t>2010)</w:t>
      </w:r>
      <w:r>
        <w:rPr>
          <w:rFonts w:ascii="Arial" w:hAnsi="Arial"/>
          <w:rtl w:val="0"/>
          <w:lang w:val="en-US"/>
        </w:rPr>
        <w:t xml:space="preserve">. Dyment and Bell, </w:t>
      </w:r>
      <w:r>
        <w:rPr>
          <w:rFonts w:ascii="Arial" w:hAnsi="Arial"/>
          <w:rtl w:val="0"/>
        </w:rPr>
        <w:t>(2008)</w:t>
      </w:r>
      <w:r>
        <w:rPr>
          <w:rFonts w:ascii="Arial" w:hAnsi="Arial"/>
          <w:rtl w:val="0"/>
          <w:lang w:val="en-US"/>
        </w:rPr>
        <w:t xml:space="preserve"> discuss the use of open spaces and the incorporation of a green school approach as beginning to encourage a rise in physical activity levels. The research conducted argues that the creation of these green space areas allows students to take part in a role of play that works towards learning movements through enjoyable and noncompetitive activities (Dyment and Bell, </w:t>
      </w:r>
      <w:r>
        <w:rPr>
          <w:rFonts w:ascii="Arial" w:hAnsi="Arial"/>
          <w:rtl w:val="0"/>
        </w:rPr>
        <w:t>2008)</w:t>
      </w:r>
      <w:r>
        <w:rPr>
          <w:rFonts w:ascii="Arial" w:hAnsi="Arial"/>
          <w:rtl w:val="0"/>
          <w:lang w:val="en-US"/>
        </w:rPr>
        <w:t xml:space="preserve">. By implementing this concept of gardens and green spaces as Dyment and Bell, (2008) have shown, students can learn in a different environment without the stress that is brought upon during classroom work and standardised testing. Figure 2 gives an example of how the school grounds would look with the incorporation of a larger green space and the addition of gardens. The implementation of this concept would be to highlight the opportunity for students to develop their physical, mental, and emotional well-being, by considering the welsh curriculum particularly the area of learning experience that correlates to the health and well-being of students (Welsh Government, </w:t>
      </w:r>
      <w:r>
        <w:rPr>
          <w:rFonts w:ascii="Arial" w:hAnsi="Arial"/>
          <w:rtl w:val="0"/>
        </w:rPr>
        <w:t>2022).</w:t>
      </w:r>
    </w:p>
    <w:p>
      <w:pPr>
        <w:pStyle w:val="Body A"/>
        <w:spacing w:line="360" w:lineRule="auto"/>
        <w:jc w:val="both"/>
        <w:rPr>
          <w:rFonts w:ascii="Arial" w:cs="Arial" w:hAnsi="Arial" w:eastAsia="Arial"/>
        </w:rPr>
      </w:pPr>
    </w:p>
    <w:p>
      <w:pPr>
        <w:pStyle w:val="Body A"/>
        <w:spacing w:line="360" w:lineRule="auto"/>
        <w:jc w:val="both"/>
        <w:rPr>
          <w:rFonts w:ascii="Arial" w:cs="Arial" w:hAnsi="Arial" w:eastAsia="Arial"/>
        </w:rPr>
      </w:pPr>
      <w:r>
        <w:rPr>
          <w:rFonts w:ascii="Arial" w:hAnsi="Arial"/>
          <w:rtl w:val="0"/>
          <w:lang w:val="en-US"/>
        </w:rPr>
        <w:t>The final concept this essay intends to introduce is the incorporation of another adventurous activity within the school grounds of the secondary school in question. The use of climbing walls within schools is an inclusively dominant activity allowing for athletic students as well as students that are less inclined to take part in traditional sports (</w:t>
      </w:r>
      <w:r>
        <w:rPr>
          <w:rFonts w:ascii="Arial" w:hAnsi="Arial"/>
          <w:rtl w:val="0"/>
          <w:lang w:val="nl-NL"/>
        </w:rPr>
        <w:t>Cook</w:t>
      </w:r>
      <w:r>
        <w:rPr>
          <w:rFonts w:ascii="Arial" w:hAnsi="Arial"/>
          <w:rtl w:val="0"/>
          <w:lang w:val="en-US"/>
        </w:rPr>
        <w:t xml:space="preserve"> </w:t>
      </w:r>
      <w:r>
        <w:rPr>
          <w:rFonts w:ascii="Arial" w:hAnsi="Arial"/>
          <w:i w:val="1"/>
          <w:iCs w:val="1"/>
          <w:rtl w:val="0"/>
          <w:lang w:val="en-US"/>
        </w:rPr>
        <w:t xml:space="preserve">et al. </w:t>
      </w:r>
      <w:r>
        <w:rPr>
          <w:rFonts w:ascii="Arial" w:hAnsi="Arial"/>
          <w:rtl w:val="0"/>
        </w:rPr>
        <w:t>2007</w:t>
      </w:r>
      <w:r>
        <w:rPr>
          <w:rFonts w:ascii="Arial" w:hAnsi="Arial"/>
          <w:rtl w:val="0"/>
          <w:lang w:val="en-US"/>
        </w:rPr>
        <w:t xml:space="preserve">; Hansen and Parker, 2009). The research collected by </w:t>
      </w:r>
      <w:r>
        <w:rPr>
          <w:rFonts w:ascii="Arial" w:hAnsi="Arial"/>
          <w:rtl w:val="0"/>
          <w:lang w:val="nl-NL"/>
        </w:rPr>
        <w:t>Cook</w:t>
      </w:r>
      <w:r>
        <w:rPr>
          <w:rFonts w:ascii="Arial" w:hAnsi="Arial"/>
          <w:rtl w:val="0"/>
          <w:lang w:val="en-US"/>
        </w:rPr>
        <w:t xml:space="preserve">, </w:t>
      </w:r>
      <w:r>
        <w:rPr>
          <w:rFonts w:ascii="Arial" w:hAnsi="Arial"/>
          <w:i w:val="1"/>
          <w:iCs w:val="1"/>
          <w:rtl w:val="0"/>
          <w:lang w:val="en-US"/>
        </w:rPr>
        <w:t xml:space="preserve">et al </w:t>
      </w:r>
      <w:r>
        <w:rPr>
          <w:rFonts w:ascii="Arial" w:hAnsi="Arial"/>
          <w:rtl w:val="0"/>
          <w:lang w:val="en-US"/>
        </w:rPr>
        <w:t>(</w:t>
      </w:r>
      <w:r>
        <w:rPr>
          <w:rFonts w:ascii="Arial" w:hAnsi="Arial"/>
          <w:rtl w:val="0"/>
        </w:rPr>
        <w:t>2007</w:t>
      </w:r>
      <w:r>
        <w:rPr>
          <w:rFonts w:ascii="Arial" w:hAnsi="Arial"/>
          <w:rtl w:val="0"/>
          <w:lang w:val="en-US"/>
        </w:rPr>
        <w:t xml:space="preserve">) suggests the inclusive nature that climbing walls bring to a physical education class through the use of different routes as well as providing new students gain experience through the use of a bouldering wall.  Although the climbing wall being implemented in this secondary school will be similar to the structure in figure 3, </w:t>
      </w:r>
      <w:r>
        <w:rPr>
          <w:rFonts w:ascii="Arial" w:hAnsi="Arial"/>
          <w:rtl w:val="0"/>
        </w:rPr>
        <w:t>Brymer,</w:t>
      </w:r>
      <w:r>
        <w:rPr>
          <w:rFonts w:ascii="Arial" w:hAnsi="Arial"/>
          <w:rtl w:val="0"/>
          <w:lang w:val="en-US"/>
        </w:rPr>
        <w:t xml:space="preserve"> </w:t>
      </w:r>
      <w:r>
        <w:rPr>
          <w:rFonts w:ascii="Arial" w:hAnsi="Arial"/>
          <w:rtl w:val="0"/>
          <w:lang w:val="da-DK"/>
        </w:rPr>
        <w:t>Davids</w:t>
      </w:r>
      <w:r>
        <w:rPr>
          <w:rFonts w:ascii="Arial" w:hAnsi="Arial"/>
          <w:rtl w:val="0"/>
          <w:lang w:val="en-US"/>
        </w:rPr>
        <w:t>, and Mallabon, (</w:t>
      </w:r>
      <w:r>
        <w:rPr>
          <w:rFonts w:ascii="Arial" w:hAnsi="Arial"/>
          <w:rtl w:val="0"/>
        </w:rPr>
        <w:t>2014)</w:t>
      </w:r>
      <w:r>
        <w:rPr>
          <w:rFonts w:ascii="Arial" w:hAnsi="Arial"/>
          <w:rtl w:val="0"/>
          <w:lang w:val="en-US"/>
        </w:rPr>
        <w:t xml:space="preserve"> discuss how the well-being of students can be developed through the process of rock climbing. The development of students' well-being can be developed through figure 3 taking part in the physical activity of climbing as well as developing self-esteem through the progression of attempting different routes (Brymer, Davids and Mallabon, 2014). However Brymer, Davids, and Mallabon, (2014) go on to suggest that exposure to nature allows for a rich landscape of affordances, this particularly works in the case of climbing. Encouraging students to use the climbing wall within their school grounds can lead to students using affordances such as trees and walls to develop their climbing even further and continue to enhance their well-being(Brymer, Davids, and Mallabon, 2014). The implementation of a facility such as the one shown in figure 3 would be the only implementation that is inside the school building to allow for the equipment to be used all year round.</w:t>
      </w:r>
    </w:p>
    <w:p>
      <w:pPr>
        <w:pStyle w:val="Body A"/>
        <w:spacing w:line="360" w:lineRule="auto"/>
        <w:jc w:val="both"/>
        <w:rPr>
          <w:rFonts w:ascii="Arial" w:cs="Arial" w:hAnsi="Arial" w:eastAsia="Arial"/>
        </w:rPr>
      </w:pPr>
    </w:p>
    <w:p>
      <w:pPr>
        <w:pStyle w:val="Body A"/>
        <w:spacing w:line="360" w:lineRule="auto"/>
        <w:jc w:val="both"/>
        <w:rPr>
          <w:rFonts w:ascii="Arial" w:cs="Arial" w:hAnsi="Arial" w:eastAsia="Arial"/>
        </w:rPr>
      </w:pPr>
      <w:r>
        <w:rPr>
          <w:rFonts w:ascii="Arial" w:hAnsi="Arial"/>
          <w:rtl w:val="0"/>
          <w:lang w:val="en-US"/>
        </w:rPr>
        <w:t>However there is a corner associated with curriculum adventure due to the various barriers that coerce the implementation of these outdoor concepts and activities within schools, this is mainly due to the risk that most of these activities fall victim to. Risk is a common barrier to the implementation of outdoor education, although this is often due to the narrow-minded views of adventurous activities being risky and dangerous (</w:t>
      </w:r>
      <w:r>
        <w:rPr>
          <w:rFonts w:ascii="Arial" w:hAnsi="Arial"/>
          <w:rtl w:val="0"/>
        </w:rPr>
        <w:t>Brown</w:t>
      </w:r>
      <w:r>
        <w:rPr>
          <w:rFonts w:ascii="Arial" w:hAnsi="Arial"/>
          <w:rtl w:val="0"/>
          <w:lang w:val="en-US"/>
        </w:rPr>
        <w:t xml:space="preserve"> </w:t>
      </w:r>
      <w:r>
        <w:rPr>
          <w:rFonts w:ascii="Arial" w:hAnsi="Arial"/>
          <w:rtl w:val="0"/>
          <w:lang w:val="de-DE"/>
        </w:rPr>
        <w:t>and Beames,</w:t>
      </w:r>
      <w:r>
        <w:rPr>
          <w:rFonts w:ascii="Arial" w:hAnsi="Arial"/>
          <w:rtl w:val="0"/>
          <w:lang w:val="en-US"/>
        </w:rPr>
        <w:t xml:space="preserve"> </w:t>
      </w:r>
      <w:r>
        <w:rPr>
          <w:rFonts w:ascii="Arial" w:hAnsi="Arial"/>
          <w:rtl w:val="0"/>
        </w:rPr>
        <w:t>2017)</w:t>
      </w:r>
      <w:r>
        <w:rPr>
          <w:rFonts w:ascii="Arial" w:hAnsi="Arial"/>
          <w:rtl w:val="0"/>
          <w:lang w:val="en-US"/>
        </w:rPr>
        <w:t>. However, the risk of adventurous activities is often shaped by control and predictability which is considered by the health and safety executives (HSE) when planning for successful outdoor learning activities throughout the year (</w:t>
      </w:r>
      <w:r>
        <w:rPr>
          <w:rFonts w:ascii="Arial" w:hAnsi="Arial"/>
          <w:rtl w:val="0"/>
        </w:rPr>
        <w:t>HSE</w:t>
      </w:r>
      <w:r>
        <w:rPr>
          <w:rFonts w:ascii="Arial" w:hAnsi="Arial"/>
          <w:rtl w:val="0"/>
          <w:lang w:val="en-US"/>
        </w:rPr>
        <w:t xml:space="preserve">, </w:t>
      </w:r>
      <w:r>
        <w:rPr>
          <w:rFonts w:ascii="Arial" w:hAnsi="Arial"/>
          <w:rtl w:val="0"/>
        </w:rPr>
        <w:t>2011)</w:t>
      </w:r>
      <w:r>
        <w:rPr>
          <w:rFonts w:ascii="Arial" w:hAnsi="Arial"/>
          <w:rtl w:val="0"/>
          <w:lang w:val="en-US"/>
        </w:rPr>
        <w:t xml:space="preserve">. It is evident that there are risks involved with the incorporation of outdoor being seen as a common feature of outdoor learning, however, this can cause a barrier for schools to gain permission to provide outdoor learning opportunities for students (Brown and Beames, 2017; Brown and Fraser, </w:t>
      </w:r>
      <w:r>
        <w:rPr>
          <w:rFonts w:ascii="Arial" w:hAnsi="Arial"/>
          <w:rtl w:val="0"/>
        </w:rPr>
        <w:t>2009)</w:t>
      </w:r>
      <w:r>
        <w:rPr>
          <w:rFonts w:ascii="Arial" w:hAnsi="Arial"/>
          <w:rtl w:val="0"/>
          <w:lang w:val="en-US"/>
        </w:rPr>
        <w:t>. This leads to the barrier of physical educators not being correctly trained to successfully lead an outdoor learning approach, however, Brown and Fraser, (</w:t>
      </w:r>
      <w:r>
        <w:rPr>
          <w:rFonts w:ascii="Arial" w:hAnsi="Arial"/>
          <w:rtl w:val="0"/>
        </w:rPr>
        <w:t>2009</w:t>
      </w:r>
      <w:r>
        <w:rPr>
          <w:rFonts w:ascii="Arial" w:hAnsi="Arial"/>
          <w:rtl w:val="0"/>
          <w:lang w:val="en-US"/>
        </w:rPr>
        <w:t>) suggest the consideration of further teacher training courses to be planned. This would allow for a wider range of activities to be available for use throughout the school year and would aid in the design of outdoor learning provisions for each school.</w:t>
      </w:r>
    </w:p>
    <w:p>
      <w:pPr>
        <w:pStyle w:val="Body A"/>
        <w:spacing w:line="360" w:lineRule="auto"/>
        <w:jc w:val="both"/>
        <w:rPr>
          <w:rFonts w:ascii="Arial" w:cs="Arial" w:hAnsi="Arial" w:eastAsia="Arial"/>
        </w:rPr>
      </w:pPr>
    </w:p>
    <w:p>
      <w:pPr>
        <w:pStyle w:val="Body A"/>
        <w:spacing w:line="360" w:lineRule="auto"/>
        <w:jc w:val="both"/>
        <w:rPr>
          <w:rFonts w:ascii="Arial" w:cs="Arial" w:hAnsi="Arial" w:eastAsia="Arial"/>
        </w:rPr>
      </w:pPr>
      <w:r>
        <w:rPr>
          <w:rFonts w:ascii="Arial" w:hAnsi="Arial"/>
          <w:rtl w:val="0"/>
          <w:lang w:val="en-US"/>
        </w:rPr>
        <w:t>There have been concerns about the application of outdoor adventure education (OAE) due to the barriers that follow along with the activities and lack of knowledge. And this leads to concern about the difficulty educators may receive whilst attempting to implement outdoor learning within a secondary school environment (</w:t>
      </w:r>
      <w:r>
        <w:rPr>
          <w:rFonts w:ascii="Arial" w:hAnsi="Arial"/>
          <w:rtl w:val="0"/>
        </w:rPr>
        <w:t>Shume</w:t>
      </w:r>
      <w:r>
        <w:rPr>
          <w:rFonts w:ascii="Arial" w:hAnsi="Arial"/>
          <w:rtl w:val="0"/>
          <w:lang w:val="en-US"/>
        </w:rPr>
        <w:t xml:space="preserve"> and Blatt, </w:t>
      </w:r>
      <w:r>
        <w:rPr>
          <w:rFonts w:ascii="Arial" w:hAnsi="Arial"/>
          <w:rtl w:val="0"/>
        </w:rPr>
        <w:t>2019)</w:t>
      </w:r>
      <w:r>
        <w:rPr>
          <w:rFonts w:ascii="Arial" w:hAnsi="Arial"/>
          <w:rtl w:val="0"/>
          <w:lang w:val="en-US"/>
        </w:rPr>
        <w:t xml:space="preserve">. However the need for change is not a concept that physical education is unfamiliar with, the subject has recently begun to incorporate new pedagogical approaches such as the use of model-based approaches such as cooperative learning or the sports education model (Casey and MacPhail, </w:t>
      </w:r>
      <w:r>
        <w:rPr>
          <w:rFonts w:ascii="Arial" w:hAnsi="Arial"/>
          <w:rtl w:val="0"/>
        </w:rPr>
        <w:t>2018)</w:t>
      </w:r>
      <w:r>
        <w:rPr>
          <w:rFonts w:ascii="Arial" w:hAnsi="Arial"/>
          <w:rtl w:val="0"/>
          <w:lang w:val="en-US"/>
        </w:rPr>
        <w:t xml:space="preserve">. This leads to the work of </w:t>
      </w:r>
      <w:r>
        <w:rPr>
          <w:rFonts w:ascii="Arial" w:hAnsi="Arial"/>
          <w:rtl w:val="0"/>
          <w:lang w:val="it-IT"/>
        </w:rPr>
        <w:t>Williams</w:t>
      </w:r>
      <w:r>
        <w:rPr>
          <w:rFonts w:ascii="Arial" w:hAnsi="Arial"/>
          <w:rtl w:val="0"/>
          <w:lang w:val="en-US"/>
        </w:rPr>
        <w:t xml:space="preserve"> and Wainwright, (2016) who believe the creation of a pedagogical model for adventure, would provide an increase in the development of outdoor activities within schools. The implementation of a model focusing on adventurous activities would successfully support the development of secondary school students to begin to acknowledge their responsibility for their education (Williams and Wainwright, </w:t>
      </w:r>
      <w:r>
        <w:rPr>
          <w:rFonts w:ascii="Arial" w:hAnsi="Arial"/>
          <w:rtl w:val="0"/>
        </w:rPr>
        <w:t>2016)</w:t>
      </w:r>
      <w:r>
        <w:rPr>
          <w:rFonts w:ascii="Arial" w:hAnsi="Arial"/>
          <w:rtl w:val="0"/>
          <w:lang w:val="en-US"/>
        </w:rPr>
        <w:t xml:space="preserve">. Continuing with the work of </w:t>
      </w:r>
      <w:r>
        <w:rPr>
          <w:rFonts w:ascii="Arial" w:hAnsi="Arial"/>
          <w:rtl w:val="0"/>
          <w:lang w:val="it-IT"/>
        </w:rPr>
        <w:t>Williams</w:t>
      </w:r>
      <w:r>
        <w:rPr>
          <w:rFonts w:ascii="Arial" w:hAnsi="Arial"/>
          <w:rtl w:val="0"/>
          <w:lang w:val="en-US"/>
        </w:rPr>
        <w:t xml:space="preserve"> and Wainwright,  (2016) it can be recognised that for a model-based approach such as adventurous activities the importance of teachers' expertise is highly important. In order for teachers to recognise how they can implement more outdoor experiences into the school's education system teachers need to build a connection with local communities such as the British cycling foundation to learn how they can incorporate these experiences into lessons (Williams and Wainwright, 2016).</w:t>
      </w:r>
    </w:p>
    <w:p>
      <w:pPr>
        <w:pStyle w:val="Body A"/>
        <w:spacing w:line="360" w:lineRule="auto"/>
        <w:jc w:val="both"/>
        <w:rPr>
          <w:rFonts w:ascii="Arial" w:cs="Arial" w:hAnsi="Arial" w:eastAsia="Arial"/>
        </w:rPr>
      </w:pPr>
    </w:p>
    <w:p>
      <w:pPr>
        <w:pStyle w:val="Body A"/>
        <w:spacing w:line="360" w:lineRule="auto"/>
        <w:jc w:val="both"/>
        <w:rPr>
          <w:rFonts w:ascii="Arial" w:cs="Arial" w:hAnsi="Arial" w:eastAsia="Arial"/>
        </w:rPr>
      </w:pPr>
      <w:r>
        <w:rPr>
          <w:rFonts w:ascii="Arial" w:hAnsi="Arial"/>
          <w:rtl w:val="0"/>
          <w:lang w:val="en-US"/>
        </w:rPr>
        <w:t xml:space="preserve">The purpose of this essay was to present forward ideas that work towards the implementation of adventurous activities as well as outdoor learning within a school ground. Throughout this essay, a wide range of ideas and concepts have been brought forward to determine how successful outdoor learning as a topic can develop physical and mental well-being within students. As explored in this essay the implementation of activities such as mountain biking and climbing walls can create an effective environment for the development of student's physical and mental well-being (Brymer, Davids, and Mallabon, 2014; </w:t>
      </w:r>
      <w:r>
        <w:rPr>
          <w:rFonts w:ascii="Arial" w:hAnsi="Arial"/>
          <w:rtl w:val="0"/>
          <w:lang w:val="de-DE"/>
        </w:rPr>
        <w:t>Tillmann,</w:t>
      </w:r>
      <w:r>
        <w:rPr>
          <w:rFonts w:ascii="Arial" w:hAnsi="Arial"/>
          <w:rtl w:val="0"/>
          <w:lang w:val="en-US"/>
        </w:rPr>
        <w:t xml:space="preserve"> </w:t>
      </w:r>
      <w:r>
        <w:rPr>
          <w:rFonts w:ascii="Arial" w:hAnsi="Arial"/>
          <w:i w:val="1"/>
          <w:iCs w:val="1"/>
          <w:rtl w:val="0"/>
          <w:lang w:val="en-US"/>
        </w:rPr>
        <w:t xml:space="preserve">et al. </w:t>
      </w:r>
      <w:r>
        <w:rPr>
          <w:rFonts w:ascii="Arial" w:hAnsi="Arial"/>
          <w:rtl w:val="0"/>
        </w:rPr>
        <w:t>2018</w:t>
      </w:r>
      <w:r>
        <w:rPr>
          <w:rFonts w:ascii="Arial" w:hAnsi="Arial"/>
          <w:rtl w:val="0"/>
          <w:lang w:val="en-US"/>
        </w:rPr>
        <w:t xml:space="preserve">). The incorporation of these activities can also provide the notion of  Whitehead, (2013) theory of physical literacy which can be adopted during these outdoor learning activities.  Particularly through adventurous activities such as mountain biking which can provide the opportunity for inclusion within a lifelong activity (Whitehead, 2013). Finally, the consideration of the new curriculum within Wales will also be able to provide insight to educators on how they can implement the use of outdoor learning to begin the development of the curriculums Areas of a learning experience, particularly the area which focuses on the health and well being of students (Welsh Government, </w:t>
      </w:r>
      <w:r>
        <w:rPr>
          <w:rFonts w:ascii="Arial" w:hAnsi="Arial"/>
          <w:rtl w:val="0"/>
        </w:rPr>
        <w:t>2022).</w:t>
      </w:r>
      <w:r>
        <w:rPr>
          <w:rFonts w:ascii="Arial" w:hAnsi="Arial"/>
          <w:rtl w:val="0"/>
          <w:lang w:val="en-US"/>
        </w:rPr>
        <w:t>In conclusion, the incorporation of these developments into the school ground will allow the teachers to provide enriching activities for students to foster an interest in outdoor learning which will encourage the development of their physical activity as well as their mental well-being.</w:t>
      </w:r>
    </w:p>
    <w:p>
      <w:pPr>
        <w:pStyle w:val="Body A"/>
        <w:jc w:val="both"/>
        <w:rPr>
          <w:rFonts w:ascii="Arial" w:cs="Arial" w:hAnsi="Arial" w:eastAsia="Arial"/>
        </w:rPr>
      </w:pPr>
    </w:p>
    <w:p>
      <w:pPr>
        <w:pStyle w:val="Body A"/>
        <w:rPr>
          <w:rFonts w:ascii="Arial" w:cs="Arial" w:hAnsi="Arial" w:eastAsia="Arial"/>
        </w:rPr>
      </w:pPr>
      <w:r>
        <w:rPr>
          <w:rFonts w:ascii="Arial" w:hAnsi="Arial"/>
          <w:rtl w:val="0"/>
          <w:lang w:val="en-US"/>
        </w:rPr>
        <w:t>References:</w:t>
      </w:r>
    </w:p>
    <w:p>
      <w:pPr>
        <w:pStyle w:val="Default"/>
        <w:spacing w:before="0" w:line="240" w:lineRule="auto"/>
        <w:rPr>
          <w:rFonts w:ascii="Arial" w:cs="Arial" w:hAnsi="Arial" w:eastAsia="Arial"/>
          <w:outline w:val="0"/>
          <w:color w:val="222222"/>
          <w:sz w:val="26"/>
          <w:szCs w:val="26"/>
          <w:u w:color="222222"/>
          <w:shd w:val="clear" w:color="auto" w:fill="ffffff"/>
          <w14:textFill>
            <w14:solidFill>
              <w14:srgbClr w14:val="222222"/>
            </w14:solidFill>
          </w14:textFill>
        </w:rPr>
      </w:pPr>
      <w:r>
        <w:rPr>
          <w:rFonts w:ascii="Arial" w:hAnsi="Arial"/>
          <w:outline w:val="0"/>
          <w:color w:val="222222"/>
          <w:sz w:val="26"/>
          <w:szCs w:val="26"/>
          <w:u w:color="222222"/>
          <w:shd w:val="clear" w:color="auto" w:fill="ffffff"/>
          <w:rtl w:val="0"/>
          <w:lang w:val="en-US"/>
          <w14:textFill>
            <w14:solidFill>
              <w14:srgbClr w14:val="222222"/>
            </w14:solidFill>
          </w14:textFill>
        </w:rPr>
        <w:t>Banks, J. and Smyth, E. (2015)</w:t>
      </w:r>
      <w:r>
        <w:rPr>
          <w:rFonts w:ascii="Arial Unicode MS" w:hAnsi="Arial Unicode MS" w:hint="default"/>
          <w:outline w:val="0"/>
          <w:color w:val="222222"/>
          <w:sz w:val="26"/>
          <w:szCs w:val="26"/>
          <w:u w:color="222222"/>
          <w:shd w:val="clear" w:color="auto" w:fill="ffffff"/>
          <w:rtl w:val="1"/>
          <w:lang w:val="ar-SA" w:bidi="ar-SA"/>
          <w14:textFill>
            <w14:solidFill>
              <w14:srgbClr w14:val="222222"/>
            </w14:solidFill>
          </w14:textFill>
        </w:rPr>
        <w:t xml:space="preserve"> ‘</w:t>
      </w:r>
      <w:r>
        <w:rPr>
          <w:rFonts w:ascii="Arial" w:hAnsi="Arial"/>
          <w:outline w:val="0"/>
          <w:color w:val="222222"/>
          <w:sz w:val="26"/>
          <w:szCs w:val="26"/>
          <w:u w:color="222222"/>
          <w:shd w:val="clear" w:color="auto" w:fill="ffffff"/>
          <w:rtl w:val="0"/>
          <w:lang w:val="en-US"/>
          <w14:textFill>
            <w14:solidFill>
              <w14:srgbClr w14:val="222222"/>
            </w14:solidFill>
          </w14:textFill>
        </w:rPr>
        <w:t xml:space="preserve">Your whole life depends on it: Academic stress and high-stakes testing in Ireland. </w:t>
      </w:r>
      <w:r>
        <w:rPr>
          <w:rFonts w:ascii="Arial" w:hAnsi="Arial"/>
          <w:i w:val="1"/>
          <w:iCs w:val="1"/>
          <w:outline w:val="0"/>
          <w:color w:val="222222"/>
          <w:sz w:val="26"/>
          <w:szCs w:val="26"/>
          <w:u w:color="222222"/>
          <w:shd w:val="clear" w:color="auto" w:fill="ffffff"/>
          <w:rtl w:val="0"/>
          <w:lang w:val="en-US"/>
          <w14:textFill>
            <w14:solidFill>
              <w14:srgbClr w14:val="222222"/>
            </w14:solidFill>
          </w14:textFill>
        </w:rPr>
        <w:t>Journal of youth studies</w:t>
      </w:r>
      <w:r>
        <w:rPr>
          <w:rFonts w:ascii="Arial" w:hAnsi="Arial"/>
          <w:outline w:val="0"/>
          <w:color w:val="222222"/>
          <w:sz w:val="26"/>
          <w:szCs w:val="26"/>
          <w:u w:color="222222"/>
          <w:shd w:val="clear" w:color="auto" w:fill="ffffff"/>
          <w:rtl w:val="0"/>
          <w:lang w:val="en-US"/>
          <w14:textFill>
            <w14:solidFill>
              <w14:srgbClr w14:val="222222"/>
            </w14:solidFill>
          </w14:textFill>
        </w:rPr>
        <w:t xml:space="preserve">, </w:t>
      </w:r>
      <w:r>
        <w:rPr>
          <w:rFonts w:ascii="Arial" w:hAnsi="Arial"/>
          <w:i w:val="1"/>
          <w:iCs w:val="1"/>
          <w:outline w:val="0"/>
          <w:color w:val="222222"/>
          <w:sz w:val="26"/>
          <w:szCs w:val="26"/>
          <w:u w:color="222222"/>
          <w:shd w:val="clear" w:color="auto" w:fill="ffffff"/>
          <w:rtl w:val="0"/>
          <w:lang w:val="en-US"/>
          <w14:textFill>
            <w14:solidFill>
              <w14:srgbClr w14:val="222222"/>
            </w14:solidFill>
          </w14:textFill>
        </w:rPr>
        <w:t>18</w:t>
      </w:r>
      <w:r>
        <w:rPr>
          <w:rFonts w:ascii="Arial" w:hAnsi="Arial"/>
          <w:outline w:val="0"/>
          <w:color w:val="222222"/>
          <w:sz w:val="26"/>
          <w:szCs w:val="26"/>
          <w:u w:color="222222"/>
          <w:shd w:val="clear" w:color="auto" w:fill="ffffff"/>
          <w:rtl w:val="0"/>
          <w:lang w:val="en-US"/>
          <w14:textFill>
            <w14:solidFill>
              <w14:srgbClr w14:val="222222"/>
            </w14:solidFill>
          </w14:textFill>
        </w:rPr>
        <w:t>(5), pp.598-616.</w:t>
      </w:r>
    </w:p>
    <w:p>
      <w:pPr>
        <w:pStyle w:val="Default"/>
        <w:spacing w:before="0" w:line="240" w:lineRule="auto"/>
        <w:rPr>
          <w:rFonts w:ascii="Arial" w:cs="Arial" w:hAnsi="Arial" w:eastAsia="Arial"/>
          <w:outline w:val="0"/>
          <w:color w:val="222222"/>
          <w:sz w:val="26"/>
          <w:szCs w:val="26"/>
          <w:u w:color="222222"/>
          <w:shd w:val="clear" w:color="auto" w:fill="ffffff"/>
          <w14:textFill>
            <w14:solidFill>
              <w14:srgbClr w14:val="222222"/>
            </w14:solidFill>
          </w14:textFill>
        </w:rPr>
      </w:pPr>
    </w:p>
    <w:p>
      <w:pPr>
        <w:pStyle w:val="Body A"/>
        <w:rPr>
          <w:rStyle w:val="None"/>
          <w:rFonts w:ascii="Arial" w:cs="Arial" w:hAnsi="Arial" w:eastAsia="Arial"/>
        </w:rPr>
      </w:pPr>
      <w:r>
        <w:rPr>
          <w:rFonts w:ascii="Arial" w:hAnsi="Arial"/>
          <w:rtl w:val="0"/>
          <w:lang w:val="en-US"/>
        </w:rPr>
        <w:t>British Cycling. (2022)</w:t>
      </w:r>
      <w:r>
        <w:rPr>
          <w:rFonts w:ascii="Arial" w:hAnsi="Arial"/>
          <w:i w:val="1"/>
          <w:iCs w:val="1"/>
          <w:rtl w:val="0"/>
          <w:lang w:val="en-US"/>
        </w:rPr>
        <w:t xml:space="preserve"> FROM ABC TO MTB: MOUNTAIN BIKING ON THE CURRICULUM. </w:t>
      </w:r>
      <w:r>
        <w:rPr>
          <w:rFonts w:ascii="Arial" w:hAnsi="Arial"/>
          <w:rtl w:val="0"/>
          <w:lang w:val="en-US"/>
        </w:rPr>
        <w:t>Available at:</w:t>
      </w:r>
      <w:r>
        <w:rPr>
          <w:rStyle w:val="Hyperlink.0"/>
        </w:rPr>
        <w:fldChar w:fldCharType="begin" w:fldLock="0"/>
      </w:r>
      <w:r>
        <w:rPr>
          <w:rStyle w:val="Hyperlink.0"/>
        </w:rPr>
        <w:instrText xml:space="preserve"> HYPERLINK "https://www.britishcycling.org.uk/mtbleadership/article/20150915-From-ABC-to-MTB--Mountain-biking-on-the-curriculum-0"</w:instrText>
      </w:r>
      <w:r>
        <w:rPr>
          <w:rStyle w:val="Hyperlink.0"/>
        </w:rPr>
        <w:fldChar w:fldCharType="separate" w:fldLock="0"/>
      </w:r>
      <w:r>
        <w:rPr>
          <w:rStyle w:val="Hyperlink.0"/>
          <w:rFonts w:cs="Arial Unicode MS" w:eastAsia="Arial Unicode MS"/>
          <w:rtl w:val="0"/>
          <w:lang w:val="en-US"/>
        </w:rPr>
        <w:t>https://www.britishcycling.org.uk/mtbleadership/article/20150915-From-ABC-to-MTB--Mountain-biking-on-the-curriculum-0</w:t>
      </w:r>
      <w:r>
        <w:rPr/>
        <w:fldChar w:fldCharType="end" w:fldLock="0"/>
      </w:r>
      <w:r>
        <w:rPr>
          <w:rStyle w:val="None"/>
          <w:rFonts w:ascii="Arial" w:hAnsi="Arial"/>
          <w:rtl w:val="0"/>
          <w:lang w:val="en-US"/>
        </w:rPr>
        <w:t xml:space="preserve"> (Accessed 9th December 2022) </w:t>
      </w:r>
    </w:p>
    <w:p>
      <w:pPr>
        <w:pStyle w:val="Body A"/>
        <w:rPr>
          <w:rStyle w:val="None"/>
          <w:rFonts w:ascii="Arial" w:cs="Arial" w:hAnsi="Arial" w:eastAsia="Arial"/>
        </w:rPr>
      </w:pPr>
    </w:p>
    <w:p>
      <w:pPr>
        <w:pStyle w:val="Default"/>
        <w:spacing w:before="0" w:line="240" w:lineRule="auto"/>
        <w:rPr>
          <w:rStyle w:val="None"/>
          <w:rFonts w:ascii="Arial" w:cs="Arial" w:hAnsi="Arial" w:eastAsia="Arial"/>
          <w:outline w:val="0"/>
          <w:color w:val="222222"/>
          <w:sz w:val="26"/>
          <w:szCs w:val="26"/>
          <w:u w:color="222222"/>
          <w:shd w:val="clear" w:color="auto" w:fill="ffffff"/>
          <w14:textFill>
            <w14:solidFill>
              <w14:srgbClr w14:val="222222"/>
            </w14:solidFill>
          </w14:textFill>
        </w:rPr>
      </w:pP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Brown, M. and Beames, S. (2017) Adventure education: Redux.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Journal of Adventure Education and Outdoor Learning</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17</w:t>
      </w:r>
      <w:r>
        <w:rPr>
          <w:rStyle w:val="None"/>
          <w:rFonts w:ascii="Arial" w:hAnsi="Arial"/>
          <w:outline w:val="0"/>
          <w:color w:val="222222"/>
          <w:sz w:val="26"/>
          <w:szCs w:val="26"/>
          <w:u w:color="222222"/>
          <w:shd w:val="clear" w:color="auto" w:fill="ffffff"/>
          <w:rtl w:val="0"/>
          <w:lang w:val="it-IT"/>
          <w14:textFill>
            <w14:solidFill>
              <w14:srgbClr w14:val="222222"/>
            </w14:solidFill>
          </w14:textFill>
        </w:rPr>
        <w:t>(4), pp.294-306.</w:t>
      </w:r>
    </w:p>
    <w:p>
      <w:pPr>
        <w:pStyle w:val="Default"/>
        <w:spacing w:before="0" w:line="240" w:lineRule="auto"/>
        <w:rPr>
          <w:rStyle w:val="None"/>
          <w:rFonts w:ascii="Arial" w:cs="Arial" w:hAnsi="Arial" w:eastAsia="Arial"/>
          <w:outline w:val="0"/>
          <w:color w:val="222222"/>
          <w:sz w:val="26"/>
          <w:szCs w:val="26"/>
          <w:u w:color="222222"/>
          <w:shd w:val="clear" w:color="auto" w:fill="ffffff"/>
          <w14:textFill>
            <w14:solidFill>
              <w14:srgbClr w14:val="222222"/>
            </w14:solidFill>
          </w14:textFill>
        </w:rPr>
      </w:pPr>
    </w:p>
    <w:p>
      <w:pPr>
        <w:pStyle w:val="Default"/>
        <w:spacing w:before="0" w:line="240" w:lineRule="auto"/>
        <w:rPr>
          <w:rStyle w:val="None"/>
          <w:rFonts w:ascii="Arial" w:cs="Arial" w:hAnsi="Arial" w:eastAsia="Arial"/>
          <w:outline w:val="0"/>
          <w:color w:val="222222"/>
          <w:sz w:val="26"/>
          <w:szCs w:val="26"/>
          <w:u w:color="222222"/>
          <w:shd w:val="clear" w:color="auto" w:fill="ffffff"/>
          <w14:textFill>
            <w14:solidFill>
              <w14:srgbClr w14:val="222222"/>
            </w14:solidFill>
          </w14:textFill>
        </w:rPr>
      </w:pP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Brown, M. and Fraser, D. (2009) Re-evaluating risk and exploring educational alternatives.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Journal of Adventure Education &amp; Outdoor Learning</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9</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(1), pp.61-77.</w:t>
      </w:r>
    </w:p>
    <w:p>
      <w:pPr>
        <w:pStyle w:val="Body A"/>
        <w:rPr>
          <w:rStyle w:val="None"/>
          <w:rFonts w:ascii="Arial" w:cs="Arial" w:hAnsi="Arial" w:eastAsia="Arial"/>
        </w:rPr>
      </w:pPr>
    </w:p>
    <w:p>
      <w:pPr>
        <w:pStyle w:val="Default"/>
        <w:spacing w:before="0" w:line="240" w:lineRule="auto"/>
        <w:rPr>
          <w:rStyle w:val="None"/>
          <w:rFonts w:ascii="Arial" w:cs="Arial" w:hAnsi="Arial" w:eastAsia="Arial"/>
          <w:outline w:val="0"/>
          <w:color w:val="222222"/>
          <w:sz w:val="26"/>
          <w:szCs w:val="26"/>
          <w:u w:color="222222"/>
          <w:shd w:val="clear" w:color="auto" w:fill="ffffff"/>
          <w14:textFill>
            <w14:solidFill>
              <w14:srgbClr w14:val="222222"/>
            </w14:solidFill>
          </w14:textFill>
        </w:rPr>
      </w:pP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Brymer, E., Davids, K. and Mallabon, L. (2014) Understanding the psychological health and well-being benefits of physical activity in nature: An ecological dynamics analysis.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Ecopsychology</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6</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(3), pp.189-197.</w:t>
      </w:r>
    </w:p>
    <w:p>
      <w:pPr>
        <w:pStyle w:val="Default"/>
        <w:spacing w:before="0" w:line="240" w:lineRule="auto"/>
        <w:rPr>
          <w:rStyle w:val="None"/>
          <w:rFonts w:ascii="Arial" w:cs="Arial" w:hAnsi="Arial" w:eastAsia="Arial"/>
          <w:outline w:val="0"/>
          <w:color w:val="222222"/>
          <w:sz w:val="26"/>
          <w:szCs w:val="26"/>
          <w:u w:color="222222"/>
          <w:shd w:val="clear" w:color="auto" w:fill="ffffff"/>
          <w14:textFill>
            <w14:solidFill>
              <w14:srgbClr w14:val="222222"/>
            </w14:solidFill>
          </w14:textFill>
        </w:rPr>
      </w:pPr>
    </w:p>
    <w:p>
      <w:pPr>
        <w:pStyle w:val="Default"/>
        <w:spacing w:before="0" w:line="240" w:lineRule="auto"/>
        <w:rPr>
          <w:rStyle w:val="None"/>
          <w:rFonts w:ascii="Arial" w:cs="Arial" w:hAnsi="Arial" w:eastAsia="Arial"/>
          <w:i w:val="1"/>
          <w:iCs w:val="1"/>
          <w:outline w:val="0"/>
          <w:color w:val="222222"/>
          <w:sz w:val="26"/>
          <w:szCs w:val="26"/>
          <w:u w:color="222222"/>
          <w:shd w:val="clear" w:color="auto" w:fill="ffffff"/>
          <w14:textFill>
            <w14:solidFill>
              <w14:srgbClr w14:val="222222"/>
            </w14:solidFill>
          </w14:textFill>
        </w:rPr>
      </w:pP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Casey, A. and MacPhail, A. (2018) Adopting a model-based approach to teaching physical education.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Physical Education and Sport Pedagogy</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23</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(3), pp.294-310.</w:t>
      </w:r>
    </w:p>
    <w:p>
      <w:pPr>
        <w:pStyle w:val="Body A"/>
        <w:rPr>
          <w:rStyle w:val="None"/>
          <w:rFonts w:ascii="Arial" w:cs="Arial" w:hAnsi="Arial" w:eastAsia="Arial"/>
        </w:rPr>
      </w:pPr>
    </w:p>
    <w:p>
      <w:pPr>
        <w:pStyle w:val="Default"/>
        <w:spacing w:before="0" w:line="240" w:lineRule="auto"/>
        <w:rPr>
          <w:rStyle w:val="None"/>
          <w:rFonts w:ascii="Arial" w:cs="Arial" w:hAnsi="Arial" w:eastAsia="Arial"/>
          <w:outline w:val="0"/>
          <w:color w:val="222222"/>
          <w:sz w:val="26"/>
          <w:szCs w:val="26"/>
          <w:u w:color="222222"/>
          <w:shd w:val="clear" w:color="auto" w:fill="ffffff"/>
          <w14:textFill>
            <w14:solidFill>
              <w14:srgbClr w14:val="222222"/>
            </w14:solidFill>
          </w14:textFill>
        </w:rPr>
      </w:pPr>
      <w:r>
        <w:rPr>
          <w:rStyle w:val="None"/>
          <w:rFonts w:ascii="Arial" w:hAnsi="Arial"/>
          <w:outline w:val="0"/>
          <w:color w:val="222222"/>
          <w:sz w:val="26"/>
          <w:szCs w:val="26"/>
          <w:u w:color="222222"/>
          <w:shd w:val="clear" w:color="auto" w:fill="ffffff"/>
          <w:rtl w:val="0"/>
          <w:lang w:val="nl-NL"/>
          <w14:textFill>
            <w14:solidFill>
              <w14:srgbClr w14:val="222222"/>
            </w14:solidFill>
          </w14:textFill>
        </w:rPr>
        <w:t>Christie, B.</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 xml:space="preserve">et al </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 (2014). Outdoor education provision in Scottish schools.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Scottish Educational Review</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46</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(1), pp.48-64.</w:t>
      </w:r>
    </w:p>
    <w:p>
      <w:pPr>
        <w:pStyle w:val="Default"/>
        <w:spacing w:before="0" w:line="240" w:lineRule="auto"/>
        <w:rPr>
          <w:rStyle w:val="None"/>
          <w:rFonts w:ascii="Arial" w:cs="Arial" w:hAnsi="Arial" w:eastAsia="Arial"/>
          <w:outline w:val="0"/>
          <w:color w:val="222222"/>
          <w:sz w:val="26"/>
          <w:szCs w:val="26"/>
          <w:u w:color="222222"/>
          <w:shd w:val="clear" w:color="auto" w:fill="ffffff"/>
          <w14:textFill>
            <w14:solidFill>
              <w14:srgbClr w14:val="222222"/>
            </w14:solidFill>
          </w14:textFill>
        </w:rPr>
      </w:pPr>
    </w:p>
    <w:p>
      <w:pPr>
        <w:pStyle w:val="Default"/>
        <w:spacing w:before="0" w:line="240" w:lineRule="auto"/>
        <w:rPr>
          <w:rStyle w:val="None"/>
          <w:rFonts w:ascii="Arial" w:cs="Arial" w:hAnsi="Arial" w:eastAsia="Arial"/>
          <w:outline w:val="0"/>
          <w:color w:val="222222"/>
          <w:sz w:val="26"/>
          <w:szCs w:val="26"/>
          <w:u w:color="222222"/>
          <w:shd w:val="clear" w:color="auto" w:fill="ffffff"/>
          <w14:textFill>
            <w14:solidFill>
              <w14:srgbClr w14:val="222222"/>
            </w14:solidFill>
          </w14:textFill>
        </w:rPr>
      </w:pP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Cook, G.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et al</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 (2007). How a Climbing Wall Became Part of a NEW Physical Education Program.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Pathways: The Ontario Journal of outdoor education</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19</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(4), pp.12-15.</w:t>
      </w:r>
    </w:p>
    <w:p>
      <w:pPr>
        <w:pStyle w:val="Default"/>
        <w:spacing w:before="0" w:line="240" w:lineRule="auto"/>
        <w:rPr>
          <w:rStyle w:val="None"/>
          <w:rFonts w:ascii="Arial" w:cs="Arial" w:hAnsi="Arial" w:eastAsia="Arial"/>
          <w:outline w:val="0"/>
          <w:color w:val="222222"/>
          <w:sz w:val="26"/>
          <w:szCs w:val="26"/>
          <w:u w:color="222222"/>
          <w:shd w:val="clear" w:color="auto" w:fill="ffffff"/>
          <w14:textFill>
            <w14:solidFill>
              <w14:srgbClr w14:val="222222"/>
            </w14:solidFill>
          </w14:textFill>
        </w:rPr>
      </w:pPr>
    </w:p>
    <w:p>
      <w:pPr>
        <w:pStyle w:val="Default"/>
        <w:spacing w:before="0" w:line="240" w:lineRule="auto"/>
        <w:rPr>
          <w:rStyle w:val="None"/>
          <w:rFonts w:ascii="Arial" w:cs="Arial" w:hAnsi="Arial" w:eastAsia="Arial"/>
          <w:outline w:val="0"/>
          <w:color w:val="222222"/>
          <w:sz w:val="26"/>
          <w:szCs w:val="26"/>
          <w:u w:color="222222"/>
          <w:shd w:val="clear" w:color="auto" w:fill="ffffff"/>
          <w14:textFill>
            <w14:solidFill>
              <w14:srgbClr w14:val="222222"/>
            </w14:solidFill>
          </w14:textFill>
        </w:rPr>
      </w:pP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Dadvand, P.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et al</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 (2015). Green spaces and cognitive development in primary schoolchildren.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Proceedings of the National Academy of Sciences</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112</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(26), pp.7937-7942.</w:t>
      </w:r>
    </w:p>
    <w:p>
      <w:pPr>
        <w:pStyle w:val="Default"/>
        <w:spacing w:before="0" w:line="240" w:lineRule="auto"/>
        <w:rPr>
          <w:rStyle w:val="None"/>
          <w:rFonts w:ascii="Arial" w:cs="Arial" w:hAnsi="Arial" w:eastAsia="Arial"/>
          <w:outline w:val="0"/>
          <w:color w:val="222222"/>
          <w:sz w:val="26"/>
          <w:szCs w:val="26"/>
          <w:u w:color="222222"/>
          <w:shd w:val="clear" w:color="auto" w:fill="ffffff"/>
          <w14:textFill>
            <w14:solidFill>
              <w14:srgbClr w14:val="222222"/>
            </w14:solidFill>
          </w14:textFill>
        </w:rPr>
      </w:pPr>
    </w:p>
    <w:p>
      <w:pPr>
        <w:pStyle w:val="Default"/>
        <w:spacing w:before="0" w:line="240" w:lineRule="auto"/>
        <w:rPr>
          <w:rStyle w:val="None"/>
          <w:rFonts w:ascii="Arial" w:cs="Arial" w:hAnsi="Arial" w:eastAsia="Arial"/>
          <w:outline w:val="0"/>
          <w:color w:val="222222"/>
          <w:sz w:val="26"/>
          <w:szCs w:val="26"/>
          <w:u w:color="222222"/>
          <w:shd w:val="clear" w:color="auto" w:fill="ffffff"/>
          <w14:textFill>
            <w14:solidFill>
              <w14:srgbClr w14:val="222222"/>
            </w14:solidFill>
          </w14:textFill>
        </w:rPr>
      </w:pP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Dyment, J.E. and Bell, A.C. (2008) Grounds for movement: green school grounds as sites for promoting physical activity.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Health education research</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23</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(6), pp.952-962.</w:t>
      </w:r>
    </w:p>
    <w:p>
      <w:pPr>
        <w:pStyle w:val="Default"/>
        <w:spacing w:before="0" w:line="240" w:lineRule="auto"/>
        <w:rPr>
          <w:rStyle w:val="None"/>
          <w:rFonts w:ascii="Arial" w:cs="Arial" w:hAnsi="Arial" w:eastAsia="Arial"/>
          <w:outline w:val="0"/>
          <w:color w:val="222222"/>
          <w:sz w:val="26"/>
          <w:szCs w:val="26"/>
          <w:u w:color="222222"/>
          <w:shd w:val="clear" w:color="auto" w:fill="ffffff"/>
          <w14:textFill>
            <w14:solidFill>
              <w14:srgbClr w14:val="222222"/>
            </w14:solidFill>
          </w14:textFill>
        </w:rPr>
      </w:pPr>
    </w:p>
    <w:p>
      <w:pPr>
        <w:pStyle w:val="Default"/>
        <w:spacing w:before="0" w:line="240" w:lineRule="auto"/>
        <w:rPr>
          <w:rStyle w:val="None"/>
          <w:rFonts w:ascii="Arial" w:cs="Arial" w:hAnsi="Arial" w:eastAsia="Arial"/>
          <w:outline w:val="0"/>
          <w:color w:val="222222"/>
          <w:sz w:val="26"/>
          <w:szCs w:val="26"/>
          <w:u w:color="222222"/>
          <w:shd w:val="clear" w:color="auto" w:fill="ffffff"/>
          <w14:textFill>
            <w14:solidFill>
              <w14:srgbClr w14:val="222222"/>
            </w14:solidFill>
          </w14:textFill>
        </w:rPr>
      </w:pPr>
      <w:r>
        <w:rPr>
          <w:rStyle w:val="None"/>
          <w:rFonts w:ascii="Arial" w:hAnsi="Arial"/>
          <w:outline w:val="0"/>
          <w:color w:val="222222"/>
          <w:sz w:val="26"/>
          <w:szCs w:val="26"/>
          <w:u w:color="222222"/>
          <w:shd w:val="clear" w:color="auto" w:fill="ffffff"/>
          <w:rtl w:val="0"/>
          <w:lang w:val="da-DK"/>
          <w14:textFill>
            <w14:solidFill>
              <w14:srgbClr w14:val="222222"/>
            </w14:solidFill>
          </w14:textFill>
        </w:rPr>
        <w:t xml:space="preserve">Hansen, K. and Parker, M. </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(2009) Rock Climbing: An experience with responsibility.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Journal of Physical Education, Recreation &amp; Dance</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80</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(2), pp.17-55.</w:t>
      </w:r>
    </w:p>
    <w:p>
      <w:pPr>
        <w:pStyle w:val="Default"/>
        <w:spacing w:before="0" w:line="240" w:lineRule="auto"/>
        <w:rPr>
          <w:rStyle w:val="None"/>
          <w:rFonts w:ascii="Arial" w:cs="Arial" w:hAnsi="Arial" w:eastAsia="Arial"/>
          <w:outline w:val="0"/>
          <w:color w:val="222222"/>
          <w:sz w:val="26"/>
          <w:szCs w:val="26"/>
          <w:u w:color="222222"/>
          <w:shd w:val="clear" w:color="auto" w:fill="ffffff"/>
          <w14:textFill>
            <w14:solidFill>
              <w14:srgbClr w14:val="222222"/>
            </w14:solidFill>
          </w14:textFill>
        </w:rPr>
      </w:pPr>
    </w:p>
    <w:p>
      <w:pPr>
        <w:pStyle w:val="Default"/>
        <w:spacing w:before="0" w:line="240" w:lineRule="auto"/>
        <w:rPr>
          <w:rStyle w:val="None"/>
          <w:rFonts w:ascii="Arial" w:cs="Arial" w:hAnsi="Arial" w:eastAsia="Arial"/>
          <w:outline w:val="0"/>
          <w:color w:val="222222"/>
          <w:sz w:val="26"/>
          <w:szCs w:val="26"/>
          <w:u w:color="222222"/>
          <w:shd w:val="clear" w:color="auto" w:fill="ffffff"/>
          <w14:textFill>
            <w14:solidFill>
              <w14:srgbClr w14:val="222222"/>
            </w14:solidFill>
          </w14:textFill>
        </w:rPr>
      </w:pP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HSE (2011)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School trips and outdoor learning activities</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 Available at: </w:t>
      </w:r>
      <w:r>
        <w:rPr>
          <w:rStyle w:val="Hyperlink.1"/>
        </w:rPr>
        <w:fldChar w:fldCharType="begin" w:fldLock="0"/>
      </w:r>
      <w:r>
        <w:rPr>
          <w:rStyle w:val="Hyperlink.1"/>
        </w:rPr>
        <w:instrText xml:space="preserve"> HYPERLINK "https://www.hse.gov.uk/services/education/school-trips.pdf"</w:instrText>
      </w:r>
      <w:r>
        <w:rPr>
          <w:rStyle w:val="Hyperlink.1"/>
        </w:rPr>
        <w:fldChar w:fldCharType="separate" w:fldLock="0"/>
      </w:r>
      <w:r>
        <w:rPr>
          <w:rStyle w:val="Hyperlink.1"/>
          <w:rtl w:val="0"/>
          <w:lang w:val="en-US"/>
        </w:rPr>
        <w:t>https://www.hse.gov.uk/services/education/school-trips.pdf</w:t>
      </w:r>
      <w:r>
        <w:rPr/>
        <w:fldChar w:fldCharType="end" w:fldLock="0"/>
      </w: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 (Accessed 10th December 2022)</w:t>
      </w:r>
    </w:p>
    <w:p>
      <w:pPr>
        <w:pStyle w:val="Default"/>
        <w:spacing w:before="0" w:line="240" w:lineRule="auto"/>
        <w:rPr>
          <w:rStyle w:val="None"/>
          <w:rFonts w:ascii="Arial" w:cs="Arial" w:hAnsi="Arial" w:eastAsia="Arial"/>
          <w:outline w:val="0"/>
          <w:color w:val="222222"/>
          <w:sz w:val="26"/>
          <w:szCs w:val="26"/>
          <w:u w:color="222222"/>
          <w:shd w:val="clear" w:color="auto" w:fill="ffffff"/>
          <w14:textFill>
            <w14:solidFill>
              <w14:srgbClr w14:val="222222"/>
            </w14:solidFill>
          </w14:textFill>
        </w:rPr>
      </w:pPr>
    </w:p>
    <w:p>
      <w:pPr>
        <w:pStyle w:val="Default"/>
        <w:spacing w:before="0" w:line="240" w:lineRule="auto"/>
        <w:rPr>
          <w:rStyle w:val="None"/>
          <w:rFonts w:ascii="Arial" w:cs="Arial" w:hAnsi="Arial" w:eastAsia="Arial"/>
          <w:outline w:val="0"/>
          <w:color w:val="222222"/>
          <w:sz w:val="26"/>
          <w:szCs w:val="26"/>
          <w:u w:color="222222"/>
          <w:shd w:val="clear" w:color="auto" w:fill="ffffff"/>
          <w14:textFill>
            <w14:solidFill>
              <w14:srgbClr w14:val="222222"/>
            </w14:solidFill>
          </w14:textFill>
        </w:rPr>
      </w:pP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Lackey, N.Q.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 xml:space="preserve">et al. </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(2021). Mental health benefits of nature-based recreation: a systematic review.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Annals of Leisure Research</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24</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(3), pp.379-393.</w:t>
      </w:r>
    </w:p>
    <w:p>
      <w:pPr>
        <w:pStyle w:val="Default"/>
        <w:spacing w:before="0" w:line="240" w:lineRule="auto"/>
        <w:rPr>
          <w:rStyle w:val="None"/>
          <w:rFonts w:ascii="Arial" w:cs="Arial" w:hAnsi="Arial" w:eastAsia="Arial"/>
          <w:outline w:val="0"/>
          <w:color w:val="222222"/>
          <w:sz w:val="26"/>
          <w:szCs w:val="26"/>
          <w:u w:color="222222"/>
          <w:shd w:val="clear" w:color="auto" w:fill="ffffff"/>
          <w14:textFill>
            <w14:solidFill>
              <w14:srgbClr w14:val="222222"/>
            </w14:solidFill>
          </w14:textFill>
        </w:rPr>
      </w:pPr>
    </w:p>
    <w:p>
      <w:pPr>
        <w:pStyle w:val="Default"/>
        <w:spacing w:before="0" w:line="240" w:lineRule="auto"/>
        <w:rPr>
          <w:rStyle w:val="None"/>
          <w:rFonts w:ascii="Arial" w:cs="Arial" w:hAnsi="Arial" w:eastAsia="Arial"/>
          <w:outline w:val="0"/>
          <w:color w:val="222222"/>
          <w:sz w:val="26"/>
          <w:szCs w:val="26"/>
          <w:u w:color="222222"/>
          <w:shd w:val="clear" w:color="auto" w:fill="ffffff"/>
          <w14:textFill>
            <w14:solidFill>
              <w14:srgbClr w14:val="222222"/>
            </w14:solidFill>
          </w14:textFill>
        </w:rPr>
      </w:pPr>
      <w:r>
        <w:rPr>
          <w:rStyle w:val="None"/>
          <w:rFonts w:ascii="Arial" w:hAnsi="Arial"/>
          <w:outline w:val="0"/>
          <w:color w:val="222222"/>
          <w:sz w:val="26"/>
          <w:szCs w:val="26"/>
          <w:u w:color="222222"/>
          <w:shd w:val="clear" w:color="auto" w:fill="ffffff"/>
          <w:rtl w:val="0"/>
          <w:lang w:val="fr-FR"/>
          <w14:textFill>
            <w14:solidFill>
              <w14:srgbClr w14:val="222222"/>
            </w14:solidFill>
          </w14:textFill>
        </w:rPr>
        <w:t>Marchant, E.</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 xml:space="preserve">et al </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(2019). Curriculum-based outdoor learning for children aged 9-11: A qualitative analysis of pupils</w:t>
      </w:r>
      <w:r>
        <w:rPr>
          <w:rStyle w:val="None"/>
          <w:rFonts w:ascii="Arial Unicode MS" w:hAnsi="Arial Unicode MS" w:hint="default"/>
          <w:outline w:val="0"/>
          <w:color w:val="222222"/>
          <w:sz w:val="26"/>
          <w:szCs w:val="26"/>
          <w:u w:color="222222"/>
          <w:shd w:val="clear" w:color="auto" w:fill="ffffff"/>
          <w:rtl w:val="1"/>
          <w:lang w:val="ar-SA" w:bidi="ar-SA"/>
          <w14:textFill>
            <w14:solidFill>
              <w14:srgbClr w14:val="222222"/>
            </w14:solidFill>
          </w14:textFill>
        </w:rPr>
        <w:t xml:space="preserve">’ </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and teachers</w:t>
      </w:r>
      <w:r>
        <w:rPr>
          <w:rStyle w:val="None"/>
          <w:rFonts w:ascii="Arial Unicode MS" w:hAnsi="Arial Unicode MS" w:hint="default"/>
          <w:outline w:val="0"/>
          <w:color w:val="222222"/>
          <w:sz w:val="26"/>
          <w:szCs w:val="26"/>
          <w:u w:color="222222"/>
          <w:shd w:val="clear" w:color="auto" w:fill="ffffff"/>
          <w:rtl w:val="1"/>
          <w:lang w:val="ar-SA" w:bidi="ar-SA"/>
          <w14:textFill>
            <w14:solidFill>
              <w14:srgbClr w14:val="222222"/>
            </w14:solidFill>
          </w14:textFill>
        </w:rPr>
        <w:t xml:space="preserve">’ </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views.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PLoS One</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14</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(5), p.e0212242.</w:t>
      </w:r>
    </w:p>
    <w:p>
      <w:pPr>
        <w:pStyle w:val="Default"/>
        <w:spacing w:before="0" w:line="240" w:lineRule="auto"/>
        <w:rPr>
          <w:rStyle w:val="None"/>
          <w:rFonts w:ascii="Arial" w:cs="Arial" w:hAnsi="Arial" w:eastAsia="Arial"/>
          <w:outline w:val="0"/>
          <w:color w:val="222222"/>
          <w:sz w:val="26"/>
          <w:szCs w:val="26"/>
          <w:u w:color="222222"/>
          <w:shd w:val="clear" w:color="auto" w:fill="ffffff"/>
          <w14:textFill>
            <w14:solidFill>
              <w14:srgbClr w14:val="222222"/>
            </w14:solidFill>
          </w14:textFill>
        </w:rPr>
      </w:pPr>
    </w:p>
    <w:p>
      <w:pPr>
        <w:pStyle w:val="Default"/>
        <w:spacing w:before="0" w:line="240" w:lineRule="auto"/>
        <w:rPr>
          <w:rStyle w:val="None"/>
          <w:rFonts w:ascii="Arial" w:cs="Arial" w:hAnsi="Arial" w:eastAsia="Arial"/>
          <w:outline w:val="0"/>
          <w:color w:val="222222"/>
          <w:sz w:val="26"/>
          <w:szCs w:val="26"/>
          <w:u w:color="222222"/>
          <w:shd w:val="clear" w:color="auto" w:fill="ffffff"/>
          <w14:textFill>
            <w14:solidFill>
              <w14:srgbClr w14:val="222222"/>
            </w14:solidFill>
          </w14:textFill>
        </w:rPr>
      </w:pPr>
      <w:r>
        <w:rPr>
          <w:rStyle w:val="None"/>
          <w:rFonts w:ascii="Arial" w:hAnsi="Arial"/>
          <w:outline w:val="0"/>
          <w:color w:val="222222"/>
          <w:sz w:val="26"/>
          <w:szCs w:val="26"/>
          <w:u w:color="222222"/>
          <w:shd w:val="clear" w:color="auto" w:fill="ffffff"/>
          <w:rtl w:val="0"/>
          <w:lang w:val="da-DK"/>
          <w14:textFill>
            <w14:solidFill>
              <w14:srgbClr w14:val="222222"/>
            </w14:solidFill>
          </w14:textFill>
        </w:rPr>
        <w:t>Palmer, S.E.</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 (2006) Ride with abandon: Practical ideas to include mountain biking in physical education.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Journal of Physical Education, Recreation &amp; Dance</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77</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(8), pp.34-41.</w:t>
      </w:r>
    </w:p>
    <w:p>
      <w:pPr>
        <w:pStyle w:val="Default"/>
        <w:spacing w:before="0" w:line="240" w:lineRule="auto"/>
        <w:rPr>
          <w:rStyle w:val="None"/>
          <w:rFonts w:ascii="Arial" w:cs="Arial" w:hAnsi="Arial" w:eastAsia="Arial"/>
          <w:outline w:val="0"/>
          <w:color w:val="222222"/>
          <w:sz w:val="26"/>
          <w:szCs w:val="26"/>
          <w:u w:color="222222"/>
          <w:shd w:val="clear" w:color="auto" w:fill="ffffff"/>
          <w14:textFill>
            <w14:solidFill>
              <w14:srgbClr w14:val="222222"/>
            </w14:solidFill>
          </w14:textFill>
        </w:rPr>
      </w:pPr>
    </w:p>
    <w:p>
      <w:pPr>
        <w:pStyle w:val="Default"/>
        <w:spacing w:before="0" w:line="240" w:lineRule="auto"/>
        <w:rPr>
          <w:rStyle w:val="None"/>
          <w:rFonts w:ascii="Arial" w:cs="Arial" w:hAnsi="Arial" w:eastAsia="Arial"/>
          <w:outline w:val="0"/>
          <w:color w:val="222222"/>
          <w:sz w:val="26"/>
          <w:szCs w:val="26"/>
          <w:u w:color="222222"/>
          <w:shd w:val="clear" w:color="auto" w:fill="ffffff"/>
          <w14:textFill>
            <w14:solidFill>
              <w14:srgbClr w14:val="222222"/>
            </w14:solidFill>
          </w14:textFill>
        </w:rPr>
      </w:pPr>
      <w:r>
        <w:rPr>
          <w:rStyle w:val="None"/>
          <w:rFonts w:ascii="Arial" w:hAnsi="Arial"/>
          <w:outline w:val="0"/>
          <w:color w:val="222222"/>
          <w:sz w:val="26"/>
          <w:szCs w:val="26"/>
          <w:u w:color="222222"/>
          <w:shd w:val="clear" w:color="auto" w:fill="ffffff"/>
          <w:rtl w:val="0"/>
          <w:lang w:val="en-US"/>
          <w14:textFill>
            <w14:solidFill>
              <w14:srgbClr w14:val="222222"/>
            </w14:solidFill>
          </w14:textFill>
        </w:rPr>
        <w:t>Shume, T.J., and Blatt, E. (2019)  A sociocultural investigation of pre-service teachers</w:t>
      </w:r>
      <w:r>
        <w:rPr>
          <w:rStyle w:val="None"/>
          <w:rFonts w:ascii="Arial Unicode MS" w:hAnsi="Arial Unicode MS" w:hint="default"/>
          <w:outline w:val="0"/>
          <w:color w:val="222222"/>
          <w:sz w:val="26"/>
          <w:szCs w:val="26"/>
          <w:u w:color="222222"/>
          <w:shd w:val="clear" w:color="auto" w:fill="ffffff"/>
          <w:rtl w:val="1"/>
          <w:lang w:val="ar-SA" w:bidi="ar-SA"/>
          <w14:textFill>
            <w14:solidFill>
              <w14:srgbClr w14:val="222222"/>
            </w14:solidFill>
          </w14:textFill>
        </w:rPr>
        <w:t xml:space="preserve">’ </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outdoor experiences and perceived obstacles to outdoor learning.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Environmental Education Research</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25</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(9), pp.1347-1367.</w:t>
      </w:r>
    </w:p>
    <w:p>
      <w:pPr>
        <w:pStyle w:val="Default"/>
        <w:spacing w:before="0" w:line="240" w:lineRule="auto"/>
        <w:rPr>
          <w:rStyle w:val="None"/>
          <w:rFonts w:ascii="Arial" w:cs="Arial" w:hAnsi="Arial" w:eastAsia="Arial"/>
          <w:outline w:val="0"/>
          <w:color w:val="222222"/>
          <w:sz w:val="26"/>
          <w:szCs w:val="26"/>
          <w:u w:color="222222"/>
          <w:shd w:val="clear" w:color="auto" w:fill="ffffff"/>
          <w14:textFill>
            <w14:solidFill>
              <w14:srgbClr w14:val="222222"/>
            </w14:solidFill>
          </w14:textFill>
        </w:rPr>
      </w:pPr>
    </w:p>
    <w:p>
      <w:pPr>
        <w:pStyle w:val="Default"/>
        <w:spacing w:before="0" w:line="240" w:lineRule="auto"/>
        <w:rPr>
          <w:rStyle w:val="None"/>
          <w:rFonts w:ascii="Arial" w:cs="Arial" w:hAnsi="Arial" w:eastAsia="Arial"/>
          <w:outline w:val="0"/>
          <w:color w:val="222222"/>
          <w:sz w:val="26"/>
          <w:szCs w:val="26"/>
          <w:u w:color="222222"/>
          <w:shd w:val="clear" w:color="auto" w:fill="ffffff"/>
          <w14:textFill>
            <w14:solidFill>
              <w14:srgbClr w14:val="222222"/>
            </w14:solidFill>
          </w14:textFill>
        </w:rPr>
      </w:pPr>
      <w:r>
        <w:rPr>
          <w:rStyle w:val="None"/>
          <w:rFonts w:ascii="Arial" w:hAnsi="Arial"/>
          <w:outline w:val="0"/>
          <w:color w:val="222222"/>
          <w:sz w:val="26"/>
          <w:szCs w:val="26"/>
          <w:u w:color="222222"/>
          <w:shd w:val="clear" w:color="auto" w:fill="ffffff"/>
          <w:rtl w:val="0"/>
          <w:lang w:val="pt-PT"/>
          <w14:textFill>
            <w14:solidFill>
              <w14:srgbClr w14:val="222222"/>
            </w14:solidFill>
          </w14:textFill>
        </w:rPr>
        <w:t>Spencer, L.H.</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 xml:space="preserve">et al. </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(2020). A scoping review of how income affects accessing local green space to engage in outdoor physical activity to improve well-being: implications for post-covid-19.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International journal of environmental research and public health</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17</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(24), p.9313.</w:t>
      </w:r>
    </w:p>
    <w:p>
      <w:pPr>
        <w:pStyle w:val="Default"/>
        <w:spacing w:before="0" w:line="240" w:lineRule="auto"/>
        <w:rPr>
          <w:rStyle w:val="None"/>
          <w:rFonts w:ascii="Arial" w:cs="Arial" w:hAnsi="Arial" w:eastAsia="Arial"/>
          <w:outline w:val="0"/>
          <w:color w:val="222222"/>
          <w:sz w:val="26"/>
          <w:szCs w:val="26"/>
          <w:u w:color="222222"/>
          <w:shd w:val="clear" w:color="auto" w:fill="ffffff"/>
          <w14:textFill>
            <w14:solidFill>
              <w14:srgbClr w14:val="222222"/>
            </w14:solidFill>
          </w14:textFill>
        </w:rPr>
      </w:pPr>
    </w:p>
    <w:p>
      <w:pPr>
        <w:pStyle w:val="Default"/>
        <w:spacing w:before="0" w:line="240" w:lineRule="auto"/>
        <w:rPr>
          <w:rStyle w:val="None"/>
          <w:rFonts w:ascii="Arial" w:cs="Arial" w:hAnsi="Arial" w:eastAsia="Arial"/>
          <w:outline w:val="0"/>
          <w:color w:val="222222"/>
          <w:sz w:val="26"/>
          <w:szCs w:val="26"/>
          <w:u w:color="222222"/>
          <w:shd w:val="clear" w:color="auto" w:fill="ffffff"/>
          <w14:textFill>
            <w14:solidFill>
              <w14:srgbClr w14:val="222222"/>
            </w14:solidFill>
          </w14:textFill>
        </w:rPr>
      </w:pPr>
      <w:r>
        <w:rPr>
          <w:rStyle w:val="None"/>
          <w:rFonts w:ascii="Arial" w:hAnsi="Arial"/>
          <w:outline w:val="0"/>
          <w:color w:val="222222"/>
          <w:sz w:val="26"/>
          <w:szCs w:val="26"/>
          <w:u w:color="222222"/>
          <w:shd w:val="clear" w:color="auto" w:fill="ffffff"/>
          <w:rtl w:val="0"/>
          <w:lang w:val="de-DE"/>
          <w14:textFill>
            <w14:solidFill>
              <w14:srgbClr w14:val="222222"/>
            </w14:solidFill>
          </w14:textFill>
        </w:rPr>
        <w:t>Tillmann, S.</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 xml:space="preserve">et al </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(2018). Mental health benefits of interactions with nature in children and teenagers: A systematic review.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J Epidemiol Community Health</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72</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(10), pp.958-966.</w:t>
      </w:r>
    </w:p>
    <w:p>
      <w:pPr>
        <w:pStyle w:val="Default"/>
        <w:spacing w:before="0" w:line="240" w:lineRule="auto"/>
        <w:rPr>
          <w:rStyle w:val="None"/>
          <w:rFonts w:ascii="Arial" w:cs="Arial" w:hAnsi="Arial" w:eastAsia="Arial"/>
          <w:outline w:val="0"/>
          <w:color w:val="222222"/>
          <w:sz w:val="26"/>
          <w:szCs w:val="26"/>
          <w:u w:color="222222"/>
          <w:shd w:val="clear" w:color="auto" w:fill="ffffff"/>
          <w14:textFill>
            <w14:solidFill>
              <w14:srgbClr w14:val="222222"/>
            </w14:solidFill>
          </w14:textFill>
        </w:rPr>
      </w:pPr>
    </w:p>
    <w:p>
      <w:pPr>
        <w:pStyle w:val="Default"/>
        <w:spacing w:before="0" w:line="240" w:lineRule="auto"/>
        <w:rPr>
          <w:rStyle w:val="None"/>
          <w:rFonts w:ascii="Arial" w:cs="Arial" w:hAnsi="Arial" w:eastAsia="Arial"/>
          <w:outline w:val="0"/>
          <w:color w:val="222222"/>
          <w:sz w:val="26"/>
          <w:szCs w:val="26"/>
          <w:u w:color="222222"/>
          <w:shd w:val="clear" w:color="auto" w:fill="ffffff"/>
          <w14:textFill>
            <w14:solidFill>
              <w14:srgbClr w14:val="222222"/>
            </w14:solidFill>
          </w14:textFill>
        </w:rPr>
      </w:pPr>
      <w:r>
        <w:rPr>
          <w:rStyle w:val="None"/>
          <w:rFonts w:ascii="Arial" w:hAnsi="Arial"/>
          <w:outline w:val="0"/>
          <w:color w:val="222222"/>
          <w:sz w:val="26"/>
          <w:szCs w:val="26"/>
          <w:u w:color="222222"/>
          <w:shd w:val="clear" w:color="auto" w:fill="ffffff"/>
          <w:rtl w:val="0"/>
          <w:lang w:val="it-IT"/>
          <w14:textFill>
            <w14:solidFill>
              <w14:srgbClr w14:val="222222"/>
            </w14:solidFill>
          </w14:textFill>
        </w:rPr>
        <w:t>Varea, V., Gonz</w:t>
      </w:r>
      <w:r>
        <w:rPr>
          <w:rStyle w:val="None"/>
          <w:rFonts w:ascii="Arial" w:hAnsi="Arial" w:hint="default"/>
          <w:outline w:val="0"/>
          <w:color w:val="222222"/>
          <w:sz w:val="26"/>
          <w:szCs w:val="26"/>
          <w:u w:color="222222"/>
          <w:shd w:val="clear" w:color="auto" w:fill="ffffff"/>
          <w:rtl w:val="0"/>
          <w:lang w:val="en-US"/>
          <w14:textFill>
            <w14:solidFill>
              <w14:srgbClr w14:val="222222"/>
            </w14:solidFill>
          </w14:textFill>
        </w:rPr>
        <w:t>á</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lez-Calvo, G. and Garc</w:t>
      </w:r>
      <w:r>
        <w:rPr>
          <w:rStyle w:val="None"/>
          <w:rFonts w:ascii="Arial" w:hAnsi="Arial" w:hint="default"/>
          <w:outline w:val="0"/>
          <w:color w:val="222222"/>
          <w:sz w:val="26"/>
          <w:szCs w:val="26"/>
          <w:u w:color="222222"/>
          <w:shd w:val="clear" w:color="auto" w:fill="ffffff"/>
          <w:rtl w:val="0"/>
          <w:lang w:val="en-US"/>
          <w14:textFill>
            <w14:solidFill>
              <w14:srgbClr w14:val="222222"/>
            </w14:solidFill>
          </w14:textFill>
        </w:rPr>
        <w:t>í</w:t>
      </w:r>
      <w:r>
        <w:rPr>
          <w:rStyle w:val="None"/>
          <w:rFonts w:ascii="Arial" w:hAnsi="Arial"/>
          <w:outline w:val="0"/>
          <w:color w:val="222222"/>
          <w:sz w:val="26"/>
          <w:szCs w:val="26"/>
          <w:u w:color="222222"/>
          <w:shd w:val="clear" w:color="auto" w:fill="ffffff"/>
          <w:rtl w:val="0"/>
          <w:lang w:val="da-DK"/>
          <w14:textFill>
            <w14:solidFill>
              <w14:srgbClr w14:val="222222"/>
            </w14:solidFill>
          </w14:textFill>
        </w:rPr>
        <w:t>a-Monge, A.</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 (2022) Exploring the changes of physical education in the age of Covid-19.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Physical Education and Sport Pedagogy</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27</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(1), pp.32-42.</w:t>
      </w:r>
    </w:p>
    <w:p>
      <w:pPr>
        <w:pStyle w:val="Default"/>
        <w:spacing w:before="0" w:line="240" w:lineRule="auto"/>
        <w:rPr>
          <w:rStyle w:val="None"/>
          <w:rFonts w:ascii="Arial" w:cs="Arial" w:hAnsi="Arial" w:eastAsia="Arial"/>
          <w:outline w:val="0"/>
          <w:color w:val="222222"/>
          <w:sz w:val="26"/>
          <w:szCs w:val="26"/>
          <w:u w:color="222222"/>
          <w:shd w:val="clear" w:color="auto" w:fill="ffffff"/>
          <w14:textFill>
            <w14:solidFill>
              <w14:srgbClr w14:val="222222"/>
            </w14:solidFill>
          </w14:textFill>
        </w:rPr>
      </w:pPr>
    </w:p>
    <w:p>
      <w:pPr>
        <w:pStyle w:val="Default"/>
        <w:spacing w:before="0" w:line="240" w:lineRule="auto"/>
        <w:rPr>
          <w:rStyle w:val="None"/>
          <w:rFonts w:ascii="Arial" w:cs="Arial" w:hAnsi="Arial" w:eastAsia="Arial"/>
          <w:outline w:val="0"/>
          <w:color w:val="222222"/>
          <w:sz w:val="26"/>
          <w:szCs w:val="26"/>
          <w:u w:color="222222"/>
          <w:shd w:val="clear" w:color="auto" w:fill="ffffff"/>
          <w14:textFill>
            <w14:solidFill>
              <w14:srgbClr w14:val="222222"/>
            </w14:solidFill>
          </w14:textFill>
        </w:rPr>
      </w:pPr>
      <w:r>
        <w:rPr>
          <w:rStyle w:val="None"/>
          <w:rFonts w:ascii="Arial" w:hAnsi="Arial"/>
          <w:outline w:val="0"/>
          <w:color w:val="222222"/>
          <w:sz w:val="26"/>
          <w:szCs w:val="26"/>
          <w:u w:color="222222"/>
          <w:shd w:val="clear" w:color="auto" w:fill="ffffff"/>
          <w:rtl w:val="0"/>
          <w:lang w:val="fr-FR"/>
          <w14:textFill>
            <w14:solidFill>
              <w14:srgbClr w14:val="222222"/>
            </w14:solidFill>
          </w14:textFill>
        </w:rPr>
        <w:t>Waite, S.</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 (2011) Making a difference: Learning on a grand scale.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Children Learning Outside the Classroom: From Birth to Eleven</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 pp.201-212.</w:t>
      </w:r>
    </w:p>
    <w:p>
      <w:pPr>
        <w:pStyle w:val="Default"/>
        <w:spacing w:before="0" w:line="240" w:lineRule="auto"/>
        <w:rPr>
          <w:rStyle w:val="None"/>
          <w:rFonts w:ascii="Arial" w:cs="Arial" w:hAnsi="Arial" w:eastAsia="Arial"/>
          <w:outline w:val="0"/>
          <w:color w:val="222222"/>
          <w:sz w:val="26"/>
          <w:szCs w:val="26"/>
          <w:u w:color="222222"/>
          <w:shd w:val="clear" w:color="auto" w:fill="ffffff"/>
          <w14:textFill>
            <w14:solidFill>
              <w14:srgbClr w14:val="222222"/>
            </w14:solidFill>
          </w14:textFill>
        </w:rPr>
      </w:pPr>
    </w:p>
    <w:p>
      <w:pPr>
        <w:pStyle w:val="Default"/>
        <w:spacing w:before="0" w:line="240" w:lineRule="auto"/>
        <w:rPr>
          <w:rStyle w:val="None"/>
          <w:rFonts w:ascii="Arial" w:cs="Arial" w:hAnsi="Arial" w:eastAsia="Arial"/>
          <w:outline w:val="0"/>
          <w:color w:val="222222"/>
          <w:sz w:val="26"/>
          <w:szCs w:val="26"/>
          <w:u w:color="222222"/>
          <w:shd w:val="clear" w:color="auto" w:fill="ffffff"/>
          <w14:textFill>
            <w14:solidFill>
              <w14:srgbClr w14:val="222222"/>
            </w14:solidFill>
          </w14:textFill>
        </w:rPr>
      </w:pP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Wainwright, N. (2021) The foundation phase in Wales, outdoor learning and motor development.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Journal of Physical Education and Sport</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21</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 pp.567-573.</w:t>
      </w:r>
    </w:p>
    <w:p>
      <w:pPr>
        <w:pStyle w:val="Default"/>
        <w:spacing w:before="0" w:line="240" w:lineRule="auto"/>
        <w:rPr>
          <w:rStyle w:val="None"/>
          <w:rFonts w:ascii="Arial" w:cs="Arial" w:hAnsi="Arial" w:eastAsia="Arial"/>
          <w:outline w:val="0"/>
          <w:color w:val="222222"/>
          <w:sz w:val="26"/>
          <w:szCs w:val="26"/>
          <w:u w:color="222222"/>
          <w:shd w:val="clear" w:color="auto" w:fill="ffffff"/>
          <w14:textFill>
            <w14:solidFill>
              <w14:srgbClr w14:val="222222"/>
            </w14:solidFill>
          </w14:textFill>
        </w:rPr>
      </w:pPr>
    </w:p>
    <w:p>
      <w:pPr>
        <w:pStyle w:val="Default"/>
        <w:spacing w:before="0" w:line="240" w:lineRule="auto"/>
        <w:rPr>
          <w:rStyle w:val="None"/>
          <w:rFonts w:ascii="Arial" w:cs="Arial" w:hAnsi="Arial" w:eastAsia="Arial"/>
          <w:outline w:val="0"/>
          <w:color w:val="222222"/>
          <w:sz w:val="26"/>
          <w:szCs w:val="26"/>
          <w:u w:color="222222"/>
          <w:shd w:val="clear" w:color="auto" w:fill="ffffff"/>
          <w14:textFill>
            <w14:solidFill>
              <w14:srgbClr w14:val="222222"/>
            </w14:solidFill>
          </w14:textFill>
        </w:rPr>
      </w:pP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Ward, C.D., Parker, C.M. and Shackleton, C.M., (2010) The use and appreciation of botanical gardens as urban green spaces in South Africa.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Urban Forestry &amp; Urban Greening</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9</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(1), pp.49-55.</w:t>
      </w:r>
    </w:p>
    <w:p>
      <w:pPr>
        <w:pStyle w:val="Default"/>
        <w:spacing w:before="0" w:line="240" w:lineRule="auto"/>
        <w:rPr>
          <w:rStyle w:val="None"/>
          <w:rFonts w:ascii="Arial" w:cs="Arial" w:hAnsi="Arial" w:eastAsia="Arial"/>
          <w:outline w:val="0"/>
          <w:color w:val="222222"/>
          <w:sz w:val="26"/>
          <w:szCs w:val="26"/>
          <w:u w:color="222222"/>
          <w:shd w:val="clear" w:color="auto" w:fill="ffffff"/>
          <w14:textFill>
            <w14:solidFill>
              <w14:srgbClr w14:val="222222"/>
            </w14:solidFill>
          </w14:textFill>
        </w:rPr>
      </w:pPr>
    </w:p>
    <w:p>
      <w:pPr>
        <w:pStyle w:val="Default"/>
        <w:spacing w:before="0" w:line="240" w:lineRule="auto"/>
        <w:rPr>
          <w:rStyle w:val="None"/>
          <w:rFonts w:ascii="Arial" w:cs="Arial" w:hAnsi="Arial" w:eastAsia="Arial"/>
          <w:outline w:val="0"/>
          <w:color w:val="222222"/>
          <w:sz w:val="26"/>
          <w:szCs w:val="26"/>
          <w:u w:color="222222"/>
          <w:shd w:val="clear" w:color="auto" w:fill="ffffff"/>
          <w14:textFill>
            <w14:solidFill>
              <w14:srgbClr w14:val="222222"/>
            </w14:solidFill>
          </w14:textFill>
        </w:rPr>
      </w:pPr>
      <w:r>
        <w:rPr>
          <w:rStyle w:val="None"/>
          <w:rFonts w:ascii="Arial" w:hAnsi="Arial"/>
          <w:outline w:val="0"/>
          <w:color w:val="222222"/>
          <w:sz w:val="26"/>
          <w:szCs w:val="26"/>
          <w:u w:color="222222"/>
          <w:shd w:val="clear" w:color="auto" w:fill="ffffff"/>
          <w:rtl w:val="0"/>
          <w:lang w:val="en-US"/>
          <w14:textFill>
            <w14:solidFill>
              <w14:srgbClr w14:val="222222"/>
            </w14:solidFill>
          </w14:textFill>
        </w:rPr>
        <w:t>Williams, A. and Wainwright, N. (2016) A new pedagogical model for adventure in the curriculum: part two</w:t>
      </w:r>
      <w:r>
        <w:rPr>
          <w:rStyle w:val="None"/>
          <w:rFonts w:ascii="Arial" w:hAnsi="Arial" w:hint="default"/>
          <w:outline w:val="0"/>
          <w:color w:val="222222"/>
          <w:sz w:val="26"/>
          <w:szCs w:val="26"/>
          <w:u w:color="222222"/>
          <w:shd w:val="clear" w:color="auto" w:fill="ffffff"/>
          <w:rtl w:val="0"/>
          <w:lang w:val="en-US"/>
          <w14:textFill>
            <w14:solidFill>
              <w14:srgbClr w14:val="222222"/>
            </w14:solidFill>
          </w14:textFill>
        </w:rPr>
        <w:t>–</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outlining the model.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Physical Education and Sport Pedagogy</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21</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(6), pp.589-602.</w:t>
      </w:r>
    </w:p>
    <w:p>
      <w:pPr>
        <w:pStyle w:val="Default"/>
        <w:spacing w:before="0" w:line="240" w:lineRule="auto"/>
        <w:rPr>
          <w:rStyle w:val="None"/>
          <w:rFonts w:ascii="Arial" w:cs="Arial" w:hAnsi="Arial" w:eastAsia="Arial"/>
          <w:outline w:val="0"/>
          <w:color w:val="222222"/>
          <w:sz w:val="26"/>
          <w:szCs w:val="26"/>
          <w:u w:color="222222"/>
          <w:shd w:val="clear" w:color="auto" w:fill="ffffff"/>
          <w14:textFill>
            <w14:solidFill>
              <w14:srgbClr w14:val="222222"/>
            </w14:solidFill>
          </w14:textFill>
        </w:rPr>
      </w:pPr>
    </w:p>
    <w:p>
      <w:pPr>
        <w:pStyle w:val="Default"/>
        <w:spacing w:before="0" w:line="240" w:lineRule="auto"/>
        <w:rPr>
          <w:rStyle w:val="None"/>
          <w:rFonts w:ascii="Arial" w:cs="Arial" w:hAnsi="Arial" w:eastAsia="Arial"/>
          <w:outline w:val="0"/>
          <w:color w:val="222222"/>
          <w:sz w:val="26"/>
          <w:szCs w:val="26"/>
          <w:u w:color="222222"/>
          <w:shd w:val="clear" w:color="auto" w:fill="ffffff"/>
          <w14:textFill>
            <w14:solidFill>
              <w14:srgbClr w14:val="222222"/>
            </w14:solidFill>
          </w14:textFill>
        </w:rPr>
      </w:pP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Welsh Government (2022).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 xml:space="preserve">Curriculum for Wales </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Available at:</w:t>
      </w:r>
      <w:r>
        <w:rPr>
          <w:rStyle w:val="Hyperlink.1"/>
        </w:rPr>
        <w:fldChar w:fldCharType="begin" w:fldLock="0"/>
      </w:r>
      <w:r>
        <w:rPr>
          <w:rStyle w:val="Hyperlink.1"/>
        </w:rPr>
        <w:instrText xml:space="preserve"> HYPERLINK "https://hwb.gov.wales/curriculum-for-wales"</w:instrText>
      </w:r>
      <w:r>
        <w:rPr>
          <w:rStyle w:val="Hyperlink.1"/>
        </w:rPr>
        <w:fldChar w:fldCharType="separate" w:fldLock="0"/>
      </w:r>
      <w:r>
        <w:rPr>
          <w:rStyle w:val="Hyperlink.1"/>
          <w:rtl w:val="0"/>
          <w:lang w:val="en-US"/>
        </w:rPr>
        <w:t>https://hwb.gov.wales/curriculum-for-wales</w:t>
      </w:r>
      <w:r>
        <w:rPr/>
        <w:fldChar w:fldCharType="end" w:fldLock="0"/>
      </w: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 (Accessed on: 10th December 2022)</w:t>
      </w:r>
    </w:p>
    <w:p>
      <w:pPr>
        <w:pStyle w:val="Default"/>
        <w:spacing w:before="0" w:line="240" w:lineRule="auto"/>
        <w:rPr>
          <w:rStyle w:val="None"/>
          <w:rFonts w:ascii="Arial" w:cs="Arial" w:hAnsi="Arial" w:eastAsia="Arial"/>
          <w:outline w:val="0"/>
          <w:color w:val="222222"/>
          <w:sz w:val="26"/>
          <w:szCs w:val="26"/>
          <w:u w:color="222222"/>
          <w:shd w:val="clear" w:color="auto" w:fill="ffffff"/>
          <w14:textFill>
            <w14:solidFill>
              <w14:srgbClr w14:val="222222"/>
            </w14:solidFill>
          </w14:textFill>
        </w:rPr>
      </w:pPr>
    </w:p>
    <w:p>
      <w:pPr>
        <w:pStyle w:val="Default"/>
        <w:spacing w:before="0" w:line="240" w:lineRule="auto"/>
        <w:rPr>
          <w:rStyle w:val="None"/>
          <w:rFonts w:ascii="Arial" w:cs="Arial" w:hAnsi="Arial" w:eastAsia="Arial"/>
          <w:outline w:val="0"/>
          <w:color w:val="222222"/>
          <w:sz w:val="26"/>
          <w:szCs w:val="26"/>
          <w:u w:color="222222"/>
          <w:shd w:val="clear" w:color="auto" w:fill="ffffff"/>
          <w14:textFill>
            <w14:solidFill>
              <w14:srgbClr w14:val="222222"/>
            </w14:solidFill>
          </w14:textFill>
        </w:rPr>
      </w:pP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Whitehead, M. (2013) Definition of physical literacy and clarification of related issues.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ICSSPE Bulletin</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 xml:space="preserve">, </w:t>
      </w:r>
      <w:r>
        <w:rPr>
          <w:rStyle w:val="None"/>
          <w:rFonts w:ascii="Arial" w:hAnsi="Arial"/>
          <w:i w:val="1"/>
          <w:iCs w:val="1"/>
          <w:outline w:val="0"/>
          <w:color w:val="222222"/>
          <w:sz w:val="26"/>
          <w:szCs w:val="26"/>
          <w:u w:color="222222"/>
          <w:shd w:val="clear" w:color="auto" w:fill="ffffff"/>
          <w:rtl w:val="0"/>
          <w:lang w:val="en-US"/>
          <w14:textFill>
            <w14:solidFill>
              <w14:srgbClr w14:val="222222"/>
            </w14:solidFill>
          </w14:textFill>
        </w:rPr>
        <w:t>65</w:t>
      </w:r>
      <w:r>
        <w:rPr>
          <w:rStyle w:val="None"/>
          <w:rFonts w:ascii="Arial" w:hAnsi="Arial"/>
          <w:outline w:val="0"/>
          <w:color w:val="222222"/>
          <w:sz w:val="26"/>
          <w:szCs w:val="26"/>
          <w:u w:color="222222"/>
          <w:shd w:val="clear" w:color="auto" w:fill="ffffff"/>
          <w:rtl w:val="0"/>
          <w:lang w:val="en-US"/>
          <w14:textFill>
            <w14:solidFill>
              <w14:srgbClr w14:val="222222"/>
            </w14:solidFill>
          </w14:textFill>
        </w:rPr>
        <w:t>(1.2).</w:t>
      </w:r>
    </w:p>
    <w:p>
      <w:pPr>
        <w:pStyle w:val="Body A"/>
        <w:rPr>
          <w:rStyle w:val="None"/>
          <w:rFonts w:ascii="Arial" w:cs="Arial" w:hAnsi="Arial" w:eastAsia="Arial"/>
        </w:rPr>
      </w:pPr>
    </w:p>
    <w:p>
      <w:pPr>
        <w:pStyle w:val="Body A"/>
        <w:rPr>
          <w:rStyle w:val="None"/>
          <w:rFonts w:ascii="Arial" w:cs="Arial" w:hAnsi="Arial" w:eastAsia="Arial"/>
        </w:rPr>
      </w:pPr>
    </w:p>
    <w:p>
      <w:pPr>
        <w:pStyle w:val="Body A"/>
        <w:rPr>
          <w:rStyle w:val="None"/>
          <w:rFonts w:ascii="Arial" w:cs="Arial" w:hAnsi="Arial" w:eastAsia="Arial"/>
        </w:rPr>
      </w:pPr>
      <w:r>
        <w:rPr>
          <w:rStyle w:val="None"/>
          <w:rFonts w:ascii="Arial" w:hAnsi="Arial"/>
          <w:rtl w:val="0"/>
          <w:lang w:val="en-US"/>
        </w:rPr>
        <w:t>Appendices:</w:t>
      </w:r>
    </w:p>
    <w:p>
      <w:pPr>
        <w:pStyle w:val="Body A"/>
        <w:rPr>
          <w:rStyle w:val="None"/>
          <w:rFonts w:ascii="Arial" w:cs="Arial" w:hAnsi="Arial" w:eastAsia="Arial"/>
        </w:rPr>
      </w:pPr>
    </w:p>
    <w:p>
      <w:pPr>
        <w:pStyle w:val="Body A"/>
        <w:rPr>
          <w:rStyle w:val="None"/>
          <w:rFonts w:ascii="Arial" w:cs="Arial" w:hAnsi="Arial" w:eastAsia="Arial"/>
        </w:rPr>
      </w:pPr>
      <w:r>
        <w:rPr>
          <w:rStyle w:val="None"/>
          <w:rFonts w:ascii="Arial" w:hAnsi="Arial"/>
          <w:rtl w:val="0"/>
          <w:lang w:val="en-US"/>
        </w:rPr>
        <w:t xml:space="preserve">Figure 1:  Image showing Man-made mountain bike trail/slope </w:t>
      </w:r>
    </w:p>
    <w:p>
      <w:pPr>
        <w:pStyle w:val="Body A"/>
        <w:rPr>
          <w:rStyle w:val="None"/>
          <w:rFonts w:ascii="Arial" w:cs="Arial" w:hAnsi="Arial" w:eastAsia="Arial"/>
        </w:rPr>
      </w:pPr>
      <w:r>
        <w:rPr>
          <w:rStyle w:val="None"/>
          <w:rFonts w:ascii="Arial" w:cs="Arial" w:hAnsi="Arial" w:eastAsia="Arial"/>
        </w:rPr>
        <w:drawing xmlns:a="http://schemas.openxmlformats.org/drawingml/2006/main">
          <wp:anchor distT="152400" distB="152400" distL="152400" distR="152400" simplePos="0" relativeHeight="251659264" behindDoc="0" locked="0" layoutInCell="1" allowOverlap="1">
            <wp:simplePos x="0" y="0"/>
            <wp:positionH relativeFrom="page">
              <wp:posOffset>1326478</wp:posOffset>
            </wp:positionH>
            <wp:positionV relativeFrom="line">
              <wp:posOffset>218438</wp:posOffset>
            </wp:positionV>
            <wp:extent cx="3492500" cy="2324100"/>
            <wp:effectExtent l="0" t="0" r="0" b="0"/>
            <wp:wrapTopAndBottom distT="152400" distB="152400"/>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4">
                      <a:extLst/>
                    </a:blip>
                    <a:stretch>
                      <a:fillRect/>
                    </a:stretch>
                  </pic:blipFill>
                  <pic:spPr>
                    <a:xfrm>
                      <a:off x="0" y="0"/>
                      <a:ext cx="3492500" cy="2324100"/>
                    </a:xfrm>
                    <a:prstGeom prst="rect">
                      <a:avLst/>
                    </a:prstGeom>
                    <a:ln w="12700" cap="flat">
                      <a:noFill/>
                      <a:miter lim="400000"/>
                    </a:ln>
                    <a:effectLst/>
                  </pic:spPr>
                </pic:pic>
              </a:graphicData>
            </a:graphic>
          </wp:anchor>
        </w:drawing>
      </w:r>
    </w:p>
    <w:p>
      <w:pPr>
        <w:pStyle w:val="Body A"/>
        <w:rPr>
          <w:rStyle w:val="None"/>
          <w:rFonts w:ascii="Arial" w:cs="Arial" w:hAnsi="Arial" w:eastAsia="Arial"/>
        </w:rPr>
      </w:pPr>
      <w:r>
        <w:rPr>
          <w:rStyle w:val="None"/>
          <w:rFonts w:ascii="Arial" w:hAnsi="Arial"/>
          <w:rtl w:val="0"/>
          <w:lang w:val="en-US"/>
        </w:rPr>
        <w:t>Figure 2: The image shows the plan for a green school approach (Allotments and gardens)</w:t>
      </w:r>
    </w:p>
    <w:p>
      <w:pPr>
        <w:pStyle w:val="Body A"/>
        <w:rPr>
          <w:rStyle w:val="None"/>
          <w:rFonts w:ascii="Arial" w:cs="Arial" w:hAnsi="Arial" w:eastAsia="Arial"/>
        </w:rPr>
      </w:pPr>
    </w:p>
    <w:p>
      <w:pPr>
        <w:pStyle w:val="Default"/>
        <w:spacing w:before="0" w:line="240" w:lineRule="auto"/>
        <w:rPr>
          <w:rStyle w:val="None"/>
          <w:rFonts w:ascii="Times Roman" w:cs="Times Roman" w:hAnsi="Times Roman" w:eastAsia="Times Roman"/>
          <w:sz w:val="32"/>
          <w:szCs w:val="32"/>
        </w:rPr>
      </w:pPr>
      <w:r>
        <w:rPr>
          <w:rStyle w:val="None"/>
          <w:rFonts w:ascii="Times Roman" w:hAnsi="Times Roman" w:hint="default"/>
          <w:sz w:val="32"/>
          <w:szCs w:val="32"/>
          <w:rtl w:val="0"/>
          <w:lang w:val="en-US"/>
        </w:rPr>
        <w:t> </w:t>
      </w:r>
      <w:r>
        <w:rPr>
          <w:rStyle w:val="None"/>
          <w:rFonts w:ascii="Times Roman" w:cs="Times Roman" w:hAnsi="Times Roman" w:eastAsia="Times Roman"/>
          <w:sz w:val="32"/>
          <w:szCs w:val="32"/>
        </w:rPr>
        <w:drawing xmlns:a="http://schemas.openxmlformats.org/drawingml/2006/main">
          <wp:inline distT="0" distB="0" distL="0" distR="0">
            <wp:extent cx="3940653" cy="2657793"/>
            <wp:effectExtent l="0" t="0" r="0" b="0"/>
            <wp:docPr id="1073741826" name="officeArt object" descr="Image"/>
            <wp:cNvGraphicFramePr/>
            <a:graphic xmlns:a="http://schemas.openxmlformats.org/drawingml/2006/main">
              <a:graphicData uri="http://schemas.openxmlformats.org/drawingml/2006/picture">
                <pic:pic xmlns:pic="http://schemas.openxmlformats.org/drawingml/2006/picture">
                  <pic:nvPicPr>
                    <pic:cNvPr id="1073741826" name="Image" descr="Image"/>
                    <pic:cNvPicPr>
                      <a:picLocks noChangeAspect="1"/>
                    </pic:cNvPicPr>
                  </pic:nvPicPr>
                  <pic:blipFill>
                    <a:blip r:embed="rId5">
                      <a:extLst/>
                    </a:blip>
                    <a:stretch>
                      <a:fillRect/>
                    </a:stretch>
                  </pic:blipFill>
                  <pic:spPr>
                    <a:xfrm>
                      <a:off x="0" y="0"/>
                      <a:ext cx="3940653" cy="2657793"/>
                    </a:xfrm>
                    <a:prstGeom prst="rect">
                      <a:avLst/>
                    </a:prstGeom>
                    <a:ln w="12700" cap="flat">
                      <a:noFill/>
                      <a:miter lim="400000"/>
                    </a:ln>
                    <a:effectLst/>
                  </pic:spPr>
                </pic:pic>
              </a:graphicData>
            </a:graphic>
          </wp:inline>
        </w:drawing>
      </w:r>
    </w:p>
    <w:p>
      <w:pPr>
        <w:pStyle w:val="Body A"/>
        <w:rPr>
          <w:rStyle w:val="None"/>
          <w:rFonts w:ascii="Arial" w:cs="Arial" w:hAnsi="Arial" w:eastAsia="Arial"/>
        </w:rPr>
      </w:pPr>
    </w:p>
    <w:p>
      <w:pPr>
        <w:pStyle w:val="Body A"/>
        <w:rPr>
          <w:rStyle w:val="None"/>
          <w:rFonts w:ascii="Arial" w:cs="Arial" w:hAnsi="Arial" w:eastAsia="Arial"/>
        </w:rPr>
      </w:pPr>
    </w:p>
    <w:p>
      <w:pPr>
        <w:pStyle w:val="Body A"/>
        <w:rPr>
          <w:rStyle w:val="None"/>
          <w:rFonts w:ascii="Arial" w:cs="Arial" w:hAnsi="Arial" w:eastAsia="Arial"/>
        </w:rPr>
      </w:pPr>
      <w:r>
        <w:rPr>
          <w:rStyle w:val="None"/>
          <w:rFonts w:ascii="Arial" w:hAnsi="Arial"/>
          <w:rtl w:val="0"/>
          <w:lang w:val="en-US"/>
        </w:rPr>
        <w:t>Figure 3: The image shows a climbing wall</w:t>
      </w:r>
    </w:p>
    <w:p>
      <w:pPr>
        <w:pStyle w:val="Body A"/>
        <w:rPr>
          <w:rStyle w:val="None"/>
          <w:rFonts w:ascii="Arial" w:cs="Arial" w:hAnsi="Arial" w:eastAsia="Arial"/>
        </w:rPr>
      </w:pPr>
      <w:r>
        <w:rPr>
          <w:rStyle w:val="None"/>
          <w:rFonts w:ascii="Arial" w:cs="Arial" w:hAnsi="Arial" w:eastAsia="Arial"/>
        </w:rPr>
        <w:drawing xmlns:a="http://schemas.openxmlformats.org/drawingml/2006/main">
          <wp:anchor distT="152400" distB="152400" distL="152400" distR="152400" simplePos="0" relativeHeight="251660288" behindDoc="0" locked="0" layoutInCell="1" allowOverlap="1">
            <wp:simplePos x="0" y="0"/>
            <wp:positionH relativeFrom="page">
              <wp:posOffset>1748118</wp:posOffset>
            </wp:positionH>
            <wp:positionV relativeFrom="line">
              <wp:posOffset>152400</wp:posOffset>
            </wp:positionV>
            <wp:extent cx="4051300" cy="2006600"/>
            <wp:effectExtent l="0" t="0" r="0" b="0"/>
            <wp:wrapTopAndBottom distT="152400" distB="152400"/>
            <wp:docPr id="1073741827" name="officeArt object" descr="Image"/>
            <wp:cNvGraphicFramePr/>
            <a:graphic xmlns:a="http://schemas.openxmlformats.org/drawingml/2006/main">
              <a:graphicData uri="http://schemas.openxmlformats.org/drawingml/2006/picture">
                <pic:pic xmlns:pic="http://schemas.openxmlformats.org/drawingml/2006/picture">
                  <pic:nvPicPr>
                    <pic:cNvPr id="1073741827" name="Image" descr="Image"/>
                    <pic:cNvPicPr>
                      <a:picLocks noChangeAspect="1"/>
                    </pic:cNvPicPr>
                  </pic:nvPicPr>
                  <pic:blipFill>
                    <a:blip r:embed="rId6">
                      <a:extLst/>
                    </a:blip>
                    <a:stretch>
                      <a:fillRect/>
                    </a:stretch>
                  </pic:blipFill>
                  <pic:spPr>
                    <a:xfrm>
                      <a:off x="0" y="0"/>
                      <a:ext cx="4051300" cy="2006600"/>
                    </a:xfrm>
                    <a:prstGeom prst="rect">
                      <a:avLst/>
                    </a:prstGeom>
                    <a:ln w="12700" cap="flat">
                      <a:noFill/>
                      <a:miter lim="400000"/>
                    </a:ln>
                    <a:effectLst/>
                  </pic:spPr>
                </pic:pic>
              </a:graphicData>
            </a:graphic>
          </wp:anchor>
        </w:drawing>
      </w:r>
    </w:p>
    <w:p>
      <w:pPr>
        <w:pStyle w:val="Body A"/>
        <w:rPr>
          <w:rStyle w:val="None"/>
          <w:rFonts w:ascii="Arial" w:cs="Arial" w:hAnsi="Arial" w:eastAsia="Arial"/>
        </w:rPr>
      </w:pPr>
    </w:p>
    <w:p>
      <w:pPr>
        <w:pStyle w:val="Body A"/>
        <w:rPr>
          <w:rStyle w:val="None"/>
          <w:rFonts w:ascii="Arial" w:cs="Arial" w:hAnsi="Arial" w:eastAsia="Arial"/>
        </w:rPr>
      </w:pPr>
    </w:p>
    <w:p>
      <w:pPr>
        <w:pStyle w:val="Body A"/>
        <w:rPr>
          <w:rStyle w:val="None"/>
          <w:rFonts w:ascii="Arial" w:cs="Arial" w:hAnsi="Arial" w:eastAsia="Arial"/>
        </w:rPr>
      </w:pPr>
    </w:p>
    <w:p>
      <w:pPr>
        <w:pStyle w:val="Body A"/>
        <w:rPr>
          <w:rStyle w:val="None"/>
          <w:rFonts w:ascii="Arial" w:cs="Arial" w:hAnsi="Arial" w:eastAsia="Arial"/>
        </w:rPr>
      </w:pPr>
    </w:p>
    <w:p>
      <w:pPr>
        <w:pStyle w:val="Body A"/>
        <w:rPr>
          <w:rStyle w:val="None"/>
          <w:rFonts w:ascii="Arial" w:cs="Arial" w:hAnsi="Arial" w:eastAsia="Arial"/>
        </w:rPr>
      </w:pPr>
    </w:p>
    <w:p>
      <w:pPr>
        <w:pStyle w:val="Body A"/>
        <w:rPr>
          <w:rStyle w:val="None"/>
          <w:rFonts w:ascii="Arial" w:cs="Arial" w:hAnsi="Arial" w:eastAsia="Arial"/>
        </w:rPr>
      </w:pPr>
    </w:p>
    <w:p>
      <w:pPr>
        <w:pStyle w:val="Body A"/>
        <w:rPr>
          <w:rStyle w:val="None"/>
          <w:rFonts w:ascii="Arial" w:cs="Arial" w:hAnsi="Arial" w:eastAsia="Arial"/>
        </w:rPr>
      </w:pPr>
    </w:p>
    <w:p>
      <w:pPr>
        <w:pStyle w:val="Body A"/>
        <w:rPr>
          <w:rStyle w:val="None"/>
          <w:rFonts w:ascii="Arial" w:cs="Arial" w:hAnsi="Arial" w:eastAsia="Arial"/>
        </w:rPr>
      </w:pPr>
    </w:p>
    <w:p>
      <w:pPr>
        <w:pStyle w:val="Body A"/>
        <w:rPr>
          <w:rStyle w:val="None"/>
          <w:rFonts w:ascii="Arial" w:cs="Arial" w:hAnsi="Arial" w:eastAsia="Arial"/>
        </w:rPr>
      </w:pPr>
    </w:p>
    <w:p>
      <w:pPr>
        <w:pStyle w:val="Body A"/>
        <w:rPr>
          <w:rStyle w:val="None"/>
          <w:rFonts w:ascii="Arial" w:cs="Arial" w:hAnsi="Arial" w:eastAsia="Arial"/>
        </w:rPr>
      </w:pPr>
    </w:p>
    <w:p>
      <w:pPr>
        <w:pStyle w:val="Body A"/>
        <w:rPr>
          <w:rStyle w:val="None"/>
          <w:rFonts w:ascii="Arial" w:cs="Arial" w:hAnsi="Arial" w:eastAsia="Arial"/>
        </w:rPr>
      </w:pPr>
    </w:p>
    <w:p>
      <w:pPr>
        <w:pStyle w:val="Body A"/>
        <w:rPr>
          <w:rStyle w:val="None"/>
          <w:rFonts w:ascii="Arial" w:cs="Arial" w:hAnsi="Arial" w:eastAsia="Arial"/>
        </w:rPr>
      </w:pPr>
    </w:p>
    <w:p>
      <w:pPr>
        <w:pStyle w:val="Body A"/>
        <w:rPr>
          <w:rStyle w:val="None"/>
          <w:rFonts w:ascii="Arial" w:cs="Arial" w:hAnsi="Arial" w:eastAsia="Arial"/>
        </w:rPr>
      </w:pPr>
    </w:p>
    <w:p>
      <w:pPr>
        <w:pStyle w:val="Body A"/>
        <w:rPr>
          <w:rStyle w:val="None"/>
          <w:rFonts w:ascii="Arial" w:cs="Arial" w:hAnsi="Arial" w:eastAsia="Arial"/>
        </w:rPr>
      </w:pPr>
    </w:p>
    <w:p>
      <w:pPr>
        <w:pStyle w:val="Body A"/>
        <w:rPr>
          <w:rStyle w:val="None"/>
          <w:rFonts w:ascii="Arial" w:cs="Arial" w:hAnsi="Arial" w:eastAsia="Arial"/>
        </w:rPr>
      </w:pPr>
    </w:p>
    <w:p>
      <w:pPr>
        <w:pStyle w:val="Body A"/>
        <w:rPr>
          <w:rStyle w:val="None"/>
          <w:rFonts w:ascii="Arial" w:cs="Arial" w:hAnsi="Arial" w:eastAsia="Arial"/>
        </w:rPr>
      </w:pPr>
    </w:p>
    <w:p>
      <w:pPr>
        <w:pStyle w:val="Body A"/>
        <w:rPr>
          <w:rStyle w:val="None"/>
          <w:rFonts w:ascii="Arial" w:cs="Arial" w:hAnsi="Arial" w:eastAsia="Arial"/>
        </w:rPr>
      </w:pPr>
    </w:p>
    <w:p>
      <w:pPr>
        <w:pStyle w:val="Body A"/>
        <w:rPr>
          <w:rStyle w:val="None"/>
          <w:rFonts w:ascii="Arial" w:cs="Arial" w:hAnsi="Arial" w:eastAsia="Arial"/>
        </w:rPr>
      </w:pPr>
    </w:p>
    <w:p>
      <w:pPr>
        <w:pStyle w:val="Body A"/>
        <w:rPr>
          <w:rStyle w:val="None"/>
          <w:rFonts w:ascii="Arial" w:cs="Arial" w:hAnsi="Arial" w:eastAsia="Arial"/>
        </w:rPr>
      </w:pPr>
    </w:p>
    <w:p>
      <w:pPr>
        <w:pStyle w:val="Body A"/>
        <w:rPr>
          <w:rStyle w:val="None"/>
          <w:rFonts w:ascii="Arial" w:cs="Arial" w:hAnsi="Arial" w:eastAsia="Arial"/>
        </w:rPr>
      </w:pPr>
    </w:p>
    <w:p>
      <w:pPr>
        <w:pStyle w:val="Body A"/>
      </w:pPr>
      <w:r>
        <w:rPr>
          <w:rStyle w:val="None"/>
          <w:rFonts w:ascii="Arial" w:cs="Arial" w:hAnsi="Arial" w:eastAsia="Arial"/>
        </w:rPr>
      </w:r>
    </w:p>
    <w:sectPr>
      <w:headerReference w:type="default" r:id="rId7"/>
      <w:footerReference w:type="default" r:id="rId8"/>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imes Roma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A"/>
      <w:tabs>
        <w:tab w:val="center" w:pos="4819"/>
        <w:tab w:val="right" w:pos="9612"/>
        <w:tab w:val="clear" w:pos="9020"/>
      </w:tabs>
    </w:pPr>
    <w:r>
      <w:rPr>
        <w:rtl w:val="0"/>
        <w:lang w:val="en-US"/>
      </w:rPr>
      <w:t>2000916</w:t>
      <w:tab/>
      <w:t xml:space="preserve"> BMOE6002</w:t>
      <w:tab/>
      <w:t>Jack Starkey</w:t>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A">
    <w:name w:val="Header &amp; Footer A"/>
    <w:next w:val="Header &amp; Footer A"/>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Heading 2">
    <w:name w:val="Heading 2"/>
    <w:next w:val="Body A"/>
    <w:pPr>
      <w:keepNext w:val="1"/>
      <w:keepLines w:val="0"/>
      <w:pageBreakBefore w:val="0"/>
      <w:widowControl w:val="1"/>
      <w:shd w:val="clear" w:color="auto" w:fill="auto"/>
      <w:suppressAutoHyphens w:val="0"/>
      <w:bidi w:val="0"/>
      <w:spacing w:before="0" w:after="0" w:line="240" w:lineRule="auto"/>
      <w:ind w:left="0" w:right="0" w:firstLine="0"/>
      <w:jc w:val="left"/>
      <w:outlineLvl w:val="0"/>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32"/>
      <w:szCs w:val="32"/>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character" w:styleId="None">
    <w:name w:val="None"/>
  </w:style>
  <w:style w:type="character" w:styleId="Hyperlink.0">
    <w:name w:val="Hyperlink.0"/>
    <w:basedOn w:val="None"/>
    <w:next w:val="Hyperlink.0"/>
    <w:rPr>
      <w:rFonts w:ascii="Arial" w:cs="Arial" w:hAnsi="Arial" w:eastAsia="Arial"/>
      <w:u w:val="single"/>
      <w:lang w:val="en-US"/>
    </w:rPr>
  </w:style>
  <w:style w:type="character" w:styleId="Hyperlink.1">
    <w:name w:val="Hyperlink.1"/>
    <w:basedOn w:val="None"/>
    <w:next w:val="Hyperlink.1"/>
    <w:rPr>
      <w:rFonts w:ascii="Arial" w:cs="Arial" w:hAnsi="Arial" w:eastAsia="Arial"/>
      <w:outline w:val="0"/>
      <w:color w:val="222222"/>
      <w:sz w:val="26"/>
      <w:szCs w:val="26"/>
      <w:u w:val="single" w:color="222222"/>
      <w:shd w:val="clear" w:color="auto" w:fill="ffffff"/>
      <w14:textFill>
        <w14:solidFill>
          <w14:srgbClr w14:val="222222"/>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tif"/><Relationship Id="rId5" Type="http://schemas.openxmlformats.org/officeDocument/2006/relationships/image" Target="media/image1.jpeg"/><Relationship Id="rId6" Type="http://schemas.openxmlformats.org/officeDocument/2006/relationships/image" Target="media/image2.tif"/><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