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1E4F0" w14:textId="77777777" w:rsidR="00E0626E" w:rsidRDefault="00E0626E" w:rsidP="009B1048">
      <w:pPr>
        <w:spacing w:after="0" w:line="360" w:lineRule="auto"/>
        <w:jc w:val="both"/>
        <w:rPr>
          <w:rFonts w:eastAsia="Times New Roman" w:cstheme="minorHAnsi"/>
          <w:b/>
          <w:bCs/>
          <w:szCs w:val="20"/>
          <w:lang w:eastAsia="en-GB"/>
        </w:rPr>
      </w:pPr>
    </w:p>
    <w:p w14:paraId="72D000E0" w14:textId="77777777" w:rsidR="00E0626E" w:rsidRDefault="00E0626E" w:rsidP="009B1048">
      <w:pPr>
        <w:spacing w:after="0" w:line="360" w:lineRule="auto"/>
        <w:jc w:val="both"/>
        <w:rPr>
          <w:rFonts w:eastAsia="Times New Roman" w:cstheme="minorHAnsi"/>
          <w:b/>
          <w:bCs/>
          <w:szCs w:val="20"/>
          <w:lang w:eastAsia="en-GB"/>
        </w:rPr>
      </w:pPr>
    </w:p>
    <w:p w14:paraId="15885EB2" w14:textId="77777777" w:rsidR="00E0626E" w:rsidRDefault="00E0626E" w:rsidP="009B1048">
      <w:pPr>
        <w:spacing w:after="0" w:line="360" w:lineRule="auto"/>
        <w:jc w:val="both"/>
        <w:rPr>
          <w:rFonts w:eastAsia="Times New Roman" w:cstheme="minorHAnsi"/>
          <w:b/>
          <w:bCs/>
          <w:szCs w:val="20"/>
          <w:lang w:eastAsia="en-GB"/>
        </w:rPr>
      </w:pPr>
    </w:p>
    <w:p w14:paraId="073A8EB6" w14:textId="77777777" w:rsidR="00E0626E" w:rsidRDefault="00E0626E" w:rsidP="009B1048">
      <w:pPr>
        <w:spacing w:after="0" w:line="360" w:lineRule="auto"/>
        <w:jc w:val="both"/>
        <w:rPr>
          <w:rFonts w:eastAsia="Times New Roman" w:cstheme="minorHAnsi"/>
          <w:b/>
          <w:bCs/>
          <w:szCs w:val="20"/>
          <w:lang w:eastAsia="en-GB"/>
        </w:rPr>
      </w:pPr>
    </w:p>
    <w:p w14:paraId="7923B2E2" w14:textId="2BA5805F" w:rsidR="009B1048" w:rsidRPr="009B1048" w:rsidRDefault="009B1048" w:rsidP="009B1048">
      <w:pPr>
        <w:spacing w:after="0" w:line="360" w:lineRule="auto"/>
        <w:jc w:val="both"/>
        <w:rPr>
          <w:rFonts w:eastAsia="Times New Roman" w:cstheme="minorHAnsi"/>
          <w:b/>
          <w:bCs/>
          <w:szCs w:val="20"/>
          <w:lang w:eastAsia="en-GB"/>
        </w:rPr>
      </w:pPr>
      <w:r w:rsidRPr="009B1048">
        <w:rPr>
          <w:rFonts w:eastAsia="Times New Roman" w:cstheme="minorHAnsi"/>
          <w:b/>
          <w:bCs/>
          <w:szCs w:val="20"/>
          <w:lang w:eastAsia="en-GB"/>
        </w:rPr>
        <w:t xml:space="preserve">Student Name: </w:t>
      </w:r>
      <w:r w:rsidRPr="009B1048">
        <w:rPr>
          <w:rFonts w:eastAsia="Times New Roman" w:cstheme="minorHAnsi"/>
          <w:b/>
          <w:bCs/>
          <w:szCs w:val="20"/>
          <w:lang w:eastAsia="en-GB"/>
        </w:rPr>
        <w:tab/>
      </w:r>
      <w:r w:rsidRPr="009B1048">
        <w:rPr>
          <w:rFonts w:eastAsia="Times New Roman" w:cstheme="minorHAnsi"/>
          <w:b/>
          <w:bCs/>
          <w:szCs w:val="20"/>
          <w:lang w:eastAsia="en-GB"/>
        </w:rPr>
        <w:tab/>
        <w:t>Ceri Davies</w:t>
      </w:r>
    </w:p>
    <w:p w14:paraId="69928382" w14:textId="640328DE" w:rsidR="009B1048" w:rsidRPr="009B1048" w:rsidRDefault="009B1048" w:rsidP="009B1048">
      <w:pPr>
        <w:spacing w:after="0" w:line="360" w:lineRule="auto"/>
        <w:jc w:val="both"/>
        <w:rPr>
          <w:rFonts w:eastAsia="Times New Roman" w:cstheme="minorHAnsi"/>
          <w:b/>
          <w:bCs/>
          <w:szCs w:val="20"/>
          <w:lang w:eastAsia="en-GB"/>
        </w:rPr>
      </w:pPr>
      <w:r w:rsidRPr="009B1048">
        <w:rPr>
          <w:rFonts w:eastAsia="Times New Roman" w:cstheme="minorHAnsi"/>
          <w:b/>
          <w:bCs/>
          <w:szCs w:val="20"/>
          <w:lang w:eastAsia="en-GB"/>
        </w:rPr>
        <w:t xml:space="preserve">Student Number: </w:t>
      </w:r>
      <w:r w:rsidRPr="009B1048">
        <w:rPr>
          <w:rFonts w:eastAsia="Times New Roman" w:cstheme="minorHAnsi"/>
          <w:b/>
          <w:bCs/>
          <w:szCs w:val="20"/>
          <w:lang w:eastAsia="en-GB"/>
        </w:rPr>
        <w:tab/>
      </w:r>
      <w:r>
        <w:rPr>
          <w:rFonts w:eastAsia="Times New Roman" w:cstheme="minorHAnsi"/>
          <w:b/>
          <w:bCs/>
          <w:szCs w:val="20"/>
          <w:lang w:eastAsia="en-GB"/>
        </w:rPr>
        <w:t>2204751</w:t>
      </w:r>
    </w:p>
    <w:p w14:paraId="34CBF25C" w14:textId="77777777" w:rsidR="009B1048" w:rsidRPr="009B1048" w:rsidRDefault="009B1048" w:rsidP="009B1048">
      <w:pPr>
        <w:spacing w:after="0" w:line="360" w:lineRule="auto"/>
        <w:jc w:val="both"/>
        <w:rPr>
          <w:rFonts w:eastAsia="Times New Roman" w:cstheme="minorHAnsi"/>
          <w:b/>
          <w:bCs/>
          <w:szCs w:val="20"/>
          <w:lang w:eastAsia="en-GB"/>
        </w:rPr>
      </w:pPr>
    </w:p>
    <w:p w14:paraId="1B7EAED1" w14:textId="77777777" w:rsidR="009B1048" w:rsidRPr="009B1048" w:rsidRDefault="009B1048" w:rsidP="009B1048">
      <w:pPr>
        <w:spacing w:after="0" w:line="360" w:lineRule="auto"/>
        <w:ind w:left="2160" w:hanging="2160"/>
        <w:jc w:val="both"/>
        <w:rPr>
          <w:rFonts w:eastAsia="Times New Roman" w:cstheme="minorHAnsi"/>
          <w:b/>
          <w:bCs/>
          <w:szCs w:val="20"/>
          <w:u w:val="single"/>
          <w:lang w:eastAsia="en-GB"/>
        </w:rPr>
      </w:pPr>
      <w:r w:rsidRPr="009B1048">
        <w:rPr>
          <w:rFonts w:eastAsia="Times New Roman" w:cstheme="minorHAnsi"/>
          <w:b/>
          <w:bCs/>
          <w:szCs w:val="20"/>
          <w:lang w:eastAsia="en-GB"/>
        </w:rPr>
        <w:t xml:space="preserve">Assignment Title: </w:t>
      </w:r>
      <w:r w:rsidRPr="009B1048">
        <w:rPr>
          <w:rFonts w:eastAsia="Times New Roman" w:cstheme="minorHAnsi"/>
          <w:b/>
          <w:bCs/>
          <w:szCs w:val="20"/>
          <w:lang w:eastAsia="en-GB"/>
        </w:rPr>
        <w:tab/>
        <w:t>A critical evaluation and the identification of next teaching and learning steps focusing on a case study of an individual learner or a group of learners, based on an observed critical incident.</w:t>
      </w:r>
    </w:p>
    <w:p w14:paraId="0F1D8EFD" w14:textId="660538ED" w:rsidR="009B1048" w:rsidRPr="009B1048" w:rsidRDefault="009B1048" w:rsidP="009B1048">
      <w:pPr>
        <w:spacing w:after="0" w:line="360" w:lineRule="auto"/>
        <w:ind w:left="2160" w:hanging="2160"/>
        <w:jc w:val="both"/>
        <w:rPr>
          <w:rFonts w:eastAsia="Times New Roman" w:cstheme="minorHAnsi"/>
          <w:b/>
          <w:bCs/>
          <w:szCs w:val="20"/>
          <w:u w:val="single"/>
          <w:lang w:eastAsia="en-GB"/>
        </w:rPr>
      </w:pPr>
    </w:p>
    <w:p w14:paraId="7C033209" w14:textId="77777777" w:rsidR="009B1048" w:rsidRPr="009B1048" w:rsidRDefault="009B1048" w:rsidP="009B1048">
      <w:pPr>
        <w:spacing w:after="0" w:line="360" w:lineRule="auto"/>
        <w:jc w:val="both"/>
        <w:rPr>
          <w:rFonts w:eastAsia="Times New Roman" w:cstheme="minorHAnsi"/>
          <w:b/>
          <w:bCs/>
          <w:szCs w:val="20"/>
          <w:lang w:eastAsia="en-GB"/>
        </w:rPr>
      </w:pPr>
    </w:p>
    <w:p w14:paraId="21A370F7" w14:textId="1AEFAC0D" w:rsidR="009B1048" w:rsidRPr="009B1048" w:rsidRDefault="009B1048" w:rsidP="009B1048">
      <w:pPr>
        <w:spacing w:after="0" w:line="360" w:lineRule="auto"/>
        <w:jc w:val="both"/>
        <w:rPr>
          <w:rFonts w:eastAsia="Times New Roman" w:cstheme="minorHAnsi"/>
          <w:b/>
          <w:bCs/>
          <w:szCs w:val="20"/>
          <w:lang w:eastAsia="en-GB"/>
        </w:rPr>
      </w:pPr>
      <w:r>
        <w:rPr>
          <w:rFonts w:eastAsia="Times New Roman" w:cstheme="minorHAnsi"/>
          <w:b/>
          <w:bCs/>
          <w:szCs w:val="20"/>
          <w:lang w:eastAsia="en-GB"/>
        </w:rPr>
        <w:t>Course</w:t>
      </w:r>
      <w:r w:rsidRPr="009B1048">
        <w:rPr>
          <w:rFonts w:eastAsia="Times New Roman" w:cstheme="minorHAnsi"/>
          <w:b/>
          <w:bCs/>
          <w:szCs w:val="20"/>
          <w:lang w:eastAsia="en-GB"/>
        </w:rPr>
        <w:t xml:space="preserve">: </w:t>
      </w:r>
      <w:r w:rsidRPr="009B1048">
        <w:rPr>
          <w:rFonts w:eastAsia="Times New Roman" w:cstheme="minorHAnsi"/>
          <w:b/>
          <w:bCs/>
          <w:szCs w:val="20"/>
          <w:lang w:eastAsia="en-GB"/>
        </w:rPr>
        <w:tab/>
      </w:r>
      <w:r w:rsidRPr="009B1048">
        <w:rPr>
          <w:rFonts w:eastAsia="Times New Roman" w:cstheme="minorHAnsi"/>
          <w:b/>
          <w:bCs/>
          <w:szCs w:val="20"/>
          <w:lang w:eastAsia="en-GB"/>
        </w:rPr>
        <w:tab/>
      </w:r>
      <w:r>
        <w:rPr>
          <w:rFonts w:eastAsia="Times New Roman" w:cstheme="minorHAnsi"/>
          <w:b/>
          <w:bCs/>
          <w:szCs w:val="20"/>
          <w:lang w:eastAsia="en-GB"/>
        </w:rPr>
        <w:t>Primary PGCE</w:t>
      </w:r>
    </w:p>
    <w:p w14:paraId="16318A93" w14:textId="77777777" w:rsidR="009B1048" w:rsidRPr="009B1048" w:rsidRDefault="009B1048" w:rsidP="009B1048">
      <w:pPr>
        <w:spacing w:after="0" w:line="360" w:lineRule="auto"/>
        <w:jc w:val="both"/>
        <w:rPr>
          <w:rFonts w:eastAsia="Times New Roman" w:cstheme="minorHAnsi"/>
          <w:b/>
          <w:bCs/>
          <w:szCs w:val="20"/>
          <w:lang w:eastAsia="en-GB"/>
        </w:rPr>
      </w:pPr>
    </w:p>
    <w:p w14:paraId="059DF0E3" w14:textId="158C1A71" w:rsidR="009B1048" w:rsidRPr="009B1048" w:rsidRDefault="009B1048" w:rsidP="009B1048">
      <w:pPr>
        <w:spacing w:after="0" w:line="360" w:lineRule="auto"/>
        <w:jc w:val="both"/>
        <w:rPr>
          <w:rFonts w:eastAsia="Times New Roman" w:cstheme="minorHAnsi"/>
          <w:b/>
          <w:szCs w:val="20"/>
          <w:lang w:eastAsia="en-GB"/>
        </w:rPr>
      </w:pPr>
      <w:r w:rsidRPr="009B1048">
        <w:rPr>
          <w:rFonts w:eastAsia="Times New Roman" w:cstheme="minorHAnsi"/>
          <w:b/>
          <w:bCs/>
          <w:szCs w:val="20"/>
          <w:lang w:eastAsia="en-GB"/>
        </w:rPr>
        <w:t>Module Name:</w:t>
      </w:r>
      <w:r w:rsidRPr="009B1048">
        <w:rPr>
          <w:rFonts w:eastAsia="Times New Roman" w:cstheme="minorHAnsi"/>
          <w:szCs w:val="20"/>
          <w:lang w:eastAsia="en-GB"/>
        </w:rPr>
        <w:t xml:space="preserve"> </w:t>
      </w:r>
      <w:r w:rsidRPr="009B1048">
        <w:rPr>
          <w:rFonts w:eastAsia="Times New Roman" w:cstheme="minorHAnsi"/>
          <w:szCs w:val="20"/>
          <w:lang w:eastAsia="en-GB"/>
        </w:rPr>
        <w:tab/>
      </w:r>
      <w:r w:rsidRPr="009B1048">
        <w:rPr>
          <w:rFonts w:eastAsia="Times New Roman" w:cstheme="minorHAnsi"/>
          <w:szCs w:val="20"/>
          <w:lang w:eastAsia="en-GB"/>
        </w:rPr>
        <w:tab/>
      </w:r>
      <w:r w:rsidRPr="009B1048">
        <w:rPr>
          <w:rFonts w:eastAsia="Times New Roman" w:cstheme="minorHAnsi"/>
          <w:b/>
          <w:bCs/>
          <w:szCs w:val="20"/>
          <w:lang w:eastAsia="en-GB"/>
        </w:rPr>
        <w:t>ECAD</w:t>
      </w:r>
      <w:r>
        <w:rPr>
          <w:rFonts w:eastAsia="Times New Roman" w:cstheme="minorHAnsi"/>
          <w:szCs w:val="20"/>
          <w:lang w:eastAsia="en-GB"/>
        </w:rPr>
        <w:t xml:space="preserve"> </w:t>
      </w:r>
      <w:r>
        <w:rPr>
          <w:rFonts w:eastAsia="Times New Roman" w:cstheme="minorHAnsi"/>
          <w:b/>
          <w:bCs/>
          <w:szCs w:val="20"/>
          <w:lang w:eastAsia="en-GB"/>
        </w:rPr>
        <w:t>6007: Who am I teaching?</w:t>
      </w:r>
    </w:p>
    <w:p w14:paraId="7F288756" w14:textId="70FEF052" w:rsidR="009B1048" w:rsidRPr="009B1048" w:rsidRDefault="009B1048" w:rsidP="009B1048">
      <w:pPr>
        <w:spacing w:after="0" w:line="360" w:lineRule="auto"/>
        <w:jc w:val="both"/>
        <w:rPr>
          <w:rFonts w:eastAsia="Times New Roman" w:cstheme="minorHAnsi"/>
          <w:b/>
          <w:bCs/>
          <w:szCs w:val="20"/>
          <w:lang w:eastAsia="en-GB"/>
        </w:rPr>
      </w:pPr>
      <w:r w:rsidRPr="009B1048">
        <w:rPr>
          <w:rFonts w:eastAsia="Times New Roman" w:cstheme="minorHAnsi"/>
          <w:b/>
          <w:bCs/>
          <w:szCs w:val="20"/>
          <w:lang w:eastAsia="en-GB"/>
        </w:rPr>
        <w:t xml:space="preserve">Lecturers: </w:t>
      </w:r>
      <w:r w:rsidRPr="009B1048">
        <w:rPr>
          <w:rFonts w:eastAsia="Times New Roman" w:cstheme="minorHAnsi"/>
          <w:b/>
          <w:bCs/>
          <w:szCs w:val="20"/>
          <w:lang w:eastAsia="en-GB"/>
        </w:rPr>
        <w:tab/>
      </w:r>
      <w:r w:rsidRPr="009B1048">
        <w:rPr>
          <w:rFonts w:eastAsia="Times New Roman" w:cstheme="minorHAnsi"/>
          <w:b/>
          <w:bCs/>
          <w:szCs w:val="20"/>
          <w:lang w:eastAsia="en-GB"/>
        </w:rPr>
        <w:tab/>
      </w:r>
      <w:r>
        <w:rPr>
          <w:rFonts w:eastAsia="Times New Roman" w:cstheme="minorHAnsi"/>
          <w:b/>
          <w:bCs/>
          <w:szCs w:val="20"/>
          <w:lang w:eastAsia="en-GB"/>
        </w:rPr>
        <w:t>Karl Jones</w:t>
      </w:r>
    </w:p>
    <w:p w14:paraId="50DCFA22" w14:textId="5BDD49B2" w:rsidR="009B1048" w:rsidRPr="009B1048" w:rsidRDefault="009B1048" w:rsidP="009B1048">
      <w:pPr>
        <w:spacing w:after="0" w:line="360" w:lineRule="auto"/>
        <w:jc w:val="both"/>
        <w:rPr>
          <w:rFonts w:eastAsia="Times New Roman" w:cstheme="minorHAnsi"/>
          <w:bCs/>
          <w:szCs w:val="20"/>
          <w:lang w:eastAsia="en-GB"/>
        </w:rPr>
      </w:pPr>
      <w:r w:rsidRPr="009B1048">
        <w:rPr>
          <w:rFonts w:eastAsia="Times New Roman" w:cstheme="minorHAnsi"/>
          <w:b/>
          <w:bCs/>
          <w:szCs w:val="20"/>
          <w:lang w:eastAsia="en-GB"/>
        </w:rPr>
        <w:t xml:space="preserve">Submission date: </w:t>
      </w:r>
      <w:r w:rsidRPr="009B1048">
        <w:rPr>
          <w:rFonts w:eastAsia="Times New Roman" w:cstheme="minorHAnsi"/>
          <w:b/>
          <w:bCs/>
          <w:szCs w:val="20"/>
          <w:lang w:eastAsia="en-GB"/>
        </w:rPr>
        <w:tab/>
      </w:r>
      <w:r>
        <w:rPr>
          <w:rFonts w:eastAsia="Times New Roman" w:cstheme="minorHAnsi"/>
          <w:b/>
          <w:bCs/>
          <w:szCs w:val="20"/>
          <w:lang w:eastAsia="en-GB"/>
        </w:rPr>
        <w:t>7/11/22</w:t>
      </w:r>
    </w:p>
    <w:p w14:paraId="4874C8FC" w14:textId="77777777" w:rsidR="009B1048" w:rsidRPr="009B1048" w:rsidRDefault="009B1048" w:rsidP="009B1048">
      <w:pPr>
        <w:spacing w:after="0" w:line="360" w:lineRule="auto"/>
        <w:jc w:val="both"/>
        <w:rPr>
          <w:rFonts w:eastAsia="Times New Roman" w:cstheme="minorHAnsi"/>
          <w:b/>
          <w:bCs/>
          <w:szCs w:val="20"/>
          <w:lang w:eastAsia="en-GB"/>
        </w:rPr>
      </w:pPr>
    </w:p>
    <w:p w14:paraId="434F5532" w14:textId="20AF2747" w:rsidR="009B1048" w:rsidRPr="009B1048" w:rsidRDefault="009B1048" w:rsidP="009B1048">
      <w:pPr>
        <w:spacing w:after="0" w:line="360" w:lineRule="auto"/>
        <w:jc w:val="both"/>
        <w:rPr>
          <w:rFonts w:eastAsia="Times New Roman" w:cstheme="minorHAnsi"/>
          <w:b/>
          <w:bCs/>
          <w:szCs w:val="20"/>
          <w:lang w:eastAsia="en-GB"/>
        </w:rPr>
      </w:pPr>
      <w:r w:rsidRPr="009B1048">
        <w:rPr>
          <w:rFonts w:eastAsia="Times New Roman" w:cstheme="minorHAnsi"/>
          <w:b/>
          <w:bCs/>
          <w:szCs w:val="20"/>
          <w:lang w:eastAsia="en-GB"/>
        </w:rPr>
        <w:t xml:space="preserve">Word Count: </w:t>
      </w:r>
      <w:r w:rsidRPr="009B1048">
        <w:rPr>
          <w:rFonts w:eastAsia="Times New Roman" w:cstheme="minorHAnsi"/>
          <w:b/>
          <w:bCs/>
          <w:szCs w:val="20"/>
          <w:lang w:eastAsia="en-GB"/>
        </w:rPr>
        <w:tab/>
      </w:r>
      <w:r w:rsidRPr="009B1048">
        <w:rPr>
          <w:rFonts w:eastAsia="Times New Roman" w:cstheme="minorHAnsi"/>
          <w:b/>
          <w:bCs/>
          <w:szCs w:val="20"/>
          <w:lang w:eastAsia="en-GB"/>
        </w:rPr>
        <w:tab/>
      </w:r>
      <w:r w:rsidR="005B4592">
        <w:rPr>
          <w:rFonts w:eastAsia="Times New Roman" w:cstheme="minorHAnsi"/>
          <w:b/>
          <w:bCs/>
          <w:szCs w:val="20"/>
          <w:lang w:eastAsia="en-GB"/>
        </w:rPr>
        <w:t>4,1</w:t>
      </w:r>
      <w:r w:rsidR="00A718C8">
        <w:rPr>
          <w:rFonts w:eastAsia="Times New Roman" w:cstheme="minorHAnsi"/>
          <w:b/>
          <w:bCs/>
          <w:szCs w:val="20"/>
          <w:lang w:eastAsia="en-GB"/>
        </w:rPr>
        <w:t>24</w:t>
      </w:r>
    </w:p>
    <w:p w14:paraId="04F6A6DC" w14:textId="77777777" w:rsidR="009B1048" w:rsidRDefault="009B1048" w:rsidP="00BD2F6A">
      <w:pPr>
        <w:rPr>
          <w:b/>
          <w:bCs/>
          <w:u w:val="single"/>
        </w:rPr>
      </w:pPr>
    </w:p>
    <w:p w14:paraId="19099E37" w14:textId="50A95B81" w:rsidR="009B1048" w:rsidRDefault="009B1048" w:rsidP="00BD2F6A">
      <w:pPr>
        <w:rPr>
          <w:b/>
          <w:bCs/>
          <w:u w:val="single"/>
        </w:rPr>
      </w:pPr>
    </w:p>
    <w:p w14:paraId="0C2840A1" w14:textId="7F440F04" w:rsidR="009B1048" w:rsidRDefault="009B1048" w:rsidP="00BD2F6A">
      <w:pPr>
        <w:rPr>
          <w:b/>
          <w:bCs/>
          <w:u w:val="single"/>
        </w:rPr>
      </w:pPr>
    </w:p>
    <w:p w14:paraId="710104EF" w14:textId="4F274806" w:rsidR="009B1048" w:rsidRDefault="009B1048" w:rsidP="00BD2F6A">
      <w:pPr>
        <w:rPr>
          <w:b/>
          <w:bCs/>
          <w:u w:val="single"/>
        </w:rPr>
      </w:pPr>
    </w:p>
    <w:p w14:paraId="3102EA1E" w14:textId="57DC55DE" w:rsidR="009B1048" w:rsidRDefault="009B1048" w:rsidP="00BD2F6A">
      <w:pPr>
        <w:rPr>
          <w:b/>
          <w:bCs/>
          <w:u w:val="single"/>
        </w:rPr>
      </w:pPr>
    </w:p>
    <w:p w14:paraId="3AD6FEBD" w14:textId="64F77160" w:rsidR="009B1048" w:rsidRDefault="009B1048" w:rsidP="00BD2F6A">
      <w:pPr>
        <w:rPr>
          <w:b/>
          <w:bCs/>
          <w:u w:val="single"/>
        </w:rPr>
      </w:pPr>
    </w:p>
    <w:p w14:paraId="03C54C1E" w14:textId="4305BF04" w:rsidR="009B1048" w:rsidRDefault="009B1048" w:rsidP="00BD2F6A">
      <w:pPr>
        <w:rPr>
          <w:b/>
          <w:bCs/>
          <w:u w:val="single"/>
        </w:rPr>
      </w:pPr>
    </w:p>
    <w:p w14:paraId="4E7DC50F" w14:textId="49FDAAAA" w:rsidR="009B1048" w:rsidRDefault="009B1048" w:rsidP="00BD2F6A">
      <w:pPr>
        <w:rPr>
          <w:b/>
          <w:bCs/>
          <w:u w:val="single"/>
        </w:rPr>
      </w:pPr>
    </w:p>
    <w:p w14:paraId="238909E9" w14:textId="5B4DF46D" w:rsidR="009B1048" w:rsidRDefault="009B1048" w:rsidP="00BD2F6A">
      <w:pPr>
        <w:rPr>
          <w:b/>
          <w:bCs/>
          <w:u w:val="single"/>
        </w:rPr>
      </w:pPr>
    </w:p>
    <w:p w14:paraId="58A6F00F" w14:textId="17544FF6" w:rsidR="009B1048" w:rsidRDefault="009B1048" w:rsidP="00BD2F6A">
      <w:pPr>
        <w:rPr>
          <w:b/>
          <w:bCs/>
          <w:u w:val="single"/>
        </w:rPr>
      </w:pPr>
    </w:p>
    <w:p w14:paraId="188C420C" w14:textId="57CE8A3E" w:rsidR="009B1048" w:rsidRDefault="009B1048" w:rsidP="00BD2F6A">
      <w:pPr>
        <w:rPr>
          <w:b/>
          <w:bCs/>
          <w:u w:val="single"/>
        </w:rPr>
      </w:pPr>
    </w:p>
    <w:p w14:paraId="299A5C18" w14:textId="21CBC9F4" w:rsidR="009B1048" w:rsidRDefault="009B1048" w:rsidP="00BD2F6A">
      <w:pPr>
        <w:rPr>
          <w:b/>
          <w:bCs/>
          <w:u w:val="single"/>
        </w:rPr>
      </w:pPr>
    </w:p>
    <w:p w14:paraId="081A21A3" w14:textId="77777777" w:rsidR="009B1048" w:rsidRDefault="009B1048" w:rsidP="00BD2F6A">
      <w:pPr>
        <w:rPr>
          <w:b/>
          <w:bCs/>
          <w:u w:val="single"/>
        </w:rPr>
      </w:pPr>
    </w:p>
    <w:p w14:paraId="4FDF3A6F" w14:textId="77777777" w:rsidR="00BD2F6A" w:rsidRDefault="00BD2F6A" w:rsidP="00BD2F6A">
      <w:pPr>
        <w:rPr>
          <w:b/>
          <w:bCs/>
          <w:u w:val="single"/>
        </w:rPr>
      </w:pPr>
    </w:p>
    <w:p w14:paraId="41D181BA" w14:textId="6C8456C0" w:rsidR="00BD2F6A" w:rsidRDefault="00BD2F6A" w:rsidP="00E0626E">
      <w:pPr>
        <w:spacing w:line="360" w:lineRule="auto"/>
      </w:pPr>
      <w:r w:rsidRPr="00752405">
        <w:rPr>
          <w:b/>
          <w:bCs/>
          <w:u w:val="single"/>
        </w:rPr>
        <w:lastRenderedPageBreak/>
        <w:t>I</w:t>
      </w:r>
      <w:r w:rsidR="009D4111">
        <w:rPr>
          <w:b/>
          <w:bCs/>
          <w:u w:val="single"/>
        </w:rPr>
        <w:t>ntroduction</w:t>
      </w:r>
      <w:r w:rsidRPr="00752405">
        <w:rPr>
          <w:b/>
          <w:bCs/>
          <w:u w:val="single"/>
        </w:rPr>
        <w:t xml:space="preserve"> </w:t>
      </w:r>
      <w:r w:rsidRPr="00752405">
        <w:t xml:space="preserve"> </w:t>
      </w:r>
    </w:p>
    <w:p w14:paraId="67DAF4E1" w14:textId="6D184E44" w:rsidR="00BD2F6A" w:rsidRDefault="00BD2F6A" w:rsidP="00E0626E">
      <w:pPr>
        <w:spacing w:line="360" w:lineRule="auto"/>
      </w:pPr>
      <w:r>
        <w:t xml:space="preserve">This study will reflect on a critical incident </w:t>
      </w:r>
      <w:r w:rsidR="00A33018">
        <w:t>which occured</w:t>
      </w:r>
      <w:r>
        <w:t xml:space="preserve"> within a Primary school setting. Incidents regularly occur within a classroom environment, </w:t>
      </w:r>
      <w:r w:rsidR="00AD12E3">
        <w:t>and range</w:t>
      </w:r>
      <w:r>
        <w:t xml:space="preserve"> from dramatic actions which attract the attention of the room, to commonplace practices which pass relatively unnoticed (Tripp, 2011). An observer may attach little significance to </w:t>
      </w:r>
      <w:r w:rsidR="00AD12E3">
        <w:t>many</w:t>
      </w:r>
      <w:r>
        <w:t xml:space="preserve"> of the incidents which take place; however, this does not necessarily mean that </w:t>
      </w:r>
      <w:r w:rsidR="00AD12E3">
        <w:t>these</w:t>
      </w:r>
      <w:r>
        <w:t xml:space="preserve"> incident</w:t>
      </w:r>
      <w:r w:rsidR="00AD12E3">
        <w:t>s</w:t>
      </w:r>
      <w:r>
        <w:t xml:space="preserve"> </w:t>
      </w:r>
      <w:r w:rsidR="00AD12E3">
        <w:t>are</w:t>
      </w:r>
      <w:r>
        <w:t xml:space="preserve"> insignificant; it simply means that </w:t>
      </w:r>
      <w:r w:rsidR="00AD12E3">
        <w:t>they are</w:t>
      </w:r>
      <w:r>
        <w:t xml:space="preserve"> not perceived to be significant to that particular observer. An incident is redefined as a </w:t>
      </w:r>
      <w:r w:rsidRPr="00EF158F">
        <w:rPr>
          <w:i/>
          <w:iCs/>
        </w:rPr>
        <w:t>critical incident</w:t>
      </w:r>
      <w:r>
        <w:t xml:space="preserve"> when an observer considers it to be important; therefore, the critical element of the incident is determined by the perception, judgement and analysis of the observer, rather than the nature or scale of the event. The precursor to this study was an observation I conducted in a Year 2 classroom environment. Numerous incidents were identified and noted, and I considered several to be critical (see Appendix 1); however, an incident which was of particular interest was the response of certain students to a </w:t>
      </w:r>
      <w:r w:rsidR="00AD12E3">
        <w:t xml:space="preserve">Numeracy and </w:t>
      </w:r>
      <w:r>
        <w:t>Mathematics lesson in which the teacher employed a constructivist approach. The Welsh Government (2019) advocates a blended learning approach within its professional standards for teaching, and a desire for teachers to utilise new techniques to enhance students’ cognitive development. This would therefore suggest that the use of a constructivist approach would be encouraged, in order to expand the range of learning opportunities experienced by pupils. This study will consider the use of a constructivist approach</w:t>
      </w:r>
      <w:r w:rsidR="00AD12E3">
        <w:t xml:space="preserve"> within the context of a Year 2 Numeracy and Mathematics lesson</w:t>
      </w:r>
      <w:r>
        <w:t>, and whether it was effective in this specific case.</w:t>
      </w:r>
    </w:p>
    <w:p w14:paraId="75589B70" w14:textId="77777777" w:rsidR="00BD2F6A" w:rsidRPr="007721F2" w:rsidRDefault="00BD2F6A" w:rsidP="00E0626E">
      <w:pPr>
        <w:spacing w:line="360" w:lineRule="auto"/>
      </w:pPr>
    </w:p>
    <w:p w14:paraId="55F14516" w14:textId="31AAA48B" w:rsidR="00BD2F6A" w:rsidRDefault="00BD2F6A" w:rsidP="00E0626E">
      <w:pPr>
        <w:spacing w:line="360" w:lineRule="auto"/>
        <w:rPr>
          <w:i/>
          <w:iCs/>
        </w:rPr>
      </w:pPr>
      <w:r w:rsidRPr="007721F2">
        <w:rPr>
          <w:b/>
          <w:bCs/>
          <w:u w:val="single"/>
        </w:rPr>
        <w:t>The role of critical reflection</w:t>
      </w:r>
      <w:r w:rsidRPr="00752405">
        <w:rPr>
          <w:i/>
          <w:iCs/>
        </w:rPr>
        <w:t xml:space="preserve"> </w:t>
      </w:r>
    </w:p>
    <w:p w14:paraId="6D218171" w14:textId="5336FB9F" w:rsidR="00BD2F6A" w:rsidRDefault="00BD2F6A" w:rsidP="00E0626E">
      <w:pPr>
        <w:spacing w:line="360" w:lineRule="auto"/>
      </w:pPr>
      <w:r>
        <w:t xml:space="preserve">In 2017 a new set of professional standards was announced for teachers in Wales (Welsh Government, 2020). These standards were split into five sections: pedagogy, collaboration, leadership, innovation and professional learning; and outline the skills, knowledge and behaviours expected of teachers within the profession (Welsh Government, 2019). A key component of </w:t>
      </w:r>
      <w:bookmarkStart w:id="0" w:name="_Hlk118113349"/>
      <w:r w:rsidRPr="005C5EE7">
        <w:rPr>
          <w:i/>
          <w:iCs/>
        </w:rPr>
        <w:t>professional learning</w:t>
      </w:r>
      <w:r>
        <w:t xml:space="preserve"> addresses reflection, and the use of reflective practice to support professional growth. Teachers are encouraged to use critical reflection as part of their development, and implement new and improved teaching practices. </w:t>
      </w:r>
      <w:bookmarkEnd w:id="0"/>
      <w:r>
        <w:t xml:space="preserve">This view is shared by Zwozdiak-Myers (2012) who suggests that teachers </w:t>
      </w:r>
      <w:r w:rsidRPr="008E0951">
        <w:t xml:space="preserve">must remain open-minded to </w:t>
      </w:r>
      <w:r>
        <w:t>alternative perspectives</w:t>
      </w:r>
      <w:r w:rsidRPr="008E0951">
        <w:t xml:space="preserve">, approaches and </w:t>
      </w:r>
      <w:r>
        <w:t>methods, and experiment with unfamiliar concepts and ideas in order to progress</w:t>
      </w:r>
      <w:r w:rsidRPr="008E0951">
        <w:t>.</w:t>
      </w:r>
      <w:r w:rsidR="00106658">
        <w:t xml:space="preserve"> </w:t>
      </w:r>
      <w:r>
        <w:t>As well as determining whether a particular lesson or skill was taught effectively, reflective practice can highlight adjustments which need to be made to the teacher’s pedagogical approach (Tripp, 2011; Tsang, 1998)</w:t>
      </w:r>
      <w:r w:rsidR="00AD12E3">
        <w:t>, and</w:t>
      </w:r>
      <w:r>
        <w:t xml:space="preserve"> instil a proactive </w:t>
      </w:r>
      <w:r w:rsidR="00163F9E">
        <w:t>mindset</w:t>
      </w:r>
      <w:r>
        <w:t xml:space="preserve">, with teachers taking ownership for their own </w:t>
      </w:r>
      <w:r>
        <w:lastRenderedPageBreak/>
        <w:t xml:space="preserve">development by engaging in critical self-analysis and enquiry (Brookfield, 1995). </w:t>
      </w:r>
      <w:r w:rsidR="00163F9E">
        <w:t xml:space="preserve">According to Zeichner </w:t>
      </w:r>
      <w:r w:rsidR="00790A6E">
        <w:t>and</w:t>
      </w:r>
      <w:r w:rsidR="00163F9E">
        <w:t xml:space="preserve"> Liston (1996), teachers should not</w:t>
      </w:r>
      <w:r w:rsidRPr="005C5EE7">
        <w:t xml:space="preserve"> </w:t>
      </w:r>
      <w:r w:rsidR="00163F9E">
        <w:t>limit themselves to</w:t>
      </w:r>
      <w:r w:rsidRPr="005C5EE7">
        <w:t xml:space="preserve"> the </w:t>
      </w:r>
      <w:r w:rsidR="00163F9E">
        <w:t>requirements made by</w:t>
      </w:r>
      <w:r w:rsidRPr="005C5EE7">
        <w:t xml:space="preserve"> their superiors, </w:t>
      </w:r>
      <w:r w:rsidR="00163F9E">
        <w:t xml:space="preserve">and </w:t>
      </w:r>
      <w:r w:rsidR="00106658">
        <w:t xml:space="preserve">should </w:t>
      </w:r>
      <w:r w:rsidR="00163F9E">
        <w:t>instead</w:t>
      </w:r>
      <w:r w:rsidR="00106658">
        <w:t xml:space="preserve"> </w:t>
      </w:r>
      <w:r w:rsidR="00163F9E">
        <w:t xml:space="preserve">look to </w:t>
      </w:r>
      <w:r w:rsidRPr="005C5EE7">
        <w:t xml:space="preserve">develop and refine their own </w:t>
      </w:r>
      <w:r>
        <w:t xml:space="preserve">personal </w:t>
      </w:r>
      <w:r w:rsidRPr="005C5EE7">
        <w:t>style</w:t>
      </w:r>
      <w:r w:rsidR="00163F9E">
        <w:t xml:space="preserve"> and expectations</w:t>
      </w:r>
      <w:r w:rsidRPr="005C5EE7">
        <w:t>.</w:t>
      </w:r>
      <w:r>
        <w:t xml:space="preserve"> This appears to align very closely with the Welsh Government’s expectations regarding professional standards for teachers, and the approach they wish to promote among schools. </w:t>
      </w:r>
    </w:p>
    <w:p w14:paraId="396FC177" w14:textId="577C5EF2" w:rsidR="00BD2F6A" w:rsidRDefault="00BD2F6A" w:rsidP="00E0626E">
      <w:pPr>
        <w:spacing w:line="360" w:lineRule="auto"/>
      </w:pPr>
      <w:r w:rsidRPr="004719F2">
        <w:t xml:space="preserve">Hatton </w:t>
      </w:r>
      <w:r>
        <w:t>and</w:t>
      </w:r>
      <w:r w:rsidRPr="004719F2">
        <w:t xml:space="preserve"> Smith (1995) credit Dewey with some of the earliest concepts regarding reflection</w:t>
      </w:r>
      <w:r>
        <w:t>; however, they also identify limitations to his work, specifically his failure to administer a time-frame to the reflection process, or to differentiate between different forms of reflection.</w:t>
      </w:r>
      <w:r w:rsidRPr="004719F2">
        <w:t xml:space="preserve"> </w:t>
      </w:r>
      <w:r>
        <w:t xml:space="preserve">Schon (1987) addressed this gap by splitting the reflection process into two basic strands; reflection-in-action, which refers to unconscious processes that take place during the moment, and reflection-on-practice, which is a more considered analysis which takes place following the conclusion of the event. </w:t>
      </w:r>
      <w:bookmarkStart w:id="1" w:name="_Hlk118116424"/>
      <w:bookmarkStart w:id="2" w:name="_Hlk117408489"/>
      <w:r>
        <w:t xml:space="preserve">Reflection-on-action can be further broken down into three phases: descriptive, comparative and critical (Jay and Johnson, 2002; Zwozdiak-Myers, 2012). Descriptive reflection defines the problem and looks for patterns and trends, comparative reflection considers the point of reflection from a number of different perspectives, and critical reflection weighs up the benefits of each perspective to form a better understanding of the problem. This study will utilise this three-step </w:t>
      </w:r>
      <w:r w:rsidR="009631C2">
        <w:t>approach</w:t>
      </w:r>
      <w:r>
        <w:t xml:space="preserve"> to effectively reflect on the critical incident.</w:t>
      </w:r>
      <w:bookmarkEnd w:id="1"/>
    </w:p>
    <w:bookmarkEnd w:id="2"/>
    <w:p w14:paraId="0F5DBDFC" w14:textId="2DC956A7" w:rsidR="00BD2F6A" w:rsidRDefault="00BD2F6A" w:rsidP="00E0626E">
      <w:pPr>
        <w:spacing w:line="360" w:lineRule="auto"/>
      </w:pPr>
      <w:r w:rsidRPr="00AA42D6">
        <w:t xml:space="preserve">Hatton &amp; Smith (1995) identify </w:t>
      </w:r>
      <w:r>
        <w:t xml:space="preserve">a number of </w:t>
      </w:r>
      <w:r w:rsidRPr="00AA42D6">
        <w:t>barriers associated with</w:t>
      </w:r>
      <w:r>
        <w:t xml:space="preserve"> self-</w:t>
      </w:r>
      <w:r w:rsidRPr="00AA42D6">
        <w:t>reflection</w:t>
      </w:r>
      <w:r>
        <w:t xml:space="preserve">, including a lack of time for teachers to the engage in the process effectively, and a fear of appearing vulnerable by exposing areas of weakness. A benefit of this study is that I am able to view the incident from an external perspective, and </w:t>
      </w:r>
      <w:r w:rsidR="00A33018">
        <w:t xml:space="preserve">I </w:t>
      </w:r>
      <w:r>
        <w:t>have sufficient time to conduct a thorough reflection. Tripp (2011) also suggests that self-reflection can lack objectivity as there is a tendency to focus on aspects which conform to preconceived world views. To limit the impact of my own personal bias, I will consult a wide range of literature, and attempt to provide a balanced view of the critical incident being analysed.</w:t>
      </w:r>
    </w:p>
    <w:p w14:paraId="4624FE06" w14:textId="77777777" w:rsidR="00BD2F6A" w:rsidRDefault="00BD2F6A" w:rsidP="00E0626E">
      <w:pPr>
        <w:spacing w:line="360" w:lineRule="auto"/>
        <w:rPr>
          <w:u w:val="single"/>
        </w:rPr>
      </w:pPr>
    </w:p>
    <w:p w14:paraId="1431F743" w14:textId="56A16AD3" w:rsidR="00BD2F6A" w:rsidRDefault="00BD2F6A" w:rsidP="00E0626E">
      <w:pPr>
        <w:spacing w:line="360" w:lineRule="auto"/>
      </w:pPr>
      <w:r>
        <w:rPr>
          <w:b/>
          <w:bCs/>
          <w:u w:val="single"/>
        </w:rPr>
        <w:t>Observation:</w:t>
      </w:r>
      <w:r w:rsidRPr="00752405">
        <w:rPr>
          <w:b/>
          <w:bCs/>
          <w:u w:val="single"/>
        </w:rPr>
        <w:t xml:space="preserve"> School &amp; Class </w:t>
      </w:r>
      <w:r w:rsidR="00A33018">
        <w:rPr>
          <w:b/>
          <w:bCs/>
          <w:u w:val="single"/>
        </w:rPr>
        <w:t>C</w:t>
      </w:r>
      <w:r w:rsidRPr="00752405">
        <w:rPr>
          <w:b/>
          <w:bCs/>
          <w:u w:val="single"/>
        </w:rPr>
        <w:t>ontext</w:t>
      </w:r>
      <w:r w:rsidRPr="00752405">
        <w:t xml:space="preserve"> </w:t>
      </w:r>
    </w:p>
    <w:p w14:paraId="5BE778F7" w14:textId="7D619809" w:rsidR="00BD2F6A" w:rsidRDefault="00BD2F6A" w:rsidP="00E0626E">
      <w:pPr>
        <w:spacing w:line="360" w:lineRule="auto"/>
      </w:pPr>
      <w:r>
        <w:t>School X is a Primary School in West Wales (My Local School, 2021). The most recent data shows 659 students to be enrolled at the school, of which 29.5% are able to access free school meals. This is significantly higher than the local authority average of 17.2% and the national average of 21.3%. 21.8% of pupils at School X are considered to have additional learning needs, which is lower than the local authority average of 26.1% and only slightly higher than the national average of 20.6%</w:t>
      </w:r>
      <w:r w:rsidR="00106658">
        <w:t>;</w:t>
      </w:r>
      <w:r>
        <w:t xml:space="preserve"> </w:t>
      </w:r>
      <w:r>
        <w:lastRenderedPageBreak/>
        <w:t>however</w:t>
      </w:r>
      <w:r w:rsidR="00106658">
        <w:t>,</w:t>
      </w:r>
      <w:r>
        <w:t xml:space="preserve"> of those students</w:t>
      </w:r>
      <w:r w:rsidR="00106658">
        <w:t>,</w:t>
      </w:r>
      <w:r>
        <w:t xml:space="preserve"> 62% require support from outside specialists, as opposed to 33% within the local authority and 36% across Wales. ESTYN (2016) rated the school’s performance as good, and </w:t>
      </w:r>
      <w:r w:rsidR="00106658">
        <w:t>its</w:t>
      </w:r>
      <w:r>
        <w:t xml:space="preserve"> prospects for improvement as excellent, noting its position as a pioneer school for the introduction of the new curriculum. Teaching standards were rated as good to very good, and high levels of pupil enthusiasm and motivation were specifically mentioned. This data demonstrates that the school is performing well, especially when accounting for the high number of students accessing free school meals and requiring specialist support for additional learning needs. The Year 2 class </w:t>
      </w:r>
      <w:r w:rsidR="00106658">
        <w:t>being observed</w:t>
      </w:r>
      <w:r>
        <w:t xml:space="preserve"> contained 23 pupils, and Teacher Y was supported by one Learning Support Assistant</w:t>
      </w:r>
      <w:r w:rsidR="00106658">
        <w:t xml:space="preserve"> (LSA)</w:t>
      </w:r>
      <w:r>
        <w:t>. Teacher Y referred to the school’s use of the Singapore Maths Curriculum for teaching Numeracy</w:t>
      </w:r>
      <w:r w:rsidR="009631C2">
        <w:t xml:space="preserve"> and Mathematics</w:t>
      </w:r>
      <w:r>
        <w:t xml:space="preserve">. This method focuses largely on the Concrete, Pictorial, Abstract (CPA) approach which introduces new concepts in a tangible format and encourages students to think </w:t>
      </w:r>
      <w:r w:rsidRPr="009631C2">
        <w:rPr>
          <w:i/>
          <w:iCs/>
        </w:rPr>
        <w:t>mathematically</w:t>
      </w:r>
      <w:r>
        <w:t xml:space="preserve">, building on previous knowledge rather than the memorization of rules (Singapore Math, 2022). The use of this approach is extremely relevant to the analysis of the critical incident. </w:t>
      </w:r>
    </w:p>
    <w:p w14:paraId="272E9477" w14:textId="77777777" w:rsidR="00BD2F6A" w:rsidRDefault="00BD2F6A" w:rsidP="00E0626E">
      <w:pPr>
        <w:spacing w:line="360" w:lineRule="auto"/>
      </w:pPr>
    </w:p>
    <w:p w14:paraId="71CBB736" w14:textId="59496EA0" w:rsidR="00BD2F6A" w:rsidRDefault="009D4111" w:rsidP="00E0626E">
      <w:pPr>
        <w:spacing w:line="360" w:lineRule="auto"/>
      </w:pPr>
      <w:r>
        <w:rPr>
          <w:b/>
          <w:bCs/>
          <w:u w:val="single"/>
        </w:rPr>
        <w:t>The C</w:t>
      </w:r>
      <w:r w:rsidR="00BD2F6A" w:rsidRPr="00752405">
        <w:rPr>
          <w:b/>
          <w:bCs/>
          <w:u w:val="single"/>
        </w:rPr>
        <w:t xml:space="preserve">ritical </w:t>
      </w:r>
      <w:r w:rsidR="00A33018">
        <w:rPr>
          <w:b/>
          <w:bCs/>
          <w:u w:val="single"/>
        </w:rPr>
        <w:t>I</w:t>
      </w:r>
      <w:r w:rsidR="00BD2F6A" w:rsidRPr="00752405">
        <w:rPr>
          <w:b/>
          <w:bCs/>
          <w:u w:val="single"/>
        </w:rPr>
        <w:t>ncident</w:t>
      </w:r>
    </w:p>
    <w:p w14:paraId="2F40900C" w14:textId="5C244AD9" w:rsidR="00BD2F6A" w:rsidRDefault="00BD2F6A" w:rsidP="00E0626E">
      <w:pPr>
        <w:spacing w:line="360" w:lineRule="auto"/>
      </w:pPr>
      <w:r>
        <w:t>The lesson took place at the beginning of the day, and all students appeared calm and ready to learn. The initial part of the lesson involved a group activity with the whole class, in which the teacher introduced place value, and recapped a previous lesson on counting in multiples of two</w:t>
      </w:r>
      <w:r w:rsidR="009631C2">
        <w:t>s</w:t>
      </w:r>
      <w:r>
        <w:t>, three</w:t>
      </w:r>
      <w:r w:rsidR="009631C2">
        <w:t>s</w:t>
      </w:r>
      <w:r>
        <w:t>, five</w:t>
      </w:r>
      <w:r w:rsidR="009631C2">
        <w:t>s</w:t>
      </w:r>
      <w:r>
        <w:t xml:space="preserve"> and ten</w:t>
      </w:r>
      <w:r w:rsidR="009631C2">
        <w:t>s</w:t>
      </w:r>
      <w:r>
        <w:t xml:space="preserve">. It was clear from this activity that some students were able to count to thirty in threes, while others struggled to understand the concept of counting in twos, fives and tens. Following this introductory activity, students were split into three </w:t>
      </w:r>
      <w:r w:rsidR="00591D51">
        <w:t xml:space="preserve">mixed ability </w:t>
      </w:r>
      <w:r>
        <w:t>groups, one group continued to work on place value with the class teacher, one group engaged in an independent learning activity involving interactive multiplication games, and the third group us</w:t>
      </w:r>
      <w:r w:rsidR="00A33018">
        <w:t>ed</w:t>
      </w:r>
      <w:r>
        <w:t xml:space="preserve"> connecting-blocks, gloves, and tensticks to practice counting in twos, threes, fives and tens under the supervision of the LSA. The concrete phase of the CPA approach </w:t>
      </w:r>
      <w:r w:rsidR="009631C2">
        <w:t xml:space="preserve">uses physical objects to </w:t>
      </w:r>
      <w:r>
        <w:t>develop a thorough understanding of a subject area</w:t>
      </w:r>
      <w:r w:rsidR="009631C2">
        <w:t>, and</w:t>
      </w:r>
      <w:r>
        <w:t xml:space="preserve"> generally involves minimal guidance from adults</w:t>
      </w:r>
      <w:r w:rsidR="009631C2">
        <w:t xml:space="preserve"> (Putri et al., 2019)</w:t>
      </w:r>
      <w:r>
        <w:t xml:space="preserve">. The activity conducted by the third group </w:t>
      </w:r>
      <w:r w:rsidR="00591D51">
        <w:t>could therefore be considered an</w:t>
      </w:r>
      <w:r>
        <w:t xml:space="preserve"> example of the concrete phase being applied appropriately, with the LSA’s involvement </w:t>
      </w:r>
      <w:r w:rsidR="00106658">
        <w:t xml:space="preserve">largely </w:t>
      </w:r>
      <w:r>
        <w:t xml:space="preserve">limited to introducing </w:t>
      </w:r>
      <w:r w:rsidR="00106658">
        <w:t xml:space="preserve">and monitoring </w:t>
      </w:r>
      <w:r>
        <w:t>the activity.</w:t>
      </w:r>
    </w:p>
    <w:p w14:paraId="5AE2F8E5" w14:textId="246EE60E" w:rsidR="00BD2F6A" w:rsidRDefault="00BD2F6A" w:rsidP="00E0626E">
      <w:pPr>
        <w:spacing w:line="360" w:lineRule="auto"/>
      </w:pPr>
      <w:r>
        <w:t xml:space="preserve">Of the seven students in the group, the majority engaged in the activity as it had been designed, connecting blocks into groups to assist with counting in twos and threes, using the gloves to practice counting in fives, and the tensticks to count in multiples of ten; however, two students chose not to engage in the activity, and instead used the connecting blocks and tensticks to build a tower. On </w:t>
      </w:r>
      <w:r>
        <w:lastRenderedPageBreak/>
        <w:t>several occasions the LSA intervened in an attempt to re-focus the students on the activity they were supposed to be doing</w:t>
      </w:r>
      <w:r w:rsidR="00A33018">
        <w:t>;</w:t>
      </w:r>
      <w:r>
        <w:t xml:space="preserve"> however</w:t>
      </w:r>
      <w:r w:rsidR="00A33018">
        <w:t>,</w:t>
      </w:r>
      <w:r>
        <w:t xml:space="preserve"> neither student appeared to understand that the blocks, gloves and tensticks could be used to assist with their learning. While the LSA was able to get the students to count to eight in twos without the use of physical objects, they clearly struggled to connect that knowledge to the learning resources. When the LSA re-directed her attention to other members of the group, the two students returned to building their towers.</w:t>
      </w:r>
    </w:p>
    <w:p w14:paraId="50734F8B" w14:textId="40839D6A" w:rsidR="00BD2F6A" w:rsidRDefault="00BD2F6A" w:rsidP="00E0626E">
      <w:pPr>
        <w:spacing w:line="360" w:lineRule="auto"/>
      </w:pPr>
      <w:r>
        <w:t>The activity related to the four purposes of the Welsh curriculum</w:t>
      </w:r>
      <w:r w:rsidR="00106658">
        <w:t>,</w:t>
      </w:r>
      <w:r>
        <w:t xml:space="preserve"> in that </w:t>
      </w:r>
      <w:r w:rsidR="00106658">
        <w:t>it</w:t>
      </w:r>
      <w:r>
        <w:t xml:space="preserve"> was designed to develop ambitious, capable learners, who are ready to learn throughout their lives (Welsh Government, 2022). It aligned with this objective in that it looked to build a body of knowledge that could be applied throughout the students’ learning, develop an understanding of how to apply simple mathematical concepts, and enable learners to use numbers effectively within different contexts. While the objective was successfully achieved for a number of students within the group, the critical incident questions the effectiveness of the approach when applied to students with a very limited understanding of the subject area, who may be easily distracted from the task.</w:t>
      </w:r>
    </w:p>
    <w:p w14:paraId="345C2811" w14:textId="77777777" w:rsidR="00BD2F6A" w:rsidRDefault="00BD2F6A" w:rsidP="00E0626E">
      <w:pPr>
        <w:spacing w:line="360" w:lineRule="auto"/>
        <w:rPr>
          <w:b/>
          <w:bCs/>
          <w:u w:val="single"/>
        </w:rPr>
      </w:pPr>
    </w:p>
    <w:p w14:paraId="10772048" w14:textId="46A14836" w:rsidR="00857511" w:rsidRPr="00BD2F6A" w:rsidRDefault="00BD2F6A" w:rsidP="00E0626E">
      <w:pPr>
        <w:spacing w:line="360" w:lineRule="auto"/>
        <w:rPr>
          <w:b/>
          <w:bCs/>
          <w:u w:val="single"/>
        </w:rPr>
      </w:pPr>
      <w:r w:rsidRPr="00BD2F6A">
        <w:rPr>
          <w:b/>
          <w:bCs/>
          <w:u w:val="single"/>
        </w:rPr>
        <w:t>Literature Review</w:t>
      </w:r>
    </w:p>
    <w:p w14:paraId="42CE24AB" w14:textId="0970C6A2" w:rsidR="001D3F06" w:rsidRDefault="009860E3" w:rsidP="00E0626E">
      <w:pPr>
        <w:spacing w:line="360" w:lineRule="auto"/>
      </w:pPr>
      <w:r>
        <w:t>Jean Piaget was a Swiss psychologist who</w:t>
      </w:r>
      <w:r w:rsidR="00857511">
        <w:t xml:space="preserve"> believed </w:t>
      </w:r>
      <w:r>
        <w:t xml:space="preserve">in a constructivist approach to education (Gray and MacBlain, 2012). His theory suggested </w:t>
      </w:r>
      <w:r w:rsidR="00857511">
        <w:t xml:space="preserve">that </w:t>
      </w:r>
      <w:r>
        <w:t>a child developed</w:t>
      </w:r>
      <w:r w:rsidR="00857511">
        <w:t xml:space="preserve"> their understanding </w:t>
      </w:r>
      <w:r>
        <w:t xml:space="preserve">of a subject area </w:t>
      </w:r>
      <w:r w:rsidR="00857511">
        <w:t xml:space="preserve">more effectively if </w:t>
      </w:r>
      <w:r>
        <w:t xml:space="preserve">the learning was controlled </w:t>
      </w:r>
      <w:r w:rsidR="00857511">
        <w:t>by the</w:t>
      </w:r>
      <w:r>
        <w:t>mselves</w:t>
      </w:r>
      <w:r w:rsidR="00857511">
        <w:t>.</w:t>
      </w:r>
      <w:r>
        <w:t xml:space="preserve"> Piaget believed that children’s interactions with the environment, rather than with other people, were the foundations for learning</w:t>
      </w:r>
      <w:r w:rsidR="00C97FF3">
        <w:t xml:space="preserve">, and </w:t>
      </w:r>
      <w:r>
        <w:t xml:space="preserve">that </w:t>
      </w:r>
      <w:r w:rsidR="006A2D35">
        <w:t>they</w:t>
      </w:r>
      <w:r>
        <w:t xml:space="preserve"> develop</w:t>
      </w:r>
      <w:r w:rsidR="00C97FF3">
        <w:t>ed</w:t>
      </w:r>
      <w:r>
        <w:t xml:space="preserve"> a better understanding of a subject area </w:t>
      </w:r>
      <w:r w:rsidR="00215571">
        <w:t>if</w:t>
      </w:r>
      <w:r>
        <w:t xml:space="preserve"> they explore</w:t>
      </w:r>
      <w:r w:rsidR="00C97FF3">
        <w:t>d</w:t>
      </w:r>
      <w:r>
        <w:t xml:space="preserve"> it independently</w:t>
      </w:r>
      <w:r w:rsidR="008A242A">
        <w:t xml:space="preserve"> </w:t>
      </w:r>
      <w:r w:rsidR="00673BA5">
        <w:t>(Mooney, 2013)</w:t>
      </w:r>
      <w:r>
        <w:t xml:space="preserve">. </w:t>
      </w:r>
      <w:r w:rsidR="00C97FF3">
        <w:t xml:space="preserve">Piaget </w:t>
      </w:r>
      <w:r w:rsidR="006A2D35">
        <w:t>suggested that</w:t>
      </w:r>
      <w:r w:rsidR="00C97FF3">
        <w:t xml:space="preserve"> concrete learning bec</w:t>
      </w:r>
      <w:r w:rsidR="008A242A">
        <w:t>omes</w:t>
      </w:r>
      <w:r w:rsidR="00C97FF3">
        <w:t xml:space="preserve"> the </w:t>
      </w:r>
      <w:r w:rsidR="006C13F7">
        <w:t xml:space="preserve">foundation for understanding </w:t>
      </w:r>
      <w:r w:rsidR="00215571">
        <w:t xml:space="preserve">concepts and theories </w:t>
      </w:r>
      <w:r w:rsidR="00673BA5">
        <w:t>among children aged</w:t>
      </w:r>
      <w:r w:rsidR="00215571">
        <w:t xml:space="preserve"> </w:t>
      </w:r>
      <w:r w:rsidR="00591D51">
        <w:t>7-11</w:t>
      </w:r>
      <w:r w:rsidR="00C97FF3">
        <w:t xml:space="preserve"> (Kolb, 2015). </w:t>
      </w:r>
      <w:r w:rsidR="006C13F7">
        <w:t xml:space="preserve">Employing this method of learning at the beginning of Year 2, when the majority of students are aged </w:t>
      </w:r>
      <w:r w:rsidR="00591D51">
        <w:t>six</w:t>
      </w:r>
      <w:r w:rsidR="006C13F7">
        <w:t xml:space="preserve">, </w:t>
      </w:r>
      <w:r w:rsidR="00A33140">
        <w:t>c</w:t>
      </w:r>
      <w:r w:rsidR="006C13F7">
        <w:t>ould therefore be considered fairly early for it to be effective.</w:t>
      </w:r>
      <w:r w:rsidR="001D3F06">
        <w:t xml:space="preserve"> Piaget’s theory is </w:t>
      </w:r>
      <w:r w:rsidR="00673BA5">
        <w:t xml:space="preserve">considered </w:t>
      </w:r>
      <w:r w:rsidR="001D3F06">
        <w:t xml:space="preserve">most applicable to Maths and Science (Sutherland, 1992), </w:t>
      </w:r>
      <w:r w:rsidR="008A242A">
        <w:t xml:space="preserve">with </w:t>
      </w:r>
      <w:r w:rsidR="001D3F06">
        <w:t>the hands-on nature of activities help</w:t>
      </w:r>
      <w:r w:rsidR="008A242A">
        <w:t>ing</w:t>
      </w:r>
      <w:r w:rsidR="001D3F06">
        <w:t xml:space="preserve"> students to establish connections </w:t>
      </w:r>
      <w:r w:rsidR="001B1255">
        <w:t>between their learning and</w:t>
      </w:r>
      <w:r w:rsidR="008A242A">
        <w:t xml:space="preserve"> underlying theor</w:t>
      </w:r>
      <w:r w:rsidR="001B1255">
        <w:t>ies</w:t>
      </w:r>
      <w:r w:rsidR="008A242A">
        <w:t xml:space="preserve"> </w:t>
      </w:r>
      <w:r w:rsidR="001D3F06">
        <w:t>(Putri</w:t>
      </w:r>
      <w:r w:rsidR="007B3A06">
        <w:t xml:space="preserve">, </w:t>
      </w:r>
      <w:r w:rsidR="001D3F06">
        <w:t>201</w:t>
      </w:r>
      <w:r w:rsidR="007B3A06">
        <w:t>9</w:t>
      </w:r>
      <w:r w:rsidR="001D3F06">
        <w:t xml:space="preserve">; Salimi et al., 2020; Witzel, 2005); however, this was not apparent during the critical incident, with Students A and B </w:t>
      </w:r>
      <w:r w:rsidR="00285463">
        <w:t xml:space="preserve">not </w:t>
      </w:r>
      <w:r w:rsidR="00591D51">
        <w:t>appearing</w:t>
      </w:r>
      <w:r w:rsidR="001D3F06">
        <w:t xml:space="preserve"> to form any sort of </w:t>
      </w:r>
      <w:r w:rsidR="00673BA5">
        <w:t>association</w:t>
      </w:r>
      <w:r w:rsidR="001D3F06">
        <w:t xml:space="preserve"> between the </w:t>
      </w:r>
      <w:r w:rsidR="008A242A">
        <w:t>learning materials</w:t>
      </w:r>
      <w:r w:rsidR="001D3F06">
        <w:t xml:space="preserve"> and </w:t>
      </w:r>
      <w:r w:rsidR="008A242A">
        <w:t>the objective of the lesson</w:t>
      </w:r>
      <w:r w:rsidR="001D3F06">
        <w:t xml:space="preserve">. </w:t>
      </w:r>
      <w:r w:rsidR="001B1255">
        <w:t xml:space="preserve">Children </w:t>
      </w:r>
      <w:r w:rsidR="001B1255" w:rsidRPr="00673BA5">
        <w:t>often learn concepts unconsciously</w:t>
      </w:r>
      <w:r w:rsidR="00285463">
        <w:t xml:space="preserve">, sometimes </w:t>
      </w:r>
      <w:r w:rsidR="006D6893">
        <w:t>by simply being exposed</w:t>
      </w:r>
      <w:r w:rsidR="00285463">
        <w:t xml:space="preserve"> to a subject area</w:t>
      </w:r>
      <w:r w:rsidR="006D6893">
        <w:t xml:space="preserve"> </w:t>
      </w:r>
      <w:r w:rsidR="001B1255">
        <w:t>(White, 2002). The playful nature of the constructivist approach also engages children in the activity and generates enthusiasm, helping to make learning fun and relate it to the real world (Kolb, 2015; Putri 2019). Although</w:t>
      </w:r>
      <w:r w:rsidR="00673BA5" w:rsidRPr="00673BA5">
        <w:t xml:space="preserve"> results often occur</w:t>
      </w:r>
      <w:r w:rsidR="001B1255">
        <w:t xml:space="preserve"> at a slow pace</w:t>
      </w:r>
      <w:r w:rsidR="00673BA5" w:rsidRPr="00673BA5">
        <w:t xml:space="preserve"> </w:t>
      </w:r>
      <w:r w:rsidR="001B1255">
        <w:t xml:space="preserve">and </w:t>
      </w:r>
      <w:r w:rsidR="00591D51">
        <w:t xml:space="preserve">are sometimes difficult to identify through </w:t>
      </w:r>
      <w:r w:rsidR="00591D51">
        <w:lastRenderedPageBreak/>
        <w:t>observation</w:t>
      </w:r>
      <w:r w:rsidR="001B1255">
        <w:t xml:space="preserve"> </w:t>
      </w:r>
      <w:r w:rsidR="00673BA5" w:rsidRPr="00673BA5">
        <w:t>(</w:t>
      </w:r>
      <w:r w:rsidR="001B1255">
        <w:t xml:space="preserve">Hoong et al., 2015; </w:t>
      </w:r>
      <w:r w:rsidR="00673BA5" w:rsidRPr="00673BA5">
        <w:t>Mooney, 2013)</w:t>
      </w:r>
      <w:r w:rsidR="001B1255">
        <w:t>, the long-term benefits tend to be a deeper understanding of the subject area, and a stronger base for future learning (Salimi et al., 2020).</w:t>
      </w:r>
      <w:r w:rsidR="00285463">
        <w:t xml:space="preserve"> This would therefore suggest that some form of learning may have been taking place without it being particularly obvious to </w:t>
      </w:r>
      <w:r w:rsidR="00B947AD">
        <w:t>the</w:t>
      </w:r>
      <w:r w:rsidR="00285463">
        <w:t xml:space="preserve"> observer, and that positive results may potentially have been more apparent if the observation had taken place over a longer period of time.</w:t>
      </w:r>
    </w:p>
    <w:p w14:paraId="59813E8A" w14:textId="7A4BA49F" w:rsidR="00AA3662" w:rsidRDefault="00E17E43" w:rsidP="00E0626E">
      <w:pPr>
        <w:spacing w:line="360" w:lineRule="auto"/>
      </w:pPr>
      <w:r>
        <w:t xml:space="preserve">Gray and MacBain (2012) cite </w:t>
      </w:r>
      <w:r w:rsidR="00121E8E">
        <w:t xml:space="preserve">criticism of Piaget’s theory in relation to the </w:t>
      </w:r>
      <w:r>
        <w:t>clearly defined age brackets outlined</w:t>
      </w:r>
      <w:r w:rsidR="00121E8E">
        <w:t xml:space="preserve"> for each stage of learning</w:t>
      </w:r>
      <w:r w:rsidR="00841DCA">
        <w:t>, and</w:t>
      </w:r>
      <w:r w:rsidR="00121E8E">
        <w:t xml:space="preserve"> </w:t>
      </w:r>
      <w:r w:rsidR="00121E8E" w:rsidRPr="00375FF5">
        <w:t xml:space="preserve">Wood (1998) refers to research conducted by Susan Isaacs, which </w:t>
      </w:r>
      <w:r w:rsidR="00121E8E">
        <w:t>identifie</w:t>
      </w:r>
      <w:r w:rsidR="00830587">
        <w:t>s</w:t>
      </w:r>
      <w:r w:rsidR="00121E8E">
        <w:t xml:space="preserve"> children engaging in rational thinking as young as </w:t>
      </w:r>
      <w:r w:rsidR="006D6893">
        <w:t>three</w:t>
      </w:r>
      <w:r w:rsidR="00841DCA">
        <w:t xml:space="preserve">. This </w:t>
      </w:r>
      <w:r w:rsidR="00121E8E">
        <w:t>suggest</w:t>
      </w:r>
      <w:r w:rsidR="00841DCA">
        <w:t>s</w:t>
      </w:r>
      <w:r w:rsidR="00121E8E">
        <w:t xml:space="preserve"> that some children are able to attach meaning to basic concepts well in advance of Year </w:t>
      </w:r>
      <w:r w:rsidR="006D6893">
        <w:t>2</w:t>
      </w:r>
      <w:r w:rsidR="00841DCA">
        <w:t xml:space="preserve">, and contradicts the notion that </w:t>
      </w:r>
      <w:r w:rsidR="006D6893">
        <w:t>six</w:t>
      </w:r>
      <w:r w:rsidR="00841DCA">
        <w:t>-year-olds would be too young to develop these skills</w:t>
      </w:r>
      <w:r w:rsidR="00121E8E">
        <w:t xml:space="preserve">. According to </w:t>
      </w:r>
      <w:r w:rsidR="00830587">
        <w:t xml:space="preserve">Russian psychologist Lev </w:t>
      </w:r>
      <w:r w:rsidR="00121E8E">
        <w:t xml:space="preserve">Vygotsky, a child’s development cannot be considered to </w:t>
      </w:r>
      <w:r w:rsidR="007858B1">
        <w:t>operate</w:t>
      </w:r>
      <w:r w:rsidR="00121E8E">
        <w:t xml:space="preserve"> in a closed environment, </w:t>
      </w:r>
      <w:r w:rsidR="00830587">
        <w:t>with the</w:t>
      </w:r>
      <w:r w:rsidR="00121E8E">
        <w:t xml:space="preserve"> </w:t>
      </w:r>
      <w:r w:rsidR="00AA3662">
        <w:t>people around</w:t>
      </w:r>
      <w:r w:rsidR="00121E8E">
        <w:t xml:space="preserve"> the child influenc</w:t>
      </w:r>
      <w:r w:rsidR="00830587">
        <w:t>ing</w:t>
      </w:r>
      <w:r w:rsidR="00121E8E">
        <w:t xml:space="preserve"> the</w:t>
      </w:r>
      <w:r w:rsidR="007858B1">
        <w:t>ir</w:t>
      </w:r>
      <w:r w:rsidR="00121E8E">
        <w:t xml:space="preserve"> rate of development (Sutherland, 1992). </w:t>
      </w:r>
      <w:r w:rsidR="00AA3662">
        <w:t xml:space="preserve">While Vygotsky supported Piaget’s theory </w:t>
      </w:r>
      <w:r w:rsidR="00841DCA">
        <w:t>that</w:t>
      </w:r>
      <w:r w:rsidR="00AA3662">
        <w:t xml:space="preserve"> children learn</w:t>
      </w:r>
      <w:r w:rsidR="00841DCA">
        <w:t xml:space="preserve"> most effectively</w:t>
      </w:r>
      <w:r w:rsidR="00AA3662">
        <w:t xml:space="preserve"> through play, he believed that interaction with peers and teachers help to enhance the child’s learning (Mooney, 2013). This raises an interesting point regarding the role of the LSA within the observed activity, who largely allowed the students to work independently and only intervened when students lost focus. While Piaget would recommend minimal involvement, Vygotsky would advocate</w:t>
      </w:r>
      <w:r w:rsidR="00B34393">
        <w:t xml:space="preserve"> that she take</w:t>
      </w:r>
      <w:r w:rsidR="006D6893">
        <w:t>s</w:t>
      </w:r>
      <w:r w:rsidR="00AA3662">
        <w:t xml:space="preserve"> a </w:t>
      </w:r>
      <w:r w:rsidR="00B34393">
        <w:t>more prominent</w:t>
      </w:r>
      <w:r w:rsidR="00AA3662">
        <w:t xml:space="preserve"> role in guiding the students’ learning.</w:t>
      </w:r>
      <w:r w:rsidR="00841DCA">
        <w:t xml:space="preserve"> </w:t>
      </w:r>
      <w:r w:rsidR="002E6544">
        <w:t>Piaget believe</w:t>
      </w:r>
      <w:r w:rsidR="00841DCA">
        <w:t>d</w:t>
      </w:r>
      <w:r w:rsidR="002E6544">
        <w:t xml:space="preserve"> that the intelligence of a child should be measured without any external assistance</w:t>
      </w:r>
      <w:r w:rsidR="00841DCA">
        <w:t>;</w:t>
      </w:r>
      <w:r w:rsidR="002E6544">
        <w:t xml:space="preserve"> </w:t>
      </w:r>
      <w:r w:rsidR="00841DCA">
        <w:t xml:space="preserve">however, </w:t>
      </w:r>
      <w:r w:rsidR="002E6544">
        <w:t>Vygotsky s</w:t>
      </w:r>
      <w:r w:rsidR="00841DCA">
        <w:t>aw</w:t>
      </w:r>
      <w:r w:rsidR="002E6544">
        <w:t xml:space="preserve"> the influence of the teacher as an essential element of the learning process</w:t>
      </w:r>
      <w:r w:rsidR="00841DCA">
        <w:t xml:space="preserve"> and the </w:t>
      </w:r>
      <w:r w:rsidR="002E6544">
        <w:t>develop</w:t>
      </w:r>
      <w:r w:rsidR="00841DCA">
        <w:t>ment of</w:t>
      </w:r>
      <w:r w:rsidR="002E6544">
        <w:t xml:space="preserve"> a child’s skills and knowledge (Wood, 1998). Vygotsky referred to </w:t>
      </w:r>
      <w:r w:rsidR="002E6544" w:rsidRPr="002E6544">
        <w:rPr>
          <w:i/>
          <w:iCs/>
        </w:rPr>
        <w:t>proximal development</w:t>
      </w:r>
      <w:r w:rsidR="002E6544">
        <w:t xml:space="preserve"> as being the gap between what </w:t>
      </w:r>
      <w:r w:rsidR="00B16419">
        <w:t>children are</w:t>
      </w:r>
      <w:r w:rsidR="002E6544">
        <w:t xml:space="preserve"> able to do independently, and what they could do with the assistance of a teacher</w:t>
      </w:r>
      <w:r w:rsidR="00B25C46">
        <w:t xml:space="preserve">, and </w:t>
      </w:r>
      <w:r w:rsidR="00B16419">
        <w:t xml:space="preserve">suggested </w:t>
      </w:r>
      <w:r w:rsidR="00B25C46">
        <w:t xml:space="preserve">that for some students this gap could equate to several years </w:t>
      </w:r>
      <w:r w:rsidR="002E6544">
        <w:t>(Mooney, 2013; Wood, 1998).</w:t>
      </w:r>
      <w:r w:rsidR="007858B1">
        <w:t xml:space="preserve"> </w:t>
      </w:r>
      <w:r w:rsidR="00BD2F6A">
        <w:t>Wood, Bruner and Ross (197</w:t>
      </w:r>
      <w:r w:rsidR="0099563F">
        <w:t>6</w:t>
      </w:r>
      <w:r w:rsidR="00BD2F6A">
        <w:t xml:space="preserve">) found that without assistance a child of </w:t>
      </w:r>
      <w:r w:rsidR="006D6893">
        <w:t>three to four</w:t>
      </w:r>
      <w:r w:rsidR="00BD2F6A">
        <w:t xml:space="preserve"> years could not put together a simple toy, however a child of the same age who had previously been taught to put the toy together, was able to do it unassisted. </w:t>
      </w:r>
      <w:r w:rsidR="007858B1">
        <w:t xml:space="preserve">This suggests that a constructivist approach could be more efficient and effective if a teacher helps to guide the </w:t>
      </w:r>
      <w:r w:rsidR="00D40154">
        <w:t>activity</w:t>
      </w:r>
      <w:r w:rsidR="007858B1">
        <w:t>, and that for some students</w:t>
      </w:r>
      <w:r w:rsidR="00B12AB3">
        <w:t>,</w:t>
      </w:r>
      <w:r w:rsidR="007858B1">
        <w:t xml:space="preserve"> </w:t>
      </w:r>
      <w:r w:rsidR="00D40154">
        <w:t>adult intervention</w:t>
      </w:r>
      <w:r w:rsidR="007858B1">
        <w:t xml:space="preserve"> can greatly </w:t>
      </w:r>
      <w:r w:rsidR="00D40154">
        <w:t>accelerate</w:t>
      </w:r>
      <w:r w:rsidR="007858B1">
        <w:t xml:space="preserve"> </w:t>
      </w:r>
      <w:r w:rsidR="00D40154">
        <w:t>the learning process.</w:t>
      </w:r>
    </w:p>
    <w:p w14:paraId="306A9000" w14:textId="6D9C6EB3" w:rsidR="009267EB" w:rsidRDefault="00720489" w:rsidP="00E0626E">
      <w:pPr>
        <w:spacing w:line="360" w:lineRule="auto"/>
      </w:pPr>
      <w:r w:rsidRPr="00B16419">
        <w:t xml:space="preserve">A group activity enables students to re-affirm their learning through </w:t>
      </w:r>
      <w:r w:rsidR="00E71EA7" w:rsidRPr="00B16419">
        <w:t>answering each other’s questions</w:t>
      </w:r>
      <w:r w:rsidRPr="00B16419">
        <w:t xml:space="preserve">, and </w:t>
      </w:r>
      <w:r w:rsidR="00E71EA7" w:rsidRPr="00B16419">
        <w:t>finding solutions to problems</w:t>
      </w:r>
      <w:r w:rsidRPr="00B16419">
        <w:t xml:space="preserve"> without the assistance of a teacher (Putri, 2019). </w:t>
      </w:r>
      <w:r w:rsidR="007060D4" w:rsidRPr="00B16419">
        <w:rPr>
          <w:rFonts w:cstheme="minorHAnsi"/>
          <w:shd w:val="clear" w:color="auto" w:fill="FFFFFF"/>
        </w:rPr>
        <w:t>T</w:t>
      </w:r>
      <w:r w:rsidR="00B25C46" w:rsidRPr="00B16419">
        <w:rPr>
          <w:rFonts w:cstheme="minorHAnsi"/>
          <w:shd w:val="clear" w:color="auto" w:fill="FFFFFF"/>
        </w:rPr>
        <w:t xml:space="preserve">he CPA model </w:t>
      </w:r>
      <w:r w:rsidR="00232AD8" w:rsidRPr="00B16419">
        <w:rPr>
          <w:rFonts w:cstheme="minorHAnsi"/>
          <w:shd w:val="clear" w:color="auto" w:fill="FFFFFF"/>
        </w:rPr>
        <w:t xml:space="preserve">can be </w:t>
      </w:r>
      <w:r w:rsidR="00B25C46" w:rsidRPr="00B16419">
        <w:rPr>
          <w:rFonts w:cstheme="minorHAnsi"/>
          <w:shd w:val="clear" w:color="auto" w:fill="FFFFFF"/>
        </w:rPr>
        <w:t>particularly successful</w:t>
      </w:r>
      <w:r w:rsidR="00072575" w:rsidRPr="00B16419">
        <w:rPr>
          <w:rFonts w:cstheme="minorHAnsi"/>
          <w:shd w:val="clear" w:color="auto" w:fill="FFFFFF"/>
        </w:rPr>
        <w:t xml:space="preserve"> if it takes place</w:t>
      </w:r>
      <w:r w:rsidR="00B25C46" w:rsidRPr="00B16419">
        <w:rPr>
          <w:rFonts w:cstheme="minorHAnsi"/>
          <w:shd w:val="clear" w:color="auto" w:fill="FFFFFF"/>
        </w:rPr>
        <w:t xml:space="preserve"> within inclusive settings, as interaction between students of different abilities enables learning to take place </w:t>
      </w:r>
      <w:r w:rsidR="00072575" w:rsidRPr="00B16419">
        <w:rPr>
          <w:rFonts w:cstheme="minorHAnsi"/>
          <w:shd w:val="clear" w:color="auto" w:fill="FFFFFF"/>
        </w:rPr>
        <w:t>more effectively</w:t>
      </w:r>
      <w:r w:rsidR="007060D4" w:rsidRPr="00B16419">
        <w:rPr>
          <w:rFonts w:cstheme="minorHAnsi"/>
          <w:shd w:val="clear" w:color="auto" w:fill="FFFFFF"/>
        </w:rPr>
        <w:t xml:space="preserve"> (Witzel, 2005)</w:t>
      </w:r>
      <w:r w:rsidR="00B25C46" w:rsidRPr="00B16419">
        <w:rPr>
          <w:rFonts w:cstheme="minorHAnsi"/>
          <w:shd w:val="clear" w:color="auto" w:fill="FFFFFF"/>
        </w:rPr>
        <w:t>.</w:t>
      </w:r>
      <w:r w:rsidR="001D3F5A" w:rsidRPr="00B16419">
        <w:rPr>
          <w:rFonts w:cstheme="minorHAnsi"/>
          <w:shd w:val="clear" w:color="auto" w:fill="FFFFFF"/>
        </w:rPr>
        <w:t xml:space="preserve"> </w:t>
      </w:r>
      <w:r w:rsidR="00072575" w:rsidRPr="00B16419">
        <w:t xml:space="preserve">As well as helping the weaker student to develop their skills, Vygotsky </w:t>
      </w:r>
      <w:r w:rsidR="00E71EA7" w:rsidRPr="00B16419">
        <w:t>felt that it allowed more</w:t>
      </w:r>
      <w:r w:rsidR="00072575" w:rsidRPr="00B16419">
        <w:t xml:space="preserve"> </w:t>
      </w:r>
      <w:r w:rsidR="00072575">
        <w:lastRenderedPageBreak/>
        <w:t>advanced children to develop</w:t>
      </w:r>
      <w:r w:rsidR="00E71EA7">
        <w:t xml:space="preserve"> </w:t>
      </w:r>
      <w:r w:rsidR="00830587">
        <w:t xml:space="preserve">an </w:t>
      </w:r>
      <w:r w:rsidR="00072575">
        <w:t xml:space="preserve">in-depth understanding of the subject matter </w:t>
      </w:r>
      <w:r w:rsidR="00E71EA7">
        <w:t>through sharing their knowledge</w:t>
      </w:r>
      <w:r w:rsidR="008D09E5">
        <w:t xml:space="preserve"> and expertise</w:t>
      </w:r>
      <w:r w:rsidR="00E71EA7">
        <w:t xml:space="preserve"> </w:t>
      </w:r>
      <w:r w:rsidR="007060D4">
        <w:rPr>
          <w:rFonts w:cstheme="minorHAnsi"/>
          <w:color w:val="3A3A3A"/>
          <w:shd w:val="clear" w:color="auto" w:fill="FFFFFF"/>
        </w:rPr>
        <w:t>(</w:t>
      </w:r>
      <w:r w:rsidR="002972E2">
        <w:rPr>
          <w:rFonts w:cstheme="minorHAnsi"/>
          <w:color w:val="3A3A3A"/>
          <w:shd w:val="clear" w:color="auto" w:fill="FFFFFF"/>
        </w:rPr>
        <w:t xml:space="preserve">Kolb, 2015; </w:t>
      </w:r>
      <w:r w:rsidR="007060D4">
        <w:rPr>
          <w:rFonts w:cstheme="minorHAnsi"/>
          <w:color w:val="3A3A3A"/>
          <w:shd w:val="clear" w:color="auto" w:fill="FFFFFF"/>
        </w:rPr>
        <w:t>Sutherland, 1992</w:t>
      </w:r>
      <w:r w:rsidR="002972E2">
        <w:rPr>
          <w:rFonts w:cstheme="minorHAnsi"/>
          <w:color w:val="3A3A3A"/>
          <w:shd w:val="clear" w:color="auto" w:fill="FFFFFF"/>
        </w:rPr>
        <w:t>; Witzel, 2005</w:t>
      </w:r>
      <w:r w:rsidR="007060D4">
        <w:rPr>
          <w:rFonts w:cstheme="minorHAnsi"/>
          <w:color w:val="3A3A3A"/>
          <w:shd w:val="clear" w:color="auto" w:fill="FFFFFF"/>
        </w:rPr>
        <w:t xml:space="preserve">). </w:t>
      </w:r>
      <w:r w:rsidR="0022122C">
        <w:t xml:space="preserve">Vygotsky viewed the social interactions </w:t>
      </w:r>
      <w:r w:rsidR="00232AD8">
        <w:t>which occur</w:t>
      </w:r>
      <w:r w:rsidR="0022122C">
        <w:t xml:space="preserve"> during play as valuable element</w:t>
      </w:r>
      <w:r w:rsidR="00830587">
        <w:t>s</w:t>
      </w:r>
      <w:r w:rsidR="0022122C">
        <w:t xml:space="preserve"> of the learning process, and while he felt play among very young children should be adult-led, he believed that children should take more of a lead role in play activities as they get older, with students essentially learning from each other (Gray and MacBlain, 2012). In contrast, Piaget saw social interaction as a distraction</w:t>
      </w:r>
      <w:r w:rsidR="00B613EC">
        <w:t xml:space="preserve">, </w:t>
      </w:r>
      <w:r w:rsidR="00B9677D">
        <w:t xml:space="preserve">and while he acknowledged the benefits collaboration could bring in terms of an individual’s social development, he did not feel that it assisted other facets of </w:t>
      </w:r>
      <w:r w:rsidR="00232AD8">
        <w:t xml:space="preserve">their </w:t>
      </w:r>
      <w:r w:rsidR="00B9677D">
        <w:t>learning</w:t>
      </w:r>
      <w:r w:rsidR="00B613EC">
        <w:t xml:space="preserve"> (Piaget, Inhelder and Weaver, 1969)</w:t>
      </w:r>
      <w:r w:rsidR="00B9677D">
        <w:t xml:space="preserve">. </w:t>
      </w:r>
      <w:r>
        <w:t xml:space="preserve">Essentially, </w:t>
      </w:r>
      <w:r w:rsidR="00056A4C">
        <w:t>he believed that</w:t>
      </w:r>
      <w:r>
        <w:t xml:space="preserve"> learning should </w:t>
      </w:r>
      <w:r w:rsidR="008D09E5">
        <w:t xml:space="preserve">only </w:t>
      </w:r>
      <w:r>
        <w:t xml:space="preserve">involve </w:t>
      </w:r>
      <w:r w:rsidR="006D6893">
        <w:t xml:space="preserve">social </w:t>
      </w:r>
      <w:r w:rsidR="00380AEF">
        <w:t xml:space="preserve">interaction </w:t>
      </w:r>
      <w:r w:rsidR="008D09E5">
        <w:t>if the objective of the activity</w:t>
      </w:r>
      <w:r w:rsidR="002972E2">
        <w:t xml:space="preserve"> was to enhance social skills</w:t>
      </w:r>
      <w:r>
        <w:t>.</w:t>
      </w:r>
      <w:r w:rsidR="006D6893">
        <w:t xml:space="preserve"> </w:t>
      </w:r>
      <w:r>
        <w:t xml:space="preserve">Interestingly, while Piaget </w:t>
      </w:r>
      <w:r w:rsidR="00232AD8">
        <w:t>viewed</w:t>
      </w:r>
      <w:r>
        <w:t xml:space="preserve"> learning as a</w:t>
      </w:r>
      <w:r w:rsidR="00E71EA7">
        <w:t>n ever-advancing</w:t>
      </w:r>
      <w:r>
        <w:t xml:space="preserve"> process of development, Vygotsky believed that children could move backwards as well as forwards (Gray and MacBlain, 2012</w:t>
      </w:r>
      <w:r w:rsidR="00380AEF">
        <w:t xml:space="preserve">). </w:t>
      </w:r>
      <w:r w:rsidR="009267EB">
        <w:t xml:space="preserve">This suggests </w:t>
      </w:r>
      <w:r w:rsidR="00B947AD">
        <w:t xml:space="preserve">an acceptance </w:t>
      </w:r>
      <w:r w:rsidR="00B16419">
        <w:t xml:space="preserve">on the part of Vygotsky </w:t>
      </w:r>
      <w:r w:rsidR="009267EB">
        <w:t xml:space="preserve">that there could be negative as well as positive consequences to a collaborative peer-led approach. </w:t>
      </w:r>
      <w:r w:rsidR="00B947AD">
        <w:t>Salimi et al. (2020) suggest</w:t>
      </w:r>
      <w:r w:rsidR="00830587">
        <w:t>s</w:t>
      </w:r>
      <w:r w:rsidR="00B947AD">
        <w:t xml:space="preserve"> that s</w:t>
      </w:r>
      <w:r w:rsidR="009267EB">
        <w:t>tudents who do not understand a problem may be reluctant to ask their peers for help</w:t>
      </w:r>
      <w:r w:rsidR="00DA5140">
        <w:t xml:space="preserve"> through fear of embarrassment, </w:t>
      </w:r>
      <w:r w:rsidR="00232AD8">
        <w:t>and instead</w:t>
      </w:r>
      <w:r w:rsidR="009267EB">
        <w:t xml:space="preserve"> take a </w:t>
      </w:r>
      <w:r w:rsidR="00232AD8">
        <w:t>more</w:t>
      </w:r>
      <w:r w:rsidR="009267EB">
        <w:t xml:space="preserve"> passive approach</w:t>
      </w:r>
      <w:r w:rsidR="00232AD8">
        <w:t>, causing them to get left behind in the learning process</w:t>
      </w:r>
      <w:r w:rsidR="009267EB">
        <w:t>. It could be argued that the two students identified in the critical incident fell into this category, with their lack of understanding of the subject area pushing them further away</w:t>
      </w:r>
      <w:r w:rsidR="00DA5140">
        <w:t xml:space="preserve"> from the group</w:t>
      </w:r>
      <w:r w:rsidR="009267EB">
        <w:t xml:space="preserve">. Rather than ask for help, or attempt to </w:t>
      </w:r>
      <w:r w:rsidR="00B613EC">
        <w:t>interact with those who understood the concept</w:t>
      </w:r>
      <w:r w:rsidR="009267EB">
        <w:t>, they distanced themselves</w:t>
      </w:r>
      <w:r w:rsidR="00B613EC">
        <w:t xml:space="preserve"> and focused on an activity they could do. </w:t>
      </w:r>
      <w:r w:rsidR="006D6893">
        <w:t>Simultaneously</w:t>
      </w:r>
      <w:r w:rsidR="00B613EC">
        <w:t>, more advanced</w:t>
      </w:r>
      <w:r w:rsidR="009267EB">
        <w:t xml:space="preserve"> members of the group ignored </w:t>
      </w:r>
      <w:r w:rsidR="00B613EC">
        <w:t>students X and Y</w:t>
      </w:r>
      <w:r w:rsidR="009267EB">
        <w:t xml:space="preserve"> and focused on their own learning</w:t>
      </w:r>
      <w:r w:rsidR="006D6893">
        <w:t>,</w:t>
      </w:r>
      <w:r w:rsidR="00232AD8">
        <w:t xml:space="preserve"> directly contrasting </w:t>
      </w:r>
      <w:r w:rsidR="00B16419">
        <w:t>with</w:t>
      </w:r>
      <w:r w:rsidR="00232AD8">
        <w:t xml:space="preserve"> </w:t>
      </w:r>
      <w:r w:rsidR="00DA5140">
        <w:t xml:space="preserve">Vygotsky’s </w:t>
      </w:r>
      <w:r w:rsidR="00232AD8">
        <w:t>desire</w:t>
      </w:r>
      <w:r w:rsidR="00DA5140">
        <w:t xml:space="preserve"> that they use the opportunity to share their knowledge</w:t>
      </w:r>
      <w:r w:rsidR="00830587">
        <w:t>,</w:t>
      </w:r>
      <w:r w:rsidR="00DA5140">
        <w:t xml:space="preserve"> and </w:t>
      </w:r>
      <w:r w:rsidR="006D6893">
        <w:t>develop a more in-depth understanding of the subject</w:t>
      </w:r>
      <w:r w:rsidR="00232AD8">
        <w:t xml:space="preserve"> area</w:t>
      </w:r>
      <w:r w:rsidR="006D6893">
        <w:t>.</w:t>
      </w:r>
    </w:p>
    <w:p w14:paraId="0F39042E" w14:textId="0336E82C" w:rsidR="00BD2F6A" w:rsidRDefault="00032C7D" w:rsidP="00E0626E">
      <w:pPr>
        <w:spacing w:line="360" w:lineRule="auto"/>
      </w:pPr>
      <w:r>
        <w:t xml:space="preserve">Short-term, or </w:t>
      </w:r>
      <w:r w:rsidRPr="00D65788">
        <w:rPr>
          <w:i/>
          <w:iCs/>
        </w:rPr>
        <w:t>working memory</w:t>
      </w:r>
      <w:r>
        <w:t>, processes information as the brain receives it, and dif</w:t>
      </w:r>
      <w:r w:rsidR="00574C50">
        <w:t>fers</w:t>
      </w:r>
      <w:r>
        <w:t xml:space="preserve"> from long-term memory in that it only </w:t>
      </w:r>
      <w:r w:rsidR="00574C50">
        <w:t xml:space="preserve">has the capacity to </w:t>
      </w:r>
      <w:r>
        <w:t xml:space="preserve">retain a very small amount of information (De Jong, 2010). </w:t>
      </w:r>
      <w:r w:rsidRPr="00530660">
        <w:rPr>
          <w:i/>
          <w:iCs/>
        </w:rPr>
        <w:t>Cognitive load theory</w:t>
      </w:r>
      <w:r>
        <w:t xml:space="preserve"> considers working memory to </w:t>
      </w:r>
      <w:r w:rsidR="00D65788">
        <w:t>be able</w:t>
      </w:r>
      <w:r>
        <w:t xml:space="preserve"> to process </w:t>
      </w:r>
      <w:r w:rsidR="00530660">
        <w:t>two to</w:t>
      </w:r>
      <w:r>
        <w:t xml:space="preserve"> four pieces of </w:t>
      </w:r>
      <w:r w:rsidR="00C6422D">
        <w:t xml:space="preserve">new </w:t>
      </w:r>
      <w:r>
        <w:t>information at a time</w:t>
      </w:r>
      <w:r w:rsidR="00530660">
        <w:t xml:space="preserve"> </w:t>
      </w:r>
      <w:r>
        <w:t>(Hattie and Yates, 2014)</w:t>
      </w:r>
      <w:r w:rsidR="00C6422D">
        <w:t xml:space="preserve">. If learning requires the processing of too much new information, the working memory becomes overloaded and learning is negatively affected (De Jong, 2010). </w:t>
      </w:r>
      <w:r w:rsidR="00C6422D" w:rsidRPr="00530660">
        <w:rPr>
          <w:i/>
          <w:iCs/>
        </w:rPr>
        <w:t>Extraneous cognitive load</w:t>
      </w:r>
      <w:r w:rsidR="00C6422D">
        <w:t xml:space="preserve"> relates to </w:t>
      </w:r>
      <w:r w:rsidR="00574C50">
        <w:t xml:space="preserve">unnecessary </w:t>
      </w:r>
      <w:r w:rsidR="00C6422D">
        <w:t>information that enters the working memory</w:t>
      </w:r>
      <w:r w:rsidR="00574C50">
        <w:t xml:space="preserve"> during the learning process</w:t>
      </w:r>
      <w:r w:rsidR="00C6422D">
        <w:t xml:space="preserve">, </w:t>
      </w:r>
      <w:r w:rsidR="000B1E13">
        <w:t>and</w:t>
      </w:r>
      <w:r w:rsidR="00574C50">
        <w:t xml:space="preserve"> contributes towards cognitive overload </w:t>
      </w:r>
      <w:r w:rsidR="00C6422D">
        <w:t>(</w:t>
      </w:r>
      <w:r w:rsidR="00574C50">
        <w:t xml:space="preserve">Furhman, 2017; </w:t>
      </w:r>
      <w:r w:rsidR="00C6422D">
        <w:t>Hattie and Yates, 2014; Shibli and West, 2018)</w:t>
      </w:r>
      <w:r w:rsidR="00574C50">
        <w:t xml:space="preserve">. </w:t>
      </w:r>
      <w:r w:rsidR="000B1E13">
        <w:t xml:space="preserve">This information can come in the form of unnecessary instructions (Chandler and Sweller, 1991), repetitive information (Shibli and West, 2018), and the use of an extensive range of resources (van Merrienboer and Sweller, 2005). </w:t>
      </w:r>
      <w:r w:rsidR="00574C50">
        <w:t xml:space="preserve">This would suggest </w:t>
      </w:r>
      <w:r w:rsidR="00D65788">
        <w:t xml:space="preserve">that </w:t>
      </w:r>
      <w:r w:rsidR="00574C50">
        <w:t xml:space="preserve">all </w:t>
      </w:r>
      <w:r w:rsidR="00D65788">
        <w:t xml:space="preserve">information </w:t>
      </w:r>
      <w:r w:rsidR="00530660">
        <w:t>that is</w:t>
      </w:r>
      <w:r w:rsidR="00D65788">
        <w:t xml:space="preserve"> not essential to the learning process </w:t>
      </w:r>
      <w:r w:rsidR="00574C50">
        <w:t>should be re</w:t>
      </w:r>
      <w:r w:rsidR="00D65788">
        <w:t>moved in order to maximise the efficiency of the working memory</w:t>
      </w:r>
      <w:r w:rsidR="00530660">
        <w:t xml:space="preserve">. </w:t>
      </w:r>
      <w:r w:rsidR="00D65788">
        <w:t xml:space="preserve">Salimi et al. (2020) recognise </w:t>
      </w:r>
      <w:r w:rsidR="00D65788">
        <w:lastRenderedPageBreak/>
        <w:t>the importance of physical resources within the learning process, but also identify the</w:t>
      </w:r>
      <w:r w:rsidR="00A33140">
        <w:t>ir</w:t>
      </w:r>
      <w:r w:rsidR="00D65788">
        <w:t xml:space="preserve"> potential to distract students from the objective of the task</w:t>
      </w:r>
      <w:r w:rsidR="00B36549">
        <w:t xml:space="preserve"> </w:t>
      </w:r>
      <w:r w:rsidR="00B11723">
        <w:t>through over-</w:t>
      </w:r>
      <w:r w:rsidR="00B36549">
        <w:t>stimulation</w:t>
      </w:r>
      <w:r w:rsidR="00D65788">
        <w:t>. The critical incident involved the use of connecting blocks, gloves and tensticks to encourage students to count in twos, threes, fives and tens</w:t>
      </w:r>
      <w:r w:rsidR="00B36549">
        <w:t>, and while this may have benefitted the learning of students who already had a basic understanding of the concepts</w:t>
      </w:r>
      <w:r w:rsidR="000B1E13">
        <w:t xml:space="preserve"> being addressed</w:t>
      </w:r>
      <w:r w:rsidR="00B36549">
        <w:t xml:space="preserve"> (De Jong, 2010)</w:t>
      </w:r>
      <w:r w:rsidR="00D65788">
        <w:t>, the presence of so many resources could be considered extraneous cognitive load</w:t>
      </w:r>
      <w:r w:rsidR="00B36549">
        <w:t xml:space="preserve"> for a student with little or no prior knowledge</w:t>
      </w:r>
      <w:r w:rsidR="00B36549" w:rsidRPr="00B36549">
        <w:t xml:space="preserve"> </w:t>
      </w:r>
      <w:r w:rsidR="00B36549">
        <w:t>(van Merrienboer and Sweller, 2005)</w:t>
      </w:r>
      <w:r w:rsidR="000B1E13">
        <w:t>.</w:t>
      </w:r>
      <w:r w:rsidR="00B11723">
        <w:t xml:space="preserve"> </w:t>
      </w:r>
      <w:r w:rsidR="00530660">
        <w:t>A</w:t>
      </w:r>
      <w:r w:rsidR="000B1E13">
        <w:t xml:space="preserve">n effective method of reducing cognitive overload for a novice learner is </w:t>
      </w:r>
      <w:r w:rsidR="00A33140">
        <w:t>to pre-learn</w:t>
      </w:r>
      <w:r w:rsidR="000B1E13">
        <w:t xml:space="preserve"> </w:t>
      </w:r>
      <w:r w:rsidR="00530660">
        <w:t>the skill (Hattie and Yates, 2014)</w:t>
      </w:r>
      <w:r w:rsidR="00B34EE6">
        <w:t xml:space="preserve">; </w:t>
      </w:r>
      <w:r w:rsidR="000B1E13">
        <w:t>therefore</w:t>
      </w:r>
      <w:r w:rsidR="00530660">
        <w:t xml:space="preserve">, within the </w:t>
      </w:r>
      <w:r w:rsidR="00B34EE6">
        <w:t xml:space="preserve">context of the </w:t>
      </w:r>
      <w:r w:rsidR="00530660">
        <w:t>critical incident</w:t>
      </w:r>
      <w:r w:rsidR="000B1E13">
        <w:t xml:space="preserve"> it </w:t>
      </w:r>
      <w:r w:rsidR="00B34EE6">
        <w:t>may</w:t>
      </w:r>
      <w:r w:rsidR="000B1E13">
        <w:t xml:space="preserve"> have been beneficial for the teacher to </w:t>
      </w:r>
      <w:r w:rsidR="00B34EE6">
        <w:t>ensure that students understood the</w:t>
      </w:r>
      <w:r w:rsidR="000B1E13">
        <w:t xml:space="preserve"> correct use of the learning resources prior to </w:t>
      </w:r>
      <w:r w:rsidR="00B34EE6">
        <w:t xml:space="preserve">commencing </w:t>
      </w:r>
      <w:r w:rsidR="000B1E13">
        <w:t>the activity.</w:t>
      </w:r>
    </w:p>
    <w:p w14:paraId="280FDD66" w14:textId="46274249" w:rsidR="00FE48C9" w:rsidRDefault="006B3000" w:rsidP="00E0626E">
      <w:pPr>
        <w:spacing w:line="360" w:lineRule="auto"/>
      </w:pPr>
      <w:r w:rsidRPr="00FA3C91">
        <w:t>Kolb (2015) suggest</w:t>
      </w:r>
      <w:r w:rsidR="00B34EE6">
        <w:t>s</w:t>
      </w:r>
      <w:r w:rsidRPr="00FA3C91">
        <w:t xml:space="preserve"> that individuals learn in different ways and respond differently to </w:t>
      </w:r>
      <w:r w:rsidR="008B43CE">
        <w:t>different</w:t>
      </w:r>
      <w:r w:rsidRPr="00FA3C91">
        <w:t xml:space="preserve"> learning styles</w:t>
      </w:r>
      <w:r w:rsidR="00B34EE6">
        <w:t>. This</w:t>
      </w:r>
      <w:r w:rsidRPr="00FA3C91">
        <w:t xml:space="preserve"> can be determined by an individual’s preference (or otherwise) </w:t>
      </w:r>
      <w:r w:rsidR="00B11723">
        <w:t>to</w:t>
      </w:r>
      <w:r w:rsidRPr="00FA3C91">
        <w:t xml:space="preserve"> a more ordered and structured approach, </w:t>
      </w:r>
      <w:r w:rsidR="00830587">
        <w:t>their</w:t>
      </w:r>
      <w:r w:rsidRPr="00FA3C91">
        <w:t xml:space="preserve"> desire to find multiple solutions to a problem</w:t>
      </w:r>
      <w:r w:rsidR="00B34EE6">
        <w:t xml:space="preserve">, </w:t>
      </w:r>
      <w:r w:rsidR="00830587">
        <w:t>their</w:t>
      </w:r>
      <w:r w:rsidRPr="00FA3C91">
        <w:t xml:space="preserve"> emotional connection to a subject area, their desire to succeed</w:t>
      </w:r>
      <w:r w:rsidR="008B43CE">
        <w:t>,</w:t>
      </w:r>
      <w:r w:rsidR="00B34EE6">
        <w:t xml:space="preserve"> their </w:t>
      </w:r>
      <w:r w:rsidRPr="00FA3C91">
        <w:t>fear of failure</w:t>
      </w:r>
      <w:r w:rsidR="008B43CE">
        <w:t xml:space="preserve">, </w:t>
      </w:r>
      <w:r w:rsidR="00A33140">
        <w:t>or</w:t>
      </w:r>
      <w:r w:rsidR="008B43CE">
        <w:t xml:space="preserve"> their </w:t>
      </w:r>
      <w:r w:rsidRPr="00FA3C91">
        <w:t>personality type</w:t>
      </w:r>
      <w:r w:rsidR="008B43CE">
        <w:t xml:space="preserve">. Sutherland (1992) believes that the personality type of the child is particularly important to the learning process, and that introverts and extroverts will respond very differently to different types of learning, and develop at different rates. The theories listed above also fail to consider aspects such as the child’s background or culture (Gray and MacBain, 2012). </w:t>
      </w:r>
      <w:r>
        <w:t>In his research, Piaget focused predominantly on</w:t>
      </w:r>
      <w:r w:rsidR="00B11723">
        <w:t xml:space="preserve"> academic</w:t>
      </w:r>
      <w:r>
        <w:t xml:space="preserve"> children </w:t>
      </w:r>
      <w:r w:rsidR="00B11723">
        <w:t>with a strong educational background</w:t>
      </w:r>
      <w:r>
        <w:t xml:space="preserve">, therefore ignoring the possibility of different </w:t>
      </w:r>
      <w:r w:rsidR="00A33140">
        <w:t>approaches to learning being more effective</w:t>
      </w:r>
      <w:r>
        <w:t xml:space="preserve"> for less academic children</w:t>
      </w:r>
      <w:r w:rsidR="00830587">
        <w:t>,</w:t>
      </w:r>
      <w:r>
        <w:t xml:space="preserve"> or children from </w:t>
      </w:r>
      <w:r w:rsidR="00B16419">
        <w:t>less privileged</w:t>
      </w:r>
      <w:r>
        <w:t xml:space="preserve"> backgrounds</w:t>
      </w:r>
      <w:r w:rsidR="008B43CE">
        <w:t xml:space="preserve"> (Sutherland, 1992)</w:t>
      </w:r>
      <w:r>
        <w:t>.</w:t>
      </w:r>
      <w:r w:rsidR="008B43CE">
        <w:t xml:space="preserve"> Davies (2008) suggests that every individual is different and that</w:t>
      </w:r>
      <w:r w:rsidR="00FE48C9">
        <w:t xml:space="preserve"> </w:t>
      </w:r>
      <w:r w:rsidR="008B43CE">
        <w:t>learning can accelerate and decelerate at different times due to numerous factors including motivation, curiosity, confidence, resilience, interactions with others, ability, intelligence, and past experience or exposure to a certain type of learning.</w:t>
      </w:r>
      <w:r w:rsidR="007A537F">
        <w:t xml:space="preserve"> </w:t>
      </w:r>
      <w:r w:rsidR="00B11723">
        <w:t xml:space="preserve">It could therefore be concluded that there is not one type of learning which is universally effective, and that each individual child may respond differently to different methods and approaches. This is supported by </w:t>
      </w:r>
      <w:r w:rsidRPr="00FA3C91">
        <w:t xml:space="preserve">Kolb (2015) </w:t>
      </w:r>
      <w:r w:rsidR="00B11723">
        <w:t>who suggests</w:t>
      </w:r>
      <w:r w:rsidRPr="00FA3C91">
        <w:t xml:space="preserve"> that a flexible approach </w:t>
      </w:r>
      <w:r w:rsidR="00B11723">
        <w:t>i</w:t>
      </w:r>
      <w:r w:rsidRPr="00FA3C91">
        <w:t>s required</w:t>
      </w:r>
      <w:r w:rsidR="00B11723">
        <w:t xml:space="preserve"> to education</w:t>
      </w:r>
      <w:r w:rsidR="00A33140">
        <w:t xml:space="preserve">, </w:t>
      </w:r>
      <w:r w:rsidRPr="00FA3C91">
        <w:t>in which the needs of the learner and the demands of the learning situation are taken into account.</w:t>
      </w:r>
    </w:p>
    <w:p w14:paraId="0F66A75A" w14:textId="77777777" w:rsidR="00D95708" w:rsidRPr="00A77237" w:rsidRDefault="00D95708" w:rsidP="00E0626E">
      <w:pPr>
        <w:spacing w:line="360" w:lineRule="auto"/>
      </w:pPr>
    </w:p>
    <w:p w14:paraId="53510C2A" w14:textId="6043A6CE" w:rsidR="006B3000" w:rsidRPr="00925E75" w:rsidRDefault="00925E75" w:rsidP="00E0626E">
      <w:pPr>
        <w:spacing w:line="360" w:lineRule="auto"/>
        <w:rPr>
          <w:rFonts w:cstheme="minorHAnsi"/>
          <w:b/>
          <w:bCs/>
          <w:color w:val="53565A"/>
          <w:u w:val="single"/>
          <w:shd w:val="clear" w:color="auto" w:fill="FFFFFF"/>
        </w:rPr>
      </w:pPr>
      <w:r w:rsidRPr="00925E75">
        <w:rPr>
          <w:rFonts w:cstheme="minorHAnsi"/>
          <w:b/>
          <w:bCs/>
          <w:color w:val="53565A"/>
          <w:u w:val="single"/>
          <w:shd w:val="clear" w:color="auto" w:fill="FFFFFF"/>
        </w:rPr>
        <w:t>Reflection, Evaluation and Next Steps</w:t>
      </w:r>
    </w:p>
    <w:p w14:paraId="33FA6623" w14:textId="1E2DD19A" w:rsidR="006F1719" w:rsidRPr="00790A6E" w:rsidRDefault="00925E75" w:rsidP="00E0626E">
      <w:pPr>
        <w:spacing w:line="360" w:lineRule="auto"/>
        <w:rPr>
          <w:rFonts w:cstheme="minorHAnsi"/>
          <w:shd w:val="clear" w:color="auto" w:fill="FFFFFF"/>
        </w:rPr>
      </w:pPr>
      <w:r w:rsidRPr="00790A6E">
        <w:rPr>
          <w:rFonts w:cstheme="minorHAnsi"/>
          <w:shd w:val="clear" w:color="auto" w:fill="FFFFFF"/>
        </w:rPr>
        <w:t xml:space="preserve">The reflective model </w:t>
      </w:r>
      <w:r w:rsidR="001D7321" w:rsidRPr="00790A6E">
        <w:rPr>
          <w:rFonts w:cstheme="minorHAnsi"/>
          <w:shd w:val="clear" w:color="auto" w:fill="FFFFFF"/>
        </w:rPr>
        <w:t>applied during</w:t>
      </w:r>
      <w:r w:rsidRPr="00790A6E">
        <w:rPr>
          <w:rFonts w:cstheme="minorHAnsi"/>
          <w:shd w:val="clear" w:color="auto" w:fill="FFFFFF"/>
        </w:rPr>
        <w:t xml:space="preserve"> this analysis used a </w:t>
      </w:r>
      <w:r w:rsidR="00193D2E" w:rsidRPr="00790A6E">
        <w:rPr>
          <w:rFonts w:cstheme="minorHAnsi"/>
          <w:shd w:val="clear" w:color="auto" w:fill="FFFFFF"/>
        </w:rPr>
        <w:t>three-phase</w:t>
      </w:r>
      <w:r w:rsidRPr="00790A6E">
        <w:rPr>
          <w:rFonts w:cstheme="minorHAnsi"/>
          <w:shd w:val="clear" w:color="auto" w:fill="FFFFFF"/>
        </w:rPr>
        <w:t xml:space="preserve"> approach, in which the incident was described, considered in relation to relevant literature, and critically analysed to form a better understanding </w:t>
      </w:r>
      <w:r w:rsidR="00193D2E" w:rsidRPr="00790A6E">
        <w:rPr>
          <w:rFonts w:cstheme="minorHAnsi"/>
          <w:shd w:val="clear" w:color="auto" w:fill="FFFFFF"/>
        </w:rPr>
        <w:t xml:space="preserve">of the problem. The literature </w:t>
      </w:r>
      <w:r w:rsidR="00460F85" w:rsidRPr="00790A6E">
        <w:rPr>
          <w:rFonts w:cstheme="minorHAnsi"/>
          <w:shd w:val="clear" w:color="auto" w:fill="FFFFFF"/>
        </w:rPr>
        <w:t>re</w:t>
      </w:r>
      <w:r w:rsidR="00193D2E" w:rsidRPr="00790A6E">
        <w:rPr>
          <w:rFonts w:cstheme="minorHAnsi"/>
          <w:shd w:val="clear" w:color="auto" w:fill="FFFFFF"/>
        </w:rPr>
        <w:t xml:space="preserve">view focused predominantly on the constructivist </w:t>
      </w:r>
      <w:r w:rsidR="00193D2E" w:rsidRPr="00790A6E">
        <w:rPr>
          <w:rFonts w:cstheme="minorHAnsi"/>
          <w:shd w:val="clear" w:color="auto" w:fill="FFFFFF"/>
        </w:rPr>
        <w:lastRenderedPageBreak/>
        <w:t>approaches of Piaget and Vygotsky, and the influence of teacher</w:t>
      </w:r>
      <w:r w:rsidR="00C73BAC" w:rsidRPr="00790A6E">
        <w:rPr>
          <w:rFonts w:cstheme="minorHAnsi"/>
          <w:shd w:val="clear" w:color="auto" w:fill="FFFFFF"/>
        </w:rPr>
        <w:t>s</w:t>
      </w:r>
      <w:r w:rsidR="00193D2E" w:rsidRPr="00790A6E">
        <w:rPr>
          <w:rFonts w:cstheme="minorHAnsi"/>
          <w:shd w:val="clear" w:color="auto" w:fill="FFFFFF"/>
        </w:rPr>
        <w:t xml:space="preserve"> and peers </w:t>
      </w:r>
      <w:r w:rsidR="0043672B" w:rsidRPr="00790A6E">
        <w:rPr>
          <w:rFonts w:cstheme="minorHAnsi"/>
          <w:shd w:val="clear" w:color="auto" w:fill="FFFFFF"/>
        </w:rPr>
        <w:t>on the</w:t>
      </w:r>
      <w:r w:rsidR="00193D2E" w:rsidRPr="00790A6E">
        <w:rPr>
          <w:rFonts w:cstheme="minorHAnsi"/>
          <w:shd w:val="clear" w:color="auto" w:fill="FFFFFF"/>
        </w:rPr>
        <w:t xml:space="preserve"> learning process.</w:t>
      </w:r>
      <w:r w:rsidR="006F1719" w:rsidRPr="00790A6E">
        <w:rPr>
          <w:rFonts w:cstheme="minorHAnsi"/>
          <w:shd w:val="clear" w:color="auto" w:fill="FFFFFF"/>
        </w:rPr>
        <w:t xml:space="preserve"> </w:t>
      </w:r>
      <w:r w:rsidR="00193D2E" w:rsidRPr="00790A6E">
        <w:rPr>
          <w:rFonts w:cstheme="minorHAnsi"/>
          <w:shd w:val="clear" w:color="auto" w:fill="FFFFFF"/>
        </w:rPr>
        <w:t xml:space="preserve">While the LSA was present during the critical incident, she attempted to minimise her involvement in the learning process, which leans more towards the preference of Piaget; however, students were able to interact freely with their peers throughout the activity, which leans more towards the preference of Vygotsky. The approach appeared to benefit the majority of the students in the group, whose focus was on the activity, and whose peer-interactions were predominantly aimed at improving their understanding of the concept; however, </w:t>
      </w:r>
      <w:r w:rsidR="00FE48C9" w:rsidRPr="00790A6E">
        <w:rPr>
          <w:rFonts w:cstheme="minorHAnsi"/>
          <w:shd w:val="clear" w:color="auto" w:fill="FFFFFF"/>
        </w:rPr>
        <w:t xml:space="preserve">it </w:t>
      </w:r>
      <w:r w:rsidR="00193D2E" w:rsidRPr="00790A6E">
        <w:rPr>
          <w:rFonts w:cstheme="minorHAnsi"/>
          <w:shd w:val="clear" w:color="auto" w:fill="FFFFFF"/>
        </w:rPr>
        <w:t xml:space="preserve">was less effective with students X and Y, who were easily distracted from the objective of the activity, </w:t>
      </w:r>
      <w:r w:rsidR="00426E77" w:rsidRPr="00790A6E">
        <w:rPr>
          <w:rFonts w:cstheme="minorHAnsi"/>
          <w:shd w:val="clear" w:color="auto" w:fill="FFFFFF"/>
        </w:rPr>
        <w:t xml:space="preserve">and whose peer-interactions were unrelated to the objective of the lesson. </w:t>
      </w:r>
      <w:r w:rsidR="006F1719" w:rsidRPr="00790A6E">
        <w:rPr>
          <w:rFonts w:cstheme="minorHAnsi"/>
          <w:shd w:val="clear" w:color="auto" w:fill="FFFFFF"/>
        </w:rPr>
        <w:t>The literature suggests that th</w:t>
      </w:r>
      <w:r w:rsidR="00C73BAC" w:rsidRPr="00790A6E">
        <w:rPr>
          <w:rFonts w:cstheme="minorHAnsi"/>
          <w:shd w:val="clear" w:color="auto" w:fill="FFFFFF"/>
        </w:rPr>
        <w:t>e</w:t>
      </w:r>
      <w:r w:rsidR="006F1719" w:rsidRPr="00790A6E">
        <w:rPr>
          <w:rFonts w:cstheme="minorHAnsi"/>
          <w:shd w:val="clear" w:color="auto" w:fill="FFFFFF"/>
        </w:rPr>
        <w:t xml:space="preserve"> ineffectiveness</w:t>
      </w:r>
      <w:r w:rsidR="00C73BAC" w:rsidRPr="00790A6E">
        <w:rPr>
          <w:rFonts w:cstheme="minorHAnsi"/>
          <w:shd w:val="clear" w:color="auto" w:fill="FFFFFF"/>
        </w:rPr>
        <w:t xml:space="preserve"> of this approach in relation to students X and Y</w:t>
      </w:r>
      <w:r w:rsidR="006F1719" w:rsidRPr="00790A6E">
        <w:rPr>
          <w:rFonts w:cstheme="minorHAnsi"/>
          <w:shd w:val="clear" w:color="auto" w:fill="FFFFFF"/>
        </w:rPr>
        <w:t xml:space="preserve"> could be related to a number of factors including</w:t>
      </w:r>
      <w:r w:rsidR="00C73BAC" w:rsidRPr="00790A6E">
        <w:rPr>
          <w:rFonts w:cstheme="minorHAnsi"/>
          <w:shd w:val="clear" w:color="auto" w:fill="FFFFFF"/>
        </w:rPr>
        <w:t>:</w:t>
      </w:r>
      <w:r w:rsidR="006F1719" w:rsidRPr="00790A6E">
        <w:rPr>
          <w:rFonts w:cstheme="minorHAnsi"/>
          <w:shd w:val="clear" w:color="auto" w:fill="FFFFFF"/>
        </w:rPr>
        <w:t xml:space="preserve"> a lack of prior knowledge of the subject area, a lack of understanding of the task and its relation to the mathematical concept, cognitive overload caused by the introduction of too much new information in a short space of time, </w:t>
      </w:r>
      <w:r w:rsidR="00460F85" w:rsidRPr="00790A6E">
        <w:rPr>
          <w:rFonts w:cstheme="minorHAnsi"/>
          <w:shd w:val="clear" w:color="auto" w:fill="FFFFFF"/>
        </w:rPr>
        <w:t xml:space="preserve">and </w:t>
      </w:r>
      <w:r w:rsidR="006F1719" w:rsidRPr="00790A6E">
        <w:rPr>
          <w:rFonts w:cstheme="minorHAnsi"/>
          <w:shd w:val="clear" w:color="auto" w:fill="FFFFFF"/>
        </w:rPr>
        <w:t xml:space="preserve">extraneous cognitive load in the form of </w:t>
      </w:r>
      <w:r w:rsidR="00460F85" w:rsidRPr="00790A6E">
        <w:rPr>
          <w:rFonts w:cstheme="minorHAnsi"/>
          <w:shd w:val="clear" w:color="auto" w:fill="FFFFFF"/>
        </w:rPr>
        <w:t>instructions, peer interactions and materials which were surplus to the requirements of the task.</w:t>
      </w:r>
    </w:p>
    <w:p w14:paraId="2FC2EB2A" w14:textId="2A5018C4" w:rsidR="00460F85" w:rsidRPr="00790A6E" w:rsidRDefault="00460F85" w:rsidP="00E0626E">
      <w:pPr>
        <w:spacing w:line="360" w:lineRule="auto"/>
        <w:rPr>
          <w:rFonts w:cstheme="minorHAnsi"/>
          <w:shd w:val="clear" w:color="auto" w:fill="FFFFFF"/>
        </w:rPr>
      </w:pPr>
      <w:r w:rsidRPr="00790A6E">
        <w:rPr>
          <w:rFonts w:cstheme="minorHAnsi"/>
          <w:shd w:val="clear" w:color="auto" w:fill="FFFFFF"/>
        </w:rPr>
        <w:t xml:space="preserve">In terms of my own future practice, this analysis has highlighted the importance of pre-teaching the concepts associated with the task, to ensure that students have an understanding of the subject matter from which to build upon during the concrete phase of learning. It may also be necessary to teach students how to use the learning materials, and how they relate to the concept being applied. To avoid confusion, information provided to students should be specific and directly related to the task. At times this may require the reduction of learning materials and teacher input in order to minimise distractions. The task should also be </w:t>
      </w:r>
      <w:r w:rsidR="00C73BAC" w:rsidRPr="00790A6E">
        <w:rPr>
          <w:rFonts w:cstheme="minorHAnsi"/>
          <w:shd w:val="clear" w:color="auto" w:fill="FFFFFF"/>
        </w:rPr>
        <w:t>differentiated for various students within the group, to avoid cognitive overload through the presentation of too much new information in a short space of time, or material which is too difficult for the student to fully process.</w:t>
      </w:r>
    </w:p>
    <w:p w14:paraId="37ADEBA8" w14:textId="7687C603" w:rsidR="00083404" w:rsidRPr="00C73BAC" w:rsidRDefault="00561A09" w:rsidP="00E0626E">
      <w:pPr>
        <w:spacing w:line="360" w:lineRule="auto"/>
        <w:rPr>
          <w:rFonts w:cstheme="minorHAnsi"/>
          <w:color w:val="53565A"/>
          <w:shd w:val="clear" w:color="auto" w:fill="FFFFFF"/>
        </w:rPr>
      </w:pPr>
      <w:r w:rsidRPr="00790A6E">
        <w:rPr>
          <w:rFonts w:cstheme="minorHAnsi"/>
          <w:shd w:val="clear" w:color="auto" w:fill="FFFFFF"/>
        </w:rPr>
        <w:t>The literature also identified the fact that different students learn in different ways, identifying a major criticism of Piaget’s work as being the lack of diversity in the sample group which formed the basis of his study</w:t>
      </w:r>
      <w:r w:rsidR="00FE48C9" w:rsidRPr="00790A6E">
        <w:rPr>
          <w:rFonts w:cstheme="minorHAnsi"/>
          <w:shd w:val="clear" w:color="auto" w:fill="FFFFFF"/>
        </w:rPr>
        <w:t>;</w:t>
      </w:r>
      <w:r w:rsidRPr="00790A6E">
        <w:rPr>
          <w:rFonts w:cstheme="minorHAnsi"/>
          <w:shd w:val="clear" w:color="auto" w:fill="FFFFFF"/>
        </w:rPr>
        <w:t xml:space="preserve"> and a criticism of Vygotsky’s work that failed to account for the potential</w:t>
      </w:r>
      <w:r w:rsidR="00C73BAC" w:rsidRPr="00790A6E">
        <w:rPr>
          <w:rFonts w:cstheme="minorHAnsi"/>
          <w:shd w:val="clear" w:color="auto" w:fill="FFFFFF"/>
        </w:rPr>
        <w:t xml:space="preserve">ly negative impact that </w:t>
      </w:r>
      <w:r w:rsidRPr="00790A6E">
        <w:rPr>
          <w:rFonts w:cstheme="minorHAnsi"/>
          <w:shd w:val="clear" w:color="auto" w:fill="FFFFFF"/>
        </w:rPr>
        <w:t xml:space="preserve">the social environment </w:t>
      </w:r>
      <w:r w:rsidR="00C73BAC" w:rsidRPr="00790A6E">
        <w:rPr>
          <w:rFonts w:cstheme="minorHAnsi"/>
          <w:shd w:val="clear" w:color="auto" w:fill="FFFFFF"/>
        </w:rPr>
        <w:t>can have</w:t>
      </w:r>
      <w:r w:rsidRPr="00790A6E">
        <w:rPr>
          <w:rFonts w:cstheme="minorHAnsi"/>
          <w:shd w:val="clear" w:color="auto" w:fill="FFFFFF"/>
        </w:rPr>
        <w:t xml:space="preserve"> on learning. In his review of Welsh education, Donaldson (2015) advocate</w:t>
      </w:r>
      <w:r w:rsidR="00AA2B45" w:rsidRPr="00790A6E">
        <w:rPr>
          <w:rFonts w:cstheme="minorHAnsi"/>
          <w:shd w:val="clear" w:color="auto" w:fill="FFFFFF"/>
        </w:rPr>
        <w:t>s</w:t>
      </w:r>
      <w:r w:rsidRPr="00790A6E">
        <w:rPr>
          <w:rFonts w:cstheme="minorHAnsi"/>
          <w:shd w:val="clear" w:color="auto" w:fill="FFFFFF"/>
        </w:rPr>
        <w:t xml:space="preserve"> the use of a blend of approaches to learning, in order to engage students with different learning preferences and needs. </w:t>
      </w:r>
      <w:r w:rsidR="00AA2B45" w:rsidRPr="00790A6E">
        <w:rPr>
          <w:rFonts w:cstheme="minorHAnsi"/>
          <w:shd w:val="clear" w:color="auto" w:fill="FFFFFF"/>
        </w:rPr>
        <w:t>W</w:t>
      </w:r>
      <w:r w:rsidR="00083404" w:rsidRPr="00790A6E">
        <w:rPr>
          <w:rFonts w:cstheme="minorHAnsi"/>
          <w:shd w:val="clear" w:color="auto" w:fill="FFFFFF"/>
        </w:rPr>
        <w:t xml:space="preserve">hile a constructivist approach may be appropriate for some forms of learning, and with some students, </w:t>
      </w:r>
      <w:r w:rsidR="00AA2B45" w:rsidRPr="00790A6E">
        <w:rPr>
          <w:rFonts w:cstheme="minorHAnsi"/>
          <w:shd w:val="clear" w:color="auto" w:fill="FFFFFF"/>
        </w:rPr>
        <w:t xml:space="preserve">he suggests that </w:t>
      </w:r>
      <w:r w:rsidR="00083404" w:rsidRPr="00790A6E">
        <w:rPr>
          <w:rFonts w:cstheme="minorHAnsi"/>
          <w:shd w:val="clear" w:color="auto" w:fill="FFFFFF"/>
        </w:rPr>
        <w:t>direct teaching should also be incorporated into the learning process.</w:t>
      </w:r>
      <w:r w:rsidR="00EC6267" w:rsidRPr="00790A6E">
        <w:rPr>
          <w:rFonts w:cstheme="minorHAnsi"/>
          <w:shd w:val="clear" w:color="auto" w:fill="FFFFFF"/>
        </w:rPr>
        <w:t xml:space="preserve"> </w:t>
      </w:r>
      <w:r w:rsidR="00C73BAC" w:rsidRPr="00790A6E">
        <w:rPr>
          <w:rFonts w:cstheme="minorHAnsi"/>
          <w:shd w:val="clear" w:color="auto" w:fill="FFFFFF"/>
        </w:rPr>
        <w:t xml:space="preserve">Within my </w:t>
      </w:r>
      <w:r w:rsidR="00FE48C9" w:rsidRPr="00790A6E">
        <w:rPr>
          <w:rFonts w:cstheme="minorHAnsi"/>
          <w:shd w:val="clear" w:color="auto" w:fill="FFFFFF"/>
        </w:rPr>
        <w:t>own practice</w:t>
      </w:r>
      <w:r w:rsidR="001B3D05" w:rsidRPr="00790A6E">
        <w:rPr>
          <w:rFonts w:cstheme="minorHAnsi"/>
          <w:shd w:val="clear" w:color="auto" w:fill="FFFFFF"/>
        </w:rPr>
        <w:t>,</w:t>
      </w:r>
      <w:r w:rsidR="00C73BAC" w:rsidRPr="00790A6E">
        <w:rPr>
          <w:rFonts w:cstheme="minorHAnsi"/>
          <w:shd w:val="clear" w:color="auto" w:fill="FFFFFF"/>
        </w:rPr>
        <w:t xml:space="preserve"> it is therefore important to </w:t>
      </w:r>
      <w:r w:rsidR="00FE48C9" w:rsidRPr="00790A6E">
        <w:rPr>
          <w:rFonts w:cstheme="minorHAnsi"/>
          <w:shd w:val="clear" w:color="auto" w:fill="FFFFFF"/>
        </w:rPr>
        <w:t>develop</w:t>
      </w:r>
      <w:r w:rsidR="00C73BAC" w:rsidRPr="00790A6E">
        <w:rPr>
          <w:rFonts w:cstheme="minorHAnsi"/>
          <w:shd w:val="clear" w:color="auto" w:fill="FFFFFF"/>
        </w:rPr>
        <w:t xml:space="preserve"> a variety of pedagogies to address the learning needs of different students. </w:t>
      </w:r>
      <w:r w:rsidR="00692254" w:rsidRPr="00790A6E">
        <w:rPr>
          <w:rFonts w:cstheme="minorHAnsi"/>
          <w:shd w:val="clear" w:color="auto" w:fill="FFFFFF"/>
        </w:rPr>
        <w:t>Kolb (2015) suggests that t</w:t>
      </w:r>
      <w:r w:rsidR="00692254" w:rsidRPr="00790A6E">
        <w:t xml:space="preserve">he </w:t>
      </w:r>
      <w:r w:rsidR="00692254">
        <w:t>success of a constructivist approach is reliant on the</w:t>
      </w:r>
      <w:r w:rsidR="00083404" w:rsidRPr="00FA3C91">
        <w:t xml:space="preserve"> expertise of the teacher</w:t>
      </w:r>
      <w:r w:rsidR="00692254">
        <w:t>, and</w:t>
      </w:r>
      <w:r w:rsidR="00083404" w:rsidRPr="00FA3C91">
        <w:t xml:space="preserve"> </w:t>
      </w:r>
      <w:r w:rsidR="00AA2B45">
        <w:t xml:space="preserve">that while </w:t>
      </w:r>
      <w:r w:rsidR="001B3D05">
        <w:t>it has the potential to</w:t>
      </w:r>
      <w:r w:rsidR="00083404" w:rsidRPr="00FA3C91">
        <w:t xml:space="preserve"> intrinsically motivate students to engage in the </w:t>
      </w:r>
      <w:r w:rsidR="00083404" w:rsidRPr="00FA3C91">
        <w:lastRenderedPageBreak/>
        <w:t>learning</w:t>
      </w:r>
      <w:r w:rsidR="00692254">
        <w:t xml:space="preserve"> process</w:t>
      </w:r>
      <w:r w:rsidR="001B3D05">
        <w:t xml:space="preserve"> when it is employed well</w:t>
      </w:r>
      <w:r w:rsidR="00083404" w:rsidRPr="00FA3C91">
        <w:t>,</w:t>
      </w:r>
      <w:r w:rsidR="00083404">
        <w:t xml:space="preserve"> </w:t>
      </w:r>
      <w:r w:rsidR="00692254">
        <w:t>the opposite is true when it is employed badly</w:t>
      </w:r>
      <w:r w:rsidR="00083404">
        <w:t xml:space="preserve">. This highlights the importance </w:t>
      </w:r>
      <w:r w:rsidR="00692254">
        <w:t xml:space="preserve">of </w:t>
      </w:r>
      <w:r w:rsidR="00EA7922">
        <w:t>enhancing</w:t>
      </w:r>
      <w:r w:rsidR="00692254">
        <w:t xml:space="preserve"> my own pedagogical skills, and using the reflective process to evaluate my performance and identify areas for improvement.</w:t>
      </w:r>
      <w:r w:rsidR="00EC6267">
        <w:t xml:space="preserve"> </w:t>
      </w:r>
    </w:p>
    <w:p w14:paraId="1844F462" w14:textId="0C95A216" w:rsidR="00EC6267" w:rsidRDefault="00EC6267" w:rsidP="00E0626E">
      <w:pPr>
        <w:spacing w:line="360" w:lineRule="auto"/>
      </w:pPr>
      <w:r>
        <w:t xml:space="preserve">Engaging in this </w:t>
      </w:r>
      <w:r w:rsidR="001B3D05">
        <w:t>analysis</w:t>
      </w:r>
      <w:r>
        <w:t xml:space="preserve"> has also highlighted the potential for bias</w:t>
      </w:r>
      <w:r w:rsidR="00C73BAC">
        <w:t xml:space="preserve"> within self-reflection</w:t>
      </w:r>
      <w:r>
        <w:t xml:space="preserve">, a tendency to focus on preconceived world views, and a fear of exposing weaknesses as limitations. Tsang (1998) considers the involvement of others within the reflection process to be important in reducing the potential bias of an individual viewpoint, and providing alternative perspectives to the evaluation of an incident. This is something I need to incorporate into my future practice, through </w:t>
      </w:r>
      <w:r w:rsidR="00C73BAC">
        <w:t>seeking</w:t>
      </w:r>
      <w:r>
        <w:t xml:space="preserve"> the advice of my colleagues and mentors to guide my development.</w:t>
      </w:r>
    </w:p>
    <w:p w14:paraId="13319C6C" w14:textId="286004D5" w:rsidR="00EC6267" w:rsidRDefault="00EC6267" w:rsidP="00E0626E">
      <w:pPr>
        <w:spacing w:line="360" w:lineRule="auto"/>
        <w:rPr>
          <w:rFonts w:cstheme="minorHAnsi"/>
          <w:color w:val="53565A"/>
          <w:shd w:val="clear" w:color="auto" w:fill="FFFFFF"/>
        </w:rPr>
      </w:pPr>
    </w:p>
    <w:p w14:paraId="709A3C13" w14:textId="52C0CC23" w:rsidR="00530660" w:rsidRPr="001B3D05" w:rsidRDefault="001B3D05" w:rsidP="00E0626E">
      <w:pPr>
        <w:spacing w:line="360" w:lineRule="auto"/>
        <w:rPr>
          <w:b/>
          <w:bCs/>
          <w:u w:val="single"/>
        </w:rPr>
      </w:pPr>
      <w:r w:rsidRPr="001B3D05">
        <w:rPr>
          <w:b/>
          <w:bCs/>
          <w:u w:val="single"/>
        </w:rPr>
        <w:t>Conclusion</w:t>
      </w:r>
    </w:p>
    <w:p w14:paraId="495194E3" w14:textId="4AB3B31E" w:rsidR="005A2E1E" w:rsidRDefault="00AA2B45" w:rsidP="00E0626E">
      <w:pPr>
        <w:spacing w:line="360" w:lineRule="auto"/>
      </w:pPr>
      <w:r>
        <w:t xml:space="preserve">The aim of this study was to identify and analyse a critical incident within a classroom environment, and use the knowledge that I gained to assist my future development as a teacher. </w:t>
      </w:r>
      <w:r w:rsidR="007F4CA4">
        <w:t>A three-step approach was adopte</w:t>
      </w:r>
      <w:r w:rsidR="00AA39D2">
        <w:t>d</w:t>
      </w:r>
      <w:r w:rsidR="007F4CA4">
        <w:t xml:space="preserve">, in which the critical incident was described, considered in relation to relevant literature, and critically evaluated. </w:t>
      </w:r>
      <w:r w:rsidR="00CB7FBB">
        <w:t xml:space="preserve">As previously discussed, a key component of the Professional Standards for Teachers in Wales relates to </w:t>
      </w:r>
      <w:r w:rsidR="00AA39D2">
        <w:t>p</w:t>
      </w:r>
      <w:r w:rsidR="00CB7FBB">
        <w:t xml:space="preserve">rofessional </w:t>
      </w:r>
      <w:r w:rsidR="00AA39D2">
        <w:t>l</w:t>
      </w:r>
      <w:r w:rsidR="00CB7FBB">
        <w:t xml:space="preserve">earning, and the use of reflective practice to support growth and improve teaching practices. </w:t>
      </w:r>
      <w:r>
        <w:t>I feel that this study has highlighted the importance of the reflection proce</w:t>
      </w:r>
      <w:r w:rsidR="00CB7FBB">
        <w:t>ss to my own development,</w:t>
      </w:r>
      <w:r>
        <w:t xml:space="preserve"> and the importance of consulting relevant academic literature to </w:t>
      </w:r>
      <w:r w:rsidR="00CB7FBB">
        <w:t>identify potential areas of weakness</w:t>
      </w:r>
      <w:r>
        <w:t>.</w:t>
      </w:r>
      <w:r w:rsidR="00CB7FBB">
        <w:t xml:space="preserve"> </w:t>
      </w:r>
      <w:r w:rsidR="00060579">
        <w:t xml:space="preserve">Interestingly, the study has also highlighted the fact that different teaching methods can be effective with different students. Therefore, within </w:t>
      </w:r>
      <w:r w:rsidR="00463297">
        <w:t>future</w:t>
      </w:r>
      <w:r w:rsidR="00060579">
        <w:t xml:space="preserve"> personal reflections it is important to consider that there m</w:t>
      </w:r>
      <w:r w:rsidR="00AA39D2">
        <w:t>ay</w:t>
      </w:r>
      <w:r w:rsidR="00060579">
        <w:t xml:space="preserve"> not always be a correct or incorrect approach, and that adopting a variety of </w:t>
      </w:r>
      <w:r w:rsidR="007F4CA4">
        <w:t>methods</w:t>
      </w:r>
      <w:r w:rsidR="00060579">
        <w:t xml:space="preserve"> may sometimes be preferable in order to meet the individual needs of each learner. </w:t>
      </w:r>
    </w:p>
    <w:p w14:paraId="6AEB63EE" w14:textId="6365A017" w:rsidR="005B4592" w:rsidRDefault="005B4592" w:rsidP="00E0626E">
      <w:pPr>
        <w:spacing w:line="360" w:lineRule="auto"/>
      </w:pPr>
    </w:p>
    <w:p w14:paraId="4CBB6B4B" w14:textId="638CF777" w:rsidR="005B4592" w:rsidRPr="005A2E1E" w:rsidRDefault="005B4592" w:rsidP="005B4592">
      <w:pPr>
        <w:spacing w:line="360" w:lineRule="auto"/>
        <w:jc w:val="center"/>
      </w:pPr>
      <w:r>
        <w:t>4,</w:t>
      </w:r>
      <w:r w:rsidR="00FE48C9">
        <w:t>1</w:t>
      </w:r>
      <w:r w:rsidR="00A718C8">
        <w:t>24</w:t>
      </w:r>
      <w:r>
        <w:t xml:space="preserve"> words</w:t>
      </w:r>
    </w:p>
    <w:p w14:paraId="0A9C4C1C" w14:textId="03233034" w:rsidR="00B85323" w:rsidRDefault="00B85323" w:rsidP="006B3000">
      <w:pPr>
        <w:rPr>
          <w:u w:val="single"/>
        </w:rPr>
      </w:pPr>
    </w:p>
    <w:p w14:paraId="77FCFE2C" w14:textId="06E3DF9D" w:rsidR="005B4592" w:rsidRDefault="005B4592" w:rsidP="006B3000">
      <w:pPr>
        <w:rPr>
          <w:u w:val="single"/>
        </w:rPr>
      </w:pPr>
    </w:p>
    <w:p w14:paraId="6F064141" w14:textId="5E0255CB" w:rsidR="00FE48C9" w:rsidRDefault="00FE48C9" w:rsidP="006B3000">
      <w:pPr>
        <w:rPr>
          <w:u w:val="single"/>
        </w:rPr>
      </w:pPr>
    </w:p>
    <w:p w14:paraId="1AA23E44" w14:textId="5D3B714C" w:rsidR="00FE48C9" w:rsidRDefault="00FE48C9" w:rsidP="006B3000">
      <w:pPr>
        <w:rPr>
          <w:u w:val="single"/>
        </w:rPr>
      </w:pPr>
    </w:p>
    <w:p w14:paraId="4C764C19" w14:textId="71522C9A" w:rsidR="00FE48C9" w:rsidRDefault="00FE48C9" w:rsidP="006B3000">
      <w:pPr>
        <w:rPr>
          <w:u w:val="single"/>
        </w:rPr>
      </w:pPr>
    </w:p>
    <w:p w14:paraId="788601C2" w14:textId="77777777" w:rsidR="00FE48C9" w:rsidRDefault="00FE48C9" w:rsidP="006B3000">
      <w:pPr>
        <w:rPr>
          <w:u w:val="single"/>
        </w:rPr>
      </w:pPr>
    </w:p>
    <w:p w14:paraId="3A4CBFD8" w14:textId="77777777" w:rsidR="00530E2B" w:rsidRPr="00CC126F" w:rsidRDefault="00530E2B" w:rsidP="00530E2B">
      <w:pPr>
        <w:rPr>
          <w:b/>
          <w:bCs/>
          <w:u w:val="single"/>
        </w:rPr>
      </w:pPr>
      <w:r w:rsidRPr="00CC126F">
        <w:rPr>
          <w:b/>
          <w:bCs/>
          <w:u w:val="single"/>
        </w:rPr>
        <w:lastRenderedPageBreak/>
        <w:t>Reference List</w:t>
      </w:r>
    </w:p>
    <w:p w14:paraId="2D689577" w14:textId="77777777" w:rsidR="00530E2B" w:rsidRDefault="00530E2B" w:rsidP="00530E2B">
      <w:pPr>
        <w:ind w:left="426" w:hanging="426"/>
      </w:pPr>
      <w:r w:rsidRPr="004E5ED0">
        <w:t xml:space="preserve">Brookfield, S. (1995) </w:t>
      </w:r>
      <w:r w:rsidRPr="004E5ED0">
        <w:rPr>
          <w:i/>
          <w:iCs/>
        </w:rPr>
        <w:t>Developing Critical Thinkers: Challenging Adults to Explore Alternative Ways of Thinking and Acting.</w:t>
      </w:r>
      <w:r w:rsidRPr="004E5ED0">
        <w:t xml:space="preserve"> Buckingham: Open University Press.</w:t>
      </w:r>
    </w:p>
    <w:p w14:paraId="276A8C54" w14:textId="2D9B3F38" w:rsidR="00530E2B" w:rsidRDefault="00530E2B" w:rsidP="00530E2B">
      <w:pPr>
        <w:ind w:left="426" w:hanging="426"/>
      </w:pPr>
      <w:r w:rsidRPr="00F4484E">
        <w:t>Chandler, P. and Sweller, J. (1991) ‘Cognitive Load Theory and the Format of Instruction’, </w:t>
      </w:r>
      <w:r w:rsidRPr="00F4484E">
        <w:rPr>
          <w:i/>
          <w:iCs/>
        </w:rPr>
        <w:t>Cognition and instruction</w:t>
      </w:r>
      <w:r w:rsidRPr="00F4484E">
        <w:t xml:space="preserve">, 8(4), pp. 293–332. Available at: </w:t>
      </w:r>
      <w:hyperlink r:id="rId7" w:history="1">
        <w:r w:rsidRPr="00BF720E">
          <w:rPr>
            <w:rStyle w:val="Hyperlink"/>
          </w:rPr>
          <w:t>https://doi.org/10.1207/s1532690xci0804_2</w:t>
        </w:r>
      </w:hyperlink>
      <w:r>
        <w:t xml:space="preserve"> [</w:t>
      </w:r>
      <w:r w:rsidR="0099563F">
        <w:t>A</w:t>
      </w:r>
      <w:r>
        <w:t>ccessed 9 October 2022]</w:t>
      </w:r>
    </w:p>
    <w:p w14:paraId="3D96446A" w14:textId="77777777" w:rsidR="00530E2B" w:rsidRDefault="00530E2B" w:rsidP="00530E2B">
      <w:pPr>
        <w:ind w:left="426" w:hanging="426"/>
      </w:pPr>
      <w:r w:rsidRPr="00E37866">
        <w:t>Davies, L. (2008) </w:t>
      </w:r>
      <w:r w:rsidRPr="00E37866">
        <w:rPr>
          <w:i/>
          <w:iCs/>
        </w:rPr>
        <w:t>Informal learning: a new model for making sense of experience</w:t>
      </w:r>
      <w:r w:rsidRPr="00E37866">
        <w:t>. Aldershot: Ashgate.</w:t>
      </w:r>
    </w:p>
    <w:p w14:paraId="48CB5E70" w14:textId="77777777" w:rsidR="00530E2B" w:rsidRDefault="00530E2B" w:rsidP="00530E2B">
      <w:pPr>
        <w:ind w:left="426" w:hanging="426"/>
      </w:pPr>
      <w:r w:rsidRPr="0057217F">
        <w:t>de Jong, T. (2010) ‘Cognitive load theory, educational research, and instructional design: some food for thought’, </w:t>
      </w:r>
      <w:r w:rsidRPr="0057217F">
        <w:rPr>
          <w:i/>
          <w:iCs/>
        </w:rPr>
        <w:t>Instructional science</w:t>
      </w:r>
      <w:r w:rsidRPr="0057217F">
        <w:t xml:space="preserve">, 38(2), pp. 105–134. Available at: </w:t>
      </w:r>
      <w:hyperlink r:id="rId8" w:history="1">
        <w:r w:rsidRPr="00BF720E">
          <w:rPr>
            <w:rStyle w:val="Hyperlink"/>
          </w:rPr>
          <w:t>https://doi.org/10.1007/s11251-009-9110-0</w:t>
        </w:r>
      </w:hyperlink>
      <w:r w:rsidRPr="0057217F">
        <w:t>.</w:t>
      </w:r>
      <w:r>
        <w:t xml:space="preserve"> [Accessed 9 October 2022]</w:t>
      </w:r>
    </w:p>
    <w:p w14:paraId="3CF2D6EA" w14:textId="046A10A4" w:rsidR="00530E2B" w:rsidRDefault="00530E2B" w:rsidP="00530E2B">
      <w:pPr>
        <w:ind w:left="426" w:hanging="426"/>
      </w:pPr>
      <w:r w:rsidRPr="00CA32B0">
        <w:t>Donaldson, G. (2015</w:t>
      </w:r>
      <w:r w:rsidRPr="00CA32B0">
        <w:rPr>
          <w:i/>
          <w:iCs/>
        </w:rPr>
        <w:t>) Successful Futures: Independent Review of Curriculum and Assessment Arrangements in Wales.</w:t>
      </w:r>
      <w:r w:rsidRPr="00CA32B0">
        <w:t xml:space="preserve"> Available at: </w:t>
      </w:r>
      <w:hyperlink r:id="rId9" w:history="1">
        <w:r w:rsidRPr="00CA32B0">
          <w:rPr>
            <w:rStyle w:val="Hyperlink"/>
          </w:rPr>
          <w:t>https://gov.wales/sites/default/files/publications/2018-03/successful-futures.pdf</w:t>
        </w:r>
      </w:hyperlink>
      <w:r w:rsidRPr="00CA32B0">
        <w:t xml:space="preserve"> [</w:t>
      </w:r>
      <w:r w:rsidR="0099563F">
        <w:t>A</w:t>
      </w:r>
      <w:r w:rsidRPr="00CA32B0">
        <w:t>ccessed 15 October 2022]</w:t>
      </w:r>
    </w:p>
    <w:p w14:paraId="4B2B9BE2" w14:textId="353D25A1" w:rsidR="00530E2B" w:rsidRDefault="00530E2B" w:rsidP="00530E2B">
      <w:pPr>
        <w:ind w:left="426" w:hanging="426"/>
      </w:pPr>
      <w:r>
        <w:t xml:space="preserve">ESTYN (2016) </w:t>
      </w:r>
      <w:r w:rsidRPr="00AD39E7">
        <w:rPr>
          <w:i/>
          <w:iCs/>
        </w:rPr>
        <w:t xml:space="preserve">A Report on </w:t>
      </w:r>
      <w:r w:rsidRPr="00AD39E7">
        <w:rPr>
          <w:i/>
          <w:iCs/>
          <w:highlight w:val="black"/>
        </w:rPr>
        <w:t>Pembroke Dock CP School</w:t>
      </w:r>
      <w:r>
        <w:t xml:space="preserve">. Available at: </w:t>
      </w:r>
      <w:hyperlink r:id="rId10" w:history="1">
        <w:r w:rsidRPr="00312C72">
          <w:rPr>
            <w:rStyle w:val="Hyperlink"/>
          </w:rPr>
          <w:t>https://sites.google.com/hwbcymru.net/</w:t>
        </w:r>
        <w:r w:rsidRPr="00AD39E7">
          <w:rPr>
            <w:rStyle w:val="Hyperlink"/>
            <w:color w:val="auto"/>
            <w:highlight w:val="black"/>
          </w:rPr>
          <w:t>pdcsprimary</w:t>
        </w:r>
        <w:r w:rsidRPr="00AD39E7">
          <w:rPr>
            <w:rStyle w:val="Hyperlink"/>
          </w:rPr>
          <w:t>/</w:t>
        </w:r>
        <w:r w:rsidRPr="00312C72">
          <w:rPr>
            <w:rStyle w:val="Hyperlink"/>
          </w:rPr>
          <w:t>key-information/estyn</w:t>
        </w:r>
      </w:hyperlink>
      <w:r>
        <w:t xml:space="preserve"> [</w:t>
      </w:r>
      <w:r w:rsidR="0099563F">
        <w:t>A</w:t>
      </w:r>
      <w:r>
        <w:t>ccessed 15 October 2022]</w:t>
      </w:r>
    </w:p>
    <w:p w14:paraId="4815C52B" w14:textId="004ACEF4" w:rsidR="00530E2B" w:rsidRDefault="00530E2B" w:rsidP="00530E2B">
      <w:pPr>
        <w:ind w:left="426" w:hanging="426"/>
      </w:pPr>
      <w:r w:rsidRPr="001515CA">
        <w:t xml:space="preserve">Fuhrman, J. (2017) </w:t>
      </w:r>
      <w:r w:rsidRPr="001515CA">
        <w:rPr>
          <w:i/>
          <w:iCs/>
        </w:rPr>
        <w:t xml:space="preserve">Cognitive Load Theory: Helping Students’ Learning Systems Function more Efficiently. </w:t>
      </w:r>
      <w:r w:rsidRPr="001515CA">
        <w:t xml:space="preserve">The International Institute for Innovative Instruction. </w:t>
      </w:r>
      <w:r>
        <w:t xml:space="preserve">Available at: </w:t>
      </w:r>
      <w:hyperlink r:id="rId11" w:anchor=":~:text=Germane%20load.&amp;text=Germane%20load%20is%20similar%20to,information%20into%20your%20learner's%20systems" w:history="1">
        <w:r w:rsidRPr="00BF720E">
          <w:rPr>
            <w:rStyle w:val="Hyperlink"/>
          </w:rPr>
          <w:t>https://www.franklin.edu/institute/blog/cognitive-load-theory-helping-students-learning-systems-function-more-efficiently#:~:text=Germane%20load.&amp;text=Germane%20load%20is%20similar%20to,information%20into%20your%20learner's%20systems</w:t>
        </w:r>
      </w:hyperlink>
      <w:r>
        <w:t xml:space="preserve"> [</w:t>
      </w:r>
      <w:r w:rsidR="0099563F">
        <w:t>A</w:t>
      </w:r>
      <w:r>
        <w:t>ccessed 9 October 2022]</w:t>
      </w:r>
    </w:p>
    <w:p w14:paraId="74D6EC05" w14:textId="7B75E072" w:rsidR="00530E2B" w:rsidRDefault="00530E2B" w:rsidP="00530E2B">
      <w:pPr>
        <w:ind w:left="426" w:hanging="426"/>
      </w:pPr>
      <w:r w:rsidRPr="00110412">
        <w:t>Hattie, J. and Yates, G. (2014) </w:t>
      </w:r>
      <w:r w:rsidRPr="00110412">
        <w:rPr>
          <w:i/>
          <w:iCs/>
        </w:rPr>
        <w:t>Visible learning and the science of how we learn</w:t>
      </w:r>
      <w:r w:rsidRPr="00110412">
        <w:t>. Milton Park, Abingdon, Oxon</w:t>
      </w:r>
      <w:r>
        <w:t>:</w:t>
      </w:r>
      <w:r w:rsidRPr="00110412">
        <w:t xml:space="preserve"> Routledge. Available at: </w:t>
      </w:r>
      <w:hyperlink r:id="rId12" w:history="1">
        <w:r w:rsidRPr="00BF720E">
          <w:rPr>
            <w:rStyle w:val="Hyperlink"/>
          </w:rPr>
          <w:t>https://doi.org/10.4324/9781315885025</w:t>
        </w:r>
      </w:hyperlink>
      <w:r w:rsidRPr="00110412">
        <w:t>.</w:t>
      </w:r>
      <w:r>
        <w:t xml:space="preserve"> [</w:t>
      </w:r>
      <w:r w:rsidR="0099563F">
        <w:t>A</w:t>
      </w:r>
      <w:r>
        <w:t>ccessed 9</w:t>
      </w:r>
      <w:r w:rsidR="0099563F">
        <w:t xml:space="preserve"> October 202</w:t>
      </w:r>
      <w:r>
        <w:t>2]</w:t>
      </w:r>
    </w:p>
    <w:p w14:paraId="74296B15" w14:textId="77777777" w:rsidR="00530E2B" w:rsidRDefault="00530E2B" w:rsidP="00530E2B">
      <w:pPr>
        <w:ind w:left="426" w:hanging="426"/>
      </w:pPr>
      <w:r w:rsidRPr="004E5ED0">
        <w:t>Hatton, N. and Smith, D. (1995) ‘Reflection in teacher education: Towards definition and implementation’, </w:t>
      </w:r>
      <w:r w:rsidRPr="004E5ED0">
        <w:rPr>
          <w:i/>
          <w:iCs/>
        </w:rPr>
        <w:t>Teaching and teacher education</w:t>
      </w:r>
      <w:r w:rsidRPr="004E5ED0">
        <w:t xml:space="preserve">, 11(1), pp. 33–49. Available at: </w:t>
      </w:r>
      <w:hyperlink r:id="rId13" w:history="1">
        <w:r w:rsidRPr="004E5ED0">
          <w:rPr>
            <w:rStyle w:val="Hyperlink"/>
          </w:rPr>
          <w:t>https://doi.org/10.1016/0742-051X(94)00012-U</w:t>
        </w:r>
      </w:hyperlink>
      <w:r w:rsidRPr="004E5ED0">
        <w:t xml:space="preserve"> [Accessed 1 October 2022]</w:t>
      </w:r>
    </w:p>
    <w:p w14:paraId="73FDFACA" w14:textId="18989DA6" w:rsidR="00530E2B" w:rsidRDefault="00530E2B" w:rsidP="00530E2B">
      <w:pPr>
        <w:ind w:left="426" w:hanging="426"/>
      </w:pPr>
      <w:r w:rsidRPr="0017761A">
        <w:t>Hoong, L. Y., Kin, H. W.</w:t>
      </w:r>
      <w:r w:rsidR="0099563F">
        <w:t>,</w:t>
      </w:r>
      <w:r w:rsidRPr="0017761A">
        <w:t xml:space="preserve"> </w:t>
      </w:r>
      <w:r w:rsidR="0099563F">
        <w:t>and</w:t>
      </w:r>
      <w:r w:rsidRPr="0017761A">
        <w:t xml:space="preserve"> Pien, C. L. (2015) Concrete-Pictorial-Abstract: Surveying its origins and charting its future. </w:t>
      </w:r>
      <w:r w:rsidRPr="0017761A">
        <w:rPr>
          <w:i/>
          <w:iCs/>
        </w:rPr>
        <w:t>The Mathematics Educator</w:t>
      </w:r>
      <w:r w:rsidRPr="0017761A">
        <w:t xml:space="preserve">. 16(1) p. 1-18. Available at: </w:t>
      </w:r>
      <w:hyperlink r:id="rId14" w:history="1">
        <w:r w:rsidRPr="0017761A">
          <w:rPr>
            <w:rStyle w:val="Hyperlink"/>
          </w:rPr>
          <w:t>https://repository.nie.edu.sg/bitstream/10497/18889/1/TME-16-1-1.pdf</w:t>
        </w:r>
      </w:hyperlink>
      <w:r>
        <w:t xml:space="preserve"> [</w:t>
      </w:r>
      <w:r w:rsidR="0099563F">
        <w:t>A</w:t>
      </w:r>
      <w:r>
        <w:t>ccessed 1</w:t>
      </w:r>
      <w:r w:rsidR="0099563F">
        <w:t xml:space="preserve"> October 20</w:t>
      </w:r>
      <w:r>
        <w:t>22]</w:t>
      </w:r>
    </w:p>
    <w:p w14:paraId="718B0274" w14:textId="72A47C3E" w:rsidR="00530E2B" w:rsidRDefault="00530E2B" w:rsidP="00530E2B">
      <w:pPr>
        <w:ind w:left="426" w:hanging="426"/>
      </w:pPr>
      <w:r w:rsidRPr="004E5ED0">
        <w:t>Jay, J.K. and Johnson, K.L. (2002) ‘Capturing complexity: a typology of reflective practice for teacher education’, </w:t>
      </w:r>
      <w:r w:rsidRPr="004E5ED0">
        <w:rPr>
          <w:i/>
          <w:iCs/>
        </w:rPr>
        <w:t>Teaching and teacher education</w:t>
      </w:r>
      <w:r w:rsidRPr="004E5ED0">
        <w:t xml:space="preserve">, 18(1), pp. 73–85. Available at: </w:t>
      </w:r>
      <w:hyperlink r:id="rId15" w:history="1">
        <w:r w:rsidRPr="004E5ED0">
          <w:rPr>
            <w:rStyle w:val="Hyperlink"/>
          </w:rPr>
          <w:t>https://doi.org/10.1016/S0742-051X(01)00051-8</w:t>
        </w:r>
      </w:hyperlink>
      <w:r w:rsidRPr="004E5ED0">
        <w:t xml:space="preserve"> [Accessed 1 October 2022]</w:t>
      </w:r>
    </w:p>
    <w:p w14:paraId="39D00A6D" w14:textId="77777777" w:rsidR="00530E2B" w:rsidRDefault="00530E2B" w:rsidP="00530E2B">
      <w:pPr>
        <w:ind w:left="426" w:hanging="426"/>
      </w:pPr>
      <w:r w:rsidRPr="002E7DE0">
        <w:t>Kolb, D.A. (2015) </w:t>
      </w:r>
      <w:r w:rsidRPr="002E7DE0">
        <w:rPr>
          <w:i/>
          <w:iCs/>
        </w:rPr>
        <w:t xml:space="preserve">Experiential Learning: Experience </w:t>
      </w:r>
      <w:r>
        <w:rPr>
          <w:i/>
          <w:iCs/>
        </w:rPr>
        <w:t>a</w:t>
      </w:r>
      <w:r w:rsidRPr="002E7DE0">
        <w:rPr>
          <w:i/>
          <w:iCs/>
        </w:rPr>
        <w:t>s the Source of Learning and Development</w:t>
      </w:r>
      <w:r w:rsidRPr="002E7DE0">
        <w:t xml:space="preserve">. Second edition. Upper Saddle River, New Jersey: Pearson Education. </w:t>
      </w:r>
    </w:p>
    <w:p w14:paraId="7D2CD22F" w14:textId="77777777" w:rsidR="00530E2B" w:rsidRDefault="00530E2B" w:rsidP="00530E2B">
      <w:pPr>
        <w:ind w:left="426" w:hanging="426"/>
      </w:pPr>
      <w:r w:rsidRPr="00CD3CBC">
        <w:t>Gray, C. and MacBlain, S. (2012) </w:t>
      </w:r>
      <w:r w:rsidRPr="00CD3CBC">
        <w:rPr>
          <w:i/>
          <w:iCs/>
        </w:rPr>
        <w:t>Learning theories in childhood</w:t>
      </w:r>
      <w:r w:rsidRPr="00CD3CBC">
        <w:t>. Los Angeles: SAGE.</w:t>
      </w:r>
    </w:p>
    <w:p w14:paraId="3B884611" w14:textId="77777777" w:rsidR="00530E2B" w:rsidRDefault="00530E2B" w:rsidP="00530E2B">
      <w:pPr>
        <w:ind w:left="426" w:hanging="426"/>
      </w:pPr>
      <w:r w:rsidRPr="00342E0D">
        <w:t>Mooney, C.G. (2013) </w:t>
      </w:r>
      <w:r w:rsidRPr="00342E0D">
        <w:rPr>
          <w:i/>
          <w:iCs/>
        </w:rPr>
        <w:t>Theories of childhoo</w:t>
      </w:r>
      <w:r>
        <w:rPr>
          <w:i/>
          <w:iCs/>
        </w:rPr>
        <w:t>d</w:t>
      </w:r>
      <w:r w:rsidRPr="00342E0D">
        <w:rPr>
          <w:i/>
          <w:iCs/>
        </w:rPr>
        <w:t>: an introduction to Dewey, Montessori, Erikson, Piaget, and Vygotsky</w:t>
      </w:r>
      <w:r w:rsidRPr="00342E0D">
        <w:t>. Second edition. St. Paul, MN: Redleaf Press.</w:t>
      </w:r>
      <w:r>
        <w:t xml:space="preserve"> </w:t>
      </w:r>
    </w:p>
    <w:p w14:paraId="75F4D0B7" w14:textId="379013A9" w:rsidR="00530E2B" w:rsidRDefault="00530E2B" w:rsidP="00530E2B">
      <w:pPr>
        <w:ind w:left="426" w:hanging="426"/>
      </w:pPr>
      <w:r w:rsidRPr="00AE11D0">
        <w:lastRenderedPageBreak/>
        <w:t>My Local School (202</w:t>
      </w:r>
      <w:r>
        <w:t>1</w:t>
      </w:r>
      <w:r w:rsidRPr="00AE11D0">
        <w:t xml:space="preserve">) </w:t>
      </w:r>
      <w:r w:rsidRPr="00AE11D0">
        <w:rPr>
          <w:i/>
          <w:iCs/>
        </w:rPr>
        <w:t>My Local School: Sharing Information about Local Schools</w:t>
      </w:r>
      <w:r w:rsidRPr="00AE11D0">
        <w:t xml:space="preserve">. Available at: </w:t>
      </w:r>
      <w:hyperlink r:id="rId16" w:history="1">
        <w:r w:rsidRPr="00AE11D0">
          <w:rPr>
            <w:rStyle w:val="Hyperlink"/>
          </w:rPr>
          <w:t>https://mylocalschool.gov.wales/Schools/SchoolSearch?lang=en</w:t>
        </w:r>
      </w:hyperlink>
      <w:r w:rsidRPr="00AE11D0">
        <w:t xml:space="preserve"> [</w:t>
      </w:r>
      <w:r w:rsidR="0099563F">
        <w:t>A</w:t>
      </w:r>
      <w:r w:rsidRPr="00AE11D0">
        <w:t>ccessed 15 October 2022]</w:t>
      </w:r>
    </w:p>
    <w:p w14:paraId="0277C4FB" w14:textId="77777777" w:rsidR="00530E2B" w:rsidRDefault="00530E2B" w:rsidP="00530E2B">
      <w:pPr>
        <w:ind w:left="426" w:hanging="426"/>
      </w:pPr>
      <w:r w:rsidRPr="00A76653">
        <w:t>Piaget, J., Inhelder, B. and Weaver, H. (1969) </w:t>
      </w:r>
      <w:r w:rsidRPr="00A76653">
        <w:rPr>
          <w:i/>
          <w:iCs/>
        </w:rPr>
        <w:t>The psychology of the child</w:t>
      </w:r>
      <w:r w:rsidRPr="00A76653">
        <w:t>. London: Routledge and Kegan Paul.</w:t>
      </w:r>
    </w:p>
    <w:p w14:paraId="47CC767F" w14:textId="7B0881D2" w:rsidR="00530E2B" w:rsidRDefault="00530E2B" w:rsidP="00530E2B">
      <w:pPr>
        <w:ind w:left="426" w:hanging="426"/>
      </w:pPr>
      <w:r w:rsidRPr="0017761A">
        <w:t>Putri, H.E. (2019) Influence of concrete pictorial abstract approach to the improvement of spatial sense ability of elementary school students</w:t>
      </w:r>
      <w:r>
        <w:t>.</w:t>
      </w:r>
      <w:r w:rsidRPr="0017761A">
        <w:t> </w:t>
      </w:r>
      <w:r w:rsidRPr="0017761A">
        <w:rPr>
          <w:i/>
          <w:iCs/>
        </w:rPr>
        <w:t>Journal of physics. Conference series</w:t>
      </w:r>
      <w:r w:rsidRPr="0017761A">
        <w:t xml:space="preserve">, 1157(4), p. 42083–. Available at: </w:t>
      </w:r>
      <w:hyperlink r:id="rId17" w:history="1">
        <w:r w:rsidRPr="0017761A">
          <w:rPr>
            <w:rStyle w:val="Hyperlink"/>
          </w:rPr>
          <w:t>https://doi.org/10.1088/1742-6596/1157/4/042083</w:t>
        </w:r>
      </w:hyperlink>
      <w:r w:rsidRPr="0017761A">
        <w:t>.</w:t>
      </w:r>
      <w:r>
        <w:t xml:space="preserve"> [Accessed 28</w:t>
      </w:r>
      <w:r w:rsidR="0099563F">
        <w:t xml:space="preserve"> September 20</w:t>
      </w:r>
      <w:r>
        <w:t>22]</w:t>
      </w:r>
    </w:p>
    <w:p w14:paraId="1074643C" w14:textId="402D3B39" w:rsidR="00530E2B" w:rsidRDefault="00530E2B" w:rsidP="00530E2B">
      <w:pPr>
        <w:ind w:left="426" w:hanging="426"/>
      </w:pPr>
      <w:r w:rsidRPr="0017761A">
        <w:t>Salimi, M., Suhartono, S., Hidayah, R., and Fajari, L. E. W. (2020) ‘Improving mathematics learning of geometry through the concrete-pictorial-abstract (CPA) approach: collaborative action research’, </w:t>
      </w:r>
      <w:r w:rsidRPr="0017761A">
        <w:rPr>
          <w:i/>
          <w:iCs/>
        </w:rPr>
        <w:t>Journal of physics. Conference series</w:t>
      </w:r>
      <w:r w:rsidRPr="0017761A">
        <w:t xml:space="preserve">, 1663(1), p. 12046–. Available at: </w:t>
      </w:r>
      <w:hyperlink r:id="rId18" w:history="1">
        <w:r w:rsidRPr="0017761A">
          <w:rPr>
            <w:rStyle w:val="Hyperlink"/>
          </w:rPr>
          <w:t>https://doi.org/10.1088/1742-6596/1663/1/012046</w:t>
        </w:r>
      </w:hyperlink>
      <w:r w:rsidRPr="0017761A">
        <w:t>.</w:t>
      </w:r>
      <w:r>
        <w:t xml:space="preserve"> [Accessed 28</w:t>
      </w:r>
      <w:r w:rsidR="0099563F">
        <w:t xml:space="preserve"> September 20</w:t>
      </w:r>
      <w:r>
        <w:t>22]</w:t>
      </w:r>
    </w:p>
    <w:p w14:paraId="5C361CE0" w14:textId="77777777" w:rsidR="00530E2B" w:rsidRDefault="00530E2B" w:rsidP="00530E2B">
      <w:pPr>
        <w:ind w:left="426" w:hanging="426"/>
      </w:pPr>
      <w:r w:rsidRPr="00A942D7">
        <w:t>Schon, D.A. (1987) </w:t>
      </w:r>
      <w:r w:rsidRPr="00A942D7">
        <w:rPr>
          <w:i/>
          <w:iCs/>
        </w:rPr>
        <w:t>Educating the reflective practitioner</w:t>
      </w:r>
      <w:r w:rsidRPr="00A942D7">
        <w:t>. San Francisco London: Jossey-Bass</w:t>
      </w:r>
    </w:p>
    <w:p w14:paraId="22FE975E" w14:textId="4BA2734E" w:rsidR="00530E2B" w:rsidRDefault="00530E2B" w:rsidP="00530E2B">
      <w:pPr>
        <w:ind w:left="426" w:hanging="426"/>
      </w:pPr>
      <w:r>
        <w:t xml:space="preserve">Shibli, D. and West, R. (2018) </w:t>
      </w:r>
      <w:r w:rsidRPr="00F4484E">
        <w:rPr>
          <w:i/>
          <w:iCs/>
        </w:rPr>
        <w:t>Cognitive Load Theory and its Application in the Classroom.</w:t>
      </w:r>
      <w:r>
        <w:t xml:space="preserve"> Impact. Available at: </w:t>
      </w:r>
      <w:hyperlink r:id="rId19" w:history="1">
        <w:r w:rsidRPr="00BF720E">
          <w:rPr>
            <w:rStyle w:val="Hyperlink"/>
          </w:rPr>
          <w:t>https://my.chartered.college/impact_article/cognitive-load-theory-and-its-application-in-the-classroom/</w:t>
        </w:r>
      </w:hyperlink>
      <w:r>
        <w:t xml:space="preserve"> [</w:t>
      </w:r>
      <w:r w:rsidR="0099563F">
        <w:t>A</w:t>
      </w:r>
      <w:r>
        <w:t>ccessed 9 October 2022]</w:t>
      </w:r>
    </w:p>
    <w:p w14:paraId="1C01AA65" w14:textId="0A76B95E" w:rsidR="00530E2B" w:rsidRPr="00186BE6" w:rsidRDefault="00530E2B" w:rsidP="00530E2B">
      <w:pPr>
        <w:ind w:left="426" w:hanging="426"/>
      </w:pPr>
      <w:r w:rsidRPr="00186BE6">
        <w:t xml:space="preserve">Singapore Math (2022) </w:t>
      </w:r>
      <w:r w:rsidRPr="00186BE6">
        <w:rPr>
          <w:i/>
          <w:iCs/>
        </w:rPr>
        <w:t>What is Singapore Math?</w:t>
      </w:r>
      <w:r w:rsidRPr="00186BE6">
        <w:t xml:space="preserve"> Available at: </w:t>
      </w:r>
      <w:hyperlink r:id="rId20" w:history="1">
        <w:r w:rsidRPr="00186BE6">
          <w:rPr>
            <w:rStyle w:val="Hyperlink"/>
          </w:rPr>
          <w:t>https://www.singaporemath.com/pages/what-is-singapore-math</w:t>
        </w:r>
      </w:hyperlink>
      <w:r w:rsidRPr="00186BE6">
        <w:t xml:space="preserve"> [</w:t>
      </w:r>
      <w:r w:rsidR="0099563F">
        <w:t>A</w:t>
      </w:r>
      <w:r w:rsidRPr="00186BE6">
        <w:t>ccessed 15 October 2022]</w:t>
      </w:r>
    </w:p>
    <w:p w14:paraId="06F2B5D8" w14:textId="0E450E7A" w:rsidR="00530E2B" w:rsidRDefault="00530E2B" w:rsidP="00530E2B">
      <w:pPr>
        <w:ind w:left="426" w:hanging="426"/>
      </w:pPr>
      <w:r w:rsidRPr="005836A4">
        <w:t>Sutherland, P. (1992) </w:t>
      </w:r>
      <w:r w:rsidRPr="005836A4">
        <w:rPr>
          <w:i/>
          <w:iCs/>
        </w:rPr>
        <w:t>Cognitive development today: Piaget and his critics</w:t>
      </w:r>
      <w:r w:rsidRPr="005836A4">
        <w:t>. London: Paul Chapman Publishing.</w:t>
      </w:r>
    </w:p>
    <w:p w14:paraId="58A69256" w14:textId="475B0B9C" w:rsidR="00530E2B" w:rsidRDefault="00530E2B" w:rsidP="00530E2B">
      <w:pPr>
        <w:ind w:left="426" w:hanging="426"/>
      </w:pPr>
      <w:r w:rsidRPr="004E5ED0">
        <w:t>Tripp, D. (2011) </w:t>
      </w:r>
      <w:r w:rsidRPr="004E5ED0">
        <w:rPr>
          <w:i/>
          <w:iCs/>
        </w:rPr>
        <w:t>Critical Incidents in Teaching: Developing Professional Judgement</w:t>
      </w:r>
      <w:r w:rsidRPr="004E5ED0">
        <w:t xml:space="preserve">, Taylor &amp; Francis (online). Available from </w:t>
      </w:r>
      <w:hyperlink r:id="rId21" w:history="1">
        <w:r w:rsidRPr="004E5ED0">
          <w:rPr>
            <w:rStyle w:val="Hyperlink"/>
          </w:rPr>
          <w:t>http://ebookcentral.proquest.com/lib/trinity/detail.action?docID=958710</w:t>
        </w:r>
      </w:hyperlink>
      <w:r w:rsidRPr="004E5ED0">
        <w:t>. [Accessed</w:t>
      </w:r>
      <w:r w:rsidR="0099563F">
        <w:t xml:space="preserve"> </w:t>
      </w:r>
      <w:r w:rsidRPr="004E5ED0">
        <w:t>1 October 2022].</w:t>
      </w:r>
    </w:p>
    <w:p w14:paraId="0948DCBD" w14:textId="08ABCD89" w:rsidR="00530E2B" w:rsidRDefault="00530E2B" w:rsidP="00530E2B">
      <w:pPr>
        <w:ind w:left="426" w:hanging="426"/>
      </w:pPr>
      <w:r w:rsidRPr="004E5ED0">
        <w:t xml:space="preserve">Tsang, N. (1998) Re-examining reflection – a common issue of professional concern in social work, teacher and nurse education. </w:t>
      </w:r>
      <w:r w:rsidRPr="004E5ED0">
        <w:rPr>
          <w:i/>
          <w:iCs/>
        </w:rPr>
        <w:t>Journal of Interprofessional Care</w:t>
      </w:r>
      <w:r w:rsidRPr="004E5ED0">
        <w:t xml:space="preserve">. 12(1), </w:t>
      </w:r>
      <w:r w:rsidR="0099563F">
        <w:t xml:space="preserve">pp. </w:t>
      </w:r>
      <w:r w:rsidRPr="004E5ED0">
        <w:t xml:space="preserve">21-31. Available from </w:t>
      </w:r>
      <w:hyperlink r:id="rId22" w:history="1">
        <w:r w:rsidRPr="004E5ED0">
          <w:rPr>
            <w:rStyle w:val="Hyperlink"/>
          </w:rPr>
          <w:t>https://www.tandfonline.com/doi/pdf/10.3109/13561829809014084?casa_token=nudJ8zZWvAkAAAAA:34Lp0vspBMo3eZJyATfT4Ud8-LEfijVMTj7wUYBCl6PQRxfuN0cjzJeqgWFVRtNcT8QklbYOdyEvnQ</w:t>
        </w:r>
      </w:hyperlink>
      <w:r w:rsidRPr="004E5ED0">
        <w:t xml:space="preserve">. </w:t>
      </w:r>
      <w:r w:rsidR="0099563F">
        <w:t>[</w:t>
      </w:r>
      <w:r w:rsidRPr="004E5ED0">
        <w:t>Accessed 2 October 2022</w:t>
      </w:r>
      <w:r w:rsidR="0099563F">
        <w:t>]</w:t>
      </w:r>
      <w:r w:rsidRPr="004E5ED0">
        <w:t>.</w:t>
      </w:r>
    </w:p>
    <w:p w14:paraId="4B48FCED" w14:textId="52D73839" w:rsidR="00530E2B" w:rsidRDefault="00530E2B" w:rsidP="00530E2B">
      <w:pPr>
        <w:ind w:left="426" w:hanging="426"/>
      </w:pPr>
      <w:r w:rsidRPr="0057217F">
        <w:t>Van Merrienboer, J.J.G. and Sweller, J. (2005) ‘Cognitive Load Theory and Complex Learning: Recent Developments and Future Directions’, </w:t>
      </w:r>
      <w:r w:rsidRPr="0057217F">
        <w:rPr>
          <w:i/>
          <w:iCs/>
        </w:rPr>
        <w:t>Educational psychology review</w:t>
      </w:r>
      <w:r w:rsidRPr="0057217F">
        <w:t xml:space="preserve">, 17(2), pp. 147–177. Available at: </w:t>
      </w:r>
      <w:hyperlink r:id="rId23" w:history="1">
        <w:r w:rsidRPr="00BF720E">
          <w:rPr>
            <w:rStyle w:val="Hyperlink"/>
          </w:rPr>
          <w:t>https://doi.org/10.1007/s10648-005-3951-0</w:t>
        </w:r>
      </w:hyperlink>
      <w:r w:rsidRPr="0057217F">
        <w:t>.</w:t>
      </w:r>
      <w:r>
        <w:t xml:space="preserve"> [</w:t>
      </w:r>
      <w:r w:rsidR="0099563F">
        <w:t>A</w:t>
      </w:r>
      <w:r>
        <w:t>ccessed 9 October 2022]</w:t>
      </w:r>
    </w:p>
    <w:p w14:paraId="4A1BE7C3" w14:textId="57D2845B" w:rsidR="00530E2B" w:rsidRPr="004A5BA6" w:rsidRDefault="00530E2B" w:rsidP="00530E2B">
      <w:pPr>
        <w:ind w:left="426" w:hanging="426"/>
      </w:pPr>
      <w:r w:rsidRPr="004A5BA6">
        <w:t xml:space="preserve">Welsh Government (2022) </w:t>
      </w:r>
      <w:r w:rsidRPr="004A5BA6">
        <w:rPr>
          <w:i/>
          <w:iCs/>
        </w:rPr>
        <w:t>Developing a Vision for Curriculum Design.</w:t>
      </w:r>
      <w:r w:rsidRPr="004A5BA6">
        <w:t xml:space="preserve"> Available at: </w:t>
      </w:r>
      <w:hyperlink r:id="rId24" w:anchor="curriculum-design-and-the-four-purposes" w:history="1">
        <w:r w:rsidRPr="004A5BA6">
          <w:rPr>
            <w:rStyle w:val="Hyperlink"/>
          </w:rPr>
          <w:t>https://hwb.gov.wales/curriculum-for-wales/designing-your-curriculum/developing-a-vision-for-curriculum-design/#curriculum-design-and-the-four-purposes</w:t>
        </w:r>
      </w:hyperlink>
      <w:r w:rsidRPr="004A5BA6">
        <w:t xml:space="preserve"> [</w:t>
      </w:r>
      <w:r w:rsidR="0099563F">
        <w:t>A</w:t>
      </w:r>
      <w:r w:rsidRPr="004A5BA6">
        <w:t>ccessed 16 October 2022]</w:t>
      </w:r>
    </w:p>
    <w:p w14:paraId="2B97119D" w14:textId="3F4729F7" w:rsidR="00530E2B" w:rsidRDefault="00530E2B" w:rsidP="00530E2B">
      <w:pPr>
        <w:ind w:left="426" w:hanging="426"/>
      </w:pPr>
      <w:r w:rsidRPr="00600B8F">
        <w:t xml:space="preserve">Welsh Government (2020) </w:t>
      </w:r>
      <w:r w:rsidRPr="00600B8F">
        <w:rPr>
          <w:i/>
          <w:iCs/>
        </w:rPr>
        <w:t>Professional Standards.</w:t>
      </w:r>
      <w:r w:rsidRPr="00600B8F">
        <w:t xml:space="preserve"> Available at: </w:t>
      </w:r>
      <w:hyperlink r:id="rId25" w:history="1">
        <w:r w:rsidRPr="00600B8F">
          <w:rPr>
            <w:rStyle w:val="Hyperlink"/>
          </w:rPr>
          <w:t>https://hwb.gov.wales/professional-development/professional-standards</w:t>
        </w:r>
      </w:hyperlink>
      <w:r w:rsidRPr="00600B8F">
        <w:t xml:space="preserve"> [</w:t>
      </w:r>
      <w:r w:rsidR="0099563F">
        <w:t>A</w:t>
      </w:r>
      <w:r w:rsidRPr="00600B8F">
        <w:t>ccessed 15 October 2022)</w:t>
      </w:r>
    </w:p>
    <w:p w14:paraId="5D8B6B7B" w14:textId="33FE1805" w:rsidR="00530E2B" w:rsidRDefault="00530E2B" w:rsidP="00530E2B">
      <w:pPr>
        <w:ind w:left="426" w:hanging="426"/>
      </w:pPr>
      <w:r w:rsidRPr="00DC453B">
        <w:t xml:space="preserve">Welsh Government (2019) Professional Standards for Teaching and Leadership. Available at: </w:t>
      </w:r>
      <w:hyperlink r:id="rId26" w:history="1">
        <w:r w:rsidRPr="00DC453B">
          <w:rPr>
            <w:rStyle w:val="Hyperlink"/>
          </w:rPr>
          <w:t>https://hwb.gov.wales/api/storage/19bc948b-8a3f-41e0-944a-7bf2cadf7d18/professional-standards-for-teaching-and-leadership-interactive-pdf-for-pc.pdf</w:t>
        </w:r>
      </w:hyperlink>
      <w:r w:rsidRPr="00DC453B">
        <w:t xml:space="preserve"> [</w:t>
      </w:r>
      <w:r w:rsidR="0099563F">
        <w:t>A</w:t>
      </w:r>
      <w:r w:rsidRPr="00DC453B">
        <w:t>ccessed 14 October 2022]</w:t>
      </w:r>
    </w:p>
    <w:p w14:paraId="48A73768" w14:textId="77777777" w:rsidR="00530E2B" w:rsidRDefault="00530E2B" w:rsidP="00530E2B">
      <w:pPr>
        <w:ind w:left="426" w:hanging="426"/>
      </w:pPr>
      <w:r w:rsidRPr="00817AF9">
        <w:lastRenderedPageBreak/>
        <w:t xml:space="preserve">White, J. (2002) </w:t>
      </w:r>
      <w:r w:rsidRPr="00817AF9">
        <w:rPr>
          <w:i/>
          <w:iCs/>
        </w:rPr>
        <w:t>The Child’s Mind.</w:t>
      </w:r>
      <w:r w:rsidRPr="00817AF9">
        <w:t xml:space="preserve"> RoutledgeFalmer</w:t>
      </w:r>
    </w:p>
    <w:p w14:paraId="520575EF" w14:textId="77777777" w:rsidR="00530E2B" w:rsidRDefault="00530E2B" w:rsidP="00530E2B">
      <w:pPr>
        <w:ind w:left="426" w:hanging="426"/>
      </w:pPr>
      <w:r w:rsidRPr="009577E2">
        <w:t>Wood, D. (1998) </w:t>
      </w:r>
      <w:r w:rsidRPr="009577E2">
        <w:rPr>
          <w:i/>
          <w:iCs/>
        </w:rPr>
        <w:t>How children think and learn: The social contexts of cognitive development.</w:t>
      </w:r>
      <w:r w:rsidRPr="009577E2">
        <w:t> 2nd ed. Oxford: Blackwell publishers Inc.</w:t>
      </w:r>
    </w:p>
    <w:p w14:paraId="368A33E8" w14:textId="061B74B9" w:rsidR="00530E2B" w:rsidRDefault="00530E2B" w:rsidP="00530E2B">
      <w:pPr>
        <w:ind w:left="426" w:hanging="426"/>
      </w:pPr>
      <w:r w:rsidRPr="009577E2">
        <w:t xml:space="preserve">Wood, D. J., Bruner, J. S. &amp; Ross, G. (1976) The role of tutoring in problem solving. </w:t>
      </w:r>
      <w:r w:rsidRPr="009577E2">
        <w:rPr>
          <w:i/>
          <w:iCs/>
        </w:rPr>
        <w:t xml:space="preserve">Journal of Child Psychology and Psychiatry. </w:t>
      </w:r>
      <w:r w:rsidRPr="009577E2">
        <w:t>17(2), pp.89-100.</w:t>
      </w:r>
      <w:r>
        <w:t xml:space="preserve"> Available at: </w:t>
      </w:r>
      <w:hyperlink r:id="rId27" w:history="1">
        <w:r w:rsidRPr="007F6237">
          <w:rPr>
            <w:rStyle w:val="Hyperlink"/>
          </w:rPr>
          <w:t>https://acamh.onlinelibrary.wiley.com/doi/10.1111/j.1469-7610.1976.tb00381.x</w:t>
        </w:r>
      </w:hyperlink>
      <w:r>
        <w:t xml:space="preserve"> [Accessed 7</w:t>
      </w:r>
      <w:r w:rsidR="0099563F">
        <w:t xml:space="preserve"> October 20</w:t>
      </w:r>
      <w:r>
        <w:t>22]</w:t>
      </w:r>
    </w:p>
    <w:p w14:paraId="6EF61C34" w14:textId="539B7D06" w:rsidR="00530E2B" w:rsidRPr="0017761A" w:rsidRDefault="00530E2B" w:rsidP="00530E2B">
      <w:pPr>
        <w:ind w:left="426" w:hanging="426"/>
      </w:pPr>
      <w:r w:rsidRPr="0017761A">
        <w:t xml:space="preserve">Witzel, W. S. (2005). Using CRA to Teach Algebra to Students with Math Difficulties in Inclusive Settings. </w:t>
      </w:r>
      <w:r w:rsidRPr="0017761A">
        <w:rPr>
          <w:i/>
          <w:iCs/>
        </w:rPr>
        <w:t>A Contemporary Journal</w:t>
      </w:r>
      <w:r w:rsidRPr="0017761A">
        <w:t>, 3(2). LDW.</w:t>
      </w:r>
      <w:r>
        <w:t xml:space="preserve"> Available at:</w:t>
      </w:r>
      <w:r w:rsidRPr="0017761A">
        <w:t xml:space="preserve"> </w:t>
      </w:r>
      <w:hyperlink r:id="rId28" w:history="1">
        <w:r w:rsidRPr="0017761A">
          <w:rPr>
            <w:rStyle w:val="Hyperlink"/>
          </w:rPr>
          <w:t>https://files.eric.ed.gov/fulltext/EJ797683.pdf</w:t>
        </w:r>
      </w:hyperlink>
      <w:r>
        <w:t xml:space="preserve"> [Accessed </w:t>
      </w:r>
      <w:r w:rsidR="00CC590E">
        <w:t>28 September 20</w:t>
      </w:r>
      <w:r>
        <w:t>22]</w:t>
      </w:r>
    </w:p>
    <w:p w14:paraId="72A4D752" w14:textId="77777777" w:rsidR="00530E2B" w:rsidRDefault="00530E2B" w:rsidP="00530E2B">
      <w:pPr>
        <w:ind w:left="426" w:hanging="426"/>
      </w:pPr>
      <w:r w:rsidRPr="004E5ED0">
        <w:t xml:space="preserve">Zeichner, K. &amp; Liston, D. (1996) </w:t>
      </w:r>
      <w:r w:rsidRPr="004E5ED0">
        <w:rPr>
          <w:i/>
          <w:iCs/>
        </w:rPr>
        <w:t>Reflective Teaching: An introduction.</w:t>
      </w:r>
      <w:r w:rsidRPr="004E5ED0">
        <w:t xml:space="preserve"> New Jersey: Lawrence Erlbaum Associates.</w:t>
      </w:r>
    </w:p>
    <w:p w14:paraId="38E55C4D" w14:textId="22DECE45" w:rsidR="00530E2B" w:rsidRPr="004E5ED0" w:rsidRDefault="00530E2B" w:rsidP="00530E2B">
      <w:pPr>
        <w:ind w:left="426" w:hanging="426"/>
      </w:pPr>
      <w:r w:rsidRPr="004E5ED0">
        <w:t>Zwozdiak-Myers, P. (2012) </w:t>
      </w:r>
      <w:r w:rsidRPr="004E5ED0">
        <w:rPr>
          <w:i/>
          <w:iCs/>
        </w:rPr>
        <w:t>The teacher’s reflective practice handbook: becoming an extended professional through capturing evidence-informed practice</w:t>
      </w:r>
      <w:r w:rsidRPr="004E5ED0">
        <w:t xml:space="preserve">. London: Routledge. Available from </w:t>
      </w:r>
      <w:hyperlink r:id="rId29" w:history="1">
        <w:r w:rsidRPr="004E5ED0">
          <w:rPr>
            <w:rStyle w:val="Hyperlink"/>
          </w:rPr>
          <w:t>https://web-p-ebscohost-com.ezproxy.uwtsd.ac.uk/ehost/ebookviewer/ebook/bmxlYmtfXzQ1NjA3Nl9fQU41?sid=71690512-f4ac-4295-bd3d-002dbb96d991@redis&amp;vid=0&amp;format=EB&amp;rid=1</w:t>
        </w:r>
      </w:hyperlink>
      <w:r w:rsidRPr="004E5ED0">
        <w:t xml:space="preserve"> [Accessed 1 October 2022]</w:t>
      </w:r>
    </w:p>
    <w:p w14:paraId="5212C505" w14:textId="77777777" w:rsidR="00530E2B" w:rsidRDefault="00530E2B" w:rsidP="00530E2B">
      <w:pPr>
        <w:ind w:left="426" w:hanging="426"/>
      </w:pPr>
    </w:p>
    <w:p w14:paraId="6042A1A8" w14:textId="63984170" w:rsidR="00B85323" w:rsidRDefault="00B85323" w:rsidP="006B3000">
      <w:pPr>
        <w:rPr>
          <w:u w:val="single"/>
        </w:rPr>
      </w:pPr>
    </w:p>
    <w:sectPr w:rsidR="00B85323">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433F3" w14:textId="77777777" w:rsidR="002A1930" w:rsidRDefault="002A1930" w:rsidP="00E0626E">
      <w:pPr>
        <w:spacing w:after="0" w:line="240" w:lineRule="auto"/>
      </w:pPr>
      <w:r>
        <w:separator/>
      </w:r>
    </w:p>
  </w:endnote>
  <w:endnote w:type="continuationSeparator" w:id="0">
    <w:p w14:paraId="7FD39FA9" w14:textId="77777777" w:rsidR="002A1930" w:rsidRDefault="002A1930" w:rsidP="00E06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1C8FE" w14:textId="77777777" w:rsidR="00E0626E" w:rsidRDefault="00E0626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87E977C" w14:textId="77777777" w:rsidR="00E0626E" w:rsidRDefault="00E06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02018" w14:textId="77777777" w:rsidR="002A1930" w:rsidRDefault="002A1930" w:rsidP="00E0626E">
      <w:pPr>
        <w:spacing w:after="0" w:line="240" w:lineRule="auto"/>
      </w:pPr>
      <w:r>
        <w:separator/>
      </w:r>
    </w:p>
  </w:footnote>
  <w:footnote w:type="continuationSeparator" w:id="0">
    <w:p w14:paraId="25051A61" w14:textId="77777777" w:rsidR="002A1930" w:rsidRDefault="002A1930" w:rsidP="00E062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B4DC5" w14:textId="6502D8C5" w:rsidR="00E0626E" w:rsidRDefault="00E0626E">
    <w:pPr>
      <w:pStyle w:val="Header"/>
    </w:pPr>
    <w:r>
      <w:t>Module: ECAD 6007: Who am I teaching</w:t>
    </w:r>
    <w:r>
      <w:tab/>
    </w:r>
    <w:r>
      <w:tab/>
      <w:t>Name: Ceri Davies</w:t>
    </w:r>
  </w:p>
  <w:p w14:paraId="19489DE4" w14:textId="31D3E8AA" w:rsidR="00E0626E" w:rsidRDefault="00E0626E">
    <w:pPr>
      <w:pStyle w:val="Header"/>
    </w:pPr>
    <w:r>
      <w:t>Primary PGCE</w:t>
    </w:r>
    <w:r>
      <w:tab/>
    </w:r>
    <w:r>
      <w:tab/>
      <w:t>Student Number: 2204751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F70FA"/>
    <w:multiLevelType w:val="hybridMultilevel"/>
    <w:tmpl w:val="6C2C61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FCB5DEC"/>
    <w:multiLevelType w:val="hybridMultilevel"/>
    <w:tmpl w:val="525E4776"/>
    <w:lvl w:ilvl="0" w:tplc="E62246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911A4D"/>
    <w:multiLevelType w:val="hybridMultilevel"/>
    <w:tmpl w:val="6C2C61EA"/>
    <w:lvl w:ilvl="0" w:tplc="DB4CAD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AD281A"/>
    <w:multiLevelType w:val="hybridMultilevel"/>
    <w:tmpl w:val="3842B520"/>
    <w:lvl w:ilvl="0" w:tplc="8D706E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37B87"/>
    <w:multiLevelType w:val="hybridMultilevel"/>
    <w:tmpl w:val="ED9883CA"/>
    <w:lvl w:ilvl="0" w:tplc="39E8E692">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620CD9"/>
    <w:multiLevelType w:val="hybridMultilevel"/>
    <w:tmpl w:val="DCFAE1F2"/>
    <w:lvl w:ilvl="0" w:tplc="AC2ED81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9312614">
    <w:abstractNumId w:val="4"/>
  </w:num>
  <w:num w:numId="2" w16cid:durableId="1434740412">
    <w:abstractNumId w:val="2"/>
  </w:num>
  <w:num w:numId="3" w16cid:durableId="58328786">
    <w:abstractNumId w:val="0"/>
  </w:num>
  <w:num w:numId="4" w16cid:durableId="318578799">
    <w:abstractNumId w:val="1"/>
  </w:num>
  <w:num w:numId="5" w16cid:durableId="660887418">
    <w:abstractNumId w:val="3"/>
  </w:num>
  <w:num w:numId="6" w16cid:durableId="18514121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05F"/>
    <w:rsid w:val="00032C7D"/>
    <w:rsid w:val="000336A0"/>
    <w:rsid w:val="00036C82"/>
    <w:rsid w:val="00056A4C"/>
    <w:rsid w:val="00060579"/>
    <w:rsid w:val="00072575"/>
    <w:rsid w:val="00083404"/>
    <w:rsid w:val="00087A45"/>
    <w:rsid w:val="000B1E13"/>
    <w:rsid w:val="000D428F"/>
    <w:rsid w:val="00106658"/>
    <w:rsid w:val="00121E8E"/>
    <w:rsid w:val="00127C9A"/>
    <w:rsid w:val="00146AFE"/>
    <w:rsid w:val="00150647"/>
    <w:rsid w:val="00163F9E"/>
    <w:rsid w:val="00193D2E"/>
    <w:rsid w:val="001B1255"/>
    <w:rsid w:val="001B3D05"/>
    <w:rsid w:val="001D3F06"/>
    <w:rsid w:val="001D3F5A"/>
    <w:rsid w:val="001D7321"/>
    <w:rsid w:val="00215571"/>
    <w:rsid w:val="0022122C"/>
    <w:rsid w:val="00232AD8"/>
    <w:rsid w:val="00274D04"/>
    <w:rsid w:val="00277331"/>
    <w:rsid w:val="00285463"/>
    <w:rsid w:val="002972E2"/>
    <w:rsid w:val="002A1930"/>
    <w:rsid w:val="002A2218"/>
    <w:rsid w:val="002A7161"/>
    <w:rsid w:val="002C43EF"/>
    <w:rsid w:val="002E6544"/>
    <w:rsid w:val="00332F23"/>
    <w:rsid w:val="00371FF9"/>
    <w:rsid w:val="00375FF5"/>
    <w:rsid w:val="00380AEF"/>
    <w:rsid w:val="00386AE6"/>
    <w:rsid w:val="003A53BF"/>
    <w:rsid w:val="003B1B91"/>
    <w:rsid w:val="003B69FE"/>
    <w:rsid w:val="003E6430"/>
    <w:rsid w:val="003E646A"/>
    <w:rsid w:val="0041605F"/>
    <w:rsid w:val="00417107"/>
    <w:rsid w:val="00417EBC"/>
    <w:rsid w:val="00426E77"/>
    <w:rsid w:val="00431EDB"/>
    <w:rsid w:val="0043672B"/>
    <w:rsid w:val="00460F85"/>
    <w:rsid w:val="00463297"/>
    <w:rsid w:val="00467E36"/>
    <w:rsid w:val="004A2BDA"/>
    <w:rsid w:val="004B12AB"/>
    <w:rsid w:val="004B6C35"/>
    <w:rsid w:val="004C514D"/>
    <w:rsid w:val="004C7EDB"/>
    <w:rsid w:val="004E3143"/>
    <w:rsid w:val="0052324C"/>
    <w:rsid w:val="00530660"/>
    <w:rsid w:val="00530E2B"/>
    <w:rsid w:val="00561A09"/>
    <w:rsid w:val="00567C34"/>
    <w:rsid w:val="0057184F"/>
    <w:rsid w:val="00574C50"/>
    <w:rsid w:val="00583C58"/>
    <w:rsid w:val="00591D51"/>
    <w:rsid w:val="005A2E1E"/>
    <w:rsid w:val="005B4592"/>
    <w:rsid w:val="006006B6"/>
    <w:rsid w:val="00607CE3"/>
    <w:rsid w:val="006468D4"/>
    <w:rsid w:val="00673BA5"/>
    <w:rsid w:val="0068248C"/>
    <w:rsid w:val="00692254"/>
    <w:rsid w:val="0069458A"/>
    <w:rsid w:val="00695699"/>
    <w:rsid w:val="006A2D35"/>
    <w:rsid w:val="006B3000"/>
    <w:rsid w:val="006C13F7"/>
    <w:rsid w:val="006C604B"/>
    <w:rsid w:val="006D6893"/>
    <w:rsid w:val="006D7CB3"/>
    <w:rsid w:val="006E337B"/>
    <w:rsid w:val="006F1719"/>
    <w:rsid w:val="007060D4"/>
    <w:rsid w:val="00720489"/>
    <w:rsid w:val="00743C40"/>
    <w:rsid w:val="00746617"/>
    <w:rsid w:val="007479E3"/>
    <w:rsid w:val="0078356E"/>
    <w:rsid w:val="0078392E"/>
    <w:rsid w:val="007858B1"/>
    <w:rsid w:val="00790A6E"/>
    <w:rsid w:val="007A537F"/>
    <w:rsid w:val="007B3A06"/>
    <w:rsid w:val="007F2C7F"/>
    <w:rsid w:val="007F4CA4"/>
    <w:rsid w:val="00830587"/>
    <w:rsid w:val="00841DCA"/>
    <w:rsid w:val="00843EB7"/>
    <w:rsid w:val="0085291A"/>
    <w:rsid w:val="00857511"/>
    <w:rsid w:val="008576BB"/>
    <w:rsid w:val="008814AA"/>
    <w:rsid w:val="0089163E"/>
    <w:rsid w:val="00897212"/>
    <w:rsid w:val="008A242A"/>
    <w:rsid w:val="008A743C"/>
    <w:rsid w:val="008B43CE"/>
    <w:rsid w:val="008D09E5"/>
    <w:rsid w:val="0092431A"/>
    <w:rsid w:val="00925E75"/>
    <w:rsid w:val="009267EB"/>
    <w:rsid w:val="00950065"/>
    <w:rsid w:val="00960579"/>
    <w:rsid w:val="009631C2"/>
    <w:rsid w:val="00965929"/>
    <w:rsid w:val="009860E3"/>
    <w:rsid w:val="009936D7"/>
    <w:rsid w:val="0099563F"/>
    <w:rsid w:val="00997C95"/>
    <w:rsid w:val="009A2133"/>
    <w:rsid w:val="009A5474"/>
    <w:rsid w:val="009B1048"/>
    <w:rsid w:val="009C583D"/>
    <w:rsid w:val="009D4111"/>
    <w:rsid w:val="009D4CB8"/>
    <w:rsid w:val="009F0913"/>
    <w:rsid w:val="00A00763"/>
    <w:rsid w:val="00A15038"/>
    <w:rsid w:val="00A33018"/>
    <w:rsid w:val="00A33140"/>
    <w:rsid w:val="00A41523"/>
    <w:rsid w:val="00A718C8"/>
    <w:rsid w:val="00A77237"/>
    <w:rsid w:val="00AA2B45"/>
    <w:rsid w:val="00AA3662"/>
    <w:rsid w:val="00AA39D2"/>
    <w:rsid w:val="00AD12E3"/>
    <w:rsid w:val="00B00243"/>
    <w:rsid w:val="00B07E54"/>
    <w:rsid w:val="00B11723"/>
    <w:rsid w:val="00B12AB3"/>
    <w:rsid w:val="00B16419"/>
    <w:rsid w:val="00B25C46"/>
    <w:rsid w:val="00B34393"/>
    <w:rsid w:val="00B34EE6"/>
    <w:rsid w:val="00B36549"/>
    <w:rsid w:val="00B613EC"/>
    <w:rsid w:val="00B75007"/>
    <w:rsid w:val="00B817FD"/>
    <w:rsid w:val="00B85323"/>
    <w:rsid w:val="00B91C79"/>
    <w:rsid w:val="00B947AD"/>
    <w:rsid w:val="00B9677D"/>
    <w:rsid w:val="00BD2F6A"/>
    <w:rsid w:val="00C0396F"/>
    <w:rsid w:val="00C072D1"/>
    <w:rsid w:val="00C16A75"/>
    <w:rsid w:val="00C51FC5"/>
    <w:rsid w:val="00C52761"/>
    <w:rsid w:val="00C6422D"/>
    <w:rsid w:val="00C737E6"/>
    <w:rsid w:val="00C73BAC"/>
    <w:rsid w:val="00C77C6E"/>
    <w:rsid w:val="00C97FF3"/>
    <w:rsid w:val="00CA58E5"/>
    <w:rsid w:val="00CB7FBB"/>
    <w:rsid w:val="00CC590E"/>
    <w:rsid w:val="00CF485B"/>
    <w:rsid w:val="00CF7BE8"/>
    <w:rsid w:val="00D06C87"/>
    <w:rsid w:val="00D331E0"/>
    <w:rsid w:val="00D40154"/>
    <w:rsid w:val="00D65788"/>
    <w:rsid w:val="00D95708"/>
    <w:rsid w:val="00DA5140"/>
    <w:rsid w:val="00DF2123"/>
    <w:rsid w:val="00DF226D"/>
    <w:rsid w:val="00DF7B35"/>
    <w:rsid w:val="00E0305F"/>
    <w:rsid w:val="00E0626E"/>
    <w:rsid w:val="00E11252"/>
    <w:rsid w:val="00E17E43"/>
    <w:rsid w:val="00E4340F"/>
    <w:rsid w:val="00E52069"/>
    <w:rsid w:val="00E71EA7"/>
    <w:rsid w:val="00EA7922"/>
    <w:rsid w:val="00EC6267"/>
    <w:rsid w:val="00ED5ECD"/>
    <w:rsid w:val="00EF30BD"/>
    <w:rsid w:val="00F101BB"/>
    <w:rsid w:val="00F71DFE"/>
    <w:rsid w:val="00F75E13"/>
    <w:rsid w:val="00F77205"/>
    <w:rsid w:val="00FA3C91"/>
    <w:rsid w:val="00FA698A"/>
    <w:rsid w:val="00FE4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79B07"/>
  <w15:chartTrackingRefBased/>
  <w15:docId w15:val="{6ED6D892-BDF8-4298-AB4E-8F266A520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305F"/>
    <w:rPr>
      <w:color w:val="0563C1" w:themeColor="hyperlink"/>
      <w:u w:val="single"/>
    </w:rPr>
  </w:style>
  <w:style w:type="character" w:styleId="UnresolvedMention">
    <w:name w:val="Unresolved Mention"/>
    <w:basedOn w:val="DefaultParagraphFont"/>
    <w:uiPriority w:val="99"/>
    <w:semiHidden/>
    <w:unhideWhenUsed/>
    <w:rsid w:val="00E0305F"/>
    <w:rPr>
      <w:color w:val="605E5C"/>
      <w:shd w:val="clear" w:color="auto" w:fill="E1DFDD"/>
    </w:rPr>
  </w:style>
  <w:style w:type="character" w:styleId="FollowedHyperlink">
    <w:name w:val="FollowedHyperlink"/>
    <w:basedOn w:val="DefaultParagraphFont"/>
    <w:uiPriority w:val="99"/>
    <w:semiHidden/>
    <w:unhideWhenUsed/>
    <w:rsid w:val="00C737E6"/>
    <w:rPr>
      <w:color w:val="954F72" w:themeColor="followedHyperlink"/>
      <w:u w:val="single"/>
    </w:rPr>
  </w:style>
  <w:style w:type="paragraph" w:styleId="ListParagraph">
    <w:name w:val="List Paragraph"/>
    <w:basedOn w:val="Normal"/>
    <w:uiPriority w:val="34"/>
    <w:qFormat/>
    <w:rsid w:val="00960579"/>
    <w:pPr>
      <w:ind w:left="720"/>
      <w:contextualSpacing/>
    </w:pPr>
  </w:style>
  <w:style w:type="paragraph" w:styleId="Header">
    <w:name w:val="header"/>
    <w:basedOn w:val="Normal"/>
    <w:link w:val="HeaderChar"/>
    <w:uiPriority w:val="99"/>
    <w:unhideWhenUsed/>
    <w:rsid w:val="00E062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26E"/>
  </w:style>
  <w:style w:type="paragraph" w:styleId="Footer">
    <w:name w:val="footer"/>
    <w:basedOn w:val="Normal"/>
    <w:link w:val="FooterChar"/>
    <w:uiPriority w:val="99"/>
    <w:unhideWhenUsed/>
    <w:rsid w:val="00E062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26E"/>
  </w:style>
  <w:style w:type="table" w:styleId="TableGrid">
    <w:name w:val="Table Grid"/>
    <w:basedOn w:val="TableNormal"/>
    <w:uiPriority w:val="39"/>
    <w:rsid w:val="004C7EDB"/>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7426">
      <w:bodyDiv w:val="1"/>
      <w:marLeft w:val="0"/>
      <w:marRight w:val="0"/>
      <w:marTop w:val="0"/>
      <w:marBottom w:val="0"/>
      <w:divBdr>
        <w:top w:val="none" w:sz="0" w:space="0" w:color="auto"/>
        <w:left w:val="none" w:sz="0" w:space="0" w:color="auto"/>
        <w:bottom w:val="none" w:sz="0" w:space="0" w:color="auto"/>
        <w:right w:val="none" w:sz="0" w:space="0" w:color="auto"/>
      </w:divBdr>
      <w:divsChild>
        <w:div w:id="509874901">
          <w:marLeft w:val="0"/>
          <w:marRight w:val="0"/>
          <w:marTop w:val="0"/>
          <w:marBottom w:val="0"/>
          <w:divBdr>
            <w:top w:val="none" w:sz="0" w:space="0" w:color="auto"/>
            <w:left w:val="none" w:sz="0" w:space="0" w:color="auto"/>
            <w:bottom w:val="none" w:sz="0" w:space="0" w:color="auto"/>
            <w:right w:val="none" w:sz="0" w:space="0" w:color="auto"/>
          </w:divBdr>
          <w:divsChild>
            <w:div w:id="1031568780">
              <w:marLeft w:val="0"/>
              <w:marRight w:val="0"/>
              <w:marTop w:val="0"/>
              <w:marBottom w:val="0"/>
              <w:divBdr>
                <w:top w:val="none" w:sz="0" w:space="0" w:color="auto"/>
                <w:left w:val="none" w:sz="0" w:space="0" w:color="auto"/>
                <w:bottom w:val="none" w:sz="0" w:space="0" w:color="auto"/>
                <w:right w:val="none" w:sz="0" w:space="0" w:color="auto"/>
              </w:divBdr>
              <w:divsChild>
                <w:div w:id="1925529142">
                  <w:marLeft w:val="0"/>
                  <w:marRight w:val="0"/>
                  <w:marTop w:val="0"/>
                  <w:marBottom w:val="0"/>
                  <w:divBdr>
                    <w:top w:val="none" w:sz="0" w:space="0" w:color="auto"/>
                    <w:left w:val="none" w:sz="0" w:space="0" w:color="auto"/>
                    <w:bottom w:val="none" w:sz="0" w:space="0" w:color="auto"/>
                    <w:right w:val="none" w:sz="0" w:space="0" w:color="auto"/>
                  </w:divBdr>
                  <w:divsChild>
                    <w:div w:id="175512802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0742-051X(94)00012-U" TargetMode="External"/><Relationship Id="rId18" Type="http://schemas.openxmlformats.org/officeDocument/2006/relationships/hyperlink" Target="https://doi.org/10.1088/1742-6596/1663/1/012046" TargetMode="External"/><Relationship Id="rId26"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settings" Target="settings.xml"/><Relationship Id="rId21" Type="http://schemas.openxmlformats.org/officeDocument/2006/relationships/hyperlink" Target="http://ebookcentral.proquest.com/lib/trinity/detail.action?docID=958710" TargetMode="External"/><Relationship Id="rId7" Type="http://schemas.openxmlformats.org/officeDocument/2006/relationships/hyperlink" Target="https://doi.org/10.1207/s1532690xci0804_2" TargetMode="External"/><Relationship Id="rId12" Type="http://schemas.openxmlformats.org/officeDocument/2006/relationships/hyperlink" Target="https://doi.org/10.4324/9781315885025" TargetMode="External"/><Relationship Id="rId17" Type="http://schemas.openxmlformats.org/officeDocument/2006/relationships/hyperlink" Target="https://doi.org/10.1088/1742-6596/1157/4/042083" TargetMode="External"/><Relationship Id="rId25" Type="http://schemas.openxmlformats.org/officeDocument/2006/relationships/hyperlink" Target="https://hwb.gov.wales/professional-development/professional-standard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mylocalschool.gov.wales/Schools/SchoolSearch?lang=en" TargetMode="External"/><Relationship Id="rId20" Type="http://schemas.openxmlformats.org/officeDocument/2006/relationships/hyperlink" Target="https://www.singaporemath.com/pages/what-is-singapore-math" TargetMode="External"/><Relationship Id="rId29" Type="http://schemas.openxmlformats.org/officeDocument/2006/relationships/hyperlink" Target="https://web-p-ebscohost-com.ezproxy.uwtsd.ac.uk/ehost/ebookviewer/ebook/bmxlYmtfXzQ1NjA3Nl9fQU41?sid=71690512-f4ac-4295-bd3d-002dbb96d991@redis&amp;vid=0&amp;format=EB&amp;rid=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anklin.edu/institute/blog/cognitive-load-theory-helping-students-learning-systems-function-more-efficiently" TargetMode="External"/><Relationship Id="rId24" Type="http://schemas.openxmlformats.org/officeDocument/2006/relationships/hyperlink" Target="https://hwb.gov.wales/curriculum-for-wales/designing-your-curriculum/developing-a-vision-for-curriculum-design/"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6/S0742-051X(01)00051-8" TargetMode="External"/><Relationship Id="rId23" Type="http://schemas.openxmlformats.org/officeDocument/2006/relationships/hyperlink" Target="https://doi.org/10.1007/s10648-005-3951-0" TargetMode="External"/><Relationship Id="rId28" Type="http://schemas.openxmlformats.org/officeDocument/2006/relationships/hyperlink" Target="https://files.eric.ed.gov/fulltext/EJ797683.pdf" TargetMode="External"/><Relationship Id="rId10" Type="http://schemas.openxmlformats.org/officeDocument/2006/relationships/hyperlink" Target="https://sites.google.com/hwbcymru.net/pdcsprimary/key-information/estyn" TargetMode="External"/><Relationship Id="rId19" Type="http://schemas.openxmlformats.org/officeDocument/2006/relationships/hyperlink" Target="https://my.chartered.college/impact_article/cognitive-load-theory-and-its-application-in-the-classroom/"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repository.nie.edu.sg/bitstream/10497/18889/1/TME-16-1-1.pdf" TargetMode="External"/><Relationship Id="rId22" Type="http://schemas.openxmlformats.org/officeDocument/2006/relationships/hyperlink" Target="https://www.tandfonline.com/doi/pdf/10.3109/13561829809014084?casa_token=nudJ8zZWvAkAAAAA:34Lp0vspBMo3eZJyATfT4Ud8-LEfijVMTj7wUYBCl6PQRxfuN0cjzJeqgWFVRtNcT8QklbYOdyEvnQ" TargetMode="External"/><Relationship Id="rId27" Type="http://schemas.openxmlformats.org/officeDocument/2006/relationships/hyperlink" Target="https://acamh.onlinelibrary.wiley.com/doi/10.1111/j.1469-7610.1976.tb00381.x" TargetMode="External"/><Relationship Id="rId30" Type="http://schemas.openxmlformats.org/officeDocument/2006/relationships/header" Target="header1.xml"/><Relationship Id="rId8" Type="http://schemas.openxmlformats.org/officeDocument/2006/relationships/hyperlink" Target="https://doi.org/10.1007/s11251-009-91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TotalTime>
  <Pages>13</Pages>
  <Words>5463</Words>
  <Characters>31145</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Davies</dc:creator>
  <cp:keywords/>
  <dc:description/>
  <cp:lastModifiedBy>Ceri Davies</cp:lastModifiedBy>
  <cp:revision>8</cp:revision>
  <dcterms:created xsi:type="dcterms:W3CDTF">2022-10-31T16:15:00Z</dcterms:created>
  <dcterms:modified xsi:type="dcterms:W3CDTF">2022-11-02T13:38:00Z</dcterms:modified>
</cp:coreProperties>
</file>