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2B9003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B59A4">
              <w:rPr>
                <w:rFonts w:ascii="Times New Roman" w:hAnsi="Times New Roman" w:cs="Times New Roman"/>
                <w:b/>
                <w:color w:val="auto"/>
                <w:sz w:val="48"/>
              </w:rPr>
              <w:t>Alaw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7ED860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B59A4">
              <w:rPr>
                <w:rFonts w:ascii="Times New Roman" w:hAnsi="Times New Roman" w:cs="Times New Roman"/>
                <w:b/>
                <w:color w:val="auto"/>
                <w:sz w:val="48"/>
              </w:rPr>
              <w:t xml:space="preserve"> </w:t>
            </w:r>
            <w:r w:rsidR="000B59A4" w:rsidRPr="000B59A4">
              <w:rPr>
                <w:rFonts w:ascii="Times New Roman" w:hAnsi="Times New Roman" w:cs="Times New Roman"/>
                <w:b/>
                <w:color w:val="auto"/>
                <w:sz w:val="48"/>
              </w:rPr>
              <w:t>2434211@student.uwtsd.ac.uk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79CAD52D" w14:textId="5FFBC11C" w:rsidR="000B59A4" w:rsidRPr="005D3F07" w:rsidRDefault="000B59A4"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2434211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41061135" w14:textId="77777777" w:rsidR="000B59A4" w:rsidRDefault="000B59A4" w:rsidP="000B59A4">
            <w:pPr>
              <w:spacing w:line="360" w:lineRule="auto"/>
              <w:jc w:val="both"/>
              <w:rPr>
                <w:sz w:val="24"/>
                <w:szCs w:val="24"/>
              </w:rPr>
            </w:pPr>
            <w:r w:rsidRPr="00BB781A">
              <w:rPr>
                <w:sz w:val="24"/>
                <w:szCs w:val="24"/>
              </w:rPr>
              <w:t>For case study in task three, the family I will be focusing on is one which consists of a mother (1), father (2) and five children</w:t>
            </w:r>
            <w:r>
              <w:rPr>
                <w:sz w:val="24"/>
                <w:szCs w:val="24"/>
              </w:rPr>
              <w:t xml:space="preserve">, </w:t>
            </w:r>
            <w:r w:rsidRPr="00BB781A">
              <w:rPr>
                <w:sz w:val="24"/>
                <w:szCs w:val="24"/>
              </w:rPr>
              <w:t>age</w:t>
            </w:r>
            <w:r>
              <w:rPr>
                <w:sz w:val="24"/>
                <w:szCs w:val="24"/>
              </w:rPr>
              <w:t>d</w:t>
            </w:r>
            <w:r w:rsidRPr="00BB781A">
              <w:rPr>
                <w:sz w:val="24"/>
                <w:szCs w:val="24"/>
              </w:rPr>
              <w:t xml:space="preserve"> fifteen</w:t>
            </w:r>
            <w:r>
              <w:rPr>
                <w:sz w:val="24"/>
                <w:szCs w:val="24"/>
              </w:rPr>
              <w:t xml:space="preserve"> (3) </w:t>
            </w:r>
            <w:r w:rsidRPr="00BB781A">
              <w:rPr>
                <w:sz w:val="24"/>
                <w:szCs w:val="24"/>
              </w:rPr>
              <w:t>fourteen</w:t>
            </w:r>
            <w:r>
              <w:rPr>
                <w:sz w:val="24"/>
                <w:szCs w:val="24"/>
              </w:rPr>
              <w:t xml:space="preserve"> (4)</w:t>
            </w:r>
            <w:r w:rsidRPr="00BB781A">
              <w:rPr>
                <w:sz w:val="24"/>
                <w:szCs w:val="24"/>
              </w:rPr>
              <w:t xml:space="preserve"> thirteen</w:t>
            </w:r>
            <w:r>
              <w:rPr>
                <w:sz w:val="24"/>
                <w:szCs w:val="24"/>
              </w:rPr>
              <w:t xml:space="preserve"> (5)</w:t>
            </w:r>
            <w:r w:rsidRPr="00BB781A">
              <w:rPr>
                <w:sz w:val="24"/>
                <w:szCs w:val="24"/>
              </w:rPr>
              <w:t xml:space="preserve"> twelve</w:t>
            </w:r>
            <w:r>
              <w:rPr>
                <w:sz w:val="24"/>
                <w:szCs w:val="24"/>
              </w:rPr>
              <w:t xml:space="preserve"> (6); whom are all females, </w:t>
            </w:r>
            <w:r w:rsidRPr="00BB781A">
              <w:rPr>
                <w:sz w:val="24"/>
                <w:szCs w:val="24"/>
              </w:rPr>
              <w:t>and ten</w:t>
            </w:r>
            <w:r>
              <w:rPr>
                <w:sz w:val="24"/>
                <w:szCs w:val="24"/>
              </w:rPr>
              <w:t xml:space="preserve"> (7) who is a male</w:t>
            </w:r>
            <w:r w:rsidRPr="00BB781A">
              <w:rPr>
                <w:sz w:val="24"/>
                <w:szCs w:val="24"/>
              </w:rPr>
              <w:t xml:space="preserve">. </w:t>
            </w:r>
            <w:r>
              <w:rPr>
                <w:sz w:val="24"/>
                <w:szCs w:val="24"/>
              </w:rPr>
              <w:t xml:space="preserve">The persons will be referred to as numbers for the purpose of task three to ensure confidentiality in part with practicing ethically. This family are white, British, and from a working-class background. The parents are English native speakers, and it’s the spoken language at home. The five children are mainly English with little Welsh knowledge having attended a bilingual education provision. My role with the family as a practising qualified social worker was to undertake an initial needs assessment, in line with Part 3, Section 21 of the </w:t>
            </w:r>
            <w:r w:rsidRPr="00950F52">
              <w:rPr>
                <w:sz w:val="24"/>
                <w:szCs w:val="24"/>
              </w:rPr>
              <w:t>Social Services and Wellbeing</w:t>
            </w:r>
            <w:r>
              <w:rPr>
                <w:sz w:val="24"/>
                <w:szCs w:val="24"/>
              </w:rPr>
              <w:t xml:space="preserve"> (SSWBA)</w:t>
            </w:r>
            <w:r w:rsidRPr="00950F52">
              <w:rPr>
                <w:sz w:val="24"/>
                <w:szCs w:val="24"/>
              </w:rPr>
              <w:t xml:space="preserve"> (Wales) Act </w:t>
            </w:r>
            <w:r>
              <w:rPr>
                <w:sz w:val="24"/>
                <w:szCs w:val="24"/>
              </w:rPr>
              <w:t>(2014) to determine the outcome of care and support for the family. If immediate protection and urgent action is required following there to be a reasonable cause to suspect that child is suffering or likely to experience significant harm, abuse or neglect (Social Care Wales, 2025), alongside, it will follow Section 47 under the Children Act (1989) child protection procedures.</w:t>
            </w:r>
          </w:p>
          <w:p w14:paraId="20CEF04D" w14:textId="77777777" w:rsidR="000B59A4" w:rsidRDefault="000B59A4" w:rsidP="000B59A4">
            <w:pPr>
              <w:spacing w:line="360" w:lineRule="auto"/>
              <w:jc w:val="both"/>
              <w:rPr>
                <w:sz w:val="24"/>
                <w:szCs w:val="24"/>
              </w:rPr>
            </w:pPr>
            <w:r>
              <w:rPr>
                <w:sz w:val="24"/>
                <w:szCs w:val="24"/>
              </w:rPr>
              <w:lastRenderedPageBreak/>
              <w:t>The decision for assessment was made following multiple reports of safeguarding concerns raised from various sources from the Emergency Department of a local hospital, the police, and a Secondary School from a neighbouring Local Authority. Concerns stemming from 2’s negative mental health and low moods, an incident whereby he tried to commit suicide with his children were present with him in a moving car, including school stating that children appear of low energy, angry and bad behaviours.</w:t>
            </w:r>
          </w:p>
          <w:p w14:paraId="4FF71860" w14:textId="77777777" w:rsidR="000B59A4" w:rsidRDefault="000B59A4" w:rsidP="000B59A4">
            <w:pPr>
              <w:spacing w:line="360" w:lineRule="auto"/>
              <w:jc w:val="both"/>
              <w:rPr>
                <w:sz w:val="24"/>
                <w:szCs w:val="24"/>
              </w:rPr>
            </w:pPr>
          </w:p>
          <w:p w14:paraId="3DE58FD7" w14:textId="77777777" w:rsidR="000B59A4" w:rsidRDefault="000B59A4" w:rsidP="000B59A4">
            <w:pPr>
              <w:spacing w:line="360" w:lineRule="auto"/>
              <w:jc w:val="both"/>
              <w:rPr>
                <w:sz w:val="24"/>
                <w:szCs w:val="24"/>
              </w:rPr>
            </w:pPr>
            <w:r>
              <w:rPr>
                <w:sz w:val="24"/>
                <w:szCs w:val="24"/>
              </w:rPr>
              <w:t xml:space="preserve">When initial engagement is taking place, it is integral to be mindful of communicating in ways that is desired for the individuals in conducting person-centred assessments. To support this case, the ‘active offer’ approach was implemented. Its purpose is to proactively offer the Welsh language without families having to request directly. This was put into practice to ensure the children’s voice and lived experience was clearly communicated in their favoured language in line with the SSWBA. This is a principle within the strategic Welsh Government policy framework of ‘More than Just Words’ (Welsh Gov, 2022). This is in line with Section 5 of the SSWBA (2014) to take into consideration the wellbeing outcomes of individuals. This is also further considered and implemented via the ‘What Matters’ (SCW, 2025) approach. This places a duty on the worker to consider, and to have regard to the individual’s views, wishes and feelings, by working with Section 1 of the Code of Professional Practice (SCW, 2017); which shows that they all together, simultaneously support strengths-based practice. </w:t>
            </w:r>
          </w:p>
          <w:p w14:paraId="1E41500D" w14:textId="77777777" w:rsidR="000B59A4" w:rsidRDefault="000B59A4" w:rsidP="000B59A4">
            <w:pPr>
              <w:spacing w:line="360" w:lineRule="auto"/>
              <w:jc w:val="both"/>
              <w:rPr>
                <w:sz w:val="24"/>
                <w:szCs w:val="24"/>
              </w:rPr>
            </w:pPr>
          </w:p>
          <w:p w14:paraId="2ACC0B17" w14:textId="77777777" w:rsidR="000B59A4" w:rsidRDefault="000B59A4" w:rsidP="000B59A4">
            <w:pPr>
              <w:spacing w:line="360" w:lineRule="auto"/>
              <w:jc w:val="both"/>
              <w:rPr>
                <w:sz w:val="24"/>
                <w:szCs w:val="24"/>
              </w:rPr>
            </w:pPr>
            <w:r>
              <w:rPr>
                <w:sz w:val="24"/>
                <w:szCs w:val="24"/>
              </w:rPr>
              <w:t xml:space="preserve">This critically reflective case study will demonstrate how I have practised to reach an  outcome of working with the family as part of my work within the children and families department, in hand with continuing to consider relevant policies, legislations and working within the Welsh context that is being practiced on a daily basis; with detailed reference to the three key learning outcomes of applying analysis, working collaboratively and professional judgement in increasingly complex situations while instilling a child-centred practice throughout. </w:t>
            </w:r>
          </w:p>
          <w:p w14:paraId="4517D790" w14:textId="77777777" w:rsidR="000B59A4" w:rsidRDefault="000B59A4" w:rsidP="000B59A4">
            <w:pPr>
              <w:spacing w:line="360" w:lineRule="auto"/>
              <w:jc w:val="both"/>
              <w:rPr>
                <w:sz w:val="24"/>
                <w:szCs w:val="24"/>
              </w:rPr>
            </w:pPr>
          </w:p>
          <w:p w14:paraId="70D23EFB" w14:textId="77777777" w:rsidR="000B59A4" w:rsidRDefault="000B59A4" w:rsidP="000B59A4">
            <w:pPr>
              <w:spacing w:line="360" w:lineRule="auto"/>
              <w:jc w:val="both"/>
              <w:rPr>
                <w:sz w:val="24"/>
                <w:szCs w:val="24"/>
              </w:rPr>
            </w:pPr>
            <w:r>
              <w:rPr>
                <w:sz w:val="24"/>
                <w:szCs w:val="24"/>
              </w:rPr>
              <w:t xml:space="preserve">Safeguarding context of working with children and families in Wales is underpinned by key pieces of legislative framework which is the SSWBA (2014) that guides my area of work to promote best practice. This informs clearly how risk is identified, assessed and responded to. Specific to Wales, social work practice is guided by the legislative and subsequent policy </w:t>
            </w:r>
            <w:r>
              <w:rPr>
                <w:sz w:val="24"/>
                <w:szCs w:val="24"/>
              </w:rPr>
              <w:lastRenderedPageBreak/>
              <w:t>frameworks that differs to neighbouring countries and afar; which I as a social worker practicing in Wales should be adhering to in the process of working with families. The S</w:t>
            </w:r>
            <w:r w:rsidRPr="00521DD3">
              <w:rPr>
                <w:sz w:val="24"/>
                <w:szCs w:val="24"/>
              </w:rPr>
              <w:t xml:space="preserve">ocial Services and Well-being (Wales) </w:t>
            </w:r>
            <w:r>
              <w:rPr>
                <w:sz w:val="24"/>
                <w:szCs w:val="24"/>
              </w:rPr>
              <w:t>A</w:t>
            </w:r>
            <w:r w:rsidRPr="00521DD3">
              <w:rPr>
                <w:sz w:val="24"/>
                <w:szCs w:val="24"/>
              </w:rPr>
              <w:t xml:space="preserve">ct 2014 is a key piece of legislation in relation to the delivery of social welfare in </w:t>
            </w:r>
            <w:r>
              <w:rPr>
                <w:sz w:val="24"/>
                <w:szCs w:val="24"/>
              </w:rPr>
              <w:t>this country (Gwilym and Williams, 2014)</w:t>
            </w:r>
            <w:r w:rsidRPr="00521DD3">
              <w:rPr>
                <w:sz w:val="24"/>
                <w:szCs w:val="24"/>
              </w:rPr>
              <w:t xml:space="preserve">. </w:t>
            </w:r>
            <w:r>
              <w:rPr>
                <w:sz w:val="24"/>
                <w:szCs w:val="24"/>
              </w:rPr>
              <w:t xml:space="preserve">The five key principles of the act intertwine and have been embedded whilst co-working with the family, especially; to promote the wellbeing of individuals which is necessary when working towards an outcome. The Wales Safeguarding Procedures (SCW, 2026) has been developed to include pointers to support daily work which I use frequently on a day-to-day basis in terms of determining next steps. Specifically with this case, it was used to guide my decision-making whilst being a handy reference tool for practice in terms of responding to a safeguarding concern. The Code of Professional Practice for Social Workers (SCW, 2017) is a framework in Wales that I work in accordance with, which stipulates standards and is part of a policy that there is a duty for us to uphold. Specifically for this context; section 3 of promoting wellbeing, what is essential to me in </w:t>
            </w:r>
            <w:r w:rsidRPr="001868DE">
              <w:rPr>
                <w:sz w:val="24"/>
                <w:szCs w:val="24"/>
              </w:rPr>
              <w:t xml:space="preserve">considering aims and objectives; and is in part of broader context of the SSWBA legislation. However, more broadly, the Children Act’s (1989) outlook, is the wellbeing and welfare of the child, and is a legislation that ensures a robust framework </w:t>
            </w:r>
            <w:r>
              <w:rPr>
                <w:sz w:val="24"/>
                <w:szCs w:val="24"/>
              </w:rPr>
              <w:t xml:space="preserve">so that </w:t>
            </w:r>
            <w:r w:rsidRPr="001868DE">
              <w:rPr>
                <w:sz w:val="24"/>
                <w:szCs w:val="24"/>
              </w:rPr>
              <w:t>individuals working with children have a responsibility for safeguarding and protecting their welfare; it’s a law that is nationally recognised in the United Kingdom</w:t>
            </w:r>
            <w:r>
              <w:rPr>
                <w:sz w:val="24"/>
                <w:szCs w:val="24"/>
              </w:rPr>
              <w:t xml:space="preserve">. All subsequent legislations and policies are informed by the requirements of the Children Act (1989) to safeguard. It is there to exercise duty on local authorities and other agencies to achieve the best outcomes for the families (Dickens, 2016). It is designed to ensure the children’s voices are heard – which coincides with the United Nations Convention on the Rights of the Child [UNCRC]. The Human Rights Act (1998) is an international treaty that gives all citizens rights, from the countries who implement these treaties. Though, the UNCRC (1989) is a child-specific human rights law.  The Article 12 of the UNCRC </w:t>
            </w:r>
            <w:r w:rsidRPr="000B0F2F">
              <w:rPr>
                <w:i/>
                <w:iCs/>
                <w:sz w:val="24"/>
                <w:szCs w:val="24"/>
              </w:rPr>
              <w:t>respect for the views of the child</w:t>
            </w:r>
            <w:r>
              <w:rPr>
                <w:sz w:val="24"/>
                <w:szCs w:val="24"/>
              </w:rPr>
              <w:t xml:space="preserve"> was relevant to this case in question because there was a need to listen to what the children wanted to share.  5 disclosed information to counsellor that raised concerns about 2 on physical chastisement as form of punishment, but did not want to share for 2 to get into trouble; this came towards the end of the assessment. But when it comes to safeguarding children, it is vital that information is shared accordingly with the correct departments. And ensuring that working in line with Article 12 is not at all seen as a barrier to justified information sharing to safeguarding children (Welsh </w:t>
            </w:r>
            <w:r>
              <w:rPr>
                <w:sz w:val="24"/>
                <w:szCs w:val="24"/>
              </w:rPr>
              <w:lastRenderedPageBreak/>
              <w:t xml:space="preserve">Government, 2019); provided the information is shared in an appropriate way (Brammer, 2020) and working in the </w:t>
            </w:r>
            <w:r w:rsidRPr="00F71841">
              <w:rPr>
                <w:i/>
                <w:iCs/>
                <w:sz w:val="24"/>
                <w:szCs w:val="24"/>
              </w:rPr>
              <w:t>child’s best interest</w:t>
            </w:r>
            <w:r>
              <w:rPr>
                <w:sz w:val="24"/>
                <w:szCs w:val="24"/>
              </w:rPr>
              <w:t xml:space="preserve"> [Article 3] whether it’s consent based or not. Therefore, it demonstrates the complex but necessary need to balance Article 16 </w:t>
            </w:r>
            <w:r w:rsidRPr="000B0F2F">
              <w:rPr>
                <w:i/>
                <w:iCs/>
                <w:sz w:val="24"/>
                <w:szCs w:val="24"/>
              </w:rPr>
              <w:t>right to privacy</w:t>
            </w:r>
            <w:r>
              <w:rPr>
                <w:sz w:val="24"/>
                <w:szCs w:val="24"/>
              </w:rPr>
              <w:t xml:space="preserve"> (UNCRC, 1989) and confidentiality with the General Data Protection Regulation (GDPR) (2018) and the Data Protection Act (2018) whereby sharing information is proportionate should a safeguarding risk be identified; and is working alongside statutory safeguarding duties – this is not only in Wales, but is on a national and European level too. 5 was the only child that shared concerns for 2’s behaviours and his ways at trying to discipline the children within the family home in an unlawful way.</w:t>
            </w:r>
            <w:r>
              <w:rPr>
                <w:rStyle w:val="CommentReference"/>
              </w:rPr>
              <w:t xml:space="preserve"> </w:t>
            </w:r>
            <w:r>
              <w:rPr>
                <w:sz w:val="24"/>
                <w:szCs w:val="24"/>
              </w:rPr>
              <w:t xml:space="preserve">This raises safeguarding concerns as physical chastisement of children is illegal in Wales and abolishes any means of ‘reasonable punishment’ under the law that came to force in 2022 </w:t>
            </w:r>
            <w:r w:rsidRPr="00550682">
              <w:rPr>
                <w:sz w:val="24"/>
                <w:szCs w:val="24"/>
              </w:rPr>
              <w:t>(Children (</w:t>
            </w:r>
            <w:r w:rsidRPr="00550682">
              <w:rPr>
                <w:i/>
                <w:iCs/>
                <w:sz w:val="24"/>
                <w:szCs w:val="24"/>
              </w:rPr>
              <w:t>Abolition of Defence of Reasonable Punishment</w:t>
            </w:r>
            <w:r w:rsidRPr="00550682">
              <w:rPr>
                <w:sz w:val="24"/>
                <w:szCs w:val="24"/>
              </w:rPr>
              <w:t>) (Wales) Act</w:t>
            </w:r>
            <w:r>
              <w:rPr>
                <w:sz w:val="24"/>
                <w:szCs w:val="24"/>
              </w:rPr>
              <w:t>,</w:t>
            </w:r>
            <w:r w:rsidRPr="00550682">
              <w:rPr>
                <w:sz w:val="24"/>
                <w:szCs w:val="24"/>
              </w:rPr>
              <w:t xml:space="preserve"> 2020)</w:t>
            </w:r>
            <w:r>
              <w:rPr>
                <w:sz w:val="24"/>
                <w:szCs w:val="24"/>
              </w:rPr>
              <w:t>. In Wales, the legal duty to report to the Local Authority is explained under Section 2 of the Wales Safeguarding Procedures; is when any person has knowledge, concerns or suspicions that a child is suffering, has suffered or is likely to be at risk of harm (Safeguarding Wales, 2021). Social Services have statutory duties, and powers to enquire and intervene as necessary (Safeguarding Wales, 2021).</w:t>
            </w:r>
          </w:p>
          <w:p w14:paraId="54197D53" w14:textId="77777777" w:rsidR="000B59A4" w:rsidRDefault="000B59A4" w:rsidP="000B59A4">
            <w:pPr>
              <w:spacing w:line="360" w:lineRule="auto"/>
              <w:jc w:val="both"/>
              <w:rPr>
                <w:sz w:val="24"/>
                <w:szCs w:val="24"/>
              </w:rPr>
            </w:pPr>
          </w:p>
          <w:p w14:paraId="4CC703EA" w14:textId="77777777" w:rsidR="000B59A4" w:rsidRDefault="000B59A4" w:rsidP="000B59A4">
            <w:pPr>
              <w:spacing w:line="360" w:lineRule="auto"/>
              <w:jc w:val="both"/>
              <w:rPr>
                <w:sz w:val="24"/>
                <w:szCs w:val="24"/>
              </w:rPr>
            </w:pPr>
            <w:r>
              <w:rPr>
                <w:sz w:val="24"/>
                <w:szCs w:val="24"/>
              </w:rPr>
              <w:t xml:space="preserve">This part critically reflects and analyses on the part three assessment I completed with the family in my role as a social worker. It focuses on the strengths, and protective factors alongside areas of concern, supported by the use of theory to make informed decisions. </w:t>
            </w:r>
          </w:p>
          <w:p w14:paraId="50A14AA7" w14:textId="77777777" w:rsidR="000B59A4" w:rsidRDefault="000B59A4" w:rsidP="000B59A4">
            <w:pPr>
              <w:spacing w:line="360" w:lineRule="auto"/>
              <w:jc w:val="both"/>
              <w:rPr>
                <w:sz w:val="24"/>
                <w:szCs w:val="24"/>
              </w:rPr>
            </w:pPr>
          </w:p>
          <w:p w14:paraId="09EE1508" w14:textId="77777777" w:rsidR="000B59A4" w:rsidRDefault="000B59A4" w:rsidP="000B59A4">
            <w:pPr>
              <w:spacing w:line="360" w:lineRule="auto"/>
              <w:jc w:val="both"/>
              <w:rPr>
                <w:sz w:val="24"/>
                <w:szCs w:val="24"/>
              </w:rPr>
            </w:pPr>
            <w:r>
              <w:rPr>
                <w:sz w:val="24"/>
                <w:szCs w:val="24"/>
              </w:rPr>
              <w:tab/>
              <w:t xml:space="preserve">The family were previously known to neighbouring social services department for early help support in relation to 2’s low moods. The family on surface level appeared to cope with one problem, but with combinations of problems struggle to maintain stability, and (National Assembly for Wales, 2001) report that this can have ‘a cumulative debilitating effect’ on families daily functioning. For this reason, </w:t>
            </w:r>
            <w:bookmarkStart w:id="0" w:name="_Hlk221784783"/>
            <w:r>
              <w:rPr>
                <w:sz w:val="24"/>
                <w:szCs w:val="24"/>
              </w:rPr>
              <w:t xml:space="preserve">Bronfenbrenner’s Ecological Systems Theory </w:t>
            </w:r>
            <w:bookmarkEnd w:id="0"/>
            <w:r>
              <w:rPr>
                <w:sz w:val="24"/>
                <w:szCs w:val="24"/>
              </w:rPr>
              <w:t xml:space="preserve">(1977) looking at different ‘systems’ was used to support analysis in assessment during supervision, in order to explicitly highlight how different ‘factors’ on multiple different levels interrelate with family level risk in this instance, and size of impact on a child’s development and lived experience. Parental mental health [within the microsystem] has an impact [Mesosystem] on Housing instability [in the Exosystem]. This clearly stipulates that these </w:t>
            </w:r>
            <w:r>
              <w:rPr>
                <w:sz w:val="24"/>
                <w:szCs w:val="24"/>
              </w:rPr>
              <w:lastRenderedPageBreak/>
              <w:t>issues come to view by connecting pressures across different and multiple ecological levels (Guy-Evans, 2025). This creates a cycle of connections where housing worry exacerbates psychological stress, which then presents with multitude mental health challenges, and as minimum impacts 2’s parental capacity in navigating everyday stressors that come with it, which has led to him harming his children; and thus, later having consequences on other areas of life on the family’s outcomes, that easily fits within the ecological system’s diagram. This theory supports the need to recognise and determine what the direct and indirect risks are from these levels towards the children, and how things may worsen should there be no changes to current circumstances on not only the child but the parent too.</w:t>
            </w:r>
          </w:p>
          <w:p w14:paraId="2EE94C97" w14:textId="77777777" w:rsidR="000B59A4" w:rsidRDefault="000B59A4" w:rsidP="000B59A4">
            <w:pPr>
              <w:spacing w:line="360" w:lineRule="auto"/>
              <w:jc w:val="both"/>
              <w:rPr>
                <w:sz w:val="24"/>
                <w:szCs w:val="24"/>
              </w:rPr>
            </w:pPr>
          </w:p>
          <w:p w14:paraId="0DA99266" w14:textId="77777777" w:rsidR="000B59A4" w:rsidRDefault="000B59A4" w:rsidP="000B59A4">
            <w:pPr>
              <w:spacing w:line="360" w:lineRule="auto"/>
              <w:jc w:val="both"/>
              <w:rPr>
                <w:sz w:val="24"/>
                <w:szCs w:val="24"/>
              </w:rPr>
            </w:pPr>
            <w:r>
              <w:rPr>
                <w:sz w:val="24"/>
                <w:szCs w:val="24"/>
              </w:rPr>
              <w:t xml:space="preserve">It’s important to consider all five of the children’s developmental needs within the context of family life and wider systems; an example of this is that housing being insufficient becomes a strain on the children due to them not having an appropriate place to rest, which then has a rippling effect on school performance and overall wellbeing. Housing crisis in the area present significant challenges, especially with larger families as social housing is statistically overcrowded. In the part of Wales in question, the percentage sits close to 3% which is sitting at 1500 households where this issue persists. The trend is similar with private rentals as family’s frustration shared, that they will not occupy such large family of seven occupants and pets therefore family felt hopeless and at loose end and could see no way forward. Housing issue came about as a factor to be solved prior to the knowledge that 2 had been physically harming the children. The other factor that surfaced whilst using Bronfenbrenner’s theory is the difficulty 2 has been experiencing in attempting to have a strengths-based discussion with members of school staff, in relation to the children’s needs and development; therefore, is demonstrating how his behaviours was not only impacting his immediate circle but also in the way he was attempting to discuss the needs of his children with professional workers. </w:t>
            </w:r>
          </w:p>
          <w:p w14:paraId="7FCBCF37" w14:textId="77777777" w:rsidR="000B59A4" w:rsidRDefault="000B59A4" w:rsidP="000B59A4">
            <w:pPr>
              <w:spacing w:line="360" w:lineRule="auto"/>
              <w:jc w:val="both"/>
              <w:rPr>
                <w:sz w:val="24"/>
                <w:szCs w:val="24"/>
              </w:rPr>
            </w:pPr>
          </w:p>
          <w:p w14:paraId="3D621943" w14:textId="77777777" w:rsidR="000B59A4" w:rsidRDefault="000B59A4" w:rsidP="000B59A4">
            <w:pPr>
              <w:spacing w:line="360" w:lineRule="auto"/>
              <w:jc w:val="both"/>
              <w:rPr>
                <w:sz w:val="24"/>
                <w:szCs w:val="24"/>
              </w:rPr>
            </w:pPr>
            <w:r>
              <w:rPr>
                <w:sz w:val="24"/>
                <w:szCs w:val="24"/>
              </w:rPr>
              <w:t xml:space="preserve">The school contacted the police in order to de-escalate his behaviour and aggressiveness during the assessment process, needing support to remove him away from the building to ensure the safety of others. This was a risk factor seen as it questioned how his behaviour may be at home should he present this way in the public arena. At this point however, this was lightly logged as uniform matter of wider things going on. Following this, a </w:t>
            </w:r>
            <w:proofErr w:type="spellStart"/>
            <w:r>
              <w:rPr>
                <w:sz w:val="24"/>
                <w:szCs w:val="24"/>
              </w:rPr>
              <w:t>teams</w:t>
            </w:r>
            <w:proofErr w:type="spellEnd"/>
            <w:r>
              <w:rPr>
                <w:sz w:val="24"/>
                <w:szCs w:val="24"/>
              </w:rPr>
              <w:t xml:space="preserve"> meeting </w:t>
            </w:r>
            <w:r>
              <w:rPr>
                <w:sz w:val="24"/>
                <w:szCs w:val="24"/>
              </w:rPr>
              <w:lastRenderedPageBreak/>
              <w:t xml:space="preserve">took place between the school staff and I, to share information about the children’s school experience / home environment and to help further interlink these issues, in order to form a holistic ecological view of the situation to hand of what and how the things raised may negatively impact the child. One of five key focuses of The Social Services and Well-being (Wales) Act 2014 is the concept of agency collaboration (Gwilym and Williams, 2021). Effective information sharing via multi-agency working is researched to be a key area to getting the best outcomes for children and families (NSPCC, 2025). However, we did have some conflicting views with certain matters, specifically to how the school has managed some issues of bullying which has impacted 4’s low moods and 2’s anger towards the matter. We discussed how, moving forward some changes could be implemented for justifiable reasons of 4. Garthwaite’s (2016) research determines that collaboration comes in different forms and can “easily contain conflict working against and within the collaborative endeavour”. I believe that this took place as I was focusing on how the microsystems within the child’s life was having concurring impact on 4, whilst they focused all the issues being on ‘that 4’s behaviour was not angelic and that this was because of lack of effort and lack of energy’. On reflection, as part of the information gathering stage of my assessment with the family, we should have invited the family to be a part of the conversation in discussing them and their reality. This would also demonstrate greater mutual working of a shared approach in working together on presenting matters that cause difficulty. Moreover Part 3 needs assessment have a 42-day time limit derived from the SSWBA (2014) to complete which restricts the realistic opportunity of joint accountability framework of conducting a multi-agency meeting during this period. The limit is set out to ensure families receive timely support. They take place once the outcome is that the family meet the threshold for care and support / or naturally if they would be open to a Child Protection Plan. The </w:t>
            </w:r>
            <w:r w:rsidRPr="00A4243F">
              <w:rPr>
                <w:i/>
                <w:iCs/>
                <w:sz w:val="24"/>
                <w:szCs w:val="24"/>
              </w:rPr>
              <w:t>National Multi-Agency Practice Framework</w:t>
            </w:r>
            <w:r>
              <w:rPr>
                <w:sz w:val="24"/>
                <w:szCs w:val="24"/>
              </w:rPr>
              <w:t xml:space="preserve"> </w:t>
            </w:r>
            <w:r w:rsidRPr="00A4243F">
              <w:rPr>
                <w:i/>
                <w:iCs/>
                <w:sz w:val="24"/>
                <w:szCs w:val="24"/>
              </w:rPr>
              <w:t xml:space="preserve">for </w:t>
            </w:r>
            <w:r>
              <w:rPr>
                <w:i/>
                <w:iCs/>
                <w:sz w:val="24"/>
                <w:szCs w:val="24"/>
              </w:rPr>
              <w:t>C</w:t>
            </w:r>
            <w:r w:rsidRPr="00A4243F">
              <w:rPr>
                <w:i/>
                <w:iCs/>
                <w:sz w:val="24"/>
                <w:szCs w:val="24"/>
              </w:rPr>
              <w:t xml:space="preserve">hildren’s </w:t>
            </w:r>
            <w:r>
              <w:rPr>
                <w:i/>
                <w:iCs/>
                <w:sz w:val="24"/>
                <w:szCs w:val="24"/>
              </w:rPr>
              <w:t>S</w:t>
            </w:r>
            <w:r w:rsidRPr="00A4243F">
              <w:rPr>
                <w:i/>
                <w:iCs/>
                <w:sz w:val="24"/>
                <w:szCs w:val="24"/>
              </w:rPr>
              <w:t>ervices</w:t>
            </w:r>
            <w:r>
              <w:rPr>
                <w:sz w:val="24"/>
                <w:szCs w:val="24"/>
              </w:rPr>
              <w:t xml:space="preserve"> sets out the best way in conducting these meetings for best outcomes (Welsh Government, 2025). </w:t>
            </w:r>
          </w:p>
          <w:p w14:paraId="56F4FF8C" w14:textId="77777777" w:rsidR="000B59A4" w:rsidRDefault="000B59A4" w:rsidP="000B59A4">
            <w:pPr>
              <w:spacing w:line="360" w:lineRule="auto"/>
              <w:jc w:val="both"/>
              <w:rPr>
                <w:sz w:val="24"/>
                <w:szCs w:val="24"/>
              </w:rPr>
            </w:pPr>
          </w:p>
          <w:p w14:paraId="777000BE" w14:textId="77777777" w:rsidR="000B59A4" w:rsidRDefault="000B59A4" w:rsidP="000B59A4">
            <w:pPr>
              <w:spacing w:line="360" w:lineRule="auto"/>
              <w:jc w:val="both"/>
              <w:rPr>
                <w:rFonts w:ascii="Aptos" w:eastAsia="Calibri" w:hAnsi="Aptos" w:cs="Aptos"/>
                <w:sz w:val="24"/>
                <w:szCs w:val="24"/>
              </w:rPr>
            </w:pPr>
            <w:r>
              <w:rPr>
                <w:sz w:val="24"/>
                <w:szCs w:val="24"/>
              </w:rPr>
              <w:t xml:space="preserve">An additional model that aided my thinking and professional judgement with this case was Borton’s (1970) model of reflection, </w:t>
            </w:r>
            <w:r w:rsidRPr="00211FA5">
              <w:rPr>
                <w:rFonts w:ascii="Aptos" w:eastAsia="Calibri" w:hAnsi="Aptos" w:cs="Aptos"/>
                <w:sz w:val="24"/>
                <w:szCs w:val="24"/>
              </w:rPr>
              <w:t>What? So What? Now What?</w:t>
            </w:r>
            <w:r>
              <w:rPr>
                <w:rFonts w:ascii="Aptos" w:eastAsia="Calibri" w:hAnsi="Aptos" w:cs="Aptos"/>
                <w:sz w:val="24"/>
                <w:szCs w:val="24"/>
              </w:rPr>
              <w:t xml:space="preserve"> By using this model, it helped me to think of the following elements of reflection to best support working with a complex situation:</w:t>
            </w:r>
            <w:r w:rsidRPr="00211FA5">
              <w:rPr>
                <w:rFonts w:ascii="Aptos" w:eastAsia="Calibri" w:hAnsi="Aptos" w:cs="Aptos"/>
                <w:sz w:val="24"/>
                <w:szCs w:val="24"/>
              </w:rPr>
              <w:t xml:space="preserve"> power, emotions, knowledge, self-awareness and </w:t>
            </w:r>
            <w:r w:rsidRPr="00DA4A25">
              <w:rPr>
                <w:rFonts w:ascii="Aptos" w:eastAsia="Calibri" w:hAnsi="Aptos" w:cs="Aptos"/>
                <w:sz w:val="24"/>
                <w:szCs w:val="24"/>
              </w:rPr>
              <w:t>values (Bolton 2009). I</w:t>
            </w:r>
            <w:r>
              <w:rPr>
                <w:rFonts w:ascii="Aptos" w:eastAsia="Calibri" w:hAnsi="Aptos" w:cs="Aptos"/>
                <w:sz w:val="24"/>
                <w:szCs w:val="24"/>
              </w:rPr>
              <w:t xml:space="preserve"> looked at the </w:t>
            </w:r>
            <w:r>
              <w:rPr>
                <w:rFonts w:ascii="Aptos" w:eastAsia="Calibri" w:hAnsi="Aptos" w:cs="Aptos"/>
                <w:sz w:val="24"/>
                <w:szCs w:val="24"/>
              </w:rPr>
              <w:lastRenderedPageBreak/>
              <w:t>‘What?’ Parents raised concerns that their house was not sufficient or compatible for the number of occupants and informing that this was impacting all of them in different ways. I was able to reflect on my own knowledge and relayed to parents that I did not carry informative knowledge in relation to housing as a general. Honesty was vital, as I wanted to practice in an anti-oppressive way. This was obviously a cause for concern for the family as their belief was that social workers should help them with all aspects. I then looked at ‘So What?’ which was the impact this is having on the whole family unit’s ways and the rippling impact its having on other aspects of their daily lives. I contacted the housing and homelessness department of the local authority to develop my knowledge and request the best way to support. I researched what support was available and what was I able to do; which was to get a multi-agency supporting letter on behalf of the family to aid their live application to secure a 5-bedroom property in an urban area close to convenient amenities.</w:t>
            </w:r>
          </w:p>
          <w:p w14:paraId="64C7F158" w14:textId="77777777" w:rsidR="000B59A4" w:rsidRDefault="000B59A4" w:rsidP="000B59A4">
            <w:pPr>
              <w:spacing w:line="360" w:lineRule="auto"/>
              <w:jc w:val="both"/>
              <w:rPr>
                <w:rFonts w:ascii="Aptos" w:eastAsia="Calibri" w:hAnsi="Aptos" w:cs="Aptos"/>
                <w:sz w:val="24"/>
                <w:szCs w:val="24"/>
              </w:rPr>
            </w:pPr>
          </w:p>
          <w:p w14:paraId="1ED97E53" w14:textId="77777777" w:rsidR="000B59A4" w:rsidRDefault="000B59A4" w:rsidP="000B59A4">
            <w:pPr>
              <w:spacing w:line="360" w:lineRule="auto"/>
              <w:jc w:val="both"/>
              <w:rPr>
                <w:rFonts w:ascii="Aptos" w:eastAsia="Calibri" w:hAnsi="Aptos" w:cs="Aptos"/>
                <w:sz w:val="24"/>
                <w:szCs w:val="24"/>
              </w:rPr>
            </w:pPr>
            <w:r>
              <w:rPr>
                <w:rFonts w:ascii="Aptos" w:eastAsia="Calibri" w:hAnsi="Aptos" w:cs="Aptos"/>
                <w:sz w:val="24"/>
                <w:szCs w:val="24"/>
              </w:rPr>
              <w:t xml:space="preserve">Wales has a Children’s commissioner and was the first country in the UK to create the roll in 2001 (Children’s Commissioner for Wales [CCFW], 2025). The children’s commissioner has many roles set out in order to ensure that children in Wales have a voice; and challenges agendas and policies. One active spotlight report is the ‘how housing and homelessness affects children and young people in Wales’. It notes that unsuitable accommodation and poor housing conditions including overcrowding negatively impact children’s health (CCFW, 2025) which the commissioner delves to seek positive change. The UNCRC, article 27 states that all children have a right to a good standard of living (UNICEF, 2016), and in Wales I came to know during the ‘what now’ that the Rights of Children and Young Persons (Wales) Measure 2011 places a duty on Welsh Ministers in exercising the UNCRC’s functions in a Children’s Rights Scheme, and in line with Section 21 of the SSWBA (2014). I then looked at the ‘Now What?’ By developing my knowledge and sought the advice of specialists in the field; I was able to help support placing the family on the priority banding for alternate housing. </w:t>
            </w:r>
          </w:p>
          <w:p w14:paraId="18CFEF07" w14:textId="77777777" w:rsidR="000B59A4" w:rsidRDefault="000B59A4" w:rsidP="000B59A4">
            <w:pPr>
              <w:spacing w:line="360" w:lineRule="auto"/>
              <w:jc w:val="both"/>
              <w:rPr>
                <w:rFonts w:ascii="Aptos" w:eastAsia="Calibri" w:hAnsi="Aptos" w:cs="Aptos"/>
                <w:sz w:val="24"/>
                <w:szCs w:val="24"/>
              </w:rPr>
            </w:pPr>
            <w:r>
              <w:rPr>
                <w:rFonts w:ascii="Aptos" w:eastAsia="Calibri" w:hAnsi="Aptos" w:cs="Aptos"/>
                <w:sz w:val="24"/>
                <w:szCs w:val="24"/>
              </w:rPr>
              <w:t xml:space="preserve">On a more difficult level, the model of What? So What? Now What? Was used again in determining 2’s mental health impact on day-to-day life towards the children. I discussed with the manager ‘What’ things had happened that led to a trigger in an assessment to take place. </w:t>
            </w:r>
            <w:r>
              <w:rPr>
                <w:rFonts w:ascii="Aptos" w:eastAsia="Calibri" w:hAnsi="Aptos" w:cs="Aptos"/>
                <w:sz w:val="24"/>
                <w:szCs w:val="24"/>
              </w:rPr>
              <w:lastRenderedPageBreak/>
              <w:t>One incident was that dad had tried to commit suicide in the family’s motor vehicle with the children present in the car;</w:t>
            </w:r>
            <w:r>
              <w:rPr>
                <w:rStyle w:val="CommentReference"/>
              </w:rPr>
              <w:t xml:space="preserve"> </w:t>
            </w:r>
            <w:r>
              <w:rPr>
                <w:rFonts w:ascii="Aptos" w:eastAsia="Calibri" w:hAnsi="Aptos" w:cs="Aptos"/>
                <w:sz w:val="24"/>
                <w:szCs w:val="24"/>
              </w:rPr>
              <w:t xml:space="preserve">this was around a fortnight prior to my visit to the family home. In response to this, we explored the issues around the cause of concern in terms of Dad’s disguised compliance when it comes to being honest about his own true feelings, as he kept saying ‘I’m fine now, things are okay and I’m working with the support’. Crucially, to note that 2 therefore in the moment was attempting to injure his children too. Prior to my involvement, it had been assessed </w:t>
            </w:r>
            <w:r w:rsidRPr="00AA3F21">
              <w:rPr>
                <w:rFonts w:ascii="Aptos" w:eastAsia="Calibri" w:hAnsi="Aptos" w:cs="Aptos"/>
                <w:sz w:val="24"/>
                <w:szCs w:val="24"/>
              </w:rPr>
              <w:t xml:space="preserve">that </w:t>
            </w:r>
            <w:r>
              <w:rPr>
                <w:rFonts w:ascii="Aptos" w:eastAsia="Calibri" w:hAnsi="Aptos" w:cs="Aptos"/>
                <w:sz w:val="24"/>
                <w:szCs w:val="24"/>
              </w:rPr>
              <w:t xml:space="preserve">2 was safe to be around </w:t>
            </w:r>
            <w:r w:rsidRPr="00AA3F21">
              <w:rPr>
                <w:rFonts w:ascii="Aptos" w:eastAsia="Calibri" w:hAnsi="Aptos" w:cs="Aptos"/>
                <w:sz w:val="24"/>
                <w:szCs w:val="24"/>
              </w:rPr>
              <w:t>the children after this incident</w:t>
            </w:r>
            <w:r>
              <w:rPr>
                <w:rFonts w:ascii="Aptos" w:eastAsia="Calibri" w:hAnsi="Aptos" w:cs="Aptos"/>
                <w:sz w:val="24"/>
                <w:szCs w:val="24"/>
              </w:rPr>
              <w:t xml:space="preserve">, triaged by Mental Health practitioner in collaboration with the Out of Hours Social Worker. This was on the basis that there was a rigid safety plan for 1 and 2 to follow which stipulated that 2 was not to be solely looking after the children until proportionate mental health review and further SSD assessment taking place to determine risks. 1 was also seen as the protective factor in this situation as she was ready to support 2 and the children respectfully during this difficult time. Thereafter, the ‘So What’ which were things I have done to address the issue, which was discussing the matter with his Mental Health team that advised that 2 did not need admission or further medications to support low moods and that he was doing well following on from the incident, also securing counselling support from his workplace. Discussing his state of mind with the specialist Community Mental Health Team [CMHT] he’s under to get more in-depth understanding of why and how he presents, meant I had better understanding of mental health. Developing my skills and knowledge which is one of the Codes of Practice (Social Care Wales, 2015) that is expected of us working in the field. I also around this time went on a VR trauma informed training which looked at childhood trauma as he mentioned Adverse Childhood Experiences [ACEs] whilst we explored ‘family history’ section of the needs assessment prior. He explained his childhood was difficult that he endured physical harm, and lack of emotional support from caregivers which led to him spending part of his childhood in care leading to sofa surfing and substance use. Barnardo’s (2024) share that experiences in childhood affect mental health. From a trauma-informed perspective and supported with trauma theory, Herman (1992), recognises the impact of ACEs on emotional regulation and stress responses. 2’s prolonged exposure to ACE’s may have shaped his stress responses and his difficulty with his personal coping mechanisms which links in with some of the behaviours he’s shown towards others. He has experienced unsafe </w:t>
            </w:r>
            <w:r>
              <w:rPr>
                <w:rFonts w:ascii="Aptos" w:eastAsia="Calibri" w:hAnsi="Aptos" w:cs="Aptos"/>
                <w:sz w:val="24"/>
                <w:szCs w:val="24"/>
              </w:rPr>
              <w:lastRenderedPageBreak/>
              <w:t>environment in his early childhood which suggests that his early experiences appear to therefore have influenced his current ways. This understanding from a Trauma Informed Practice supports with understanding how he may present, and the reasons behind this, along with reasoning from CAMHS practitioner. He said himself that he finds it difficult with regulating his emotions and appropriate responses hence him being open to CMHT for support. The ‘Now What’ was that I was to have in-depth discussion with 2 to provide information and guidance to support his recovery, and safeguarding children. Supporting a parents’ understanding of how mental health difficulty can negatively impact parenting, the parent-child relationship and the child (NHS England, 2026). Him being in receipt of this information from the outset as part of SSD assessment, was important by ensuring it would lessen the risks as he would have this information to hand. Should we further need to question the impact if there was a second incident, or should the children share that things remain to be the same and no positive changes in terms of his ‘presenting behaviours’; this would demonstrate that he was continuing to be negative towards family members and affect the children’s wellbeing. This was well balanced in terms of practicing in a non-discriminative way in line with the Equality Act (2010) Section 6 and is one of the NOS (Social Care Wales, 2025). Mental health is covered under disability which is one of the protected characteristics of the legislation when it impacts daily functioning. It was important for me not to assume the risks present because of his mental health issue alone. This is the importance of not only using theories to support analysis but to ensure that the information collated is evidenced-based whilst exercising professional judgement to inform analysis. However, 2 became frustrated with these discussions, as he struggled to accept that the family dynamic and the current situation of his family was highly linked to his presentation and presenting concerning behaviours.</w:t>
            </w:r>
          </w:p>
          <w:p w14:paraId="5E3F309A" w14:textId="77777777" w:rsidR="000B59A4" w:rsidRDefault="000B59A4" w:rsidP="000B59A4">
            <w:pPr>
              <w:spacing w:line="360" w:lineRule="auto"/>
              <w:jc w:val="both"/>
              <w:rPr>
                <w:rFonts w:ascii="Aptos" w:eastAsia="Calibri" w:hAnsi="Aptos" w:cs="Aptos"/>
                <w:sz w:val="24"/>
                <w:szCs w:val="24"/>
              </w:rPr>
            </w:pPr>
          </w:p>
          <w:p w14:paraId="7C118DD8" w14:textId="77777777" w:rsidR="000B59A4" w:rsidRDefault="000B59A4" w:rsidP="000B59A4">
            <w:pPr>
              <w:spacing w:line="360" w:lineRule="auto"/>
              <w:jc w:val="both"/>
              <w:rPr>
                <w:rFonts w:ascii="Aptos" w:eastAsia="Calibri" w:hAnsi="Aptos" w:cs="Aptos"/>
                <w:sz w:val="24"/>
                <w:szCs w:val="24"/>
              </w:rPr>
            </w:pPr>
            <w:r>
              <w:rPr>
                <w:rFonts w:ascii="Aptos" w:eastAsia="Calibri" w:hAnsi="Aptos" w:cs="Aptos"/>
                <w:sz w:val="24"/>
                <w:szCs w:val="24"/>
              </w:rPr>
              <w:t>Both Ecological and Trauma Informed Theory,</w:t>
            </w:r>
            <w:r>
              <w:rPr>
                <w:rStyle w:val="CommentReference"/>
              </w:rPr>
              <w:t xml:space="preserve"> </w:t>
            </w:r>
            <w:r>
              <w:rPr>
                <w:rFonts w:ascii="Aptos" w:eastAsia="Calibri" w:hAnsi="Aptos" w:cs="Aptos"/>
                <w:sz w:val="24"/>
                <w:szCs w:val="24"/>
              </w:rPr>
              <w:t xml:space="preserve">helped me structure my thought process and understanding of the family’s circumstance in order to make informed decisions, which was followed by undertaking a second </w:t>
            </w:r>
            <w:r w:rsidRPr="00003E89">
              <w:rPr>
                <w:rFonts w:ascii="Aptos" w:eastAsia="Calibri" w:hAnsi="Aptos" w:cs="Aptos"/>
                <w:i/>
                <w:iCs/>
                <w:sz w:val="24"/>
                <w:szCs w:val="24"/>
              </w:rPr>
              <w:t>What Matters</w:t>
            </w:r>
            <w:r>
              <w:rPr>
                <w:rStyle w:val="CommentReference"/>
              </w:rPr>
              <w:t xml:space="preserve"> </w:t>
            </w:r>
            <w:r>
              <w:rPr>
                <w:rFonts w:ascii="Aptos" w:eastAsia="Calibri" w:hAnsi="Aptos" w:cs="Aptos"/>
                <w:sz w:val="24"/>
                <w:szCs w:val="24"/>
              </w:rPr>
              <w:t xml:space="preserve">conversation with the children. Towards the latter part of the assessment timeline, 4 shared in confidence to her counselling support worker that 2 had hit her the night before, and this is his usual form of punishment when he’s ‘not feeling </w:t>
            </w:r>
            <w:r>
              <w:rPr>
                <w:rFonts w:ascii="Aptos" w:eastAsia="Calibri" w:hAnsi="Aptos" w:cs="Aptos"/>
                <w:sz w:val="24"/>
                <w:szCs w:val="24"/>
              </w:rPr>
              <w:lastRenderedPageBreak/>
              <w:t xml:space="preserve">himself’ to her and other siblings. Being in receipt of this information, knowing the background history and current knowledge of working with family members, I made the decision to trigger this onto a S.47 assessment in order to imminently safeguard the children away from 2. </w:t>
            </w:r>
          </w:p>
          <w:p w14:paraId="44FF3C56" w14:textId="77777777" w:rsidR="000B59A4" w:rsidRDefault="000B59A4" w:rsidP="000B59A4">
            <w:pPr>
              <w:spacing w:line="360" w:lineRule="auto"/>
              <w:jc w:val="both"/>
              <w:rPr>
                <w:rFonts w:ascii="Aptos" w:eastAsia="Calibri" w:hAnsi="Aptos" w:cs="Aptos"/>
                <w:sz w:val="24"/>
                <w:szCs w:val="24"/>
              </w:rPr>
            </w:pPr>
          </w:p>
          <w:p w14:paraId="487BA169" w14:textId="77777777" w:rsidR="000B59A4" w:rsidRDefault="000B59A4" w:rsidP="000B59A4">
            <w:pPr>
              <w:spacing w:line="360" w:lineRule="auto"/>
              <w:jc w:val="both"/>
              <w:rPr>
                <w:rFonts w:ascii="Aptos" w:eastAsia="Calibri" w:hAnsi="Aptos" w:cs="Aptos"/>
                <w:sz w:val="24"/>
                <w:szCs w:val="24"/>
              </w:rPr>
            </w:pPr>
            <w:r>
              <w:rPr>
                <w:rFonts w:ascii="Aptos" w:eastAsia="Calibri" w:hAnsi="Aptos" w:cs="Aptos"/>
                <w:sz w:val="24"/>
                <w:szCs w:val="24"/>
              </w:rPr>
              <w:t xml:space="preserve">The importance of interprofessional collaborative working with family and other people in a position of trust is that we get a better, more holistic view of the family’s story. Importantly for me, is within the information gathering stages of assessment and in part analysing the situation. Winfield et al (2017) discuss the importance of this in multiple professions in holistic client care. During completion of this work, many professionals had an input with the family members in different ways such as; school, counselling, different area police, A&amp;E hospital of the neighbouring county, and lastly CMHT. One example to note of positive collaboration in this case, was that the counsellor shared vital information that ensured I was able to fully safeguard all children. She was aware of my involvement with the family and structured the following session she had with 4 focusing on ‘relationship with parents’. I was experiencing ‘gut feeling’ with said case which I figured that the counsellor had better relationship and thus trust to continue with the ‘what matters’ rather than myself as someone 4 had no professional relationship with. This determined the direction of the assessment. Lack of collaboration between professionals and agencies is regularly noted in serious case reviews into child deaths (BASW 2018); and with this case specifically, may not have uncovered true picture of home family life for 3,4,5,6, and 7. </w:t>
            </w:r>
          </w:p>
          <w:p w14:paraId="22E2368E" w14:textId="77777777" w:rsidR="000B59A4" w:rsidRDefault="000B59A4" w:rsidP="000B59A4">
            <w:pPr>
              <w:spacing w:line="360" w:lineRule="auto"/>
              <w:jc w:val="both"/>
              <w:rPr>
                <w:rFonts w:ascii="Aptos" w:eastAsia="Calibri" w:hAnsi="Aptos" w:cs="Aptos"/>
                <w:sz w:val="24"/>
                <w:szCs w:val="24"/>
              </w:rPr>
            </w:pPr>
          </w:p>
          <w:p w14:paraId="49EC226B" w14:textId="019CC7BE" w:rsidR="000B59A4" w:rsidRDefault="000B59A4" w:rsidP="000B59A4">
            <w:pPr>
              <w:spacing w:line="360" w:lineRule="auto"/>
              <w:jc w:val="both"/>
              <w:rPr>
                <w:rFonts w:ascii="Aptos" w:eastAsia="Calibri" w:hAnsi="Aptos" w:cs="Aptos"/>
                <w:sz w:val="24"/>
                <w:szCs w:val="24"/>
              </w:rPr>
            </w:pPr>
            <w:r w:rsidRPr="005775B1">
              <w:rPr>
                <w:rFonts w:ascii="Aptos" w:eastAsia="Calibri" w:hAnsi="Aptos" w:cs="Aptos"/>
                <w:sz w:val="24"/>
                <w:szCs w:val="24"/>
              </w:rPr>
              <w:t>This essay has critically looked at s</w:t>
            </w:r>
            <w:r>
              <w:rPr>
                <w:rFonts w:ascii="Aptos" w:eastAsia="Calibri" w:hAnsi="Aptos" w:cs="Aptos"/>
                <w:sz w:val="24"/>
                <w:szCs w:val="24"/>
              </w:rPr>
              <w:t>ome of the elements of s</w:t>
            </w:r>
            <w:r w:rsidRPr="005775B1">
              <w:rPr>
                <w:rFonts w:ascii="Aptos" w:eastAsia="Calibri" w:hAnsi="Aptos" w:cs="Aptos"/>
                <w:sz w:val="24"/>
                <w:szCs w:val="24"/>
              </w:rPr>
              <w:t xml:space="preserve">afeguarding </w:t>
            </w:r>
            <w:r>
              <w:rPr>
                <w:rFonts w:ascii="Aptos" w:eastAsia="Calibri" w:hAnsi="Aptos" w:cs="Aptos"/>
                <w:sz w:val="24"/>
                <w:szCs w:val="24"/>
              </w:rPr>
              <w:t xml:space="preserve">that I dealt with in this case study, </w:t>
            </w:r>
            <w:r w:rsidRPr="005775B1">
              <w:rPr>
                <w:rFonts w:ascii="Aptos" w:eastAsia="Calibri" w:hAnsi="Aptos" w:cs="Aptos"/>
                <w:sz w:val="24"/>
                <w:szCs w:val="24"/>
              </w:rPr>
              <w:t>as a</w:t>
            </w:r>
            <w:r>
              <w:rPr>
                <w:rFonts w:ascii="Aptos" w:eastAsia="Calibri" w:hAnsi="Aptos" w:cs="Aptos"/>
                <w:sz w:val="24"/>
                <w:szCs w:val="24"/>
              </w:rPr>
              <w:t>n example of a</w:t>
            </w:r>
            <w:r w:rsidRPr="005775B1">
              <w:rPr>
                <w:rFonts w:ascii="Aptos" w:eastAsia="Calibri" w:hAnsi="Aptos" w:cs="Aptos"/>
                <w:sz w:val="24"/>
                <w:szCs w:val="24"/>
              </w:rPr>
              <w:t xml:space="preserve"> complex area in working with children and families in Wales.</w:t>
            </w:r>
            <w:r>
              <w:rPr>
                <w:rFonts w:ascii="Aptos" w:eastAsia="Calibri" w:hAnsi="Aptos" w:cs="Aptos"/>
                <w:sz w:val="24"/>
                <w:szCs w:val="24"/>
              </w:rPr>
              <w:t xml:space="preserve"> Wales has a profound and robust local and national statutory framework for instilling easy to follow procedures and guidance to give structure to daily-work by form of the Social Services and Wellbeing (Wales) Act 2014. Nevertheless, in relation to the Welsh safeguarding context there are presenting challenges of difficulties of working on the ground level with the reality of lacking resources, high workload, and limited time in which to develop good relationships to gain trust with service user (Children’s Commissioner for Wales, 2026). The government’s key piece of </w:t>
            </w:r>
            <w:r>
              <w:rPr>
                <w:rFonts w:ascii="Aptos" w:eastAsia="Calibri" w:hAnsi="Aptos" w:cs="Aptos"/>
                <w:sz w:val="24"/>
                <w:szCs w:val="24"/>
              </w:rPr>
              <w:lastRenderedPageBreak/>
              <w:t xml:space="preserve">legislation framework’s aim is to improve the wellbeing of individuals. Contrary, from my own experience the parents expectations are quite high in comparison to available provisions, therefore often feeling that things aren’t adequate or ‘good enough’. Positively, this was not the case here as 1 was in disbelief of the outcome but continued to be supportive and engaged </w:t>
            </w:r>
            <w:r>
              <w:rPr>
                <w:rFonts w:ascii="Aptos" w:eastAsia="Calibri" w:hAnsi="Aptos" w:cs="Aptos"/>
                <w:sz w:val="24"/>
                <w:szCs w:val="24"/>
              </w:rPr>
              <w:t>throughout and</w:t>
            </w:r>
            <w:r>
              <w:rPr>
                <w:rFonts w:ascii="Aptos" w:eastAsia="Calibri" w:hAnsi="Aptos" w:cs="Aptos"/>
                <w:sz w:val="24"/>
                <w:szCs w:val="24"/>
              </w:rPr>
              <w:t xml:space="preserve"> continued on her way to have sole tenancy for security for her and the children. She complied to the orders that were enforced for 2 to move out of the family home to ensure the safeguarding of her and the children. To get to this outcome, I requested an urgent strategy meeting, and so the case was taken over by the Children’s Area Team to continue with the safeguarding steps. </w:t>
            </w:r>
          </w:p>
          <w:p w14:paraId="35B5B7DA" w14:textId="77777777" w:rsidR="000B59A4" w:rsidRDefault="000B59A4" w:rsidP="000B59A4">
            <w:pPr>
              <w:spacing w:line="360" w:lineRule="auto"/>
              <w:jc w:val="both"/>
              <w:rPr>
                <w:rFonts w:ascii="Aptos" w:eastAsia="Calibri" w:hAnsi="Aptos" w:cs="Aptos"/>
                <w:sz w:val="24"/>
                <w:szCs w:val="24"/>
              </w:rPr>
            </w:pPr>
          </w:p>
          <w:p w14:paraId="02F14495" w14:textId="77777777" w:rsidR="000B59A4" w:rsidRDefault="000B59A4" w:rsidP="000B59A4">
            <w:pPr>
              <w:spacing w:line="360" w:lineRule="auto"/>
              <w:jc w:val="both"/>
              <w:rPr>
                <w:rFonts w:ascii="Aptos" w:eastAsia="Calibri" w:hAnsi="Aptos" w:cs="Aptos"/>
                <w:sz w:val="24"/>
                <w:szCs w:val="24"/>
              </w:rPr>
            </w:pPr>
            <w:r>
              <w:rPr>
                <w:rFonts w:ascii="Aptos" w:eastAsia="Calibri" w:hAnsi="Aptos" w:cs="Aptos"/>
                <w:sz w:val="24"/>
                <w:szCs w:val="24"/>
              </w:rPr>
              <w:t xml:space="preserve">In this specific case of collaboration, there was the utilisation of a worker who was known to already have a trusting relationship with the child to gain better insight. This enabled me to use professional judgement to making alternate decision-making in how information was sourced in a strengths-based way when it came to information gathering and determining risks with the child. This has been done in a way that still conforms and practices within a statutory and procedural framework. This shows the importance of inter-agency collaboration which on this occasion led to finding that the children were likely suffering significant harm. The reflective learning here has certainly developed my professional competency by enhancing my critical </w:t>
            </w:r>
            <w:r w:rsidRPr="005775B1">
              <w:rPr>
                <w:rFonts w:ascii="Aptos" w:eastAsia="Calibri" w:hAnsi="Aptos" w:cs="Aptos"/>
                <w:sz w:val="24"/>
                <w:szCs w:val="24"/>
              </w:rPr>
              <w:t xml:space="preserve">analysing skills, my own direct personal confidence in professional judgement </w:t>
            </w:r>
            <w:r>
              <w:rPr>
                <w:rFonts w:ascii="Aptos" w:eastAsia="Calibri" w:hAnsi="Aptos" w:cs="Aptos"/>
                <w:sz w:val="24"/>
                <w:szCs w:val="24"/>
              </w:rPr>
              <w:t xml:space="preserve">and overall, </w:t>
            </w:r>
            <w:r w:rsidRPr="005775B1">
              <w:rPr>
                <w:rFonts w:ascii="Aptos" w:eastAsia="Calibri" w:hAnsi="Aptos" w:cs="Aptos"/>
                <w:sz w:val="24"/>
                <w:szCs w:val="24"/>
              </w:rPr>
              <w:t xml:space="preserve">supports my ongoing development in safeguarding practice </w:t>
            </w:r>
            <w:r>
              <w:rPr>
                <w:rFonts w:ascii="Aptos" w:eastAsia="Calibri" w:hAnsi="Aptos" w:cs="Aptos"/>
                <w:sz w:val="24"/>
                <w:szCs w:val="24"/>
              </w:rPr>
              <w:t>in line with the Pr</w:t>
            </w:r>
            <w:r w:rsidRPr="005775B1">
              <w:rPr>
                <w:rFonts w:ascii="Aptos" w:eastAsia="Calibri" w:hAnsi="Aptos" w:cs="Aptos"/>
                <w:sz w:val="24"/>
                <w:szCs w:val="24"/>
              </w:rPr>
              <w:t xml:space="preserve">ofessional </w:t>
            </w:r>
            <w:r>
              <w:rPr>
                <w:rFonts w:ascii="Aptos" w:eastAsia="Calibri" w:hAnsi="Aptos" w:cs="Aptos"/>
                <w:sz w:val="24"/>
                <w:szCs w:val="24"/>
              </w:rPr>
              <w:t>C</w:t>
            </w:r>
            <w:r w:rsidRPr="005775B1">
              <w:rPr>
                <w:rFonts w:ascii="Aptos" w:eastAsia="Calibri" w:hAnsi="Aptos" w:cs="Aptos"/>
                <w:sz w:val="24"/>
                <w:szCs w:val="24"/>
              </w:rPr>
              <w:t xml:space="preserve">ode of </w:t>
            </w:r>
            <w:r>
              <w:rPr>
                <w:rFonts w:ascii="Aptos" w:eastAsia="Calibri" w:hAnsi="Aptos" w:cs="Aptos"/>
                <w:sz w:val="24"/>
                <w:szCs w:val="24"/>
              </w:rPr>
              <w:t>P</w:t>
            </w:r>
            <w:r w:rsidRPr="005775B1">
              <w:rPr>
                <w:rFonts w:ascii="Aptos" w:eastAsia="Calibri" w:hAnsi="Aptos" w:cs="Aptos"/>
                <w:sz w:val="24"/>
                <w:szCs w:val="24"/>
              </w:rPr>
              <w:t>ractice in Wales</w:t>
            </w:r>
            <w:r>
              <w:rPr>
                <w:rFonts w:ascii="Aptos" w:eastAsia="Calibri" w:hAnsi="Aptos" w:cs="Aptos"/>
                <w:sz w:val="24"/>
                <w:szCs w:val="24"/>
              </w:rPr>
              <w:t xml:space="preserve">. </w:t>
            </w:r>
          </w:p>
          <w:p w14:paraId="11F3976D" w14:textId="77777777" w:rsidR="000B59A4" w:rsidRDefault="000B59A4" w:rsidP="000B59A4">
            <w:pPr>
              <w:spacing w:line="360" w:lineRule="auto"/>
              <w:jc w:val="both"/>
              <w:rPr>
                <w:rFonts w:ascii="Aptos" w:eastAsia="Calibri" w:hAnsi="Aptos" w:cs="Aptos"/>
                <w:sz w:val="24"/>
                <w:szCs w:val="24"/>
              </w:rPr>
            </w:pPr>
          </w:p>
          <w:p w14:paraId="7CE0B635" w14:textId="77777777" w:rsidR="000B59A4" w:rsidRDefault="000B59A4" w:rsidP="000B59A4">
            <w:pPr>
              <w:spacing w:line="360" w:lineRule="auto"/>
              <w:jc w:val="both"/>
              <w:rPr>
                <w:rFonts w:ascii="Aptos" w:eastAsia="Calibri" w:hAnsi="Aptos" w:cs="Aptos"/>
                <w:sz w:val="24"/>
                <w:szCs w:val="24"/>
              </w:rPr>
            </w:pPr>
            <w:r>
              <w:rPr>
                <w:rFonts w:ascii="Aptos" w:eastAsia="Calibri" w:hAnsi="Aptos" w:cs="Aptos"/>
                <w:sz w:val="24"/>
                <w:szCs w:val="24"/>
              </w:rPr>
              <w:t xml:space="preserve">In conclusion, I feel that I have completed a critically reflective case study based on an assessment that I have undertaken with a family concerning the safeguarding of children. </w:t>
            </w:r>
            <w:r>
              <w:rPr>
                <w:rStyle w:val="CommentReference"/>
              </w:rPr>
              <w:t xml:space="preserve"> </w:t>
            </w:r>
            <w:r>
              <w:rPr>
                <w:rFonts w:ascii="Aptos" w:eastAsia="Calibri" w:hAnsi="Aptos" w:cs="Aptos"/>
                <w:sz w:val="24"/>
                <w:szCs w:val="24"/>
              </w:rPr>
              <w:t>There is a demonstration within of the difficulties and dilemmas of social work practice in Wales – and links in with the main safeguarding legislations, policies and procedures. I have shown empathy and authority towards some of the dilemmas that have come to view and discussions around collaborative working, and how this influences practice in a positive manner.</w:t>
            </w:r>
            <w:r w:rsidRPr="00CF11EF">
              <w:rPr>
                <w:rFonts w:ascii="Aptos" w:eastAsia="Calibri" w:hAnsi="Aptos" w:cs="Aptos"/>
                <w:i/>
                <w:iCs/>
                <w:sz w:val="24"/>
                <w:szCs w:val="24"/>
              </w:rPr>
              <w:t xml:space="preserve"> </w:t>
            </w:r>
            <w:r w:rsidRPr="000722AC">
              <w:rPr>
                <w:rFonts w:ascii="Aptos" w:eastAsia="Calibri" w:hAnsi="Aptos" w:cs="Aptos"/>
                <w:sz w:val="24"/>
                <w:szCs w:val="24"/>
              </w:rPr>
              <w:t xml:space="preserve">One of the key </w:t>
            </w:r>
            <w:r w:rsidRPr="000722AC">
              <w:rPr>
                <w:rFonts w:ascii="Aptos" w:eastAsia="Calibri" w:hAnsi="Aptos" w:cs="Aptos"/>
                <w:sz w:val="24"/>
                <w:szCs w:val="24"/>
              </w:rPr>
              <w:lastRenderedPageBreak/>
              <w:t>safeguarding learning I got from this particular case is the importance of professional judgement</w:t>
            </w:r>
            <w:r>
              <w:rPr>
                <w:rFonts w:ascii="Aptos" w:eastAsia="Calibri" w:hAnsi="Aptos" w:cs="Aptos"/>
                <w:sz w:val="24"/>
                <w:szCs w:val="24"/>
              </w:rPr>
              <w:t xml:space="preserve">, </w:t>
            </w:r>
            <w:r w:rsidRPr="000722AC">
              <w:rPr>
                <w:rFonts w:ascii="Aptos" w:eastAsia="Calibri" w:hAnsi="Aptos" w:cs="Aptos"/>
                <w:sz w:val="24"/>
                <w:szCs w:val="24"/>
              </w:rPr>
              <w:t>within complex</w:t>
            </w:r>
            <w:r>
              <w:rPr>
                <w:rFonts w:ascii="Aptos" w:eastAsia="Calibri" w:hAnsi="Aptos" w:cs="Aptos"/>
                <w:sz w:val="24"/>
                <w:szCs w:val="24"/>
              </w:rPr>
              <w:t xml:space="preserve"> </w:t>
            </w:r>
            <w:r w:rsidRPr="000722AC">
              <w:rPr>
                <w:rFonts w:ascii="Aptos" w:eastAsia="Calibri" w:hAnsi="Aptos" w:cs="Aptos"/>
                <w:sz w:val="24"/>
                <w:szCs w:val="24"/>
              </w:rPr>
              <w:t>and sensitive family matters</w:t>
            </w:r>
            <w:r>
              <w:rPr>
                <w:rFonts w:ascii="Aptos" w:eastAsia="Calibri" w:hAnsi="Aptos" w:cs="Aptos"/>
                <w:sz w:val="24"/>
                <w:szCs w:val="24"/>
              </w:rPr>
              <w:t xml:space="preserve">. </w:t>
            </w:r>
          </w:p>
          <w:p w14:paraId="25E59014" w14:textId="58A5F2BF" w:rsidR="000B59A4" w:rsidRPr="000B59A4" w:rsidRDefault="000B59A4" w:rsidP="00FF7EBB">
            <w:pPr>
              <w:jc w:val="both"/>
              <w:rPr>
                <w:b/>
                <w:bCs/>
                <w:i/>
                <w:sz w:val="24"/>
                <w:szCs w:val="24"/>
              </w:rPr>
            </w:pPr>
            <w:r w:rsidRPr="000B59A4">
              <w:rPr>
                <w:b/>
                <w:bCs/>
                <w:i/>
                <w:sz w:val="24"/>
                <w:szCs w:val="24"/>
              </w:rPr>
              <w:t>4397 words</w:t>
            </w: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F4C42" w14:textId="77777777" w:rsidR="00702BE5" w:rsidRDefault="00702BE5">
      <w:r>
        <w:separator/>
      </w:r>
    </w:p>
  </w:endnote>
  <w:endnote w:type="continuationSeparator" w:id="0">
    <w:p w14:paraId="7C046F3A" w14:textId="77777777" w:rsidR="00702BE5" w:rsidRDefault="00702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530A6" w14:textId="77777777" w:rsidR="00702BE5" w:rsidRDefault="00702BE5">
      <w:r>
        <w:separator/>
      </w:r>
    </w:p>
  </w:footnote>
  <w:footnote w:type="continuationSeparator" w:id="0">
    <w:p w14:paraId="62AEC141" w14:textId="77777777" w:rsidR="00702BE5" w:rsidRDefault="00702B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59A4"/>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2BE5"/>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C3B"/>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E08"/>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4283</Words>
  <Characters>24415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Alaw Medi Evans (PLANT)</cp:lastModifiedBy>
  <cp:revision>2</cp:revision>
  <cp:lastPrinted>2020-02-11T19:20:00Z</cp:lastPrinted>
  <dcterms:created xsi:type="dcterms:W3CDTF">2026-02-23T17:33:00Z</dcterms:created>
  <dcterms:modified xsi:type="dcterms:W3CDTF">2026-02-23T17:33:00Z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