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D489B2" w14:textId="77777777" w:rsidR="005960FF" w:rsidRDefault="005960FF">
      <w:pPr>
        <w:rPr>
          <w:rFonts w:ascii="Arial" w:hAnsi="Arial" w:cs="Arial"/>
          <w:b/>
          <w:bCs/>
        </w:rPr>
      </w:pPr>
    </w:p>
    <w:p w14:paraId="65D489B3" w14:textId="77777777" w:rsidR="005960FF" w:rsidRDefault="00000000">
      <w:r>
        <w:rPr>
          <w:rFonts w:ascii="Arial" w:hAnsi="Arial" w:cs="Arial"/>
          <w:b/>
          <w:bCs/>
          <w:noProof/>
        </w:rPr>
        <w:drawing>
          <wp:inline distT="0" distB="0" distL="0" distR="0" wp14:anchorId="65D489B2" wp14:editId="65D489B3">
            <wp:extent cx="3340732" cy="1341123"/>
            <wp:effectExtent l="0" t="0" r="0" b="0"/>
            <wp:docPr id="1018632077"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3340732" cy="1341123"/>
                    </a:xfrm>
                    <a:prstGeom prst="rect">
                      <a:avLst/>
                    </a:prstGeom>
                    <a:noFill/>
                    <a:ln>
                      <a:noFill/>
                      <a:prstDash/>
                    </a:ln>
                  </pic:spPr>
                </pic:pic>
              </a:graphicData>
            </a:graphic>
          </wp:inline>
        </w:drawing>
      </w:r>
    </w:p>
    <w:p w14:paraId="65D489B4" w14:textId="77777777" w:rsidR="005960FF" w:rsidRDefault="005960FF">
      <w:pPr>
        <w:rPr>
          <w:rFonts w:ascii="Arial" w:hAnsi="Arial" w:cs="Arial"/>
          <w:b/>
          <w:bCs/>
        </w:rPr>
      </w:pPr>
    </w:p>
    <w:p w14:paraId="65D489B5" w14:textId="77777777" w:rsidR="005960FF" w:rsidRDefault="005960FF">
      <w:pPr>
        <w:rPr>
          <w:rFonts w:ascii="Arial" w:hAnsi="Arial" w:cs="Arial"/>
          <w:b/>
          <w:bCs/>
        </w:rPr>
      </w:pPr>
    </w:p>
    <w:p w14:paraId="65D489B7" w14:textId="77777777" w:rsidR="005960FF" w:rsidRDefault="005960FF">
      <w:pPr>
        <w:rPr>
          <w:rFonts w:ascii="Arial" w:hAnsi="Arial" w:cs="Arial"/>
          <w:b/>
          <w:bCs/>
        </w:rPr>
      </w:pPr>
    </w:p>
    <w:p w14:paraId="65D489BC" w14:textId="02AA2CA8" w:rsidR="005960FF" w:rsidRPr="00005FA3" w:rsidRDefault="00000000" w:rsidP="0094113D">
      <w:pPr>
        <w:rPr>
          <w:rFonts w:ascii="Arial" w:hAnsi="Arial" w:cs="Arial"/>
          <w:b/>
          <w:bCs/>
          <w:sz w:val="36"/>
          <w:szCs w:val="36"/>
        </w:rPr>
      </w:pPr>
      <w:r w:rsidRPr="00005FA3">
        <w:rPr>
          <w:rFonts w:ascii="Arial" w:hAnsi="Arial" w:cs="Arial"/>
          <w:b/>
          <w:bCs/>
          <w:sz w:val="36"/>
          <w:szCs w:val="36"/>
        </w:rPr>
        <w:t>Digital Transformation in the Health and Care Professions (BMHP6026)</w:t>
      </w:r>
    </w:p>
    <w:p w14:paraId="65D489C0" w14:textId="5670C874" w:rsidR="005960FF" w:rsidRDefault="0094113D">
      <w:pPr>
        <w:rPr>
          <w:rFonts w:ascii="Arial" w:hAnsi="Arial" w:cs="Arial"/>
          <w:b/>
          <w:bCs/>
        </w:rPr>
      </w:pPr>
      <w:r>
        <w:rPr>
          <w:rFonts w:ascii="Arial" w:hAnsi="Arial" w:cs="Arial"/>
          <w:b/>
          <w:bCs/>
          <w:noProof/>
        </w:rPr>
        <w:drawing>
          <wp:inline distT="0" distB="0" distL="0" distR="0" wp14:anchorId="6951B336" wp14:editId="493292DC">
            <wp:extent cx="5286375" cy="1924050"/>
            <wp:effectExtent l="0" t="0" r="9525" b="0"/>
            <wp:docPr id="13708571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96024" cy="1927562"/>
                    </a:xfrm>
                    <a:prstGeom prst="rect">
                      <a:avLst/>
                    </a:prstGeom>
                    <a:noFill/>
                  </pic:spPr>
                </pic:pic>
              </a:graphicData>
            </a:graphic>
          </wp:inline>
        </w:drawing>
      </w:r>
    </w:p>
    <w:p w14:paraId="65D489C1" w14:textId="77777777" w:rsidR="005960FF" w:rsidRDefault="005960FF">
      <w:pPr>
        <w:rPr>
          <w:rFonts w:ascii="Arial" w:hAnsi="Arial" w:cs="Arial"/>
          <w:b/>
          <w:bCs/>
        </w:rPr>
      </w:pPr>
    </w:p>
    <w:p w14:paraId="65D489C2" w14:textId="77777777" w:rsidR="005960FF" w:rsidRPr="00005FA3" w:rsidRDefault="00000000">
      <w:pPr>
        <w:rPr>
          <w:rFonts w:ascii="Arial" w:hAnsi="Arial" w:cs="Arial"/>
          <w:b/>
          <w:bCs/>
          <w:sz w:val="36"/>
          <w:szCs w:val="36"/>
        </w:rPr>
      </w:pPr>
      <w:r w:rsidRPr="00005FA3">
        <w:rPr>
          <w:rFonts w:ascii="Arial" w:hAnsi="Arial" w:cs="Arial"/>
          <w:b/>
          <w:bCs/>
          <w:sz w:val="36"/>
          <w:szCs w:val="36"/>
        </w:rPr>
        <w:t>Component 1: Written Report</w:t>
      </w:r>
    </w:p>
    <w:p w14:paraId="65D489C3" w14:textId="77777777" w:rsidR="005960FF" w:rsidRDefault="005960FF">
      <w:pPr>
        <w:rPr>
          <w:rFonts w:ascii="Arial" w:hAnsi="Arial" w:cs="Arial"/>
          <w:b/>
          <w:bCs/>
        </w:rPr>
      </w:pPr>
    </w:p>
    <w:p w14:paraId="4834B8B5" w14:textId="77777777" w:rsidR="00005FA3" w:rsidRDefault="00005FA3">
      <w:pPr>
        <w:rPr>
          <w:rFonts w:ascii="Arial" w:hAnsi="Arial" w:cs="Arial"/>
          <w:b/>
          <w:bCs/>
        </w:rPr>
      </w:pPr>
    </w:p>
    <w:p w14:paraId="4E65542C" w14:textId="77777777" w:rsidR="00005FA3" w:rsidRDefault="00005FA3">
      <w:pPr>
        <w:rPr>
          <w:rFonts w:ascii="Arial" w:hAnsi="Arial" w:cs="Arial"/>
          <w:b/>
          <w:bCs/>
        </w:rPr>
      </w:pPr>
    </w:p>
    <w:p w14:paraId="65D489C4" w14:textId="663A7C2C" w:rsidR="005960FF" w:rsidRPr="00005FA3" w:rsidRDefault="00000000">
      <w:pPr>
        <w:rPr>
          <w:rFonts w:ascii="Arial" w:hAnsi="Arial" w:cs="Arial"/>
          <w:b/>
          <w:bCs/>
          <w:sz w:val="36"/>
          <w:szCs w:val="36"/>
        </w:rPr>
      </w:pPr>
      <w:r w:rsidRPr="00005FA3">
        <w:rPr>
          <w:rFonts w:ascii="Arial" w:hAnsi="Arial" w:cs="Arial"/>
          <w:b/>
          <w:bCs/>
          <w:sz w:val="36"/>
          <w:szCs w:val="36"/>
        </w:rPr>
        <w:t>Student name:</w:t>
      </w:r>
      <w:r w:rsidR="00005FA3">
        <w:rPr>
          <w:rFonts w:ascii="Arial" w:hAnsi="Arial" w:cs="Arial"/>
          <w:b/>
          <w:bCs/>
          <w:sz w:val="36"/>
          <w:szCs w:val="36"/>
        </w:rPr>
        <w:t xml:space="preserve"> Carla Cardoso</w:t>
      </w:r>
    </w:p>
    <w:p w14:paraId="65D489C5" w14:textId="26848B53" w:rsidR="005960FF" w:rsidRPr="00005FA3" w:rsidRDefault="00000000">
      <w:pPr>
        <w:rPr>
          <w:rFonts w:ascii="Arial" w:hAnsi="Arial" w:cs="Arial"/>
          <w:b/>
          <w:bCs/>
          <w:sz w:val="36"/>
          <w:szCs w:val="36"/>
        </w:rPr>
      </w:pPr>
      <w:r w:rsidRPr="00005FA3">
        <w:rPr>
          <w:rFonts w:ascii="Arial" w:hAnsi="Arial" w:cs="Arial"/>
          <w:b/>
          <w:bCs/>
          <w:sz w:val="36"/>
          <w:szCs w:val="36"/>
        </w:rPr>
        <w:t>Student number:</w:t>
      </w:r>
      <w:r w:rsidR="00005FA3">
        <w:rPr>
          <w:rFonts w:ascii="Arial" w:hAnsi="Arial" w:cs="Arial"/>
          <w:b/>
          <w:bCs/>
          <w:sz w:val="36"/>
          <w:szCs w:val="36"/>
        </w:rPr>
        <w:t xml:space="preserve"> 1818222</w:t>
      </w:r>
    </w:p>
    <w:p w14:paraId="65D489C6" w14:textId="67E3700C" w:rsidR="005960FF" w:rsidRPr="00005FA3" w:rsidRDefault="00000000">
      <w:pPr>
        <w:rPr>
          <w:rFonts w:ascii="Arial" w:hAnsi="Arial" w:cs="Arial"/>
          <w:b/>
          <w:bCs/>
          <w:sz w:val="36"/>
          <w:szCs w:val="36"/>
        </w:rPr>
      </w:pPr>
      <w:r w:rsidRPr="00005FA3">
        <w:rPr>
          <w:rFonts w:ascii="Arial" w:hAnsi="Arial" w:cs="Arial"/>
          <w:b/>
          <w:bCs/>
          <w:sz w:val="36"/>
          <w:szCs w:val="36"/>
        </w:rPr>
        <w:t>Lecturer’s name:</w:t>
      </w:r>
      <w:r w:rsidR="00005FA3" w:rsidRPr="00005FA3">
        <w:rPr>
          <w:rFonts w:ascii="Arial" w:hAnsi="Arial" w:cs="Arial"/>
          <w:b/>
          <w:bCs/>
          <w:sz w:val="36"/>
          <w:szCs w:val="36"/>
        </w:rPr>
        <w:t xml:space="preserve"> Laila Surani</w:t>
      </w:r>
    </w:p>
    <w:p w14:paraId="65D489CC" w14:textId="01DC0787" w:rsidR="005960FF" w:rsidRPr="0002509E" w:rsidRDefault="00005FA3">
      <w:pPr>
        <w:rPr>
          <w:rFonts w:ascii="Arial" w:hAnsi="Arial" w:cs="Arial"/>
          <w:b/>
          <w:bCs/>
          <w:sz w:val="36"/>
          <w:szCs w:val="36"/>
        </w:rPr>
      </w:pPr>
      <w:r w:rsidRPr="00005FA3">
        <w:rPr>
          <w:rFonts w:ascii="Arial" w:hAnsi="Arial" w:cs="Arial"/>
          <w:b/>
          <w:bCs/>
          <w:sz w:val="36"/>
          <w:szCs w:val="36"/>
        </w:rPr>
        <w:t>Submission deadline: 23rd March 2026 14:00 (2PM)</w:t>
      </w:r>
    </w:p>
    <w:p w14:paraId="65D489CD" w14:textId="77777777" w:rsidR="005960FF" w:rsidRDefault="005960FF">
      <w:pPr>
        <w:rPr>
          <w:rFonts w:ascii="Arial" w:hAnsi="Arial" w:cs="Arial"/>
          <w:b/>
          <w:bCs/>
        </w:rPr>
      </w:pPr>
    </w:p>
    <w:sdt>
      <w:sdtPr>
        <w:rPr>
          <w:rFonts w:ascii="Aptos" w:eastAsia="Aptos" w:hAnsi="Aptos" w:cs="Times New Roman"/>
          <w:color w:val="auto"/>
          <w:sz w:val="22"/>
          <w:szCs w:val="22"/>
          <w:lang w:val="en-GB"/>
        </w:rPr>
        <w:id w:val="-2077808023"/>
        <w:docPartObj>
          <w:docPartGallery w:val="Table of Contents"/>
          <w:docPartUnique/>
        </w:docPartObj>
      </w:sdtPr>
      <w:sdtEndPr>
        <w:rPr>
          <w:b/>
          <w:bCs/>
          <w:noProof/>
        </w:rPr>
      </w:sdtEndPr>
      <w:sdtContent>
        <w:p w14:paraId="38C21B38" w14:textId="4477C6D7" w:rsidR="00C54D32" w:rsidRDefault="00C54D32">
          <w:pPr>
            <w:pStyle w:val="TOCHeading"/>
          </w:pPr>
          <w:r>
            <w:t>Table of Contents</w:t>
          </w:r>
        </w:p>
        <w:p w14:paraId="5086C648" w14:textId="48C019F1" w:rsidR="002E55F4" w:rsidRDefault="00C54D32">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\o "1-3" \h \z \u </w:instrText>
          </w:r>
          <w:r>
            <w:fldChar w:fldCharType="separate"/>
          </w:r>
          <w:hyperlink w:anchor="_Toc223343418" w:history="1">
            <w:r w:rsidR="002E55F4" w:rsidRPr="00AF4200">
              <w:rPr>
                <w:rStyle w:val="Hyperlink"/>
                <w:rFonts w:ascii="Arial" w:hAnsi="Arial" w:cs="Arial"/>
                <w:noProof/>
              </w:rPr>
              <w:t>Introduction</w:t>
            </w:r>
            <w:r w:rsidR="002E55F4">
              <w:rPr>
                <w:noProof/>
                <w:webHidden/>
              </w:rPr>
              <w:tab/>
            </w:r>
            <w:r w:rsidR="002E55F4">
              <w:rPr>
                <w:noProof/>
                <w:webHidden/>
              </w:rPr>
              <w:fldChar w:fldCharType="begin"/>
            </w:r>
            <w:r w:rsidR="002E55F4">
              <w:rPr>
                <w:noProof/>
                <w:webHidden/>
              </w:rPr>
              <w:instrText xml:space="preserve"> PAGEREF _Toc223343418 \h </w:instrText>
            </w:r>
            <w:r w:rsidR="002E55F4">
              <w:rPr>
                <w:noProof/>
                <w:webHidden/>
              </w:rPr>
            </w:r>
            <w:r w:rsidR="002E55F4">
              <w:rPr>
                <w:noProof/>
                <w:webHidden/>
              </w:rPr>
              <w:fldChar w:fldCharType="separate"/>
            </w:r>
            <w:r w:rsidR="002E55F4">
              <w:rPr>
                <w:noProof/>
                <w:webHidden/>
              </w:rPr>
              <w:t>3</w:t>
            </w:r>
            <w:r w:rsidR="002E55F4">
              <w:rPr>
                <w:noProof/>
                <w:webHidden/>
              </w:rPr>
              <w:fldChar w:fldCharType="end"/>
            </w:r>
          </w:hyperlink>
        </w:p>
        <w:p w14:paraId="5D71A480" w14:textId="5BB808E4" w:rsidR="002E55F4" w:rsidRDefault="002E55F4">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3343419" w:history="1">
            <w:r w:rsidRPr="00AF4200">
              <w:rPr>
                <w:rStyle w:val="Hyperlink"/>
                <w:rFonts w:ascii="Arial" w:hAnsi="Arial" w:cs="Arial"/>
                <w:noProof/>
              </w:rPr>
              <w:t>Background and Policy Context</w:t>
            </w:r>
            <w:r>
              <w:rPr>
                <w:noProof/>
                <w:webHidden/>
              </w:rPr>
              <w:tab/>
            </w:r>
            <w:r>
              <w:rPr>
                <w:noProof/>
                <w:webHidden/>
              </w:rPr>
              <w:fldChar w:fldCharType="begin"/>
            </w:r>
            <w:r>
              <w:rPr>
                <w:noProof/>
                <w:webHidden/>
              </w:rPr>
              <w:instrText xml:space="preserve"> PAGEREF _Toc223343419 \h </w:instrText>
            </w:r>
            <w:r>
              <w:rPr>
                <w:noProof/>
                <w:webHidden/>
              </w:rPr>
            </w:r>
            <w:r>
              <w:rPr>
                <w:noProof/>
                <w:webHidden/>
              </w:rPr>
              <w:fldChar w:fldCharType="separate"/>
            </w:r>
            <w:r>
              <w:rPr>
                <w:noProof/>
                <w:webHidden/>
              </w:rPr>
              <w:t>4</w:t>
            </w:r>
            <w:r>
              <w:rPr>
                <w:noProof/>
                <w:webHidden/>
              </w:rPr>
              <w:fldChar w:fldCharType="end"/>
            </w:r>
          </w:hyperlink>
        </w:p>
        <w:p w14:paraId="6BC0B55D" w14:textId="5207CD76" w:rsidR="002E55F4" w:rsidRDefault="002E55F4">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3343420" w:history="1">
            <w:r w:rsidRPr="00AF4200">
              <w:rPr>
                <w:rStyle w:val="Hyperlink"/>
                <w:rFonts w:ascii="Arial" w:hAnsi="Arial" w:cs="Arial"/>
                <w:noProof/>
              </w:rPr>
              <w:t>Impact on Workforce</w:t>
            </w:r>
            <w:r>
              <w:rPr>
                <w:noProof/>
                <w:webHidden/>
              </w:rPr>
              <w:tab/>
            </w:r>
            <w:r>
              <w:rPr>
                <w:noProof/>
                <w:webHidden/>
              </w:rPr>
              <w:fldChar w:fldCharType="begin"/>
            </w:r>
            <w:r>
              <w:rPr>
                <w:noProof/>
                <w:webHidden/>
              </w:rPr>
              <w:instrText xml:space="preserve"> PAGEREF _Toc223343420 \h </w:instrText>
            </w:r>
            <w:r>
              <w:rPr>
                <w:noProof/>
                <w:webHidden/>
              </w:rPr>
            </w:r>
            <w:r>
              <w:rPr>
                <w:noProof/>
                <w:webHidden/>
              </w:rPr>
              <w:fldChar w:fldCharType="separate"/>
            </w:r>
            <w:r>
              <w:rPr>
                <w:noProof/>
                <w:webHidden/>
              </w:rPr>
              <w:t>5</w:t>
            </w:r>
            <w:r>
              <w:rPr>
                <w:noProof/>
                <w:webHidden/>
              </w:rPr>
              <w:fldChar w:fldCharType="end"/>
            </w:r>
          </w:hyperlink>
        </w:p>
        <w:p w14:paraId="5AFA9C15" w14:textId="1BABC5A2" w:rsidR="002E55F4" w:rsidRDefault="002E55F4">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3343421" w:history="1">
            <w:r w:rsidRPr="00AF4200">
              <w:rPr>
                <w:rStyle w:val="Hyperlink"/>
                <w:rFonts w:ascii="Arial" w:hAnsi="Arial" w:cs="Arial"/>
                <w:noProof/>
              </w:rPr>
              <w:t>Impact on Service Delivery</w:t>
            </w:r>
            <w:r>
              <w:rPr>
                <w:noProof/>
                <w:webHidden/>
              </w:rPr>
              <w:tab/>
            </w:r>
            <w:r>
              <w:rPr>
                <w:noProof/>
                <w:webHidden/>
              </w:rPr>
              <w:fldChar w:fldCharType="begin"/>
            </w:r>
            <w:r>
              <w:rPr>
                <w:noProof/>
                <w:webHidden/>
              </w:rPr>
              <w:instrText xml:space="preserve"> PAGEREF _Toc223343421 \h </w:instrText>
            </w:r>
            <w:r>
              <w:rPr>
                <w:noProof/>
                <w:webHidden/>
              </w:rPr>
            </w:r>
            <w:r>
              <w:rPr>
                <w:noProof/>
                <w:webHidden/>
              </w:rPr>
              <w:fldChar w:fldCharType="separate"/>
            </w:r>
            <w:r>
              <w:rPr>
                <w:noProof/>
                <w:webHidden/>
              </w:rPr>
              <w:t>6</w:t>
            </w:r>
            <w:r>
              <w:rPr>
                <w:noProof/>
                <w:webHidden/>
              </w:rPr>
              <w:fldChar w:fldCharType="end"/>
            </w:r>
          </w:hyperlink>
        </w:p>
        <w:p w14:paraId="5B42AFAA" w14:textId="7DE0F9EC" w:rsidR="002E55F4" w:rsidRDefault="002E55F4">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3343422" w:history="1">
            <w:r w:rsidRPr="00AF4200">
              <w:rPr>
                <w:rStyle w:val="Hyperlink"/>
                <w:rFonts w:ascii="Arial" w:hAnsi="Arial" w:cs="Arial"/>
                <w:noProof/>
              </w:rPr>
              <w:t>Impact on Patients</w:t>
            </w:r>
            <w:r>
              <w:rPr>
                <w:noProof/>
                <w:webHidden/>
              </w:rPr>
              <w:tab/>
            </w:r>
            <w:r>
              <w:rPr>
                <w:noProof/>
                <w:webHidden/>
              </w:rPr>
              <w:fldChar w:fldCharType="begin"/>
            </w:r>
            <w:r>
              <w:rPr>
                <w:noProof/>
                <w:webHidden/>
              </w:rPr>
              <w:instrText xml:space="preserve"> PAGEREF _Toc223343422 \h </w:instrText>
            </w:r>
            <w:r>
              <w:rPr>
                <w:noProof/>
                <w:webHidden/>
              </w:rPr>
            </w:r>
            <w:r>
              <w:rPr>
                <w:noProof/>
                <w:webHidden/>
              </w:rPr>
              <w:fldChar w:fldCharType="separate"/>
            </w:r>
            <w:r>
              <w:rPr>
                <w:noProof/>
                <w:webHidden/>
              </w:rPr>
              <w:t>7</w:t>
            </w:r>
            <w:r>
              <w:rPr>
                <w:noProof/>
                <w:webHidden/>
              </w:rPr>
              <w:fldChar w:fldCharType="end"/>
            </w:r>
          </w:hyperlink>
        </w:p>
        <w:p w14:paraId="2859E506" w14:textId="5A883B48" w:rsidR="002E55F4" w:rsidRDefault="002E55F4">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3343423" w:history="1">
            <w:r w:rsidRPr="00AF4200">
              <w:rPr>
                <w:rStyle w:val="Hyperlink"/>
                <w:rFonts w:ascii="Arial" w:hAnsi="Arial" w:cs="Arial"/>
                <w:noProof/>
              </w:rPr>
              <w:t>Impact on Community and Society</w:t>
            </w:r>
            <w:r>
              <w:rPr>
                <w:noProof/>
                <w:webHidden/>
              </w:rPr>
              <w:tab/>
            </w:r>
            <w:r>
              <w:rPr>
                <w:noProof/>
                <w:webHidden/>
              </w:rPr>
              <w:fldChar w:fldCharType="begin"/>
            </w:r>
            <w:r>
              <w:rPr>
                <w:noProof/>
                <w:webHidden/>
              </w:rPr>
              <w:instrText xml:space="preserve"> PAGEREF _Toc223343423 \h </w:instrText>
            </w:r>
            <w:r>
              <w:rPr>
                <w:noProof/>
                <w:webHidden/>
              </w:rPr>
            </w:r>
            <w:r>
              <w:rPr>
                <w:noProof/>
                <w:webHidden/>
              </w:rPr>
              <w:fldChar w:fldCharType="separate"/>
            </w:r>
            <w:r>
              <w:rPr>
                <w:noProof/>
                <w:webHidden/>
              </w:rPr>
              <w:t>9</w:t>
            </w:r>
            <w:r>
              <w:rPr>
                <w:noProof/>
                <w:webHidden/>
              </w:rPr>
              <w:fldChar w:fldCharType="end"/>
            </w:r>
          </w:hyperlink>
        </w:p>
        <w:p w14:paraId="1BB3EFF9" w14:textId="267184EB" w:rsidR="002E55F4" w:rsidRDefault="002E55F4">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3343424" w:history="1">
            <w:r w:rsidRPr="00AF4200">
              <w:rPr>
                <w:rStyle w:val="Hyperlink"/>
                <w:rFonts w:ascii="Arial" w:hAnsi="Arial" w:cs="Arial"/>
                <w:noProof/>
              </w:rPr>
              <w:t>Critical Evaluation and Sustainability</w:t>
            </w:r>
            <w:r>
              <w:rPr>
                <w:noProof/>
                <w:webHidden/>
              </w:rPr>
              <w:tab/>
            </w:r>
            <w:r>
              <w:rPr>
                <w:noProof/>
                <w:webHidden/>
              </w:rPr>
              <w:fldChar w:fldCharType="begin"/>
            </w:r>
            <w:r>
              <w:rPr>
                <w:noProof/>
                <w:webHidden/>
              </w:rPr>
              <w:instrText xml:space="preserve"> PAGEREF _Toc223343424 \h </w:instrText>
            </w:r>
            <w:r>
              <w:rPr>
                <w:noProof/>
                <w:webHidden/>
              </w:rPr>
            </w:r>
            <w:r>
              <w:rPr>
                <w:noProof/>
                <w:webHidden/>
              </w:rPr>
              <w:fldChar w:fldCharType="separate"/>
            </w:r>
            <w:r>
              <w:rPr>
                <w:noProof/>
                <w:webHidden/>
              </w:rPr>
              <w:t>10</w:t>
            </w:r>
            <w:r>
              <w:rPr>
                <w:noProof/>
                <w:webHidden/>
              </w:rPr>
              <w:fldChar w:fldCharType="end"/>
            </w:r>
          </w:hyperlink>
        </w:p>
        <w:p w14:paraId="6109E04C" w14:textId="1386C9C1" w:rsidR="002E55F4" w:rsidRDefault="002E55F4">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3343425" w:history="1">
            <w:r w:rsidRPr="00AF4200">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_Toc223343425 \h </w:instrText>
            </w:r>
            <w:r>
              <w:rPr>
                <w:noProof/>
                <w:webHidden/>
              </w:rPr>
            </w:r>
            <w:r>
              <w:rPr>
                <w:noProof/>
                <w:webHidden/>
              </w:rPr>
              <w:fldChar w:fldCharType="separate"/>
            </w:r>
            <w:r>
              <w:rPr>
                <w:noProof/>
                <w:webHidden/>
              </w:rPr>
              <w:t>11</w:t>
            </w:r>
            <w:r>
              <w:rPr>
                <w:noProof/>
                <w:webHidden/>
              </w:rPr>
              <w:fldChar w:fldCharType="end"/>
            </w:r>
          </w:hyperlink>
        </w:p>
        <w:p w14:paraId="52EEB054" w14:textId="77766B1B" w:rsidR="002E55F4" w:rsidRDefault="002E55F4">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3343426" w:history="1">
            <w:r w:rsidRPr="00AF4200">
              <w:rPr>
                <w:rStyle w:val="Hyperlink"/>
                <w:rFonts w:ascii="Arial" w:hAnsi="Arial" w:cs="Arial"/>
                <w:noProof/>
              </w:rPr>
              <w:t>References</w:t>
            </w:r>
            <w:r>
              <w:rPr>
                <w:noProof/>
                <w:webHidden/>
              </w:rPr>
              <w:tab/>
            </w:r>
            <w:r>
              <w:rPr>
                <w:noProof/>
                <w:webHidden/>
              </w:rPr>
              <w:fldChar w:fldCharType="begin"/>
            </w:r>
            <w:r>
              <w:rPr>
                <w:noProof/>
                <w:webHidden/>
              </w:rPr>
              <w:instrText xml:space="preserve"> PAGEREF _Toc223343426 \h </w:instrText>
            </w:r>
            <w:r>
              <w:rPr>
                <w:noProof/>
                <w:webHidden/>
              </w:rPr>
            </w:r>
            <w:r>
              <w:rPr>
                <w:noProof/>
                <w:webHidden/>
              </w:rPr>
              <w:fldChar w:fldCharType="separate"/>
            </w:r>
            <w:r>
              <w:rPr>
                <w:noProof/>
                <w:webHidden/>
              </w:rPr>
              <w:t>12</w:t>
            </w:r>
            <w:r>
              <w:rPr>
                <w:noProof/>
                <w:webHidden/>
              </w:rPr>
              <w:fldChar w:fldCharType="end"/>
            </w:r>
          </w:hyperlink>
        </w:p>
        <w:p w14:paraId="099B1428" w14:textId="29EF75DC" w:rsidR="00C54D32" w:rsidRDefault="00C54D32">
          <w:r>
            <w:rPr>
              <w:b/>
              <w:bCs/>
              <w:noProof/>
            </w:rPr>
            <w:fldChar w:fldCharType="end"/>
          </w:r>
        </w:p>
      </w:sdtContent>
    </w:sdt>
    <w:p w14:paraId="65D489CE" w14:textId="34578C24" w:rsidR="005960FF" w:rsidRDefault="005960FF">
      <w:pPr>
        <w:rPr>
          <w:rFonts w:ascii="Arial" w:hAnsi="Arial" w:cs="Arial"/>
          <w:b/>
          <w:bCs/>
        </w:rPr>
      </w:pPr>
    </w:p>
    <w:p w14:paraId="65D489CF" w14:textId="77777777" w:rsidR="005960FF" w:rsidRDefault="005960FF">
      <w:pPr>
        <w:rPr>
          <w:rFonts w:ascii="Arial" w:hAnsi="Arial" w:cs="Arial"/>
          <w:b/>
          <w:bCs/>
        </w:rPr>
      </w:pPr>
    </w:p>
    <w:p w14:paraId="65D489D0" w14:textId="77777777" w:rsidR="005960FF" w:rsidRDefault="005960FF">
      <w:pPr>
        <w:rPr>
          <w:rFonts w:ascii="Arial" w:hAnsi="Arial" w:cs="Arial"/>
          <w:b/>
          <w:bCs/>
        </w:rPr>
      </w:pPr>
    </w:p>
    <w:p w14:paraId="65D489D1" w14:textId="77777777" w:rsidR="005960FF" w:rsidRDefault="005960FF">
      <w:pPr>
        <w:rPr>
          <w:rFonts w:ascii="Arial" w:hAnsi="Arial" w:cs="Arial"/>
          <w:b/>
          <w:bCs/>
        </w:rPr>
      </w:pPr>
    </w:p>
    <w:p w14:paraId="65D489D2" w14:textId="77777777" w:rsidR="005960FF" w:rsidRDefault="005960FF">
      <w:pPr>
        <w:rPr>
          <w:rFonts w:ascii="Arial" w:hAnsi="Arial" w:cs="Arial"/>
          <w:b/>
          <w:bCs/>
        </w:rPr>
      </w:pPr>
    </w:p>
    <w:p w14:paraId="65D489D3" w14:textId="77777777" w:rsidR="005960FF" w:rsidRDefault="005960FF">
      <w:pPr>
        <w:rPr>
          <w:rFonts w:ascii="Arial" w:hAnsi="Arial" w:cs="Arial"/>
          <w:b/>
          <w:bCs/>
        </w:rPr>
      </w:pPr>
    </w:p>
    <w:p w14:paraId="65D489D4" w14:textId="77777777" w:rsidR="005960FF" w:rsidRDefault="005960FF">
      <w:pPr>
        <w:rPr>
          <w:rFonts w:ascii="Arial" w:hAnsi="Arial" w:cs="Arial"/>
          <w:b/>
          <w:bCs/>
        </w:rPr>
      </w:pPr>
    </w:p>
    <w:p w14:paraId="65D489D5" w14:textId="77777777" w:rsidR="005960FF" w:rsidRDefault="005960FF">
      <w:pPr>
        <w:rPr>
          <w:rFonts w:ascii="Arial" w:hAnsi="Arial" w:cs="Arial"/>
          <w:b/>
          <w:bCs/>
        </w:rPr>
      </w:pPr>
    </w:p>
    <w:p w14:paraId="65D489D6" w14:textId="77777777" w:rsidR="005960FF" w:rsidRDefault="005960FF">
      <w:pPr>
        <w:rPr>
          <w:rFonts w:ascii="Arial" w:hAnsi="Arial" w:cs="Arial"/>
          <w:b/>
          <w:bCs/>
        </w:rPr>
      </w:pPr>
    </w:p>
    <w:p w14:paraId="65D489D7" w14:textId="77777777" w:rsidR="005960FF" w:rsidRDefault="005960FF">
      <w:pPr>
        <w:rPr>
          <w:rFonts w:ascii="Arial" w:hAnsi="Arial" w:cs="Arial"/>
          <w:b/>
          <w:bCs/>
        </w:rPr>
      </w:pPr>
    </w:p>
    <w:p w14:paraId="65D489D8" w14:textId="77777777" w:rsidR="005960FF" w:rsidRDefault="005960FF">
      <w:pPr>
        <w:rPr>
          <w:rFonts w:ascii="Arial" w:hAnsi="Arial" w:cs="Arial"/>
          <w:b/>
          <w:bCs/>
        </w:rPr>
      </w:pPr>
    </w:p>
    <w:p w14:paraId="65D489D9" w14:textId="77777777" w:rsidR="005960FF" w:rsidRDefault="005960FF">
      <w:pPr>
        <w:rPr>
          <w:rFonts w:ascii="Arial" w:hAnsi="Arial" w:cs="Arial"/>
          <w:b/>
          <w:bCs/>
        </w:rPr>
      </w:pPr>
    </w:p>
    <w:p w14:paraId="65D489DA" w14:textId="77777777" w:rsidR="005960FF" w:rsidRDefault="005960FF">
      <w:pPr>
        <w:rPr>
          <w:rFonts w:ascii="Arial" w:hAnsi="Arial" w:cs="Arial"/>
          <w:b/>
          <w:bCs/>
        </w:rPr>
      </w:pPr>
    </w:p>
    <w:p w14:paraId="65D489DB" w14:textId="77777777" w:rsidR="005960FF" w:rsidRDefault="005960FF">
      <w:pPr>
        <w:rPr>
          <w:rFonts w:ascii="Arial" w:hAnsi="Arial" w:cs="Arial"/>
          <w:b/>
          <w:bCs/>
        </w:rPr>
      </w:pPr>
    </w:p>
    <w:p w14:paraId="65D489DC" w14:textId="77777777" w:rsidR="005960FF" w:rsidRDefault="005960FF">
      <w:pPr>
        <w:rPr>
          <w:rFonts w:ascii="Arial" w:hAnsi="Arial" w:cs="Arial"/>
          <w:b/>
          <w:bCs/>
        </w:rPr>
      </w:pPr>
    </w:p>
    <w:p w14:paraId="65D489DD" w14:textId="77777777" w:rsidR="005960FF" w:rsidRDefault="005960FF">
      <w:pPr>
        <w:rPr>
          <w:rFonts w:ascii="Arial" w:hAnsi="Arial" w:cs="Arial"/>
          <w:b/>
          <w:bCs/>
        </w:rPr>
      </w:pPr>
    </w:p>
    <w:p w14:paraId="65D489DE" w14:textId="77777777" w:rsidR="005960FF" w:rsidRDefault="005960FF">
      <w:pPr>
        <w:rPr>
          <w:rFonts w:ascii="Arial" w:hAnsi="Arial" w:cs="Arial"/>
          <w:b/>
          <w:bCs/>
        </w:rPr>
      </w:pPr>
    </w:p>
    <w:p w14:paraId="65D489DF" w14:textId="77777777" w:rsidR="005960FF" w:rsidRDefault="005960FF">
      <w:pPr>
        <w:rPr>
          <w:rFonts w:ascii="Arial" w:hAnsi="Arial" w:cs="Arial"/>
          <w:b/>
          <w:bCs/>
        </w:rPr>
      </w:pPr>
    </w:p>
    <w:p w14:paraId="65D489E0" w14:textId="77777777" w:rsidR="005960FF" w:rsidRDefault="005960FF">
      <w:pPr>
        <w:rPr>
          <w:rFonts w:ascii="Arial" w:hAnsi="Arial" w:cs="Arial"/>
          <w:b/>
          <w:bCs/>
        </w:rPr>
      </w:pPr>
    </w:p>
    <w:p w14:paraId="65D489E1" w14:textId="77777777" w:rsidR="005960FF" w:rsidRDefault="005960FF">
      <w:pPr>
        <w:rPr>
          <w:rFonts w:ascii="Arial" w:hAnsi="Arial" w:cs="Arial"/>
          <w:b/>
          <w:bCs/>
        </w:rPr>
      </w:pPr>
    </w:p>
    <w:p w14:paraId="65D489E2" w14:textId="77777777" w:rsidR="005960FF" w:rsidRDefault="005960FF">
      <w:pPr>
        <w:rPr>
          <w:rFonts w:ascii="Arial" w:hAnsi="Arial" w:cs="Arial"/>
          <w:b/>
          <w:bCs/>
        </w:rPr>
      </w:pPr>
    </w:p>
    <w:p w14:paraId="65D489ED" w14:textId="77777777" w:rsidR="005960FF" w:rsidRDefault="005960FF">
      <w:pPr>
        <w:rPr>
          <w:rFonts w:ascii="Arial" w:hAnsi="Arial" w:cs="Arial"/>
          <w:b/>
          <w:bCs/>
        </w:rPr>
      </w:pPr>
    </w:p>
    <w:p w14:paraId="65D489EF" w14:textId="1EAFD3F1" w:rsidR="005960FF" w:rsidRPr="00C54D32" w:rsidRDefault="00000000" w:rsidP="0094113D">
      <w:pPr>
        <w:pStyle w:val="Heading1"/>
        <w:rPr>
          <w:rFonts w:ascii="Arial" w:hAnsi="Arial" w:cs="Arial"/>
          <w:sz w:val="28"/>
          <w:szCs w:val="28"/>
        </w:rPr>
      </w:pPr>
      <w:bookmarkStart w:id="0" w:name="_Toc223343418"/>
      <w:r w:rsidRPr="00C54D32">
        <w:rPr>
          <w:rFonts w:ascii="Arial" w:hAnsi="Arial" w:cs="Arial"/>
          <w:sz w:val="28"/>
          <w:szCs w:val="28"/>
        </w:rPr>
        <w:lastRenderedPageBreak/>
        <w:t>Introduction</w:t>
      </w:r>
      <w:bookmarkEnd w:id="0"/>
      <w:r w:rsidRPr="00C54D32">
        <w:rPr>
          <w:rFonts w:ascii="Arial" w:hAnsi="Arial" w:cs="Arial"/>
          <w:sz w:val="28"/>
          <w:szCs w:val="28"/>
        </w:rPr>
        <w:t xml:space="preserve"> </w:t>
      </w:r>
    </w:p>
    <w:p w14:paraId="65D489F1" w14:textId="55DA35D9" w:rsidR="005960FF" w:rsidRDefault="00000000" w:rsidP="0002509E">
      <w:pPr>
        <w:spacing w:line="360" w:lineRule="auto"/>
        <w:jc w:val="both"/>
        <w:rPr>
          <w:rFonts w:ascii="Arial" w:hAnsi="Arial" w:cs="Arial"/>
        </w:rPr>
      </w:pPr>
      <w:r>
        <w:rPr>
          <w:rFonts w:ascii="Arial" w:hAnsi="Arial" w:cs="Arial"/>
        </w:rPr>
        <w:t>Digital transformation in health and social care refers to the strategic integration of data systems, digital infrastructures, and emerging technologies to enhance service quality, coordination, and long-term system sustainability (NHS England, 2019). Within the NHS, this transformation has accelerated in response to increasing service demand, workforce shortages, and post-pandemic recovery pressures (Department of Health and Social Care, 2022; NHS England, 2023). A central objective has been the shift from fragmented, paper-based systems towards interoperable platforms that enable real-time data sharing and evidence-informed decision-making (NHS England, 2019).</w:t>
      </w:r>
    </w:p>
    <w:p w14:paraId="65D489F3" w14:textId="2F50AE22" w:rsidR="005960FF" w:rsidRPr="0002509E" w:rsidRDefault="00000000" w:rsidP="0002509E">
      <w:pPr>
        <w:spacing w:line="360" w:lineRule="auto"/>
        <w:jc w:val="both"/>
      </w:pPr>
      <w:r>
        <w:rPr>
          <w:rFonts w:ascii="Arial" w:hAnsi="Arial" w:cs="Arial"/>
        </w:rPr>
        <w:t xml:space="preserve">A significant development within this agenda is the </w:t>
      </w:r>
      <w:r>
        <w:rPr>
          <w:rFonts w:ascii="Arial" w:hAnsi="Arial" w:cs="Arial"/>
          <w:b/>
          <w:bCs/>
        </w:rPr>
        <w:t>NHS Federated Data Platform (FDP),</w:t>
      </w:r>
      <w:r>
        <w:rPr>
          <w:rFonts w:ascii="Arial" w:hAnsi="Arial" w:cs="Arial"/>
        </w:rPr>
        <w:t xml:space="preserve"> commissioned nationally in 2023 to unify hospital and operational data across NHS trusts (NHS England, 2022; Digital Health, 2023). The platform seeks to improve waiting list management, support virtual ward deployment, strengthen workforce planning, and enhance population health management through integrated and predictive analytics (NHS England, 2024; McKinsey &amp; Company, 2025). Aligned with the </w:t>
      </w:r>
      <w:r>
        <w:rPr>
          <w:rFonts w:ascii="Arial" w:hAnsi="Arial" w:cs="Arial"/>
          <w:b/>
          <w:bCs/>
        </w:rPr>
        <w:t>NHS Long Term Plan</w:t>
      </w:r>
      <w:r>
        <w:rPr>
          <w:rFonts w:ascii="Arial" w:hAnsi="Arial" w:cs="Arial"/>
        </w:rPr>
        <w:t xml:space="preserve"> and its commitment to digitally enabled care, the FDP represents a strategic move towards establishing a learning, data-driven health system (NHS England, 2019; Department of Health and Social Care, 2022).</w:t>
      </w:r>
    </w:p>
    <w:p w14:paraId="65D489F4" w14:textId="77777777" w:rsidR="005960FF" w:rsidRDefault="00000000" w:rsidP="0002509E">
      <w:pPr>
        <w:spacing w:line="360" w:lineRule="auto"/>
        <w:jc w:val="both"/>
      </w:pPr>
      <w:r>
        <w:rPr>
          <w:rFonts w:ascii="Arial" w:hAnsi="Arial" w:cs="Arial"/>
        </w:rPr>
        <w:t xml:space="preserve">However, while the </w:t>
      </w:r>
      <w:r>
        <w:rPr>
          <w:rFonts w:ascii="Arial" w:hAnsi="Arial" w:cs="Arial"/>
          <w:b/>
          <w:bCs/>
        </w:rPr>
        <w:t xml:space="preserve">FDP </w:t>
      </w:r>
      <w:r>
        <w:rPr>
          <w:rFonts w:ascii="Arial" w:hAnsi="Arial" w:cs="Arial"/>
        </w:rPr>
        <w:t>promises enhanced operational efficiency, its rapid implementation has generated debate concerning governance transparency, data ethics, and the shifting balance of power between clinical autonomy and algorithm-informed management (NHS England, 2025; Foxglove, 2023). This tension between efficiency and democratic accountability forms a central analytical lens for this report. Accordingly, this paper critically evaluates the implementation of the NHS Federated Data Platform within the UK health and social care system, examining its implications for workforce structures, service delivery, patient experiences, and the wider community.</w:t>
      </w:r>
    </w:p>
    <w:p w14:paraId="65D489F5" w14:textId="77777777" w:rsidR="005960FF" w:rsidRDefault="005960FF" w:rsidP="0002509E">
      <w:pPr>
        <w:spacing w:line="360" w:lineRule="auto"/>
        <w:jc w:val="both"/>
        <w:rPr>
          <w:rFonts w:ascii="Arial" w:hAnsi="Arial" w:cs="Arial"/>
        </w:rPr>
      </w:pPr>
    </w:p>
    <w:p w14:paraId="65D489F6" w14:textId="77777777" w:rsidR="005960FF" w:rsidRDefault="005960FF" w:rsidP="0002509E">
      <w:pPr>
        <w:spacing w:line="360" w:lineRule="auto"/>
        <w:jc w:val="both"/>
        <w:rPr>
          <w:rFonts w:ascii="Arial" w:hAnsi="Arial" w:cs="Arial"/>
        </w:rPr>
      </w:pPr>
    </w:p>
    <w:p w14:paraId="65D489F7" w14:textId="77777777" w:rsidR="005960FF" w:rsidRDefault="005960FF" w:rsidP="0002509E">
      <w:pPr>
        <w:spacing w:line="360" w:lineRule="auto"/>
        <w:rPr>
          <w:rFonts w:ascii="Arial" w:hAnsi="Arial" w:cs="Arial"/>
        </w:rPr>
      </w:pPr>
    </w:p>
    <w:p w14:paraId="65D489F8" w14:textId="77777777" w:rsidR="005960FF" w:rsidRDefault="005960FF" w:rsidP="0002509E">
      <w:pPr>
        <w:spacing w:line="360" w:lineRule="auto"/>
        <w:rPr>
          <w:rFonts w:ascii="Arial" w:hAnsi="Arial" w:cs="Arial"/>
        </w:rPr>
      </w:pPr>
    </w:p>
    <w:p w14:paraId="65D489F9" w14:textId="77777777" w:rsidR="005960FF" w:rsidRDefault="005960FF">
      <w:pPr>
        <w:rPr>
          <w:rFonts w:ascii="Arial" w:hAnsi="Arial" w:cs="Arial"/>
        </w:rPr>
      </w:pPr>
    </w:p>
    <w:p w14:paraId="4AD6E007" w14:textId="77777777" w:rsidR="00005FA3" w:rsidRDefault="00005FA3">
      <w:pPr>
        <w:rPr>
          <w:rFonts w:ascii="Arial" w:hAnsi="Arial" w:cs="Arial"/>
          <w:b/>
          <w:bCs/>
        </w:rPr>
      </w:pPr>
    </w:p>
    <w:p w14:paraId="019F9372" w14:textId="77777777" w:rsidR="0094113D" w:rsidRDefault="0094113D" w:rsidP="0002509E">
      <w:pPr>
        <w:spacing w:line="360" w:lineRule="auto"/>
        <w:jc w:val="both"/>
        <w:rPr>
          <w:rFonts w:ascii="Arial" w:hAnsi="Arial" w:cs="Arial"/>
          <w:b/>
          <w:bCs/>
        </w:rPr>
      </w:pPr>
    </w:p>
    <w:p w14:paraId="65D48A00" w14:textId="46620257" w:rsidR="005960FF" w:rsidRPr="00C54D32" w:rsidRDefault="00000000" w:rsidP="0094113D">
      <w:pPr>
        <w:pStyle w:val="Heading1"/>
        <w:rPr>
          <w:rFonts w:ascii="Arial" w:hAnsi="Arial" w:cs="Arial"/>
          <w:sz w:val="28"/>
          <w:szCs w:val="28"/>
        </w:rPr>
      </w:pPr>
      <w:bookmarkStart w:id="1" w:name="_Toc223343419"/>
      <w:r w:rsidRPr="00C54D32">
        <w:rPr>
          <w:rFonts w:ascii="Arial" w:hAnsi="Arial" w:cs="Arial"/>
          <w:sz w:val="28"/>
          <w:szCs w:val="28"/>
        </w:rPr>
        <w:lastRenderedPageBreak/>
        <w:t>Background and Policy Context</w:t>
      </w:r>
      <w:bookmarkEnd w:id="1"/>
      <w:r w:rsidRPr="00C54D32">
        <w:rPr>
          <w:rFonts w:ascii="Arial" w:hAnsi="Arial" w:cs="Arial"/>
          <w:sz w:val="28"/>
          <w:szCs w:val="28"/>
        </w:rPr>
        <w:t xml:space="preserve"> </w:t>
      </w:r>
    </w:p>
    <w:p w14:paraId="65D48A02" w14:textId="75CB3D42" w:rsidR="005960FF" w:rsidRDefault="00000000" w:rsidP="0002509E">
      <w:pPr>
        <w:spacing w:line="360" w:lineRule="auto"/>
        <w:jc w:val="both"/>
        <w:rPr>
          <w:rFonts w:ascii="Arial" w:hAnsi="Arial" w:cs="Arial"/>
        </w:rPr>
      </w:pPr>
      <w:r>
        <w:rPr>
          <w:rFonts w:ascii="Arial" w:hAnsi="Arial" w:cs="Arial"/>
        </w:rPr>
        <w:t>Historically, the National Health Service (NHS) has operated through a patchwork of legacy IT systems, reflecting decades of locally procured software and inconsistent data-sharing capabilities (Greenhalgh et al., 2011). This fragmentation has inhibited effective interoperability across trusts and care settings, leading to inefficiencies in information exchange, clinical decision-making, and organisational planning (NHS Digital, 2020). The absence of unified data infrastructure has long been recognised as a structural barrier to achieving seamless, patient-centred care in England (Greenhalgh et al., 2011).</w:t>
      </w:r>
    </w:p>
    <w:p w14:paraId="65D48A04" w14:textId="10F9FD99" w:rsidR="005960FF" w:rsidRDefault="00000000" w:rsidP="0002509E">
      <w:pPr>
        <w:spacing w:line="360" w:lineRule="auto"/>
        <w:jc w:val="both"/>
        <w:rPr>
          <w:rFonts w:ascii="Arial" w:hAnsi="Arial" w:cs="Arial"/>
        </w:rPr>
      </w:pPr>
      <w:r>
        <w:rPr>
          <w:rFonts w:ascii="Arial" w:hAnsi="Arial" w:cs="Arial"/>
        </w:rPr>
        <w:t>The COVID-19 pandemic amplified these systemic weaknesses. NHS England’s post-pandemic recovery strategy identified elective backlogs, patient flow disruption, and workforce strain as key areas requiring digital intervention (NHS England, 2021). The scale of the elective recovery challenge, with millions awaiting treatment, intensified pressure to harness real-time data solutions to improve operational coordination (NHS England, 2022). Consequently, digital integration—not simply as innovation, but as necessity—became central to post-COVID modernisation efforts (DHSC, 2022).</w:t>
      </w:r>
    </w:p>
    <w:p w14:paraId="65D48A06" w14:textId="618295E5" w:rsidR="005960FF" w:rsidRPr="0002509E" w:rsidRDefault="00000000" w:rsidP="0002509E">
      <w:pPr>
        <w:spacing w:line="360" w:lineRule="auto"/>
        <w:jc w:val="both"/>
      </w:pPr>
      <w:r>
        <w:rPr>
          <w:rFonts w:ascii="Arial" w:hAnsi="Arial" w:cs="Arial"/>
        </w:rPr>
        <w:t xml:space="preserve">The </w:t>
      </w:r>
      <w:r>
        <w:rPr>
          <w:rFonts w:ascii="Arial" w:hAnsi="Arial" w:cs="Arial"/>
          <w:b/>
          <w:bCs/>
        </w:rPr>
        <w:t>NHS Long Term Plan</w:t>
      </w:r>
      <w:r>
        <w:rPr>
          <w:rFonts w:ascii="Arial" w:hAnsi="Arial" w:cs="Arial"/>
        </w:rPr>
        <w:t xml:space="preserve"> (NHS England, 2019) formally positioned digital transformation as integral to service sustainability, promising “digitally enabled care” across all sectors by the mid-2020s. Later, the </w:t>
      </w:r>
      <w:r>
        <w:rPr>
          <w:rFonts w:ascii="Arial" w:hAnsi="Arial" w:cs="Arial"/>
          <w:b/>
          <w:bCs/>
        </w:rPr>
        <w:t>Data Saves Lives</w:t>
      </w:r>
      <w:r>
        <w:rPr>
          <w:rFonts w:ascii="Arial" w:hAnsi="Arial" w:cs="Arial"/>
        </w:rPr>
        <w:t xml:space="preserve"> strategy (Department of Health and Social Care, 2022) expanded this vision, promoting data as a public asset to enhance research, transparency, and population health. Within this policy landscape, the Federated Data Platform (FDP) emerged in 2023 as a flagship mechanism to align national priorities with local operational needs (NHS England, 2022; NHS England, 2025).</w:t>
      </w:r>
    </w:p>
    <w:p w14:paraId="65D48A0B" w14:textId="69BD5EAF" w:rsidR="005960FF" w:rsidRDefault="00000000" w:rsidP="0002509E">
      <w:pPr>
        <w:spacing w:line="360" w:lineRule="auto"/>
        <w:jc w:val="both"/>
        <w:rPr>
          <w:rFonts w:ascii="Arial" w:hAnsi="Arial" w:cs="Arial"/>
        </w:rPr>
      </w:pPr>
      <w:r>
        <w:rPr>
          <w:rFonts w:ascii="Arial" w:hAnsi="Arial" w:cs="Arial"/>
        </w:rPr>
        <w:t>However, the FDP represents more than a technological leap; it is a structural response to systemic inefficiencies within the NHS (NHS England, 2022). Its introduction signals a deepening collaboration between public health institutions and private technology firms, raising debates around data ownership, commercial influence, and public accountability (Foxglove, 2023). Critics contend that the urgency of post-pandemic recovery has accelerated procurement and implementation at the expense of transparent governance and ethical safeguards (NHS England, 2025). Thus, while positioned as a solution to organisational inefficiency, the FDP can equally be interpreted as a symptom of a wider systemic crisis—a health service compelled to digitise under pressure, before fully resolving questions of data integrity, equity, and trust (McKinsey &amp; Company, 2025). As noted by independent policy analysts, large-scale digital procurement within public healthcare systems often reflects broader shifts towards platform-based governance, raising complex questions regarding transparency and long-term accountability (Brown and Calnan, 2016).</w:t>
      </w:r>
    </w:p>
    <w:p w14:paraId="65D48A0D" w14:textId="39009654" w:rsidR="005960FF" w:rsidRPr="00C54D32" w:rsidRDefault="00000000" w:rsidP="0094113D">
      <w:pPr>
        <w:pStyle w:val="Heading1"/>
        <w:rPr>
          <w:rFonts w:ascii="Arial" w:hAnsi="Arial" w:cs="Arial"/>
          <w:sz w:val="28"/>
          <w:szCs w:val="28"/>
        </w:rPr>
      </w:pPr>
      <w:bookmarkStart w:id="2" w:name="_Toc223343420"/>
      <w:r w:rsidRPr="00C54D32">
        <w:rPr>
          <w:rFonts w:ascii="Arial" w:hAnsi="Arial" w:cs="Arial"/>
          <w:sz w:val="28"/>
          <w:szCs w:val="28"/>
        </w:rPr>
        <w:lastRenderedPageBreak/>
        <w:t>Impact on Workforce</w:t>
      </w:r>
      <w:bookmarkEnd w:id="2"/>
      <w:r w:rsidRPr="00C54D32">
        <w:rPr>
          <w:rFonts w:ascii="Arial" w:hAnsi="Arial" w:cs="Arial"/>
          <w:sz w:val="28"/>
          <w:szCs w:val="28"/>
        </w:rPr>
        <w:t xml:space="preserve"> </w:t>
      </w:r>
    </w:p>
    <w:p w14:paraId="65D48A0E" w14:textId="77777777" w:rsidR="005960FF" w:rsidRDefault="00000000" w:rsidP="0002509E">
      <w:pPr>
        <w:spacing w:line="360" w:lineRule="auto"/>
        <w:jc w:val="both"/>
        <w:rPr>
          <w:rFonts w:ascii="Arial" w:hAnsi="Arial" w:cs="Arial"/>
        </w:rPr>
      </w:pPr>
      <w:r>
        <w:rPr>
          <w:rFonts w:ascii="Arial" w:hAnsi="Arial" w:cs="Arial"/>
        </w:rPr>
        <w:t>The implementation of the NHS Federated Data Platform (FDP) introduces a transformative shift in how workforce planning and operational efficiency are managed within the health and social care system (NHS England, 2026). From a positive standpoint, the FDP equips leaders with real-time visibility of workforce data, supporting improved rota coordination, bed management, and staffing distribution across pressures such as elective recovery and virtual ward operations (NHS England, 2026). By integrating data from multiple systems, the platform reduces administrative duplication—a longstanding source of clinician frustration—and allows staff to focus more directly on patient care delivery rather than manual reporting processes (NHS England, 2026). Furthermore, data-informed workforce modelling enhances resource forecasting, helping managers identify pinch points, redeploy staff effectively, and support service continuity during peak demand (Public Policy Projects, 2025).</w:t>
      </w:r>
    </w:p>
    <w:p w14:paraId="65D48A0F" w14:textId="77777777" w:rsidR="005960FF" w:rsidRDefault="00000000" w:rsidP="0002509E">
      <w:pPr>
        <w:spacing w:line="360" w:lineRule="auto"/>
        <w:jc w:val="both"/>
        <w:rPr>
          <w:rFonts w:ascii="Arial" w:hAnsi="Arial" w:cs="Arial"/>
        </w:rPr>
      </w:pPr>
      <w:r>
        <w:rPr>
          <w:rFonts w:ascii="Arial" w:hAnsi="Arial" w:cs="Arial"/>
        </w:rPr>
        <w:t>In clinical settings, data analytics can enhance decision support, providing evidence-based insights into workload allocation, clinical outcomes, and team performance (McKinsey &amp; Company, 2025). These analytical tools enable a shift toward predictive management, where workforce deployment becomes proactive rather than reactive. When implemented transparently, such tools can foster a culture of shared accountability, where data is used to inform quality improvement rather than punitive review (NHS Confederation, 2025).</w:t>
      </w:r>
    </w:p>
    <w:p w14:paraId="65D48A11" w14:textId="34E272CD" w:rsidR="005960FF" w:rsidRDefault="00000000" w:rsidP="0002509E">
      <w:pPr>
        <w:spacing w:line="360" w:lineRule="auto"/>
        <w:jc w:val="both"/>
        <w:rPr>
          <w:rFonts w:ascii="Arial" w:hAnsi="Arial" w:cs="Arial"/>
        </w:rPr>
      </w:pPr>
      <w:r>
        <w:rPr>
          <w:rFonts w:ascii="Arial" w:hAnsi="Arial" w:cs="Arial"/>
        </w:rPr>
        <w:t>However, a critical lens reveals deeper implications for professional autonomy and workplace culture. The same data visibility that enables efficiency may also heighten surveillance, enabling managerial oversight of individual performance metrics in unprecedented detail (Brown and Calnan, 2016). The shift from experiential to algorithm-mediated management could erode trust, particularly if data is perceived as being used for control rather than collaboration (West, 2022). As power dynamics shift toward analytical governance, clinicians may experience reduced discretion in decision-making—raising the question of whether data-driven management enhances or constrains professional judgement (Greenhalgh et al., 2014).</w:t>
      </w:r>
    </w:p>
    <w:p w14:paraId="65D48A13" w14:textId="01C180A7" w:rsidR="005960FF" w:rsidRDefault="00000000" w:rsidP="0002509E">
      <w:pPr>
        <w:spacing w:line="360" w:lineRule="auto"/>
        <w:jc w:val="both"/>
        <w:rPr>
          <w:rFonts w:ascii="Arial" w:hAnsi="Arial" w:cs="Arial"/>
        </w:rPr>
      </w:pPr>
      <w:r>
        <w:rPr>
          <w:rFonts w:ascii="Arial" w:hAnsi="Arial" w:cs="Arial"/>
        </w:rPr>
        <w:t>Moreover, the drive toward digital workforce optimisation introduces new competency demands, with digital literacy becoming central to professional capability (NHS Confederation, 2025). Without adequate training and support, these expectations risk widening existing skill disparities between digitally fluent and non-specialist staff (Public Policy Projects, 2025). Resistance to algorithm-based systems has been documented in health contexts where workers fear redundancy of expertise or question data validity (West, 2022). Change fatigue—amplified by continuous system reforms—can further diminish workforce engagement and morale (West, 2022).</w:t>
      </w:r>
    </w:p>
    <w:p w14:paraId="65D48A14" w14:textId="77777777" w:rsidR="005960FF" w:rsidRDefault="00000000" w:rsidP="0002509E">
      <w:pPr>
        <w:spacing w:line="360" w:lineRule="auto"/>
        <w:jc w:val="both"/>
        <w:rPr>
          <w:rFonts w:ascii="Arial" w:hAnsi="Arial" w:cs="Arial"/>
        </w:rPr>
      </w:pPr>
      <w:r>
        <w:rPr>
          <w:rFonts w:ascii="Arial" w:hAnsi="Arial" w:cs="Arial"/>
        </w:rPr>
        <w:lastRenderedPageBreak/>
        <w:t>In essence, while the FDP has potential to streamline workforce management and strengthen operational resilience, its success ultimately hinges on how equitably and ethically it is deployed (McKinsey &amp; Company, 2025). The platform’s capacity to empower or disempower health professionals will depend on governance models that protect clinical autonomy, ensure transparent data use, and prioritise workforce inclusion in digital transformation agendas (Brown and Calnan, 2016). As highlighted by independent health policy analyses, increased reliance on performance analytics within healthcare organisations may inadvertently contribute to cultures of surveillance and metric-driven accountability (Greenhalgh et al., 2014).</w:t>
      </w:r>
    </w:p>
    <w:p w14:paraId="65D48A15" w14:textId="6693DC5F" w:rsidR="005960FF" w:rsidRPr="00C54D32" w:rsidRDefault="00000000" w:rsidP="0094113D">
      <w:pPr>
        <w:pStyle w:val="Heading1"/>
        <w:rPr>
          <w:rFonts w:ascii="Arial" w:hAnsi="Arial" w:cs="Arial"/>
          <w:sz w:val="28"/>
          <w:szCs w:val="28"/>
        </w:rPr>
      </w:pPr>
      <w:bookmarkStart w:id="3" w:name="_Toc223343421"/>
      <w:r w:rsidRPr="00C54D32">
        <w:rPr>
          <w:rFonts w:ascii="Arial" w:hAnsi="Arial" w:cs="Arial"/>
          <w:sz w:val="28"/>
          <w:szCs w:val="28"/>
        </w:rPr>
        <w:t>Impact on Service Delivery</w:t>
      </w:r>
      <w:bookmarkEnd w:id="3"/>
      <w:r w:rsidRPr="00C54D32">
        <w:rPr>
          <w:rFonts w:ascii="Arial" w:hAnsi="Arial" w:cs="Arial"/>
          <w:sz w:val="28"/>
          <w:szCs w:val="28"/>
        </w:rPr>
        <w:t xml:space="preserve"> </w:t>
      </w:r>
    </w:p>
    <w:p w14:paraId="65D48A16" w14:textId="77777777" w:rsidR="005960FF" w:rsidRDefault="00000000" w:rsidP="0002509E">
      <w:pPr>
        <w:spacing w:line="360" w:lineRule="auto"/>
        <w:jc w:val="both"/>
        <w:rPr>
          <w:rFonts w:ascii="Arial" w:hAnsi="Arial" w:cs="Arial"/>
        </w:rPr>
      </w:pPr>
      <w:r>
        <w:rPr>
          <w:rFonts w:ascii="Arial" w:hAnsi="Arial" w:cs="Arial"/>
        </w:rPr>
        <w:t>The NHS Federated Data Platform (FDP) has significant potential to reshape how health services are planned and delivered, particularly within the context of elective care and operational recovery (NHS England, 2026; Public Policy Projects, 2025). By consolidating real-time data from multiple trusts, the platform supports improved waiting list coordination, enabling hospitals to identify capacity across regions, prioritise patients more systematically, and reduce duplicate scheduling within fragmented systems (NHS England, 2026). This integration aligns directly with the NHS England Elective Recovery Plan, where timely access to treatment is a central objective (NHS England, 2021). Furthermore, the FDP facilitates resource allocation optimisation, allowing decision-makers to deploy clinical staff, theatre space, and diagnostic equipment based on live demand metrics rather than retrospective reports (McKinsey &amp; Company, 2025).</w:t>
      </w:r>
    </w:p>
    <w:p w14:paraId="65D48A17" w14:textId="77777777" w:rsidR="005960FF" w:rsidRDefault="00000000" w:rsidP="0002509E">
      <w:pPr>
        <w:spacing w:line="360" w:lineRule="auto"/>
        <w:jc w:val="both"/>
        <w:rPr>
          <w:rFonts w:ascii="Arial" w:hAnsi="Arial" w:cs="Arial"/>
        </w:rPr>
      </w:pPr>
      <w:r>
        <w:rPr>
          <w:rFonts w:ascii="Arial" w:hAnsi="Arial" w:cs="Arial"/>
        </w:rPr>
        <w:t>Operationally, the FDP enhances communication and coordination between trusts, community teams, and digital wards (NHS England, 2026). It supports data-driven situational awareness, enabling rapid escalation planning during surges in demand. The result is a more dynamic, system-level approach to service delivery that can improve efficiency, reduce waiting times, and strengthen overall continuity of care (Public Policy Projects, 2025). In this respect, the FDP exemplifies how digital transformation can drive measurable operational improvement (NHS Confederation, 2025).</w:t>
      </w:r>
    </w:p>
    <w:p w14:paraId="65D48A18" w14:textId="77777777" w:rsidR="005960FF" w:rsidRDefault="00000000" w:rsidP="0002509E">
      <w:pPr>
        <w:spacing w:line="360" w:lineRule="auto"/>
        <w:jc w:val="both"/>
        <w:rPr>
          <w:rFonts w:ascii="Arial" w:hAnsi="Arial" w:cs="Arial"/>
        </w:rPr>
      </w:pPr>
      <w:r>
        <w:rPr>
          <w:rFonts w:ascii="Arial" w:hAnsi="Arial" w:cs="Arial"/>
        </w:rPr>
        <w:t xml:space="preserve">However, these benefits are not without critical caveats. The financial cost of implementation is substantial, requiring significant public investment in data infrastructure, cyber resilience, and workforce training (McKinsey &amp; Company, 2025). Furthermore, the platform’s reliance on a single vendor—Palantir Technologies—has been the focus of ongoing debate regarding propriety, accountability, and the risks of private-sector dominance in NHS data management (Digital Health, 2023; Foxglove, 2023). This dependence raises legitimate concerns about </w:t>
      </w:r>
      <w:r>
        <w:rPr>
          <w:rFonts w:ascii="Arial" w:hAnsi="Arial" w:cs="Arial"/>
        </w:rPr>
        <w:lastRenderedPageBreak/>
        <w:t>vendor lock-in, commercial exploitation of health data, and future procurement transparency (Foxglove, 2023).</w:t>
      </w:r>
    </w:p>
    <w:p w14:paraId="65D48A19" w14:textId="77777777" w:rsidR="005960FF" w:rsidRDefault="00000000" w:rsidP="0002509E">
      <w:pPr>
        <w:spacing w:line="360" w:lineRule="auto"/>
        <w:jc w:val="both"/>
        <w:rPr>
          <w:rFonts w:ascii="Arial" w:hAnsi="Arial" w:cs="Arial"/>
        </w:rPr>
      </w:pPr>
      <w:r>
        <w:rPr>
          <w:rFonts w:ascii="Arial" w:hAnsi="Arial" w:cs="Arial"/>
        </w:rPr>
        <w:t>Interoperability remains another persistent challenge. Despite the FDP’s federated architecture, the diversity of legacy systems across NHS trusts poses technical and logistical barriers to achieving frictionless integration (Greenhalgh et al., 2011). Moreover, with rising incidences of global cybersecurity threats, the centralisation of sensitive health data introduces new vulnerabilities (Department of Health and Social Care, 2022). A single cyber breach or data corruption event could have catastrophic national implications—impacting patient safety, public trust, and service continuity (Foxglove, 2023).</w:t>
      </w:r>
    </w:p>
    <w:p w14:paraId="65D48A1B" w14:textId="60F3D3B3" w:rsidR="005960FF" w:rsidRDefault="00000000" w:rsidP="0002509E">
      <w:pPr>
        <w:spacing w:line="360" w:lineRule="auto"/>
        <w:jc w:val="both"/>
        <w:rPr>
          <w:rFonts w:ascii="Arial" w:hAnsi="Arial" w:cs="Arial"/>
        </w:rPr>
      </w:pPr>
      <w:r>
        <w:rPr>
          <w:rFonts w:ascii="Arial" w:hAnsi="Arial" w:cs="Arial"/>
        </w:rPr>
        <w:t>In essence, centralised data integration may improve operational efficiency; however, it simultaneously centralises systemic risk (McKinsey &amp; Company, 2025). The FDP’s capacity to strengthen service delivery therefore depends not only on technological capability but also on the robustness of its governance, ethical framework, and risk management strategy (NHS Confederation, 2025). Effective oversight must balance the drive for real-time control with safeguards that ensure resilience, data integrity, and the continued primacy of patient welfare within digital transformation (Brown and Calnan, 2016).</w:t>
      </w:r>
    </w:p>
    <w:p w14:paraId="65D48A1D" w14:textId="21F35AA2" w:rsidR="005960FF" w:rsidRPr="0094113D" w:rsidRDefault="00000000" w:rsidP="0094113D">
      <w:pPr>
        <w:spacing w:line="360" w:lineRule="auto"/>
        <w:jc w:val="both"/>
        <w:rPr>
          <w:rFonts w:ascii="Arial" w:hAnsi="Arial" w:cs="Arial"/>
        </w:rPr>
      </w:pPr>
      <w:r>
        <w:rPr>
          <w:rFonts w:ascii="Arial" w:hAnsi="Arial" w:cs="Arial"/>
        </w:rPr>
        <w:t>Beyond operational gains, improved data coordination may also contribute to safer care pathways by reducing duplication, minimising delayed interventions, and enhancing clinical continuity across service boundaries (Public Policy Projects, 2025).</w:t>
      </w:r>
    </w:p>
    <w:p w14:paraId="65D48A1E" w14:textId="517A09C5" w:rsidR="005960FF" w:rsidRPr="00C54D32" w:rsidRDefault="00000000" w:rsidP="0094113D">
      <w:pPr>
        <w:pStyle w:val="Heading1"/>
        <w:rPr>
          <w:rFonts w:ascii="Arial" w:hAnsi="Arial" w:cs="Arial"/>
          <w:sz w:val="28"/>
          <w:szCs w:val="28"/>
        </w:rPr>
      </w:pPr>
      <w:bookmarkStart w:id="4" w:name="_Toc223343422"/>
      <w:r w:rsidRPr="00C54D32">
        <w:rPr>
          <w:rFonts w:ascii="Arial" w:hAnsi="Arial" w:cs="Arial"/>
          <w:sz w:val="28"/>
          <w:szCs w:val="28"/>
        </w:rPr>
        <w:t>Impact on Patients</w:t>
      </w:r>
      <w:bookmarkEnd w:id="4"/>
      <w:r w:rsidRPr="00C54D32">
        <w:rPr>
          <w:rFonts w:ascii="Arial" w:hAnsi="Arial" w:cs="Arial"/>
          <w:sz w:val="28"/>
          <w:szCs w:val="28"/>
        </w:rPr>
        <w:t xml:space="preserve"> </w:t>
      </w:r>
    </w:p>
    <w:p w14:paraId="65D48A1F" w14:textId="77777777" w:rsidR="005960FF" w:rsidRDefault="00000000" w:rsidP="0002509E">
      <w:pPr>
        <w:spacing w:line="360" w:lineRule="auto"/>
        <w:jc w:val="both"/>
        <w:rPr>
          <w:rFonts w:ascii="Arial" w:hAnsi="Arial" w:cs="Arial"/>
        </w:rPr>
      </w:pPr>
      <w:r>
        <w:rPr>
          <w:rFonts w:ascii="Arial" w:hAnsi="Arial" w:cs="Arial"/>
        </w:rPr>
        <w:t>Although the NHS Federated Data Platform (FDP) primarily operates at a system and organisational level, its influence on patient experience is both indirect and profound (NHS England, 2025). By enabling health and social care providers to share data seamlessly, the FDP can reduce fragmentation in patient journeys—a longstanding criticism of NHS service design (Public Policy Projects, 2025). Reduced waiting times, more accurate scheduling, and streamlined communication between hospitals and community services contribute to improved continuity of care (NHS England, 2026). For patients on elective waiting lists, real-time data visibility allows for more equitable prioritisation and earlier intervention, addressing some of the dissatisfaction and anxiety associated with prolonged delays in treatment (NHS England, 2026).</w:t>
      </w:r>
    </w:p>
    <w:p w14:paraId="65D48A20" w14:textId="77777777" w:rsidR="005960FF" w:rsidRDefault="00000000" w:rsidP="0002509E">
      <w:pPr>
        <w:spacing w:line="360" w:lineRule="auto"/>
        <w:jc w:val="both"/>
        <w:rPr>
          <w:rFonts w:ascii="Arial" w:hAnsi="Arial" w:cs="Arial"/>
        </w:rPr>
      </w:pPr>
      <w:r>
        <w:rPr>
          <w:rFonts w:ascii="Arial" w:hAnsi="Arial" w:cs="Arial"/>
        </w:rPr>
        <w:t xml:space="preserve">From a quality-of-care perspective, the integration of clinical and administrative data reduces unnecessary duplication of diagnostics and appointments (McKinsey &amp; Company, 2025). This not only conserves NHS resources but spares patients the inconvenience and discomfort of repeated procedures. Enhanced interoperability across settings fosters more coordinated, </w:t>
      </w:r>
      <w:r>
        <w:rPr>
          <w:rFonts w:ascii="Arial" w:hAnsi="Arial" w:cs="Arial"/>
        </w:rPr>
        <w:lastRenderedPageBreak/>
        <w:t>holistic care—particularly beneficial for individuals with complex or multi-morbid conditions (NHS Confederation, 2025). Moreover, the FDP’s analytical capacity can support targeted public health interventions, identifying unmet needs within specific populations and improving health equity outcomes over time (Department of Health and Social Care, 2022).</w:t>
      </w:r>
    </w:p>
    <w:p w14:paraId="65D48A21" w14:textId="77777777" w:rsidR="005960FF" w:rsidRDefault="00000000" w:rsidP="0002509E">
      <w:pPr>
        <w:spacing w:line="360" w:lineRule="auto"/>
        <w:jc w:val="both"/>
        <w:rPr>
          <w:rFonts w:ascii="Arial" w:hAnsi="Arial" w:cs="Arial"/>
        </w:rPr>
      </w:pPr>
      <w:r>
        <w:rPr>
          <w:rFonts w:ascii="Arial" w:hAnsi="Arial" w:cs="Arial"/>
        </w:rPr>
        <w:t>However, these benefits must be weighed against significant ethical and governance concerns that directly influence patient trust. Central to this debate is data privacy and transparency—whether patients fully understand how their information is used, shared, and safeguarded (Understanding Patient Data, 2023). Despite commitments to anonymisation and strict access controls, public apprehension persists regarding potential data misuse, commercial involvement, and the opaque nature of algorithmic decision-making (Foxglove, 2023). The controversy surrounding private-sector participation, notably Palantir’s involvement, has heightened public scepticism around corporate motives in managing NHS data assets (Digital Health, 2023).</w:t>
      </w:r>
    </w:p>
    <w:p w14:paraId="65D48A22" w14:textId="77777777" w:rsidR="005960FF" w:rsidRDefault="00000000" w:rsidP="0002509E">
      <w:pPr>
        <w:spacing w:line="360" w:lineRule="auto"/>
        <w:jc w:val="both"/>
        <w:rPr>
          <w:rFonts w:ascii="Arial" w:hAnsi="Arial" w:cs="Arial"/>
        </w:rPr>
      </w:pPr>
      <w:r>
        <w:rPr>
          <w:rFonts w:ascii="Arial" w:hAnsi="Arial" w:cs="Arial"/>
        </w:rPr>
        <w:t>Equally, the ethical principle of informed consent becomes complex in federated systems, where data can be accessed across multiple contexts beyond the patient’s immediate care environment (Cambridge University Hospitals NHS Foundation Trust, 2026). Without clear communication and accessible opt-out mechanisms, patients may feel disempowered or excluded from decisions about the secondary use of their data (Understanding Patient Data, 2023). Furthermore, reliance on predictive analytics introduces the risk of algorithmic bias, which could inadvertently reinforce health inequalities if data models reflect existing structural disparities within the healthcare system (Brown and Calnan, 2016).</w:t>
      </w:r>
    </w:p>
    <w:p w14:paraId="65D48A23" w14:textId="77777777" w:rsidR="005960FF" w:rsidRDefault="00000000" w:rsidP="0002509E">
      <w:pPr>
        <w:spacing w:line="360" w:lineRule="auto"/>
        <w:jc w:val="both"/>
        <w:rPr>
          <w:rFonts w:ascii="Arial" w:hAnsi="Arial" w:cs="Arial"/>
        </w:rPr>
      </w:pPr>
      <w:r>
        <w:rPr>
          <w:rFonts w:ascii="Arial" w:hAnsi="Arial" w:cs="Arial"/>
        </w:rPr>
        <w:t>At the heart of this issue lies a key tension: public trust versus digital efficiency. While the FDP promises operational gains and improved patient outcomes, these advances will only be sustainable if they preserve the moral and social contract between citizens and the NHS (NHS Confederation, 2025). Efficiency gains must be balanced against the ethical imperative of maintaining patient trust, particularly within a publicly funded healthcare system where data stewardship is inseparable from democratic accountability (Department of Health and Social Care, 2022). Perceived transparency and patient awareness of data practices may significantly influence satisfaction, engagement, and willingness to participate in digitally enabled care pathways (Understanding Patient Data, 2023).</w:t>
      </w:r>
    </w:p>
    <w:p w14:paraId="65D48A24" w14:textId="77777777" w:rsidR="005960FF" w:rsidRDefault="005960FF" w:rsidP="0002509E">
      <w:pPr>
        <w:spacing w:line="360" w:lineRule="auto"/>
        <w:jc w:val="both"/>
        <w:rPr>
          <w:rFonts w:ascii="Arial" w:hAnsi="Arial" w:cs="Arial"/>
          <w:b/>
          <w:bCs/>
        </w:rPr>
      </w:pPr>
    </w:p>
    <w:p w14:paraId="65D48A25" w14:textId="77777777" w:rsidR="005960FF" w:rsidRDefault="005960FF">
      <w:pPr>
        <w:rPr>
          <w:rFonts w:ascii="Arial" w:hAnsi="Arial" w:cs="Arial"/>
        </w:rPr>
      </w:pPr>
    </w:p>
    <w:p w14:paraId="718B247D" w14:textId="77777777" w:rsidR="0002509E" w:rsidRDefault="0002509E">
      <w:pPr>
        <w:rPr>
          <w:rFonts w:ascii="Arial" w:hAnsi="Arial" w:cs="Arial"/>
          <w:b/>
          <w:bCs/>
        </w:rPr>
      </w:pPr>
    </w:p>
    <w:p w14:paraId="6E7529AC" w14:textId="77777777" w:rsidR="0094113D" w:rsidRDefault="0094113D" w:rsidP="0002509E">
      <w:pPr>
        <w:spacing w:line="360" w:lineRule="auto"/>
        <w:jc w:val="both"/>
        <w:rPr>
          <w:rFonts w:ascii="Arial" w:hAnsi="Arial" w:cs="Arial"/>
          <w:b/>
          <w:bCs/>
        </w:rPr>
      </w:pPr>
    </w:p>
    <w:p w14:paraId="65D48A26" w14:textId="51D59B90" w:rsidR="005960FF" w:rsidRPr="00C54D32" w:rsidRDefault="00000000" w:rsidP="0094113D">
      <w:pPr>
        <w:pStyle w:val="Heading1"/>
        <w:rPr>
          <w:rFonts w:ascii="Arial" w:hAnsi="Arial" w:cs="Arial"/>
          <w:sz w:val="28"/>
          <w:szCs w:val="28"/>
        </w:rPr>
      </w:pPr>
      <w:bookmarkStart w:id="5" w:name="_Toc223343423"/>
      <w:r w:rsidRPr="00C54D32">
        <w:rPr>
          <w:rFonts w:ascii="Arial" w:hAnsi="Arial" w:cs="Arial"/>
          <w:sz w:val="28"/>
          <w:szCs w:val="28"/>
        </w:rPr>
        <w:lastRenderedPageBreak/>
        <w:t>Impact on Community and Society</w:t>
      </w:r>
      <w:bookmarkEnd w:id="5"/>
      <w:r w:rsidRPr="00C54D32">
        <w:rPr>
          <w:rFonts w:ascii="Arial" w:hAnsi="Arial" w:cs="Arial"/>
          <w:sz w:val="28"/>
          <w:szCs w:val="28"/>
        </w:rPr>
        <w:t xml:space="preserve"> </w:t>
      </w:r>
    </w:p>
    <w:p w14:paraId="65D48A28" w14:textId="620CD9B3" w:rsidR="005960FF" w:rsidRDefault="00000000" w:rsidP="0002509E">
      <w:pPr>
        <w:spacing w:line="360" w:lineRule="auto"/>
        <w:jc w:val="both"/>
        <w:rPr>
          <w:rFonts w:ascii="Arial" w:hAnsi="Arial" w:cs="Arial"/>
        </w:rPr>
      </w:pPr>
      <w:r>
        <w:rPr>
          <w:rFonts w:ascii="Arial" w:hAnsi="Arial" w:cs="Arial"/>
        </w:rPr>
        <w:t>At a societal level, the NHS Federated Data Platform (FDP) sits at the intersection of digital innovation and public accountability, embodying both the promise and the peril of large-scale data-driven reform (McKinsey &amp; Company, 2025; NHS Confederation, 2025). Its population-level analytics capacity enables the NHS to identify health trends, target preventive campaigns, and address inequalities more systematically (Department of Health and Social Care, 2022). In principle, such integration could enhance the collective health of communities through more accurate resource planning, predictive modelling, and evidence-based policymaking (Public Policy Projects, 2025).</w:t>
      </w:r>
    </w:p>
    <w:p w14:paraId="65D48A2A" w14:textId="22089EDE" w:rsidR="005960FF" w:rsidRDefault="00000000" w:rsidP="0002509E">
      <w:pPr>
        <w:spacing w:line="360" w:lineRule="auto"/>
        <w:jc w:val="both"/>
        <w:rPr>
          <w:rFonts w:ascii="Arial" w:hAnsi="Arial" w:cs="Arial"/>
        </w:rPr>
      </w:pPr>
      <w:r>
        <w:rPr>
          <w:rFonts w:ascii="Arial" w:hAnsi="Arial" w:cs="Arial"/>
        </w:rPr>
        <w:t>However, the FDP’s societal impact cannot be separated from broader structural concerns. The digital divide—both geographic and socio-economic—remains a persistent issue across England (NHS Digital, 2020). Rural communities may experience reduced benefits from digital infrastructure due to connectivity limitations, while digitally excluded populations risk marginalisation from increasingly data-dependent healthcare systems (The King’s Fund, 2020). Without equitable access and representation in data, digital transformation may unintentionally reinforce existing health disparities rather than resolve them (Public Policy Projects, 2025).</w:t>
      </w:r>
    </w:p>
    <w:p w14:paraId="65D48A2C" w14:textId="3FC36146" w:rsidR="005960FF" w:rsidRDefault="00000000" w:rsidP="0002509E">
      <w:pPr>
        <w:spacing w:line="360" w:lineRule="auto"/>
        <w:jc w:val="both"/>
        <w:rPr>
          <w:rFonts w:ascii="Arial" w:hAnsi="Arial" w:cs="Arial"/>
        </w:rPr>
      </w:pPr>
      <w:r>
        <w:rPr>
          <w:rFonts w:ascii="Arial" w:hAnsi="Arial" w:cs="Arial"/>
        </w:rPr>
        <w:t>A more critical dimension lies in data governance and ownership. The increasing integration of private technology corporations within NHS data infrastructure raises questions regarding the commodification of public health information and the long-term implications for public sector sovereignty (Brown and Calnan, 2016). The partnership with Palantir Technologies, a firm with defence and commercial analytics links, has drawn scrutiny over whether private-sector efficiency compromises democratic oversight and citizens’ confidence in state-run services (Foxglove, 2023; Digital Health, 2023). These public debates highlight a broader issue: digital transformation may increase efficiency but simultaneously risks the commercialisation of public healthcare data, shifting control from collective welfare to corporate interests (Understanding Patient Data, 2023).</w:t>
      </w:r>
    </w:p>
    <w:p w14:paraId="556C3ABE" w14:textId="48534086" w:rsidR="0002509E" w:rsidRDefault="00000000" w:rsidP="0002509E">
      <w:pPr>
        <w:spacing w:line="360" w:lineRule="auto"/>
        <w:jc w:val="both"/>
        <w:rPr>
          <w:rFonts w:ascii="Arial" w:hAnsi="Arial" w:cs="Arial"/>
        </w:rPr>
      </w:pPr>
      <w:r>
        <w:rPr>
          <w:rFonts w:ascii="Arial" w:hAnsi="Arial" w:cs="Arial"/>
        </w:rPr>
        <w:t xml:space="preserve">Public trust remains central to the NHS’s social legitimacy (Brown and Calnan, 2016). If citizens perceive digital systems as tools of surveillance, privatisation, or inequity, societal confidence in data-driven healthcare will erode (Understanding Patient Data, 2023). Sustainable digital transformation therefore requires transparent governance frameworks that protect the NHS’s public ethos while ensuring ethical and equitable data use (Department of Health and Social Care, 2022; NHS Confederation, 2025). The long-term success of the FDP will depend on its ability to deliver community benefit without undermining the foundational principle of healthcare as a public good rather than a commercial asset (Public Policy Projects, </w:t>
      </w:r>
      <w:r>
        <w:rPr>
          <w:rFonts w:ascii="Arial" w:hAnsi="Arial" w:cs="Arial"/>
        </w:rPr>
        <w:lastRenderedPageBreak/>
        <w:t>2025). Meaningful community engagement in digital governance processes may be essential to ensuring that large-scale data infrastructures reflect diverse population needs rather than reinforcing top-down policy priorities (Public Policy Projects, 2025; The King’s Fund, 2020).</w:t>
      </w:r>
    </w:p>
    <w:p w14:paraId="65D48A31" w14:textId="0ABDCAB8" w:rsidR="005960FF" w:rsidRPr="00C54D32" w:rsidRDefault="00000000" w:rsidP="0094113D">
      <w:pPr>
        <w:pStyle w:val="Heading1"/>
        <w:rPr>
          <w:rFonts w:ascii="Arial" w:hAnsi="Arial" w:cs="Arial"/>
          <w:sz w:val="28"/>
          <w:szCs w:val="28"/>
        </w:rPr>
      </w:pPr>
      <w:bookmarkStart w:id="6" w:name="_Toc223343424"/>
      <w:r w:rsidRPr="00C54D32">
        <w:rPr>
          <w:rFonts w:ascii="Arial" w:hAnsi="Arial" w:cs="Arial"/>
          <w:sz w:val="28"/>
          <w:szCs w:val="28"/>
        </w:rPr>
        <w:t>Critical Evaluation and Sustainability</w:t>
      </w:r>
      <w:bookmarkEnd w:id="6"/>
      <w:r w:rsidRPr="00C54D32">
        <w:rPr>
          <w:rFonts w:ascii="Arial" w:hAnsi="Arial" w:cs="Arial"/>
          <w:sz w:val="28"/>
          <w:szCs w:val="28"/>
        </w:rPr>
        <w:t xml:space="preserve"> </w:t>
      </w:r>
    </w:p>
    <w:p w14:paraId="65D48A32" w14:textId="77777777" w:rsidR="005960FF" w:rsidRDefault="00000000" w:rsidP="0002509E">
      <w:pPr>
        <w:spacing w:line="360" w:lineRule="auto"/>
        <w:jc w:val="both"/>
      </w:pPr>
      <w:r>
        <w:rPr>
          <w:rFonts w:ascii="Arial" w:hAnsi="Arial" w:cs="Arial"/>
        </w:rPr>
        <w:t xml:space="preserve">The </w:t>
      </w:r>
      <w:r>
        <w:rPr>
          <w:rFonts w:ascii="Arial" w:hAnsi="Arial" w:cs="Arial"/>
          <w:b/>
          <w:bCs/>
        </w:rPr>
        <w:t>NHS Federated Data Platform (FDP)</w:t>
      </w:r>
      <w:r>
        <w:rPr>
          <w:rFonts w:ascii="Arial" w:hAnsi="Arial" w:cs="Arial"/>
        </w:rPr>
        <w:t xml:space="preserve"> stands as a transformative yet contested innovation within the UK’s digital health reform agenda (NHS England, 2026; McKinsey &amp; Company, 2025). Its operational strengths are significant: enhanced real-time visibility across NHS systems has improved elective recovery monitoring, workforce planning, and system-wide coordination (NHS England, 2026). By aligning disparate datasets, the FDP supports strategic decision-making and resource optimisation, marking an important shift toward proactive, data-informed healthcare management (Public Policy Projects, 2025; NHS Confederation, 2025).</w:t>
      </w:r>
    </w:p>
    <w:p w14:paraId="65D48A33" w14:textId="77777777" w:rsidR="005960FF" w:rsidRDefault="00000000" w:rsidP="0002509E">
      <w:pPr>
        <w:spacing w:line="360" w:lineRule="auto"/>
        <w:jc w:val="both"/>
        <w:rPr>
          <w:rFonts w:ascii="Arial" w:hAnsi="Arial" w:cs="Arial"/>
        </w:rPr>
      </w:pPr>
      <w:r>
        <w:rPr>
          <w:rFonts w:ascii="Arial" w:hAnsi="Arial" w:cs="Arial"/>
        </w:rPr>
        <w:t>However, its limitations reveal deeper questions about long-term sustainability and governance. Financially, the FDP represents a major ongoing investment at a time of fiscal constraint, raising concerns about whether central funding and local adoption costs can be maintained without diverting resources from frontline care (McKinsey &amp; Company, 2025). Governance remains complex, with overlapping responsibilities between NHS England, local Integrated Care Systems (ICSs), and private providers (NHS Confederation, 2025). Ethical uncertainty—particularly regarding data privacy, public consent, and commercial influence—continues to challenge broad public acceptance (Department of Health and Social Care, 2022; Understanding Patient Data, 2023). Furthermore, workforce resistance and digital fatigue risk undermining the cultural conditions necessary for sustained transformation (West, 2022).</w:t>
      </w:r>
    </w:p>
    <w:p w14:paraId="65D48A35" w14:textId="34165C52" w:rsidR="005960FF" w:rsidRDefault="00000000" w:rsidP="0002509E">
      <w:pPr>
        <w:spacing w:line="360" w:lineRule="auto"/>
        <w:jc w:val="both"/>
        <w:rPr>
          <w:rFonts w:ascii="Arial" w:hAnsi="Arial" w:cs="Arial"/>
        </w:rPr>
      </w:pPr>
      <w:r>
        <w:rPr>
          <w:rFonts w:ascii="Arial" w:hAnsi="Arial" w:cs="Arial"/>
        </w:rPr>
        <w:t>From an equity perspective, the FDP’s success will depend on digital inclusion and fair access to the benefits of data-driven care (Department of Health and Social Care, 2022). Without addressing structural inequalities in digital literacy and infrastructure, its potential to reduce disparities may be compromised (The King’s Fund, 2020).</w:t>
      </w:r>
    </w:p>
    <w:p w14:paraId="16C7CEEC" w14:textId="31B8A840" w:rsidR="0002509E" w:rsidRPr="0094113D" w:rsidRDefault="00000000" w:rsidP="0094113D">
      <w:pPr>
        <w:spacing w:line="360" w:lineRule="auto"/>
        <w:jc w:val="both"/>
      </w:pPr>
      <w:r>
        <w:rPr>
          <w:rFonts w:ascii="Arial" w:hAnsi="Arial" w:cs="Arial"/>
        </w:rPr>
        <w:t xml:space="preserve">In summary, the </w:t>
      </w:r>
      <w:r>
        <w:rPr>
          <w:rFonts w:ascii="Arial" w:hAnsi="Arial" w:cs="Arial"/>
          <w:b/>
          <w:bCs/>
        </w:rPr>
        <w:t>NHS Federated Data Platform</w:t>
      </w:r>
      <w:r>
        <w:rPr>
          <w:rFonts w:ascii="Arial" w:hAnsi="Arial" w:cs="Arial"/>
        </w:rPr>
        <w:t xml:space="preserve"> signals a pivotal evolution in digital integration but also exposes the fragility of large-scale technological reform in a publicly funded system (Brown and Calnan, 2016). Its future viability will hinge less on technical performance and more on </w:t>
      </w:r>
      <w:r>
        <w:rPr>
          <w:rFonts w:ascii="Arial" w:hAnsi="Arial" w:cs="Arial"/>
          <w:b/>
          <w:bCs/>
        </w:rPr>
        <w:t>ethical governance, financial commitment, workforce adaptation,</w:t>
      </w:r>
      <w:r>
        <w:rPr>
          <w:rFonts w:ascii="Arial" w:hAnsi="Arial" w:cs="Arial"/>
        </w:rPr>
        <w:t xml:space="preserve"> </w:t>
      </w:r>
      <w:r>
        <w:rPr>
          <w:rFonts w:ascii="Arial" w:hAnsi="Arial" w:cs="Arial"/>
          <w:b/>
          <w:bCs/>
        </w:rPr>
        <w:t>and enduring public trust</w:t>
      </w:r>
      <w:r>
        <w:rPr>
          <w:rFonts w:ascii="Arial" w:hAnsi="Arial" w:cs="Arial"/>
        </w:rPr>
        <w:t xml:space="preserve"> (NHS Confederation, 2025). Ultimately, the FDP’s long-term legitimacy will depend not only on efficiency gains, but on its capacity to uphold the foundational values of equity, transparency, and public accountability within the NHS (Department of Health and Social Care, 2022; Understanding Patient Data, 2023)</w:t>
      </w:r>
      <w:r w:rsidR="0094113D">
        <w:rPr>
          <w:rFonts w:ascii="Arial" w:hAnsi="Arial" w:cs="Arial"/>
        </w:rPr>
        <w:t>.</w:t>
      </w:r>
    </w:p>
    <w:p w14:paraId="65D48A40" w14:textId="2E169B6F" w:rsidR="005960FF" w:rsidRDefault="00000000" w:rsidP="0094113D">
      <w:pPr>
        <w:pStyle w:val="Heading1"/>
        <w:rPr>
          <w:rFonts w:ascii="Arial" w:hAnsi="Arial" w:cs="Arial"/>
          <w:sz w:val="28"/>
          <w:szCs w:val="28"/>
        </w:rPr>
      </w:pPr>
      <w:bookmarkStart w:id="7" w:name="_Toc223343425"/>
      <w:r w:rsidRPr="00C54D32">
        <w:rPr>
          <w:rFonts w:ascii="Arial" w:hAnsi="Arial" w:cs="Arial"/>
          <w:b/>
          <w:bCs/>
          <w:sz w:val="28"/>
          <w:szCs w:val="28"/>
        </w:rPr>
        <w:lastRenderedPageBreak/>
        <w:t>Conclusion</w:t>
      </w:r>
      <w:bookmarkEnd w:id="7"/>
      <w:r w:rsidRPr="00C54D32">
        <w:rPr>
          <w:rFonts w:ascii="Arial" w:hAnsi="Arial" w:cs="Arial"/>
          <w:sz w:val="28"/>
          <w:szCs w:val="28"/>
        </w:rPr>
        <w:t xml:space="preserve"> </w:t>
      </w:r>
    </w:p>
    <w:p w14:paraId="7FEFA22C" w14:textId="77777777" w:rsidR="00C54D32" w:rsidRPr="00C54D32" w:rsidRDefault="00C54D32" w:rsidP="00C54D32"/>
    <w:p w14:paraId="65D48A42" w14:textId="4188CA95" w:rsidR="005960FF" w:rsidRPr="0002509E" w:rsidRDefault="00000000" w:rsidP="0002509E">
      <w:pPr>
        <w:spacing w:line="360" w:lineRule="auto"/>
        <w:jc w:val="both"/>
      </w:pPr>
      <w:r>
        <w:rPr>
          <w:rFonts w:ascii="Arial" w:hAnsi="Arial" w:cs="Arial"/>
        </w:rPr>
        <w:t xml:space="preserve">The </w:t>
      </w:r>
      <w:r>
        <w:rPr>
          <w:rFonts w:ascii="Arial" w:hAnsi="Arial" w:cs="Arial"/>
          <w:b/>
          <w:bCs/>
        </w:rPr>
        <w:t>NHS Federated Data Platform (FDP)</w:t>
      </w:r>
      <w:r>
        <w:rPr>
          <w:rFonts w:ascii="Arial" w:hAnsi="Arial" w:cs="Arial"/>
        </w:rPr>
        <w:t xml:space="preserve"> epitomises the evolving landscape of digital transformation within UK health and social care. As a national initiative designed to unify fragmented data systems, it demonstrates the NHS’s commitment to improving operational efficiency, elective recovery, and long-term system sustainability. The platform’s capacity to enhance workforce planning, service coordination, and data-informed decision-making represents a significant step toward an integrated, intelligent healthcare infrastructure.</w:t>
      </w:r>
    </w:p>
    <w:p w14:paraId="65D48A44" w14:textId="37D08B79" w:rsidR="005960FF" w:rsidRDefault="0002509E" w:rsidP="0002509E">
      <w:pPr>
        <w:spacing w:line="360" w:lineRule="auto"/>
        <w:jc w:val="both"/>
        <w:rPr>
          <w:rFonts w:ascii="Arial" w:hAnsi="Arial" w:cs="Arial"/>
        </w:rPr>
      </w:pPr>
      <w:r>
        <w:rPr>
          <w:rFonts w:ascii="Arial" w:hAnsi="Arial" w:cs="Arial"/>
        </w:rPr>
        <w:t>Yet this innovation is accompanied by substantive challenges. Questions of data governance, ethical stewardship, and financial sustainability remain unresolved, particularly given the involvement of private technology firms and concerns about transparency and accountability. Moreover, disparities in digital access and skill present barriers to equitable benefit across populations.</w:t>
      </w:r>
    </w:p>
    <w:p w14:paraId="65D48A45" w14:textId="77777777" w:rsidR="005960FF" w:rsidRDefault="00000000" w:rsidP="0002509E">
      <w:pPr>
        <w:spacing w:line="360" w:lineRule="auto"/>
        <w:jc w:val="both"/>
        <w:rPr>
          <w:rFonts w:ascii="Arial" w:hAnsi="Arial" w:cs="Arial"/>
        </w:rPr>
      </w:pPr>
      <w:r>
        <w:rPr>
          <w:rFonts w:ascii="Arial" w:hAnsi="Arial" w:cs="Arial"/>
        </w:rPr>
        <w:t>In essence, the FDP is not merely a technological tool but a test of institutional trust, public legitimacy, and ethical leadership within digital health reform. Its ultimate success will depend on how effectively the NHS can balance innovation with integrity—ensuring that enhanced efficiency never comes at the expense of patient rights, workforce empowerment, or the public ethos of healthcare.</w:t>
      </w:r>
    </w:p>
    <w:p w14:paraId="65D48A46" w14:textId="77777777" w:rsidR="005960FF" w:rsidRDefault="005960FF">
      <w:pPr>
        <w:rPr>
          <w:rFonts w:ascii="Arial" w:hAnsi="Arial" w:cs="Arial"/>
        </w:rPr>
      </w:pPr>
    </w:p>
    <w:p w14:paraId="65D48A47" w14:textId="77777777" w:rsidR="005960FF" w:rsidRDefault="005960FF">
      <w:pPr>
        <w:rPr>
          <w:rFonts w:ascii="Arial" w:hAnsi="Arial" w:cs="Arial"/>
        </w:rPr>
      </w:pPr>
    </w:p>
    <w:p w14:paraId="65D48A48" w14:textId="77777777" w:rsidR="005960FF" w:rsidRDefault="005960FF">
      <w:pPr>
        <w:rPr>
          <w:rFonts w:ascii="Arial" w:hAnsi="Arial" w:cs="Arial"/>
        </w:rPr>
      </w:pPr>
    </w:p>
    <w:p w14:paraId="65D48A49" w14:textId="77777777" w:rsidR="005960FF" w:rsidRDefault="005960FF">
      <w:pPr>
        <w:rPr>
          <w:rFonts w:ascii="Arial" w:hAnsi="Arial" w:cs="Arial"/>
        </w:rPr>
      </w:pPr>
    </w:p>
    <w:p w14:paraId="65D48A4A" w14:textId="77777777" w:rsidR="005960FF" w:rsidRDefault="005960FF">
      <w:pPr>
        <w:rPr>
          <w:rFonts w:ascii="Arial" w:hAnsi="Arial" w:cs="Arial"/>
        </w:rPr>
      </w:pPr>
    </w:p>
    <w:p w14:paraId="65D48A4B" w14:textId="77777777" w:rsidR="005960FF" w:rsidRDefault="005960FF">
      <w:pPr>
        <w:rPr>
          <w:rFonts w:ascii="Arial" w:hAnsi="Arial" w:cs="Arial"/>
        </w:rPr>
      </w:pPr>
    </w:p>
    <w:p w14:paraId="65D48A4C" w14:textId="77777777" w:rsidR="005960FF" w:rsidRDefault="005960FF">
      <w:pPr>
        <w:rPr>
          <w:rFonts w:ascii="Arial" w:hAnsi="Arial" w:cs="Arial"/>
        </w:rPr>
      </w:pPr>
    </w:p>
    <w:p w14:paraId="65D48A4D" w14:textId="77777777" w:rsidR="005960FF" w:rsidRDefault="005960FF">
      <w:pPr>
        <w:rPr>
          <w:rFonts w:ascii="Arial" w:hAnsi="Arial" w:cs="Arial"/>
        </w:rPr>
      </w:pPr>
    </w:p>
    <w:p w14:paraId="65D48A4E" w14:textId="77777777" w:rsidR="005960FF" w:rsidRDefault="005960FF">
      <w:pPr>
        <w:rPr>
          <w:rFonts w:ascii="Arial" w:hAnsi="Arial" w:cs="Arial"/>
        </w:rPr>
      </w:pPr>
    </w:p>
    <w:p w14:paraId="65D48A4F" w14:textId="77777777" w:rsidR="005960FF" w:rsidRDefault="005960FF">
      <w:pPr>
        <w:rPr>
          <w:rFonts w:ascii="Arial" w:hAnsi="Arial" w:cs="Arial"/>
        </w:rPr>
      </w:pPr>
    </w:p>
    <w:p w14:paraId="65D48A50" w14:textId="77777777" w:rsidR="005960FF" w:rsidRDefault="005960FF">
      <w:pPr>
        <w:rPr>
          <w:rFonts w:ascii="Arial" w:hAnsi="Arial" w:cs="Arial"/>
        </w:rPr>
      </w:pPr>
    </w:p>
    <w:p w14:paraId="65D48A51" w14:textId="77777777" w:rsidR="005960FF" w:rsidRDefault="005960FF">
      <w:pPr>
        <w:rPr>
          <w:rFonts w:ascii="Arial" w:hAnsi="Arial" w:cs="Arial"/>
        </w:rPr>
      </w:pPr>
    </w:p>
    <w:p w14:paraId="65D48A52" w14:textId="77777777" w:rsidR="005960FF" w:rsidRDefault="005960FF">
      <w:pPr>
        <w:rPr>
          <w:rFonts w:ascii="Arial" w:hAnsi="Arial" w:cs="Arial"/>
        </w:rPr>
      </w:pPr>
    </w:p>
    <w:p w14:paraId="65D48A53" w14:textId="77777777" w:rsidR="005960FF" w:rsidRDefault="005960FF">
      <w:pPr>
        <w:rPr>
          <w:rFonts w:ascii="Arial" w:hAnsi="Arial" w:cs="Arial"/>
        </w:rPr>
      </w:pPr>
    </w:p>
    <w:p w14:paraId="65D48A57" w14:textId="77777777" w:rsidR="005960FF" w:rsidRDefault="005960FF">
      <w:pPr>
        <w:rPr>
          <w:rFonts w:ascii="Arial" w:hAnsi="Arial" w:cs="Arial"/>
        </w:rPr>
      </w:pPr>
    </w:p>
    <w:p w14:paraId="65D48A58" w14:textId="77777777" w:rsidR="005960FF" w:rsidRPr="00C54D32" w:rsidRDefault="00000000" w:rsidP="00C54D32">
      <w:pPr>
        <w:pStyle w:val="Heading1"/>
        <w:rPr>
          <w:rFonts w:ascii="Arial" w:hAnsi="Arial" w:cs="Arial"/>
          <w:sz w:val="28"/>
          <w:szCs w:val="28"/>
        </w:rPr>
      </w:pPr>
      <w:bookmarkStart w:id="8" w:name="_Toc223343426"/>
      <w:r w:rsidRPr="00C54D32">
        <w:rPr>
          <w:rFonts w:ascii="Arial" w:hAnsi="Arial" w:cs="Arial"/>
          <w:sz w:val="28"/>
          <w:szCs w:val="28"/>
        </w:rPr>
        <w:lastRenderedPageBreak/>
        <w:t>References</w:t>
      </w:r>
      <w:bookmarkEnd w:id="8"/>
    </w:p>
    <w:p w14:paraId="65D48A59" w14:textId="77777777" w:rsidR="005960FF" w:rsidRDefault="00000000" w:rsidP="0002509E">
      <w:pPr>
        <w:spacing w:line="360" w:lineRule="auto"/>
        <w:rPr>
          <w:rFonts w:ascii="Arial" w:hAnsi="Arial" w:cs="Arial"/>
        </w:rPr>
      </w:pPr>
      <w:r>
        <w:rPr>
          <w:rFonts w:ascii="Arial" w:hAnsi="Arial" w:cs="Arial"/>
        </w:rPr>
        <w:t>Brown, P. and Calnan, M. (2016) ‘Trust, accountability and healthcare: a critical review’, Sociology of Health &amp; Illness, 38(5), pp. 872–886.</w:t>
      </w:r>
    </w:p>
    <w:p w14:paraId="65D48A5A" w14:textId="77777777" w:rsidR="005960FF" w:rsidRDefault="00000000" w:rsidP="0002509E">
      <w:pPr>
        <w:spacing w:line="360" w:lineRule="auto"/>
        <w:rPr>
          <w:rFonts w:ascii="Arial" w:hAnsi="Arial" w:cs="Arial"/>
        </w:rPr>
      </w:pPr>
      <w:r>
        <w:rPr>
          <w:rFonts w:ascii="Arial" w:hAnsi="Arial" w:cs="Arial"/>
        </w:rPr>
        <w:t>Cambridge University Hospitals NHS Foundation Trust (2026) NHS Federated Data Platform: patient privacy information. Cambridge: Cambridge University Hospitals NHS Foundation Trust.</w:t>
      </w:r>
    </w:p>
    <w:p w14:paraId="65D48A5B" w14:textId="77777777" w:rsidR="005960FF" w:rsidRDefault="00000000" w:rsidP="0002509E">
      <w:pPr>
        <w:spacing w:line="360" w:lineRule="auto"/>
        <w:rPr>
          <w:rFonts w:ascii="Arial" w:hAnsi="Arial" w:cs="Arial"/>
        </w:rPr>
      </w:pPr>
      <w:r>
        <w:rPr>
          <w:rFonts w:ascii="Arial" w:hAnsi="Arial" w:cs="Arial"/>
        </w:rPr>
        <w:t>Department of Health and Social Care (2022) Data saves lives: reshaping health and social care with data. London: Department of Health and Social Care. Available at: https://www.gov.uk/government/publications/data-saves-lives-reshaping-health-and-social-care-with-data (Accessed: 24 February 2026).</w:t>
      </w:r>
    </w:p>
    <w:p w14:paraId="65D48A5C" w14:textId="77777777" w:rsidR="005960FF" w:rsidRDefault="00000000" w:rsidP="0002509E">
      <w:pPr>
        <w:spacing w:line="360" w:lineRule="auto"/>
        <w:rPr>
          <w:rFonts w:ascii="Arial" w:hAnsi="Arial" w:cs="Arial"/>
        </w:rPr>
      </w:pPr>
      <w:r>
        <w:rPr>
          <w:rFonts w:ascii="Arial" w:hAnsi="Arial" w:cs="Arial"/>
        </w:rPr>
        <w:t>Digital Health (2023) ‘NHS England awards £330m Federated Data Platform contract to Palantir’, Digital Health, 20 November. Available at: https://www.digitalhealth.net/2023/11/nhs-england-awards-330m-federated-data-platform-contract-to-palantir/ (Accessed: 24 February 2026).</w:t>
      </w:r>
    </w:p>
    <w:p w14:paraId="65D48A5D" w14:textId="77777777" w:rsidR="005960FF" w:rsidRDefault="00000000" w:rsidP="0002509E">
      <w:pPr>
        <w:spacing w:line="360" w:lineRule="auto"/>
        <w:rPr>
          <w:rFonts w:ascii="Arial" w:hAnsi="Arial" w:cs="Arial"/>
        </w:rPr>
      </w:pPr>
      <w:r>
        <w:rPr>
          <w:rFonts w:ascii="Arial" w:hAnsi="Arial" w:cs="Arial"/>
        </w:rPr>
        <w:t>Foxglove (2023) The NHS’s multi-million pound deal with Palantir: what you need to know. London: Foxglove. Available at: https://www.foxglove.org.uk/2023/11/20/nhs-contract-need-to-know/ (Accessed: 24 February 2026).</w:t>
      </w:r>
    </w:p>
    <w:p w14:paraId="65D48A5E" w14:textId="77777777" w:rsidR="005960FF" w:rsidRDefault="00000000" w:rsidP="0002509E">
      <w:pPr>
        <w:spacing w:line="360" w:lineRule="auto"/>
        <w:rPr>
          <w:rFonts w:ascii="Arial" w:hAnsi="Arial" w:cs="Arial"/>
        </w:rPr>
      </w:pPr>
      <w:r>
        <w:rPr>
          <w:rFonts w:ascii="Arial" w:hAnsi="Arial" w:cs="Arial"/>
        </w:rPr>
        <w:t>Greenhalgh, T., Potts, H.W.W., Wong, G., Bark, P. and Swinglehurst, D. (2011) ‘The rise and fall of England’s National Programme for IT’, Journal of the Royal Society of Medicine, 104(11), pp. 434–440.</w:t>
      </w:r>
    </w:p>
    <w:p w14:paraId="65D48A5F" w14:textId="77777777" w:rsidR="005960FF" w:rsidRDefault="00000000" w:rsidP="0002509E">
      <w:pPr>
        <w:spacing w:line="360" w:lineRule="auto"/>
        <w:rPr>
          <w:rFonts w:ascii="Arial" w:hAnsi="Arial" w:cs="Arial"/>
        </w:rPr>
      </w:pPr>
      <w:r>
        <w:rPr>
          <w:rFonts w:ascii="Arial" w:hAnsi="Arial" w:cs="Arial"/>
        </w:rPr>
        <w:t>King’s Fund, The (2020) Digital inclusion in health and care: learning from the pandemic. London: The King’s Fund.</w:t>
      </w:r>
    </w:p>
    <w:p w14:paraId="65D48A60" w14:textId="77777777" w:rsidR="005960FF" w:rsidRDefault="00000000" w:rsidP="0002509E">
      <w:pPr>
        <w:spacing w:line="360" w:lineRule="auto"/>
        <w:rPr>
          <w:rFonts w:ascii="Arial" w:hAnsi="Arial" w:cs="Arial"/>
        </w:rPr>
      </w:pPr>
      <w:r>
        <w:rPr>
          <w:rFonts w:ascii="Arial" w:hAnsi="Arial" w:cs="Arial"/>
        </w:rPr>
        <w:t>McKinsey &amp; Company (2025) Unleashing the potential of the NHS Federated Data Platform. London: McKinsey &amp; Company.</w:t>
      </w:r>
    </w:p>
    <w:p w14:paraId="65D48A61" w14:textId="77777777" w:rsidR="005960FF" w:rsidRDefault="00000000" w:rsidP="0002509E">
      <w:pPr>
        <w:spacing w:line="360" w:lineRule="auto"/>
        <w:rPr>
          <w:rFonts w:ascii="Arial" w:hAnsi="Arial" w:cs="Arial"/>
        </w:rPr>
      </w:pPr>
      <w:r>
        <w:rPr>
          <w:rFonts w:ascii="Arial" w:hAnsi="Arial" w:cs="Arial"/>
        </w:rPr>
        <w:t>NHS Confederation (2025) Digital transformation in the NHS: a reference guide. London: NHS Confederation.</w:t>
      </w:r>
    </w:p>
    <w:p w14:paraId="65D48A62" w14:textId="77777777" w:rsidR="005960FF" w:rsidRDefault="00000000" w:rsidP="0002509E">
      <w:pPr>
        <w:spacing w:line="360" w:lineRule="auto"/>
        <w:rPr>
          <w:rFonts w:ascii="Arial" w:hAnsi="Arial" w:cs="Arial"/>
        </w:rPr>
      </w:pPr>
      <w:r>
        <w:rPr>
          <w:rFonts w:ascii="Arial" w:hAnsi="Arial" w:cs="Arial"/>
        </w:rPr>
        <w:t>NHS Digital (2020) NHS data and information strategy: harnessing the power of information. Leeds: NHS Digital.</w:t>
      </w:r>
    </w:p>
    <w:p w14:paraId="65D48A63" w14:textId="77777777" w:rsidR="005960FF" w:rsidRDefault="00000000" w:rsidP="0002509E">
      <w:pPr>
        <w:spacing w:line="360" w:lineRule="auto"/>
        <w:rPr>
          <w:rFonts w:ascii="Arial" w:hAnsi="Arial" w:cs="Arial"/>
        </w:rPr>
      </w:pPr>
      <w:r>
        <w:rPr>
          <w:rFonts w:ascii="Arial" w:hAnsi="Arial" w:cs="Arial"/>
        </w:rPr>
        <w:t>NHS England (2019) The NHS Long Term Plan. London: NHS England. Available at: https://www.england.nhs.uk/2019/01/long-term-plan/ (Accessed: 24 February 2026).</w:t>
      </w:r>
    </w:p>
    <w:p w14:paraId="65D48A64" w14:textId="77777777" w:rsidR="005960FF" w:rsidRDefault="00000000" w:rsidP="0002509E">
      <w:pPr>
        <w:spacing w:line="360" w:lineRule="auto"/>
        <w:rPr>
          <w:rFonts w:ascii="Arial" w:hAnsi="Arial" w:cs="Arial"/>
        </w:rPr>
      </w:pPr>
      <w:r>
        <w:rPr>
          <w:rFonts w:ascii="Arial" w:hAnsi="Arial" w:cs="Arial"/>
        </w:rPr>
        <w:t>NHS England (2021) Delivery plan for tackling the COVID-19 backlog of elective care. London: NHS England.</w:t>
      </w:r>
    </w:p>
    <w:p w14:paraId="65D48A65" w14:textId="77777777" w:rsidR="005960FF" w:rsidRDefault="00000000" w:rsidP="0002509E">
      <w:pPr>
        <w:spacing w:line="360" w:lineRule="auto"/>
        <w:rPr>
          <w:rFonts w:ascii="Arial" w:hAnsi="Arial" w:cs="Arial"/>
        </w:rPr>
      </w:pPr>
      <w:r>
        <w:rPr>
          <w:rFonts w:ascii="Arial" w:hAnsi="Arial" w:cs="Arial"/>
        </w:rPr>
        <w:lastRenderedPageBreak/>
        <w:t>NHS England (2022) NHS Federated Data Platform: contract explainer. London: NHS England. Available at: https://www.england.nhs.uk/digitaltechnology/nhs-federated-data-platform/security-privacy/contract-explainer/ (Accessed: 24 February 2026).</w:t>
      </w:r>
    </w:p>
    <w:p w14:paraId="65D48A66" w14:textId="77777777" w:rsidR="005960FF" w:rsidRDefault="00000000" w:rsidP="0002509E">
      <w:pPr>
        <w:spacing w:line="360" w:lineRule="auto"/>
        <w:rPr>
          <w:rFonts w:ascii="Arial" w:hAnsi="Arial" w:cs="Arial"/>
        </w:rPr>
      </w:pPr>
      <w:r>
        <w:rPr>
          <w:rFonts w:ascii="Arial" w:hAnsi="Arial" w:cs="Arial"/>
        </w:rPr>
        <w:t>NHS England (2023) Data saves lives: implementation update. London: NHS England. Available at: https://transform.england.nhs.uk/key-tools-and-info/data-saves-lives/data-saves-lives-implementation-update/ (Accessed: 24 February 2026).</w:t>
      </w:r>
    </w:p>
    <w:p w14:paraId="65D48A68" w14:textId="3959F602" w:rsidR="005960FF" w:rsidRDefault="00000000" w:rsidP="0002509E">
      <w:pPr>
        <w:spacing w:line="360" w:lineRule="auto"/>
        <w:rPr>
          <w:rFonts w:ascii="Arial" w:hAnsi="Arial" w:cs="Arial"/>
        </w:rPr>
      </w:pPr>
      <w:r>
        <w:rPr>
          <w:rFonts w:ascii="Arial" w:hAnsi="Arial" w:cs="Arial"/>
        </w:rPr>
        <w:t>NHS England (2024) Virtual wards: operational framework. London: NHS England.</w:t>
      </w:r>
    </w:p>
    <w:p w14:paraId="65D48A69" w14:textId="77777777" w:rsidR="005960FF" w:rsidRDefault="00000000" w:rsidP="0002509E">
      <w:pPr>
        <w:spacing w:line="360" w:lineRule="auto"/>
        <w:rPr>
          <w:rFonts w:ascii="Arial" w:hAnsi="Arial" w:cs="Arial"/>
        </w:rPr>
      </w:pPr>
      <w:r>
        <w:rPr>
          <w:rFonts w:ascii="Arial" w:hAnsi="Arial" w:cs="Arial"/>
        </w:rPr>
        <w:t>NHS England (2025a) NHS Federated Data Platform: frequently asked questions (FAQs). London: NHS England. Available at: https://www.england.nhs.uk/digitaltechnology/nhs-federated-data-platform/fdp-faqs/ (Accessed: 24 February 2026).</w:t>
      </w:r>
    </w:p>
    <w:p w14:paraId="65D48A6A" w14:textId="77777777" w:rsidR="005960FF" w:rsidRDefault="00000000" w:rsidP="0002509E">
      <w:pPr>
        <w:spacing w:line="360" w:lineRule="auto"/>
        <w:rPr>
          <w:rFonts w:ascii="Arial" w:hAnsi="Arial" w:cs="Arial"/>
        </w:rPr>
      </w:pPr>
      <w:r>
        <w:rPr>
          <w:rFonts w:ascii="Arial" w:hAnsi="Arial" w:cs="Arial"/>
        </w:rPr>
        <w:t>NHS England (2025b) NHS Federated Data Platform explained. London: NHS England.</w:t>
      </w:r>
    </w:p>
    <w:p w14:paraId="65D48A6B" w14:textId="77777777" w:rsidR="005960FF" w:rsidRDefault="00000000" w:rsidP="0002509E">
      <w:pPr>
        <w:spacing w:line="360" w:lineRule="auto"/>
        <w:rPr>
          <w:rFonts w:ascii="Arial" w:hAnsi="Arial" w:cs="Arial"/>
        </w:rPr>
      </w:pPr>
      <w:r>
        <w:rPr>
          <w:rFonts w:ascii="Arial" w:hAnsi="Arial" w:cs="Arial"/>
        </w:rPr>
        <w:t>NHS England (2025c) ‘Measuring the impact: how NHS Federated Data Platform delivers benefits that matter’, NHS England blog, 11 August. Available at: https://www.england.nhs.uk/digitaltechnology/nhs-federated-data-platform/impact/ (Accessed: 24 February 2026).</w:t>
      </w:r>
    </w:p>
    <w:p w14:paraId="65D48A6C" w14:textId="77777777" w:rsidR="005960FF" w:rsidRDefault="00000000" w:rsidP="0002509E">
      <w:pPr>
        <w:spacing w:line="360" w:lineRule="auto"/>
        <w:rPr>
          <w:rFonts w:ascii="Arial" w:hAnsi="Arial" w:cs="Arial"/>
        </w:rPr>
      </w:pPr>
      <w:r>
        <w:rPr>
          <w:rFonts w:ascii="Arial" w:hAnsi="Arial" w:cs="Arial"/>
        </w:rPr>
        <w:t>NHS England (2026) NHS Federated Data Platform: uptake and benefits. London: NHS England. Available at: https://www.england.nhs.uk/digitaltechnology/nhs-federated-data-platform/impact/fdp-uptake-and-benefits/ (Accessed: 24 February 2026).</w:t>
      </w:r>
    </w:p>
    <w:p w14:paraId="65D48A6D" w14:textId="77777777" w:rsidR="005960FF" w:rsidRDefault="00000000" w:rsidP="0002509E">
      <w:pPr>
        <w:spacing w:line="360" w:lineRule="auto"/>
        <w:rPr>
          <w:rFonts w:ascii="Arial" w:hAnsi="Arial" w:cs="Arial"/>
        </w:rPr>
      </w:pPr>
      <w:r>
        <w:rPr>
          <w:rFonts w:ascii="Arial" w:hAnsi="Arial" w:cs="Arial"/>
        </w:rPr>
        <w:t>Public Policy Projects (2025) Maximising the impact of the NHS Federated Data Platform. London: Public Policy Projects.</w:t>
      </w:r>
    </w:p>
    <w:p w14:paraId="65D48A6E" w14:textId="77777777" w:rsidR="005960FF" w:rsidRDefault="00000000" w:rsidP="0002509E">
      <w:pPr>
        <w:spacing w:line="360" w:lineRule="auto"/>
        <w:rPr>
          <w:rFonts w:ascii="Arial" w:hAnsi="Arial" w:cs="Arial"/>
        </w:rPr>
      </w:pPr>
      <w:r>
        <w:rPr>
          <w:rFonts w:ascii="Arial" w:hAnsi="Arial" w:cs="Arial"/>
        </w:rPr>
        <w:t>Understanding Patient Data (2023) Making better use of NHS data: where we’re at with the Federated Data Platform (FDP). London: Understanding Patient Data. Available at: https://understandingpatientdata.org.uk/news/making-better-use-nhs-data-where-were-federated-data-platform-fdp (Accessed: 24 February 2026).</w:t>
      </w:r>
    </w:p>
    <w:p w14:paraId="65D48A6F" w14:textId="77777777" w:rsidR="005960FF" w:rsidRDefault="00000000" w:rsidP="0002509E">
      <w:pPr>
        <w:spacing w:line="360" w:lineRule="auto"/>
      </w:pPr>
      <w:r>
        <w:rPr>
          <w:rFonts w:ascii="Arial" w:hAnsi="Arial" w:cs="Arial"/>
        </w:rPr>
        <w:t>West, M.A. (2022) Compassionate leadership: sustaining wisdom, humanity and presence in health and social care. London: Swan Press.</w:t>
      </w:r>
    </w:p>
    <w:sectPr w:rsidR="005960FF">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9DB0A6" w14:textId="77777777" w:rsidR="00962884" w:rsidRDefault="00962884">
      <w:pPr>
        <w:spacing w:after="0" w:line="240" w:lineRule="auto"/>
      </w:pPr>
      <w:r>
        <w:separator/>
      </w:r>
    </w:p>
  </w:endnote>
  <w:endnote w:type="continuationSeparator" w:id="0">
    <w:p w14:paraId="659AD9AE" w14:textId="77777777" w:rsidR="00962884" w:rsidRDefault="009628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D59B03" w14:textId="77777777" w:rsidR="00962884" w:rsidRDefault="00962884">
      <w:pPr>
        <w:spacing w:after="0" w:line="240" w:lineRule="auto"/>
      </w:pPr>
      <w:r>
        <w:rPr>
          <w:color w:val="000000"/>
        </w:rPr>
        <w:separator/>
      </w:r>
    </w:p>
  </w:footnote>
  <w:footnote w:type="continuationSeparator" w:id="0">
    <w:p w14:paraId="03C44C93" w14:textId="77777777" w:rsidR="00962884" w:rsidRDefault="0096288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60FF"/>
    <w:rsid w:val="00005FA3"/>
    <w:rsid w:val="0002509E"/>
    <w:rsid w:val="00273F3D"/>
    <w:rsid w:val="002E55F4"/>
    <w:rsid w:val="003A0B03"/>
    <w:rsid w:val="005960FF"/>
    <w:rsid w:val="005F29A7"/>
    <w:rsid w:val="00863892"/>
    <w:rsid w:val="0094113D"/>
    <w:rsid w:val="00962884"/>
    <w:rsid w:val="00A12765"/>
    <w:rsid w:val="00C30133"/>
    <w:rsid w:val="00C54D32"/>
    <w:rsid w:val="00D63FEE"/>
    <w:rsid w:val="00DA4C1C"/>
    <w:rsid w:val="00F419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D489B2"/>
  <w15:docId w15:val="{33C40A9A-E176-4B92-9A9E-F1B909024E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sz w:val="22"/>
        <w:szCs w:val="22"/>
        <w:lang w:val="en-GB" w:eastAsia="en-US"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kern w:val="3"/>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character" w:styleId="Hyperlink">
    <w:name w:val="Hyperlink"/>
    <w:basedOn w:val="DefaultParagraphFont"/>
    <w:uiPriority w:val="99"/>
    <w:rPr>
      <w:color w:val="467886"/>
      <w:u w:val="single"/>
    </w:rPr>
  </w:style>
  <w:style w:type="character" w:styleId="UnresolvedMention">
    <w:name w:val="Unresolved Mention"/>
    <w:basedOn w:val="DefaultParagraphFont"/>
    <w:rPr>
      <w:color w:val="605E5C"/>
      <w:shd w:val="clear" w:color="auto" w:fill="E1DFDD"/>
    </w:rPr>
  </w:style>
  <w:style w:type="paragraph" w:styleId="TOCHeading">
    <w:name w:val="TOC Heading"/>
    <w:basedOn w:val="Heading1"/>
    <w:next w:val="Normal"/>
    <w:uiPriority w:val="39"/>
    <w:unhideWhenUsed/>
    <w:qFormat/>
    <w:rsid w:val="00C54D32"/>
    <w:pPr>
      <w:suppressAutoHyphens w:val="0"/>
      <w:autoSpaceDN/>
      <w:spacing w:before="240" w:after="0" w:line="259" w:lineRule="auto"/>
      <w:outlineLvl w:val="9"/>
    </w:pPr>
    <w:rPr>
      <w:rFonts w:asciiTheme="majorHAnsi" w:eastAsiaTheme="majorEastAsia" w:hAnsiTheme="majorHAnsi" w:cstheme="majorBidi"/>
      <w:color w:val="0F4761" w:themeColor="accent1" w:themeShade="BF"/>
      <w:sz w:val="32"/>
      <w:szCs w:val="32"/>
      <w:lang w:val="en-US"/>
    </w:rPr>
  </w:style>
  <w:style w:type="paragraph" w:styleId="TOC1">
    <w:name w:val="toc 1"/>
    <w:basedOn w:val="Normal"/>
    <w:next w:val="Normal"/>
    <w:autoRedefine/>
    <w:uiPriority w:val="39"/>
    <w:unhideWhenUsed/>
    <w:rsid w:val="00C54D32"/>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D9E981-6798-4AEC-84C3-8B08426E99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8485</TotalTime>
  <Pages>13</Pages>
  <Words>4227</Words>
  <Characters>24097</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Carla Almada Cardoso (1818222)</dc:creator>
  <cp:keywords/>
  <dc:description/>
  <cp:lastModifiedBy>Carla Almada Cardoso (1818222)</cp:lastModifiedBy>
  <cp:revision>1</cp:revision>
  <dcterms:created xsi:type="dcterms:W3CDTF">2026-03-02T11:30:00Z</dcterms:created>
  <dcterms:modified xsi:type="dcterms:W3CDTF">2026-03-17T17:10:00Z</dcterms:modified>
</cp:coreProperties>
</file>