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387859" w14:textId="4D388AAB" w:rsidR="00746FBA" w:rsidRPr="005E1213" w:rsidRDefault="00746FBA" w:rsidP="00746FBA">
      <w:pPr>
        <w:jc w:val="center"/>
        <w:rPr>
          <w:rFonts w:ascii="Arial" w:hAnsi="Arial" w:cs="Arial"/>
          <w:b/>
          <w:bCs/>
          <w:sz w:val="40"/>
          <w:szCs w:val="40"/>
        </w:rPr>
      </w:pPr>
      <w:r w:rsidRPr="005E1213">
        <w:rPr>
          <w:rFonts w:ascii="Arial" w:hAnsi="Arial" w:cs="Arial"/>
          <w:noProof/>
        </w:rPr>
        <w:drawing>
          <wp:inline distT="0" distB="0" distL="0" distR="0" wp14:anchorId="597DF8BE" wp14:editId="50BC7DE5">
            <wp:extent cx="4738255" cy="1895302"/>
            <wp:effectExtent l="0" t="0" r="571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751468" cy="1900587"/>
                    </a:xfrm>
                    <a:prstGeom prst="rect">
                      <a:avLst/>
                    </a:prstGeom>
                    <a:noFill/>
                  </pic:spPr>
                </pic:pic>
              </a:graphicData>
            </a:graphic>
          </wp:inline>
        </w:drawing>
      </w:r>
    </w:p>
    <w:p w14:paraId="446DDA01" w14:textId="77777777" w:rsidR="00746FBA" w:rsidRPr="005E1213" w:rsidRDefault="00746FBA" w:rsidP="00746FBA">
      <w:pPr>
        <w:jc w:val="center"/>
        <w:rPr>
          <w:rFonts w:ascii="Arial" w:hAnsi="Arial" w:cs="Arial"/>
          <w:b/>
          <w:bCs/>
          <w:sz w:val="40"/>
          <w:szCs w:val="40"/>
        </w:rPr>
      </w:pPr>
    </w:p>
    <w:p w14:paraId="455132E0" w14:textId="77777777" w:rsidR="00746FBA" w:rsidRPr="005E1213" w:rsidRDefault="00746FBA" w:rsidP="00746FBA">
      <w:pPr>
        <w:spacing w:after="0"/>
        <w:jc w:val="center"/>
        <w:rPr>
          <w:rFonts w:ascii="Arial" w:hAnsi="Arial" w:cs="Arial"/>
          <w:b/>
          <w:bCs/>
          <w:sz w:val="40"/>
          <w:szCs w:val="40"/>
        </w:rPr>
      </w:pPr>
      <w:r w:rsidRPr="005E1213">
        <w:rPr>
          <w:rFonts w:ascii="Arial" w:hAnsi="Arial" w:cs="Arial"/>
          <w:b/>
          <w:bCs/>
          <w:sz w:val="40"/>
          <w:szCs w:val="40"/>
        </w:rPr>
        <w:t xml:space="preserve">Course Title: </w:t>
      </w:r>
      <w:r w:rsidRPr="005E1213">
        <w:rPr>
          <w:rFonts w:ascii="Arial" w:hAnsi="Arial" w:cs="Arial"/>
          <w:sz w:val="40"/>
          <w:szCs w:val="40"/>
        </w:rPr>
        <w:t>MBA - International Business</w:t>
      </w:r>
    </w:p>
    <w:p w14:paraId="5719A566" w14:textId="77777777" w:rsidR="00746FBA" w:rsidRPr="005E1213" w:rsidRDefault="00746FBA" w:rsidP="00746FBA">
      <w:pPr>
        <w:spacing w:after="0"/>
        <w:jc w:val="center"/>
        <w:rPr>
          <w:rFonts w:ascii="Arial" w:hAnsi="Arial" w:cs="Arial"/>
          <w:b/>
          <w:bCs/>
          <w:sz w:val="40"/>
          <w:szCs w:val="40"/>
        </w:rPr>
      </w:pPr>
      <w:r w:rsidRPr="005E1213">
        <w:rPr>
          <w:rFonts w:ascii="Arial" w:hAnsi="Arial" w:cs="Arial"/>
          <w:b/>
          <w:bCs/>
          <w:sz w:val="40"/>
          <w:szCs w:val="40"/>
        </w:rPr>
        <w:t xml:space="preserve">Term </w:t>
      </w:r>
      <w:r w:rsidRPr="005E1213">
        <w:rPr>
          <w:rFonts w:ascii="Arial" w:hAnsi="Arial" w:cs="Arial"/>
          <w:sz w:val="40"/>
          <w:szCs w:val="40"/>
        </w:rPr>
        <w:t xml:space="preserve">2, </w:t>
      </w:r>
      <w:r w:rsidRPr="005E1213">
        <w:rPr>
          <w:rFonts w:ascii="Arial" w:hAnsi="Arial" w:cs="Arial"/>
          <w:b/>
          <w:bCs/>
          <w:sz w:val="40"/>
          <w:szCs w:val="40"/>
        </w:rPr>
        <w:t>Group</w:t>
      </w:r>
      <w:r w:rsidRPr="005E1213">
        <w:rPr>
          <w:rFonts w:ascii="Arial" w:hAnsi="Arial" w:cs="Arial"/>
          <w:sz w:val="40"/>
          <w:szCs w:val="40"/>
        </w:rPr>
        <w:t xml:space="preserve"> 1</w:t>
      </w:r>
    </w:p>
    <w:p w14:paraId="0DEB14B9" w14:textId="77777777" w:rsidR="00746FBA" w:rsidRPr="005E1213" w:rsidRDefault="00746FBA" w:rsidP="00746FBA">
      <w:pPr>
        <w:jc w:val="center"/>
        <w:rPr>
          <w:rFonts w:ascii="Arial" w:hAnsi="Arial" w:cs="Arial"/>
          <w:b/>
          <w:bCs/>
          <w:sz w:val="40"/>
          <w:szCs w:val="40"/>
        </w:rPr>
      </w:pPr>
    </w:p>
    <w:p w14:paraId="0E86A872" w14:textId="77777777" w:rsidR="00746FBA" w:rsidRPr="005E1213" w:rsidRDefault="00746FBA" w:rsidP="00746FBA">
      <w:pPr>
        <w:jc w:val="center"/>
        <w:rPr>
          <w:rFonts w:ascii="Arial" w:hAnsi="Arial" w:cs="Arial"/>
          <w:b/>
          <w:bCs/>
          <w:sz w:val="40"/>
          <w:szCs w:val="40"/>
        </w:rPr>
      </w:pPr>
    </w:p>
    <w:p w14:paraId="5EF8C978" w14:textId="77777777" w:rsidR="00746FBA" w:rsidRPr="005E1213" w:rsidRDefault="00746FBA" w:rsidP="00746FBA">
      <w:pPr>
        <w:spacing w:after="0"/>
        <w:jc w:val="center"/>
        <w:rPr>
          <w:rFonts w:ascii="Arial" w:hAnsi="Arial" w:cs="Arial"/>
          <w:b/>
          <w:bCs/>
          <w:sz w:val="40"/>
          <w:szCs w:val="40"/>
        </w:rPr>
      </w:pPr>
      <w:r w:rsidRPr="005E1213">
        <w:rPr>
          <w:rFonts w:ascii="Arial" w:hAnsi="Arial" w:cs="Arial"/>
          <w:b/>
          <w:bCs/>
          <w:sz w:val="40"/>
          <w:szCs w:val="40"/>
        </w:rPr>
        <w:t xml:space="preserve">Module Name: </w:t>
      </w:r>
      <w:r w:rsidRPr="005E1213">
        <w:rPr>
          <w:rFonts w:ascii="Arial" w:hAnsi="Arial" w:cs="Arial"/>
          <w:sz w:val="40"/>
          <w:szCs w:val="40"/>
        </w:rPr>
        <w:t>International Business Concepts</w:t>
      </w:r>
    </w:p>
    <w:p w14:paraId="0955F94F" w14:textId="77777777" w:rsidR="00746FBA" w:rsidRPr="005E1213" w:rsidRDefault="00746FBA" w:rsidP="00746FBA">
      <w:pPr>
        <w:spacing w:after="0"/>
        <w:jc w:val="center"/>
        <w:rPr>
          <w:rFonts w:ascii="Arial" w:hAnsi="Arial" w:cs="Arial"/>
          <w:sz w:val="40"/>
          <w:szCs w:val="40"/>
        </w:rPr>
      </w:pPr>
      <w:r w:rsidRPr="005E1213">
        <w:rPr>
          <w:rFonts w:ascii="Arial" w:hAnsi="Arial" w:cs="Arial"/>
          <w:b/>
          <w:bCs/>
          <w:sz w:val="40"/>
          <w:szCs w:val="40"/>
        </w:rPr>
        <w:t xml:space="preserve">Module Code: </w:t>
      </w:r>
      <w:r w:rsidRPr="005E1213">
        <w:rPr>
          <w:rFonts w:ascii="Arial" w:hAnsi="Arial" w:cs="Arial"/>
          <w:sz w:val="40"/>
          <w:szCs w:val="40"/>
        </w:rPr>
        <w:t>LCMB7034</w:t>
      </w:r>
    </w:p>
    <w:p w14:paraId="4249F0B7" w14:textId="77777777" w:rsidR="00746FBA" w:rsidRPr="005E1213" w:rsidRDefault="00746FBA" w:rsidP="00746FBA">
      <w:pPr>
        <w:jc w:val="center"/>
        <w:rPr>
          <w:rFonts w:ascii="Arial" w:hAnsi="Arial" w:cs="Arial"/>
          <w:sz w:val="40"/>
          <w:szCs w:val="40"/>
        </w:rPr>
      </w:pPr>
    </w:p>
    <w:p w14:paraId="29A46BFB" w14:textId="77777777" w:rsidR="00746FBA" w:rsidRPr="005E1213" w:rsidRDefault="00746FBA" w:rsidP="00746FBA">
      <w:pPr>
        <w:jc w:val="center"/>
        <w:rPr>
          <w:rFonts w:ascii="Arial" w:hAnsi="Arial" w:cs="Arial"/>
          <w:sz w:val="40"/>
          <w:szCs w:val="40"/>
        </w:rPr>
      </w:pPr>
    </w:p>
    <w:p w14:paraId="23CF4B4F" w14:textId="77777777" w:rsidR="00746FBA" w:rsidRPr="005E1213" w:rsidRDefault="00746FBA" w:rsidP="00746FBA">
      <w:pPr>
        <w:spacing w:after="0"/>
        <w:jc w:val="center"/>
        <w:rPr>
          <w:rFonts w:ascii="Arial" w:hAnsi="Arial" w:cs="Arial"/>
          <w:b/>
          <w:bCs/>
          <w:sz w:val="40"/>
          <w:szCs w:val="40"/>
        </w:rPr>
      </w:pPr>
      <w:r w:rsidRPr="005E1213">
        <w:rPr>
          <w:rFonts w:ascii="Arial" w:hAnsi="Arial" w:cs="Arial"/>
          <w:b/>
          <w:bCs/>
          <w:sz w:val="40"/>
          <w:szCs w:val="40"/>
        </w:rPr>
        <w:t xml:space="preserve">Student Name: </w:t>
      </w:r>
      <w:r w:rsidRPr="005E1213">
        <w:rPr>
          <w:rFonts w:ascii="Arial" w:hAnsi="Arial" w:cs="Arial"/>
          <w:sz w:val="40"/>
          <w:szCs w:val="40"/>
        </w:rPr>
        <w:t>Hitarth</w:t>
      </w:r>
      <w:r w:rsidRPr="005E1213">
        <w:rPr>
          <w:rFonts w:ascii="Arial" w:hAnsi="Arial" w:cs="Arial"/>
          <w:b/>
          <w:bCs/>
          <w:sz w:val="40"/>
          <w:szCs w:val="40"/>
        </w:rPr>
        <w:t xml:space="preserve"> </w:t>
      </w:r>
      <w:r w:rsidRPr="005E1213">
        <w:rPr>
          <w:rFonts w:ascii="Arial" w:hAnsi="Arial" w:cs="Arial"/>
          <w:sz w:val="40"/>
          <w:szCs w:val="40"/>
        </w:rPr>
        <w:t>Girishbhai</w:t>
      </w:r>
      <w:r w:rsidRPr="005E1213">
        <w:rPr>
          <w:rFonts w:ascii="Arial" w:hAnsi="Arial" w:cs="Arial"/>
          <w:b/>
          <w:bCs/>
          <w:sz w:val="40"/>
          <w:szCs w:val="40"/>
        </w:rPr>
        <w:t xml:space="preserve"> </w:t>
      </w:r>
      <w:r w:rsidRPr="005E1213">
        <w:rPr>
          <w:rFonts w:ascii="Arial" w:hAnsi="Arial" w:cs="Arial"/>
          <w:sz w:val="40"/>
          <w:szCs w:val="40"/>
        </w:rPr>
        <w:t>Sorathiya</w:t>
      </w:r>
    </w:p>
    <w:p w14:paraId="6288E858" w14:textId="77777777" w:rsidR="00746FBA" w:rsidRPr="005E1213" w:rsidRDefault="00746FBA" w:rsidP="00746FBA">
      <w:pPr>
        <w:spacing w:after="0"/>
        <w:jc w:val="center"/>
        <w:rPr>
          <w:rFonts w:ascii="Arial" w:hAnsi="Arial" w:cs="Arial"/>
          <w:sz w:val="40"/>
          <w:szCs w:val="40"/>
        </w:rPr>
      </w:pPr>
      <w:r w:rsidRPr="005E1213">
        <w:rPr>
          <w:rFonts w:ascii="Arial" w:hAnsi="Arial" w:cs="Arial"/>
          <w:b/>
          <w:bCs/>
          <w:sz w:val="40"/>
          <w:szCs w:val="40"/>
        </w:rPr>
        <w:t xml:space="preserve">Student ID: </w:t>
      </w:r>
      <w:r w:rsidRPr="005E1213">
        <w:rPr>
          <w:rFonts w:ascii="Arial" w:hAnsi="Arial" w:cs="Arial"/>
          <w:sz w:val="40"/>
          <w:szCs w:val="40"/>
        </w:rPr>
        <w:t>2506577</w:t>
      </w:r>
    </w:p>
    <w:p w14:paraId="39465F38" w14:textId="77777777" w:rsidR="00746FBA" w:rsidRPr="005E1213" w:rsidRDefault="00746FBA" w:rsidP="00746FBA">
      <w:pPr>
        <w:jc w:val="center"/>
        <w:rPr>
          <w:rFonts w:ascii="Arial" w:hAnsi="Arial" w:cs="Arial"/>
          <w:sz w:val="40"/>
          <w:szCs w:val="40"/>
        </w:rPr>
      </w:pPr>
    </w:p>
    <w:p w14:paraId="5BBFCCB8" w14:textId="77777777" w:rsidR="00746FBA" w:rsidRPr="005E1213" w:rsidRDefault="00746FBA" w:rsidP="00746FBA">
      <w:pPr>
        <w:jc w:val="center"/>
        <w:rPr>
          <w:rFonts w:ascii="Arial" w:hAnsi="Arial" w:cs="Arial"/>
          <w:sz w:val="40"/>
          <w:szCs w:val="40"/>
        </w:rPr>
      </w:pPr>
    </w:p>
    <w:p w14:paraId="681DA5D4" w14:textId="77777777" w:rsidR="00746FBA" w:rsidRPr="005E1213" w:rsidRDefault="00746FBA" w:rsidP="00746FBA">
      <w:pPr>
        <w:spacing w:after="0"/>
        <w:jc w:val="center"/>
        <w:rPr>
          <w:rFonts w:ascii="Arial" w:hAnsi="Arial" w:cs="Arial"/>
          <w:sz w:val="40"/>
          <w:szCs w:val="40"/>
        </w:rPr>
      </w:pPr>
      <w:r w:rsidRPr="005E1213">
        <w:rPr>
          <w:rFonts w:ascii="Arial" w:hAnsi="Arial" w:cs="Arial"/>
          <w:b/>
          <w:bCs/>
          <w:sz w:val="40"/>
          <w:szCs w:val="40"/>
        </w:rPr>
        <w:t xml:space="preserve">Lecturer’s Name: </w:t>
      </w:r>
      <w:r w:rsidRPr="005E1213">
        <w:rPr>
          <w:rFonts w:ascii="Arial" w:hAnsi="Arial" w:cs="Arial"/>
          <w:sz w:val="40"/>
          <w:szCs w:val="40"/>
        </w:rPr>
        <w:t>Dr. Akshay Narayanan</w:t>
      </w:r>
    </w:p>
    <w:p w14:paraId="650B5B04" w14:textId="77777777" w:rsidR="00A550AA" w:rsidRPr="005E1213" w:rsidRDefault="00A550AA" w:rsidP="00746FBA">
      <w:pPr>
        <w:spacing w:after="0"/>
        <w:jc w:val="center"/>
        <w:rPr>
          <w:rFonts w:ascii="Arial" w:hAnsi="Arial" w:cs="Arial"/>
          <w:sz w:val="40"/>
          <w:szCs w:val="40"/>
        </w:rPr>
      </w:pPr>
    </w:p>
    <w:p w14:paraId="0EE37DDB" w14:textId="77777777" w:rsidR="00A550AA" w:rsidRPr="005E1213" w:rsidRDefault="00A550AA" w:rsidP="00746FBA">
      <w:pPr>
        <w:spacing w:after="0"/>
        <w:jc w:val="center"/>
        <w:rPr>
          <w:rFonts w:ascii="Arial" w:hAnsi="Arial" w:cs="Arial"/>
          <w:sz w:val="40"/>
          <w:szCs w:val="40"/>
        </w:rPr>
      </w:pPr>
    </w:p>
    <w:p w14:paraId="247D9275" w14:textId="77777777" w:rsidR="00A550AA" w:rsidRPr="005E1213" w:rsidRDefault="00A550AA" w:rsidP="00746FBA">
      <w:pPr>
        <w:spacing w:after="0"/>
        <w:jc w:val="center"/>
        <w:rPr>
          <w:rFonts w:ascii="Arial" w:hAnsi="Arial" w:cs="Arial"/>
          <w:sz w:val="40"/>
          <w:szCs w:val="40"/>
        </w:rPr>
      </w:pPr>
    </w:p>
    <w:p w14:paraId="40D2007C" w14:textId="77777777" w:rsidR="00A550AA" w:rsidRDefault="00A550AA" w:rsidP="00746FBA">
      <w:pPr>
        <w:spacing w:after="0"/>
        <w:jc w:val="center"/>
        <w:rPr>
          <w:rFonts w:ascii="Arial" w:hAnsi="Arial" w:cs="Arial"/>
          <w:sz w:val="40"/>
          <w:szCs w:val="40"/>
        </w:rPr>
      </w:pPr>
    </w:p>
    <w:p w14:paraId="595BF9AC" w14:textId="77777777" w:rsidR="00821E94" w:rsidRPr="005E1213" w:rsidRDefault="00821E94" w:rsidP="00746FBA">
      <w:pPr>
        <w:spacing w:after="0"/>
        <w:jc w:val="center"/>
        <w:rPr>
          <w:rFonts w:ascii="Arial" w:hAnsi="Arial" w:cs="Arial"/>
          <w:sz w:val="40"/>
          <w:szCs w:val="40"/>
        </w:rPr>
      </w:pPr>
    </w:p>
    <w:p w14:paraId="60818F97" w14:textId="77777777" w:rsidR="00A550AA" w:rsidRPr="00474064" w:rsidRDefault="00A550AA" w:rsidP="00A550AA">
      <w:pPr>
        <w:jc w:val="center"/>
        <w:rPr>
          <w:rFonts w:ascii="Arial" w:hAnsi="Arial" w:cs="Arial"/>
          <w:b/>
          <w:sz w:val="32"/>
          <w:szCs w:val="32"/>
          <w:lang w:val="en-IN"/>
        </w:rPr>
      </w:pPr>
      <w:r w:rsidRPr="00474064">
        <w:rPr>
          <w:rFonts w:ascii="Arial" w:hAnsi="Arial" w:cs="Arial"/>
          <w:b/>
          <w:sz w:val="32"/>
          <w:szCs w:val="32"/>
          <w:lang w:val="en-IN"/>
        </w:rPr>
        <w:lastRenderedPageBreak/>
        <w:t>Title – Analysis of Marriott internationals hotel in UAE</w:t>
      </w:r>
    </w:p>
    <w:p w14:paraId="0C42DBB3" w14:textId="546FA0F0" w:rsidR="00474064" w:rsidRPr="00474064" w:rsidRDefault="00474064" w:rsidP="00474064">
      <w:pPr>
        <w:rPr>
          <w:rFonts w:ascii="Arial" w:hAnsi="Arial" w:cs="Arial"/>
          <w:b/>
          <w:sz w:val="24"/>
          <w:szCs w:val="24"/>
          <w:lang w:val="en-IN"/>
        </w:rPr>
      </w:pPr>
    </w:p>
    <w:sdt>
      <w:sdtPr>
        <w:rPr>
          <w:rFonts w:ascii="Arial" w:hAnsi="Arial" w:cs="Arial"/>
          <w:sz w:val="24"/>
          <w:szCs w:val="24"/>
          <w:lang w:val="en-IN"/>
        </w:rPr>
        <w:id w:val="1522507139"/>
        <w:docPartObj>
          <w:docPartGallery w:val="Table of Contents"/>
          <w:docPartUnique/>
        </w:docPartObj>
      </w:sdtPr>
      <w:sdtContent>
        <w:p w14:paraId="7BF32499" w14:textId="77777777" w:rsidR="00474064" w:rsidRPr="00474064" w:rsidRDefault="00474064" w:rsidP="00474064">
          <w:pPr>
            <w:rPr>
              <w:rFonts w:ascii="Arial" w:hAnsi="Arial" w:cs="Arial"/>
              <w:b/>
              <w:sz w:val="24"/>
              <w:szCs w:val="24"/>
              <w:lang w:val="en-US"/>
            </w:rPr>
          </w:pPr>
          <w:r w:rsidRPr="00474064">
            <w:rPr>
              <w:rFonts w:ascii="Arial" w:hAnsi="Arial" w:cs="Arial"/>
              <w:b/>
              <w:sz w:val="24"/>
              <w:szCs w:val="24"/>
              <w:lang w:val="en-US"/>
            </w:rPr>
            <w:t>Table of Contents</w:t>
          </w:r>
        </w:p>
        <w:p w14:paraId="4E567FE7" w14:textId="2C940CAA" w:rsidR="00D23C3F" w:rsidRDefault="00474064">
          <w:pPr>
            <w:pStyle w:val="TOC1"/>
            <w:tabs>
              <w:tab w:val="right" w:leader="dot" w:pos="9016"/>
            </w:tabs>
            <w:rPr>
              <w:rFonts w:eastAsiaTheme="minorEastAsia"/>
              <w:noProof/>
              <w:sz w:val="24"/>
              <w:szCs w:val="24"/>
              <w:lang w:eastAsia="en-GB" w:bidi="ar-SA"/>
            </w:rPr>
          </w:pPr>
          <w:r w:rsidRPr="00474064">
            <w:rPr>
              <w:rFonts w:ascii="Arial" w:hAnsi="Arial" w:cs="Arial"/>
              <w:sz w:val="24"/>
              <w:szCs w:val="24"/>
              <w:lang w:val="en-IN"/>
            </w:rPr>
            <w:fldChar w:fldCharType="begin"/>
          </w:r>
          <w:r w:rsidRPr="00474064">
            <w:rPr>
              <w:rFonts w:ascii="Arial" w:hAnsi="Arial" w:cs="Arial"/>
              <w:sz w:val="24"/>
              <w:szCs w:val="24"/>
              <w:lang w:val="en-IN"/>
            </w:rPr>
            <w:instrText xml:space="preserve"> TOC \o "1-3" \h \z \u </w:instrText>
          </w:r>
          <w:r w:rsidRPr="00474064">
            <w:rPr>
              <w:rFonts w:ascii="Arial" w:hAnsi="Arial" w:cs="Arial"/>
              <w:sz w:val="24"/>
              <w:szCs w:val="24"/>
              <w:lang w:val="en-IN"/>
            </w:rPr>
            <w:fldChar w:fldCharType="separate"/>
          </w:r>
          <w:hyperlink w:anchor="_Toc227661393" w:history="1">
            <w:r w:rsidR="00D23C3F" w:rsidRPr="000C29E8">
              <w:rPr>
                <w:rStyle w:val="Hyperlink"/>
                <w:rFonts w:ascii="Arial" w:hAnsi="Arial" w:cs="Arial"/>
                <w:noProof/>
                <w:lang w:val="en-IN"/>
              </w:rPr>
              <w:t>1. Introduction</w:t>
            </w:r>
            <w:r w:rsidR="00D23C3F">
              <w:rPr>
                <w:noProof/>
                <w:webHidden/>
              </w:rPr>
              <w:tab/>
            </w:r>
            <w:r w:rsidR="00D23C3F">
              <w:rPr>
                <w:noProof/>
                <w:webHidden/>
              </w:rPr>
              <w:fldChar w:fldCharType="begin"/>
            </w:r>
            <w:r w:rsidR="00D23C3F">
              <w:rPr>
                <w:noProof/>
                <w:webHidden/>
              </w:rPr>
              <w:instrText xml:space="preserve"> PAGEREF _Toc227661393 \h </w:instrText>
            </w:r>
            <w:r w:rsidR="00D23C3F">
              <w:rPr>
                <w:noProof/>
                <w:webHidden/>
              </w:rPr>
            </w:r>
            <w:r w:rsidR="00D23C3F">
              <w:rPr>
                <w:noProof/>
                <w:webHidden/>
              </w:rPr>
              <w:fldChar w:fldCharType="separate"/>
            </w:r>
            <w:r w:rsidR="00D23C3F">
              <w:rPr>
                <w:noProof/>
                <w:webHidden/>
              </w:rPr>
              <w:t>3</w:t>
            </w:r>
            <w:r w:rsidR="00D23C3F">
              <w:rPr>
                <w:noProof/>
                <w:webHidden/>
              </w:rPr>
              <w:fldChar w:fldCharType="end"/>
            </w:r>
          </w:hyperlink>
        </w:p>
        <w:p w14:paraId="6775AFBC" w14:textId="657C004B" w:rsidR="00D23C3F" w:rsidRDefault="00D23C3F">
          <w:pPr>
            <w:pStyle w:val="TOC1"/>
            <w:tabs>
              <w:tab w:val="right" w:leader="dot" w:pos="9016"/>
            </w:tabs>
            <w:rPr>
              <w:rFonts w:eastAsiaTheme="minorEastAsia"/>
              <w:noProof/>
              <w:sz w:val="24"/>
              <w:szCs w:val="24"/>
              <w:lang w:eastAsia="en-GB" w:bidi="ar-SA"/>
            </w:rPr>
          </w:pPr>
          <w:hyperlink w:anchor="_Toc227661394" w:history="1">
            <w:r w:rsidRPr="000C29E8">
              <w:rPr>
                <w:rStyle w:val="Hyperlink"/>
                <w:rFonts w:ascii="Arial" w:hAnsi="Arial" w:cs="Arial"/>
                <w:noProof/>
              </w:rPr>
              <w:t>2. Industry and country overview</w:t>
            </w:r>
            <w:r>
              <w:rPr>
                <w:noProof/>
                <w:webHidden/>
              </w:rPr>
              <w:tab/>
            </w:r>
            <w:r>
              <w:rPr>
                <w:noProof/>
                <w:webHidden/>
              </w:rPr>
              <w:fldChar w:fldCharType="begin"/>
            </w:r>
            <w:r>
              <w:rPr>
                <w:noProof/>
                <w:webHidden/>
              </w:rPr>
              <w:instrText xml:space="preserve"> PAGEREF _Toc227661394 \h </w:instrText>
            </w:r>
            <w:r>
              <w:rPr>
                <w:noProof/>
                <w:webHidden/>
              </w:rPr>
            </w:r>
            <w:r>
              <w:rPr>
                <w:noProof/>
                <w:webHidden/>
              </w:rPr>
              <w:fldChar w:fldCharType="separate"/>
            </w:r>
            <w:r>
              <w:rPr>
                <w:noProof/>
                <w:webHidden/>
              </w:rPr>
              <w:t>3</w:t>
            </w:r>
            <w:r>
              <w:rPr>
                <w:noProof/>
                <w:webHidden/>
              </w:rPr>
              <w:fldChar w:fldCharType="end"/>
            </w:r>
          </w:hyperlink>
        </w:p>
        <w:p w14:paraId="28E3B1F0" w14:textId="41E9A967" w:rsidR="00D23C3F" w:rsidRDefault="00D23C3F">
          <w:pPr>
            <w:pStyle w:val="TOC2"/>
            <w:tabs>
              <w:tab w:val="right" w:leader="dot" w:pos="9016"/>
            </w:tabs>
            <w:rPr>
              <w:rFonts w:eastAsiaTheme="minorEastAsia"/>
              <w:noProof/>
              <w:sz w:val="24"/>
              <w:szCs w:val="24"/>
              <w:lang w:eastAsia="en-GB" w:bidi="ar-SA"/>
            </w:rPr>
          </w:pPr>
          <w:hyperlink w:anchor="_Toc227661395" w:history="1">
            <w:r w:rsidRPr="000C29E8">
              <w:rPr>
                <w:rStyle w:val="Hyperlink"/>
                <w:rFonts w:ascii="Arial" w:hAnsi="Arial" w:cs="Arial"/>
                <w:noProof/>
                <w:lang w:val="en-IN"/>
              </w:rPr>
              <w:t>2.1 Introduction to the hospitality industry in the UAE</w:t>
            </w:r>
            <w:r>
              <w:rPr>
                <w:noProof/>
                <w:webHidden/>
              </w:rPr>
              <w:tab/>
            </w:r>
            <w:r>
              <w:rPr>
                <w:noProof/>
                <w:webHidden/>
              </w:rPr>
              <w:fldChar w:fldCharType="begin"/>
            </w:r>
            <w:r>
              <w:rPr>
                <w:noProof/>
                <w:webHidden/>
              </w:rPr>
              <w:instrText xml:space="preserve"> PAGEREF _Toc227661395 \h </w:instrText>
            </w:r>
            <w:r>
              <w:rPr>
                <w:noProof/>
                <w:webHidden/>
              </w:rPr>
            </w:r>
            <w:r>
              <w:rPr>
                <w:noProof/>
                <w:webHidden/>
              </w:rPr>
              <w:fldChar w:fldCharType="separate"/>
            </w:r>
            <w:r>
              <w:rPr>
                <w:noProof/>
                <w:webHidden/>
              </w:rPr>
              <w:t>4</w:t>
            </w:r>
            <w:r>
              <w:rPr>
                <w:noProof/>
                <w:webHidden/>
              </w:rPr>
              <w:fldChar w:fldCharType="end"/>
            </w:r>
          </w:hyperlink>
        </w:p>
        <w:p w14:paraId="422E1A94" w14:textId="0239D6F6" w:rsidR="00D23C3F" w:rsidRDefault="00D23C3F">
          <w:pPr>
            <w:pStyle w:val="TOC2"/>
            <w:tabs>
              <w:tab w:val="right" w:leader="dot" w:pos="9016"/>
            </w:tabs>
            <w:rPr>
              <w:rFonts w:eastAsiaTheme="minorEastAsia"/>
              <w:noProof/>
              <w:sz w:val="24"/>
              <w:szCs w:val="24"/>
              <w:lang w:eastAsia="en-GB" w:bidi="ar-SA"/>
            </w:rPr>
          </w:pPr>
          <w:hyperlink w:anchor="_Toc227661396" w:history="1">
            <w:r w:rsidRPr="000C29E8">
              <w:rPr>
                <w:rStyle w:val="Hyperlink"/>
                <w:rFonts w:ascii="Arial" w:hAnsi="Arial" w:cs="Arial"/>
                <w:noProof/>
                <w:lang w:val="en-IN"/>
              </w:rPr>
              <w:t>2.2 Size, scope and economic importance</w:t>
            </w:r>
            <w:r>
              <w:rPr>
                <w:noProof/>
                <w:webHidden/>
              </w:rPr>
              <w:tab/>
            </w:r>
            <w:r>
              <w:rPr>
                <w:noProof/>
                <w:webHidden/>
              </w:rPr>
              <w:fldChar w:fldCharType="begin"/>
            </w:r>
            <w:r>
              <w:rPr>
                <w:noProof/>
                <w:webHidden/>
              </w:rPr>
              <w:instrText xml:space="preserve"> PAGEREF _Toc227661396 \h </w:instrText>
            </w:r>
            <w:r>
              <w:rPr>
                <w:noProof/>
                <w:webHidden/>
              </w:rPr>
            </w:r>
            <w:r>
              <w:rPr>
                <w:noProof/>
                <w:webHidden/>
              </w:rPr>
              <w:fldChar w:fldCharType="separate"/>
            </w:r>
            <w:r>
              <w:rPr>
                <w:noProof/>
                <w:webHidden/>
              </w:rPr>
              <w:t>4</w:t>
            </w:r>
            <w:r>
              <w:rPr>
                <w:noProof/>
                <w:webHidden/>
              </w:rPr>
              <w:fldChar w:fldCharType="end"/>
            </w:r>
          </w:hyperlink>
        </w:p>
        <w:p w14:paraId="7DBE8A29" w14:textId="72D05355" w:rsidR="00D23C3F" w:rsidRDefault="00D23C3F">
          <w:pPr>
            <w:pStyle w:val="TOC2"/>
            <w:tabs>
              <w:tab w:val="right" w:leader="dot" w:pos="9016"/>
            </w:tabs>
            <w:rPr>
              <w:rFonts w:eastAsiaTheme="minorEastAsia"/>
              <w:noProof/>
              <w:sz w:val="24"/>
              <w:szCs w:val="24"/>
              <w:lang w:eastAsia="en-GB" w:bidi="ar-SA"/>
            </w:rPr>
          </w:pPr>
          <w:hyperlink w:anchor="_Toc227661397" w:history="1">
            <w:r w:rsidRPr="000C29E8">
              <w:rPr>
                <w:rStyle w:val="Hyperlink"/>
                <w:rFonts w:ascii="Arial" w:hAnsi="Arial" w:cs="Arial"/>
                <w:noProof/>
                <w:lang w:val="en-IN"/>
              </w:rPr>
              <w:t>2.3 Major domestic and multinational firms</w:t>
            </w:r>
            <w:r>
              <w:rPr>
                <w:noProof/>
                <w:webHidden/>
              </w:rPr>
              <w:tab/>
            </w:r>
            <w:r>
              <w:rPr>
                <w:noProof/>
                <w:webHidden/>
              </w:rPr>
              <w:fldChar w:fldCharType="begin"/>
            </w:r>
            <w:r>
              <w:rPr>
                <w:noProof/>
                <w:webHidden/>
              </w:rPr>
              <w:instrText xml:space="preserve"> PAGEREF _Toc227661397 \h </w:instrText>
            </w:r>
            <w:r>
              <w:rPr>
                <w:noProof/>
                <w:webHidden/>
              </w:rPr>
            </w:r>
            <w:r>
              <w:rPr>
                <w:noProof/>
                <w:webHidden/>
              </w:rPr>
              <w:fldChar w:fldCharType="separate"/>
            </w:r>
            <w:r>
              <w:rPr>
                <w:noProof/>
                <w:webHidden/>
              </w:rPr>
              <w:t>4</w:t>
            </w:r>
            <w:r>
              <w:rPr>
                <w:noProof/>
                <w:webHidden/>
              </w:rPr>
              <w:fldChar w:fldCharType="end"/>
            </w:r>
          </w:hyperlink>
        </w:p>
        <w:p w14:paraId="11C74467" w14:textId="22B4E962" w:rsidR="00D23C3F" w:rsidRDefault="00D23C3F">
          <w:pPr>
            <w:pStyle w:val="TOC2"/>
            <w:tabs>
              <w:tab w:val="right" w:leader="dot" w:pos="9016"/>
            </w:tabs>
            <w:rPr>
              <w:rFonts w:eastAsiaTheme="minorEastAsia"/>
              <w:noProof/>
              <w:sz w:val="24"/>
              <w:szCs w:val="24"/>
              <w:lang w:eastAsia="en-GB" w:bidi="ar-SA"/>
            </w:rPr>
          </w:pPr>
          <w:hyperlink w:anchor="_Toc227661398" w:history="1">
            <w:r w:rsidRPr="000C29E8">
              <w:rPr>
                <w:rStyle w:val="Hyperlink"/>
                <w:rFonts w:ascii="Arial" w:hAnsi="Arial" w:cs="Arial"/>
                <w:noProof/>
                <w:lang w:val="en-IN"/>
              </w:rPr>
              <w:t>2.4 Relative positioning of key firms</w:t>
            </w:r>
            <w:r>
              <w:rPr>
                <w:noProof/>
                <w:webHidden/>
              </w:rPr>
              <w:tab/>
            </w:r>
            <w:r>
              <w:rPr>
                <w:noProof/>
                <w:webHidden/>
              </w:rPr>
              <w:fldChar w:fldCharType="begin"/>
            </w:r>
            <w:r>
              <w:rPr>
                <w:noProof/>
                <w:webHidden/>
              </w:rPr>
              <w:instrText xml:space="preserve"> PAGEREF _Toc227661398 \h </w:instrText>
            </w:r>
            <w:r>
              <w:rPr>
                <w:noProof/>
                <w:webHidden/>
              </w:rPr>
            </w:r>
            <w:r>
              <w:rPr>
                <w:noProof/>
                <w:webHidden/>
              </w:rPr>
              <w:fldChar w:fldCharType="separate"/>
            </w:r>
            <w:r>
              <w:rPr>
                <w:noProof/>
                <w:webHidden/>
              </w:rPr>
              <w:t>5</w:t>
            </w:r>
            <w:r>
              <w:rPr>
                <w:noProof/>
                <w:webHidden/>
              </w:rPr>
              <w:fldChar w:fldCharType="end"/>
            </w:r>
          </w:hyperlink>
        </w:p>
        <w:p w14:paraId="2497E07D" w14:textId="2C4BD2DC" w:rsidR="00D23C3F" w:rsidRDefault="00D23C3F">
          <w:pPr>
            <w:pStyle w:val="TOC1"/>
            <w:tabs>
              <w:tab w:val="right" w:leader="dot" w:pos="9016"/>
            </w:tabs>
            <w:rPr>
              <w:rFonts w:eastAsiaTheme="minorEastAsia"/>
              <w:noProof/>
              <w:sz w:val="24"/>
              <w:szCs w:val="24"/>
              <w:lang w:eastAsia="en-GB" w:bidi="ar-SA"/>
            </w:rPr>
          </w:pPr>
          <w:hyperlink w:anchor="_Toc227661399" w:history="1">
            <w:r w:rsidRPr="000C29E8">
              <w:rPr>
                <w:rStyle w:val="Hyperlink"/>
                <w:rFonts w:ascii="Arial" w:hAnsi="Arial" w:cs="Arial"/>
                <w:noProof/>
              </w:rPr>
              <w:t>3. Application of Porter’s Diamond Model</w:t>
            </w:r>
            <w:r>
              <w:rPr>
                <w:noProof/>
                <w:webHidden/>
              </w:rPr>
              <w:tab/>
            </w:r>
            <w:r>
              <w:rPr>
                <w:noProof/>
                <w:webHidden/>
              </w:rPr>
              <w:fldChar w:fldCharType="begin"/>
            </w:r>
            <w:r>
              <w:rPr>
                <w:noProof/>
                <w:webHidden/>
              </w:rPr>
              <w:instrText xml:space="preserve"> PAGEREF _Toc227661399 \h </w:instrText>
            </w:r>
            <w:r>
              <w:rPr>
                <w:noProof/>
                <w:webHidden/>
              </w:rPr>
            </w:r>
            <w:r>
              <w:rPr>
                <w:noProof/>
                <w:webHidden/>
              </w:rPr>
              <w:fldChar w:fldCharType="separate"/>
            </w:r>
            <w:r>
              <w:rPr>
                <w:noProof/>
                <w:webHidden/>
              </w:rPr>
              <w:t>5</w:t>
            </w:r>
            <w:r>
              <w:rPr>
                <w:noProof/>
                <w:webHidden/>
              </w:rPr>
              <w:fldChar w:fldCharType="end"/>
            </w:r>
          </w:hyperlink>
        </w:p>
        <w:p w14:paraId="718BD04F" w14:textId="370DBD86" w:rsidR="00D23C3F" w:rsidRDefault="00D23C3F">
          <w:pPr>
            <w:pStyle w:val="TOC1"/>
            <w:tabs>
              <w:tab w:val="right" w:leader="dot" w:pos="9016"/>
            </w:tabs>
            <w:rPr>
              <w:rFonts w:eastAsiaTheme="minorEastAsia"/>
              <w:noProof/>
              <w:sz w:val="24"/>
              <w:szCs w:val="24"/>
              <w:lang w:eastAsia="en-GB" w:bidi="ar-SA"/>
            </w:rPr>
          </w:pPr>
          <w:hyperlink w:anchor="_Toc227661400" w:history="1">
            <w:r w:rsidRPr="000C29E8">
              <w:rPr>
                <w:rStyle w:val="Hyperlink"/>
                <w:rFonts w:ascii="Arial" w:hAnsi="Arial" w:cs="Arial"/>
                <w:noProof/>
              </w:rPr>
              <w:t>4. Critical evaluation of Marriot international in the United Arab Emirates</w:t>
            </w:r>
            <w:r>
              <w:rPr>
                <w:noProof/>
                <w:webHidden/>
              </w:rPr>
              <w:tab/>
            </w:r>
            <w:r>
              <w:rPr>
                <w:noProof/>
                <w:webHidden/>
              </w:rPr>
              <w:fldChar w:fldCharType="begin"/>
            </w:r>
            <w:r>
              <w:rPr>
                <w:noProof/>
                <w:webHidden/>
              </w:rPr>
              <w:instrText xml:space="preserve"> PAGEREF _Toc227661400 \h </w:instrText>
            </w:r>
            <w:r>
              <w:rPr>
                <w:noProof/>
                <w:webHidden/>
              </w:rPr>
            </w:r>
            <w:r>
              <w:rPr>
                <w:noProof/>
                <w:webHidden/>
              </w:rPr>
              <w:fldChar w:fldCharType="separate"/>
            </w:r>
            <w:r>
              <w:rPr>
                <w:noProof/>
                <w:webHidden/>
              </w:rPr>
              <w:t>8</w:t>
            </w:r>
            <w:r>
              <w:rPr>
                <w:noProof/>
                <w:webHidden/>
              </w:rPr>
              <w:fldChar w:fldCharType="end"/>
            </w:r>
          </w:hyperlink>
        </w:p>
        <w:p w14:paraId="1BC349AF" w14:textId="36D547FF" w:rsidR="00D23C3F" w:rsidRDefault="00D23C3F">
          <w:pPr>
            <w:pStyle w:val="TOC2"/>
            <w:tabs>
              <w:tab w:val="right" w:leader="dot" w:pos="9016"/>
            </w:tabs>
            <w:rPr>
              <w:rFonts w:eastAsiaTheme="minorEastAsia"/>
              <w:noProof/>
              <w:sz w:val="24"/>
              <w:szCs w:val="24"/>
              <w:lang w:eastAsia="en-GB" w:bidi="ar-SA"/>
            </w:rPr>
          </w:pPr>
          <w:hyperlink w:anchor="_Toc227661401" w:history="1">
            <w:r w:rsidRPr="000C29E8">
              <w:rPr>
                <w:rStyle w:val="Hyperlink"/>
                <w:rFonts w:ascii="Arial" w:hAnsi="Arial" w:cs="Arial"/>
                <w:noProof/>
                <w:lang w:val="en-IN"/>
              </w:rPr>
              <w:t>4.1 Company context and strategic positioning in the UAE</w:t>
            </w:r>
            <w:r>
              <w:rPr>
                <w:noProof/>
                <w:webHidden/>
              </w:rPr>
              <w:tab/>
            </w:r>
            <w:r>
              <w:rPr>
                <w:noProof/>
                <w:webHidden/>
              </w:rPr>
              <w:fldChar w:fldCharType="begin"/>
            </w:r>
            <w:r>
              <w:rPr>
                <w:noProof/>
                <w:webHidden/>
              </w:rPr>
              <w:instrText xml:space="preserve"> PAGEREF _Toc227661401 \h </w:instrText>
            </w:r>
            <w:r>
              <w:rPr>
                <w:noProof/>
                <w:webHidden/>
              </w:rPr>
            </w:r>
            <w:r>
              <w:rPr>
                <w:noProof/>
                <w:webHidden/>
              </w:rPr>
              <w:fldChar w:fldCharType="separate"/>
            </w:r>
            <w:r>
              <w:rPr>
                <w:noProof/>
                <w:webHidden/>
              </w:rPr>
              <w:t>8</w:t>
            </w:r>
            <w:r>
              <w:rPr>
                <w:noProof/>
                <w:webHidden/>
              </w:rPr>
              <w:fldChar w:fldCharType="end"/>
            </w:r>
          </w:hyperlink>
        </w:p>
        <w:p w14:paraId="2DEE701A" w14:textId="094E12A4" w:rsidR="00D23C3F" w:rsidRDefault="00D23C3F">
          <w:pPr>
            <w:pStyle w:val="TOC2"/>
            <w:tabs>
              <w:tab w:val="right" w:leader="dot" w:pos="9016"/>
            </w:tabs>
            <w:rPr>
              <w:rFonts w:eastAsiaTheme="minorEastAsia"/>
              <w:noProof/>
              <w:sz w:val="24"/>
              <w:szCs w:val="24"/>
              <w:lang w:eastAsia="en-GB" w:bidi="ar-SA"/>
            </w:rPr>
          </w:pPr>
          <w:hyperlink w:anchor="_Toc227661402" w:history="1">
            <w:r w:rsidRPr="000C29E8">
              <w:rPr>
                <w:rStyle w:val="Hyperlink"/>
                <w:rFonts w:ascii="Arial" w:hAnsi="Arial" w:cs="Arial"/>
                <w:noProof/>
                <w:lang w:val="en-IN"/>
              </w:rPr>
              <w:t>4.2 Political environment</w:t>
            </w:r>
            <w:r>
              <w:rPr>
                <w:noProof/>
                <w:webHidden/>
              </w:rPr>
              <w:tab/>
            </w:r>
            <w:r>
              <w:rPr>
                <w:noProof/>
                <w:webHidden/>
              </w:rPr>
              <w:fldChar w:fldCharType="begin"/>
            </w:r>
            <w:r>
              <w:rPr>
                <w:noProof/>
                <w:webHidden/>
              </w:rPr>
              <w:instrText xml:space="preserve"> PAGEREF _Toc227661402 \h </w:instrText>
            </w:r>
            <w:r>
              <w:rPr>
                <w:noProof/>
                <w:webHidden/>
              </w:rPr>
            </w:r>
            <w:r>
              <w:rPr>
                <w:noProof/>
                <w:webHidden/>
              </w:rPr>
              <w:fldChar w:fldCharType="separate"/>
            </w:r>
            <w:r>
              <w:rPr>
                <w:noProof/>
                <w:webHidden/>
              </w:rPr>
              <w:t>8</w:t>
            </w:r>
            <w:r>
              <w:rPr>
                <w:noProof/>
                <w:webHidden/>
              </w:rPr>
              <w:fldChar w:fldCharType="end"/>
            </w:r>
          </w:hyperlink>
        </w:p>
        <w:p w14:paraId="2F4F71C2" w14:textId="5D4CF3B1" w:rsidR="00D23C3F" w:rsidRDefault="00D23C3F">
          <w:pPr>
            <w:pStyle w:val="TOC2"/>
            <w:tabs>
              <w:tab w:val="right" w:leader="dot" w:pos="9016"/>
            </w:tabs>
            <w:rPr>
              <w:rFonts w:eastAsiaTheme="minorEastAsia"/>
              <w:noProof/>
              <w:sz w:val="24"/>
              <w:szCs w:val="24"/>
              <w:lang w:eastAsia="en-GB" w:bidi="ar-SA"/>
            </w:rPr>
          </w:pPr>
          <w:hyperlink w:anchor="_Toc227661403" w:history="1">
            <w:r w:rsidRPr="000C29E8">
              <w:rPr>
                <w:rStyle w:val="Hyperlink"/>
                <w:rFonts w:ascii="Arial" w:hAnsi="Arial" w:cs="Arial"/>
                <w:noProof/>
                <w:lang w:val="en-IN"/>
              </w:rPr>
              <w:t>4.3 Economic environment</w:t>
            </w:r>
            <w:r>
              <w:rPr>
                <w:noProof/>
                <w:webHidden/>
              </w:rPr>
              <w:tab/>
            </w:r>
            <w:r>
              <w:rPr>
                <w:noProof/>
                <w:webHidden/>
              </w:rPr>
              <w:fldChar w:fldCharType="begin"/>
            </w:r>
            <w:r>
              <w:rPr>
                <w:noProof/>
                <w:webHidden/>
              </w:rPr>
              <w:instrText xml:space="preserve"> PAGEREF _Toc227661403 \h </w:instrText>
            </w:r>
            <w:r>
              <w:rPr>
                <w:noProof/>
                <w:webHidden/>
              </w:rPr>
            </w:r>
            <w:r>
              <w:rPr>
                <w:noProof/>
                <w:webHidden/>
              </w:rPr>
              <w:fldChar w:fldCharType="separate"/>
            </w:r>
            <w:r>
              <w:rPr>
                <w:noProof/>
                <w:webHidden/>
              </w:rPr>
              <w:t>9</w:t>
            </w:r>
            <w:r>
              <w:rPr>
                <w:noProof/>
                <w:webHidden/>
              </w:rPr>
              <w:fldChar w:fldCharType="end"/>
            </w:r>
          </w:hyperlink>
        </w:p>
        <w:p w14:paraId="15CBF0ED" w14:textId="2F8B9514" w:rsidR="00D23C3F" w:rsidRDefault="00D23C3F">
          <w:pPr>
            <w:pStyle w:val="TOC2"/>
            <w:tabs>
              <w:tab w:val="right" w:leader="dot" w:pos="9016"/>
            </w:tabs>
            <w:rPr>
              <w:rFonts w:eastAsiaTheme="minorEastAsia"/>
              <w:noProof/>
              <w:sz w:val="24"/>
              <w:szCs w:val="24"/>
              <w:lang w:eastAsia="en-GB" w:bidi="ar-SA"/>
            </w:rPr>
          </w:pPr>
          <w:hyperlink w:anchor="_Toc227661404" w:history="1">
            <w:r w:rsidRPr="000C29E8">
              <w:rPr>
                <w:rStyle w:val="Hyperlink"/>
                <w:rFonts w:ascii="Arial" w:hAnsi="Arial" w:cs="Arial"/>
                <w:noProof/>
                <w:lang w:val="en-IN"/>
              </w:rPr>
              <w:t>4.4 Legal and regulatory environment</w:t>
            </w:r>
            <w:r>
              <w:rPr>
                <w:noProof/>
                <w:webHidden/>
              </w:rPr>
              <w:tab/>
            </w:r>
            <w:r>
              <w:rPr>
                <w:noProof/>
                <w:webHidden/>
              </w:rPr>
              <w:fldChar w:fldCharType="begin"/>
            </w:r>
            <w:r>
              <w:rPr>
                <w:noProof/>
                <w:webHidden/>
              </w:rPr>
              <w:instrText xml:space="preserve"> PAGEREF _Toc227661404 \h </w:instrText>
            </w:r>
            <w:r>
              <w:rPr>
                <w:noProof/>
                <w:webHidden/>
              </w:rPr>
            </w:r>
            <w:r>
              <w:rPr>
                <w:noProof/>
                <w:webHidden/>
              </w:rPr>
              <w:fldChar w:fldCharType="separate"/>
            </w:r>
            <w:r>
              <w:rPr>
                <w:noProof/>
                <w:webHidden/>
              </w:rPr>
              <w:t>9</w:t>
            </w:r>
            <w:r>
              <w:rPr>
                <w:noProof/>
                <w:webHidden/>
              </w:rPr>
              <w:fldChar w:fldCharType="end"/>
            </w:r>
          </w:hyperlink>
        </w:p>
        <w:p w14:paraId="4BE67895" w14:textId="5388532C" w:rsidR="00D23C3F" w:rsidRDefault="00D23C3F">
          <w:pPr>
            <w:pStyle w:val="TOC2"/>
            <w:tabs>
              <w:tab w:val="right" w:leader="dot" w:pos="9016"/>
            </w:tabs>
            <w:rPr>
              <w:rFonts w:eastAsiaTheme="minorEastAsia"/>
              <w:noProof/>
              <w:sz w:val="24"/>
              <w:szCs w:val="24"/>
              <w:lang w:eastAsia="en-GB" w:bidi="ar-SA"/>
            </w:rPr>
          </w:pPr>
          <w:hyperlink w:anchor="_Toc227661405" w:history="1">
            <w:r w:rsidRPr="000C29E8">
              <w:rPr>
                <w:rStyle w:val="Hyperlink"/>
                <w:rFonts w:ascii="Arial" w:hAnsi="Arial" w:cs="Arial"/>
                <w:noProof/>
                <w:lang w:val="en-IN"/>
              </w:rPr>
              <w:t>4.5 Cultural environment</w:t>
            </w:r>
            <w:r>
              <w:rPr>
                <w:noProof/>
                <w:webHidden/>
              </w:rPr>
              <w:tab/>
            </w:r>
            <w:r>
              <w:rPr>
                <w:noProof/>
                <w:webHidden/>
              </w:rPr>
              <w:fldChar w:fldCharType="begin"/>
            </w:r>
            <w:r>
              <w:rPr>
                <w:noProof/>
                <w:webHidden/>
              </w:rPr>
              <w:instrText xml:space="preserve"> PAGEREF _Toc227661405 \h </w:instrText>
            </w:r>
            <w:r>
              <w:rPr>
                <w:noProof/>
                <w:webHidden/>
              </w:rPr>
            </w:r>
            <w:r>
              <w:rPr>
                <w:noProof/>
                <w:webHidden/>
              </w:rPr>
              <w:fldChar w:fldCharType="separate"/>
            </w:r>
            <w:r>
              <w:rPr>
                <w:noProof/>
                <w:webHidden/>
              </w:rPr>
              <w:t>10</w:t>
            </w:r>
            <w:r>
              <w:rPr>
                <w:noProof/>
                <w:webHidden/>
              </w:rPr>
              <w:fldChar w:fldCharType="end"/>
            </w:r>
          </w:hyperlink>
        </w:p>
        <w:p w14:paraId="63ACC6B7" w14:textId="7FFBBE29" w:rsidR="00D23C3F" w:rsidRDefault="00D23C3F">
          <w:pPr>
            <w:pStyle w:val="TOC1"/>
            <w:tabs>
              <w:tab w:val="right" w:leader="dot" w:pos="9016"/>
            </w:tabs>
            <w:rPr>
              <w:rFonts w:eastAsiaTheme="minorEastAsia"/>
              <w:noProof/>
              <w:sz w:val="24"/>
              <w:szCs w:val="24"/>
              <w:lang w:eastAsia="en-GB" w:bidi="ar-SA"/>
            </w:rPr>
          </w:pPr>
          <w:hyperlink w:anchor="_Toc227661406" w:history="1">
            <w:r w:rsidRPr="000C29E8">
              <w:rPr>
                <w:rStyle w:val="Hyperlink"/>
                <w:rFonts w:ascii="Arial" w:hAnsi="Arial" w:cs="Arial"/>
                <w:noProof/>
              </w:rPr>
              <w:t>5. Competitive forces – Porter’s 5 forces analysis</w:t>
            </w:r>
            <w:r>
              <w:rPr>
                <w:noProof/>
                <w:webHidden/>
              </w:rPr>
              <w:tab/>
            </w:r>
            <w:r>
              <w:rPr>
                <w:noProof/>
                <w:webHidden/>
              </w:rPr>
              <w:fldChar w:fldCharType="begin"/>
            </w:r>
            <w:r>
              <w:rPr>
                <w:noProof/>
                <w:webHidden/>
              </w:rPr>
              <w:instrText xml:space="preserve"> PAGEREF _Toc227661406 \h </w:instrText>
            </w:r>
            <w:r>
              <w:rPr>
                <w:noProof/>
                <w:webHidden/>
              </w:rPr>
            </w:r>
            <w:r>
              <w:rPr>
                <w:noProof/>
                <w:webHidden/>
              </w:rPr>
              <w:fldChar w:fldCharType="separate"/>
            </w:r>
            <w:r>
              <w:rPr>
                <w:noProof/>
                <w:webHidden/>
              </w:rPr>
              <w:t>11</w:t>
            </w:r>
            <w:r>
              <w:rPr>
                <w:noProof/>
                <w:webHidden/>
              </w:rPr>
              <w:fldChar w:fldCharType="end"/>
            </w:r>
          </w:hyperlink>
        </w:p>
        <w:p w14:paraId="76504B78" w14:textId="624331E5" w:rsidR="00D23C3F" w:rsidRDefault="00D23C3F">
          <w:pPr>
            <w:pStyle w:val="TOC2"/>
            <w:tabs>
              <w:tab w:val="right" w:leader="dot" w:pos="9016"/>
            </w:tabs>
            <w:rPr>
              <w:rFonts w:eastAsiaTheme="minorEastAsia"/>
              <w:noProof/>
              <w:sz w:val="24"/>
              <w:szCs w:val="24"/>
              <w:lang w:eastAsia="en-GB" w:bidi="ar-SA"/>
            </w:rPr>
          </w:pPr>
          <w:hyperlink w:anchor="_Toc227661407" w:history="1">
            <w:r w:rsidRPr="000C29E8">
              <w:rPr>
                <w:rStyle w:val="Hyperlink"/>
                <w:rFonts w:ascii="Arial" w:hAnsi="Arial" w:cs="Arial"/>
                <w:noProof/>
                <w:lang w:val="en-IN"/>
              </w:rPr>
              <w:t>5.1 Competitive rivalry – High</w:t>
            </w:r>
            <w:r>
              <w:rPr>
                <w:noProof/>
                <w:webHidden/>
              </w:rPr>
              <w:tab/>
            </w:r>
            <w:r>
              <w:rPr>
                <w:noProof/>
                <w:webHidden/>
              </w:rPr>
              <w:fldChar w:fldCharType="begin"/>
            </w:r>
            <w:r>
              <w:rPr>
                <w:noProof/>
                <w:webHidden/>
              </w:rPr>
              <w:instrText xml:space="preserve"> PAGEREF _Toc227661407 \h </w:instrText>
            </w:r>
            <w:r>
              <w:rPr>
                <w:noProof/>
                <w:webHidden/>
              </w:rPr>
            </w:r>
            <w:r>
              <w:rPr>
                <w:noProof/>
                <w:webHidden/>
              </w:rPr>
              <w:fldChar w:fldCharType="separate"/>
            </w:r>
            <w:r>
              <w:rPr>
                <w:noProof/>
                <w:webHidden/>
              </w:rPr>
              <w:t>11</w:t>
            </w:r>
            <w:r>
              <w:rPr>
                <w:noProof/>
                <w:webHidden/>
              </w:rPr>
              <w:fldChar w:fldCharType="end"/>
            </w:r>
          </w:hyperlink>
        </w:p>
        <w:p w14:paraId="016C3781" w14:textId="519FE19B" w:rsidR="00D23C3F" w:rsidRDefault="00D23C3F">
          <w:pPr>
            <w:pStyle w:val="TOC2"/>
            <w:tabs>
              <w:tab w:val="right" w:leader="dot" w:pos="9016"/>
            </w:tabs>
            <w:rPr>
              <w:rFonts w:eastAsiaTheme="minorEastAsia"/>
              <w:noProof/>
              <w:sz w:val="24"/>
              <w:szCs w:val="24"/>
              <w:lang w:eastAsia="en-GB" w:bidi="ar-SA"/>
            </w:rPr>
          </w:pPr>
          <w:hyperlink w:anchor="_Toc227661408" w:history="1">
            <w:r w:rsidRPr="000C29E8">
              <w:rPr>
                <w:rStyle w:val="Hyperlink"/>
                <w:rFonts w:ascii="Arial" w:hAnsi="Arial" w:cs="Arial"/>
                <w:noProof/>
                <w:lang w:val="en-IN"/>
              </w:rPr>
              <w:t>5.2 Threat of new entrants – Moderate</w:t>
            </w:r>
            <w:r>
              <w:rPr>
                <w:noProof/>
                <w:webHidden/>
              </w:rPr>
              <w:tab/>
            </w:r>
            <w:r>
              <w:rPr>
                <w:noProof/>
                <w:webHidden/>
              </w:rPr>
              <w:fldChar w:fldCharType="begin"/>
            </w:r>
            <w:r>
              <w:rPr>
                <w:noProof/>
                <w:webHidden/>
              </w:rPr>
              <w:instrText xml:space="preserve"> PAGEREF _Toc227661408 \h </w:instrText>
            </w:r>
            <w:r>
              <w:rPr>
                <w:noProof/>
                <w:webHidden/>
              </w:rPr>
            </w:r>
            <w:r>
              <w:rPr>
                <w:noProof/>
                <w:webHidden/>
              </w:rPr>
              <w:fldChar w:fldCharType="separate"/>
            </w:r>
            <w:r>
              <w:rPr>
                <w:noProof/>
                <w:webHidden/>
              </w:rPr>
              <w:t>11</w:t>
            </w:r>
            <w:r>
              <w:rPr>
                <w:noProof/>
                <w:webHidden/>
              </w:rPr>
              <w:fldChar w:fldCharType="end"/>
            </w:r>
          </w:hyperlink>
        </w:p>
        <w:p w14:paraId="2F99FB8C" w14:textId="50D03038" w:rsidR="00D23C3F" w:rsidRDefault="00D23C3F">
          <w:pPr>
            <w:pStyle w:val="TOC2"/>
            <w:tabs>
              <w:tab w:val="right" w:leader="dot" w:pos="9016"/>
            </w:tabs>
            <w:rPr>
              <w:rFonts w:eastAsiaTheme="minorEastAsia"/>
              <w:noProof/>
              <w:sz w:val="24"/>
              <w:szCs w:val="24"/>
              <w:lang w:eastAsia="en-GB" w:bidi="ar-SA"/>
            </w:rPr>
          </w:pPr>
          <w:hyperlink w:anchor="_Toc227661409" w:history="1">
            <w:r w:rsidRPr="000C29E8">
              <w:rPr>
                <w:rStyle w:val="Hyperlink"/>
                <w:rFonts w:ascii="Arial" w:hAnsi="Arial" w:cs="Arial"/>
                <w:noProof/>
                <w:lang w:val="en-IN"/>
              </w:rPr>
              <w:t>5.3 Bargaining power of buyers – High</w:t>
            </w:r>
            <w:r>
              <w:rPr>
                <w:noProof/>
                <w:webHidden/>
              </w:rPr>
              <w:tab/>
            </w:r>
            <w:r>
              <w:rPr>
                <w:noProof/>
                <w:webHidden/>
              </w:rPr>
              <w:fldChar w:fldCharType="begin"/>
            </w:r>
            <w:r>
              <w:rPr>
                <w:noProof/>
                <w:webHidden/>
              </w:rPr>
              <w:instrText xml:space="preserve"> PAGEREF _Toc227661409 \h </w:instrText>
            </w:r>
            <w:r>
              <w:rPr>
                <w:noProof/>
                <w:webHidden/>
              </w:rPr>
            </w:r>
            <w:r>
              <w:rPr>
                <w:noProof/>
                <w:webHidden/>
              </w:rPr>
              <w:fldChar w:fldCharType="separate"/>
            </w:r>
            <w:r>
              <w:rPr>
                <w:noProof/>
                <w:webHidden/>
              </w:rPr>
              <w:t>11</w:t>
            </w:r>
            <w:r>
              <w:rPr>
                <w:noProof/>
                <w:webHidden/>
              </w:rPr>
              <w:fldChar w:fldCharType="end"/>
            </w:r>
          </w:hyperlink>
        </w:p>
        <w:p w14:paraId="4153FFBB" w14:textId="0E97A1C0" w:rsidR="00D23C3F" w:rsidRDefault="00D23C3F">
          <w:pPr>
            <w:pStyle w:val="TOC2"/>
            <w:tabs>
              <w:tab w:val="right" w:leader="dot" w:pos="9016"/>
            </w:tabs>
            <w:rPr>
              <w:rFonts w:eastAsiaTheme="minorEastAsia"/>
              <w:noProof/>
              <w:sz w:val="24"/>
              <w:szCs w:val="24"/>
              <w:lang w:eastAsia="en-GB" w:bidi="ar-SA"/>
            </w:rPr>
          </w:pPr>
          <w:hyperlink w:anchor="_Toc227661410" w:history="1">
            <w:r w:rsidRPr="000C29E8">
              <w:rPr>
                <w:rStyle w:val="Hyperlink"/>
                <w:rFonts w:ascii="Arial" w:hAnsi="Arial" w:cs="Arial"/>
                <w:noProof/>
                <w:lang w:val="en-IN"/>
              </w:rPr>
              <w:t>5.4 Bargaining power of suppliers – Moderate</w:t>
            </w:r>
            <w:r>
              <w:rPr>
                <w:noProof/>
                <w:webHidden/>
              </w:rPr>
              <w:tab/>
            </w:r>
            <w:r>
              <w:rPr>
                <w:noProof/>
                <w:webHidden/>
              </w:rPr>
              <w:fldChar w:fldCharType="begin"/>
            </w:r>
            <w:r>
              <w:rPr>
                <w:noProof/>
                <w:webHidden/>
              </w:rPr>
              <w:instrText xml:space="preserve"> PAGEREF _Toc227661410 \h </w:instrText>
            </w:r>
            <w:r>
              <w:rPr>
                <w:noProof/>
                <w:webHidden/>
              </w:rPr>
            </w:r>
            <w:r>
              <w:rPr>
                <w:noProof/>
                <w:webHidden/>
              </w:rPr>
              <w:fldChar w:fldCharType="separate"/>
            </w:r>
            <w:r>
              <w:rPr>
                <w:noProof/>
                <w:webHidden/>
              </w:rPr>
              <w:t>11</w:t>
            </w:r>
            <w:r>
              <w:rPr>
                <w:noProof/>
                <w:webHidden/>
              </w:rPr>
              <w:fldChar w:fldCharType="end"/>
            </w:r>
          </w:hyperlink>
        </w:p>
        <w:p w14:paraId="4E866E0E" w14:textId="299C0300" w:rsidR="00D23C3F" w:rsidRDefault="00D23C3F">
          <w:pPr>
            <w:pStyle w:val="TOC2"/>
            <w:tabs>
              <w:tab w:val="right" w:leader="dot" w:pos="9016"/>
            </w:tabs>
            <w:rPr>
              <w:rFonts w:eastAsiaTheme="minorEastAsia"/>
              <w:noProof/>
              <w:sz w:val="24"/>
              <w:szCs w:val="24"/>
              <w:lang w:eastAsia="en-GB" w:bidi="ar-SA"/>
            </w:rPr>
          </w:pPr>
          <w:hyperlink w:anchor="_Toc227661411" w:history="1">
            <w:r w:rsidRPr="000C29E8">
              <w:rPr>
                <w:rStyle w:val="Hyperlink"/>
                <w:rFonts w:ascii="Arial" w:hAnsi="Arial" w:cs="Arial"/>
                <w:noProof/>
                <w:lang w:val="en-IN"/>
              </w:rPr>
              <w:t>5.5 Threat of substitutes – Moderate</w:t>
            </w:r>
            <w:r>
              <w:rPr>
                <w:noProof/>
                <w:webHidden/>
              </w:rPr>
              <w:tab/>
            </w:r>
            <w:r>
              <w:rPr>
                <w:noProof/>
                <w:webHidden/>
              </w:rPr>
              <w:fldChar w:fldCharType="begin"/>
            </w:r>
            <w:r>
              <w:rPr>
                <w:noProof/>
                <w:webHidden/>
              </w:rPr>
              <w:instrText xml:space="preserve"> PAGEREF _Toc227661411 \h </w:instrText>
            </w:r>
            <w:r>
              <w:rPr>
                <w:noProof/>
                <w:webHidden/>
              </w:rPr>
            </w:r>
            <w:r>
              <w:rPr>
                <w:noProof/>
                <w:webHidden/>
              </w:rPr>
              <w:fldChar w:fldCharType="separate"/>
            </w:r>
            <w:r>
              <w:rPr>
                <w:noProof/>
                <w:webHidden/>
              </w:rPr>
              <w:t>11</w:t>
            </w:r>
            <w:r>
              <w:rPr>
                <w:noProof/>
                <w:webHidden/>
              </w:rPr>
              <w:fldChar w:fldCharType="end"/>
            </w:r>
          </w:hyperlink>
        </w:p>
        <w:p w14:paraId="1638EB67" w14:textId="69A1695E" w:rsidR="00D23C3F" w:rsidRDefault="00D23C3F">
          <w:pPr>
            <w:pStyle w:val="TOC2"/>
            <w:tabs>
              <w:tab w:val="right" w:leader="dot" w:pos="9016"/>
            </w:tabs>
            <w:rPr>
              <w:rFonts w:eastAsiaTheme="minorEastAsia"/>
              <w:noProof/>
              <w:sz w:val="24"/>
              <w:szCs w:val="24"/>
              <w:lang w:eastAsia="en-GB" w:bidi="ar-SA"/>
            </w:rPr>
          </w:pPr>
          <w:hyperlink w:anchor="_Toc227661412" w:history="1">
            <w:r w:rsidRPr="000C29E8">
              <w:rPr>
                <w:rStyle w:val="Hyperlink"/>
                <w:rFonts w:ascii="Arial" w:hAnsi="Arial" w:cs="Arial"/>
                <w:noProof/>
                <w:lang w:val="en-IN"/>
              </w:rPr>
              <w:t>5.6 Strategic strengths of Marriott Internationals in the UAE</w:t>
            </w:r>
            <w:r>
              <w:rPr>
                <w:noProof/>
                <w:webHidden/>
              </w:rPr>
              <w:tab/>
            </w:r>
            <w:r>
              <w:rPr>
                <w:noProof/>
                <w:webHidden/>
              </w:rPr>
              <w:fldChar w:fldCharType="begin"/>
            </w:r>
            <w:r>
              <w:rPr>
                <w:noProof/>
                <w:webHidden/>
              </w:rPr>
              <w:instrText xml:space="preserve"> PAGEREF _Toc227661412 \h </w:instrText>
            </w:r>
            <w:r>
              <w:rPr>
                <w:noProof/>
                <w:webHidden/>
              </w:rPr>
            </w:r>
            <w:r>
              <w:rPr>
                <w:noProof/>
                <w:webHidden/>
              </w:rPr>
              <w:fldChar w:fldCharType="separate"/>
            </w:r>
            <w:r>
              <w:rPr>
                <w:noProof/>
                <w:webHidden/>
              </w:rPr>
              <w:t>11</w:t>
            </w:r>
            <w:r>
              <w:rPr>
                <w:noProof/>
                <w:webHidden/>
              </w:rPr>
              <w:fldChar w:fldCharType="end"/>
            </w:r>
          </w:hyperlink>
        </w:p>
        <w:p w14:paraId="20AB7981" w14:textId="67B29D2E" w:rsidR="00D23C3F" w:rsidRDefault="00D23C3F">
          <w:pPr>
            <w:pStyle w:val="TOC2"/>
            <w:tabs>
              <w:tab w:val="right" w:leader="dot" w:pos="9016"/>
            </w:tabs>
            <w:rPr>
              <w:rFonts w:eastAsiaTheme="minorEastAsia"/>
              <w:noProof/>
              <w:sz w:val="24"/>
              <w:szCs w:val="24"/>
              <w:lang w:eastAsia="en-GB" w:bidi="ar-SA"/>
            </w:rPr>
          </w:pPr>
          <w:hyperlink w:anchor="_Toc227661413" w:history="1">
            <w:r w:rsidRPr="000C29E8">
              <w:rPr>
                <w:rStyle w:val="Hyperlink"/>
                <w:rFonts w:ascii="Arial" w:hAnsi="Arial" w:cs="Arial"/>
                <w:noProof/>
                <w:lang w:val="en-IN"/>
              </w:rPr>
              <w:t>5.7 Strategic challenges</w:t>
            </w:r>
            <w:r>
              <w:rPr>
                <w:noProof/>
                <w:webHidden/>
              </w:rPr>
              <w:tab/>
            </w:r>
            <w:r>
              <w:rPr>
                <w:noProof/>
                <w:webHidden/>
              </w:rPr>
              <w:fldChar w:fldCharType="begin"/>
            </w:r>
            <w:r>
              <w:rPr>
                <w:noProof/>
                <w:webHidden/>
              </w:rPr>
              <w:instrText xml:space="preserve"> PAGEREF _Toc227661413 \h </w:instrText>
            </w:r>
            <w:r>
              <w:rPr>
                <w:noProof/>
                <w:webHidden/>
              </w:rPr>
            </w:r>
            <w:r>
              <w:rPr>
                <w:noProof/>
                <w:webHidden/>
              </w:rPr>
              <w:fldChar w:fldCharType="separate"/>
            </w:r>
            <w:r>
              <w:rPr>
                <w:noProof/>
                <w:webHidden/>
              </w:rPr>
              <w:t>12</w:t>
            </w:r>
            <w:r>
              <w:rPr>
                <w:noProof/>
                <w:webHidden/>
              </w:rPr>
              <w:fldChar w:fldCharType="end"/>
            </w:r>
          </w:hyperlink>
        </w:p>
        <w:p w14:paraId="6D610E58" w14:textId="4E09A27A" w:rsidR="00D23C3F" w:rsidRDefault="00D23C3F">
          <w:pPr>
            <w:pStyle w:val="TOC2"/>
            <w:tabs>
              <w:tab w:val="right" w:leader="dot" w:pos="9016"/>
            </w:tabs>
            <w:rPr>
              <w:rFonts w:eastAsiaTheme="minorEastAsia"/>
              <w:noProof/>
              <w:sz w:val="24"/>
              <w:szCs w:val="24"/>
              <w:lang w:eastAsia="en-GB" w:bidi="ar-SA"/>
            </w:rPr>
          </w:pPr>
          <w:hyperlink w:anchor="_Toc227661414" w:history="1">
            <w:r w:rsidRPr="000C29E8">
              <w:rPr>
                <w:rStyle w:val="Hyperlink"/>
                <w:rFonts w:ascii="Arial" w:hAnsi="Arial" w:cs="Arial"/>
                <w:noProof/>
                <w:lang w:val="en-IN"/>
              </w:rPr>
              <w:t>5.7 Strategic opportunities</w:t>
            </w:r>
            <w:r>
              <w:rPr>
                <w:noProof/>
                <w:webHidden/>
              </w:rPr>
              <w:tab/>
            </w:r>
            <w:r>
              <w:rPr>
                <w:noProof/>
                <w:webHidden/>
              </w:rPr>
              <w:fldChar w:fldCharType="begin"/>
            </w:r>
            <w:r>
              <w:rPr>
                <w:noProof/>
                <w:webHidden/>
              </w:rPr>
              <w:instrText xml:space="preserve"> PAGEREF _Toc227661414 \h </w:instrText>
            </w:r>
            <w:r>
              <w:rPr>
                <w:noProof/>
                <w:webHidden/>
              </w:rPr>
            </w:r>
            <w:r>
              <w:rPr>
                <w:noProof/>
                <w:webHidden/>
              </w:rPr>
              <w:fldChar w:fldCharType="separate"/>
            </w:r>
            <w:r>
              <w:rPr>
                <w:noProof/>
                <w:webHidden/>
              </w:rPr>
              <w:t>14</w:t>
            </w:r>
            <w:r>
              <w:rPr>
                <w:noProof/>
                <w:webHidden/>
              </w:rPr>
              <w:fldChar w:fldCharType="end"/>
            </w:r>
          </w:hyperlink>
        </w:p>
        <w:p w14:paraId="3F7046EC" w14:textId="55D4B457" w:rsidR="00D23C3F" w:rsidRDefault="00D23C3F">
          <w:pPr>
            <w:pStyle w:val="TOC2"/>
            <w:tabs>
              <w:tab w:val="right" w:leader="dot" w:pos="9016"/>
            </w:tabs>
            <w:rPr>
              <w:rFonts w:eastAsiaTheme="minorEastAsia"/>
              <w:noProof/>
              <w:sz w:val="24"/>
              <w:szCs w:val="24"/>
              <w:lang w:eastAsia="en-GB" w:bidi="ar-SA"/>
            </w:rPr>
          </w:pPr>
          <w:hyperlink w:anchor="_Toc227661415" w:history="1">
            <w:r w:rsidRPr="000C29E8">
              <w:rPr>
                <w:rStyle w:val="Hyperlink"/>
                <w:rFonts w:ascii="Arial" w:hAnsi="Arial" w:cs="Arial"/>
                <w:noProof/>
                <w:lang w:val="en-IN"/>
              </w:rPr>
              <w:t>5.8 Overall market attractiveness</w:t>
            </w:r>
            <w:r>
              <w:rPr>
                <w:noProof/>
                <w:webHidden/>
              </w:rPr>
              <w:tab/>
            </w:r>
            <w:r>
              <w:rPr>
                <w:noProof/>
                <w:webHidden/>
              </w:rPr>
              <w:fldChar w:fldCharType="begin"/>
            </w:r>
            <w:r>
              <w:rPr>
                <w:noProof/>
                <w:webHidden/>
              </w:rPr>
              <w:instrText xml:space="preserve"> PAGEREF _Toc227661415 \h </w:instrText>
            </w:r>
            <w:r>
              <w:rPr>
                <w:noProof/>
                <w:webHidden/>
              </w:rPr>
            </w:r>
            <w:r>
              <w:rPr>
                <w:noProof/>
                <w:webHidden/>
              </w:rPr>
              <w:fldChar w:fldCharType="separate"/>
            </w:r>
            <w:r>
              <w:rPr>
                <w:noProof/>
                <w:webHidden/>
              </w:rPr>
              <w:t>14</w:t>
            </w:r>
            <w:r>
              <w:rPr>
                <w:noProof/>
                <w:webHidden/>
              </w:rPr>
              <w:fldChar w:fldCharType="end"/>
            </w:r>
          </w:hyperlink>
        </w:p>
        <w:p w14:paraId="515D9670" w14:textId="0519A6B6" w:rsidR="00D23C3F" w:rsidRDefault="00D23C3F">
          <w:pPr>
            <w:pStyle w:val="TOC1"/>
            <w:tabs>
              <w:tab w:val="right" w:leader="dot" w:pos="9016"/>
            </w:tabs>
            <w:rPr>
              <w:rFonts w:eastAsiaTheme="minorEastAsia"/>
              <w:noProof/>
              <w:sz w:val="24"/>
              <w:szCs w:val="24"/>
              <w:lang w:eastAsia="en-GB" w:bidi="ar-SA"/>
            </w:rPr>
          </w:pPr>
          <w:hyperlink w:anchor="_Toc227661416" w:history="1">
            <w:r w:rsidRPr="000C29E8">
              <w:rPr>
                <w:rStyle w:val="Hyperlink"/>
                <w:rFonts w:ascii="Arial" w:hAnsi="Arial" w:cs="Arial"/>
                <w:noProof/>
              </w:rPr>
              <w:t>6. Conclusion</w:t>
            </w:r>
            <w:r>
              <w:rPr>
                <w:noProof/>
                <w:webHidden/>
              </w:rPr>
              <w:tab/>
            </w:r>
            <w:r>
              <w:rPr>
                <w:noProof/>
                <w:webHidden/>
              </w:rPr>
              <w:fldChar w:fldCharType="begin"/>
            </w:r>
            <w:r>
              <w:rPr>
                <w:noProof/>
                <w:webHidden/>
              </w:rPr>
              <w:instrText xml:space="preserve"> PAGEREF _Toc227661416 \h </w:instrText>
            </w:r>
            <w:r>
              <w:rPr>
                <w:noProof/>
                <w:webHidden/>
              </w:rPr>
            </w:r>
            <w:r>
              <w:rPr>
                <w:noProof/>
                <w:webHidden/>
              </w:rPr>
              <w:fldChar w:fldCharType="separate"/>
            </w:r>
            <w:r>
              <w:rPr>
                <w:noProof/>
                <w:webHidden/>
              </w:rPr>
              <w:t>14</w:t>
            </w:r>
            <w:r>
              <w:rPr>
                <w:noProof/>
                <w:webHidden/>
              </w:rPr>
              <w:fldChar w:fldCharType="end"/>
            </w:r>
          </w:hyperlink>
        </w:p>
        <w:p w14:paraId="0E612434" w14:textId="2FA442AC" w:rsidR="00D23C3F" w:rsidRDefault="00D23C3F">
          <w:pPr>
            <w:pStyle w:val="TOC1"/>
            <w:tabs>
              <w:tab w:val="right" w:leader="dot" w:pos="9016"/>
            </w:tabs>
            <w:rPr>
              <w:rFonts w:eastAsiaTheme="minorEastAsia"/>
              <w:noProof/>
              <w:sz w:val="24"/>
              <w:szCs w:val="24"/>
              <w:lang w:eastAsia="en-GB" w:bidi="ar-SA"/>
            </w:rPr>
          </w:pPr>
          <w:hyperlink w:anchor="_Toc227661417" w:history="1">
            <w:r w:rsidRPr="000C29E8">
              <w:rPr>
                <w:rStyle w:val="Hyperlink"/>
                <w:rFonts w:ascii="Arial" w:hAnsi="Arial" w:cs="Arial"/>
                <w:noProof/>
              </w:rPr>
              <w:t>Task 2 – Reflective piece using Gibbs reflective model or framework</w:t>
            </w:r>
            <w:r>
              <w:rPr>
                <w:noProof/>
                <w:webHidden/>
              </w:rPr>
              <w:tab/>
            </w:r>
            <w:r>
              <w:rPr>
                <w:noProof/>
                <w:webHidden/>
              </w:rPr>
              <w:fldChar w:fldCharType="begin"/>
            </w:r>
            <w:r>
              <w:rPr>
                <w:noProof/>
                <w:webHidden/>
              </w:rPr>
              <w:instrText xml:space="preserve"> PAGEREF _Toc227661417 \h </w:instrText>
            </w:r>
            <w:r>
              <w:rPr>
                <w:noProof/>
                <w:webHidden/>
              </w:rPr>
            </w:r>
            <w:r>
              <w:rPr>
                <w:noProof/>
                <w:webHidden/>
              </w:rPr>
              <w:fldChar w:fldCharType="separate"/>
            </w:r>
            <w:r>
              <w:rPr>
                <w:noProof/>
                <w:webHidden/>
              </w:rPr>
              <w:t>15</w:t>
            </w:r>
            <w:r>
              <w:rPr>
                <w:noProof/>
                <w:webHidden/>
              </w:rPr>
              <w:fldChar w:fldCharType="end"/>
            </w:r>
          </w:hyperlink>
        </w:p>
        <w:p w14:paraId="3FB68661" w14:textId="1C03D150" w:rsidR="00D23C3F" w:rsidRDefault="00D23C3F">
          <w:pPr>
            <w:pStyle w:val="TOC2"/>
            <w:tabs>
              <w:tab w:val="right" w:leader="dot" w:pos="9016"/>
            </w:tabs>
            <w:rPr>
              <w:rFonts w:eastAsiaTheme="minorEastAsia"/>
              <w:noProof/>
              <w:sz w:val="24"/>
              <w:szCs w:val="24"/>
              <w:lang w:eastAsia="en-GB" w:bidi="ar-SA"/>
            </w:rPr>
          </w:pPr>
          <w:hyperlink w:anchor="_Toc227661418" w:history="1">
            <w:r w:rsidRPr="000C29E8">
              <w:rPr>
                <w:rStyle w:val="Hyperlink"/>
                <w:rFonts w:ascii="Arial" w:hAnsi="Arial" w:cs="Arial"/>
                <w:noProof/>
                <w:lang w:val="en-IN"/>
              </w:rPr>
              <w:t>1. Description</w:t>
            </w:r>
            <w:r>
              <w:rPr>
                <w:noProof/>
                <w:webHidden/>
              </w:rPr>
              <w:tab/>
            </w:r>
            <w:r>
              <w:rPr>
                <w:noProof/>
                <w:webHidden/>
              </w:rPr>
              <w:fldChar w:fldCharType="begin"/>
            </w:r>
            <w:r>
              <w:rPr>
                <w:noProof/>
                <w:webHidden/>
              </w:rPr>
              <w:instrText xml:space="preserve"> PAGEREF _Toc227661418 \h </w:instrText>
            </w:r>
            <w:r>
              <w:rPr>
                <w:noProof/>
                <w:webHidden/>
              </w:rPr>
            </w:r>
            <w:r>
              <w:rPr>
                <w:noProof/>
                <w:webHidden/>
              </w:rPr>
              <w:fldChar w:fldCharType="separate"/>
            </w:r>
            <w:r>
              <w:rPr>
                <w:noProof/>
                <w:webHidden/>
              </w:rPr>
              <w:t>15</w:t>
            </w:r>
            <w:r>
              <w:rPr>
                <w:noProof/>
                <w:webHidden/>
              </w:rPr>
              <w:fldChar w:fldCharType="end"/>
            </w:r>
          </w:hyperlink>
        </w:p>
        <w:p w14:paraId="584E0683" w14:textId="5F48A8FD" w:rsidR="00D23C3F" w:rsidRDefault="00D23C3F">
          <w:pPr>
            <w:pStyle w:val="TOC2"/>
            <w:tabs>
              <w:tab w:val="right" w:leader="dot" w:pos="9016"/>
            </w:tabs>
            <w:rPr>
              <w:rFonts w:eastAsiaTheme="minorEastAsia"/>
              <w:noProof/>
              <w:sz w:val="24"/>
              <w:szCs w:val="24"/>
              <w:lang w:eastAsia="en-GB" w:bidi="ar-SA"/>
            </w:rPr>
          </w:pPr>
          <w:hyperlink w:anchor="_Toc227661419" w:history="1">
            <w:r w:rsidRPr="000C29E8">
              <w:rPr>
                <w:rStyle w:val="Hyperlink"/>
                <w:rFonts w:ascii="Arial" w:hAnsi="Arial" w:cs="Arial"/>
                <w:noProof/>
                <w:lang w:val="en-IN"/>
              </w:rPr>
              <w:t>2. Feelings</w:t>
            </w:r>
            <w:r>
              <w:rPr>
                <w:noProof/>
                <w:webHidden/>
              </w:rPr>
              <w:tab/>
            </w:r>
            <w:r>
              <w:rPr>
                <w:noProof/>
                <w:webHidden/>
              </w:rPr>
              <w:fldChar w:fldCharType="begin"/>
            </w:r>
            <w:r>
              <w:rPr>
                <w:noProof/>
                <w:webHidden/>
              </w:rPr>
              <w:instrText xml:space="preserve"> PAGEREF _Toc227661419 \h </w:instrText>
            </w:r>
            <w:r>
              <w:rPr>
                <w:noProof/>
                <w:webHidden/>
              </w:rPr>
            </w:r>
            <w:r>
              <w:rPr>
                <w:noProof/>
                <w:webHidden/>
              </w:rPr>
              <w:fldChar w:fldCharType="separate"/>
            </w:r>
            <w:r>
              <w:rPr>
                <w:noProof/>
                <w:webHidden/>
              </w:rPr>
              <w:t>15</w:t>
            </w:r>
            <w:r>
              <w:rPr>
                <w:noProof/>
                <w:webHidden/>
              </w:rPr>
              <w:fldChar w:fldCharType="end"/>
            </w:r>
          </w:hyperlink>
        </w:p>
        <w:p w14:paraId="445CB02C" w14:textId="54DC312D" w:rsidR="00D23C3F" w:rsidRDefault="00D23C3F">
          <w:pPr>
            <w:pStyle w:val="TOC2"/>
            <w:tabs>
              <w:tab w:val="right" w:leader="dot" w:pos="9016"/>
            </w:tabs>
            <w:rPr>
              <w:rFonts w:eastAsiaTheme="minorEastAsia"/>
              <w:noProof/>
              <w:sz w:val="24"/>
              <w:szCs w:val="24"/>
              <w:lang w:eastAsia="en-GB" w:bidi="ar-SA"/>
            </w:rPr>
          </w:pPr>
          <w:hyperlink w:anchor="_Toc227661420" w:history="1">
            <w:r w:rsidRPr="000C29E8">
              <w:rPr>
                <w:rStyle w:val="Hyperlink"/>
                <w:rFonts w:ascii="Arial" w:hAnsi="Arial" w:cs="Arial"/>
                <w:noProof/>
                <w:lang w:val="en-IN"/>
              </w:rPr>
              <w:t>3. Evaluation</w:t>
            </w:r>
            <w:r>
              <w:rPr>
                <w:noProof/>
                <w:webHidden/>
              </w:rPr>
              <w:tab/>
            </w:r>
            <w:r>
              <w:rPr>
                <w:noProof/>
                <w:webHidden/>
              </w:rPr>
              <w:fldChar w:fldCharType="begin"/>
            </w:r>
            <w:r>
              <w:rPr>
                <w:noProof/>
                <w:webHidden/>
              </w:rPr>
              <w:instrText xml:space="preserve"> PAGEREF _Toc227661420 \h </w:instrText>
            </w:r>
            <w:r>
              <w:rPr>
                <w:noProof/>
                <w:webHidden/>
              </w:rPr>
            </w:r>
            <w:r>
              <w:rPr>
                <w:noProof/>
                <w:webHidden/>
              </w:rPr>
              <w:fldChar w:fldCharType="separate"/>
            </w:r>
            <w:r>
              <w:rPr>
                <w:noProof/>
                <w:webHidden/>
              </w:rPr>
              <w:t>15</w:t>
            </w:r>
            <w:r>
              <w:rPr>
                <w:noProof/>
                <w:webHidden/>
              </w:rPr>
              <w:fldChar w:fldCharType="end"/>
            </w:r>
          </w:hyperlink>
        </w:p>
        <w:p w14:paraId="32DF66FF" w14:textId="1A1C7C37" w:rsidR="00D23C3F" w:rsidRDefault="00D23C3F">
          <w:pPr>
            <w:pStyle w:val="TOC2"/>
            <w:tabs>
              <w:tab w:val="right" w:leader="dot" w:pos="9016"/>
            </w:tabs>
            <w:rPr>
              <w:rFonts w:eastAsiaTheme="minorEastAsia"/>
              <w:noProof/>
              <w:sz w:val="24"/>
              <w:szCs w:val="24"/>
              <w:lang w:eastAsia="en-GB" w:bidi="ar-SA"/>
            </w:rPr>
          </w:pPr>
          <w:hyperlink w:anchor="_Toc227661421" w:history="1">
            <w:r w:rsidRPr="000C29E8">
              <w:rPr>
                <w:rStyle w:val="Hyperlink"/>
                <w:rFonts w:ascii="Arial" w:hAnsi="Arial" w:cs="Arial"/>
                <w:noProof/>
                <w:lang w:val="en-IN"/>
              </w:rPr>
              <w:t>4. Analysis</w:t>
            </w:r>
            <w:r>
              <w:rPr>
                <w:noProof/>
                <w:webHidden/>
              </w:rPr>
              <w:tab/>
            </w:r>
            <w:r>
              <w:rPr>
                <w:noProof/>
                <w:webHidden/>
              </w:rPr>
              <w:fldChar w:fldCharType="begin"/>
            </w:r>
            <w:r>
              <w:rPr>
                <w:noProof/>
                <w:webHidden/>
              </w:rPr>
              <w:instrText xml:space="preserve"> PAGEREF _Toc227661421 \h </w:instrText>
            </w:r>
            <w:r>
              <w:rPr>
                <w:noProof/>
                <w:webHidden/>
              </w:rPr>
            </w:r>
            <w:r>
              <w:rPr>
                <w:noProof/>
                <w:webHidden/>
              </w:rPr>
              <w:fldChar w:fldCharType="separate"/>
            </w:r>
            <w:r>
              <w:rPr>
                <w:noProof/>
                <w:webHidden/>
              </w:rPr>
              <w:t>16</w:t>
            </w:r>
            <w:r>
              <w:rPr>
                <w:noProof/>
                <w:webHidden/>
              </w:rPr>
              <w:fldChar w:fldCharType="end"/>
            </w:r>
          </w:hyperlink>
        </w:p>
        <w:p w14:paraId="3F7F0467" w14:textId="19552415" w:rsidR="00D23C3F" w:rsidRDefault="00D23C3F">
          <w:pPr>
            <w:pStyle w:val="TOC2"/>
            <w:tabs>
              <w:tab w:val="right" w:leader="dot" w:pos="9016"/>
            </w:tabs>
            <w:rPr>
              <w:rFonts w:eastAsiaTheme="minorEastAsia"/>
              <w:noProof/>
              <w:sz w:val="24"/>
              <w:szCs w:val="24"/>
              <w:lang w:eastAsia="en-GB" w:bidi="ar-SA"/>
            </w:rPr>
          </w:pPr>
          <w:hyperlink w:anchor="_Toc227661422" w:history="1">
            <w:r w:rsidRPr="000C29E8">
              <w:rPr>
                <w:rStyle w:val="Hyperlink"/>
                <w:rFonts w:ascii="Arial" w:hAnsi="Arial" w:cs="Arial"/>
                <w:noProof/>
                <w:lang w:val="en-IN"/>
              </w:rPr>
              <w:t>5. Conclusion</w:t>
            </w:r>
            <w:r>
              <w:rPr>
                <w:noProof/>
                <w:webHidden/>
              </w:rPr>
              <w:tab/>
            </w:r>
            <w:r>
              <w:rPr>
                <w:noProof/>
                <w:webHidden/>
              </w:rPr>
              <w:fldChar w:fldCharType="begin"/>
            </w:r>
            <w:r>
              <w:rPr>
                <w:noProof/>
                <w:webHidden/>
              </w:rPr>
              <w:instrText xml:space="preserve"> PAGEREF _Toc227661422 \h </w:instrText>
            </w:r>
            <w:r>
              <w:rPr>
                <w:noProof/>
                <w:webHidden/>
              </w:rPr>
            </w:r>
            <w:r>
              <w:rPr>
                <w:noProof/>
                <w:webHidden/>
              </w:rPr>
              <w:fldChar w:fldCharType="separate"/>
            </w:r>
            <w:r>
              <w:rPr>
                <w:noProof/>
                <w:webHidden/>
              </w:rPr>
              <w:t>16</w:t>
            </w:r>
            <w:r>
              <w:rPr>
                <w:noProof/>
                <w:webHidden/>
              </w:rPr>
              <w:fldChar w:fldCharType="end"/>
            </w:r>
          </w:hyperlink>
        </w:p>
        <w:p w14:paraId="06D8AD00" w14:textId="69B76577" w:rsidR="00D23C3F" w:rsidRDefault="00D23C3F">
          <w:pPr>
            <w:pStyle w:val="TOC2"/>
            <w:tabs>
              <w:tab w:val="right" w:leader="dot" w:pos="9016"/>
            </w:tabs>
            <w:rPr>
              <w:rFonts w:eastAsiaTheme="minorEastAsia"/>
              <w:noProof/>
              <w:sz w:val="24"/>
              <w:szCs w:val="24"/>
              <w:lang w:eastAsia="en-GB" w:bidi="ar-SA"/>
            </w:rPr>
          </w:pPr>
          <w:hyperlink w:anchor="_Toc227661423" w:history="1">
            <w:r w:rsidRPr="000C29E8">
              <w:rPr>
                <w:rStyle w:val="Hyperlink"/>
                <w:rFonts w:ascii="Arial" w:hAnsi="Arial" w:cs="Arial"/>
                <w:noProof/>
                <w:lang w:val="en-IN"/>
              </w:rPr>
              <w:t>6. Action plan</w:t>
            </w:r>
            <w:r>
              <w:rPr>
                <w:noProof/>
                <w:webHidden/>
              </w:rPr>
              <w:tab/>
            </w:r>
            <w:r>
              <w:rPr>
                <w:noProof/>
                <w:webHidden/>
              </w:rPr>
              <w:fldChar w:fldCharType="begin"/>
            </w:r>
            <w:r>
              <w:rPr>
                <w:noProof/>
                <w:webHidden/>
              </w:rPr>
              <w:instrText xml:space="preserve"> PAGEREF _Toc227661423 \h </w:instrText>
            </w:r>
            <w:r>
              <w:rPr>
                <w:noProof/>
                <w:webHidden/>
              </w:rPr>
            </w:r>
            <w:r>
              <w:rPr>
                <w:noProof/>
                <w:webHidden/>
              </w:rPr>
              <w:fldChar w:fldCharType="separate"/>
            </w:r>
            <w:r>
              <w:rPr>
                <w:noProof/>
                <w:webHidden/>
              </w:rPr>
              <w:t>17</w:t>
            </w:r>
            <w:r>
              <w:rPr>
                <w:noProof/>
                <w:webHidden/>
              </w:rPr>
              <w:fldChar w:fldCharType="end"/>
            </w:r>
          </w:hyperlink>
        </w:p>
        <w:p w14:paraId="41719AB6" w14:textId="465691D9" w:rsidR="00D23C3F" w:rsidRDefault="00D23C3F">
          <w:pPr>
            <w:pStyle w:val="TOC1"/>
            <w:tabs>
              <w:tab w:val="right" w:leader="dot" w:pos="9016"/>
            </w:tabs>
            <w:rPr>
              <w:rFonts w:eastAsiaTheme="minorEastAsia"/>
              <w:noProof/>
              <w:sz w:val="24"/>
              <w:szCs w:val="24"/>
              <w:lang w:eastAsia="en-GB" w:bidi="ar-SA"/>
            </w:rPr>
          </w:pPr>
          <w:hyperlink w:anchor="_Toc227661424" w:history="1">
            <w:r w:rsidRPr="000C29E8">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_Toc227661424 \h </w:instrText>
            </w:r>
            <w:r>
              <w:rPr>
                <w:noProof/>
                <w:webHidden/>
              </w:rPr>
            </w:r>
            <w:r>
              <w:rPr>
                <w:noProof/>
                <w:webHidden/>
              </w:rPr>
              <w:fldChar w:fldCharType="separate"/>
            </w:r>
            <w:r>
              <w:rPr>
                <w:noProof/>
                <w:webHidden/>
              </w:rPr>
              <w:t>18</w:t>
            </w:r>
            <w:r>
              <w:rPr>
                <w:noProof/>
                <w:webHidden/>
              </w:rPr>
              <w:fldChar w:fldCharType="end"/>
            </w:r>
          </w:hyperlink>
        </w:p>
        <w:p w14:paraId="5D1AE393" w14:textId="3E491D6C" w:rsidR="00E27D5F" w:rsidRPr="005E1213" w:rsidRDefault="00474064" w:rsidP="00E27D5F">
          <w:pPr>
            <w:rPr>
              <w:rFonts w:ascii="Arial" w:hAnsi="Arial" w:cs="Arial"/>
              <w:sz w:val="24"/>
              <w:szCs w:val="24"/>
              <w:lang w:val="en-IN"/>
            </w:rPr>
          </w:pPr>
          <w:r w:rsidRPr="00474064">
            <w:rPr>
              <w:rFonts w:ascii="Arial" w:hAnsi="Arial" w:cs="Arial"/>
              <w:sz w:val="24"/>
              <w:szCs w:val="24"/>
            </w:rPr>
            <w:lastRenderedPageBreak/>
            <w:fldChar w:fldCharType="end"/>
          </w:r>
        </w:p>
      </w:sdtContent>
    </w:sdt>
    <w:p w14:paraId="63EA0AED" w14:textId="1319BAAB" w:rsidR="00474064" w:rsidRPr="005E1213" w:rsidRDefault="00474064" w:rsidP="00D64AAD">
      <w:pPr>
        <w:pStyle w:val="Heading1"/>
        <w:rPr>
          <w:rFonts w:ascii="Arial" w:hAnsi="Arial" w:cs="Arial"/>
          <w:lang w:val="en-IN"/>
        </w:rPr>
      </w:pPr>
      <w:bookmarkStart w:id="0" w:name="_Toc227661393"/>
      <w:r w:rsidRPr="005E1213">
        <w:rPr>
          <w:rFonts w:ascii="Arial" w:hAnsi="Arial" w:cs="Arial"/>
          <w:lang w:val="en-IN"/>
        </w:rPr>
        <w:t>1. Introduction</w:t>
      </w:r>
      <w:bookmarkEnd w:id="0"/>
      <w:r w:rsidRPr="005E1213">
        <w:rPr>
          <w:rFonts w:ascii="Arial" w:hAnsi="Arial" w:cs="Arial"/>
          <w:lang w:val="en-IN"/>
        </w:rPr>
        <w:t xml:space="preserve"> </w:t>
      </w:r>
    </w:p>
    <w:p w14:paraId="24B21A04" w14:textId="0263349C"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Commencing with the core of this report, the community of readers can expect to gain deep informative insights into the hospitality industry of United Arab Emirates or UAE, while maintaining stable accountability of focus upon the operational modules of Marriott Internationals. As per the reports, UAE regions </w:t>
      </w:r>
      <w:r w:rsidRPr="005E1213">
        <w:rPr>
          <w:rFonts w:ascii="Arial" w:hAnsi="Arial" w:cs="Arial"/>
          <w:sz w:val="24"/>
          <w:szCs w:val="24"/>
          <w:lang w:val="en-IN"/>
        </w:rPr>
        <w:t>represent</w:t>
      </w:r>
      <w:r w:rsidRPr="00474064">
        <w:rPr>
          <w:rFonts w:ascii="Arial" w:hAnsi="Arial" w:cs="Arial"/>
          <w:sz w:val="24"/>
          <w:szCs w:val="24"/>
          <w:lang w:val="en-IN"/>
        </w:rPr>
        <w:t xml:space="preserve"> to be one of the most effectively competitive and globally integrated hospitality and tourism industry in comparison of global world. In today’s advanced era, hospitality sector has become one of the best sectors growing massively via a number of factors such </w:t>
      </w:r>
      <w:proofErr w:type="spellStart"/>
      <w:r w:rsidRPr="00474064">
        <w:rPr>
          <w:rFonts w:ascii="Arial" w:hAnsi="Arial" w:cs="Arial"/>
          <w:sz w:val="24"/>
          <w:szCs w:val="24"/>
          <w:lang w:val="en-IN"/>
        </w:rPr>
        <w:t>a</w:t>
      </w:r>
      <w:proofErr w:type="spellEnd"/>
      <w:r w:rsidRPr="00474064">
        <w:rPr>
          <w:rFonts w:ascii="Arial" w:hAnsi="Arial" w:cs="Arial"/>
          <w:sz w:val="24"/>
          <w:szCs w:val="24"/>
          <w:lang w:val="en-IN"/>
        </w:rPr>
        <w:t xml:space="preserve"> it is driven by strong diversification policies of government there. Along with this, role of world-class infrastructure and Marriott Internationals is also evident there (Author, 2026). </w:t>
      </w:r>
    </w:p>
    <w:p w14:paraId="5F9CBEDA" w14:textId="36EB27C5"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According to the brief, this report firstly offers an overview of the UAE hospitality industry as a whole, evaluates the overall size of the industry, scope of businesses such as Marriott internationals to enter the market, and their competitive positioning in UAE also. For proper justification, a model named as Michael Porter’s Diamond Model has been applied (Author, 2026). At last, report assesses in detail about factors influencing success of Marriott internationals in the suburbs of UAE through not only political and </w:t>
      </w:r>
      <w:r w:rsidRPr="005E1213">
        <w:rPr>
          <w:rFonts w:ascii="Arial" w:hAnsi="Arial" w:cs="Arial"/>
          <w:sz w:val="24"/>
          <w:szCs w:val="24"/>
          <w:lang w:val="en-IN"/>
        </w:rPr>
        <w:t>economic</w:t>
      </w:r>
      <w:r w:rsidRPr="00474064">
        <w:rPr>
          <w:rFonts w:ascii="Arial" w:hAnsi="Arial" w:cs="Arial"/>
          <w:sz w:val="24"/>
          <w:szCs w:val="24"/>
          <w:lang w:val="en-IN"/>
        </w:rPr>
        <w:t xml:space="preserve"> but legal and cultural analysis framework also.</w:t>
      </w:r>
    </w:p>
    <w:p w14:paraId="1B52A244" w14:textId="77777777" w:rsidR="00474064" w:rsidRPr="005E1213" w:rsidRDefault="00474064" w:rsidP="00D44DFE">
      <w:pPr>
        <w:pStyle w:val="Heading1"/>
        <w:rPr>
          <w:rFonts w:ascii="Arial" w:hAnsi="Arial" w:cs="Arial"/>
        </w:rPr>
      </w:pPr>
      <w:bookmarkStart w:id="1" w:name="_Toc227661394"/>
      <w:r w:rsidRPr="005E1213">
        <w:rPr>
          <w:rFonts w:ascii="Arial" w:hAnsi="Arial" w:cs="Arial"/>
        </w:rPr>
        <w:t>2. Industry and country overview</w:t>
      </w:r>
      <w:bookmarkEnd w:id="1"/>
      <w:r w:rsidRPr="005E1213">
        <w:rPr>
          <w:rFonts w:ascii="Arial" w:hAnsi="Arial" w:cs="Arial"/>
        </w:rPr>
        <w:t xml:space="preserve"> </w:t>
      </w:r>
    </w:p>
    <w:p w14:paraId="4C27C1DA" w14:textId="227E1A5A" w:rsidR="00474064" w:rsidRPr="00474064" w:rsidRDefault="00474064" w:rsidP="00474064">
      <w:pPr>
        <w:rPr>
          <w:rFonts w:ascii="Arial" w:hAnsi="Arial" w:cs="Arial"/>
          <w:b/>
          <w:sz w:val="24"/>
          <w:szCs w:val="24"/>
          <w:lang w:val="en-IN"/>
        </w:rPr>
      </w:pPr>
      <w:r w:rsidRPr="005E1213">
        <w:rPr>
          <w:rFonts w:ascii="Arial" w:hAnsi="Arial" w:cs="Arial"/>
          <w:noProof/>
          <w:sz w:val="24"/>
          <w:szCs w:val="24"/>
          <w:lang w:val="en-IN"/>
        </w:rPr>
        <w:drawing>
          <wp:inline distT="0" distB="0" distL="0" distR="0" wp14:anchorId="7BF8F430" wp14:editId="42DB1FAD">
            <wp:extent cx="5334000" cy="3808987"/>
            <wp:effectExtent l="0" t="0" r="0" b="1270"/>
            <wp:docPr id="381403354" name="Picture 18" descr="Marriott International South Asia Expansion: Marriott reports 143% growth  in hotel signings across South Asia, ETTravel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rriott International South Asia Expansion: Marriott reports 143% growth  in hotel signings across South Asia, ETTravelWorl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340424" cy="3813574"/>
                    </a:xfrm>
                    <a:prstGeom prst="rect">
                      <a:avLst/>
                    </a:prstGeom>
                    <a:noFill/>
                    <a:ln>
                      <a:noFill/>
                    </a:ln>
                  </pic:spPr>
                </pic:pic>
              </a:graphicData>
            </a:graphic>
          </wp:inline>
        </w:drawing>
      </w:r>
    </w:p>
    <w:p w14:paraId="2C44960C" w14:textId="77777777" w:rsidR="00474064" w:rsidRPr="00474064" w:rsidRDefault="00474064" w:rsidP="00E5114B">
      <w:pPr>
        <w:jc w:val="center"/>
        <w:rPr>
          <w:rFonts w:ascii="Arial" w:hAnsi="Arial" w:cs="Arial"/>
          <w:b/>
          <w:sz w:val="24"/>
          <w:szCs w:val="24"/>
          <w:lang w:val="en-IN"/>
        </w:rPr>
      </w:pPr>
      <w:r w:rsidRPr="00474064">
        <w:rPr>
          <w:rFonts w:ascii="Arial" w:hAnsi="Arial" w:cs="Arial"/>
          <w:b/>
          <w:sz w:val="24"/>
          <w:szCs w:val="24"/>
          <w:lang w:val="en-IN"/>
        </w:rPr>
        <w:t>Sources - (Author, 2026)</w:t>
      </w:r>
    </w:p>
    <w:p w14:paraId="5E3D19A2" w14:textId="77777777" w:rsidR="00474064" w:rsidRPr="005E1213" w:rsidRDefault="00474064" w:rsidP="00474064">
      <w:pPr>
        <w:pStyle w:val="Heading2"/>
        <w:rPr>
          <w:rFonts w:ascii="Arial" w:hAnsi="Arial" w:cs="Arial"/>
          <w:sz w:val="24"/>
          <w:szCs w:val="24"/>
          <w:lang w:val="en-IN"/>
        </w:rPr>
      </w:pPr>
      <w:bookmarkStart w:id="2" w:name="_Toc227661395"/>
      <w:r w:rsidRPr="005E1213">
        <w:rPr>
          <w:rFonts w:ascii="Arial" w:hAnsi="Arial" w:cs="Arial"/>
          <w:sz w:val="24"/>
          <w:szCs w:val="24"/>
          <w:lang w:val="en-IN"/>
        </w:rPr>
        <w:lastRenderedPageBreak/>
        <w:t>2.1 Introduction to the hospitality industry in the UAE</w:t>
      </w:r>
      <w:bookmarkEnd w:id="2"/>
    </w:p>
    <w:p w14:paraId="690D3C6F" w14:textId="5898CC1F"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Over the suburbs and regions </w:t>
      </w:r>
      <w:proofErr w:type="spellStart"/>
      <w:r w:rsidRPr="00474064">
        <w:rPr>
          <w:rFonts w:ascii="Arial" w:hAnsi="Arial" w:cs="Arial"/>
          <w:sz w:val="24"/>
          <w:szCs w:val="24"/>
          <w:lang w:val="en-IN"/>
        </w:rPr>
        <w:t>od</w:t>
      </w:r>
      <w:proofErr w:type="spellEnd"/>
      <w:r w:rsidRPr="00474064">
        <w:rPr>
          <w:rFonts w:ascii="Arial" w:hAnsi="Arial" w:cs="Arial"/>
          <w:sz w:val="24"/>
          <w:szCs w:val="24"/>
          <w:lang w:val="en-IN"/>
        </w:rPr>
        <w:t xml:space="preserve"> middle east, the most effectively working and advanced hospitality industry of UAE involves the middle east industry. Tourism has been considered as a central pillar for their economic development and diversification beyond the business of oil. For global tourists to visit there, Abu Dhabi and Dubai </w:t>
      </w:r>
      <w:r w:rsidR="002A52BE" w:rsidRPr="005E1213">
        <w:rPr>
          <w:rFonts w:ascii="Arial" w:hAnsi="Arial" w:cs="Arial"/>
          <w:sz w:val="24"/>
          <w:szCs w:val="24"/>
          <w:lang w:val="en-IN"/>
        </w:rPr>
        <w:t>are</w:t>
      </w:r>
      <w:r w:rsidRPr="00474064">
        <w:rPr>
          <w:rFonts w:ascii="Arial" w:hAnsi="Arial" w:cs="Arial"/>
          <w:sz w:val="24"/>
          <w:szCs w:val="24"/>
          <w:lang w:val="en-IN"/>
        </w:rPr>
        <w:t xml:space="preserve"> known as hubs of global tourism, while attracting leisure, keys of business and the transit travellers as well (Haq, 2013). Government of UAE has taken several initiatives for real success of their tourism sector such as UAE vision 2030 and Dubai Tourism Strategy 2025. All these initiatives are focused upon shaping the position of the country among the world’s top tourism destination. Their mega events named as Expo 2020 Dubai significantly accelerated their overall development and progression of hotels such as Marriott internationals and their brand entry as well (Haq, 2013). </w:t>
      </w:r>
    </w:p>
    <w:p w14:paraId="3BD44D55" w14:textId="77777777" w:rsidR="00474064" w:rsidRPr="005E1213" w:rsidRDefault="00474064" w:rsidP="00474064">
      <w:pPr>
        <w:pStyle w:val="Heading2"/>
        <w:rPr>
          <w:rFonts w:ascii="Arial" w:hAnsi="Arial" w:cs="Arial"/>
          <w:sz w:val="24"/>
          <w:szCs w:val="24"/>
          <w:lang w:val="en-IN"/>
        </w:rPr>
      </w:pPr>
      <w:bookmarkStart w:id="3" w:name="_Toc227661396"/>
      <w:r w:rsidRPr="005E1213">
        <w:rPr>
          <w:rFonts w:ascii="Arial" w:hAnsi="Arial" w:cs="Arial"/>
          <w:sz w:val="24"/>
          <w:szCs w:val="24"/>
          <w:lang w:val="en-IN"/>
        </w:rPr>
        <w:t>2.2 Size, scope and economic importance</w:t>
      </w:r>
      <w:bookmarkEnd w:id="3"/>
    </w:p>
    <w:p w14:paraId="5AA79C01"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The hospitality sector of UAE in which hotel brands such as Marriott internationals operate is renowned for its large contribution and significant contribution towards GDP and employment as well. The key features involve –</w:t>
      </w:r>
    </w:p>
    <w:p w14:paraId="6B18C24E" w14:textId="77777777" w:rsidR="00474064" w:rsidRPr="00474064" w:rsidRDefault="00474064" w:rsidP="00474064">
      <w:pPr>
        <w:numPr>
          <w:ilvl w:val="0"/>
          <w:numId w:val="1"/>
        </w:numPr>
        <w:rPr>
          <w:rFonts w:ascii="Arial" w:hAnsi="Arial" w:cs="Arial"/>
          <w:sz w:val="24"/>
          <w:szCs w:val="24"/>
          <w:lang w:val="en-IN"/>
        </w:rPr>
      </w:pPr>
      <w:r w:rsidRPr="00474064">
        <w:rPr>
          <w:rFonts w:ascii="Arial" w:hAnsi="Arial" w:cs="Arial"/>
          <w:sz w:val="24"/>
          <w:szCs w:val="24"/>
          <w:lang w:val="en-IN"/>
        </w:rPr>
        <w:t>1000+ hotels of UAE including Marriott internationals represent luxurious, upper-scale and midscale serviced apartment segments.</w:t>
      </w:r>
    </w:p>
    <w:p w14:paraId="2FE3126A" w14:textId="77777777" w:rsidR="00474064" w:rsidRPr="00474064" w:rsidRDefault="00474064" w:rsidP="00474064">
      <w:pPr>
        <w:numPr>
          <w:ilvl w:val="0"/>
          <w:numId w:val="1"/>
        </w:numPr>
        <w:rPr>
          <w:rFonts w:ascii="Arial" w:hAnsi="Arial" w:cs="Arial"/>
          <w:sz w:val="24"/>
          <w:szCs w:val="24"/>
          <w:lang w:val="en-IN"/>
        </w:rPr>
      </w:pPr>
      <w:r w:rsidRPr="00474064">
        <w:rPr>
          <w:rFonts w:ascii="Arial" w:hAnsi="Arial" w:cs="Arial"/>
          <w:sz w:val="24"/>
          <w:szCs w:val="24"/>
          <w:lang w:val="en-IN"/>
        </w:rPr>
        <w:t>In comparison of regional competitors, the occupancy rate in UAE is way higher.</w:t>
      </w:r>
    </w:p>
    <w:p w14:paraId="35462B86" w14:textId="77777777" w:rsidR="00474064" w:rsidRPr="00474064" w:rsidRDefault="00474064" w:rsidP="00474064">
      <w:pPr>
        <w:numPr>
          <w:ilvl w:val="0"/>
          <w:numId w:val="1"/>
        </w:numPr>
        <w:rPr>
          <w:rFonts w:ascii="Arial" w:hAnsi="Arial" w:cs="Arial"/>
          <w:sz w:val="24"/>
          <w:szCs w:val="24"/>
          <w:lang w:val="en-IN"/>
        </w:rPr>
      </w:pPr>
      <w:r w:rsidRPr="00474064">
        <w:rPr>
          <w:rFonts w:ascii="Arial" w:hAnsi="Arial" w:cs="Arial"/>
          <w:sz w:val="24"/>
          <w:szCs w:val="24"/>
          <w:lang w:val="en-IN"/>
        </w:rPr>
        <w:t xml:space="preserve">MICE (Meetings, Incentives, Conferences, Exhibitions) tourism is strong in UAE when it is compared. </w:t>
      </w:r>
    </w:p>
    <w:p w14:paraId="6000844D" w14:textId="77777777" w:rsidR="00474064" w:rsidRPr="00474064" w:rsidRDefault="00474064" w:rsidP="00474064">
      <w:pPr>
        <w:numPr>
          <w:ilvl w:val="0"/>
          <w:numId w:val="1"/>
        </w:numPr>
        <w:rPr>
          <w:rFonts w:ascii="Arial" w:hAnsi="Arial" w:cs="Arial"/>
          <w:sz w:val="24"/>
          <w:szCs w:val="24"/>
          <w:lang w:val="en-IN"/>
        </w:rPr>
      </w:pPr>
      <w:r w:rsidRPr="00474064">
        <w:rPr>
          <w:rFonts w:ascii="Arial" w:hAnsi="Arial" w:cs="Arial"/>
          <w:sz w:val="24"/>
          <w:szCs w:val="24"/>
          <w:lang w:val="en-IN"/>
        </w:rPr>
        <w:t>A very significant set of contribution is made by UAE to foreign direct investment or FDI.</w:t>
      </w:r>
    </w:p>
    <w:p w14:paraId="0EE068E6" w14:textId="77777777" w:rsidR="00474064" w:rsidRPr="005E1213" w:rsidRDefault="00474064" w:rsidP="00474064">
      <w:pPr>
        <w:pStyle w:val="Heading2"/>
        <w:rPr>
          <w:rFonts w:ascii="Arial" w:hAnsi="Arial" w:cs="Arial"/>
          <w:sz w:val="24"/>
          <w:szCs w:val="24"/>
          <w:lang w:val="en-IN"/>
        </w:rPr>
      </w:pPr>
      <w:bookmarkStart w:id="4" w:name="_Toc227661397"/>
      <w:r w:rsidRPr="005E1213">
        <w:rPr>
          <w:rFonts w:ascii="Arial" w:hAnsi="Arial" w:cs="Arial"/>
          <w:sz w:val="24"/>
          <w:szCs w:val="24"/>
          <w:lang w:val="en-IN"/>
        </w:rPr>
        <w:t>2.3 Major domestic and multinational firms</w:t>
      </w:r>
      <w:bookmarkEnd w:id="4"/>
    </w:p>
    <w:p w14:paraId="5224FABF" w14:textId="1CC2DBA5"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The hospitality industry of UAE involves not only strong evidence of domestic hotels but also international players in hotel segment.  Following table has been shedding light upon both domestic and international players influencing local customers of UAE with </w:t>
      </w:r>
      <w:r w:rsidR="002A52BE" w:rsidRPr="005E1213">
        <w:rPr>
          <w:rFonts w:ascii="Arial" w:hAnsi="Arial" w:cs="Arial"/>
          <w:sz w:val="24"/>
          <w:szCs w:val="24"/>
          <w:lang w:val="en-IN"/>
        </w:rPr>
        <w:t>them</w:t>
      </w:r>
      <w:r w:rsidRPr="00474064">
        <w:rPr>
          <w:rFonts w:ascii="Arial" w:hAnsi="Arial" w:cs="Arial"/>
          <w:sz w:val="24"/>
          <w:szCs w:val="24"/>
          <w:lang w:val="en-IN"/>
        </w:rPr>
        <w:t xml:space="preserve"> under budget valuable hotel services.</w:t>
      </w:r>
    </w:p>
    <w:tbl>
      <w:tblPr>
        <w:tblStyle w:val="TableGrid"/>
        <w:tblW w:w="0" w:type="auto"/>
        <w:tblLook w:val="04A0" w:firstRow="1" w:lastRow="0" w:firstColumn="1" w:lastColumn="0" w:noHBand="0" w:noVBand="1"/>
      </w:tblPr>
      <w:tblGrid>
        <w:gridCol w:w="4508"/>
        <w:gridCol w:w="4508"/>
      </w:tblGrid>
      <w:tr w:rsidR="00474064" w:rsidRPr="00474064" w14:paraId="52107FA4" w14:textId="77777777">
        <w:tc>
          <w:tcPr>
            <w:tcW w:w="4508" w:type="dxa"/>
            <w:tcBorders>
              <w:top w:val="single" w:sz="4" w:space="0" w:color="auto"/>
              <w:left w:val="single" w:sz="4" w:space="0" w:color="auto"/>
              <w:bottom w:val="single" w:sz="4" w:space="0" w:color="auto"/>
              <w:right w:val="single" w:sz="4" w:space="0" w:color="auto"/>
            </w:tcBorders>
            <w:hideMark/>
          </w:tcPr>
          <w:p w14:paraId="6FB45E41" w14:textId="77777777" w:rsidR="00474064" w:rsidRPr="00474064" w:rsidRDefault="00474064" w:rsidP="00474064">
            <w:pPr>
              <w:spacing w:after="160" w:line="259" w:lineRule="auto"/>
              <w:rPr>
                <w:rFonts w:ascii="Arial" w:hAnsi="Arial" w:cs="Arial"/>
                <w:b/>
                <w:sz w:val="24"/>
                <w:szCs w:val="24"/>
                <w:lang w:val="en-IN"/>
              </w:rPr>
            </w:pPr>
            <w:r w:rsidRPr="00474064">
              <w:rPr>
                <w:rFonts w:ascii="Arial" w:hAnsi="Arial" w:cs="Arial"/>
                <w:b/>
                <w:sz w:val="24"/>
                <w:szCs w:val="24"/>
                <w:lang w:val="en-IN"/>
              </w:rPr>
              <w:t>Domestic hotels</w:t>
            </w:r>
          </w:p>
        </w:tc>
        <w:tc>
          <w:tcPr>
            <w:tcW w:w="4508" w:type="dxa"/>
            <w:tcBorders>
              <w:top w:val="single" w:sz="4" w:space="0" w:color="auto"/>
              <w:left w:val="single" w:sz="4" w:space="0" w:color="auto"/>
              <w:bottom w:val="single" w:sz="4" w:space="0" w:color="auto"/>
              <w:right w:val="single" w:sz="4" w:space="0" w:color="auto"/>
            </w:tcBorders>
            <w:hideMark/>
          </w:tcPr>
          <w:p w14:paraId="7590E0E4" w14:textId="77777777" w:rsidR="00474064" w:rsidRPr="00474064" w:rsidRDefault="00474064" w:rsidP="00474064">
            <w:pPr>
              <w:spacing w:after="160" w:line="259" w:lineRule="auto"/>
              <w:rPr>
                <w:rFonts w:ascii="Arial" w:hAnsi="Arial" w:cs="Arial"/>
                <w:b/>
                <w:sz w:val="24"/>
                <w:szCs w:val="24"/>
                <w:lang w:val="en-IN"/>
              </w:rPr>
            </w:pPr>
            <w:r w:rsidRPr="00474064">
              <w:rPr>
                <w:rFonts w:ascii="Arial" w:hAnsi="Arial" w:cs="Arial"/>
                <w:b/>
                <w:sz w:val="24"/>
                <w:szCs w:val="24"/>
                <w:lang w:val="en-IN"/>
              </w:rPr>
              <w:t>International hotels</w:t>
            </w:r>
          </w:p>
        </w:tc>
      </w:tr>
      <w:tr w:rsidR="00474064" w:rsidRPr="00474064" w14:paraId="4DACFDD3" w14:textId="77777777">
        <w:tc>
          <w:tcPr>
            <w:tcW w:w="4508" w:type="dxa"/>
            <w:tcBorders>
              <w:top w:val="single" w:sz="4" w:space="0" w:color="auto"/>
              <w:left w:val="single" w:sz="4" w:space="0" w:color="auto"/>
              <w:bottom w:val="single" w:sz="4" w:space="0" w:color="auto"/>
              <w:right w:val="single" w:sz="4" w:space="0" w:color="auto"/>
            </w:tcBorders>
            <w:hideMark/>
          </w:tcPr>
          <w:p w14:paraId="5DFD974F" w14:textId="77777777" w:rsidR="00474064" w:rsidRPr="00474064" w:rsidRDefault="00474064" w:rsidP="00474064">
            <w:pPr>
              <w:spacing w:after="160" w:line="259" w:lineRule="auto"/>
              <w:rPr>
                <w:rFonts w:ascii="Arial" w:hAnsi="Arial" w:cs="Arial"/>
                <w:sz w:val="24"/>
                <w:szCs w:val="24"/>
                <w:lang w:val="en-IN"/>
              </w:rPr>
            </w:pPr>
            <w:r w:rsidRPr="00474064">
              <w:rPr>
                <w:rFonts w:ascii="Arial" w:hAnsi="Arial" w:cs="Arial"/>
                <w:sz w:val="24"/>
                <w:szCs w:val="24"/>
                <w:lang w:val="en-IN"/>
              </w:rPr>
              <w:t>Rotana hotels</w:t>
            </w:r>
          </w:p>
        </w:tc>
        <w:tc>
          <w:tcPr>
            <w:tcW w:w="4508" w:type="dxa"/>
            <w:tcBorders>
              <w:top w:val="single" w:sz="4" w:space="0" w:color="auto"/>
              <w:left w:val="single" w:sz="4" w:space="0" w:color="auto"/>
              <w:bottom w:val="single" w:sz="4" w:space="0" w:color="auto"/>
              <w:right w:val="single" w:sz="4" w:space="0" w:color="auto"/>
            </w:tcBorders>
            <w:hideMark/>
          </w:tcPr>
          <w:p w14:paraId="64A29EA5" w14:textId="77777777" w:rsidR="00474064" w:rsidRPr="00474064" w:rsidRDefault="00474064" w:rsidP="00474064">
            <w:pPr>
              <w:spacing w:after="160" w:line="259" w:lineRule="auto"/>
              <w:rPr>
                <w:rFonts w:ascii="Arial" w:hAnsi="Arial" w:cs="Arial"/>
                <w:sz w:val="24"/>
                <w:szCs w:val="24"/>
                <w:lang w:val="en-IN"/>
              </w:rPr>
            </w:pPr>
            <w:r w:rsidRPr="00474064">
              <w:rPr>
                <w:rFonts w:ascii="Arial" w:hAnsi="Arial" w:cs="Arial"/>
                <w:sz w:val="24"/>
                <w:szCs w:val="24"/>
                <w:lang w:val="en-IN"/>
              </w:rPr>
              <w:t>Marriott internationals</w:t>
            </w:r>
          </w:p>
        </w:tc>
      </w:tr>
      <w:tr w:rsidR="00474064" w:rsidRPr="00474064" w14:paraId="6FA34774" w14:textId="77777777">
        <w:tc>
          <w:tcPr>
            <w:tcW w:w="4508" w:type="dxa"/>
            <w:tcBorders>
              <w:top w:val="single" w:sz="4" w:space="0" w:color="auto"/>
              <w:left w:val="single" w:sz="4" w:space="0" w:color="auto"/>
              <w:bottom w:val="single" w:sz="4" w:space="0" w:color="auto"/>
              <w:right w:val="single" w:sz="4" w:space="0" w:color="auto"/>
            </w:tcBorders>
            <w:hideMark/>
          </w:tcPr>
          <w:p w14:paraId="00927859" w14:textId="77777777" w:rsidR="00474064" w:rsidRPr="00474064" w:rsidRDefault="00474064" w:rsidP="00474064">
            <w:pPr>
              <w:spacing w:after="160" w:line="259" w:lineRule="auto"/>
              <w:rPr>
                <w:rFonts w:ascii="Arial" w:hAnsi="Arial" w:cs="Arial"/>
                <w:sz w:val="24"/>
                <w:szCs w:val="24"/>
                <w:lang w:val="en-IN"/>
              </w:rPr>
            </w:pPr>
            <w:r w:rsidRPr="00474064">
              <w:rPr>
                <w:rFonts w:ascii="Arial" w:hAnsi="Arial" w:cs="Arial"/>
                <w:sz w:val="24"/>
                <w:szCs w:val="24"/>
                <w:lang w:val="en-IN"/>
              </w:rPr>
              <w:t xml:space="preserve">Jumeriah group </w:t>
            </w:r>
          </w:p>
        </w:tc>
        <w:tc>
          <w:tcPr>
            <w:tcW w:w="4508" w:type="dxa"/>
            <w:tcBorders>
              <w:top w:val="single" w:sz="4" w:space="0" w:color="auto"/>
              <w:left w:val="single" w:sz="4" w:space="0" w:color="auto"/>
              <w:bottom w:val="single" w:sz="4" w:space="0" w:color="auto"/>
              <w:right w:val="single" w:sz="4" w:space="0" w:color="auto"/>
            </w:tcBorders>
            <w:hideMark/>
          </w:tcPr>
          <w:p w14:paraId="0E1FA901" w14:textId="77777777" w:rsidR="00474064" w:rsidRPr="00474064" w:rsidRDefault="00474064" w:rsidP="00474064">
            <w:pPr>
              <w:spacing w:after="160" w:line="259" w:lineRule="auto"/>
              <w:rPr>
                <w:rFonts w:ascii="Arial" w:hAnsi="Arial" w:cs="Arial"/>
                <w:sz w:val="24"/>
                <w:szCs w:val="24"/>
                <w:lang w:val="en-IN"/>
              </w:rPr>
            </w:pPr>
            <w:r w:rsidRPr="00474064">
              <w:rPr>
                <w:rFonts w:ascii="Arial" w:hAnsi="Arial" w:cs="Arial"/>
                <w:sz w:val="24"/>
                <w:szCs w:val="24"/>
                <w:lang w:val="en-IN"/>
              </w:rPr>
              <w:t>Accor</w:t>
            </w:r>
          </w:p>
        </w:tc>
      </w:tr>
      <w:tr w:rsidR="00474064" w:rsidRPr="00474064" w14:paraId="072F4325" w14:textId="77777777">
        <w:tc>
          <w:tcPr>
            <w:tcW w:w="4508" w:type="dxa"/>
            <w:tcBorders>
              <w:top w:val="single" w:sz="4" w:space="0" w:color="auto"/>
              <w:left w:val="single" w:sz="4" w:space="0" w:color="auto"/>
              <w:bottom w:val="single" w:sz="4" w:space="0" w:color="auto"/>
              <w:right w:val="single" w:sz="4" w:space="0" w:color="auto"/>
            </w:tcBorders>
          </w:tcPr>
          <w:p w14:paraId="65F92C68" w14:textId="77777777" w:rsidR="00474064" w:rsidRPr="00474064" w:rsidRDefault="00474064" w:rsidP="00474064">
            <w:pPr>
              <w:spacing w:after="160" w:line="259" w:lineRule="auto"/>
              <w:rPr>
                <w:rFonts w:ascii="Arial" w:hAnsi="Arial" w:cs="Arial"/>
                <w:sz w:val="24"/>
                <w:szCs w:val="24"/>
                <w:lang w:val="en-IN"/>
              </w:rPr>
            </w:pPr>
          </w:p>
        </w:tc>
        <w:tc>
          <w:tcPr>
            <w:tcW w:w="4508" w:type="dxa"/>
            <w:tcBorders>
              <w:top w:val="single" w:sz="4" w:space="0" w:color="auto"/>
              <w:left w:val="single" w:sz="4" w:space="0" w:color="auto"/>
              <w:bottom w:val="single" w:sz="4" w:space="0" w:color="auto"/>
              <w:right w:val="single" w:sz="4" w:space="0" w:color="auto"/>
            </w:tcBorders>
            <w:hideMark/>
          </w:tcPr>
          <w:p w14:paraId="23296C5F" w14:textId="77777777" w:rsidR="00474064" w:rsidRPr="00474064" w:rsidRDefault="00474064" w:rsidP="00474064">
            <w:pPr>
              <w:spacing w:after="160" w:line="259" w:lineRule="auto"/>
              <w:rPr>
                <w:rFonts w:ascii="Arial" w:hAnsi="Arial" w:cs="Arial"/>
                <w:sz w:val="24"/>
                <w:szCs w:val="24"/>
                <w:lang w:val="en-IN"/>
              </w:rPr>
            </w:pPr>
            <w:r w:rsidRPr="00474064">
              <w:rPr>
                <w:rFonts w:ascii="Arial" w:hAnsi="Arial" w:cs="Arial"/>
                <w:sz w:val="24"/>
                <w:szCs w:val="24"/>
                <w:lang w:val="en-IN"/>
              </w:rPr>
              <w:t>Hilton worldwide</w:t>
            </w:r>
          </w:p>
        </w:tc>
      </w:tr>
      <w:tr w:rsidR="00474064" w:rsidRPr="00474064" w14:paraId="6D1A8E32" w14:textId="77777777">
        <w:tc>
          <w:tcPr>
            <w:tcW w:w="4508" w:type="dxa"/>
            <w:tcBorders>
              <w:top w:val="single" w:sz="4" w:space="0" w:color="auto"/>
              <w:left w:val="single" w:sz="4" w:space="0" w:color="auto"/>
              <w:bottom w:val="single" w:sz="4" w:space="0" w:color="auto"/>
              <w:right w:val="single" w:sz="4" w:space="0" w:color="auto"/>
            </w:tcBorders>
          </w:tcPr>
          <w:p w14:paraId="3B2F929F" w14:textId="77777777" w:rsidR="00474064" w:rsidRPr="00474064" w:rsidRDefault="00474064" w:rsidP="00474064">
            <w:pPr>
              <w:spacing w:after="160" w:line="259" w:lineRule="auto"/>
              <w:rPr>
                <w:rFonts w:ascii="Arial" w:hAnsi="Arial" w:cs="Arial"/>
                <w:sz w:val="24"/>
                <w:szCs w:val="24"/>
                <w:lang w:val="en-IN"/>
              </w:rPr>
            </w:pPr>
          </w:p>
        </w:tc>
        <w:tc>
          <w:tcPr>
            <w:tcW w:w="4508" w:type="dxa"/>
            <w:tcBorders>
              <w:top w:val="single" w:sz="4" w:space="0" w:color="auto"/>
              <w:left w:val="single" w:sz="4" w:space="0" w:color="auto"/>
              <w:bottom w:val="single" w:sz="4" w:space="0" w:color="auto"/>
              <w:right w:val="single" w:sz="4" w:space="0" w:color="auto"/>
            </w:tcBorders>
            <w:hideMark/>
          </w:tcPr>
          <w:p w14:paraId="2B18AFBC" w14:textId="77777777" w:rsidR="00474064" w:rsidRPr="00474064" w:rsidRDefault="00474064" w:rsidP="00474064">
            <w:pPr>
              <w:spacing w:after="160" w:line="259" w:lineRule="auto"/>
              <w:rPr>
                <w:rFonts w:ascii="Arial" w:hAnsi="Arial" w:cs="Arial"/>
                <w:sz w:val="24"/>
                <w:szCs w:val="24"/>
                <w:lang w:val="en-IN"/>
              </w:rPr>
            </w:pPr>
            <w:r w:rsidRPr="00474064">
              <w:rPr>
                <w:rFonts w:ascii="Arial" w:hAnsi="Arial" w:cs="Arial"/>
                <w:sz w:val="24"/>
                <w:szCs w:val="24"/>
                <w:lang w:val="en-IN"/>
              </w:rPr>
              <w:t>Hyatt hotels and corporation</w:t>
            </w:r>
          </w:p>
        </w:tc>
      </w:tr>
    </w:tbl>
    <w:p w14:paraId="2ECDF845" w14:textId="77777777" w:rsidR="00474064" w:rsidRPr="00474064" w:rsidRDefault="00474064" w:rsidP="00213E68">
      <w:pPr>
        <w:jc w:val="center"/>
        <w:rPr>
          <w:rFonts w:ascii="Arial" w:hAnsi="Arial" w:cs="Arial"/>
          <w:b/>
          <w:sz w:val="24"/>
          <w:szCs w:val="24"/>
          <w:lang w:val="en-IN"/>
        </w:rPr>
      </w:pPr>
      <w:r w:rsidRPr="00474064">
        <w:rPr>
          <w:rFonts w:ascii="Arial" w:hAnsi="Arial" w:cs="Arial"/>
          <w:b/>
          <w:sz w:val="24"/>
          <w:szCs w:val="24"/>
          <w:lang w:val="en-IN"/>
        </w:rPr>
        <w:t>Table – Hotels segmentation</w:t>
      </w:r>
    </w:p>
    <w:p w14:paraId="2EBA3C52" w14:textId="77777777" w:rsidR="00474064" w:rsidRPr="005E1213" w:rsidRDefault="00474064" w:rsidP="00474064">
      <w:pPr>
        <w:pStyle w:val="Heading2"/>
        <w:rPr>
          <w:rFonts w:ascii="Arial" w:hAnsi="Arial" w:cs="Arial"/>
          <w:sz w:val="24"/>
          <w:szCs w:val="24"/>
          <w:lang w:val="en-IN"/>
        </w:rPr>
      </w:pPr>
      <w:bookmarkStart w:id="5" w:name="_Toc227661398"/>
      <w:r w:rsidRPr="005E1213">
        <w:rPr>
          <w:rFonts w:ascii="Arial" w:hAnsi="Arial" w:cs="Arial"/>
          <w:sz w:val="24"/>
          <w:szCs w:val="24"/>
          <w:lang w:val="en-IN"/>
        </w:rPr>
        <w:lastRenderedPageBreak/>
        <w:t>2.4 Relative positioning of key firms</w:t>
      </w:r>
      <w:bookmarkEnd w:id="5"/>
      <w:r w:rsidRPr="005E1213">
        <w:rPr>
          <w:rFonts w:ascii="Arial" w:hAnsi="Arial" w:cs="Arial"/>
          <w:sz w:val="24"/>
          <w:szCs w:val="24"/>
          <w:lang w:val="en-IN"/>
        </w:rPr>
        <w:t xml:space="preserve"> </w:t>
      </w:r>
    </w:p>
    <w:p w14:paraId="39A8D3AE" w14:textId="77EADF70" w:rsidR="00474064" w:rsidRPr="00474064" w:rsidRDefault="00474064" w:rsidP="00474064">
      <w:pPr>
        <w:rPr>
          <w:rFonts w:ascii="Arial" w:hAnsi="Arial" w:cs="Arial"/>
          <w:sz w:val="24"/>
          <w:szCs w:val="24"/>
          <w:lang w:val="en-IN"/>
        </w:rPr>
      </w:pPr>
      <w:r w:rsidRPr="00474064">
        <w:rPr>
          <w:rFonts w:ascii="Arial" w:hAnsi="Arial" w:cs="Arial"/>
          <w:b/>
          <w:sz w:val="24"/>
          <w:szCs w:val="24"/>
          <w:lang w:val="en-IN"/>
        </w:rPr>
        <w:t xml:space="preserve">Marriott internationals – </w:t>
      </w:r>
      <w:r w:rsidRPr="00474064">
        <w:rPr>
          <w:rFonts w:ascii="Arial" w:hAnsi="Arial" w:cs="Arial"/>
          <w:sz w:val="24"/>
          <w:szCs w:val="24"/>
          <w:lang w:val="en-IN"/>
        </w:rPr>
        <w:t xml:space="preserve">The firm has been operating with a very wide and broad brand portfolio such as luxury to midscale ranging rooms. In addition, Marriott internationals </w:t>
      </w:r>
      <w:r w:rsidR="002A52BE" w:rsidRPr="005E1213">
        <w:rPr>
          <w:rFonts w:ascii="Arial" w:hAnsi="Arial" w:cs="Arial"/>
          <w:sz w:val="24"/>
          <w:szCs w:val="24"/>
          <w:lang w:val="en-IN"/>
        </w:rPr>
        <w:t>operate</w:t>
      </w:r>
      <w:r w:rsidRPr="00474064">
        <w:rPr>
          <w:rFonts w:ascii="Arial" w:hAnsi="Arial" w:cs="Arial"/>
          <w:sz w:val="24"/>
          <w:szCs w:val="24"/>
          <w:lang w:val="en-IN"/>
        </w:rPr>
        <w:t xml:space="preserve"> in UAE with effective asset-light management and franchise model. Apart from this, Marriott Bonvoy is </w:t>
      </w:r>
      <w:r w:rsidR="002A52BE" w:rsidRPr="005E1213">
        <w:rPr>
          <w:rFonts w:ascii="Arial" w:hAnsi="Arial" w:cs="Arial"/>
          <w:sz w:val="24"/>
          <w:szCs w:val="24"/>
          <w:lang w:val="en-IN"/>
        </w:rPr>
        <w:t>their</w:t>
      </w:r>
      <w:r w:rsidRPr="00474064">
        <w:rPr>
          <w:rFonts w:ascii="Arial" w:hAnsi="Arial" w:cs="Arial"/>
          <w:sz w:val="24"/>
          <w:szCs w:val="24"/>
          <w:lang w:val="en-IN"/>
        </w:rPr>
        <w:t xml:space="preserve"> strong loyalty program, which encourages them to focus upon premium and luxury urban properties. </w:t>
      </w:r>
    </w:p>
    <w:p w14:paraId="1CCD9567" w14:textId="77777777" w:rsidR="00474064" w:rsidRPr="00474064" w:rsidRDefault="00474064" w:rsidP="00474064">
      <w:pPr>
        <w:rPr>
          <w:rFonts w:ascii="Arial" w:hAnsi="Arial" w:cs="Arial"/>
          <w:sz w:val="24"/>
          <w:szCs w:val="24"/>
          <w:lang w:val="en-IN"/>
        </w:rPr>
      </w:pPr>
      <w:r w:rsidRPr="00474064">
        <w:rPr>
          <w:rFonts w:ascii="Arial" w:hAnsi="Arial" w:cs="Arial"/>
          <w:b/>
          <w:sz w:val="24"/>
          <w:szCs w:val="24"/>
          <w:lang w:val="en-IN"/>
        </w:rPr>
        <w:t>Hilton</w:t>
      </w:r>
      <w:r w:rsidRPr="00474064">
        <w:rPr>
          <w:rFonts w:ascii="Arial" w:hAnsi="Arial" w:cs="Arial"/>
          <w:sz w:val="24"/>
          <w:szCs w:val="24"/>
          <w:lang w:val="en-IN"/>
        </w:rPr>
        <w:t xml:space="preserve"> – Factors that enact as pros of Marriott internationals involves their positioning in UAE as a mid-scale and business traveller positioning as well, which helps emphasizing Hilton on digital innovation and loyalty ecosystems (Russo, Figueira and Santos, 2023). </w:t>
      </w:r>
    </w:p>
    <w:p w14:paraId="15E94612" w14:textId="77777777" w:rsidR="00474064" w:rsidRPr="00474064" w:rsidRDefault="00474064" w:rsidP="00474064">
      <w:pPr>
        <w:rPr>
          <w:rFonts w:ascii="Arial" w:hAnsi="Arial" w:cs="Arial"/>
          <w:sz w:val="24"/>
          <w:szCs w:val="24"/>
          <w:lang w:val="en-IN"/>
        </w:rPr>
      </w:pPr>
      <w:r w:rsidRPr="00474064">
        <w:rPr>
          <w:rFonts w:ascii="Arial" w:hAnsi="Arial" w:cs="Arial"/>
          <w:b/>
          <w:sz w:val="24"/>
          <w:szCs w:val="24"/>
          <w:lang w:val="en-IN"/>
        </w:rPr>
        <w:t xml:space="preserve">Accor – </w:t>
      </w:r>
      <w:r w:rsidRPr="00474064">
        <w:rPr>
          <w:rFonts w:ascii="Arial" w:hAnsi="Arial" w:cs="Arial"/>
          <w:sz w:val="24"/>
          <w:szCs w:val="24"/>
          <w:lang w:val="en-IN"/>
        </w:rPr>
        <w:t xml:space="preserve">This hotel showcases a very strong presence when it comes to midscale and economy segments accommodation. The firm expand its business on the basis of aggressive expansion strategy. </w:t>
      </w:r>
    </w:p>
    <w:p w14:paraId="3131D61D" w14:textId="77777777" w:rsidR="00474064" w:rsidRPr="00474064" w:rsidRDefault="00474064" w:rsidP="00474064">
      <w:pPr>
        <w:rPr>
          <w:rFonts w:ascii="Arial" w:hAnsi="Arial" w:cs="Arial"/>
          <w:sz w:val="24"/>
          <w:szCs w:val="24"/>
          <w:lang w:val="en-IN"/>
        </w:rPr>
      </w:pPr>
      <w:r w:rsidRPr="00474064">
        <w:rPr>
          <w:rFonts w:ascii="Arial" w:hAnsi="Arial" w:cs="Arial"/>
          <w:b/>
          <w:sz w:val="24"/>
          <w:szCs w:val="24"/>
          <w:lang w:val="en-IN"/>
        </w:rPr>
        <w:t>Jumeriah group</w:t>
      </w:r>
      <w:r w:rsidRPr="00474064">
        <w:rPr>
          <w:rFonts w:ascii="Arial" w:hAnsi="Arial" w:cs="Arial"/>
          <w:sz w:val="24"/>
          <w:szCs w:val="24"/>
          <w:lang w:val="en-IN"/>
        </w:rPr>
        <w:t xml:space="preserve"> – In addition, pure luxury positioning has been maintained over the suburbs of UAE by this hotel franchises. While, their main key focus is upon iconic and experimental properties (Balakrishnan, 2011). </w:t>
      </w:r>
    </w:p>
    <w:p w14:paraId="5FEFEB81" w14:textId="77777777" w:rsidR="00474064" w:rsidRPr="005E1213" w:rsidRDefault="00474064" w:rsidP="00282C65">
      <w:pPr>
        <w:pStyle w:val="Heading1"/>
        <w:rPr>
          <w:rFonts w:ascii="Arial" w:hAnsi="Arial" w:cs="Arial"/>
        </w:rPr>
      </w:pPr>
      <w:bookmarkStart w:id="6" w:name="_Toc227661399"/>
      <w:r w:rsidRPr="005E1213">
        <w:rPr>
          <w:rFonts w:ascii="Arial" w:hAnsi="Arial" w:cs="Arial"/>
        </w:rPr>
        <w:t>3. Application of Porter’s Diamond Model</w:t>
      </w:r>
      <w:bookmarkEnd w:id="6"/>
      <w:r w:rsidRPr="005E1213">
        <w:rPr>
          <w:rFonts w:ascii="Arial" w:hAnsi="Arial" w:cs="Arial"/>
        </w:rPr>
        <w:t xml:space="preserve"> </w:t>
      </w:r>
    </w:p>
    <w:p w14:paraId="122A8CF5"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In order to analyse the global competitiveness aligned within UAE hospitality industry. A well-structured framework must be considered named as Porter’s Diamond Model. With the help of this model, it will become way easier to examine the factor conditions along with changing conditions in demand, strategies of the firm, government involvement and chance factor collectively shape the competitive advantage for the firms in industry such as Marriot International (Tan, 2025). </w:t>
      </w:r>
    </w:p>
    <w:p w14:paraId="056E455C" w14:textId="77777777" w:rsidR="00474064" w:rsidRPr="00474064" w:rsidRDefault="00474064" w:rsidP="00474064">
      <w:pPr>
        <w:rPr>
          <w:rFonts w:ascii="Arial" w:hAnsi="Arial" w:cs="Arial"/>
          <w:sz w:val="24"/>
          <w:szCs w:val="24"/>
          <w:lang w:val="en-IN"/>
        </w:rPr>
      </w:pPr>
      <w:r w:rsidRPr="00474064">
        <w:rPr>
          <w:rFonts w:ascii="Arial" w:hAnsi="Arial" w:cs="Arial"/>
          <w:b/>
          <w:sz w:val="24"/>
          <w:szCs w:val="24"/>
          <w:lang w:val="en-IN"/>
        </w:rPr>
        <w:t>Factor conditions –</w:t>
      </w:r>
      <w:r w:rsidRPr="00474064">
        <w:rPr>
          <w:rFonts w:ascii="Arial" w:hAnsi="Arial" w:cs="Arial"/>
          <w:sz w:val="24"/>
          <w:szCs w:val="24"/>
          <w:lang w:val="en-IN"/>
        </w:rPr>
        <w:t xml:space="preserve"> At first, the factor conditions basically support and encourage the competitiveness of hospitality industry in UAE. The country has actually invested heavily to design world’s best hospitality sector such as for building modern hotels, building world-class airports, highways and urban system of transports. When it comes to hotels of UAE such as Marriot Internationals, UAE support it by integration of smart technologies, reliable utilities and best quality real estate infrastructure (Tan, 2025). One of the major advantages of UAE industry is their welcoming nature for diverse workforce and expatriate-based systems use. Due to this, hotels in the UAE such as Marriot Internationals are able to provide their customers access to operational flexibility and service quality overall.</w:t>
      </w:r>
    </w:p>
    <w:p w14:paraId="7267904B" w14:textId="04057A7A" w:rsidR="00474064" w:rsidRPr="00474064" w:rsidRDefault="00474064" w:rsidP="00E5114B">
      <w:pPr>
        <w:jc w:val="center"/>
        <w:rPr>
          <w:rFonts w:ascii="Arial" w:hAnsi="Arial" w:cs="Arial"/>
          <w:sz w:val="24"/>
          <w:szCs w:val="24"/>
          <w:lang w:val="en-IN"/>
        </w:rPr>
      </w:pPr>
      <w:r w:rsidRPr="005E1213">
        <w:rPr>
          <w:rFonts w:ascii="Arial" w:hAnsi="Arial" w:cs="Arial"/>
          <w:noProof/>
          <w:sz w:val="24"/>
          <w:szCs w:val="24"/>
          <w:lang w:val="en-IN"/>
        </w:rPr>
        <w:lastRenderedPageBreak/>
        <w:drawing>
          <wp:inline distT="0" distB="0" distL="0" distR="0" wp14:anchorId="18BCCDA0" wp14:editId="7FB5FF06">
            <wp:extent cx="5730240" cy="3200400"/>
            <wp:effectExtent l="0" t="0" r="3810" b="0"/>
            <wp:docPr id="1704827814" name="Picture 17" descr="Dubai's Hospitality Sector Market Performance in 2023 | Insights |  Cavendish Maxwe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ubai's Hospitality Sector Market Performance in 2023 | Insights |  Cavendish Maxwel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240" cy="3200400"/>
                    </a:xfrm>
                    <a:prstGeom prst="rect">
                      <a:avLst/>
                    </a:prstGeom>
                    <a:noFill/>
                    <a:ln>
                      <a:noFill/>
                    </a:ln>
                  </pic:spPr>
                </pic:pic>
              </a:graphicData>
            </a:graphic>
          </wp:inline>
        </w:drawing>
      </w:r>
    </w:p>
    <w:p w14:paraId="0A177E17" w14:textId="77777777" w:rsidR="00474064" w:rsidRPr="00474064" w:rsidRDefault="00474064" w:rsidP="00E5114B">
      <w:pPr>
        <w:jc w:val="center"/>
        <w:rPr>
          <w:rFonts w:ascii="Arial" w:hAnsi="Arial" w:cs="Arial"/>
          <w:sz w:val="24"/>
          <w:szCs w:val="24"/>
          <w:lang w:val="en-IN"/>
        </w:rPr>
      </w:pPr>
      <w:r w:rsidRPr="00474064">
        <w:rPr>
          <w:rFonts w:ascii="Arial" w:hAnsi="Arial" w:cs="Arial"/>
          <w:b/>
          <w:sz w:val="24"/>
          <w:szCs w:val="24"/>
          <w:lang w:val="en-IN"/>
        </w:rPr>
        <w:t>Source - (Cavendish Maxwell, 2025)</w:t>
      </w:r>
    </w:p>
    <w:p w14:paraId="424D011C" w14:textId="117B3854" w:rsidR="00474064" w:rsidRPr="00474064" w:rsidRDefault="00474064" w:rsidP="00474064">
      <w:pPr>
        <w:rPr>
          <w:rFonts w:ascii="Arial" w:hAnsi="Arial" w:cs="Arial"/>
          <w:sz w:val="24"/>
          <w:szCs w:val="24"/>
          <w:lang w:val="en-IN"/>
        </w:rPr>
      </w:pPr>
      <w:r w:rsidRPr="00474064">
        <w:rPr>
          <w:rFonts w:ascii="Arial" w:hAnsi="Arial" w:cs="Arial"/>
          <w:b/>
          <w:sz w:val="24"/>
          <w:szCs w:val="24"/>
          <w:lang w:val="en-IN"/>
        </w:rPr>
        <w:t>Demand conditions</w:t>
      </w:r>
      <w:r w:rsidRPr="00474064">
        <w:rPr>
          <w:rFonts w:ascii="Arial" w:hAnsi="Arial" w:cs="Arial"/>
          <w:sz w:val="24"/>
          <w:szCs w:val="24"/>
          <w:lang w:val="en-IN"/>
        </w:rPr>
        <w:t xml:space="preserve"> – Customers setting higher expectations from the hotels of UAE such as Marriot Internationals push their management to keep audit on advanced technology use and to innovate in service quality also. The domestic population of UAE is considered most significantly to be high-income generating residents and the expatriates there has strong </w:t>
      </w:r>
      <w:r w:rsidR="006F162C" w:rsidRPr="005E1213">
        <w:rPr>
          <w:rFonts w:ascii="Arial" w:hAnsi="Arial" w:cs="Arial"/>
          <w:sz w:val="24"/>
          <w:szCs w:val="24"/>
          <w:lang w:val="en-IN"/>
        </w:rPr>
        <w:t>purchased</w:t>
      </w:r>
      <w:r w:rsidRPr="00474064">
        <w:rPr>
          <w:rFonts w:ascii="Arial" w:hAnsi="Arial" w:cs="Arial"/>
          <w:sz w:val="24"/>
          <w:szCs w:val="24"/>
          <w:lang w:val="en-IN"/>
        </w:rPr>
        <w:t xml:space="preserve"> power. With this customer base, demand for luxury services in hotel increases (Cavendish Maxwell, 2025). With their premium services in hospitality industry, hotels such as Marriot Internationals attract not only leisure customers, but also grab attention of business tourists, transit passengers and conference delegates at the same time. For expanding the demand for luxury hotel care services, Dubai UAE conducted mega events such as Expo 2020, with which they successfully accelerated demand growth. </w:t>
      </w:r>
    </w:p>
    <w:p w14:paraId="1F307753" w14:textId="7D484BEC" w:rsidR="00474064" w:rsidRPr="00474064" w:rsidRDefault="00474064" w:rsidP="00D77EE3">
      <w:pPr>
        <w:jc w:val="center"/>
        <w:rPr>
          <w:rFonts w:ascii="Arial" w:hAnsi="Arial" w:cs="Arial"/>
          <w:sz w:val="24"/>
          <w:szCs w:val="24"/>
          <w:lang w:val="en-IN"/>
        </w:rPr>
      </w:pPr>
      <w:r w:rsidRPr="005E1213">
        <w:rPr>
          <w:rFonts w:ascii="Arial" w:hAnsi="Arial" w:cs="Arial"/>
          <w:noProof/>
          <w:sz w:val="24"/>
          <w:szCs w:val="24"/>
          <w:lang w:val="en-IN"/>
        </w:rPr>
        <w:drawing>
          <wp:inline distT="0" distB="0" distL="0" distR="0" wp14:anchorId="1E293417" wp14:editId="1245678A">
            <wp:extent cx="4703619" cy="2558218"/>
            <wp:effectExtent l="0" t="0" r="1905" b="0"/>
            <wp:docPr id="45373558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32279" cy="2573806"/>
                    </a:xfrm>
                    <a:prstGeom prst="rect">
                      <a:avLst/>
                    </a:prstGeom>
                    <a:noFill/>
                    <a:ln>
                      <a:noFill/>
                    </a:ln>
                  </pic:spPr>
                </pic:pic>
              </a:graphicData>
            </a:graphic>
          </wp:inline>
        </w:drawing>
      </w:r>
    </w:p>
    <w:p w14:paraId="215E7110" w14:textId="77777777" w:rsidR="00474064" w:rsidRPr="00474064" w:rsidRDefault="00474064" w:rsidP="00D77EE3">
      <w:pPr>
        <w:jc w:val="center"/>
        <w:rPr>
          <w:rFonts w:ascii="Arial" w:hAnsi="Arial" w:cs="Arial"/>
          <w:sz w:val="24"/>
          <w:szCs w:val="24"/>
          <w:lang w:val="en-IN"/>
        </w:rPr>
      </w:pPr>
      <w:r w:rsidRPr="00474064">
        <w:rPr>
          <w:rFonts w:ascii="Arial" w:hAnsi="Arial" w:cs="Arial"/>
          <w:b/>
          <w:sz w:val="24"/>
          <w:szCs w:val="24"/>
          <w:lang w:val="en-IN"/>
        </w:rPr>
        <w:t>Source - (</w:t>
      </w:r>
      <w:r w:rsidRPr="00474064">
        <w:rPr>
          <w:rFonts w:ascii="Arial" w:hAnsi="Arial" w:cs="Arial"/>
          <w:b/>
          <w:i/>
          <w:iCs/>
          <w:sz w:val="24"/>
          <w:szCs w:val="24"/>
          <w:lang w:val="en-IN"/>
        </w:rPr>
        <w:t>UAE luxury hotels and hospitality market</w:t>
      </w:r>
      <w:r w:rsidRPr="00474064">
        <w:rPr>
          <w:rFonts w:ascii="Arial" w:hAnsi="Arial" w:cs="Arial"/>
          <w:b/>
          <w:sz w:val="24"/>
          <w:szCs w:val="24"/>
          <w:lang w:val="en-IN"/>
        </w:rPr>
        <w:t>, 2026)</w:t>
      </w:r>
    </w:p>
    <w:p w14:paraId="3F243859" w14:textId="77777777" w:rsidR="00474064" w:rsidRPr="00474064" w:rsidRDefault="00474064" w:rsidP="00474064">
      <w:pPr>
        <w:rPr>
          <w:rFonts w:ascii="Arial" w:hAnsi="Arial" w:cs="Arial"/>
          <w:sz w:val="24"/>
          <w:szCs w:val="24"/>
          <w:lang w:val="en-IN"/>
        </w:rPr>
      </w:pPr>
      <w:r w:rsidRPr="00474064">
        <w:rPr>
          <w:rFonts w:ascii="Arial" w:hAnsi="Arial" w:cs="Arial"/>
          <w:b/>
          <w:sz w:val="24"/>
          <w:szCs w:val="24"/>
          <w:lang w:val="en-IN"/>
        </w:rPr>
        <w:lastRenderedPageBreak/>
        <w:t>Related and supported industries</w:t>
      </w:r>
      <w:r w:rsidRPr="00474064">
        <w:rPr>
          <w:rFonts w:ascii="Arial" w:hAnsi="Arial" w:cs="Arial"/>
          <w:sz w:val="24"/>
          <w:szCs w:val="24"/>
          <w:lang w:val="en-IN"/>
        </w:rPr>
        <w:t xml:space="preserve"> – The development of related industry in UAE is considered under the exceptional category, with which a very powerful tourism ecosystem is formed. Overall, presence of the global airlines such as Emirates and hotels such as Marriot internationals ensure they are highly connected with international markets, with which they are supporting inbound tourism. The retail sector there complements the hospitality offerings while enhancing the overall experience of the visitors. Also, collaboration of real estate developers very closely affects the international chains of hotels so that they can build residential units, combination of commercial spaces and hotels also. In addition to this, In the UAE, event management infrastructure supports all kind of travellers along with MICE tourism, in order to diversify their revenue generating streams (Cavendish Maxwell, 2025). </w:t>
      </w:r>
    </w:p>
    <w:p w14:paraId="6B927763" w14:textId="77777777" w:rsidR="00474064" w:rsidRPr="00474064" w:rsidRDefault="00474064" w:rsidP="00474064">
      <w:pPr>
        <w:rPr>
          <w:rFonts w:ascii="Arial" w:hAnsi="Arial" w:cs="Arial"/>
          <w:sz w:val="24"/>
          <w:szCs w:val="24"/>
          <w:lang w:val="en-IN"/>
        </w:rPr>
      </w:pPr>
      <w:r w:rsidRPr="00474064">
        <w:rPr>
          <w:rFonts w:ascii="Arial" w:hAnsi="Arial" w:cs="Arial"/>
          <w:b/>
          <w:sz w:val="24"/>
          <w:szCs w:val="24"/>
          <w:lang w:val="en-IN"/>
        </w:rPr>
        <w:t>Firm strategy, structure and rivalry</w:t>
      </w:r>
      <w:r w:rsidRPr="00474064">
        <w:rPr>
          <w:rFonts w:ascii="Arial" w:hAnsi="Arial" w:cs="Arial"/>
          <w:sz w:val="24"/>
          <w:szCs w:val="24"/>
          <w:lang w:val="en-IN"/>
        </w:rPr>
        <w:t xml:space="preserve"> – In context of operating in UAE, it is significant factor for Marriot internationals. There hospitality industry is really very competitive with a very high number of currently operating international chains of hotels involving the premium ones, luxury hotels, and midscale segments also. In this, firms such as Marriot internationals, Accor and Domestic leaders of UAE named Jumeirah group competes with one another for keeping their market share value higher in comparison of others (</w:t>
      </w:r>
      <w:proofErr w:type="spellStart"/>
      <w:r w:rsidRPr="00474064">
        <w:rPr>
          <w:rFonts w:ascii="Arial" w:hAnsi="Arial" w:cs="Arial"/>
          <w:sz w:val="24"/>
          <w:szCs w:val="24"/>
          <w:lang w:val="en-IN"/>
        </w:rPr>
        <w:t>Daghfous</w:t>
      </w:r>
      <w:proofErr w:type="spellEnd"/>
      <w:r w:rsidRPr="00474064">
        <w:rPr>
          <w:rFonts w:ascii="Arial" w:hAnsi="Arial" w:cs="Arial"/>
          <w:sz w:val="24"/>
          <w:szCs w:val="24"/>
          <w:lang w:val="en-IN"/>
        </w:rPr>
        <w:t xml:space="preserve"> and </w:t>
      </w:r>
      <w:proofErr w:type="spellStart"/>
      <w:r w:rsidRPr="00474064">
        <w:rPr>
          <w:rFonts w:ascii="Arial" w:hAnsi="Arial" w:cs="Arial"/>
          <w:sz w:val="24"/>
          <w:szCs w:val="24"/>
          <w:lang w:val="en-IN"/>
        </w:rPr>
        <w:t>Barkhi</w:t>
      </w:r>
      <w:proofErr w:type="spellEnd"/>
      <w:r w:rsidRPr="00474064">
        <w:rPr>
          <w:rFonts w:ascii="Arial" w:hAnsi="Arial" w:cs="Arial"/>
          <w:sz w:val="24"/>
          <w:szCs w:val="24"/>
          <w:lang w:val="en-IN"/>
        </w:rPr>
        <w:t xml:space="preserve">, 2009). Due to this level of rivalry, constant innovation is evident there in hotels, with improvement of quality service provision, digital adoption rate increases along with differentiation of brands. </w:t>
      </w:r>
    </w:p>
    <w:p w14:paraId="6CFAEE9F" w14:textId="77777777" w:rsidR="00474064" w:rsidRPr="00474064" w:rsidRDefault="00474064" w:rsidP="00474064">
      <w:pPr>
        <w:rPr>
          <w:rFonts w:ascii="Arial" w:hAnsi="Arial" w:cs="Arial"/>
          <w:sz w:val="24"/>
          <w:szCs w:val="24"/>
          <w:lang w:val="en-IN"/>
        </w:rPr>
      </w:pPr>
      <w:r w:rsidRPr="00474064">
        <w:rPr>
          <w:rFonts w:ascii="Arial" w:hAnsi="Arial" w:cs="Arial"/>
          <w:b/>
          <w:sz w:val="24"/>
          <w:szCs w:val="24"/>
          <w:lang w:val="en-IN"/>
        </w:rPr>
        <w:t>Role of government</w:t>
      </w:r>
      <w:r w:rsidRPr="00474064">
        <w:rPr>
          <w:rFonts w:ascii="Arial" w:hAnsi="Arial" w:cs="Arial"/>
          <w:sz w:val="24"/>
          <w:szCs w:val="24"/>
          <w:lang w:val="en-IN"/>
        </w:rPr>
        <w:t xml:space="preserve"> – It is one of the national advantages for the firms such as Marriot internationals. The government of UAE strategically introduces their central pillar of economic success and named it as their local hospitality and tourism industry. Local government of UAE promotes foreign direct investments, tax-friendly environments and other supporting infrastructure as well. Also, UAE maintains required level of transparency in their regulatory frameworks’ application, which is relatively supportive for operations of international business (</w:t>
      </w:r>
      <w:proofErr w:type="spellStart"/>
      <w:r w:rsidRPr="00474064">
        <w:rPr>
          <w:rFonts w:ascii="Arial" w:hAnsi="Arial" w:cs="Arial"/>
          <w:sz w:val="24"/>
          <w:szCs w:val="24"/>
          <w:lang w:val="en-IN"/>
        </w:rPr>
        <w:t>Daghfous</w:t>
      </w:r>
      <w:proofErr w:type="spellEnd"/>
      <w:r w:rsidRPr="00474064">
        <w:rPr>
          <w:rFonts w:ascii="Arial" w:hAnsi="Arial" w:cs="Arial"/>
          <w:sz w:val="24"/>
          <w:szCs w:val="24"/>
          <w:lang w:val="en-IN"/>
        </w:rPr>
        <w:t xml:space="preserve"> and </w:t>
      </w:r>
      <w:proofErr w:type="spellStart"/>
      <w:r w:rsidRPr="00474064">
        <w:rPr>
          <w:rFonts w:ascii="Arial" w:hAnsi="Arial" w:cs="Arial"/>
          <w:sz w:val="24"/>
          <w:szCs w:val="24"/>
          <w:lang w:val="en-IN"/>
        </w:rPr>
        <w:t>Barkhi</w:t>
      </w:r>
      <w:proofErr w:type="spellEnd"/>
      <w:r w:rsidRPr="00474064">
        <w:rPr>
          <w:rFonts w:ascii="Arial" w:hAnsi="Arial" w:cs="Arial"/>
          <w:sz w:val="24"/>
          <w:szCs w:val="24"/>
          <w:lang w:val="en-IN"/>
        </w:rPr>
        <w:t xml:space="preserve">, 2009). </w:t>
      </w:r>
    </w:p>
    <w:p w14:paraId="71A14C0F" w14:textId="77777777" w:rsidR="00474064" w:rsidRPr="00474064" w:rsidRDefault="00474064" w:rsidP="00474064">
      <w:pPr>
        <w:rPr>
          <w:rFonts w:ascii="Arial" w:hAnsi="Arial" w:cs="Arial"/>
          <w:sz w:val="24"/>
          <w:szCs w:val="24"/>
          <w:lang w:val="en-IN"/>
        </w:rPr>
      </w:pPr>
      <w:r w:rsidRPr="00474064">
        <w:rPr>
          <w:rFonts w:ascii="Arial" w:hAnsi="Arial" w:cs="Arial"/>
          <w:b/>
          <w:sz w:val="24"/>
          <w:szCs w:val="24"/>
          <w:lang w:val="en-IN"/>
        </w:rPr>
        <w:t>Chance events</w:t>
      </w:r>
      <w:r w:rsidRPr="00474064">
        <w:rPr>
          <w:rFonts w:ascii="Arial" w:hAnsi="Arial" w:cs="Arial"/>
          <w:sz w:val="24"/>
          <w:szCs w:val="24"/>
          <w:lang w:val="en-IN"/>
        </w:rPr>
        <w:t xml:space="preserve"> – Influence of chance events have resulted formally in development of overall industry. Factors such as disruptions in global travelling, fluctuations in prices of oil and some international exhibitions have successfully shaped the demand patterns of tourism. Events such as Pandemic period of 2020, disrupted the consistency in flow of traveling, however, the rapid recovery of the local hospitality industry of UAE and their effective crisis management reinforced the overall reputation as a resilient destination. All in all, application of Application of Porter’s Diamond Model clearly sheds light upon how UAE’s hospitality and hotel industry benefits in association with a very strong factor conditions such as demand fluctuations, intense rivalry, and proactive policies implemented by the government. Integration of all these determinants clearly showcases robustness in the national competitive advantages (</w:t>
      </w:r>
      <w:proofErr w:type="spellStart"/>
      <w:r w:rsidRPr="00474064">
        <w:rPr>
          <w:rFonts w:ascii="Arial" w:hAnsi="Arial" w:cs="Arial"/>
          <w:sz w:val="24"/>
          <w:szCs w:val="24"/>
          <w:lang w:val="en-IN"/>
        </w:rPr>
        <w:t>Alrawabdeh</w:t>
      </w:r>
      <w:proofErr w:type="spellEnd"/>
      <w:r w:rsidRPr="00474064">
        <w:rPr>
          <w:rFonts w:ascii="Arial" w:hAnsi="Arial" w:cs="Arial"/>
          <w:sz w:val="24"/>
          <w:szCs w:val="24"/>
          <w:lang w:val="en-IN"/>
        </w:rPr>
        <w:t xml:space="preserve">, 2021). </w:t>
      </w:r>
    </w:p>
    <w:p w14:paraId="53EFD6DB" w14:textId="77777777" w:rsidR="00474064" w:rsidRPr="005E1213" w:rsidRDefault="00474064" w:rsidP="00282C65">
      <w:pPr>
        <w:pStyle w:val="Heading1"/>
        <w:rPr>
          <w:rFonts w:ascii="Arial" w:hAnsi="Arial" w:cs="Arial"/>
        </w:rPr>
      </w:pPr>
      <w:bookmarkStart w:id="7" w:name="_Toc227661400"/>
      <w:r w:rsidRPr="005E1213">
        <w:rPr>
          <w:rFonts w:ascii="Arial" w:hAnsi="Arial" w:cs="Arial"/>
        </w:rPr>
        <w:lastRenderedPageBreak/>
        <w:t>4. Critical evaluation of Marriot international in the United Arab Emirates</w:t>
      </w:r>
      <w:bookmarkEnd w:id="7"/>
    </w:p>
    <w:p w14:paraId="33126FB1" w14:textId="77777777" w:rsidR="00474064" w:rsidRPr="005E1213" w:rsidRDefault="00474064" w:rsidP="00474064">
      <w:pPr>
        <w:pStyle w:val="Heading2"/>
        <w:rPr>
          <w:rFonts w:ascii="Arial" w:hAnsi="Arial" w:cs="Arial"/>
          <w:sz w:val="24"/>
          <w:szCs w:val="24"/>
          <w:lang w:val="en-IN"/>
        </w:rPr>
      </w:pPr>
      <w:bookmarkStart w:id="8" w:name="_Toc227661401"/>
      <w:r w:rsidRPr="005E1213">
        <w:rPr>
          <w:rFonts w:ascii="Arial" w:hAnsi="Arial" w:cs="Arial"/>
          <w:sz w:val="24"/>
          <w:szCs w:val="24"/>
          <w:lang w:val="en-IN"/>
        </w:rPr>
        <w:t>4.1 Company context and strategic positioning in the UAE</w:t>
      </w:r>
      <w:bookmarkEnd w:id="8"/>
    </w:p>
    <w:p w14:paraId="6553B4DC"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As per the researched data, Marriott Internationals has been considered as one of the world’s largest hotel chains, while operating with multiple brands including not only the premium segment of Marriott Internationals but midscale and luxury segments as well. Over the suburbs of UAE, Marriott Internationals has clearly been showcasing extensive presence among the areas of Dubai, Abu Dhabi and some other regions of Emirates (Leroy, 2025).</w:t>
      </w:r>
    </w:p>
    <w:p w14:paraId="574E5AC6" w14:textId="77777777" w:rsidR="00474064" w:rsidRPr="005E1213" w:rsidRDefault="00474064" w:rsidP="00474064">
      <w:pPr>
        <w:pStyle w:val="Heading2"/>
        <w:rPr>
          <w:rFonts w:ascii="Arial" w:hAnsi="Arial" w:cs="Arial"/>
          <w:sz w:val="24"/>
          <w:szCs w:val="24"/>
          <w:lang w:val="en-IN"/>
        </w:rPr>
      </w:pPr>
      <w:bookmarkStart w:id="9" w:name="_Toc227661402"/>
      <w:r w:rsidRPr="005E1213">
        <w:rPr>
          <w:rFonts w:ascii="Arial" w:hAnsi="Arial" w:cs="Arial"/>
          <w:sz w:val="24"/>
          <w:szCs w:val="24"/>
          <w:lang w:val="en-IN"/>
        </w:rPr>
        <w:t>4.2 Political environment</w:t>
      </w:r>
      <w:bookmarkEnd w:id="9"/>
    </w:p>
    <w:p w14:paraId="73FD4B9F"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In UAE, companies such as Marriott Internationals, are offered with pone of the best and most stable politically stable environments among the middle east regions. The structure of federal governance makes sure firms such as Marriott Internationals are operating under regulations and along with a very strict central coordination of tourism policies. Stability in political sector eliminates the segments of uncertainty for global and foreign investors and also allow them to perform strategically and that too for a very long-term (Leroy, 2025). </w:t>
      </w:r>
    </w:p>
    <w:p w14:paraId="574B0FF7"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Government of UAE has shown massive support for their hospitality and hotel industry directly benefited from Marriott Internationals. A very major increase could be seen as a result of the events of Expo 2020 Dubai. In simple terms, this event of Expo 2020 Dubai is factor to surge demand of hotels in UAE. For instance, level of occupancy exceeded around 75% in the last months of 2022 for hotels there in UAE. Also, near around the number of visits it attracted were 24 million which is not a small thing to manage by any hospitality industry. As a result of all this, Marriott Internationals signed more than 600 properties in the UAE region (Leroy, 2025). More than 50% properties of Marriott Internationals in UAE involved good conversion rates and adaptive level of reuse, with which market share value of Marriott Internationals increased. </w:t>
      </w:r>
    </w:p>
    <w:p w14:paraId="75B064A6" w14:textId="453CFD78" w:rsidR="00474064" w:rsidRPr="00474064" w:rsidRDefault="00474064" w:rsidP="001B7CE8">
      <w:pPr>
        <w:jc w:val="center"/>
        <w:rPr>
          <w:rFonts w:ascii="Arial" w:hAnsi="Arial" w:cs="Arial"/>
          <w:sz w:val="24"/>
          <w:szCs w:val="24"/>
          <w:lang w:val="en-IN"/>
        </w:rPr>
      </w:pPr>
      <w:r w:rsidRPr="005E1213">
        <w:rPr>
          <w:rFonts w:ascii="Arial" w:hAnsi="Arial" w:cs="Arial"/>
          <w:noProof/>
          <w:sz w:val="24"/>
          <w:szCs w:val="24"/>
          <w:lang w:val="en-IN"/>
        </w:rPr>
        <w:drawing>
          <wp:inline distT="0" distB="0" distL="0" distR="0" wp14:anchorId="2DC01C57" wp14:editId="199005D8">
            <wp:extent cx="3383280" cy="2407920"/>
            <wp:effectExtent l="0" t="0" r="7620" b="0"/>
            <wp:docPr id="1032648802" name="Picture 15" descr="UAE: number of hotels and similar establishments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AE: number of hotels and similar establishments | Statist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83280" cy="2407920"/>
                    </a:xfrm>
                    <a:prstGeom prst="rect">
                      <a:avLst/>
                    </a:prstGeom>
                    <a:noFill/>
                    <a:ln>
                      <a:noFill/>
                    </a:ln>
                  </pic:spPr>
                </pic:pic>
              </a:graphicData>
            </a:graphic>
          </wp:inline>
        </w:drawing>
      </w:r>
    </w:p>
    <w:p w14:paraId="0B12200E" w14:textId="77777777" w:rsidR="00474064" w:rsidRPr="00474064" w:rsidRDefault="00474064" w:rsidP="001B7CE8">
      <w:pPr>
        <w:jc w:val="center"/>
        <w:rPr>
          <w:rFonts w:ascii="Arial" w:hAnsi="Arial" w:cs="Arial"/>
          <w:sz w:val="24"/>
          <w:szCs w:val="24"/>
          <w:lang w:val="en-IN"/>
        </w:rPr>
      </w:pPr>
      <w:r w:rsidRPr="00474064">
        <w:rPr>
          <w:rFonts w:ascii="Arial" w:hAnsi="Arial" w:cs="Arial"/>
          <w:b/>
          <w:sz w:val="24"/>
          <w:szCs w:val="24"/>
          <w:lang w:val="en-IN"/>
        </w:rPr>
        <w:t>Source - (Statista, 2025)</w:t>
      </w:r>
    </w:p>
    <w:p w14:paraId="5164745A" w14:textId="57B21FAC"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lastRenderedPageBreak/>
        <w:t xml:space="preserve">In addition to this, Marriott Internationals also benefits from streamlining licensing procedures and a number of transparent commercial regulations. The pro-business stance of UAE offers not only low taxation but also offers special economic zones and encourages multinational expansion. However, there geopolitical tensions rising very rapidly among the suburbs of wider Middle East region may result in influence of lack of tourism sector. Although, among the suburbs of UAE, there could be some regional conflicts, as a result of which the traveller perceptions could be influenced. This is </w:t>
      </w:r>
      <w:r w:rsidRPr="005E1213">
        <w:rPr>
          <w:rFonts w:ascii="Arial" w:hAnsi="Arial" w:cs="Arial"/>
          <w:sz w:val="24"/>
          <w:szCs w:val="24"/>
          <w:lang w:val="en-IN"/>
        </w:rPr>
        <w:t>how;</w:t>
      </w:r>
      <w:r w:rsidRPr="00474064">
        <w:rPr>
          <w:rFonts w:ascii="Arial" w:hAnsi="Arial" w:cs="Arial"/>
          <w:sz w:val="24"/>
          <w:szCs w:val="24"/>
          <w:lang w:val="en-IN"/>
        </w:rPr>
        <w:t xml:space="preserve"> Marriott Internationals is required necessarily required to rely upon strong global marketing as well as building brand trust in order to deal with the potentially found reputational </w:t>
      </w:r>
      <w:r w:rsidR="00213E68" w:rsidRPr="005E1213">
        <w:rPr>
          <w:rFonts w:ascii="Arial" w:hAnsi="Arial" w:cs="Arial"/>
          <w:sz w:val="24"/>
          <w:szCs w:val="24"/>
          <w:lang w:val="en-IN"/>
        </w:rPr>
        <w:t>spillover</w:t>
      </w:r>
      <w:r w:rsidRPr="00474064">
        <w:rPr>
          <w:rFonts w:ascii="Arial" w:hAnsi="Arial" w:cs="Arial"/>
          <w:sz w:val="24"/>
          <w:szCs w:val="24"/>
          <w:lang w:val="en-IN"/>
        </w:rPr>
        <w:t xml:space="preserve"> effects. All in all, Marriott Internationals can experience operational security and grab attention of investors there while operating in favourable conditions of UAE (Statista, 2025).</w:t>
      </w:r>
    </w:p>
    <w:p w14:paraId="15D0948A" w14:textId="77777777" w:rsidR="00474064" w:rsidRPr="005E1213" w:rsidRDefault="00474064" w:rsidP="00474064">
      <w:pPr>
        <w:pStyle w:val="Heading2"/>
        <w:rPr>
          <w:rFonts w:ascii="Arial" w:hAnsi="Arial" w:cs="Arial"/>
          <w:sz w:val="24"/>
          <w:szCs w:val="24"/>
          <w:lang w:val="en-IN"/>
        </w:rPr>
      </w:pPr>
      <w:bookmarkStart w:id="10" w:name="_Toc227661403"/>
      <w:r w:rsidRPr="005E1213">
        <w:rPr>
          <w:rFonts w:ascii="Arial" w:hAnsi="Arial" w:cs="Arial"/>
          <w:sz w:val="24"/>
          <w:szCs w:val="24"/>
          <w:lang w:val="en-IN"/>
        </w:rPr>
        <w:t>4.3 Economic environment</w:t>
      </w:r>
      <w:bookmarkEnd w:id="10"/>
      <w:r w:rsidRPr="005E1213">
        <w:rPr>
          <w:rFonts w:ascii="Arial" w:hAnsi="Arial" w:cs="Arial"/>
          <w:sz w:val="24"/>
          <w:szCs w:val="24"/>
          <w:lang w:val="en-IN"/>
        </w:rPr>
        <w:t xml:space="preserve"> </w:t>
      </w:r>
    </w:p>
    <w:p w14:paraId="7DDF1E90"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According to undertaken data sources, economy of UAE is simply characterized by high rates of GDP per capita, stability in level of currency (AED pegged to USD) and diversified revenue streams beyond the industry of oil. In case of Marriott Internationals, people with strong purchasing power supports their luxury revenue streams by choosing their luxury segment over any other alternatives. The main targets of travellers in Dubai comes from India, Europe, Russia and </w:t>
      </w:r>
      <w:proofErr w:type="spellStart"/>
      <w:r w:rsidRPr="00474064">
        <w:rPr>
          <w:rFonts w:ascii="Arial" w:hAnsi="Arial" w:cs="Arial"/>
          <w:sz w:val="24"/>
          <w:szCs w:val="24"/>
          <w:lang w:val="en-IN"/>
        </w:rPr>
        <w:t>china</w:t>
      </w:r>
      <w:proofErr w:type="spellEnd"/>
      <w:r w:rsidRPr="00474064">
        <w:rPr>
          <w:rFonts w:ascii="Arial" w:hAnsi="Arial" w:cs="Arial"/>
          <w:sz w:val="24"/>
          <w:szCs w:val="24"/>
          <w:lang w:val="en-IN"/>
        </w:rPr>
        <w:t xml:space="preserve"> as well. UAE market of hospitality and hotels industry is completely luxury oriented, due to which it aligns with premium brands such as Marriott Internationals (Hassanein </w:t>
      </w:r>
      <w:r w:rsidRPr="00474064">
        <w:rPr>
          <w:rFonts w:ascii="Arial" w:hAnsi="Arial" w:cs="Arial"/>
          <w:i/>
          <w:iCs/>
          <w:sz w:val="24"/>
          <w:szCs w:val="24"/>
          <w:lang w:val="en-IN"/>
        </w:rPr>
        <w:t>et al.</w:t>
      </w:r>
      <w:r w:rsidRPr="00474064">
        <w:rPr>
          <w:rFonts w:ascii="Arial" w:hAnsi="Arial" w:cs="Arial"/>
          <w:sz w:val="24"/>
          <w:szCs w:val="24"/>
          <w:lang w:val="en-IN"/>
        </w:rPr>
        <w:t>, 2024).</w:t>
      </w:r>
    </w:p>
    <w:p w14:paraId="73A46F7F"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In the period of Covid-19 when travelling was temporarily banned for people, Marriott Internationals in UAE experienced major conflicts. Post-Pandemic recovery trends shed light upon tourism rebound, with the previous market rates returning back on pandemic levels. However, performance of pandemic is influenced clearly through economic cycle changes (Hassanein </w:t>
      </w:r>
      <w:r w:rsidRPr="00474064">
        <w:rPr>
          <w:rFonts w:ascii="Arial" w:hAnsi="Arial" w:cs="Arial"/>
          <w:i/>
          <w:iCs/>
          <w:sz w:val="24"/>
          <w:szCs w:val="24"/>
          <w:lang w:val="en-IN"/>
        </w:rPr>
        <w:t>et al.</w:t>
      </w:r>
      <w:r w:rsidRPr="00474064">
        <w:rPr>
          <w:rFonts w:ascii="Arial" w:hAnsi="Arial" w:cs="Arial"/>
          <w:sz w:val="24"/>
          <w:szCs w:val="24"/>
          <w:lang w:val="en-IN"/>
        </w:rPr>
        <w:t xml:space="preserve">, 2024). Factors such as oil price volatility, fluctuations in currency and global recession also in the source market may result in reduction of inbound travel. All the luxury hotels available in UAE are specifically sensitive to Marriott Internationals. </w:t>
      </w:r>
    </w:p>
    <w:p w14:paraId="06565EA4"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Furthermore, the overall operational costing in UAE is very high including the energy costing, imported food supplies, real estate pressure of costing and others relevant factors. Although, Marriott Internationals is able to deal with this issue through their asset-light model which helps resetting the capital exposure along with high operational expenses with impact upon ratio of profit generation.</w:t>
      </w:r>
    </w:p>
    <w:p w14:paraId="3A7964AA" w14:textId="77777777" w:rsidR="00474064" w:rsidRPr="005E1213" w:rsidRDefault="00474064" w:rsidP="00474064">
      <w:pPr>
        <w:pStyle w:val="Heading2"/>
        <w:rPr>
          <w:rFonts w:ascii="Arial" w:hAnsi="Arial" w:cs="Arial"/>
          <w:sz w:val="24"/>
          <w:szCs w:val="24"/>
          <w:lang w:val="en-IN"/>
        </w:rPr>
      </w:pPr>
      <w:bookmarkStart w:id="11" w:name="_Toc227661404"/>
      <w:r w:rsidRPr="005E1213">
        <w:rPr>
          <w:rFonts w:ascii="Arial" w:hAnsi="Arial" w:cs="Arial"/>
          <w:sz w:val="24"/>
          <w:szCs w:val="24"/>
          <w:lang w:val="en-IN"/>
        </w:rPr>
        <w:t>4.4 Legal and regulatory environment</w:t>
      </w:r>
      <w:bookmarkEnd w:id="11"/>
    </w:p>
    <w:p w14:paraId="5E17923E"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The legal management system of UAE provides transparent information access as well as investor confidence also. The commercial laws of UAE applied by the governing bodies of UAE have liberalized the foreign direct investment, which basically permits people in different sectors of UAE to have greater ownership (Qasim, 2020). Mainly, the hospitality sector and the firms such as Marriott Internationals must be in compliance with –</w:t>
      </w:r>
    </w:p>
    <w:p w14:paraId="49522F1D" w14:textId="77777777" w:rsidR="00474064" w:rsidRPr="00474064" w:rsidRDefault="00474064" w:rsidP="00474064">
      <w:pPr>
        <w:numPr>
          <w:ilvl w:val="0"/>
          <w:numId w:val="2"/>
        </w:numPr>
        <w:rPr>
          <w:rFonts w:ascii="Arial" w:hAnsi="Arial" w:cs="Arial"/>
          <w:sz w:val="24"/>
          <w:szCs w:val="24"/>
          <w:lang w:val="en-IN"/>
        </w:rPr>
      </w:pPr>
      <w:r w:rsidRPr="00474064">
        <w:rPr>
          <w:rFonts w:ascii="Arial" w:hAnsi="Arial" w:cs="Arial"/>
          <w:sz w:val="24"/>
          <w:szCs w:val="24"/>
          <w:lang w:val="en-IN"/>
        </w:rPr>
        <w:t>Licensing regulations of tourism of UAE.</w:t>
      </w:r>
    </w:p>
    <w:p w14:paraId="70E63629" w14:textId="77777777" w:rsidR="00474064" w:rsidRPr="00474064" w:rsidRDefault="00474064" w:rsidP="00474064">
      <w:pPr>
        <w:numPr>
          <w:ilvl w:val="0"/>
          <w:numId w:val="2"/>
        </w:numPr>
        <w:rPr>
          <w:rFonts w:ascii="Arial" w:hAnsi="Arial" w:cs="Arial"/>
          <w:sz w:val="24"/>
          <w:szCs w:val="24"/>
          <w:lang w:val="en-IN"/>
        </w:rPr>
      </w:pPr>
      <w:r w:rsidRPr="00474064">
        <w:rPr>
          <w:rFonts w:ascii="Arial" w:hAnsi="Arial" w:cs="Arial"/>
          <w:sz w:val="24"/>
          <w:szCs w:val="24"/>
          <w:lang w:val="en-IN"/>
        </w:rPr>
        <w:lastRenderedPageBreak/>
        <w:t>Labour laws governing expatriate workers.</w:t>
      </w:r>
    </w:p>
    <w:p w14:paraId="4AB8BFCD" w14:textId="77777777" w:rsidR="00474064" w:rsidRPr="00474064" w:rsidRDefault="00474064" w:rsidP="00474064">
      <w:pPr>
        <w:numPr>
          <w:ilvl w:val="0"/>
          <w:numId w:val="2"/>
        </w:numPr>
        <w:rPr>
          <w:rFonts w:ascii="Arial" w:hAnsi="Arial" w:cs="Arial"/>
          <w:sz w:val="24"/>
          <w:szCs w:val="24"/>
          <w:lang w:val="en-IN"/>
        </w:rPr>
      </w:pPr>
      <w:r w:rsidRPr="00474064">
        <w:rPr>
          <w:rFonts w:ascii="Arial" w:hAnsi="Arial" w:cs="Arial"/>
          <w:sz w:val="24"/>
          <w:szCs w:val="24"/>
          <w:lang w:val="en-IN"/>
        </w:rPr>
        <w:t>Health and safety compliance standards (Qasim, 2020).</w:t>
      </w:r>
    </w:p>
    <w:p w14:paraId="2CA2ED85" w14:textId="77777777" w:rsidR="00474064" w:rsidRPr="00474064" w:rsidRDefault="00474064" w:rsidP="00474064">
      <w:pPr>
        <w:numPr>
          <w:ilvl w:val="0"/>
          <w:numId w:val="2"/>
        </w:numPr>
        <w:rPr>
          <w:rFonts w:ascii="Arial" w:hAnsi="Arial" w:cs="Arial"/>
          <w:sz w:val="24"/>
          <w:szCs w:val="24"/>
          <w:lang w:val="en-IN"/>
        </w:rPr>
      </w:pPr>
      <w:r w:rsidRPr="00474064">
        <w:rPr>
          <w:rFonts w:ascii="Arial" w:hAnsi="Arial" w:cs="Arial"/>
          <w:sz w:val="24"/>
          <w:szCs w:val="24"/>
          <w:lang w:val="en-IN"/>
        </w:rPr>
        <w:t xml:space="preserve">And Emiratisation policies. </w:t>
      </w:r>
    </w:p>
    <w:p w14:paraId="017EDD30"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Marriott Internationals is known for their consistency and being operational in hospitality standards enforced by the domestic authorities of tourism. Labour law is significant and important for Marriott Internationals to operate with. Also, it is expected for Marriott Internationals to follow strictly the regulations related to work visas, contracts to be signed with employees and minimum wage provision laws as well. The global HR management system of Marriott Internationals help them ensuring legal compliance across a wide number of jurisdictions (Qasim, 2020).</w:t>
      </w:r>
    </w:p>
    <w:p w14:paraId="7AF8340E"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In addition to this, regulations related to management of sustainability are actually becoming very crucial to apply these days in hospitality industry of UAE. The government of UAE usually helps promoting operate under green building standards, environment related standards in hotels such as Marriott Internationals. The global level ESG commitments made by Marriott Internationals aligns within these expectations (Qasim, 2020). However, it is also evident if the company wants to be consistent, they need to make continuous investment in the energy efficiency and the waste reduction systems as well. All in all, the legal framework is easy to predict and stable at the same time, which supports Marriott Internationals to operate in long-term with their consistent compliance management capabilities. </w:t>
      </w:r>
    </w:p>
    <w:p w14:paraId="1EF1F114" w14:textId="77777777" w:rsidR="00474064" w:rsidRPr="005E1213" w:rsidRDefault="00474064" w:rsidP="00474064">
      <w:pPr>
        <w:pStyle w:val="Heading2"/>
        <w:rPr>
          <w:rFonts w:ascii="Arial" w:hAnsi="Arial" w:cs="Arial"/>
          <w:sz w:val="24"/>
          <w:szCs w:val="24"/>
          <w:lang w:val="en-IN"/>
        </w:rPr>
      </w:pPr>
      <w:bookmarkStart w:id="12" w:name="_Toc227661405"/>
      <w:r w:rsidRPr="005E1213">
        <w:rPr>
          <w:rFonts w:ascii="Arial" w:hAnsi="Arial" w:cs="Arial"/>
          <w:sz w:val="24"/>
          <w:szCs w:val="24"/>
          <w:lang w:val="en-IN"/>
        </w:rPr>
        <w:t>4.5 Cultural environment</w:t>
      </w:r>
      <w:bookmarkEnd w:id="12"/>
    </w:p>
    <w:p w14:paraId="42BA522D" w14:textId="750E2EC8"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In UAE, people notice a very unique and different cultural context. While, on the other side, factors that shapes the public norms and country hosting elements in UAE includes not only the people there but Islamic traditional values also. The expatriate customers of Marriott Internationals in UAE constitute majority of their customer base, while creating a very diverse base of customers. It is generic client base of hotel industry in </w:t>
      </w:r>
      <w:r w:rsidR="00213E68" w:rsidRPr="005E1213">
        <w:rPr>
          <w:rFonts w:ascii="Arial" w:hAnsi="Arial" w:cs="Arial"/>
          <w:sz w:val="24"/>
          <w:szCs w:val="24"/>
          <w:lang w:val="en-IN"/>
        </w:rPr>
        <w:t>UAE;</w:t>
      </w:r>
      <w:r w:rsidRPr="00474064">
        <w:rPr>
          <w:rFonts w:ascii="Arial" w:hAnsi="Arial" w:cs="Arial"/>
          <w:sz w:val="24"/>
          <w:szCs w:val="24"/>
          <w:lang w:val="en-IN"/>
        </w:rPr>
        <w:t xml:space="preserve"> </w:t>
      </w:r>
      <w:r w:rsidR="00213E68" w:rsidRPr="005E1213">
        <w:rPr>
          <w:rFonts w:ascii="Arial" w:hAnsi="Arial" w:cs="Arial"/>
          <w:sz w:val="24"/>
          <w:szCs w:val="24"/>
          <w:lang w:val="en-IN"/>
        </w:rPr>
        <w:t>thus,</w:t>
      </w:r>
      <w:r w:rsidRPr="00474064">
        <w:rPr>
          <w:rFonts w:ascii="Arial" w:hAnsi="Arial" w:cs="Arial"/>
          <w:sz w:val="24"/>
          <w:szCs w:val="24"/>
          <w:lang w:val="en-IN"/>
        </w:rPr>
        <w:t xml:space="preserve"> competitors of Marriott Internationals have also been dealing with these customers.</w:t>
      </w:r>
    </w:p>
    <w:p w14:paraId="00EF4DE3"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Using Hofstede’s cultural dimensions – </w:t>
      </w:r>
    </w:p>
    <w:p w14:paraId="778BA027" w14:textId="77777777" w:rsidR="00474064" w:rsidRPr="00474064" w:rsidRDefault="00474064" w:rsidP="00474064">
      <w:pPr>
        <w:numPr>
          <w:ilvl w:val="0"/>
          <w:numId w:val="3"/>
        </w:numPr>
        <w:rPr>
          <w:rFonts w:ascii="Arial" w:hAnsi="Arial" w:cs="Arial"/>
          <w:sz w:val="24"/>
          <w:szCs w:val="24"/>
          <w:lang w:val="en-IN"/>
        </w:rPr>
      </w:pPr>
      <w:r w:rsidRPr="00474064">
        <w:rPr>
          <w:rFonts w:ascii="Arial" w:hAnsi="Arial" w:cs="Arial"/>
          <w:sz w:val="24"/>
          <w:szCs w:val="24"/>
          <w:lang w:val="en-IN"/>
        </w:rPr>
        <w:t>Organizational hierarchy of Marriott Internationals could be influenced through high power distance.</w:t>
      </w:r>
    </w:p>
    <w:p w14:paraId="428BFC31" w14:textId="77777777" w:rsidR="00474064" w:rsidRPr="00474064" w:rsidRDefault="00474064" w:rsidP="00474064">
      <w:pPr>
        <w:numPr>
          <w:ilvl w:val="0"/>
          <w:numId w:val="3"/>
        </w:numPr>
        <w:rPr>
          <w:rFonts w:ascii="Arial" w:hAnsi="Arial" w:cs="Arial"/>
          <w:sz w:val="24"/>
          <w:szCs w:val="24"/>
          <w:lang w:val="en-IN"/>
        </w:rPr>
      </w:pPr>
      <w:r w:rsidRPr="00474064">
        <w:rPr>
          <w:rFonts w:ascii="Arial" w:hAnsi="Arial" w:cs="Arial"/>
          <w:sz w:val="24"/>
          <w:szCs w:val="24"/>
          <w:lang w:val="en-IN"/>
        </w:rPr>
        <w:t>For shaping the dynamics of workplace there in Marriott Internationals, collectivist tendencies play a very crucial role.</w:t>
      </w:r>
    </w:p>
    <w:p w14:paraId="0F56CB21" w14:textId="77777777" w:rsidR="00474064" w:rsidRPr="00474064" w:rsidRDefault="00474064" w:rsidP="00474064">
      <w:pPr>
        <w:numPr>
          <w:ilvl w:val="0"/>
          <w:numId w:val="3"/>
        </w:numPr>
        <w:rPr>
          <w:rFonts w:ascii="Arial" w:hAnsi="Arial" w:cs="Arial"/>
          <w:sz w:val="24"/>
          <w:szCs w:val="24"/>
          <w:lang w:val="en-IN"/>
        </w:rPr>
      </w:pPr>
      <w:r w:rsidRPr="00474064">
        <w:rPr>
          <w:rFonts w:ascii="Arial" w:hAnsi="Arial" w:cs="Arial"/>
          <w:sz w:val="24"/>
          <w:szCs w:val="24"/>
          <w:lang w:val="en-IN"/>
        </w:rPr>
        <w:t xml:space="preserve">A very strong uncertainty avoidance may overlook and influencer the expectations set by travellers by Marriott Internationals. </w:t>
      </w:r>
    </w:p>
    <w:p w14:paraId="0FBB76F9"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As per the analysis, it is expected, Marriott Internationals should be balancing global service standardisation in association with the cultural sensitivity followed in the local environment. For instance, offering food options for local and visitors with halal-certified marking and respecting the services aligned with Ramadan. Also, they can train the staff in cross-cultural communication. </w:t>
      </w:r>
    </w:p>
    <w:p w14:paraId="25CFFAF6"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lastRenderedPageBreak/>
        <w:t xml:space="preserve">The diversity as well as inclusion initiatives taken by Marriott hotel are basically all relevant in the suburbs of UAE, where employees from diverse cultures must collaborate in an effective manner. If the cultural management of the firm such as Marriott Internationals is strong and diversified, it is possible for them to reduce the turnover of employees and enhance their quality of services. All in all, adaptability of diverse culture could be defined as both a challenge as well as competitive advantage at the same time. The firms apart from Marriott Internationals that are not able to integrate cultural expectations will definitely risk their reputation in market. </w:t>
      </w:r>
    </w:p>
    <w:p w14:paraId="36DB744D" w14:textId="77777777" w:rsidR="00474064" w:rsidRPr="005E1213" w:rsidRDefault="00474064" w:rsidP="00282C65">
      <w:pPr>
        <w:pStyle w:val="Heading1"/>
        <w:rPr>
          <w:rFonts w:ascii="Arial" w:hAnsi="Arial" w:cs="Arial"/>
        </w:rPr>
      </w:pPr>
      <w:bookmarkStart w:id="13" w:name="_Toc227661406"/>
      <w:r w:rsidRPr="005E1213">
        <w:rPr>
          <w:rFonts w:ascii="Arial" w:hAnsi="Arial" w:cs="Arial"/>
        </w:rPr>
        <w:t>5. Competitive forces – Porter’s 5 forces analysis</w:t>
      </w:r>
      <w:bookmarkEnd w:id="13"/>
      <w:r w:rsidRPr="005E1213">
        <w:rPr>
          <w:rFonts w:ascii="Arial" w:hAnsi="Arial" w:cs="Arial"/>
        </w:rPr>
        <w:t xml:space="preserve"> </w:t>
      </w:r>
    </w:p>
    <w:p w14:paraId="1C098C03" w14:textId="77777777" w:rsidR="00474064" w:rsidRPr="005E1213" w:rsidRDefault="00474064" w:rsidP="00474064">
      <w:pPr>
        <w:pStyle w:val="Heading2"/>
        <w:rPr>
          <w:rFonts w:ascii="Arial" w:hAnsi="Arial" w:cs="Arial"/>
          <w:sz w:val="24"/>
          <w:szCs w:val="24"/>
          <w:lang w:val="en-IN"/>
        </w:rPr>
      </w:pPr>
      <w:bookmarkStart w:id="14" w:name="_Toc227661407"/>
      <w:r w:rsidRPr="005E1213">
        <w:rPr>
          <w:rFonts w:ascii="Arial" w:hAnsi="Arial" w:cs="Arial"/>
          <w:sz w:val="24"/>
          <w:szCs w:val="24"/>
          <w:lang w:val="en-IN"/>
        </w:rPr>
        <w:t>5.1 Competitive rivalry – High</w:t>
      </w:r>
      <w:bookmarkEnd w:id="14"/>
    </w:p>
    <w:p w14:paraId="354D00FE"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When it comes to competition against Marriott Internationals in UAE, the local hospitality industry of UAE has been found to be considered saturated with global brands dealing in similar field such as Hilton, Accor, Hyatt and IHG as well. These brands are also operating in market of UAE with valuable reputation and valuable market shares. Rivalry could be intensified clearly through luxurious concentration, and it is possible specifically in the suburbs of Dubai UAE. Marriott Internationals competes through product portfolio and differentiation in products quality. Marriott Internationals competes with premium service quality (Xia </w:t>
      </w:r>
      <w:r w:rsidRPr="00474064">
        <w:rPr>
          <w:rFonts w:ascii="Arial" w:hAnsi="Arial" w:cs="Arial"/>
          <w:i/>
          <w:iCs/>
          <w:sz w:val="24"/>
          <w:szCs w:val="24"/>
          <w:lang w:val="en-IN"/>
        </w:rPr>
        <w:t>et al.</w:t>
      </w:r>
      <w:r w:rsidRPr="00474064">
        <w:rPr>
          <w:rFonts w:ascii="Arial" w:hAnsi="Arial" w:cs="Arial"/>
          <w:sz w:val="24"/>
          <w:szCs w:val="24"/>
          <w:lang w:val="en-IN"/>
        </w:rPr>
        <w:t xml:space="preserve">, 2019). </w:t>
      </w:r>
    </w:p>
    <w:p w14:paraId="662BE910" w14:textId="77777777" w:rsidR="00474064" w:rsidRPr="005E1213" w:rsidRDefault="00474064" w:rsidP="00474064">
      <w:pPr>
        <w:pStyle w:val="Heading2"/>
        <w:rPr>
          <w:rFonts w:ascii="Arial" w:hAnsi="Arial" w:cs="Arial"/>
          <w:sz w:val="24"/>
          <w:szCs w:val="24"/>
          <w:lang w:val="en-IN"/>
        </w:rPr>
      </w:pPr>
      <w:bookmarkStart w:id="15" w:name="_Toc227661408"/>
      <w:r w:rsidRPr="005E1213">
        <w:rPr>
          <w:rFonts w:ascii="Arial" w:hAnsi="Arial" w:cs="Arial"/>
          <w:sz w:val="24"/>
          <w:szCs w:val="24"/>
          <w:lang w:val="en-IN"/>
        </w:rPr>
        <w:t>5.2 Threat of new entrants – Moderate</w:t>
      </w:r>
      <w:bookmarkEnd w:id="15"/>
    </w:p>
    <w:p w14:paraId="3D98EE05"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The factor which limits the reach of new entrants in the hospitality and hotel industry of UAE is requirement of high capital investment for all the new independent entrants on the grounds. However, the incentives collected from government encourages the foreign investment, while permitting the global chains to enter.</w:t>
      </w:r>
    </w:p>
    <w:p w14:paraId="2EEFFC2D" w14:textId="77777777" w:rsidR="00474064" w:rsidRPr="005E1213" w:rsidRDefault="00474064" w:rsidP="00474064">
      <w:pPr>
        <w:pStyle w:val="Heading2"/>
        <w:rPr>
          <w:rFonts w:ascii="Arial" w:hAnsi="Arial" w:cs="Arial"/>
          <w:sz w:val="24"/>
          <w:szCs w:val="24"/>
          <w:lang w:val="en-IN"/>
        </w:rPr>
      </w:pPr>
      <w:bookmarkStart w:id="16" w:name="_Toc227661409"/>
      <w:r w:rsidRPr="005E1213">
        <w:rPr>
          <w:rFonts w:ascii="Arial" w:hAnsi="Arial" w:cs="Arial"/>
          <w:sz w:val="24"/>
          <w:szCs w:val="24"/>
          <w:lang w:val="en-IN"/>
        </w:rPr>
        <w:t>5.3 Bargaining power of buyers – High</w:t>
      </w:r>
      <w:bookmarkEnd w:id="16"/>
    </w:p>
    <w:p w14:paraId="62B45435" w14:textId="0F8487C8"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Via use of different digital platforms, consumers these days can easily compare the prices offered by Marriott Internationals and their competitors in UAE as well. Through brand loyalty, threat of travellers switching could be reduced, however, price range differentiation remains very strong in midscale segments (Xia </w:t>
      </w:r>
      <w:r w:rsidRPr="00474064">
        <w:rPr>
          <w:rFonts w:ascii="Arial" w:hAnsi="Arial" w:cs="Arial"/>
          <w:i/>
          <w:iCs/>
          <w:sz w:val="24"/>
          <w:szCs w:val="24"/>
          <w:lang w:val="en-IN"/>
        </w:rPr>
        <w:t>et al.</w:t>
      </w:r>
      <w:r w:rsidRPr="00474064">
        <w:rPr>
          <w:rFonts w:ascii="Arial" w:hAnsi="Arial" w:cs="Arial"/>
          <w:sz w:val="24"/>
          <w:szCs w:val="24"/>
          <w:lang w:val="en-IN"/>
        </w:rPr>
        <w:t>, 2019)</w:t>
      </w:r>
      <w:r w:rsidR="00213E68" w:rsidRPr="005E1213">
        <w:rPr>
          <w:rFonts w:ascii="Arial" w:hAnsi="Arial" w:cs="Arial"/>
          <w:sz w:val="24"/>
          <w:szCs w:val="24"/>
          <w:lang w:val="en-IN"/>
        </w:rPr>
        <w:t>.</w:t>
      </w:r>
    </w:p>
    <w:p w14:paraId="3B0F552A" w14:textId="77777777" w:rsidR="00474064" w:rsidRPr="005E1213" w:rsidRDefault="00474064" w:rsidP="00474064">
      <w:pPr>
        <w:pStyle w:val="Heading2"/>
        <w:rPr>
          <w:rFonts w:ascii="Arial" w:hAnsi="Arial" w:cs="Arial"/>
          <w:sz w:val="24"/>
          <w:szCs w:val="24"/>
          <w:lang w:val="en-IN"/>
        </w:rPr>
      </w:pPr>
      <w:bookmarkStart w:id="17" w:name="_Toc227661410"/>
      <w:r w:rsidRPr="005E1213">
        <w:rPr>
          <w:rFonts w:ascii="Arial" w:hAnsi="Arial" w:cs="Arial"/>
          <w:sz w:val="24"/>
          <w:szCs w:val="24"/>
          <w:lang w:val="en-IN"/>
        </w:rPr>
        <w:t>5.4 Bargaining power of suppliers – Moderate</w:t>
      </w:r>
      <w:bookmarkEnd w:id="17"/>
      <w:r w:rsidRPr="005E1213">
        <w:rPr>
          <w:rFonts w:ascii="Arial" w:hAnsi="Arial" w:cs="Arial"/>
          <w:sz w:val="24"/>
          <w:szCs w:val="24"/>
          <w:lang w:val="en-IN"/>
        </w:rPr>
        <w:t xml:space="preserve"> </w:t>
      </w:r>
    </w:p>
    <w:p w14:paraId="5642F2EA"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The firm’s dependence upon the goods to import and the role of expatriate labour result in increase of supplier influence. </w:t>
      </w:r>
    </w:p>
    <w:p w14:paraId="616DDFDC" w14:textId="77777777" w:rsidR="00474064" w:rsidRPr="005E1213" w:rsidRDefault="00474064" w:rsidP="00474064">
      <w:pPr>
        <w:pStyle w:val="Heading2"/>
        <w:rPr>
          <w:rFonts w:ascii="Arial" w:hAnsi="Arial" w:cs="Arial"/>
          <w:sz w:val="24"/>
          <w:szCs w:val="24"/>
          <w:lang w:val="en-IN"/>
        </w:rPr>
      </w:pPr>
      <w:bookmarkStart w:id="18" w:name="_Toc227661411"/>
      <w:r w:rsidRPr="005E1213">
        <w:rPr>
          <w:rFonts w:ascii="Arial" w:hAnsi="Arial" w:cs="Arial"/>
          <w:sz w:val="24"/>
          <w:szCs w:val="24"/>
          <w:lang w:val="en-IN"/>
        </w:rPr>
        <w:t>5.5 Threat of substitutes – Moderate</w:t>
      </w:r>
      <w:bookmarkEnd w:id="18"/>
    </w:p>
    <w:p w14:paraId="4F31E77E"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At last, threat of substitutes is moderate, because a number of online booking platforms such as Airbnb offer alternative accommodation options, specifically for long stays. As per the analysis, Marriott Internationals is able to deal with some of these pressures but, couldn’t eliminate these pressures permanently (Bouchra and Hassan, 2023). </w:t>
      </w:r>
    </w:p>
    <w:p w14:paraId="488AAE2E" w14:textId="77777777" w:rsidR="00474064" w:rsidRPr="005E1213" w:rsidRDefault="00474064" w:rsidP="00474064">
      <w:pPr>
        <w:pStyle w:val="Heading2"/>
        <w:rPr>
          <w:rFonts w:ascii="Arial" w:hAnsi="Arial" w:cs="Arial"/>
          <w:sz w:val="24"/>
          <w:szCs w:val="24"/>
          <w:lang w:val="en-IN"/>
        </w:rPr>
      </w:pPr>
      <w:bookmarkStart w:id="19" w:name="_Toc227661412"/>
      <w:r w:rsidRPr="005E1213">
        <w:rPr>
          <w:rFonts w:ascii="Arial" w:hAnsi="Arial" w:cs="Arial"/>
          <w:sz w:val="24"/>
          <w:szCs w:val="24"/>
          <w:lang w:val="en-IN"/>
        </w:rPr>
        <w:t>5.6 Strategic strengths of Marriott Internationals in the UAE</w:t>
      </w:r>
      <w:bookmarkEnd w:id="19"/>
    </w:p>
    <w:p w14:paraId="0B48F9A6"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To begin with the analysis of strategic strengths of Marriott Internationals among the suburbs of UAE, it has been identified that Marriott Internationals is currently </w:t>
      </w:r>
      <w:r w:rsidRPr="00474064">
        <w:rPr>
          <w:rFonts w:ascii="Arial" w:hAnsi="Arial" w:cs="Arial"/>
          <w:sz w:val="24"/>
          <w:szCs w:val="24"/>
          <w:lang w:val="en-IN"/>
        </w:rPr>
        <w:lastRenderedPageBreak/>
        <w:t>operating above the suburbs of UAE accessing a number of strategic number of strengths enlisted below –</w:t>
      </w:r>
    </w:p>
    <w:p w14:paraId="099E0E1B" w14:textId="77777777" w:rsidR="00474064" w:rsidRPr="00474064" w:rsidRDefault="00474064" w:rsidP="00474064">
      <w:pPr>
        <w:numPr>
          <w:ilvl w:val="0"/>
          <w:numId w:val="4"/>
        </w:numPr>
        <w:rPr>
          <w:rFonts w:ascii="Arial" w:hAnsi="Arial" w:cs="Arial"/>
          <w:sz w:val="24"/>
          <w:szCs w:val="24"/>
          <w:lang w:val="en-IN"/>
        </w:rPr>
      </w:pPr>
      <w:r w:rsidRPr="00474064">
        <w:rPr>
          <w:rFonts w:ascii="Arial" w:hAnsi="Arial" w:cs="Arial"/>
          <w:sz w:val="24"/>
          <w:szCs w:val="24"/>
          <w:lang w:val="en-IN"/>
        </w:rPr>
        <w:t>Diversified brand portfolio to reduce the segment risk.</w:t>
      </w:r>
    </w:p>
    <w:p w14:paraId="0F8FC926" w14:textId="77777777" w:rsidR="00474064" w:rsidRPr="00474064" w:rsidRDefault="00474064" w:rsidP="00474064">
      <w:pPr>
        <w:numPr>
          <w:ilvl w:val="0"/>
          <w:numId w:val="4"/>
        </w:numPr>
        <w:rPr>
          <w:rFonts w:ascii="Arial" w:hAnsi="Arial" w:cs="Arial"/>
          <w:sz w:val="24"/>
          <w:szCs w:val="24"/>
          <w:lang w:val="en-IN"/>
        </w:rPr>
      </w:pPr>
      <w:r w:rsidRPr="00474064">
        <w:rPr>
          <w:rFonts w:ascii="Arial" w:hAnsi="Arial" w:cs="Arial"/>
          <w:sz w:val="24"/>
          <w:szCs w:val="24"/>
          <w:lang w:val="en-IN"/>
        </w:rPr>
        <w:t>Access of Marriott Internationals to a very strong global loyalty ecosystem.</w:t>
      </w:r>
    </w:p>
    <w:p w14:paraId="1A247825" w14:textId="77777777" w:rsidR="00474064" w:rsidRPr="00474064" w:rsidRDefault="00474064" w:rsidP="00474064">
      <w:pPr>
        <w:numPr>
          <w:ilvl w:val="0"/>
          <w:numId w:val="4"/>
        </w:numPr>
        <w:rPr>
          <w:rFonts w:ascii="Arial" w:hAnsi="Arial" w:cs="Arial"/>
          <w:sz w:val="24"/>
          <w:szCs w:val="24"/>
          <w:lang w:val="en-IN"/>
        </w:rPr>
      </w:pPr>
      <w:r w:rsidRPr="00474064">
        <w:rPr>
          <w:rFonts w:ascii="Arial" w:hAnsi="Arial" w:cs="Arial"/>
          <w:sz w:val="24"/>
          <w:szCs w:val="24"/>
          <w:lang w:val="en-IN"/>
        </w:rPr>
        <w:t>The Marriott Internationals is able to establish relationships with the developers of property.</w:t>
      </w:r>
    </w:p>
    <w:p w14:paraId="0421E5E8" w14:textId="77777777" w:rsidR="00474064" w:rsidRPr="00474064" w:rsidRDefault="00474064" w:rsidP="00474064">
      <w:pPr>
        <w:numPr>
          <w:ilvl w:val="0"/>
          <w:numId w:val="4"/>
        </w:numPr>
        <w:rPr>
          <w:rFonts w:ascii="Arial" w:hAnsi="Arial" w:cs="Arial"/>
          <w:sz w:val="24"/>
          <w:szCs w:val="24"/>
          <w:lang w:val="en-IN"/>
        </w:rPr>
      </w:pPr>
      <w:r w:rsidRPr="00474064">
        <w:rPr>
          <w:rFonts w:ascii="Arial" w:hAnsi="Arial" w:cs="Arial"/>
          <w:sz w:val="24"/>
          <w:szCs w:val="24"/>
          <w:lang w:val="en-IN"/>
        </w:rPr>
        <w:t>Highly serviceable standardization (Bouchra and Hassan, 2023).</w:t>
      </w:r>
    </w:p>
    <w:p w14:paraId="237DAD2E" w14:textId="77777777" w:rsidR="00474064" w:rsidRPr="00474064" w:rsidRDefault="00474064" w:rsidP="00474064">
      <w:pPr>
        <w:numPr>
          <w:ilvl w:val="0"/>
          <w:numId w:val="4"/>
        </w:numPr>
        <w:rPr>
          <w:rFonts w:ascii="Arial" w:hAnsi="Arial" w:cs="Arial"/>
          <w:sz w:val="24"/>
          <w:szCs w:val="24"/>
          <w:lang w:val="en-IN"/>
        </w:rPr>
      </w:pPr>
      <w:r w:rsidRPr="00474064">
        <w:rPr>
          <w:rFonts w:ascii="Arial" w:hAnsi="Arial" w:cs="Arial"/>
          <w:sz w:val="24"/>
          <w:szCs w:val="24"/>
          <w:lang w:val="en-IN"/>
        </w:rPr>
        <w:t xml:space="preserve">Marriott Internationals offers CRM system and advanced digital booking for ease of customers (Bouchra and Hassan, 2023). </w:t>
      </w:r>
    </w:p>
    <w:p w14:paraId="27698485" w14:textId="77777777" w:rsidR="00474064" w:rsidRPr="005E1213" w:rsidRDefault="00474064" w:rsidP="00474064">
      <w:pPr>
        <w:pStyle w:val="Heading2"/>
        <w:rPr>
          <w:rFonts w:ascii="Arial" w:hAnsi="Arial" w:cs="Arial"/>
          <w:sz w:val="24"/>
          <w:szCs w:val="24"/>
          <w:lang w:val="en-IN"/>
        </w:rPr>
      </w:pPr>
      <w:bookmarkStart w:id="20" w:name="_Toc227661413"/>
      <w:r w:rsidRPr="005E1213">
        <w:rPr>
          <w:rFonts w:ascii="Arial" w:hAnsi="Arial" w:cs="Arial"/>
          <w:sz w:val="24"/>
          <w:szCs w:val="24"/>
          <w:lang w:val="en-IN"/>
        </w:rPr>
        <w:t>5.7 Strategic challenges</w:t>
      </w:r>
      <w:bookmarkEnd w:id="20"/>
    </w:p>
    <w:p w14:paraId="160DAEBF"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Instead of following advantage only, a number of challenges are also there Marriott Internationals faces (Bouchra and Hassan, 2023). </w:t>
      </w:r>
    </w:p>
    <w:p w14:paraId="25F5935B" w14:textId="77777777" w:rsidR="00474064" w:rsidRPr="00474064" w:rsidRDefault="00474064" w:rsidP="00474064">
      <w:pPr>
        <w:numPr>
          <w:ilvl w:val="0"/>
          <w:numId w:val="5"/>
        </w:numPr>
        <w:rPr>
          <w:rFonts w:ascii="Arial" w:hAnsi="Arial" w:cs="Arial"/>
          <w:sz w:val="24"/>
          <w:szCs w:val="24"/>
          <w:lang w:val="en-IN"/>
        </w:rPr>
      </w:pPr>
      <w:r w:rsidRPr="00474064">
        <w:rPr>
          <w:rFonts w:ascii="Arial" w:hAnsi="Arial" w:cs="Arial"/>
          <w:b/>
          <w:sz w:val="24"/>
          <w:szCs w:val="24"/>
          <w:lang w:val="en-IN"/>
        </w:rPr>
        <w:t>Market saturation in luxury segments</w:t>
      </w:r>
      <w:r w:rsidRPr="00474064">
        <w:rPr>
          <w:rFonts w:ascii="Arial" w:hAnsi="Arial" w:cs="Arial"/>
          <w:sz w:val="24"/>
          <w:szCs w:val="24"/>
          <w:lang w:val="en-IN"/>
        </w:rPr>
        <w:t xml:space="preserve"> – At first, Marriott Internationals has been undergoing challenging situation of Marker saturation in Dubai UAE. ADR and daily room occupancy rate of Marriott Internationals is diversifying due to entry of hotels in UAE with intensifying premium and luxury room supply in minimal price rates. In order to sustain their profitability as it is, Marriott Internationals is expected to keep focusing upon differentiation and brand innovation as well (Dhaheri, 2024). </w:t>
      </w:r>
    </w:p>
    <w:p w14:paraId="5922C5DA" w14:textId="77777777" w:rsidR="00474064" w:rsidRPr="00474064" w:rsidRDefault="00474064" w:rsidP="00474064">
      <w:pPr>
        <w:numPr>
          <w:ilvl w:val="0"/>
          <w:numId w:val="5"/>
        </w:numPr>
        <w:rPr>
          <w:rFonts w:ascii="Arial" w:hAnsi="Arial" w:cs="Arial"/>
          <w:sz w:val="24"/>
          <w:szCs w:val="24"/>
          <w:lang w:val="en-IN"/>
        </w:rPr>
      </w:pPr>
      <w:r w:rsidRPr="00474064">
        <w:rPr>
          <w:rFonts w:ascii="Arial" w:hAnsi="Arial" w:cs="Arial"/>
          <w:b/>
          <w:sz w:val="24"/>
          <w:szCs w:val="24"/>
          <w:lang w:val="en-IN"/>
        </w:rPr>
        <w:t>Rising labour and operational</w:t>
      </w:r>
      <w:r w:rsidRPr="00474064">
        <w:rPr>
          <w:rFonts w:ascii="Arial" w:hAnsi="Arial" w:cs="Arial"/>
          <w:sz w:val="24"/>
          <w:szCs w:val="24"/>
          <w:lang w:val="en-IN"/>
        </w:rPr>
        <w:t xml:space="preserve"> </w:t>
      </w:r>
      <w:r w:rsidRPr="00474064">
        <w:rPr>
          <w:rFonts w:ascii="Arial" w:hAnsi="Arial" w:cs="Arial"/>
          <w:b/>
          <w:sz w:val="24"/>
          <w:szCs w:val="24"/>
          <w:lang w:val="en-IN"/>
        </w:rPr>
        <w:t>cost</w:t>
      </w:r>
      <w:r w:rsidRPr="00474064">
        <w:rPr>
          <w:rFonts w:ascii="Arial" w:hAnsi="Arial" w:cs="Arial"/>
          <w:sz w:val="24"/>
          <w:szCs w:val="24"/>
          <w:lang w:val="en-IN"/>
        </w:rPr>
        <w:t xml:space="preserve"> – At 2</w:t>
      </w:r>
      <w:r w:rsidRPr="00474064">
        <w:rPr>
          <w:rFonts w:ascii="Arial" w:hAnsi="Arial" w:cs="Arial"/>
          <w:sz w:val="24"/>
          <w:szCs w:val="24"/>
          <w:vertAlign w:val="superscript"/>
          <w:lang w:val="en-IN"/>
        </w:rPr>
        <w:t>nd</w:t>
      </w:r>
      <w:r w:rsidRPr="00474064">
        <w:rPr>
          <w:rFonts w:ascii="Arial" w:hAnsi="Arial" w:cs="Arial"/>
          <w:sz w:val="24"/>
          <w:szCs w:val="24"/>
          <w:lang w:val="en-IN"/>
        </w:rPr>
        <w:t xml:space="preserve">, operational cost and labour cost has been increasing among the suburbs of UAE day after day, as a result of which operating expenses for Marriott Internationals may increase with the passage of time. Industry of UAE depends more upon expatriate labour as well as their regulatory compliance moves alongside labour reforms. </w:t>
      </w:r>
    </w:p>
    <w:p w14:paraId="260D1417" w14:textId="77777777" w:rsidR="00474064" w:rsidRPr="00474064" w:rsidRDefault="00474064" w:rsidP="00474064">
      <w:pPr>
        <w:numPr>
          <w:ilvl w:val="0"/>
          <w:numId w:val="5"/>
        </w:numPr>
        <w:rPr>
          <w:rFonts w:ascii="Arial" w:hAnsi="Arial" w:cs="Arial"/>
          <w:sz w:val="24"/>
          <w:szCs w:val="24"/>
          <w:lang w:val="en-IN"/>
        </w:rPr>
      </w:pPr>
      <w:r w:rsidRPr="00474064">
        <w:rPr>
          <w:rFonts w:ascii="Arial" w:hAnsi="Arial" w:cs="Arial"/>
          <w:b/>
          <w:sz w:val="24"/>
          <w:szCs w:val="24"/>
          <w:lang w:val="en-IN"/>
        </w:rPr>
        <w:t>Sustainability compliance cost</w:t>
      </w:r>
      <w:r w:rsidRPr="00474064">
        <w:rPr>
          <w:rFonts w:ascii="Arial" w:hAnsi="Arial" w:cs="Arial"/>
          <w:sz w:val="24"/>
          <w:szCs w:val="24"/>
          <w:lang w:val="en-IN"/>
        </w:rPr>
        <w:t xml:space="preserve"> – In addition, the compliance pressures are growing definitely among the suburbs of UAE. The local government and hospitality industry in which Marriott Internationals operates, is promoting green tourism day after day and the industry expects all the hotels including Marriott Internationals to invest in energy-efficient technological systems. Even though Marriott Internationals is operating with their global sustainability commitment, implementation of new standards would increase short-term costing (Dhaheri, 2024).</w:t>
      </w:r>
    </w:p>
    <w:p w14:paraId="5EC86C4D" w14:textId="77777777" w:rsidR="00474064" w:rsidRPr="00474064" w:rsidRDefault="00474064" w:rsidP="00474064">
      <w:pPr>
        <w:numPr>
          <w:ilvl w:val="0"/>
          <w:numId w:val="5"/>
        </w:numPr>
        <w:rPr>
          <w:rFonts w:ascii="Arial" w:hAnsi="Arial" w:cs="Arial"/>
          <w:sz w:val="24"/>
          <w:szCs w:val="24"/>
          <w:lang w:val="en-IN"/>
        </w:rPr>
      </w:pPr>
      <w:r w:rsidRPr="00474064">
        <w:rPr>
          <w:rFonts w:ascii="Arial" w:hAnsi="Arial" w:cs="Arial"/>
          <w:b/>
          <w:sz w:val="24"/>
          <w:szCs w:val="24"/>
          <w:lang w:val="en-IN"/>
        </w:rPr>
        <w:t>Intense digital competition</w:t>
      </w:r>
      <w:r w:rsidRPr="00474064">
        <w:rPr>
          <w:rFonts w:ascii="Arial" w:hAnsi="Arial" w:cs="Arial"/>
          <w:sz w:val="24"/>
          <w:szCs w:val="24"/>
          <w:lang w:val="en-IN"/>
        </w:rPr>
        <w:t xml:space="preserve"> – Competitive rivalry against Marriott Internationals comes basically from bigger brands such as Hilton, Accor and other brands. Due to this rivalry, Marriott Internationals is expected to invest heavily in programs, technology, currency fluctuations in source markets and global recessions, so that they can compete with them. </w:t>
      </w:r>
    </w:p>
    <w:p w14:paraId="49EFBDC8"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All in all, the oversupply of luxury items may simply reduce the average daily rates also termed as ADR in short for Marriott Internationals. In order to address this issue and deal with this, Marriott Internationals is expected to expand further in midscale </w:t>
      </w:r>
      <w:r w:rsidRPr="00474064">
        <w:rPr>
          <w:rFonts w:ascii="Arial" w:hAnsi="Arial" w:cs="Arial"/>
          <w:sz w:val="24"/>
          <w:szCs w:val="24"/>
          <w:lang w:val="en-IN"/>
        </w:rPr>
        <w:lastRenderedPageBreak/>
        <w:t xml:space="preserve">and lifestyle hotel brands while keep their focus upon young community travellers visiting UAE and finding hotels with best services under budget (Dhaheri, 2024). </w:t>
      </w:r>
    </w:p>
    <w:p w14:paraId="0D508C82" w14:textId="77777777" w:rsidR="00474064" w:rsidRPr="00474064" w:rsidRDefault="00474064" w:rsidP="00474064">
      <w:pPr>
        <w:rPr>
          <w:rFonts w:ascii="Arial" w:hAnsi="Arial" w:cs="Arial"/>
          <w:b/>
          <w:sz w:val="24"/>
          <w:szCs w:val="24"/>
          <w:lang w:val="en-IN"/>
        </w:rPr>
      </w:pPr>
      <w:r w:rsidRPr="00474064">
        <w:rPr>
          <w:rFonts w:ascii="Arial" w:hAnsi="Arial" w:cs="Arial"/>
          <w:b/>
          <w:sz w:val="24"/>
          <w:szCs w:val="24"/>
          <w:lang w:val="en-IN"/>
        </w:rPr>
        <w:t>Risk matrix analysis</w:t>
      </w:r>
    </w:p>
    <w:tbl>
      <w:tblPr>
        <w:tblStyle w:val="TableGrid"/>
        <w:tblW w:w="0" w:type="auto"/>
        <w:tblLook w:val="04A0" w:firstRow="1" w:lastRow="0" w:firstColumn="1" w:lastColumn="0" w:noHBand="0" w:noVBand="1"/>
      </w:tblPr>
      <w:tblGrid>
        <w:gridCol w:w="1803"/>
        <w:gridCol w:w="1803"/>
        <w:gridCol w:w="1803"/>
        <w:gridCol w:w="1803"/>
        <w:gridCol w:w="1804"/>
      </w:tblGrid>
      <w:tr w:rsidR="00474064" w:rsidRPr="00474064" w14:paraId="5D67AAB5" w14:textId="77777777">
        <w:tc>
          <w:tcPr>
            <w:tcW w:w="180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62B0B73" w14:textId="77777777" w:rsidR="00474064" w:rsidRPr="00474064" w:rsidRDefault="00474064" w:rsidP="00474064">
            <w:pPr>
              <w:spacing w:after="160" w:line="259" w:lineRule="auto"/>
              <w:rPr>
                <w:rFonts w:ascii="Arial" w:hAnsi="Arial" w:cs="Arial"/>
                <w:b/>
                <w:sz w:val="24"/>
                <w:szCs w:val="24"/>
                <w:lang w:val="en-IN"/>
              </w:rPr>
            </w:pPr>
            <w:r w:rsidRPr="00474064">
              <w:rPr>
                <w:rFonts w:ascii="Arial" w:hAnsi="Arial" w:cs="Arial"/>
                <w:b/>
                <w:sz w:val="24"/>
                <w:szCs w:val="24"/>
                <w:lang w:val="en-IN"/>
              </w:rPr>
              <w:t>Risk</w:t>
            </w:r>
          </w:p>
        </w:tc>
        <w:tc>
          <w:tcPr>
            <w:tcW w:w="180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C632BC6" w14:textId="77777777" w:rsidR="00474064" w:rsidRPr="00474064" w:rsidRDefault="00474064" w:rsidP="00474064">
            <w:pPr>
              <w:spacing w:after="160" w:line="259" w:lineRule="auto"/>
              <w:rPr>
                <w:rFonts w:ascii="Arial" w:hAnsi="Arial" w:cs="Arial"/>
                <w:b/>
                <w:sz w:val="24"/>
                <w:szCs w:val="24"/>
                <w:lang w:val="en-IN"/>
              </w:rPr>
            </w:pPr>
            <w:r w:rsidRPr="00474064">
              <w:rPr>
                <w:rFonts w:ascii="Arial" w:hAnsi="Arial" w:cs="Arial"/>
                <w:b/>
                <w:sz w:val="24"/>
                <w:szCs w:val="24"/>
                <w:lang w:val="en-IN"/>
              </w:rPr>
              <w:t>Probability</w:t>
            </w:r>
          </w:p>
        </w:tc>
        <w:tc>
          <w:tcPr>
            <w:tcW w:w="180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392FB1C" w14:textId="77777777" w:rsidR="00474064" w:rsidRPr="00474064" w:rsidRDefault="00474064" w:rsidP="00474064">
            <w:pPr>
              <w:spacing w:after="160" w:line="259" w:lineRule="auto"/>
              <w:rPr>
                <w:rFonts w:ascii="Arial" w:hAnsi="Arial" w:cs="Arial"/>
                <w:b/>
                <w:sz w:val="24"/>
                <w:szCs w:val="24"/>
                <w:lang w:val="en-IN"/>
              </w:rPr>
            </w:pPr>
            <w:r w:rsidRPr="00474064">
              <w:rPr>
                <w:rFonts w:ascii="Arial" w:hAnsi="Arial" w:cs="Arial"/>
                <w:b/>
                <w:sz w:val="24"/>
                <w:szCs w:val="24"/>
                <w:lang w:val="en-IN"/>
              </w:rPr>
              <w:t>Impact</w:t>
            </w:r>
          </w:p>
        </w:tc>
        <w:tc>
          <w:tcPr>
            <w:tcW w:w="180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8B83324" w14:textId="77777777" w:rsidR="00474064" w:rsidRPr="00474064" w:rsidRDefault="00474064" w:rsidP="00474064">
            <w:pPr>
              <w:spacing w:after="160" w:line="259" w:lineRule="auto"/>
              <w:rPr>
                <w:rFonts w:ascii="Arial" w:hAnsi="Arial" w:cs="Arial"/>
                <w:b/>
                <w:sz w:val="24"/>
                <w:szCs w:val="24"/>
                <w:lang w:val="en-IN"/>
              </w:rPr>
            </w:pPr>
            <w:r w:rsidRPr="00474064">
              <w:rPr>
                <w:rFonts w:ascii="Arial" w:hAnsi="Arial" w:cs="Arial"/>
                <w:b/>
                <w:sz w:val="24"/>
                <w:szCs w:val="24"/>
                <w:lang w:val="en-IN"/>
              </w:rPr>
              <w:t>Risk level</w:t>
            </w:r>
          </w:p>
        </w:tc>
        <w:tc>
          <w:tcPr>
            <w:tcW w:w="180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D8EE158" w14:textId="77777777" w:rsidR="00474064" w:rsidRPr="00474064" w:rsidRDefault="00474064" w:rsidP="00474064">
            <w:pPr>
              <w:spacing w:after="160" w:line="259" w:lineRule="auto"/>
              <w:rPr>
                <w:rFonts w:ascii="Arial" w:hAnsi="Arial" w:cs="Arial"/>
                <w:b/>
                <w:sz w:val="24"/>
                <w:szCs w:val="24"/>
                <w:lang w:val="en-IN"/>
              </w:rPr>
            </w:pPr>
            <w:r w:rsidRPr="00474064">
              <w:rPr>
                <w:rFonts w:ascii="Arial" w:hAnsi="Arial" w:cs="Arial"/>
                <w:b/>
                <w:sz w:val="24"/>
                <w:szCs w:val="24"/>
                <w:lang w:val="en-IN"/>
              </w:rPr>
              <w:t>Mitigation strategy</w:t>
            </w:r>
          </w:p>
        </w:tc>
      </w:tr>
      <w:tr w:rsidR="00474064" w:rsidRPr="00474064" w14:paraId="154188B0" w14:textId="77777777">
        <w:tc>
          <w:tcPr>
            <w:tcW w:w="180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D0CD55E" w14:textId="77777777" w:rsidR="00474064" w:rsidRPr="00474064" w:rsidRDefault="00474064" w:rsidP="00474064">
            <w:pPr>
              <w:spacing w:after="160" w:line="259" w:lineRule="auto"/>
              <w:rPr>
                <w:rFonts w:ascii="Arial" w:hAnsi="Arial" w:cs="Arial"/>
                <w:sz w:val="24"/>
                <w:szCs w:val="24"/>
                <w:lang w:val="en-IN"/>
              </w:rPr>
            </w:pPr>
            <w:r w:rsidRPr="00474064">
              <w:rPr>
                <w:rFonts w:ascii="Arial" w:hAnsi="Arial" w:cs="Arial"/>
                <w:sz w:val="24"/>
                <w:szCs w:val="24"/>
                <w:lang w:val="en-IN"/>
              </w:rPr>
              <w:t>Luxury market oversupply</w:t>
            </w:r>
          </w:p>
        </w:tc>
        <w:tc>
          <w:tcPr>
            <w:tcW w:w="180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0625B68" w14:textId="77777777" w:rsidR="00474064" w:rsidRPr="00474064" w:rsidRDefault="00474064" w:rsidP="00474064">
            <w:pPr>
              <w:spacing w:after="160" w:line="259" w:lineRule="auto"/>
              <w:rPr>
                <w:rFonts w:ascii="Arial" w:hAnsi="Arial" w:cs="Arial"/>
                <w:sz w:val="24"/>
                <w:szCs w:val="24"/>
                <w:lang w:val="en-IN"/>
              </w:rPr>
            </w:pPr>
            <w:r w:rsidRPr="00474064">
              <w:rPr>
                <w:rFonts w:ascii="Arial" w:hAnsi="Arial" w:cs="Arial"/>
                <w:sz w:val="24"/>
                <w:szCs w:val="24"/>
                <w:lang w:val="en-IN"/>
              </w:rPr>
              <w:t>High</w:t>
            </w:r>
          </w:p>
        </w:tc>
        <w:tc>
          <w:tcPr>
            <w:tcW w:w="180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85959C1" w14:textId="77777777" w:rsidR="00474064" w:rsidRPr="00474064" w:rsidRDefault="00474064" w:rsidP="00474064">
            <w:pPr>
              <w:spacing w:after="160" w:line="259" w:lineRule="auto"/>
              <w:rPr>
                <w:rFonts w:ascii="Arial" w:hAnsi="Arial" w:cs="Arial"/>
                <w:sz w:val="24"/>
                <w:szCs w:val="24"/>
                <w:lang w:val="en-IN"/>
              </w:rPr>
            </w:pPr>
            <w:r w:rsidRPr="00474064">
              <w:rPr>
                <w:rFonts w:ascii="Arial" w:hAnsi="Arial" w:cs="Arial"/>
                <w:sz w:val="24"/>
                <w:szCs w:val="24"/>
                <w:lang w:val="en-IN"/>
              </w:rPr>
              <w:t>High</w:t>
            </w:r>
          </w:p>
        </w:tc>
        <w:tc>
          <w:tcPr>
            <w:tcW w:w="1803" w:type="dxa"/>
            <w:tcBorders>
              <w:top w:val="single" w:sz="4" w:space="0" w:color="auto"/>
              <w:left w:val="single" w:sz="4" w:space="0" w:color="auto"/>
              <w:bottom w:val="single" w:sz="4" w:space="0" w:color="auto"/>
              <w:right w:val="single" w:sz="4" w:space="0" w:color="auto"/>
            </w:tcBorders>
            <w:shd w:val="clear" w:color="auto" w:fill="92D050"/>
            <w:hideMark/>
          </w:tcPr>
          <w:p w14:paraId="16D52B11" w14:textId="77777777" w:rsidR="00474064" w:rsidRPr="00474064" w:rsidRDefault="00474064" w:rsidP="00474064">
            <w:pPr>
              <w:spacing w:after="160" w:line="259" w:lineRule="auto"/>
              <w:rPr>
                <w:rFonts w:ascii="Arial" w:hAnsi="Arial" w:cs="Arial"/>
                <w:sz w:val="24"/>
                <w:szCs w:val="24"/>
                <w:lang w:val="en-IN"/>
              </w:rPr>
            </w:pPr>
            <w:r w:rsidRPr="00474064">
              <w:rPr>
                <w:rFonts w:ascii="Arial" w:hAnsi="Arial" w:cs="Arial"/>
                <w:sz w:val="24"/>
                <w:szCs w:val="24"/>
                <w:lang w:val="en-IN"/>
              </w:rPr>
              <w:t>Severe</w:t>
            </w:r>
          </w:p>
        </w:tc>
        <w:tc>
          <w:tcPr>
            <w:tcW w:w="180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AE1D8A9" w14:textId="77777777" w:rsidR="00474064" w:rsidRPr="00474064" w:rsidRDefault="00474064" w:rsidP="00474064">
            <w:pPr>
              <w:spacing w:after="160" w:line="259" w:lineRule="auto"/>
              <w:rPr>
                <w:rFonts w:ascii="Arial" w:hAnsi="Arial" w:cs="Arial"/>
                <w:sz w:val="24"/>
                <w:szCs w:val="24"/>
                <w:lang w:val="en-IN"/>
              </w:rPr>
            </w:pPr>
            <w:r w:rsidRPr="00474064">
              <w:rPr>
                <w:rFonts w:ascii="Arial" w:hAnsi="Arial" w:cs="Arial"/>
                <w:sz w:val="24"/>
                <w:szCs w:val="24"/>
                <w:lang w:val="en-IN"/>
              </w:rPr>
              <w:t>Marriott Internationals is suggested to diversify into midscale lifestyle customer engaging segment.</w:t>
            </w:r>
          </w:p>
        </w:tc>
      </w:tr>
      <w:tr w:rsidR="00474064" w:rsidRPr="00474064" w14:paraId="0FC6F056" w14:textId="77777777">
        <w:tc>
          <w:tcPr>
            <w:tcW w:w="180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E2591BF" w14:textId="77777777" w:rsidR="00474064" w:rsidRPr="00474064" w:rsidRDefault="00474064" w:rsidP="00474064">
            <w:pPr>
              <w:spacing w:after="160" w:line="259" w:lineRule="auto"/>
              <w:rPr>
                <w:rFonts w:ascii="Arial" w:hAnsi="Arial" w:cs="Arial"/>
                <w:sz w:val="24"/>
                <w:szCs w:val="24"/>
                <w:lang w:val="en-IN"/>
              </w:rPr>
            </w:pPr>
            <w:r w:rsidRPr="00474064">
              <w:rPr>
                <w:rFonts w:ascii="Arial" w:hAnsi="Arial" w:cs="Arial"/>
                <w:sz w:val="24"/>
                <w:szCs w:val="24"/>
                <w:lang w:val="en-IN"/>
              </w:rPr>
              <w:t>Decline in global traveling demand</w:t>
            </w:r>
          </w:p>
        </w:tc>
        <w:tc>
          <w:tcPr>
            <w:tcW w:w="180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254FCA4" w14:textId="77777777" w:rsidR="00474064" w:rsidRPr="00474064" w:rsidRDefault="00474064" w:rsidP="00474064">
            <w:pPr>
              <w:spacing w:after="160" w:line="259" w:lineRule="auto"/>
              <w:rPr>
                <w:rFonts w:ascii="Arial" w:hAnsi="Arial" w:cs="Arial"/>
                <w:sz w:val="24"/>
                <w:szCs w:val="24"/>
                <w:lang w:val="en-IN"/>
              </w:rPr>
            </w:pPr>
            <w:r w:rsidRPr="00474064">
              <w:rPr>
                <w:rFonts w:ascii="Arial" w:hAnsi="Arial" w:cs="Arial"/>
                <w:sz w:val="24"/>
                <w:szCs w:val="24"/>
                <w:lang w:val="en-IN"/>
              </w:rPr>
              <w:t>Medium</w:t>
            </w:r>
          </w:p>
        </w:tc>
        <w:tc>
          <w:tcPr>
            <w:tcW w:w="180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16CF885" w14:textId="77777777" w:rsidR="00474064" w:rsidRPr="00474064" w:rsidRDefault="00474064" w:rsidP="00474064">
            <w:pPr>
              <w:spacing w:after="160" w:line="259" w:lineRule="auto"/>
              <w:rPr>
                <w:rFonts w:ascii="Arial" w:hAnsi="Arial" w:cs="Arial"/>
                <w:sz w:val="24"/>
                <w:szCs w:val="24"/>
                <w:lang w:val="en-IN"/>
              </w:rPr>
            </w:pPr>
            <w:r w:rsidRPr="00474064">
              <w:rPr>
                <w:rFonts w:ascii="Arial" w:hAnsi="Arial" w:cs="Arial"/>
                <w:sz w:val="24"/>
                <w:szCs w:val="24"/>
                <w:lang w:val="en-IN"/>
              </w:rPr>
              <w:t>High</w:t>
            </w:r>
          </w:p>
        </w:tc>
        <w:tc>
          <w:tcPr>
            <w:tcW w:w="1803" w:type="dxa"/>
            <w:tcBorders>
              <w:top w:val="single" w:sz="4" w:space="0" w:color="auto"/>
              <w:left w:val="single" w:sz="4" w:space="0" w:color="auto"/>
              <w:bottom w:val="single" w:sz="4" w:space="0" w:color="auto"/>
              <w:right w:val="single" w:sz="4" w:space="0" w:color="auto"/>
            </w:tcBorders>
            <w:shd w:val="clear" w:color="auto" w:fill="FF0000"/>
            <w:hideMark/>
          </w:tcPr>
          <w:p w14:paraId="6C86D118" w14:textId="77777777" w:rsidR="00474064" w:rsidRPr="00474064" w:rsidRDefault="00474064" w:rsidP="00474064">
            <w:pPr>
              <w:spacing w:after="160" w:line="259" w:lineRule="auto"/>
              <w:rPr>
                <w:rFonts w:ascii="Arial" w:hAnsi="Arial" w:cs="Arial"/>
                <w:sz w:val="24"/>
                <w:szCs w:val="24"/>
                <w:lang w:val="en-IN"/>
              </w:rPr>
            </w:pPr>
            <w:r w:rsidRPr="00474064">
              <w:rPr>
                <w:rFonts w:ascii="Arial" w:hAnsi="Arial" w:cs="Arial"/>
                <w:sz w:val="24"/>
                <w:szCs w:val="24"/>
                <w:lang w:val="en-IN"/>
              </w:rPr>
              <w:t xml:space="preserve">High </w:t>
            </w:r>
          </w:p>
        </w:tc>
        <w:tc>
          <w:tcPr>
            <w:tcW w:w="180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B106A33" w14:textId="77777777" w:rsidR="00474064" w:rsidRPr="00474064" w:rsidRDefault="00474064" w:rsidP="00474064">
            <w:pPr>
              <w:spacing w:after="160" w:line="259" w:lineRule="auto"/>
              <w:rPr>
                <w:rFonts w:ascii="Arial" w:hAnsi="Arial" w:cs="Arial"/>
                <w:sz w:val="24"/>
                <w:szCs w:val="24"/>
                <w:lang w:val="en-IN"/>
              </w:rPr>
            </w:pPr>
            <w:r w:rsidRPr="00474064">
              <w:rPr>
                <w:rFonts w:ascii="Arial" w:hAnsi="Arial" w:cs="Arial"/>
                <w:sz w:val="24"/>
                <w:szCs w:val="24"/>
                <w:lang w:val="en-IN"/>
              </w:rPr>
              <w:t>Marriott Internationals must aim at strengthening regional GCC market focus.</w:t>
            </w:r>
          </w:p>
        </w:tc>
      </w:tr>
      <w:tr w:rsidR="00474064" w:rsidRPr="00474064" w14:paraId="1C0BD060" w14:textId="77777777">
        <w:tc>
          <w:tcPr>
            <w:tcW w:w="180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DFEC37F" w14:textId="77777777" w:rsidR="00474064" w:rsidRPr="00474064" w:rsidRDefault="00474064" w:rsidP="00474064">
            <w:pPr>
              <w:spacing w:after="160" w:line="259" w:lineRule="auto"/>
              <w:rPr>
                <w:rFonts w:ascii="Arial" w:hAnsi="Arial" w:cs="Arial"/>
                <w:sz w:val="24"/>
                <w:szCs w:val="24"/>
                <w:lang w:val="en-IN"/>
              </w:rPr>
            </w:pPr>
            <w:r w:rsidRPr="00474064">
              <w:rPr>
                <w:rFonts w:ascii="Arial" w:hAnsi="Arial" w:cs="Arial"/>
                <w:sz w:val="24"/>
                <w:szCs w:val="24"/>
                <w:lang w:val="en-IN"/>
              </w:rPr>
              <w:t>Rising cost of operations</w:t>
            </w:r>
          </w:p>
        </w:tc>
        <w:tc>
          <w:tcPr>
            <w:tcW w:w="180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19EB814" w14:textId="77777777" w:rsidR="00474064" w:rsidRPr="00474064" w:rsidRDefault="00474064" w:rsidP="00474064">
            <w:pPr>
              <w:spacing w:after="160" w:line="259" w:lineRule="auto"/>
              <w:rPr>
                <w:rFonts w:ascii="Arial" w:hAnsi="Arial" w:cs="Arial"/>
                <w:sz w:val="24"/>
                <w:szCs w:val="24"/>
                <w:lang w:val="en-IN"/>
              </w:rPr>
            </w:pPr>
            <w:r w:rsidRPr="00474064">
              <w:rPr>
                <w:rFonts w:ascii="Arial" w:hAnsi="Arial" w:cs="Arial"/>
                <w:sz w:val="24"/>
                <w:szCs w:val="24"/>
                <w:lang w:val="en-IN"/>
              </w:rPr>
              <w:t>High</w:t>
            </w:r>
          </w:p>
        </w:tc>
        <w:tc>
          <w:tcPr>
            <w:tcW w:w="180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108A20C" w14:textId="77777777" w:rsidR="00474064" w:rsidRPr="00474064" w:rsidRDefault="00474064" w:rsidP="00474064">
            <w:pPr>
              <w:spacing w:after="160" w:line="259" w:lineRule="auto"/>
              <w:rPr>
                <w:rFonts w:ascii="Arial" w:hAnsi="Arial" w:cs="Arial"/>
                <w:sz w:val="24"/>
                <w:szCs w:val="24"/>
                <w:lang w:val="en-IN"/>
              </w:rPr>
            </w:pPr>
            <w:r w:rsidRPr="00474064">
              <w:rPr>
                <w:rFonts w:ascii="Arial" w:hAnsi="Arial" w:cs="Arial"/>
                <w:sz w:val="24"/>
                <w:szCs w:val="24"/>
                <w:lang w:val="en-IN"/>
              </w:rPr>
              <w:t>Medium</w:t>
            </w:r>
          </w:p>
        </w:tc>
        <w:tc>
          <w:tcPr>
            <w:tcW w:w="1803" w:type="dxa"/>
            <w:tcBorders>
              <w:top w:val="single" w:sz="4" w:space="0" w:color="auto"/>
              <w:left w:val="single" w:sz="4" w:space="0" w:color="auto"/>
              <w:bottom w:val="single" w:sz="4" w:space="0" w:color="auto"/>
              <w:right w:val="single" w:sz="4" w:space="0" w:color="auto"/>
            </w:tcBorders>
            <w:shd w:val="clear" w:color="auto" w:fill="FF0000"/>
            <w:hideMark/>
          </w:tcPr>
          <w:p w14:paraId="133D647A" w14:textId="77777777" w:rsidR="00474064" w:rsidRPr="00474064" w:rsidRDefault="00474064" w:rsidP="00474064">
            <w:pPr>
              <w:spacing w:after="160" w:line="259" w:lineRule="auto"/>
              <w:rPr>
                <w:rFonts w:ascii="Arial" w:hAnsi="Arial" w:cs="Arial"/>
                <w:sz w:val="24"/>
                <w:szCs w:val="24"/>
                <w:lang w:val="en-IN"/>
              </w:rPr>
            </w:pPr>
            <w:r w:rsidRPr="00474064">
              <w:rPr>
                <w:rFonts w:ascii="Arial" w:hAnsi="Arial" w:cs="Arial"/>
                <w:sz w:val="24"/>
                <w:szCs w:val="24"/>
                <w:lang w:val="en-IN"/>
              </w:rPr>
              <w:t>High</w:t>
            </w:r>
          </w:p>
        </w:tc>
        <w:tc>
          <w:tcPr>
            <w:tcW w:w="180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544660D" w14:textId="77777777" w:rsidR="00474064" w:rsidRPr="00474064" w:rsidRDefault="00474064" w:rsidP="00474064">
            <w:pPr>
              <w:spacing w:after="160" w:line="259" w:lineRule="auto"/>
              <w:rPr>
                <w:rFonts w:ascii="Arial" w:hAnsi="Arial" w:cs="Arial"/>
                <w:sz w:val="24"/>
                <w:szCs w:val="24"/>
                <w:lang w:val="en-IN"/>
              </w:rPr>
            </w:pPr>
            <w:r w:rsidRPr="00474064">
              <w:rPr>
                <w:rFonts w:ascii="Arial" w:hAnsi="Arial" w:cs="Arial"/>
                <w:sz w:val="24"/>
                <w:szCs w:val="24"/>
                <w:lang w:val="en-IN"/>
              </w:rPr>
              <w:t>Improve their energy efficiency and implement cost controlling systems.</w:t>
            </w:r>
          </w:p>
        </w:tc>
      </w:tr>
      <w:tr w:rsidR="00474064" w:rsidRPr="00474064" w14:paraId="745A4B4D" w14:textId="77777777">
        <w:tc>
          <w:tcPr>
            <w:tcW w:w="180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C45A993" w14:textId="77777777" w:rsidR="00474064" w:rsidRPr="00474064" w:rsidRDefault="00474064" w:rsidP="00474064">
            <w:pPr>
              <w:spacing w:after="160" w:line="259" w:lineRule="auto"/>
              <w:rPr>
                <w:rFonts w:ascii="Arial" w:hAnsi="Arial" w:cs="Arial"/>
                <w:sz w:val="24"/>
                <w:szCs w:val="24"/>
                <w:lang w:val="en-IN"/>
              </w:rPr>
            </w:pPr>
            <w:r w:rsidRPr="00474064">
              <w:rPr>
                <w:rFonts w:ascii="Arial" w:hAnsi="Arial" w:cs="Arial"/>
                <w:sz w:val="24"/>
                <w:szCs w:val="24"/>
                <w:lang w:val="en-IN"/>
              </w:rPr>
              <w:t>Intense competition in UAE against Marriott Internationals</w:t>
            </w:r>
          </w:p>
        </w:tc>
        <w:tc>
          <w:tcPr>
            <w:tcW w:w="180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78736CE" w14:textId="77777777" w:rsidR="00474064" w:rsidRPr="00474064" w:rsidRDefault="00474064" w:rsidP="00474064">
            <w:pPr>
              <w:spacing w:after="160" w:line="259" w:lineRule="auto"/>
              <w:rPr>
                <w:rFonts w:ascii="Arial" w:hAnsi="Arial" w:cs="Arial"/>
                <w:sz w:val="24"/>
                <w:szCs w:val="24"/>
                <w:lang w:val="en-IN"/>
              </w:rPr>
            </w:pPr>
            <w:r w:rsidRPr="00474064">
              <w:rPr>
                <w:rFonts w:ascii="Arial" w:hAnsi="Arial" w:cs="Arial"/>
                <w:sz w:val="24"/>
                <w:szCs w:val="24"/>
                <w:lang w:val="en-IN"/>
              </w:rPr>
              <w:t>High</w:t>
            </w:r>
          </w:p>
        </w:tc>
        <w:tc>
          <w:tcPr>
            <w:tcW w:w="180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94E64D6" w14:textId="77777777" w:rsidR="00474064" w:rsidRPr="00474064" w:rsidRDefault="00474064" w:rsidP="00474064">
            <w:pPr>
              <w:spacing w:after="160" w:line="259" w:lineRule="auto"/>
              <w:rPr>
                <w:rFonts w:ascii="Arial" w:hAnsi="Arial" w:cs="Arial"/>
                <w:sz w:val="24"/>
                <w:szCs w:val="24"/>
                <w:lang w:val="en-IN"/>
              </w:rPr>
            </w:pPr>
            <w:r w:rsidRPr="00474064">
              <w:rPr>
                <w:rFonts w:ascii="Arial" w:hAnsi="Arial" w:cs="Arial"/>
                <w:sz w:val="24"/>
                <w:szCs w:val="24"/>
                <w:lang w:val="en-IN"/>
              </w:rPr>
              <w:t>Medium</w:t>
            </w:r>
          </w:p>
        </w:tc>
        <w:tc>
          <w:tcPr>
            <w:tcW w:w="1803" w:type="dxa"/>
            <w:tcBorders>
              <w:top w:val="single" w:sz="4" w:space="0" w:color="auto"/>
              <w:left w:val="single" w:sz="4" w:space="0" w:color="auto"/>
              <w:bottom w:val="single" w:sz="4" w:space="0" w:color="auto"/>
              <w:right w:val="single" w:sz="4" w:space="0" w:color="auto"/>
            </w:tcBorders>
            <w:shd w:val="clear" w:color="auto" w:fill="FFFF00"/>
            <w:hideMark/>
          </w:tcPr>
          <w:p w14:paraId="5F7F4413" w14:textId="77777777" w:rsidR="00474064" w:rsidRPr="00474064" w:rsidRDefault="00474064" w:rsidP="00474064">
            <w:pPr>
              <w:spacing w:after="160" w:line="259" w:lineRule="auto"/>
              <w:rPr>
                <w:rFonts w:ascii="Arial" w:hAnsi="Arial" w:cs="Arial"/>
                <w:sz w:val="24"/>
                <w:szCs w:val="24"/>
                <w:lang w:val="en-IN"/>
              </w:rPr>
            </w:pPr>
            <w:r w:rsidRPr="00474064">
              <w:rPr>
                <w:rFonts w:ascii="Arial" w:hAnsi="Arial" w:cs="Arial"/>
                <w:sz w:val="24"/>
                <w:szCs w:val="24"/>
                <w:lang w:val="en-IN"/>
              </w:rPr>
              <w:t>Moderate</w:t>
            </w:r>
          </w:p>
        </w:tc>
        <w:tc>
          <w:tcPr>
            <w:tcW w:w="180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063810B" w14:textId="77777777" w:rsidR="00474064" w:rsidRPr="00474064" w:rsidRDefault="00474064" w:rsidP="00474064">
            <w:pPr>
              <w:spacing w:after="160" w:line="259" w:lineRule="auto"/>
              <w:rPr>
                <w:rFonts w:ascii="Arial" w:hAnsi="Arial" w:cs="Arial"/>
                <w:sz w:val="24"/>
                <w:szCs w:val="24"/>
                <w:lang w:val="en-IN"/>
              </w:rPr>
            </w:pPr>
            <w:r w:rsidRPr="00474064">
              <w:rPr>
                <w:rFonts w:ascii="Arial" w:hAnsi="Arial" w:cs="Arial"/>
                <w:sz w:val="24"/>
                <w:szCs w:val="24"/>
                <w:lang w:val="en-IN"/>
              </w:rPr>
              <w:t>Marriott Internationals must improve and redesign their innovation in service program.</w:t>
            </w:r>
          </w:p>
        </w:tc>
      </w:tr>
    </w:tbl>
    <w:p w14:paraId="4707ADAD" w14:textId="77777777" w:rsidR="00474064" w:rsidRDefault="00474064" w:rsidP="00821E94">
      <w:pPr>
        <w:jc w:val="center"/>
        <w:rPr>
          <w:rFonts w:ascii="Arial" w:hAnsi="Arial" w:cs="Arial"/>
          <w:b/>
          <w:sz w:val="24"/>
          <w:szCs w:val="24"/>
          <w:lang w:val="en-IN"/>
        </w:rPr>
      </w:pPr>
      <w:r w:rsidRPr="00474064">
        <w:rPr>
          <w:rFonts w:ascii="Arial" w:hAnsi="Arial" w:cs="Arial"/>
          <w:b/>
          <w:sz w:val="24"/>
          <w:szCs w:val="24"/>
          <w:lang w:val="en-IN"/>
        </w:rPr>
        <w:t>Risk matrix table</w:t>
      </w:r>
    </w:p>
    <w:p w14:paraId="0DF7DFC8" w14:textId="77777777" w:rsidR="00821E94" w:rsidRDefault="00821E94" w:rsidP="00821E94">
      <w:pPr>
        <w:jc w:val="center"/>
        <w:rPr>
          <w:rFonts w:ascii="Arial" w:hAnsi="Arial" w:cs="Arial"/>
          <w:b/>
          <w:sz w:val="24"/>
          <w:szCs w:val="24"/>
          <w:lang w:val="en-IN"/>
        </w:rPr>
      </w:pPr>
    </w:p>
    <w:p w14:paraId="0624BDF3" w14:textId="77777777" w:rsidR="00821E94" w:rsidRDefault="00821E94" w:rsidP="00821E94">
      <w:pPr>
        <w:jc w:val="center"/>
        <w:rPr>
          <w:rFonts w:ascii="Arial" w:hAnsi="Arial" w:cs="Arial"/>
          <w:b/>
          <w:sz w:val="24"/>
          <w:szCs w:val="24"/>
          <w:lang w:val="en-IN"/>
        </w:rPr>
      </w:pPr>
    </w:p>
    <w:p w14:paraId="78DC3F91" w14:textId="77777777" w:rsidR="00821E94" w:rsidRPr="00474064" w:rsidRDefault="00821E94" w:rsidP="00821E94">
      <w:pPr>
        <w:jc w:val="center"/>
        <w:rPr>
          <w:rFonts w:ascii="Arial" w:hAnsi="Arial" w:cs="Arial"/>
          <w:b/>
          <w:sz w:val="24"/>
          <w:szCs w:val="24"/>
          <w:lang w:val="en-IN"/>
        </w:rPr>
      </w:pPr>
    </w:p>
    <w:p w14:paraId="0C9EA47C" w14:textId="77777777" w:rsidR="00474064" w:rsidRPr="005E1213" w:rsidRDefault="00474064" w:rsidP="00474064">
      <w:pPr>
        <w:pStyle w:val="Heading2"/>
        <w:rPr>
          <w:rFonts w:ascii="Arial" w:hAnsi="Arial" w:cs="Arial"/>
          <w:sz w:val="24"/>
          <w:szCs w:val="24"/>
          <w:lang w:val="en-IN"/>
        </w:rPr>
      </w:pPr>
      <w:bookmarkStart w:id="21" w:name="_Toc227661414"/>
      <w:r w:rsidRPr="005E1213">
        <w:rPr>
          <w:rFonts w:ascii="Arial" w:hAnsi="Arial" w:cs="Arial"/>
          <w:sz w:val="24"/>
          <w:szCs w:val="24"/>
          <w:lang w:val="en-IN"/>
        </w:rPr>
        <w:lastRenderedPageBreak/>
        <w:t>5.7 Strategic opportunities</w:t>
      </w:r>
      <w:bookmarkEnd w:id="21"/>
      <w:r w:rsidRPr="005E1213">
        <w:rPr>
          <w:rFonts w:ascii="Arial" w:hAnsi="Arial" w:cs="Arial"/>
          <w:sz w:val="24"/>
          <w:szCs w:val="24"/>
          <w:lang w:val="en-IN"/>
        </w:rPr>
        <w:t xml:space="preserve"> </w:t>
      </w:r>
    </w:p>
    <w:p w14:paraId="3D18EC55"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While being operational in UAE, Marriott Internationals can get access to a number of strategic opportunities such as growth in sustainable tourism, expansion of Marriott International properties in secondary emirates along with leveraging highly advanced and technological technologies. In addition, Marriott Internationals can also get access to regional GCC integration strategies. In alliance of the sustainability concerned vision and mission of Marriott Internationals, the target brand can definitely strengthen the brand differentiation (Haq, 2013). </w:t>
      </w:r>
    </w:p>
    <w:p w14:paraId="002F5711" w14:textId="77777777" w:rsidR="00474064" w:rsidRPr="005E1213" w:rsidRDefault="00474064" w:rsidP="00474064">
      <w:pPr>
        <w:pStyle w:val="Heading2"/>
        <w:rPr>
          <w:rFonts w:ascii="Arial" w:hAnsi="Arial" w:cs="Arial"/>
          <w:sz w:val="24"/>
          <w:szCs w:val="24"/>
          <w:lang w:val="en-IN"/>
        </w:rPr>
      </w:pPr>
      <w:bookmarkStart w:id="22" w:name="_Toc227661415"/>
      <w:r w:rsidRPr="005E1213">
        <w:rPr>
          <w:rFonts w:ascii="Arial" w:hAnsi="Arial" w:cs="Arial"/>
          <w:sz w:val="24"/>
          <w:szCs w:val="24"/>
          <w:lang w:val="en-IN"/>
        </w:rPr>
        <w:t>5.8 Overall market attractiveness</w:t>
      </w:r>
      <w:bookmarkEnd w:id="22"/>
    </w:p>
    <w:p w14:paraId="332BE704"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A number of factors that makes UAE perfect fit for</w:t>
      </w:r>
      <w:r w:rsidRPr="00474064">
        <w:rPr>
          <w:rFonts w:ascii="Arial" w:hAnsi="Arial" w:cs="Arial"/>
          <w:b/>
          <w:sz w:val="24"/>
          <w:szCs w:val="24"/>
          <w:lang w:val="en-IN"/>
        </w:rPr>
        <w:t xml:space="preserve"> </w:t>
      </w:r>
      <w:r w:rsidRPr="00474064">
        <w:rPr>
          <w:rFonts w:ascii="Arial" w:hAnsi="Arial" w:cs="Arial"/>
          <w:sz w:val="24"/>
          <w:szCs w:val="24"/>
          <w:lang w:val="en-IN"/>
        </w:rPr>
        <w:t>Marriott Internationals to expand and keep the region truly attractive are enlisted below –</w:t>
      </w:r>
    </w:p>
    <w:p w14:paraId="364A5501" w14:textId="77777777" w:rsidR="00474064" w:rsidRPr="00474064" w:rsidRDefault="00474064" w:rsidP="00474064">
      <w:pPr>
        <w:numPr>
          <w:ilvl w:val="0"/>
          <w:numId w:val="6"/>
        </w:numPr>
        <w:rPr>
          <w:rFonts w:ascii="Arial" w:hAnsi="Arial" w:cs="Arial"/>
          <w:sz w:val="24"/>
          <w:szCs w:val="24"/>
          <w:lang w:val="en-IN"/>
        </w:rPr>
      </w:pPr>
      <w:r w:rsidRPr="00474064">
        <w:rPr>
          <w:rFonts w:ascii="Arial" w:hAnsi="Arial" w:cs="Arial"/>
          <w:sz w:val="24"/>
          <w:szCs w:val="24"/>
          <w:lang w:val="en-IN"/>
        </w:rPr>
        <w:t>Stability of political sector of UAE may result in beneficial for Marriott Internationals.</w:t>
      </w:r>
    </w:p>
    <w:p w14:paraId="5CABD357" w14:textId="77777777" w:rsidR="00474064" w:rsidRPr="00474064" w:rsidRDefault="00474064" w:rsidP="00474064">
      <w:pPr>
        <w:numPr>
          <w:ilvl w:val="0"/>
          <w:numId w:val="6"/>
        </w:numPr>
        <w:rPr>
          <w:rFonts w:ascii="Arial" w:hAnsi="Arial" w:cs="Arial"/>
          <w:sz w:val="24"/>
          <w:szCs w:val="24"/>
          <w:lang w:val="en-IN"/>
        </w:rPr>
      </w:pPr>
      <w:r w:rsidRPr="00474064">
        <w:rPr>
          <w:rFonts w:ascii="Arial" w:hAnsi="Arial" w:cs="Arial"/>
          <w:sz w:val="24"/>
          <w:szCs w:val="24"/>
          <w:lang w:val="en-IN"/>
        </w:rPr>
        <w:t>Strong access to infrastructure.</w:t>
      </w:r>
    </w:p>
    <w:p w14:paraId="46D7917D" w14:textId="77777777" w:rsidR="00474064" w:rsidRPr="00474064" w:rsidRDefault="00474064" w:rsidP="00474064">
      <w:pPr>
        <w:numPr>
          <w:ilvl w:val="0"/>
          <w:numId w:val="6"/>
        </w:numPr>
        <w:rPr>
          <w:rFonts w:ascii="Arial" w:hAnsi="Arial" w:cs="Arial"/>
          <w:sz w:val="24"/>
          <w:szCs w:val="24"/>
          <w:lang w:val="en-IN"/>
        </w:rPr>
      </w:pPr>
      <w:r w:rsidRPr="00474064">
        <w:rPr>
          <w:rFonts w:ascii="Arial" w:hAnsi="Arial" w:cs="Arial"/>
          <w:sz w:val="24"/>
          <w:szCs w:val="24"/>
          <w:lang w:val="en-IN"/>
        </w:rPr>
        <w:t>Tourism-focused economic strategy.</w:t>
      </w:r>
    </w:p>
    <w:p w14:paraId="56F53CEE" w14:textId="77777777" w:rsidR="00474064" w:rsidRPr="00474064" w:rsidRDefault="00474064" w:rsidP="00474064">
      <w:pPr>
        <w:numPr>
          <w:ilvl w:val="0"/>
          <w:numId w:val="6"/>
        </w:numPr>
        <w:rPr>
          <w:rFonts w:ascii="Arial" w:hAnsi="Arial" w:cs="Arial"/>
          <w:sz w:val="24"/>
          <w:szCs w:val="24"/>
          <w:lang w:val="en-IN"/>
        </w:rPr>
      </w:pPr>
      <w:r w:rsidRPr="00474064">
        <w:rPr>
          <w:rFonts w:ascii="Arial" w:hAnsi="Arial" w:cs="Arial"/>
          <w:sz w:val="24"/>
          <w:szCs w:val="24"/>
          <w:lang w:val="en-IN"/>
        </w:rPr>
        <w:t xml:space="preserve">Openness to cultural diversification. </w:t>
      </w:r>
    </w:p>
    <w:p w14:paraId="192F4C1B" w14:textId="77777777" w:rsidR="00474064" w:rsidRPr="00474064" w:rsidRDefault="00474064" w:rsidP="00474064">
      <w:pPr>
        <w:numPr>
          <w:ilvl w:val="0"/>
          <w:numId w:val="6"/>
        </w:numPr>
        <w:rPr>
          <w:rFonts w:ascii="Arial" w:hAnsi="Arial" w:cs="Arial"/>
          <w:sz w:val="24"/>
          <w:szCs w:val="24"/>
          <w:lang w:val="en-IN"/>
        </w:rPr>
      </w:pPr>
      <w:r w:rsidRPr="00474064">
        <w:rPr>
          <w:rFonts w:ascii="Arial" w:hAnsi="Arial" w:cs="Arial"/>
          <w:sz w:val="24"/>
          <w:szCs w:val="24"/>
          <w:lang w:val="en-IN"/>
        </w:rPr>
        <w:t xml:space="preserve">Connection of domestic hospitality and hotel sector of UAE with global services (Cavendish Maxwell, 2025). </w:t>
      </w:r>
    </w:p>
    <w:p w14:paraId="468772E3"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While risks exist, these are determined to be manageable through their strategic adaptation. For successful operations and engagement of Marriott Internationals among the suburbs of UAE, factors to depend upon involves maintenance of differentiation of brand products and services. In addition, cost efficiency in comparison of their competitors, their sustainable leadership as well as the cultural responsiveness of the firm name Marriott Internationals expects Marriott Internationals success. In addition to their global capabilities, and diversification strategy, Marriott Internationals is found to be positioned very well in an effective manner so that they could gain access to competitive advantages in UAE’s hospitality industry. </w:t>
      </w:r>
    </w:p>
    <w:p w14:paraId="554F4874" w14:textId="77777777" w:rsidR="00474064" w:rsidRPr="005E1213" w:rsidRDefault="00474064" w:rsidP="00282C65">
      <w:pPr>
        <w:pStyle w:val="Heading1"/>
        <w:rPr>
          <w:rFonts w:ascii="Arial" w:hAnsi="Arial" w:cs="Arial"/>
        </w:rPr>
      </w:pPr>
      <w:bookmarkStart w:id="23" w:name="_Toc227661416"/>
      <w:r w:rsidRPr="005E1213">
        <w:rPr>
          <w:rFonts w:ascii="Arial" w:hAnsi="Arial" w:cs="Arial"/>
        </w:rPr>
        <w:t>6. Conclusion</w:t>
      </w:r>
      <w:bookmarkEnd w:id="23"/>
      <w:r w:rsidRPr="005E1213">
        <w:rPr>
          <w:rFonts w:ascii="Arial" w:hAnsi="Arial" w:cs="Arial"/>
        </w:rPr>
        <w:t xml:space="preserve"> </w:t>
      </w:r>
    </w:p>
    <w:p w14:paraId="5D9B69BF" w14:textId="4E7A7346"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The UAE’s industry of hospitality clearly reflects upon their strong global competitiveness, which is further driven by the excellence along with massive support of government, advanced level demanding conditions along with intensive rivalries of the firms in hotel segment of UAE. In addition, application of framework such as Porter’s diamond model, 5 forces, PESTLE and others </w:t>
      </w:r>
      <w:r w:rsidR="007C239C" w:rsidRPr="005E1213">
        <w:rPr>
          <w:rFonts w:ascii="Arial" w:hAnsi="Arial" w:cs="Arial"/>
          <w:sz w:val="24"/>
          <w:szCs w:val="24"/>
          <w:lang w:val="en-IN"/>
        </w:rPr>
        <w:t>shed</w:t>
      </w:r>
      <w:r w:rsidRPr="00474064">
        <w:rPr>
          <w:rFonts w:ascii="Arial" w:hAnsi="Arial" w:cs="Arial"/>
          <w:sz w:val="24"/>
          <w:szCs w:val="24"/>
          <w:lang w:val="en-IN"/>
        </w:rPr>
        <w:t xml:space="preserve"> light upon some structural advantages in the tourism industry and hospitality. The target hotel-based firm name Marriott Internationals in UAE operates with a very highly attractive yet competitive environment as well. Their political stability, diversification of economic conditions and pro-business regulations showcase support for its operations. However, on the other side, high competition, risk of market saturation as well as </w:t>
      </w:r>
      <w:r w:rsidRPr="00474064">
        <w:rPr>
          <w:rFonts w:ascii="Arial" w:hAnsi="Arial" w:cs="Arial"/>
          <w:sz w:val="24"/>
          <w:szCs w:val="24"/>
          <w:lang w:val="en-IN"/>
        </w:rPr>
        <w:lastRenderedPageBreak/>
        <w:t xml:space="preserve">pressure of increase in operational cost require strategic agility for Marriott Internationals among regions of UAE. </w:t>
      </w:r>
    </w:p>
    <w:p w14:paraId="2E34BBE6"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For Marriott Internationals to navigate the whole market of UA E while maintaining global network supply, factors that contributes involve asset-light modelling, and their diversified portfolio of brands. The long-term success of the firm depends basically upon innovation as well as integration of sustainability and constant alignment within the tourism industry of UAE. All in all, in a nutshell, it has been identified that UAE could be considered as one of the most strategic and attractive hospitality markets all over the world, and Marriott Internationals has successfully positioned itself on a scale of sustainable business. </w:t>
      </w:r>
    </w:p>
    <w:p w14:paraId="38193588" w14:textId="77777777" w:rsidR="00474064" w:rsidRPr="005E1213" w:rsidRDefault="00474064" w:rsidP="00282C65">
      <w:pPr>
        <w:pStyle w:val="Heading1"/>
        <w:rPr>
          <w:rFonts w:ascii="Arial" w:hAnsi="Arial" w:cs="Arial"/>
        </w:rPr>
      </w:pPr>
      <w:bookmarkStart w:id="24" w:name="_Toc227661417"/>
      <w:r w:rsidRPr="005E1213">
        <w:rPr>
          <w:rFonts w:ascii="Arial" w:hAnsi="Arial" w:cs="Arial"/>
        </w:rPr>
        <w:t>Task 2 – Reflective piece using Gibbs reflective model or framework</w:t>
      </w:r>
      <w:bookmarkEnd w:id="24"/>
    </w:p>
    <w:p w14:paraId="3A27671E" w14:textId="77777777" w:rsidR="00474064" w:rsidRPr="005E1213" w:rsidRDefault="00474064" w:rsidP="00474064">
      <w:pPr>
        <w:pStyle w:val="Heading2"/>
        <w:rPr>
          <w:rFonts w:ascii="Arial" w:hAnsi="Arial" w:cs="Arial"/>
          <w:sz w:val="24"/>
          <w:szCs w:val="24"/>
          <w:lang w:val="en-IN"/>
        </w:rPr>
      </w:pPr>
      <w:bookmarkStart w:id="25" w:name="_Toc227661418"/>
      <w:r w:rsidRPr="005E1213">
        <w:rPr>
          <w:rFonts w:ascii="Arial" w:hAnsi="Arial" w:cs="Arial"/>
          <w:sz w:val="24"/>
          <w:szCs w:val="24"/>
          <w:lang w:val="en-IN"/>
        </w:rPr>
        <w:t>1. Description</w:t>
      </w:r>
      <w:bookmarkEnd w:id="25"/>
    </w:p>
    <w:p w14:paraId="14ABB308"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The task in the beginning required me to focus upon development of international business report, which analysed and evaluated in a very critical manner the whole UAE industry of hospitality and tourism. While doing this, I followed strict analysing skills to examine in detail about Marriott International’s strategic position (</w:t>
      </w:r>
      <w:r w:rsidRPr="00474064">
        <w:rPr>
          <w:rFonts w:ascii="Arial" w:hAnsi="Arial" w:cs="Arial"/>
          <w:i/>
          <w:iCs/>
          <w:sz w:val="24"/>
          <w:szCs w:val="24"/>
          <w:lang w:val="en-IN"/>
        </w:rPr>
        <w:t>Hotels in the UAE - Ministry of Economy and Tourism UAE</w:t>
      </w:r>
      <w:r w:rsidRPr="00474064">
        <w:rPr>
          <w:rFonts w:ascii="Arial" w:hAnsi="Arial" w:cs="Arial"/>
          <w:sz w:val="24"/>
          <w:szCs w:val="24"/>
          <w:lang w:val="en-IN"/>
        </w:rPr>
        <w:t>, 2025). I began simply by identifying reliable freely accessible and easy to access data sources over web such as industry-based reports and journals related to government tourism and company reports annually. I furthermore, structured the whole work in accordance to the guidelines given in the assessment brief. For assuring the data analysis is done in an effective manner, I successfully implemented some theoretical frameworks such as Porter’s Diamond Model, PESTLE analysis, and Five Forces analysis as well. In order to make sure the data is represented in a logical way, I made sure that these frameworks would help me conducting practical example-based analysis</w:t>
      </w:r>
    </w:p>
    <w:p w14:paraId="19FFF82D" w14:textId="77777777" w:rsidR="00474064" w:rsidRPr="005E1213" w:rsidRDefault="00474064" w:rsidP="00474064">
      <w:pPr>
        <w:pStyle w:val="Heading2"/>
        <w:rPr>
          <w:rFonts w:ascii="Arial" w:hAnsi="Arial" w:cs="Arial"/>
          <w:sz w:val="24"/>
          <w:szCs w:val="24"/>
          <w:lang w:val="en-IN"/>
        </w:rPr>
      </w:pPr>
      <w:bookmarkStart w:id="26" w:name="_Toc227661419"/>
      <w:r w:rsidRPr="005E1213">
        <w:rPr>
          <w:rFonts w:ascii="Arial" w:hAnsi="Arial" w:cs="Arial"/>
          <w:sz w:val="24"/>
          <w:szCs w:val="24"/>
          <w:lang w:val="en-IN"/>
        </w:rPr>
        <w:t>2. Feelings</w:t>
      </w:r>
      <w:bookmarkEnd w:id="26"/>
    </w:p>
    <w:p w14:paraId="0BE087A7"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In the beginning period, I was very confident about selection of topic related to management of Marriott internationals industry over the suburbs of UAE. And I selected this topic because of wide range of data available over web in reference to operationality of Marriott internationals in UAE. I knew, this research will test my analysis skills for sure. With the passage of time and progression in research, I became more confident in integration of academic reports data and frameworks-based practical evaluation. I also felt engaged impressively while analysing the competitive rivalries and sustainability pressures (</w:t>
      </w:r>
      <w:r w:rsidRPr="00474064">
        <w:rPr>
          <w:rFonts w:ascii="Arial" w:hAnsi="Arial" w:cs="Arial"/>
          <w:i/>
          <w:iCs/>
          <w:sz w:val="24"/>
          <w:szCs w:val="24"/>
          <w:lang w:val="en-IN"/>
        </w:rPr>
        <w:t>Hotels in the UAE - Ministry of Economy and Tourism UAE</w:t>
      </w:r>
      <w:r w:rsidRPr="00474064">
        <w:rPr>
          <w:rFonts w:ascii="Arial" w:hAnsi="Arial" w:cs="Arial"/>
          <w:sz w:val="24"/>
          <w:szCs w:val="24"/>
          <w:lang w:val="en-IN"/>
        </w:rPr>
        <w:t xml:space="preserve">, 2025). </w:t>
      </w:r>
    </w:p>
    <w:p w14:paraId="3FC0D913" w14:textId="77777777" w:rsidR="00474064" w:rsidRPr="005E1213" w:rsidRDefault="00474064" w:rsidP="00474064">
      <w:pPr>
        <w:pStyle w:val="Heading2"/>
        <w:rPr>
          <w:rFonts w:ascii="Arial" w:hAnsi="Arial" w:cs="Arial"/>
          <w:sz w:val="24"/>
          <w:szCs w:val="24"/>
          <w:lang w:val="en-IN"/>
        </w:rPr>
      </w:pPr>
      <w:bookmarkStart w:id="27" w:name="_Toc227661420"/>
      <w:r w:rsidRPr="005E1213">
        <w:rPr>
          <w:rFonts w:ascii="Arial" w:hAnsi="Arial" w:cs="Arial"/>
          <w:sz w:val="24"/>
          <w:szCs w:val="24"/>
          <w:lang w:val="en-IN"/>
        </w:rPr>
        <w:t>3. Evaluation</w:t>
      </w:r>
      <w:bookmarkEnd w:id="27"/>
      <w:r w:rsidRPr="005E1213">
        <w:rPr>
          <w:rFonts w:ascii="Arial" w:hAnsi="Arial" w:cs="Arial"/>
          <w:sz w:val="24"/>
          <w:szCs w:val="24"/>
          <w:lang w:val="en-IN"/>
        </w:rPr>
        <w:t xml:space="preserve"> </w:t>
      </w:r>
    </w:p>
    <w:p w14:paraId="64548BB6"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The overall process of research was very effective and according to my personal strengths as well. it was a success because of my efforts such as structuring the academic models to organize the analysis. Porter’s diamond model or framework helped me elaborating with clarity about national competitiveness while on the other </w:t>
      </w:r>
      <w:r w:rsidRPr="00474064">
        <w:rPr>
          <w:rFonts w:ascii="Arial" w:hAnsi="Arial" w:cs="Arial"/>
          <w:sz w:val="24"/>
          <w:szCs w:val="24"/>
          <w:lang w:val="en-IN"/>
        </w:rPr>
        <w:lastRenderedPageBreak/>
        <w:t>side, PESTLE analysis helped assessing the attractiveness of markets. Using these recognized frameworks, helped me strengthening and improving the academic credibility of the report (</w:t>
      </w:r>
      <w:r w:rsidRPr="00474064">
        <w:rPr>
          <w:rFonts w:ascii="Arial" w:hAnsi="Arial" w:cs="Arial"/>
          <w:i/>
          <w:iCs/>
          <w:sz w:val="24"/>
          <w:szCs w:val="24"/>
          <w:lang w:val="en-IN"/>
        </w:rPr>
        <w:t>Hotels in the UAE - Ministry of Economy and Tourism UAE</w:t>
      </w:r>
      <w:r w:rsidRPr="00474064">
        <w:rPr>
          <w:rFonts w:ascii="Arial" w:hAnsi="Arial" w:cs="Arial"/>
          <w:sz w:val="24"/>
          <w:szCs w:val="24"/>
          <w:lang w:val="en-IN"/>
        </w:rPr>
        <w:t xml:space="preserve">, 2025). For instance, once I was discussing about luxury market targets in UAE hotel industry with my team, and I recognized I was able to engage them all throughout the discussion along with competitive dynamics instead of giving only generic explanations. </w:t>
      </w:r>
    </w:p>
    <w:p w14:paraId="1A80AED8" w14:textId="77777777" w:rsidR="00474064" w:rsidRPr="005E1213" w:rsidRDefault="00474064" w:rsidP="00474064">
      <w:pPr>
        <w:pStyle w:val="Heading2"/>
        <w:rPr>
          <w:rFonts w:ascii="Arial" w:hAnsi="Arial" w:cs="Arial"/>
          <w:sz w:val="24"/>
          <w:szCs w:val="24"/>
          <w:lang w:val="en-IN"/>
        </w:rPr>
      </w:pPr>
      <w:bookmarkStart w:id="28" w:name="_Toc227661421"/>
      <w:r w:rsidRPr="005E1213">
        <w:rPr>
          <w:rFonts w:ascii="Arial" w:hAnsi="Arial" w:cs="Arial"/>
          <w:sz w:val="24"/>
          <w:szCs w:val="24"/>
          <w:lang w:val="en-IN"/>
        </w:rPr>
        <w:t>4. Analysis</w:t>
      </w:r>
      <w:bookmarkEnd w:id="28"/>
    </w:p>
    <w:p w14:paraId="55C05342"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The followed process of research highlighted clearly about significant role of structured thinking and strategic thinking as well. Implementation of Gibbs reflective stage of analysis permitted me to proceed with recognition and identification of the ways in which theory actually informs the practices. For instance, I would like to share my personal experience here. Implementation of Porter’s Diamond emphasised clearly in what ways the local government members support the infrastructure investment, which creates advantage for the firms on national level.  This helped me understanding with more clarity why the global hotel chains concentrate heavily among the suburbs of UAE and Dubai (</w:t>
      </w:r>
      <w:r w:rsidRPr="00474064">
        <w:rPr>
          <w:rFonts w:ascii="Arial" w:hAnsi="Arial" w:cs="Arial"/>
          <w:i/>
          <w:iCs/>
          <w:sz w:val="24"/>
          <w:szCs w:val="24"/>
          <w:lang w:val="en-IN"/>
        </w:rPr>
        <w:t>Live, Learn, and Thrive: The allure of Studying hospitality in the UAE - Britts Imperial 2026</w:t>
      </w:r>
      <w:r w:rsidRPr="00474064">
        <w:rPr>
          <w:rFonts w:ascii="Arial" w:hAnsi="Arial" w:cs="Arial"/>
          <w:sz w:val="24"/>
          <w:szCs w:val="24"/>
          <w:lang w:val="en-IN"/>
        </w:rPr>
        <w:t xml:space="preserve">, 2026). </w:t>
      </w:r>
    </w:p>
    <w:p w14:paraId="4E46ED0F"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Furthermore, I also got to known that strategic form of analysis and thematic data synthesis requires evaluation of both opportunities as well as risks at the same time. I understood why the local market of UAE is attractive for new entrants and international players in hotel industry due to their political stability and strong demand. However, these factors also lead them to face intense competition and costing pressures. After identifying all these contradictions, I found myself strengthened and my abilities formed to conduct balanced evaluations. As a result of all this, I developed very stronger critical thinking skills, because of questioning assumptions (</w:t>
      </w:r>
      <w:r w:rsidRPr="00474064">
        <w:rPr>
          <w:rFonts w:ascii="Arial" w:hAnsi="Arial" w:cs="Arial"/>
          <w:i/>
          <w:iCs/>
          <w:sz w:val="24"/>
          <w:szCs w:val="24"/>
          <w:lang w:val="en-IN"/>
        </w:rPr>
        <w:t>Live, Learn, and Thrive: The allure of Studying hospitality in the UAE - Britts Imperial 2026</w:t>
      </w:r>
      <w:r w:rsidRPr="00474064">
        <w:rPr>
          <w:rFonts w:ascii="Arial" w:hAnsi="Arial" w:cs="Arial"/>
          <w:sz w:val="24"/>
          <w:szCs w:val="24"/>
          <w:lang w:val="en-IN"/>
        </w:rPr>
        <w:t xml:space="preserve">, 2026). </w:t>
      </w:r>
    </w:p>
    <w:p w14:paraId="12012960" w14:textId="77777777" w:rsidR="00474064" w:rsidRPr="005E1213" w:rsidRDefault="00474064" w:rsidP="00474064">
      <w:pPr>
        <w:pStyle w:val="Heading2"/>
        <w:rPr>
          <w:rFonts w:ascii="Arial" w:hAnsi="Arial" w:cs="Arial"/>
          <w:sz w:val="24"/>
          <w:szCs w:val="24"/>
          <w:lang w:val="en-IN"/>
        </w:rPr>
      </w:pPr>
      <w:bookmarkStart w:id="29" w:name="_Toc227661422"/>
      <w:r w:rsidRPr="005E1213">
        <w:rPr>
          <w:rFonts w:ascii="Arial" w:hAnsi="Arial" w:cs="Arial"/>
          <w:sz w:val="24"/>
          <w:szCs w:val="24"/>
          <w:lang w:val="en-IN"/>
        </w:rPr>
        <w:t>5. Conclusion</w:t>
      </w:r>
      <w:bookmarkEnd w:id="29"/>
    </w:p>
    <w:p w14:paraId="519D01F2"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In a nutshell, the overall analysed process helped me understanding better about international strategic management within the hospitality industry. I actually got to know how successfully I can accomplish the research analysis while being focusing upon a number of required elements of research.  Above all those factors, the key important ones involve integration of a wide range of theoretical frameworks, establishing clear links between the macro-environmental conditions and firm-based strategy. I also got to know about critical evaluation instead of descriptive reporting along with consideration of both perspectives such as risks and opportunities at the same time. All in all, this exercise of research and learning improved my skills and abilities to assess the attractiveness of market and overall competitiveness of organization in the global market context. It has all resulted in improvement of my academic structuring of skills, while assuring logical coherence across different sections. </w:t>
      </w:r>
    </w:p>
    <w:p w14:paraId="0F6071FD" w14:textId="77777777" w:rsidR="00474064" w:rsidRPr="005E1213" w:rsidRDefault="00474064" w:rsidP="00474064">
      <w:pPr>
        <w:pStyle w:val="Heading2"/>
        <w:rPr>
          <w:rFonts w:ascii="Arial" w:hAnsi="Arial" w:cs="Arial"/>
          <w:sz w:val="24"/>
          <w:szCs w:val="24"/>
          <w:lang w:val="en-IN"/>
        </w:rPr>
      </w:pPr>
      <w:bookmarkStart w:id="30" w:name="_Toc227661423"/>
      <w:r w:rsidRPr="005E1213">
        <w:rPr>
          <w:rFonts w:ascii="Arial" w:hAnsi="Arial" w:cs="Arial"/>
          <w:sz w:val="24"/>
          <w:szCs w:val="24"/>
          <w:lang w:val="en-IN"/>
        </w:rPr>
        <w:lastRenderedPageBreak/>
        <w:t>6. Action plan</w:t>
      </w:r>
      <w:bookmarkEnd w:id="30"/>
      <w:r w:rsidRPr="005E1213">
        <w:rPr>
          <w:rFonts w:ascii="Arial" w:hAnsi="Arial" w:cs="Arial"/>
          <w:sz w:val="24"/>
          <w:szCs w:val="24"/>
          <w:lang w:val="en-IN"/>
        </w:rPr>
        <w:t xml:space="preserve"> </w:t>
      </w:r>
    </w:p>
    <w:p w14:paraId="0201BEEC" w14:textId="119F24D3"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For building a better future in research field and for better assessment of data, I will follow a number of steps. Such as, I will start with allocation of more self-development time and more time to collect data sources, examine the data sources and peer-reviewed academic journals so that it could help deepening the theoretical justification.  In addition, I will also incorporate more quantitative datasets in which occupancy rates, ADR trends, revenue performance and other factors will </w:t>
      </w:r>
      <w:r w:rsidR="00213E68" w:rsidRPr="005E1213">
        <w:rPr>
          <w:rFonts w:ascii="Arial" w:hAnsi="Arial" w:cs="Arial"/>
          <w:sz w:val="24"/>
          <w:szCs w:val="24"/>
          <w:lang w:val="en-IN"/>
        </w:rPr>
        <w:t>be</w:t>
      </w:r>
      <w:r w:rsidRPr="00474064">
        <w:rPr>
          <w:rFonts w:ascii="Arial" w:hAnsi="Arial" w:cs="Arial"/>
          <w:sz w:val="24"/>
          <w:szCs w:val="24"/>
          <w:lang w:val="en-IN"/>
        </w:rPr>
        <w:t xml:space="preserve"> defined in more detailed manner. It will help me improving the evidence-based analysis overall. In addition to this, I will aim at development of a very stronger comparative analysis, which is between the competitors so that it could become easy to enhance critical evaluation throughout the research. At last, I will also practice synthesising large volumes of data/information in an efficient manner, in order to improve the management of time. In addition to all these factors, I will also strengthen my abilities to simply present the strategic arguments in a concise manner without even losing analytical depth. </w:t>
      </w:r>
    </w:p>
    <w:p w14:paraId="18060634" w14:textId="77777777" w:rsidR="00474064" w:rsidRPr="00474064" w:rsidRDefault="00474064" w:rsidP="00474064">
      <w:pPr>
        <w:rPr>
          <w:rFonts w:ascii="Arial" w:hAnsi="Arial" w:cs="Arial"/>
          <w:sz w:val="24"/>
          <w:szCs w:val="24"/>
          <w:lang w:val="en-IN"/>
        </w:rPr>
      </w:pPr>
    </w:p>
    <w:p w14:paraId="3A28C1A6" w14:textId="77777777" w:rsidR="00474064" w:rsidRPr="00474064" w:rsidRDefault="00474064" w:rsidP="00474064">
      <w:pPr>
        <w:rPr>
          <w:rFonts w:ascii="Arial" w:hAnsi="Arial" w:cs="Arial"/>
          <w:sz w:val="24"/>
          <w:szCs w:val="24"/>
          <w:lang w:val="en-IN"/>
        </w:rPr>
      </w:pPr>
    </w:p>
    <w:p w14:paraId="4899D618" w14:textId="77777777" w:rsidR="00474064" w:rsidRPr="00474064" w:rsidRDefault="00474064" w:rsidP="00474064">
      <w:pPr>
        <w:rPr>
          <w:rFonts w:ascii="Arial" w:hAnsi="Arial" w:cs="Arial"/>
          <w:b/>
          <w:sz w:val="24"/>
          <w:szCs w:val="24"/>
          <w:lang w:val="en-IN"/>
        </w:rPr>
      </w:pPr>
      <w:r w:rsidRPr="00474064">
        <w:rPr>
          <w:rFonts w:ascii="Arial" w:hAnsi="Arial" w:cs="Arial"/>
          <w:b/>
          <w:sz w:val="24"/>
          <w:szCs w:val="24"/>
          <w:lang w:val="en-IN"/>
        </w:rPr>
        <w:br w:type="page"/>
      </w:r>
    </w:p>
    <w:p w14:paraId="50B739EC" w14:textId="77777777" w:rsidR="00474064" w:rsidRPr="005E1213" w:rsidRDefault="00474064" w:rsidP="00F32DB6">
      <w:pPr>
        <w:pStyle w:val="Heading1"/>
        <w:rPr>
          <w:rFonts w:ascii="Arial" w:hAnsi="Arial" w:cs="Arial"/>
        </w:rPr>
      </w:pPr>
      <w:bookmarkStart w:id="31" w:name="_Toc227661424"/>
      <w:r w:rsidRPr="005E1213">
        <w:rPr>
          <w:rFonts w:ascii="Arial" w:hAnsi="Arial" w:cs="Arial"/>
        </w:rPr>
        <w:lastRenderedPageBreak/>
        <w:t>References</w:t>
      </w:r>
      <w:bookmarkEnd w:id="31"/>
    </w:p>
    <w:p w14:paraId="2035FF75"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Bouchra, N.H. and Hassan, R.S. (2023) 'Application of Porter’s Diamond Model: A Case Study of Tourism Cluster in UAE,' in </w:t>
      </w:r>
      <w:r w:rsidRPr="00474064">
        <w:rPr>
          <w:rFonts w:ascii="Arial" w:hAnsi="Arial" w:cs="Arial"/>
          <w:i/>
          <w:iCs/>
          <w:sz w:val="24"/>
          <w:szCs w:val="24"/>
          <w:lang w:val="en-IN"/>
        </w:rPr>
        <w:t>Application of Porter’s Diamond Model: A Case Study of Tourism Cluster in UAE</w:t>
      </w:r>
      <w:r w:rsidRPr="00474064">
        <w:rPr>
          <w:rFonts w:ascii="Arial" w:hAnsi="Arial" w:cs="Arial"/>
          <w:sz w:val="24"/>
          <w:szCs w:val="24"/>
          <w:lang w:val="en-IN"/>
        </w:rPr>
        <w:t xml:space="preserve">, pp. 129–156. Accessed: 17 April 2026. </w:t>
      </w:r>
      <w:hyperlink r:id="rId10" w:history="1">
        <w:r w:rsidRPr="00474064">
          <w:rPr>
            <w:rStyle w:val="Hyperlink"/>
            <w:rFonts w:ascii="Arial" w:hAnsi="Arial" w:cs="Arial"/>
            <w:sz w:val="24"/>
            <w:szCs w:val="24"/>
            <w:lang w:val="en-IN"/>
          </w:rPr>
          <w:t>https://doi.org/10.1108/978-1-80262-871-520231007</w:t>
        </w:r>
      </w:hyperlink>
      <w:r w:rsidRPr="00474064">
        <w:rPr>
          <w:rFonts w:ascii="Arial" w:hAnsi="Arial" w:cs="Arial"/>
          <w:sz w:val="24"/>
          <w:szCs w:val="24"/>
          <w:lang w:val="en-IN"/>
        </w:rPr>
        <w:t>.</w:t>
      </w:r>
    </w:p>
    <w:p w14:paraId="5295F47C"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Cavendish Maxwell (2025) </w:t>
      </w:r>
      <w:r w:rsidRPr="00474064">
        <w:rPr>
          <w:rFonts w:ascii="Arial" w:hAnsi="Arial" w:cs="Arial"/>
          <w:i/>
          <w:iCs/>
          <w:sz w:val="24"/>
          <w:szCs w:val="24"/>
          <w:lang w:val="en-IN"/>
        </w:rPr>
        <w:t>Dubai’s hospitality sector market performance in 2023 | Insights | Cavendish Maxwell</w:t>
      </w:r>
      <w:r w:rsidRPr="00474064">
        <w:rPr>
          <w:rFonts w:ascii="Arial" w:hAnsi="Arial" w:cs="Arial"/>
          <w:sz w:val="24"/>
          <w:szCs w:val="24"/>
          <w:lang w:val="en-IN"/>
        </w:rPr>
        <w:t xml:space="preserve">. Accessed: 17 April 2026. </w:t>
      </w:r>
      <w:hyperlink r:id="rId11" w:history="1">
        <w:r w:rsidRPr="00474064">
          <w:rPr>
            <w:rStyle w:val="Hyperlink"/>
            <w:rFonts w:ascii="Arial" w:hAnsi="Arial" w:cs="Arial"/>
            <w:sz w:val="24"/>
            <w:szCs w:val="24"/>
            <w:lang w:val="en-IN"/>
          </w:rPr>
          <w:t>https://cavendishmaxwell.com/insights/market-reports/hospitality/dubais-hospitality-sector-market-performance-in-2023</w:t>
        </w:r>
      </w:hyperlink>
      <w:r w:rsidRPr="00474064">
        <w:rPr>
          <w:rFonts w:ascii="Arial" w:hAnsi="Arial" w:cs="Arial"/>
          <w:sz w:val="24"/>
          <w:szCs w:val="24"/>
          <w:lang w:val="en-IN"/>
        </w:rPr>
        <w:t>.</w:t>
      </w:r>
    </w:p>
    <w:p w14:paraId="5DD10FBD"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Dhaheri, D.A.A. (2024) 'The role of Effective leadership Strategy in Enhancing Employee Performance: Analysing the hospitality sector for economic growth in UAE,' </w:t>
      </w:r>
      <w:r w:rsidRPr="00474064">
        <w:rPr>
          <w:rFonts w:ascii="Arial" w:hAnsi="Arial" w:cs="Arial"/>
          <w:i/>
          <w:iCs/>
          <w:sz w:val="24"/>
          <w:szCs w:val="24"/>
          <w:lang w:val="en-IN"/>
        </w:rPr>
        <w:t>Journal of Hospitality and Tourism</w:t>
      </w:r>
      <w:r w:rsidRPr="00474064">
        <w:rPr>
          <w:rFonts w:ascii="Arial" w:hAnsi="Arial" w:cs="Arial"/>
          <w:sz w:val="24"/>
          <w:szCs w:val="24"/>
          <w:lang w:val="en-IN"/>
        </w:rPr>
        <w:t xml:space="preserve">, 4(1), pp. 19–34. Accessed: 17 April 2026 </w:t>
      </w:r>
      <w:hyperlink r:id="rId12" w:history="1">
        <w:r w:rsidRPr="00474064">
          <w:rPr>
            <w:rStyle w:val="Hyperlink"/>
            <w:rFonts w:ascii="Arial" w:hAnsi="Arial" w:cs="Arial"/>
            <w:sz w:val="24"/>
            <w:szCs w:val="24"/>
            <w:lang w:val="en-IN"/>
          </w:rPr>
          <w:t>https://doi.org/10.47672/jht.1883</w:t>
        </w:r>
      </w:hyperlink>
      <w:r w:rsidRPr="00474064">
        <w:rPr>
          <w:rFonts w:ascii="Arial" w:hAnsi="Arial" w:cs="Arial"/>
          <w:sz w:val="24"/>
          <w:szCs w:val="24"/>
          <w:lang w:val="en-IN"/>
        </w:rPr>
        <w:t>.</w:t>
      </w:r>
    </w:p>
    <w:p w14:paraId="3855A592"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Haq, W. (2013) 'Market Research Report on the Hospitality Industry UAE,' </w:t>
      </w:r>
      <w:proofErr w:type="spellStart"/>
      <w:r w:rsidRPr="00474064">
        <w:rPr>
          <w:rFonts w:ascii="Arial" w:hAnsi="Arial" w:cs="Arial"/>
          <w:i/>
          <w:iCs/>
          <w:sz w:val="24"/>
          <w:szCs w:val="24"/>
          <w:lang w:val="en-IN"/>
        </w:rPr>
        <w:t>Aiub</w:t>
      </w:r>
      <w:proofErr w:type="spellEnd"/>
      <w:r w:rsidRPr="00474064">
        <w:rPr>
          <w:rFonts w:ascii="Arial" w:hAnsi="Arial" w:cs="Arial"/>
          <w:sz w:val="24"/>
          <w:szCs w:val="24"/>
          <w:lang w:val="en-IN"/>
        </w:rPr>
        <w:t xml:space="preserve"> [Preprint]. Accessed: 1 March 2025 </w:t>
      </w:r>
      <w:hyperlink r:id="rId13" w:history="1">
        <w:r w:rsidRPr="00474064">
          <w:rPr>
            <w:rStyle w:val="Hyperlink"/>
            <w:rFonts w:ascii="Arial" w:hAnsi="Arial" w:cs="Arial"/>
            <w:sz w:val="24"/>
            <w:szCs w:val="24"/>
            <w:lang w:val="en-IN"/>
          </w:rPr>
          <w:t>https://www.academia.edu/5351678/Market_Research_Report_On_the_Hospitality_Industry_UAE</w:t>
        </w:r>
      </w:hyperlink>
      <w:r w:rsidRPr="00474064">
        <w:rPr>
          <w:rFonts w:ascii="Arial" w:hAnsi="Arial" w:cs="Arial"/>
          <w:sz w:val="24"/>
          <w:szCs w:val="24"/>
          <w:lang w:val="en-IN"/>
        </w:rPr>
        <w:t>.</w:t>
      </w:r>
    </w:p>
    <w:p w14:paraId="48BD98B2" w14:textId="77777777" w:rsidR="00474064" w:rsidRPr="00474064" w:rsidRDefault="00474064" w:rsidP="00474064">
      <w:pPr>
        <w:rPr>
          <w:rFonts w:ascii="Arial" w:hAnsi="Arial" w:cs="Arial"/>
          <w:sz w:val="24"/>
          <w:szCs w:val="24"/>
          <w:lang w:val="en-IN"/>
        </w:rPr>
      </w:pPr>
      <w:r w:rsidRPr="00474064">
        <w:rPr>
          <w:rFonts w:ascii="Arial" w:hAnsi="Arial" w:cs="Arial"/>
          <w:i/>
          <w:iCs/>
          <w:sz w:val="24"/>
          <w:szCs w:val="24"/>
          <w:lang w:val="en-IN"/>
        </w:rPr>
        <w:t>Hotels in the UAE - Ministry of Economy and Tourism UAE</w:t>
      </w:r>
      <w:r w:rsidRPr="00474064">
        <w:rPr>
          <w:rFonts w:ascii="Arial" w:hAnsi="Arial" w:cs="Arial"/>
          <w:sz w:val="24"/>
          <w:szCs w:val="24"/>
          <w:lang w:val="en-IN"/>
        </w:rPr>
        <w:t xml:space="preserve"> (2025). Accessed: 3 May 2024 </w:t>
      </w:r>
      <w:hyperlink r:id="rId14" w:history="1">
        <w:r w:rsidRPr="00474064">
          <w:rPr>
            <w:rStyle w:val="Hyperlink"/>
            <w:rFonts w:ascii="Arial" w:hAnsi="Arial" w:cs="Arial"/>
            <w:sz w:val="24"/>
            <w:szCs w:val="24"/>
            <w:lang w:val="en-IN"/>
          </w:rPr>
          <w:t>https://www.moet.gov.ae/en/hotels-in-the-uae</w:t>
        </w:r>
      </w:hyperlink>
    </w:p>
    <w:p w14:paraId="2C97C985" w14:textId="77777777" w:rsidR="00474064" w:rsidRPr="00474064" w:rsidRDefault="00474064" w:rsidP="00474064">
      <w:pPr>
        <w:rPr>
          <w:rFonts w:ascii="Arial" w:hAnsi="Arial" w:cs="Arial"/>
          <w:sz w:val="24"/>
          <w:szCs w:val="24"/>
          <w:lang w:val="en-IN"/>
        </w:rPr>
      </w:pPr>
      <w:r w:rsidRPr="00474064">
        <w:rPr>
          <w:rFonts w:ascii="Arial" w:hAnsi="Arial" w:cs="Arial"/>
          <w:i/>
          <w:iCs/>
          <w:sz w:val="24"/>
          <w:szCs w:val="24"/>
          <w:lang w:val="en-IN"/>
        </w:rPr>
        <w:t>Live, Learn, and Thrive: The allure of Studying hospitality in the UAE - Britts Imperial 2026</w:t>
      </w:r>
      <w:r w:rsidRPr="00474064">
        <w:rPr>
          <w:rFonts w:ascii="Arial" w:hAnsi="Arial" w:cs="Arial"/>
          <w:sz w:val="24"/>
          <w:szCs w:val="24"/>
          <w:lang w:val="en-IN"/>
        </w:rPr>
        <w:t xml:space="preserve"> (2026). Accessed: 25 September 2024 </w:t>
      </w:r>
      <w:hyperlink r:id="rId15" w:history="1">
        <w:r w:rsidRPr="00474064">
          <w:rPr>
            <w:rStyle w:val="Hyperlink"/>
            <w:rFonts w:ascii="Arial" w:hAnsi="Arial" w:cs="Arial"/>
            <w:sz w:val="24"/>
            <w:szCs w:val="24"/>
            <w:lang w:val="en-IN"/>
          </w:rPr>
          <w:t>https://brittsimperial.com/live-learn-and-thrive-the-allure-of-studying-hospitality-in-the-uae/</w:t>
        </w:r>
      </w:hyperlink>
      <w:r w:rsidRPr="00474064">
        <w:rPr>
          <w:rFonts w:ascii="Arial" w:hAnsi="Arial" w:cs="Arial"/>
          <w:sz w:val="24"/>
          <w:szCs w:val="24"/>
          <w:lang w:val="en-IN"/>
        </w:rPr>
        <w:t>..</w:t>
      </w:r>
    </w:p>
    <w:p w14:paraId="561AB986"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Qasim, A. (2020) 'The impacts of high employee turnover in the UAE hospitality industry,' in </w:t>
      </w:r>
      <w:r w:rsidRPr="00474064">
        <w:rPr>
          <w:rFonts w:ascii="Arial" w:hAnsi="Arial" w:cs="Arial"/>
          <w:i/>
          <w:iCs/>
          <w:sz w:val="24"/>
          <w:szCs w:val="24"/>
          <w:lang w:val="en-IN"/>
        </w:rPr>
        <w:t>Palgrave studies in global human capital management</w:t>
      </w:r>
      <w:r w:rsidRPr="00474064">
        <w:rPr>
          <w:rFonts w:ascii="Arial" w:hAnsi="Arial" w:cs="Arial"/>
          <w:sz w:val="24"/>
          <w:szCs w:val="24"/>
          <w:lang w:val="en-IN"/>
        </w:rPr>
        <w:t xml:space="preserve">, pp. 73–91. Accessed: 17 April 2026 </w:t>
      </w:r>
      <w:hyperlink r:id="rId16" w:history="1">
        <w:r w:rsidRPr="00474064">
          <w:rPr>
            <w:rStyle w:val="Hyperlink"/>
            <w:rFonts w:ascii="Arial" w:hAnsi="Arial" w:cs="Arial"/>
            <w:sz w:val="24"/>
            <w:szCs w:val="24"/>
            <w:lang w:val="en-IN"/>
          </w:rPr>
          <w:t>https://doi.org/10.1007/978-3-030-42211-0_4</w:t>
        </w:r>
      </w:hyperlink>
      <w:r w:rsidRPr="00474064">
        <w:rPr>
          <w:rFonts w:ascii="Arial" w:hAnsi="Arial" w:cs="Arial"/>
          <w:sz w:val="24"/>
          <w:szCs w:val="24"/>
          <w:lang w:val="en-IN"/>
        </w:rPr>
        <w:t>.</w:t>
      </w:r>
    </w:p>
    <w:p w14:paraId="5A4C2B16"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Tan, K.H. (2025) 'Porter’s Diamond Model and Global Competitive Advantage Strategic marketing,' </w:t>
      </w:r>
      <w:proofErr w:type="spellStart"/>
      <w:r w:rsidRPr="00474064">
        <w:rPr>
          <w:rFonts w:ascii="Arial" w:hAnsi="Arial" w:cs="Arial"/>
          <w:i/>
          <w:iCs/>
          <w:sz w:val="24"/>
          <w:szCs w:val="24"/>
          <w:lang w:val="en-IN"/>
        </w:rPr>
        <w:t>Zenodo</w:t>
      </w:r>
      <w:proofErr w:type="spellEnd"/>
      <w:r w:rsidRPr="00474064">
        <w:rPr>
          <w:rFonts w:ascii="Arial" w:hAnsi="Arial" w:cs="Arial"/>
          <w:i/>
          <w:iCs/>
          <w:sz w:val="24"/>
          <w:szCs w:val="24"/>
          <w:lang w:val="en-IN"/>
        </w:rPr>
        <w:t xml:space="preserve"> (CERN European Organization for Nuclear Research)</w:t>
      </w:r>
      <w:r w:rsidRPr="00474064">
        <w:rPr>
          <w:rFonts w:ascii="Arial" w:hAnsi="Arial" w:cs="Arial"/>
          <w:sz w:val="24"/>
          <w:szCs w:val="24"/>
          <w:lang w:val="en-IN"/>
        </w:rPr>
        <w:t xml:space="preserve"> [Preprint]. Accessed: 6 June 2025 </w:t>
      </w:r>
      <w:hyperlink r:id="rId17" w:history="1">
        <w:r w:rsidRPr="00474064">
          <w:rPr>
            <w:rStyle w:val="Hyperlink"/>
            <w:rFonts w:ascii="Arial" w:hAnsi="Arial" w:cs="Arial"/>
            <w:sz w:val="24"/>
            <w:szCs w:val="24"/>
            <w:lang w:val="en-IN"/>
          </w:rPr>
          <w:t>https://doi.org/10.13140/rg.2.2.25399.64161</w:t>
        </w:r>
      </w:hyperlink>
      <w:r w:rsidRPr="00474064">
        <w:rPr>
          <w:rFonts w:ascii="Arial" w:hAnsi="Arial" w:cs="Arial"/>
          <w:sz w:val="24"/>
          <w:szCs w:val="24"/>
          <w:lang w:val="en-IN"/>
        </w:rPr>
        <w:t>.</w:t>
      </w:r>
    </w:p>
    <w:p w14:paraId="371DC9ED"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Hassanein, F. </w:t>
      </w:r>
      <w:r w:rsidRPr="00474064">
        <w:rPr>
          <w:rFonts w:ascii="Arial" w:hAnsi="Arial" w:cs="Arial"/>
          <w:i/>
          <w:iCs/>
          <w:sz w:val="24"/>
          <w:szCs w:val="24"/>
          <w:lang w:val="en-IN"/>
        </w:rPr>
        <w:t>et al.</w:t>
      </w:r>
      <w:r w:rsidRPr="00474064">
        <w:rPr>
          <w:rFonts w:ascii="Arial" w:hAnsi="Arial" w:cs="Arial"/>
          <w:sz w:val="24"/>
          <w:szCs w:val="24"/>
          <w:lang w:val="en-IN"/>
        </w:rPr>
        <w:t xml:space="preserve"> (2024) 'Green Human Resource Management and Employee Retention in the hotel industry of UAE: The Mediating Effect of Green Innovation,' </w:t>
      </w:r>
      <w:r w:rsidRPr="00474064">
        <w:rPr>
          <w:rFonts w:ascii="Arial" w:hAnsi="Arial" w:cs="Arial"/>
          <w:i/>
          <w:iCs/>
          <w:sz w:val="24"/>
          <w:szCs w:val="24"/>
          <w:lang w:val="en-IN"/>
        </w:rPr>
        <w:t>Sustainability</w:t>
      </w:r>
      <w:r w:rsidRPr="00474064">
        <w:rPr>
          <w:rFonts w:ascii="Arial" w:hAnsi="Arial" w:cs="Arial"/>
          <w:sz w:val="24"/>
          <w:szCs w:val="24"/>
          <w:lang w:val="en-IN"/>
        </w:rPr>
        <w:t xml:space="preserve">, 16(11), p. 4668. Accessed: 17 April 2026 </w:t>
      </w:r>
      <w:hyperlink r:id="rId18" w:history="1">
        <w:r w:rsidRPr="00474064">
          <w:rPr>
            <w:rStyle w:val="Hyperlink"/>
            <w:rFonts w:ascii="Arial" w:hAnsi="Arial" w:cs="Arial"/>
            <w:sz w:val="24"/>
            <w:szCs w:val="24"/>
            <w:lang w:val="en-IN"/>
          </w:rPr>
          <w:t>https://doi.org/10.3390/su16114668</w:t>
        </w:r>
      </w:hyperlink>
      <w:r w:rsidRPr="00474064">
        <w:rPr>
          <w:rFonts w:ascii="Arial" w:hAnsi="Arial" w:cs="Arial"/>
          <w:sz w:val="24"/>
          <w:szCs w:val="24"/>
          <w:lang w:val="en-IN"/>
        </w:rPr>
        <w:t>.</w:t>
      </w:r>
    </w:p>
    <w:p w14:paraId="0CD86843" w14:textId="77777777" w:rsidR="00474064" w:rsidRPr="00474064" w:rsidRDefault="00474064" w:rsidP="00474064">
      <w:pPr>
        <w:rPr>
          <w:rFonts w:ascii="Arial" w:hAnsi="Arial" w:cs="Arial"/>
          <w:sz w:val="24"/>
          <w:szCs w:val="24"/>
          <w:lang w:val="en-IN"/>
        </w:rPr>
      </w:pPr>
      <w:proofErr w:type="spellStart"/>
      <w:r w:rsidRPr="00474064">
        <w:rPr>
          <w:rFonts w:ascii="Arial" w:hAnsi="Arial" w:cs="Arial"/>
          <w:sz w:val="24"/>
          <w:szCs w:val="24"/>
          <w:lang w:val="en-IN"/>
        </w:rPr>
        <w:t>Alrawabdeh</w:t>
      </w:r>
      <w:proofErr w:type="spellEnd"/>
      <w:r w:rsidRPr="00474064">
        <w:rPr>
          <w:rFonts w:ascii="Arial" w:hAnsi="Arial" w:cs="Arial"/>
          <w:sz w:val="24"/>
          <w:szCs w:val="24"/>
          <w:lang w:val="en-IN"/>
        </w:rPr>
        <w:t xml:space="preserve">, W. (2021) 'Seasonal balancing of revenue and demand in hotel industry: the case of Dubai City,' </w:t>
      </w:r>
      <w:r w:rsidRPr="00474064">
        <w:rPr>
          <w:rFonts w:ascii="Arial" w:hAnsi="Arial" w:cs="Arial"/>
          <w:i/>
          <w:iCs/>
          <w:sz w:val="24"/>
          <w:szCs w:val="24"/>
          <w:lang w:val="en-IN"/>
        </w:rPr>
        <w:t>Journal of Revenue and Pricing Management</w:t>
      </w:r>
      <w:r w:rsidRPr="00474064">
        <w:rPr>
          <w:rFonts w:ascii="Arial" w:hAnsi="Arial" w:cs="Arial"/>
          <w:sz w:val="24"/>
          <w:szCs w:val="24"/>
          <w:lang w:val="en-IN"/>
        </w:rPr>
        <w:t xml:space="preserve">, 21(1), pp. 36–49. Accessed: 17 April 2026 </w:t>
      </w:r>
      <w:hyperlink r:id="rId19" w:history="1">
        <w:r w:rsidRPr="00474064">
          <w:rPr>
            <w:rStyle w:val="Hyperlink"/>
            <w:rFonts w:ascii="Arial" w:hAnsi="Arial" w:cs="Arial"/>
            <w:sz w:val="24"/>
            <w:szCs w:val="24"/>
            <w:lang w:val="en-IN"/>
          </w:rPr>
          <w:t>https://doi.org/10.1057/s41272-021-00290-6</w:t>
        </w:r>
      </w:hyperlink>
      <w:r w:rsidRPr="00474064">
        <w:rPr>
          <w:rFonts w:ascii="Arial" w:hAnsi="Arial" w:cs="Arial"/>
          <w:sz w:val="24"/>
          <w:szCs w:val="24"/>
          <w:lang w:val="en-IN"/>
        </w:rPr>
        <w:t>.</w:t>
      </w:r>
    </w:p>
    <w:p w14:paraId="652479AD"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Author (2026) </w:t>
      </w:r>
      <w:r w:rsidRPr="00474064">
        <w:rPr>
          <w:rFonts w:ascii="Arial" w:hAnsi="Arial" w:cs="Arial"/>
          <w:i/>
          <w:iCs/>
          <w:sz w:val="24"/>
          <w:szCs w:val="24"/>
          <w:lang w:val="en-IN"/>
        </w:rPr>
        <w:t>United Arab Emirates Hospitality industry market</w:t>
      </w:r>
      <w:r w:rsidRPr="00474064">
        <w:rPr>
          <w:rFonts w:ascii="Arial" w:hAnsi="Arial" w:cs="Arial"/>
          <w:sz w:val="24"/>
          <w:szCs w:val="24"/>
          <w:lang w:val="en-IN"/>
        </w:rPr>
        <w:t xml:space="preserve">. </w:t>
      </w:r>
      <w:hyperlink r:id="rId20" w:history="1">
        <w:r w:rsidRPr="00474064">
          <w:rPr>
            <w:rStyle w:val="Hyperlink"/>
            <w:rFonts w:ascii="Arial" w:hAnsi="Arial" w:cs="Arial"/>
            <w:sz w:val="24"/>
            <w:szCs w:val="24"/>
            <w:lang w:val="en-IN"/>
          </w:rPr>
          <w:t>https://www.kenresearch.com/united-arab-emirates-hospitality-industry-market</w:t>
        </w:r>
      </w:hyperlink>
    </w:p>
    <w:p w14:paraId="435CC98C"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Statista (2025) </w:t>
      </w:r>
      <w:r w:rsidRPr="00474064">
        <w:rPr>
          <w:rFonts w:ascii="Arial" w:hAnsi="Arial" w:cs="Arial"/>
          <w:i/>
          <w:iCs/>
          <w:sz w:val="24"/>
          <w:szCs w:val="24"/>
          <w:lang w:val="en-IN"/>
        </w:rPr>
        <w:t>Number of hotels UAE 2008-2022</w:t>
      </w:r>
      <w:r w:rsidRPr="00474064">
        <w:rPr>
          <w:rFonts w:ascii="Arial" w:hAnsi="Arial" w:cs="Arial"/>
          <w:sz w:val="24"/>
          <w:szCs w:val="24"/>
          <w:lang w:val="en-IN"/>
        </w:rPr>
        <w:t xml:space="preserve">. Accessed: 17 April 2026 </w:t>
      </w:r>
      <w:hyperlink r:id="rId21" w:history="1">
        <w:r w:rsidRPr="00474064">
          <w:rPr>
            <w:rStyle w:val="Hyperlink"/>
            <w:rFonts w:ascii="Arial" w:hAnsi="Arial" w:cs="Arial"/>
            <w:sz w:val="24"/>
            <w:szCs w:val="24"/>
            <w:lang w:val="en-IN"/>
          </w:rPr>
          <w:t>https://www.statista.com/statistics/1020842/uae-number-of-hotels-similar-</w:t>
        </w:r>
        <w:r w:rsidRPr="00474064">
          <w:rPr>
            <w:rStyle w:val="Hyperlink"/>
            <w:rFonts w:ascii="Arial" w:hAnsi="Arial" w:cs="Arial"/>
            <w:sz w:val="24"/>
            <w:szCs w:val="24"/>
            <w:lang w:val="en-IN"/>
          </w:rPr>
          <w:lastRenderedPageBreak/>
          <w:t>establishments/?srsltid=AfmBOoo7HvEwu8Zi4DXmCC3BfgoSiwVatsAszUV2IQuvUxNknQTNqPGL</w:t>
        </w:r>
      </w:hyperlink>
      <w:r w:rsidRPr="00474064">
        <w:rPr>
          <w:rFonts w:ascii="Arial" w:hAnsi="Arial" w:cs="Arial"/>
          <w:sz w:val="24"/>
          <w:szCs w:val="24"/>
          <w:lang w:val="en-IN"/>
        </w:rPr>
        <w:t>.</w:t>
      </w:r>
    </w:p>
    <w:p w14:paraId="59ACE8AF"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Xia, H. </w:t>
      </w:r>
      <w:r w:rsidRPr="00474064">
        <w:rPr>
          <w:rFonts w:ascii="Arial" w:hAnsi="Arial" w:cs="Arial"/>
          <w:i/>
          <w:iCs/>
          <w:sz w:val="24"/>
          <w:szCs w:val="24"/>
          <w:lang w:val="en-IN"/>
        </w:rPr>
        <w:t>et al.</w:t>
      </w:r>
      <w:r w:rsidRPr="00474064">
        <w:rPr>
          <w:rFonts w:ascii="Arial" w:hAnsi="Arial" w:cs="Arial"/>
          <w:sz w:val="24"/>
          <w:szCs w:val="24"/>
          <w:lang w:val="en-IN"/>
        </w:rPr>
        <w:t xml:space="preserve"> (2019) 'Evaluation of hotel brand competitiveness based on hotel features ratings,' </w:t>
      </w:r>
      <w:r w:rsidRPr="00474064">
        <w:rPr>
          <w:rFonts w:ascii="Arial" w:hAnsi="Arial" w:cs="Arial"/>
          <w:i/>
          <w:iCs/>
          <w:sz w:val="24"/>
          <w:szCs w:val="24"/>
          <w:lang w:val="en-IN"/>
        </w:rPr>
        <w:t>International Journal of Hospitality Management</w:t>
      </w:r>
      <w:r w:rsidRPr="00474064">
        <w:rPr>
          <w:rFonts w:ascii="Arial" w:hAnsi="Arial" w:cs="Arial"/>
          <w:sz w:val="24"/>
          <w:szCs w:val="24"/>
          <w:lang w:val="en-IN"/>
        </w:rPr>
        <w:t xml:space="preserve">, 86, p. 102366. Accessed: 17 April 2026 </w:t>
      </w:r>
      <w:hyperlink r:id="rId22" w:history="1">
        <w:r w:rsidRPr="00474064">
          <w:rPr>
            <w:rStyle w:val="Hyperlink"/>
            <w:rFonts w:ascii="Arial" w:hAnsi="Arial" w:cs="Arial"/>
            <w:sz w:val="24"/>
            <w:szCs w:val="24"/>
            <w:lang w:val="en-IN"/>
          </w:rPr>
          <w:t>https://doi.org/10.1016/j.ijhm.2019.102366</w:t>
        </w:r>
      </w:hyperlink>
      <w:r w:rsidRPr="00474064">
        <w:rPr>
          <w:rFonts w:ascii="Arial" w:hAnsi="Arial" w:cs="Arial"/>
          <w:sz w:val="24"/>
          <w:szCs w:val="24"/>
          <w:lang w:val="en-IN"/>
        </w:rPr>
        <w:t>.</w:t>
      </w:r>
    </w:p>
    <w:p w14:paraId="59675FD5" w14:textId="77777777" w:rsidR="00474064" w:rsidRPr="00474064" w:rsidRDefault="00474064" w:rsidP="00474064">
      <w:pPr>
        <w:rPr>
          <w:rFonts w:ascii="Arial" w:hAnsi="Arial" w:cs="Arial"/>
          <w:sz w:val="24"/>
          <w:szCs w:val="24"/>
          <w:lang w:val="en-IN"/>
        </w:rPr>
      </w:pPr>
      <w:r w:rsidRPr="00474064">
        <w:rPr>
          <w:rFonts w:ascii="Arial" w:hAnsi="Arial" w:cs="Arial"/>
          <w:i/>
          <w:iCs/>
          <w:sz w:val="24"/>
          <w:szCs w:val="24"/>
          <w:lang w:val="en-IN"/>
        </w:rPr>
        <w:t>UAE luxury hotels and hospitality market</w:t>
      </w:r>
      <w:r w:rsidRPr="00474064">
        <w:rPr>
          <w:rFonts w:ascii="Arial" w:hAnsi="Arial" w:cs="Arial"/>
          <w:sz w:val="24"/>
          <w:szCs w:val="24"/>
          <w:lang w:val="en-IN"/>
        </w:rPr>
        <w:t xml:space="preserve"> (2026). Accessed: 17 April 2026 </w:t>
      </w:r>
      <w:hyperlink r:id="rId23" w:history="1">
        <w:r w:rsidRPr="00474064">
          <w:rPr>
            <w:rStyle w:val="Hyperlink"/>
            <w:rFonts w:ascii="Arial" w:hAnsi="Arial" w:cs="Arial"/>
            <w:sz w:val="24"/>
            <w:szCs w:val="24"/>
            <w:lang w:val="en-IN"/>
          </w:rPr>
          <w:t>https://www.kenresearch.com/uae-luxury-hotels-and-hospitality-market</w:t>
        </w:r>
      </w:hyperlink>
      <w:r w:rsidRPr="00474064">
        <w:rPr>
          <w:rFonts w:ascii="Arial" w:hAnsi="Arial" w:cs="Arial"/>
          <w:sz w:val="24"/>
          <w:szCs w:val="24"/>
          <w:lang w:val="en-IN"/>
        </w:rPr>
        <w:t>.</w:t>
      </w:r>
    </w:p>
    <w:p w14:paraId="6DD45B8C"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Leroy, S. (2025) </w:t>
      </w:r>
      <w:r w:rsidRPr="00474064">
        <w:rPr>
          <w:rFonts w:ascii="Arial" w:hAnsi="Arial" w:cs="Arial"/>
          <w:i/>
          <w:iCs/>
          <w:sz w:val="24"/>
          <w:szCs w:val="24"/>
          <w:lang w:val="en-IN"/>
        </w:rPr>
        <w:t>Marriott International announces robust growth momentum across Europe, Middle East &amp; Africa in 2025</w:t>
      </w:r>
      <w:r w:rsidRPr="00474064">
        <w:rPr>
          <w:rFonts w:ascii="Arial" w:hAnsi="Arial" w:cs="Arial"/>
          <w:sz w:val="24"/>
          <w:szCs w:val="24"/>
          <w:lang w:val="en-IN"/>
        </w:rPr>
        <w:t xml:space="preserve">. Accessed: 17 April 2026 </w:t>
      </w:r>
      <w:hyperlink r:id="rId24" w:history="1">
        <w:r w:rsidRPr="00474064">
          <w:rPr>
            <w:rStyle w:val="Hyperlink"/>
            <w:rFonts w:ascii="Arial" w:hAnsi="Arial" w:cs="Arial"/>
            <w:sz w:val="24"/>
            <w:szCs w:val="24"/>
            <w:lang w:val="en-IN"/>
          </w:rPr>
          <w:t>https://www.journaldespalaces.com/en/pressrelease-77514-marriott-international-announces-robust-growth-momentum-across-europe-middle-east-africa-in-2025.html</w:t>
        </w:r>
      </w:hyperlink>
      <w:r w:rsidRPr="00474064">
        <w:rPr>
          <w:rFonts w:ascii="Arial" w:hAnsi="Arial" w:cs="Arial"/>
          <w:sz w:val="24"/>
          <w:szCs w:val="24"/>
          <w:lang w:val="en-IN"/>
        </w:rPr>
        <w:t>.</w:t>
      </w:r>
    </w:p>
    <w:p w14:paraId="06C8FCA7"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Balakrishnan, M.S. (2011) 'Jumeirah Group, UAE,' </w:t>
      </w:r>
      <w:r w:rsidRPr="00474064">
        <w:rPr>
          <w:rFonts w:ascii="Arial" w:hAnsi="Arial" w:cs="Arial"/>
          <w:i/>
          <w:iCs/>
          <w:sz w:val="24"/>
          <w:szCs w:val="24"/>
          <w:lang w:val="en-IN"/>
        </w:rPr>
        <w:t>Emerald Emerging Markets Case Studies</w:t>
      </w:r>
      <w:r w:rsidRPr="00474064">
        <w:rPr>
          <w:rFonts w:ascii="Arial" w:hAnsi="Arial" w:cs="Arial"/>
          <w:sz w:val="24"/>
          <w:szCs w:val="24"/>
          <w:lang w:val="en-IN"/>
        </w:rPr>
        <w:t xml:space="preserve">, 1(1), pp. 1–6. Accessed: 4 February 2026 </w:t>
      </w:r>
      <w:hyperlink r:id="rId25" w:history="1">
        <w:r w:rsidRPr="00474064">
          <w:rPr>
            <w:rStyle w:val="Hyperlink"/>
            <w:rFonts w:ascii="Arial" w:hAnsi="Arial" w:cs="Arial"/>
            <w:sz w:val="24"/>
            <w:szCs w:val="24"/>
            <w:lang w:val="en-IN"/>
          </w:rPr>
          <w:t>https://doi.org/10.1108/20450621111110311</w:t>
        </w:r>
      </w:hyperlink>
      <w:r w:rsidRPr="00474064">
        <w:rPr>
          <w:rFonts w:ascii="Arial" w:hAnsi="Arial" w:cs="Arial"/>
          <w:sz w:val="24"/>
          <w:szCs w:val="24"/>
          <w:lang w:val="en-IN"/>
        </w:rPr>
        <w:t>.</w:t>
      </w:r>
    </w:p>
    <w:p w14:paraId="679150A2" w14:textId="77777777" w:rsidR="00474064" w:rsidRPr="00474064" w:rsidRDefault="00474064" w:rsidP="00474064">
      <w:pPr>
        <w:rPr>
          <w:rFonts w:ascii="Arial" w:hAnsi="Arial" w:cs="Arial"/>
          <w:sz w:val="24"/>
          <w:szCs w:val="24"/>
          <w:lang w:val="en-IN"/>
        </w:rPr>
      </w:pPr>
      <w:r w:rsidRPr="00474064">
        <w:rPr>
          <w:rFonts w:ascii="Arial" w:hAnsi="Arial" w:cs="Arial"/>
          <w:sz w:val="24"/>
          <w:szCs w:val="24"/>
          <w:lang w:val="en-IN"/>
        </w:rPr>
        <w:t xml:space="preserve">Russo, E., Figueira, A.R. and Santos, L.J.M.-D. (2023) 'The Hilton hotels in the midst of the UAE 2071 centennial plan: Redesigning the UAE on the path of innovation and international tourism,' </w:t>
      </w:r>
      <w:r w:rsidRPr="00474064">
        <w:rPr>
          <w:rFonts w:ascii="Arial" w:hAnsi="Arial" w:cs="Arial"/>
          <w:i/>
          <w:iCs/>
          <w:sz w:val="24"/>
          <w:szCs w:val="24"/>
          <w:lang w:val="en-IN"/>
        </w:rPr>
        <w:t>Tourism and Hospitality Management</w:t>
      </w:r>
      <w:r w:rsidRPr="00474064">
        <w:rPr>
          <w:rFonts w:ascii="Arial" w:hAnsi="Arial" w:cs="Arial"/>
          <w:sz w:val="24"/>
          <w:szCs w:val="24"/>
          <w:lang w:val="en-IN"/>
        </w:rPr>
        <w:t xml:space="preserve">, 29(4), pp. 627–638. Accessed: 3 January 2026 </w:t>
      </w:r>
      <w:hyperlink r:id="rId26" w:history="1">
        <w:r w:rsidRPr="00474064">
          <w:rPr>
            <w:rStyle w:val="Hyperlink"/>
            <w:rFonts w:ascii="Arial" w:hAnsi="Arial" w:cs="Arial"/>
            <w:sz w:val="24"/>
            <w:szCs w:val="24"/>
            <w:lang w:val="en-IN"/>
          </w:rPr>
          <w:t>https://doi.org/10.20867/thm.29.4.17</w:t>
        </w:r>
      </w:hyperlink>
      <w:r w:rsidRPr="00474064">
        <w:rPr>
          <w:rFonts w:ascii="Arial" w:hAnsi="Arial" w:cs="Arial"/>
          <w:sz w:val="24"/>
          <w:szCs w:val="24"/>
          <w:lang w:val="en-IN"/>
        </w:rPr>
        <w:t>.</w:t>
      </w:r>
    </w:p>
    <w:p w14:paraId="4CCF3902" w14:textId="77777777" w:rsidR="00474064" w:rsidRPr="00474064" w:rsidRDefault="00474064" w:rsidP="00474064">
      <w:pPr>
        <w:rPr>
          <w:rFonts w:ascii="Arial" w:hAnsi="Arial" w:cs="Arial"/>
          <w:sz w:val="24"/>
          <w:szCs w:val="24"/>
          <w:lang w:val="en-IN"/>
        </w:rPr>
      </w:pPr>
    </w:p>
    <w:p w14:paraId="44CAD99E" w14:textId="77777777" w:rsidR="00474064" w:rsidRPr="00474064" w:rsidRDefault="00474064" w:rsidP="00474064">
      <w:pPr>
        <w:rPr>
          <w:rFonts w:ascii="Arial" w:hAnsi="Arial" w:cs="Arial"/>
          <w:b/>
          <w:sz w:val="24"/>
          <w:szCs w:val="24"/>
          <w:lang w:val="en-IN"/>
        </w:rPr>
      </w:pPr>
      <w:r w:rsidRPr="00474064">
        <w:rPr>
          <w:rFonts w:ascii="Arial" w:hAnsi="Arial" w:cs="Arial"/>
          <w:b/>
          <w:sz w:val="24"/>
          <w:szCs w:val="24"/>
          <w:lang w:val="en-IN"/>
        </w:rPr>
        <w:br w:type="page"/>
      </w:r>
    </w:p>
    <w:p w14:paraId="350B5EB6" w14:textId="77777777" w:rsidR="00474064" w:rsidRPr="00474064" w:rsidRDefault="00474064" w:rsidP="00474064">
      <w:pPr>
        <w:rPr>
          <w:rFonts w:ascii="Arial" w:hAnsi="Arial" w:cs="Arial"/>
          <w:b/>
          <w:sz w:val="24"/>
          <w:szCs w:val="24"/>
          <w:lang w:val="en-IN"/>
        </w:rPr>
      </w:pPr>
      <w:r w:rsidRPr="00474064">
        <w:rPr>
          <w:rFonts w:ascii="Arial" w:hAnsi="Arial" w:cs="Arial"/>
          <w:b/>
          <w:sz w:val="24"/>
          <w:szCs w:val="24"/>
          <w:lang w:val="en-IN"/>
        </w:rPr>
        <w:lastRenderedPageBreak/>
        <w:t>Appendix</w:t>
      </w:r>
    </w:p>
    <w:p w14:paraId="103D3D91" w14:textId="555D6FDD" w:rsidR="00474064" w:rsidRPr="00474064" w:rsidRDefault="00474064" w:rsidP="00474064">
      <w:pPr>
        <w:rPr>
          <w:rFonts w:ascii="Arial" w:hAnsi="Arial" w:cs="Arial"/>
          <w:sz w:val="24"/>
          <w:szCs w:val="24"/>
          <w:lang w:val="en-IN"/>
        </w:rPr>
      </w:pPr>
      <w:r w:rsidRPr="005E1213">
        <w:rPr>
          <w:rFonts w:ascii="Arial" w:hAnsi="Arial" w:cs="Arial"/>
          <w:noProof/>
          <w:sz w:val="24"/>
          <w:szCs w:val="24"/>
          <w:lang w:val="en-IN"/>
        </w:rPr>
        <w:drawing>
          <wp:inline distT="0" distB="0" distL="0" distR="0" wp14:anchorId="3E0C021C" wp14:editId="72CA48F2">
            <wp:extent cx="5730240" cy="4091940"/>
            <wp:effectExtent l="0" t="0" r="3810" b="3810"/>
            <wp:docPr id="649487597" name="Picture 14" descr="Marriott International South Asia Expansion: Marriott reports 143% growth  in hotel signings across South Asia, ETTravel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rriott International South Asia Expansion: Marriott reports 143% growth  in hotel signings across South Asia, ETTravelWorl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0240" cy="4091940"/>
                    </a:xfrm>
                    <a:prstGeom prst="rect">
                      <a:avLst/>
                    </a:prstGeom>
                    <a:noFill/>
                    <a:ln>
                      <a:noFill/>
                    </a:ln>
                  </pic:spPr>
                </pic:pic>
              </a:graphicData>
            </a:graphic>
          </wp:inline>
        </w:drawing>
      </w:r>
    </w:p>
    <w:p w14:paraId="186FA82A" w14:textId="78F9AA5A" w:rsidR="00474064" w:rsidRPr="00474064" w:rsidRDefault="00474064" w:rsidP="00474064">
      <w:pPr>
        <w:rPr>
          <w:rFonts w:ascii="Arial" w:hAnsi="Arial" w:cs="Arial"/>
          <w:sz w:val="24"/>
          <w:szCs w:val="24"/>
          <w:lang w:val="en-IN"/>
        </w:rPr>
      </w:pPr>
      <w:r w:rsidRPr="005E1213">
        <w:rPr>
          <w:rFonts w:ascii="Arial" w:hAnsi="Arial" w:cs="Arial"/>
          <w:noProof/>
          <w:sz w:val="24"/>
          <w:szCs w:val="24"/>
          <w:lang w:val="en-IN"/>
        </w:rPr>
        <w:drawing>
          <wp:inline distT="0" distB="0" distL="0" distR="0" wp14:anchorId="6DB9B11A" wp14:editId="22C19EE6">
            <wp:extent cx="5730240" cy="3200400"/>
            <wp:effectExtent l="0" t="0" r="3810" b="0"/>
            <wp:docPr id="1144976376" name="Picture 13" descr="Dubai's Hospitality Sector Market Performance in 2023 | Insights |  Cavendish Maxwe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ubai's Hospitality Sector Market Performance in 2023 | Insights |  Cavendish Maxwel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240" cy="3200400"/>
                    </a:xfrm>
                    <a:prstGeom prst="rect">
                      <a:avLst/>
                    </a:prstGeom>
                    <a:noFill/>
                    <a:ln>
                      <a:noFill/>
                    </a:ln>
                  </pic:spPr>
                </pic:pic>
              </a:graphicData>
            </a:graphic>
          </wp:inline>
        </w:drawing>
      </w:r>
    </w:p>
    <w:p w14:paraId="0E93077C" w14:textId="5A6B0F01" w:rsidR="00474064" w:rsidRPr="00474064" w:rsidRDefault="00474064" w:rsidP="00474064">
      <w:pPr>
        <w:rPr>
          <w:rFonts w:ascii="Arial" w:hAnsi="Arial" w:cs="Arial"/>
          <w:sz w:val="24"/>
          <w:szCs w:val="24"/>
          <w:lang w:val="en-IN"/>
        </w:rPr>
      </w:pPr>
      <w:r w:rsidRPr="005E1213">
        <w:rPr>
          <w:rFonts w:ascii="Arial" w:hAnsi="Arial" w:cs="Arial"/>
          <w:noProof/>
          <w:sz w:val="24"/>
          <w:szCs w:val="24"/>
          <w:lang w:val="en-IN"/>
        </w:rPr>
        <w:lastRenderedPageBreak/>
        <w:drawing>
          <wp:inline distT="0" distB="0" distL="0" distR="0" wp14:anchorId="07CC36D9" wp14:editId="30557B61">
            <wp:extent cx="5731510" cy="2740025"/>
            <wp:effectExtent l="0" t="0" r="2540" b="3175"/>
            <wp:docPr id="688634738" name="Picture 12" descr="New data reveals extent of 'Expo effect' on Dubai hotels - Hotelier Middle  Ea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New data reveals extent of 'Expo effect' on Dubai hotels - Hotelier Middle  Eas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2740025"/>
                    </a:xfrm>
                    <a:prstGeom prst="rect">
                      <a:avLst/>
                    </a:prstGeom>
                    <a:noFill/>
                    <a:ln>
                      <a:noFill/>
                    </a:ln>
                  </pic:spPr>
                </pic:pic>
              </a:graphicData>
            </a:graphic>
          </wp:inline>
        </w:drawing>
      </w:r>
    </w:p>
    <w:p w14:paraId="3992EAAD" w14:textId="2BAF8A24" w:rsidR="00474064" w:rsidRPr="00474064" w:rsidRDefault="00474064" w:rsidP="00474064">
      <w:pPr>
        <w:rPr>
          <w:rFonts w:ascii="Arial" w:hAnsi="Arial" w:cs="Arial"/>
          <w:b/>
          <w:sz w:val="24"/>
          <w:szCs w:val="24"/>
          <w:lang w:val="en-IN"/>
        </w:rPr>
      </w:pPr>
      <w:r w:rsidRPr="005E1213">
        <w:rPr>
          <w:rFonts w:ascii="Arial" w:hAnsi="Arial" w:cs="Arial"/>
          <w:noProof/>
          <w:sz w:val="24"/>
          <w:szCs w:val="24"/>
          <w:lang w:val="en-IN"/>
        </w:rPr>
        <w:drawing>
          <wp:inline distT="0" distB="0" distL="0" distR="0" wp14:anchorId="4060D4CF" wp14:editId="3AECDB8D">
            <wp:extent cx="5730240" cy="3116580"/>
            <wp:effectExtent l="0" t="0" r="3810" b="7620"/>
            <wp:docPr id="111350925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240" cy="3116580"/>
                    </a:xfrm>
                    <a:prstGeom prst="rect">
                      <a:avLst/>
                    </a:prstGeom>
                    <a:noFill/>
                    <a:ln>
                      <a:noFill/>
                    </a:ln>
                  </pic:spPr>
                </pic:pic>
              </a:graphicData>
            </a:graphic>
          </wp:inline>
        </w:drawing>
      </w:r>
    </w:p>
    <w:p w14:paraId="5441C564" w14:textId="6B5C425A" w:rsidR="00474064" w:rsidRPr="00474064" w:rsidRDefault="00474064" w:rsidP="00474064">
      <w:pPr>
        <w:rPr>
          <w:rFonts w:ascii="Arial" w:hAnsi="Arial" w:cs="Arial"/>
          <w:b/>
          <w:sz w:val="24"/>
          <w:szCs w:val="24"/>
          <w:lang w:val="en-IN"/>
        </w:rPr>
      </w:pPr>
      <w:r w:rsidRPr="005E1213">
        <w:rPr>
          <w:rFonts w:ascii="Arial" w:hAnsi="Arial" w:cs="Arial"/>
          <w:noProof/>
          <w:sz w:val="24"/>
          <w:szCs w:val="24"/>
          <w:lang w:val="en-IN"/>
        </w:rPr>
        <w:lastRenderedPageBreak/>
        <w:drawing>
          <wp:inline distT="0" distB="0" distL="0" distR="0" wp14:anchorId="5DD0E8F5" wp14:editId="1421AFA6">
            <wp:extent cx="5570220" cy="6850380"/>
            <wp:effectExtent l="0" t="0" r="0" b="7620"/>
            <wp:docPr id="209369390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570220" cy="6850380"/>
                    </a:xfrm>
                    <a:prstGeom prst="rect">
                      <a:avLst/>
                    </a:prstGeom>
                    <a:noFill/>
                    <a:ln>
                      <a:noFill/>
                    </a:ln>
                  </pic:spPr>
                </pic:pic>
              </a:graphicData>
            </a:graphic>
          </wp:inline>
        </w:drawing>
      </w:r>
    </w:p>
    <w:p w14:paraId="72E89408" w14:textId="77777777" w:rsidR="00F227C0" w:rsidRPr="005E1213" w:rsidRDefault="00F227C0">
      <w:pPr>
        <w:rPr>
          <w:rFonts w:ascii="Arial" w:hAnsi="Arial" w:cs="Arial"/>
          <w:sz w:val="24"/>
          <w:szCs w:val="24"/>
        </w:rPr>
      </w:pPr>
    </w:p>
    <w:sectPr w:rsidR="00F227C0" w:rsidRPr="005E12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E22412"/>
    <w:multiLevelType w:val="hybridMultilevel"/>
    <w:tmpl w:val="05F00E28"/>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abstractNum w:abstractNumId="1" w15:restartNumberingAfterBreak="0">
    <w:nsid w:val="37D5337F"/>
    <w:multiLevelType w:val="hybridMultilevel"/>
    <w:tmpl w:val="7BC818C8"/>
    <w:lvl w:ilvl="0" w:tplc="E0083BAE">
      <w:start w:val="1"/>
      <w:numFmt w:val="decimal"/>
      <w:lvlText w:val="%1."/>
      <w:lvlJc w:val="left"/>
      <w:pPr>
        <w:ind w:left="720" w:hanging="360"/>
      </w:pPr>
      <w:rPr>
        <w:rFonts w:asciiTheme="minorHAnsi" w:eastAsiaTheme="minorHAnsi" w:hAnsiTheme="minorHAnsi" w:cstheme="minorBidi"/>
      </w:r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abstractNum w:abstractNumId="2" w15:restartNumberingAfterBreak="0">
    <w:nsid w:val="3BF262FE"/>
    <w:multiLevelType w:val="hybridMultilevel"/>
    <w:tmpl w:val="08CA6A56"/>
    <w:lvl w:ilvl="0" w:tplc="E0083BAE">
      <w:start w:val="1"/>
      <w:numFmt w:val="decimal"/>
      <w:lvlText w:val="%1."/>
      <w:lvlJc w:val="left"/>
      <w:pPr>
        <w:ind w:left="720" w:hanging="360"/>
      </w:pPr>
      <w:rPr>
        <w:rFonts w:asciiTheme="minorHAnsi" w:eastAsiaTheme="minorHAnsi" w:hAnsiTheme="minorHAnsi" w:cstheme="minorBidi"/>
      </w:r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abstractNum w:abstractNumId="3" w15:restartNumberingAfterBreak="0">
    <w:nsid w:val="46014F2F"/>
    <w:multiLevelType w:val="hybridMultilevel"/>
    <w:tmpl w:val="F0A0C760"/>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abstractNum w:abstractNumId="4" w15:restartNumberingAfterBreak="0">
    <w:nsid w:val="4C1E71D2"/>
    <w:multiLevelType w:val="hybridMultilevel"/>
    <w:tmpl w:val="A258A89E"/>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abstractNum w:abstractNumId="5" w15:restartNumberingAfterBreak="0">
    <w:nsid w:val="79527F39"/>
    <w:multiLevelType w:val="hybridMultilevel"/>
    <w:tmpl w:val="1E04EB10"/>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num w:numId="1" w16cid:durableId="95375649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52181635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92133206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53654446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64431021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6345961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6227"/>
    <w:rsid w:val="000F5D0D"/>
    <w:rsid w:val="001B7CE8"/>
    <w:rsid w:val="00213E68"/>
    <w:rsid w:val="00246305"/>
    <w:rsid w:val="00282C65"/>
    <w:rsid w:val="002A52BE"/>
    <w:rsid w:val="002D7394"/>
    <w:rsid w:val="004110FF"/>
    <w:rsid w:val="004574D4"/>
    <w:rsid w:val="00474064"/>
    <w:rsid w:val="005E1213"/>
    <w:rsid w:val="006F162C"/>
    <w:rsid w:val="00713AF3"/>
    <w:rsid w:val="00727084"/>
    <w:rsid w:val="00746FBA"/>
    <w:rsid w:val="007C239C"/>
    <w:rsid w:val="00821E94"/>
    <w:rsid w:val="00836227"/>
    <w:rsid w:val="0086574A"/>
    <w:rsid w:val="008A49B4"/>
    <w:rsid w:val="00924FC9"/>
    <w:rsid w:val="00971AA9"/>
    <w:rsid w:val="009A25F8"/>
    <w:rsid w:val="00A050C9"/>
    <w:rsid w:val="00A550AA"/>
    <w:rsid w:val="00BA78F4"/>
    <w:rsid w:val="00D206F3"/>
    <w:rsid w:val="00D23C3F"/>
    <w:rsid w:val="00D330E3"/>
    <w:rsid w:val="00D44DFE"/>
    <w:rsid w:val="00D57139"/>
    <w:rsid w:val="00D64AAD"/>
    <w:rsid w:val="00D77EE3"/>
    <w:rsid w:val="00E27D5F"/>
    <w:rsid w:val="00E5114B"/>
    <w:rsid w:val="00F227C0"/>
    <w:rsid w:val="00F32DB6"/>
    <w:rsid w:val="00F87CE1"/>
    <w:rsid w:val="00F90955"/>
  </w:rsids>
  <m:mathPr>
    <m:mathFont m:val="Cambria Math"/>
    <m:brkBin m:val="before"/>
    <m:brkBinSub m:val="--"/>
    <m:smallFrac m:val="0"/>
    <m:dispDef/>
    <m:lMargin m:val="0"/>
    <m:rMargin m:val="0"/>
    <m:defJc m:val="centerGroup"/>
    <m:wrapIndent m:val="1440"/>
    <m:intLim m:val="subSup"/>
    <m:naryLim m:val="undOvr"/>
  </m:mathPr>
  <w:themeFontLang w:val="en-GB"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B2147"/>
  <w15:chartTrackingRefBased/>
  <w15:docId w15:val="{5E69DDFC-1F86-4E37-95A8-1A27BD517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GB"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6227"/>
    <w:pPr>
      <w:keepNext/>
      <w:keepLines/>
      <w:spacing w:before="360" w:after="80"/>
      <w:outlineLvl w:val="0"/>
    </w:pPr>
    <w:rPr>
      <w:rFonts w:asciiTheme="majorHAnsi" w:eastAsiaTheme="majorEastAsia" w:hAnsiTheme="majorHAnsi" w:cstheme="majorBidi"/>
      <w:color w:val="2F5496" w:themeColor="accent1" w:themeShade="BF"/>
      <w:sz w:val="40"/>
      <w:szCs w:val="50"/>
    </w:rPr>
  </w:style>
  <w:style w:type="paragraph" w:styleId="Heading2">
    <w:name w:val="heading 2"/>
    <w:basedOn w:val="Normal"/>
    <w:next w:val="Normal"/>
    <w:link w:val="Heading2Char"/>
    <w:uiPriority w:val="9"/>
    <w:unhideWhenUsed/>
    <w:qFormat/>
    <w:rsid w:val="00836227"/>
    <w:pPr>
      <w:keepNext/>
      <w:keepLines/>
      <w:spacing w:before="160" w:after="80"/>
      <w:outlineLvl w:val="1"/>
    </w:pPr>
    <w:rPr>
      <w:rFonts w:asciiTheme="majorHAnsi" w:eastAsiaTheme="majorEastAsia" w:hAnsiTheme="majorHAnsi" w:cstheme="majorBidi"/>
      <w:color w:val="2F5496" w:themeColor="accent1" w:themeShade="BF"/>
      <w:sz w:val="32"/>
      <w:szCs w:val="40"/>
    </w:rPr>
  </w:style>
  <w:style w:type="paragraph" w:styleId="Heading3">
    <w:name w:val="heading 3"/>
    <w:basedOn w:val="Normal"/>
    <w:next w:val="Normal"/>
    <w:link w:val="Heading3Char"/>
    <w:uiPriority w:val="9"/>
    <w:semiHidden/>
    <w:unhideWhenUsed/>
    <w:qFormat/>
    <w:rsid w:val="00836227"/>
    <w:pPr>
      <w:keepNext/>
      <w:keepLines/>
      <w:spacing w:before="160" w:after="80"/>
      <w:outlineLvl w:val="2"/>
    </w:pPr>
    <w:rPr>
      <w:rFonts w:eastAsiaTheme="majorEastAsia"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83622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3622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362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62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62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62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6227"/>
    <w:rPr>
      <w:rFonts w:asciiTheme="majorHAnsi" w:eastAsiaTheme="majorEastAsia" w:hAnsiTheme="majorHAnsi" w:cstheme="majorBidi"/>
      <w:color w:val="2F5496" w:themeColor="accent1" w:themeShade="BF"/>
      <w:sz w:val="40"/>
      <w:szCs w:val="50"/>
    </w:rPr>
  </w:style>
  <w:style w:type="character" w:customStyle="1" w:styleId="Heading2Char">
    <w:name w:val="Heading 2 Char"/>
    <w:basedOn w:val="DefaultParagraphFont"/>
    <w:link w:val="Heading2"/>
    <w:uiPriority w:val="9"/>
    <w:rsid w:val="00836227"/>
    <w:rPr>
      <w:rFonts w:asciiTheme="majorHAnsi" w:eastAsiaTheme="majorEastAsia" w:hAnsiTheme="majorHAnsi" w:cstheme="majorBidi"/>
      <w:color w:val="2F5496" w:themeColor="accent1" w:themeShade="BF"/>
      <w:sz w:val="32"/>
      <w:szCs w:val="40"/>
    </w:rPr>
  </w:style>
  <w:style w:type="character" w:customStyle="1" w:styleId="Heading3Char">
    <w:name w:val="Heading 3 Char"/>
    <w:basedOn w:val="DefaultParagraphFont"/>
    <w:link w:val="Heading3"/>
    <w:uiPriority w:val="9"/>
    <w:semiHidden/>
    <w:rsid w:val="00836227"/>
    <w:rPr>
      <w:rFonts w:eastAsiaTheme="majorEastAsia" w:cstheme="majorBidi"/>
      <w:color w:val="2F5496" w:themeColor="accent1" w:themeShade="BF"/>
      <w:sz w:val="28"/>
      <w:szCs w:val="35"/>
    </w:rPr>
  </w:style>
  <w:style w:type="character" w:customStyle="1" w:styleId="Heading4Char">
    <w:name w:val="Heading 4 Char"/>
    <w:basedOn w:val="DefaultParagraphFont"/>
    <w:link w:val="Heading4"/>
    <w:uiPriority w:val="9"/>
    <w:semiHidden/>
    <w:rsid w:val="0083622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3622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362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62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62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6227"/>
    <w:rPr>
      <w:rFonts w:eastAsiaTheme="majorEastAsia" w:cstheme="majorBidi"/>
      <w:color w:val="272727" w:themeColor="text1" w:themeTint="D8"/>
    </w:rPr>
  </w:style>
  <w:style w:type="paragraph" w:styleId="Title">
    <w:name w:val="Title"/>
    <w:basedOn w:val="Normal"/>
    <w:next w:val="Normal"/>
    <w:link w:val="TitleChar"/>
    <w:uiPriority w:val="10"/>
    <w:qFormat/>
    <w:rsid w:val="00836227"/>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836227"/>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836227"/>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836227"/>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836227"/>
    <w:pPr>
      <w:spacing w:before="160"/>
      <w:jc w:val="center"/>
    </w:pPr>
    <w:rPr>
      <w:i/>
      <w:iCs/>
      <w:color w:val="404040" w:themeColor="text1" w:themeTint="BF"/>
    </w:rPr>
  </w:style>
  <w:style w:type="character" w:customStyle="1" w:styleId="QuoteChar">
    <w:name w:val="Quote Char"/>
    <w:basedOn w:val="DefaultParagraphFont"/>
    <w:link w:val="Quote"/>
    <w:uiPriority w:val="29"/>
    <w:rsid w:val="00836227"/>
    <w:rPr>
      <w:i/>
      <w:iCs/>
      <w:color w:val="404040" w:themeColor="text1" w:themeTint="BF"/>
    </w:rPr>
  </w:style>
  <w:style w:type="paragraph" w:styleId="ListParagraph">
    <w:name w:val="List Paragraph"/>
    <w:basedOn w:val="Normal"/>
    <w:uiPriority w:val="34"/>
    <w:qFormat/>
    <w:rsid w:val="00836227"/>
    <w:pPr>
      <w:ind w:left="720"/>
      <w:contextualSpacing/>
    </w:pPr>
  </w:style>
  <w:style w:type="character" w:styleId="IntenseEmphasis">
    <w:name w:val="Intense Emphasis"/>
    <w:basedOn w:val="DefaultParagraphFont"/>
    <w:uiPriority w:val="21"/>
    <w:qFormat/>
    <w:rsid w:val="00836227"/>
    <w:rPr>
      <w:i/>
      <w:iCs/>
      <w:color w:val="2F5496" w:themeColor="accent1" w:themeShade="BF"/>
    </w:rPr>
  </w:style>
  <w:style w:type="paragraph" w:styleId="IntenseQuote">
    <w:name w:val="Intense Quote"/>
    <w:basedOn w:val="Normal"/>
    <w:next w:val="Normal"/>
    <w:link w:val="IntenseQuoteChar"/>
    <w:uiPriority w:val="30"/>
    <w:qFormat/>
    <w:rsid w:val="0083622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36227"/>
    <w:rPr>
      <w:i/>
      <w:iCs/>
      <w:color w:val="2F5496" w:themeColor="accent1" w:themeShade="BF"/>
    </w:rPr>
  </w:style>
  <w:style w:type="character" w:styleId="IntenseReference">
    <w:name w:val="Intense Reference"/>
    <w:basedOn w:val="DefaultParagraphFont"/>
    <w:uiPriority w:val="32"/>
    <w:qFormat/>
    <w:rsid w:val="00836227"/>
    <w:rPr>
      <w:b/>
      <w:bCs/>
      <w:smallCaps/>
      <w:color w:val="2F5496" w:themeColor="accent1" w:themeShade="BF"/>
      <w:spacing w:val="5"/>
    </w:rPr>
  </w:style>
  <w:style w:type="table" w:styleId="TableGrid">
    <w:name w:val="Table Grid"/>
    <w:basedOn w:val="TableNormal"/>
    <w:uiPriority w:val="39"/>
    <w:rsid w:val="004740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74064"/>
    <w:rPr>
      <w:color w:val="0563C1" w:themeColor="hyperlink"/>
      <w:u w:val="single"/>
    </w:rPr>
  </w:style>
  <w:style w:type="character" w:styleId="UnresolvedMention">
    <w:name w:val="Unresolved Mention"/>
    <w:basedOn w:val="DefaultParagraphFont"/>
    <w:uiPriority w:val="99"/>
    <w:semiHidden/>
    <w:unhideWhenUsed/>
    <w:rsid w:val="00474064"/>
    <w:rPr>
      <w:color w:val="605E5C"/>
      <w:shd w:val="clear" w:color="auto" w:fill="E1DFDD"/>
    </w:rPr>
  </w:style>
  <w:style w:type="paragraph" w:styleId="TOC1">
    <w:name w:val="toc 1"/>
    <w:basedOn w:val="Normal"/>
    <w:next w:val="Normal"/>
    <w:autoRedefine/>
    <w:uiPriority w:val="39"/>
    <w:unhideWhenUsed/>
    <w:rsid w:val="009A25F8"/>
    <w:pPr>
      <w:spacing w:after="100"/>
    </w:pPr>
  </w:style>
  <w:style w:type="paragraph" w:styleId="TOC2">
    <w:name w:val="toc 2"/>
    <w:basedOn w:val="Normal"/>
    <w:next w:val="Normal"/>
    <w:autoRedefine/>
    <w:uiPriority w:val="39"/>
    <w:unhideWhenUsed/>
    <w:rsid w:val="009A25F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academia.edu/5351678/Market_Research_Report_On_the_Hospitality_Industry_UAE" TargetMode="External"/><Relationship Id="rId18" Type="http://schemas.openxmlformats.org/officeDocument/2006/relationships/hyperlink" Target="https://doi.org/10.3390/su16114668" TargetMode="External"/><Relationship Id="rId26" Type="http://schemas.openxmlformats.org/officeDocument/2006/relationships/hyperlink" Target="https://doi.org/10.20867/thm.29.4.17" TargetMode="External"/><Relationship Id="rId3" Type="http://schemas.openxmlformats.org/officeDocument/2006/relationships/settings" Target="settings.xml"/><Relationship Id="rId21" Type="http://schemas.openxmlformats.org/officeDocument/2006/relationships/hyperlink" Target="https://www.statista.com/statistics/1020842/uae-number-of-hotels-similar-establishments/?srsltid=AfmBOoo7HvEwu8Zi4DXmCC3BfgoSiwVatsAszUV2IQuvUxNknQTNqPGL" TargetMode="External"/><Relationship Id="rId7" Type="http://schemas.openxmlformats.org/officeDocument/2006/relationships/image" Target="media/image3.jpeg"/><Relationship Id="rId12" Type="http://schemas.openxmlformats.org/officeDocument/2006/relationships/hyperlink" Target="https://doi.org/10.47672/jht.1883" TargetMode="External"/><Relationship Id="rId17" Type="http://schemas.openxmlformats.org/officeDocument/2006/relationships/hyperlink" Target="https://doi.org/10.13140/rg.2.2.25399.64161" TargetMode="External"/><Relationship Id="rId25" Type="http://schemas.openxmlformats.org/officeDocument/2006/relationships/hyperlink" Target="https://doi.org/10.1108/20450621111110311" TargetMode="External"/><Relationship Id="rId2" Type="http://schemas.openxmlformats.org/officeDocument/2006/relationships/styles" Target="styles.xml"/><Relationship Id="rId16" Type="http://schemas.openxmlformats.org/officeDocument/2006/relationships/hyperlink" Target="https://doi.org/10.1007/978-3-030-42211-0_4" TargetMode="External"/><Relationship Id="rId20" Type="http://schemas.openxmlformats.org/officeDocument/2006/relationships/hyperlink" Target="https://www.kenresearch.com/united-arab-emirates-hospitality-industry-market" TargetMode="External"/><Relationship Id="rId29"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cavendishmaxwell.com/insights/market-reports/hospitality/dubais-hospitality-sector-market-performance-in-2023" TargetMode="External"/><Relationship Id="rId24" Type="http://schemas.openxmlformats.org/officeDocument/2006/relationships/hyperlink" Target="https://www.journaldespalaces.com/en/pressrelease-77514-marriott-international-announces-robust-growth-momentum-across-europe-middle-east-africa-in-2025.html" TargetMode="External"/><Relationship Id="rId5" Type="http://schemas.openxmlformats.org/officeDocument/2006/relationships/image" Target="media/image1.png"/><Relationship Id="rId15" Type="http://schemas.openxmlformats.org/officeDocument/2006/relationships/hyperlink" Target="https://brittsimperial.com/live-learn-and-thrive-the-allure-of-studying-hospitality-in-the-uae/" TargetMode="External"/><Relationship Id="rId23" Type="http://schemas.openxmlformats.org/officeDocument/2006/relationships/hyperlink" Target="https://www.kenresearch.com/uae-luxury-hotels-and-hospitality-market" TargetMode="External"/><Relationship Id="rId28" Type="http://schemas.openxmlformats.org/officeDocument/2006/relationships/image" Target="media/image7.jpeg"/><Relationship Id="rId10" Type="http://schemas.openxmlformats.org/officeDocument/2006/relationships/hyperlink" Target="https://doi.org/10.1108/978-1-80262-871-520231007" TargetMode="External"/><Relationship Id="rId19" Type="http://schemas.openxmlformats.org/officeDocument/2006/relationships/hyperlink" Target="https://doi.org/10.1057/s41272-021-00290-6"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moet.gov.ae/en/hotels-in-the-uae" TargetMode="External"/><Relationship Id="rId22" Type="http://schemas.openxmlformats.org/officeDocument/2006/relationships/hyperlink" Target="https://doi.org/10.1016/j.ijhm.2019.102366" TargetMode="External"/><Relationship Id="rId27" Type="http://schemas.openxmlformats.org/officeDocument/2006/relationships/image" Target="media/image6.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22</Pages>
  <Words>6480</Words>
  <Characters>36937</Characters>
  <Application>Microsoft Office Word</Application>
  <DocSecurity>0</DocSecurity>
  <Lines>307</Lines>
  <Paragraphs>86</Paragraphs>
  <ScaleCrop>false</ScaleCrop>
  <Company/>
  <LinksUpToDate>false</LinksUpToDate>
  <CharactersWithSpaces>43331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Hitarth Girishbhai Sorathiya (2506577)</dc:creator>
  <cp:keywords/>
  <dc:description/>
  <cp:lastModifiedBy>Hitarth Girishbhai Sorathiya (2506577)</cp:lastModifiedBy>
  <cp:revision>32767</cp:revision>
  <dcterms:created xsi:type="dcterms:W3CDTF">2026-04-18T09:15:00Z</dcterms:created>
  <dcterms:modified xsi:type="dcterms:W3CDTF">2026-04-21T09:56:00Z</dcterms:modified>
</cp:coreProperties>
</file>