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2DA" w:rsidRDefault="00DE02DA"/>
    <w:p w:rsidR="00546AE4" w:rsidRDefault="00546AE4"/>
    <w:p w:rsidR="00546AE4" w:rsidRDefault="00546AE4"/>
    <w:p w:rsidR="00546AE4" w:rsidRDefault="00546AE4"/>
    <w:p w:rsidR="00546AE4" w:rsidRPr="00546AE4" w:rsidRDefault="00546AE4" w:rsidP="00546AE4">
      <w:pPr>
        <w:pStyle w:val="Title"/>
        <w:rPr>
          <w:rFonts w:asciiTheme="minorHAnsi" w:hAnsiTheme="minorHAnsi" w:cstheme="minorHAnsi"/>
          <w:sz w:val="36"/>
          <w:szCs w:val="36"/>
          <w:u w:val="single"/>
        </w:rPr>
      </w:pPr>
      <w:r w:rsidRPr="00546AE4">
        <w:rPr>
          <w:sz w:val="36"/>
          <w:szCs w:val="36"/>
        </w:rPr>
        <w:t xml:space="preserve">          </w:t>
      </w:r>
      <w:r>
        <w:rPr>
          <w:sz w:val="36"/>
          <w:szCs w:val="36"/>
        </w:rPr>
        <w:tab/>
      </w:r>
      <w:r>
        <w:rPr>
          <w:sz w:val="36"/>
          <w:szCs w:val="36"/>
        </w:rPr>
        <w:tab/>
      </w:r>
      <w:r>
        <w:rPr>
          <w:sz w:val="36"/>
          <w:szCs w:val="36"/>
        </w:rPr>
        <w:tab/>
      </w:r>
      <w:r w:rsidRPr="00546AE4">
        <w:rPr>
          <w:sz w:val="36"/>
          <w:szCs w:val="36"/>
        </w:rPr>
        <w:t xml:space="preserve"> </w:t>
      </w:r>
      <w:r w:rsidRPr="00546AE4">
        <w:rPr>
          <w:rFonts w:asciiTheme="minorHAnsi" w:hAnsiTheme="minorHAnsi" w:cstheme="minorHAnsi"/>
          <w:sz w:val="36"/>
          <w:szCs w:val="36"/>
          <w:u w:val="single"/>
        </w:rPr>
        <w:t>RHYGYFARCH’S LIFE OF ST.DAVID</w:t>
      </w:r>
    </w:p>
    <w:p w:rsidR="00BB5F6B" w:rsidRDefault="00BB5F6B" w:rsidP="00546AE4">
      <w:r>
        <w:tab/>
      </w:r>
      <w:r>
        <w:tab/>
      </w:r>
      <w:r>
        <w:tab/>
      </w:r>
      <w:r>
        <w:tab/>
        <w:t xml:space="preserve">    </w:t>
      </w:r>
      <w:r w:rsidRPr="00BB5F6B">
        <w:rPr>
          <w:rFonts w:cstheme="minorHAnsi"/>
          <w:color w:val="373A3C"/>
          <w:sz w:val="32"/>
          <w:szCs w:val="32"/>
          <w:shd w:val="clear" w:color="auto" w:fill="FFFFFF"/>
        </w:rPr>
        <w:t xml:space="preserve">Rachel </w:t>
      </w:r>
      <w:proofErr w:type="spellStart"/>
      <w:r w:rsidRPr="00BB5F6B">
        <w:rPr>
          <w:rFonts w:cstheme="minorHAnsi"/>
          <w:color w:val="373A3C"/>
          <w:sz w:val="32"/>
          <w:szCs w:val="32"/>
          <w:shd w:val="clear" w:color="auto" w:fill="FFFFFF"/>
        </w:rPr>
        <w:t>Cirincione</w:t>
      </w:r>
      <w:proofErr w:type="spellEnd"/>
    </w:p>
    <w:p w:rsidR="00546AE4" w:rsidRDefault="00546AE4" w:rsidP="00546AE4"/>
    <w:p w:rsidR="00546AE4" w:rsidRDefault="00546AE4" w:rsidP="00546AE4"/>
    <w:p w:rsidR="00546AE4" w:rsidRDefault="00546AE4" w:rsidP="00546AE4"/>
    <w:p w:rsidR="00546AE4" w:rsidRDefault="00546AE4" w:rsidP="00546AE4">
      <w:pPr>
        <w:rPr>
          <w:sz w:val="32"/>
          <w:szCs w:val="32"/>
        </w:rPr>
      </w:pPr>
      <w:r>
        <w:t xml:space="preserve">               </w:t>
      </w:r>
      <w:r w:rsidR="00BB5F6B">
        <w:t xml:space="preserve">                 </w:t>
      </w:r>
      <w:r>
        <w:rPr>
          <w:sz w:val="32"/>
          <w:szCs w:val="32"/>
        </w:rPr>
        <w:t>Celtic Sanctity, Spirituality and Hagiography</w:t>
      </w:r>
    </w:p>
    <w:p w:rsidR="00546AE4" w:rsidRDefault="00546AE4" w:rsidP="00546AE4">
      <w:pPr>
        <w:rPr>
          <w:sz w:val="32"/>
          <w:szCs w:val="32"/>
        </w:rPr>
      </w:pPr>
      <w:r>
        <w:rPr>
          <w:sz w:val="32"/>
          <w:szCs w:val="32"/>
        </w:rPr>
        <w:t xml:space="preserve">                                                HPCS7005</w:t>
      </w:r>
    </w:p>
    <w:p w:rsidR="00BB5F6B" w:rsidRDefault="00BB5F6B" w:rsidP="00BB5F6B">
      <w:r>
        <w:t xml:space="preserve">                                      </w:t>
      </w:r>
      <w:r>
        <w:t xml:space="preserve">                               </w:t>
      </w:r>
      <w:r>
        <w:t xml:space="preserve"> Assignment #1</w:t>
      </w:r>
    </w:p>
    <w:p w:rsidR="00BB5F6B" w:rsidRDefault="00BB5F6B" w:rsidP="00546AE4">
      <w:pPr>
        <w:rPr>
          <w:rFonts w:cstheme="minorHAnsi"/>
          <w:color w:val="373A3C"/>
          <w:sz w:val="24"/>
          <w:szCs w:val="24"/>
          <w:shd w:val="clear" w:color="auto" w:fill="FFFFFF"/>
        </w:rPr>
      </w:pPr>
      <w:r w:rsidRPr="00BB5F6B">
        <w:rPr>
          <w:rFonts w:cstheme="minorHAnsi"/>
          <w:color w:val="373A3C"/>
          <w:sz w:val="24"/>
          <w:szCs w:val="24"/>
          <w:shd w:val="clear" w:color="auto" w:fill="FFFFFF"/>
        </w:rPr>
        <w:t>Write a critical appreciation of any saint’s Life associated with one of the Celtic regions. In your answer, you should consider issues such as the text’s authorship, its purpose, transmission, key themes,</w:t>
      </w:r>
      <w:r>
        <w:rPr>
          <w:rFonts w:cstheme="minorHAnsi"/>
          <w:color w:val="373A3C"/>
          <w:sz w:val="24"/>
          <w:szCs w:val="24"/>
          <w:shd w:val="clear" w:color="auto" w:fill="FFFFFF"/>
        </w:rPr>
        <w:t xml:space="preserve"> literary and historical content</w:t>
      </w:r>
    </w:p>
    <w:p w:rsidR="00BB5F6B" w:rsidRPr="00BB5F6B" w:rsidRDefault="00BB5F6B" w:rsidP="00546AE4">
      <w:pPr>
        <w:rPr>
          <w:rFonts w:cstheme="minorHAnsi"/>
          <w:color w:val="373A3C"/>
          <w:sz w:val="32"/>
          <w:szCs w:val="32"/>
          <w:shd w:val="clear" w:color="auto" w:fill="FFFFFF"/>
        </w:rPr>
      </w:pPr>
      <w:r>
        <w:rPr>
          <w:rFonts w:cstheme="minorHAnsi"/>
          <w:color w:val="373A3C"/>
          <w:sz w:val="24"/>
          <w:szCs w:val="24"/>
          <w:shd w:val="clear" w:color="auto" w:fill="FFFFFF"/>
        </w:rPr>
        <w:tab/>
      </w:r>
      <w:r>
        <w:rPr>
          <w:rFonts w:cstheme="minorHAnsi"/>
          <w:color w:val="373A3C"/>
          <w:sz w:val="24"/>
          <w:szCs w:val="24"/>
          <w:shd w:val="clear" w:color="auto" w:fill="FFFFFF"/>
        </w:rPr>
        <w:tab/>
      </w:r>
      <w:r>
        <w:rPr>
          <w:rFonts w:cstheme="minorHAnsi"/>
          <w:color w:val="373A3C"/>
          <w:sz w:val="24"/>
          <w:szCs w:val="24"/>
          <w:shd w:val="clear" w:color="auto" w:fill="FFFFFF"/>
        </w:rPr>
        <w:tab/>
      </w:r>
      <w:r>
        <w:rPr>
          <w:rFonts w:cstheme="minorHAnsi"/>
          <w:color w:val="373A3C"/>
          <w:sz w:val="24"/>
          <w:szCs w:val="24"/>
          <w:shd w:val="clear" w:color="auto" w:fill="FFFFFF"/>
        </w:rPr>
        <w:tab/>
        <w:t xml:space="preserve">    </w:t>
      </w:r>
    </w:p>
    <w:p w:rsidR="00546AE4" w:rsidRPr="00BB5F6B" w:rsidRDefault="00BB5F6B" w:rsidP="00546AE4">
      <w:pPr>
        <w:rPr>
          <w:rFonts w:cstheme="minorHAnsi"/>
          <w:sz w:val="24"/>
          <w:szCs w:val="24"/>
        </w:rPr>
      </w:pPr>
      <w:r>
        <w:rPr>
          <w:rFonts w:cstheme="minorHAnsi"/>
          <w:color w:val="373A3C"/>
          <w:sz w:val="24"/>
          <w:szCs w:val="24"/>
          <w:shd w:val="clear" w:color="auto" w:fill="FFFFFF"/>
        </w:rPr>
        <w:t xml:space="preserve">                                                           </w:t>
      </w:r>
      <w:r w:rsidR="00546AE4">
        <w:rPr>
          <w:sz w:val="32"/>
          <w:szCs w:val="32"/>
        </w:rPr>
        <w:t>March 31, 2023</w:t>
      </w:r>
    </w:p>
    <w:p w:rsidR="00546AE4" w:rsidRDefault="00546AE4" w:rsidP="00546AE4">
      <w:pPr>
        <w:rPr>
          <w:sz w:val="32"/>
          <w:szCs w:val="32"/>
        </w:rPr>
      </w:pPr>
    </w:p>
    <w:p w:rsidR="0002151D" w:rsidRDefault="0002151D" w:rsidP="00546AE4">
      <w:pPr>
        <w:rPr>
          <w:sz w:val="32"/>
          <w:szCs w:val="32"/>
        </w:rPr>
      </w:pPr>
    </w:p>
    <w:p w:rsidR="0002151D" w:rsidRDefault="0002151D" w:rsidP="00546AE4">
      <w:pPr>
        <w:rPr>
          <w:sz w:val="32"/>
          <w:szCs w:val="32"/>
        </w:rPr>
      </w:pPr>
    </w:p>
    <w:p w:rsidR="0002151D" w:rsidRDefault="0002151D" w:rsidP="00546AE4">
      <w:pPr>
        <w:rPr>
          <w:sz w:val="32"/>
          <w:szCs w:val="32"/>
        </w:rPr>
      </w:pPr>
    </w:p>
    <w:p w:rsidR="0002151D" w:rsidRDefault="0002151D" w:rsidP="00546AE4">
      <w:pPr>
        <w:rPr>
          <w:sz w:val="32"/>
          <w:szCs w:val="32"/>
        </w:rPr>
      </w:pPr>
    </w:p>
    <w:p w:rsidR="0002151D" w:rsidRDefault="0002151D" w:rsidP="00546AE4">
      <w:pPr>
        <w:rPr>
          <w:sz w:val="32"/>
          <w:szCs w:val="32"/>
        </w:rPr>
      </w:pPr>
    </w:p>
    <w:p w:rsidR="0002151D" w:rsidRDefault="0002151D" w:rsidP="00546AE4">
      <w:pPr>
        <w:rPr>
          <w:sz w:val="32"/>
          <w:szCs w:val="32"/>
        </w:rPr>
      </w:pPr>
    </w:p>
    <w:p w:rsidR="0002151D" w:rsidRDefault="0002151D" w:rsidP="00546AE4">
      <w:pPr>
        <w:rPr>
          <w:sz w:val="32"/>
          <w:szCs w:val="32"/>
        </w:rPr>
      </w:pPr>
    </w:p>
    <w:p w:rsidR="0002151D" w:rsidRDefault="0002151D" w:rsidP="0002151D"/>
    <w:p w:rsidR="0002151D" w:rsidRDefault="0002151D" w:rsidP="0002151D">
      <w:pPr>
        <w:rPr>
          <w:i/>
          <w:sz w:val="28"/>
          <w:szCs w:val="28"/>
        </w:rPr>
      </w:pPr>
      <w:r>
        <w:t xml:space="preserve">                                                        </w:t>
      </w:r>
      <w:proofErr w:type="spellStart"/>
      <w:r w:rsidRPr="00F83E31">
        <w:rPr>
          <w:sz w:val="28"/>
          <w:szCs w:val="28"/>
        </w:rPr>
        <w:t>Rhygyfarch’s</w:t>
      </w:r>
      <w:proofErr w:type="spellEnd"/>
      <w:r w:rsidRPr="00F83E31">
        <w:rPr>
          <w:sz w:val="28"/>
          <w:szCs w:val="28"/>
        </w:rPr>
        <w:t xml:space="preserve"> </w:t>
      </w:r>
      <w:r w:rsidRPr="00F83E31">
        <w:rPr>
          <w:i/>
          <w:sz w:val="28"/>
          <w:szCs w:val="28"/>
        </w:rPr>
        <w:t>Life of Saint David</w:t>
      </w:r>
    </w:p>
    <w:p w:rsidR="0002151D" w:rsidRDefault="0002151D" w:rsidP="0002151D">
      <w:pPr>
        <w:rPr>
          <w:sz w:val="24"/>
          <w:szCs w:val="24"/>
        </w:rPr>
      </w:pPr>
      <w:r>
        <w:rPr>
          <w:sz w:val="24"/>
          <w:szCs w:val="24"/>
        </w:rPr>
        <w:t xml:space="preserve"> In the earliest surviving reference to Saint David in Welsh literature, the 10</w:t>
      </w:r>
      <w:r w:rsidRPr="00BF65FA">
        <w:rPr>
          <w:sz w:val="24"/>
          <w:szCs w:val="24"/>
          <w:vertAlign w:val="superscript"/>
        </w:rPr>
        <w:t>th</w:t>
      </w:r>
      <w:r>
        <w:rPr>
          <w:sz w:val="24"/>
          <w:szCs w:val="24"/>
        </w:rPr>
        <w:t xml:space="preserve"> century poem, ‘</w:t>
      </w:r>
      <w:proofErr w:type="spellStart"/>
      <w:r>
        <w:rPr>
          <w:sz w:val="24"/>
          <w:szCs w:val="24"/>
        </w:rPr>
        <w:t>Armes</w:t>
      </w:r>
      <w:proofErr w:type="spellEnd"/>
      <w:r>
        <w:rPr>
          <w:sz w:val="24"/>
          <w:szCs w:val="24"/>
        </w:rPr>
        <w:t xml:space="preserve"> </w:t>
      </w:r>
      <w:proofErr w:type="spellStart"/>
      <w:r>
        <w:rPr>
          <w:sz w:val="24"/>
          <w:szCs w:val="24"/>
        </w:rPr>
        <w:t>Prydain</w:t>
      </w:r>
      <w:proofErr w:type="spellEnd"/>
      <w:r>
        <w:rPr>
          <w:sz w:val="24"/>
          <w:szCs w:val="24"/>
        </w:rPr>
        <w:t xml:space="preserve"> </w:t>
      </w:r>
      <w:proofErr w:type="spellStart"/>
      <w:r>
        <w:rPr>
          <w:sz w:val="24"/>
          <w:szCs w:val="24"/>
        </w:rPr>
        <w:t>Fawr</w:t>
      </w:r>
      <w:proofErr w:type="spellEnd"/>
      <w:r>
        <w:rPr>
          <w:sz w:val="24"/>
          <w:szCs w:val="24"/>
        </w:rPr>
        <w:t xml:space="preserve">”, David is prophesied to be the great spiritual leader who the Welsh will rally behind to defeat the Anglo Saxon Kingdom: </w:t>
      </w:r>
    </w:p>
    <w:p w:rsidR="0002151D" w:rsidRDefault="0002151D" w:rsidP="0002151D">
      <w:pPr>
        <w:rPr>
          <w:sz w:val="24"/>
          <w:szCs w:val="24"/>
        </w:rPr>
      </w:pPr>
      <w:r>
        <w:rPr>
          <w:sz w:val="24"/>
          <w:szCs w:val="24"/>
        </w:rPr>
        <w:t>“We pray to the Lord who created heaven and earth,</w:t>
      </w:r>
    </w:p>
    <w:p w:rsidR="0002151D" w:rsidRDefault="0002151D" w:rsidP="0002151D">
      <w:pPr>
        <w:rPr>
          <w:sz w:val="24"/>
          <w:szCs w:val="24"/>
        </w:rPr>
      </w:pPr>
      <w:r>
        <w:rPr>
          <w:sz w:val="24"/>
          <w:szCs w:val="24"/>
        </w:rPr>
        <w:t xml:space="preserve">May David be a leader for the </w:t>
      </w:r>
      <w:proofErr w:type="gramStart"/>
      <w:r>
        <w:rPr>
          <w:sz w:val="24"/>
          <w:szCs w:val="24"/>
        </w:rPr>
        <w:t>warriors,</w:t>
      </w:r>
      <w:proofErr w:type="gramEnd"/>
    </w:p>
    <w:p w:rsidR="0002151D" w:rsidRDefault="0002151D" w:rsidP="0002151D">
      <w:pPr>
        <w:rPr>
          <w:sz w:val="24"/>
          <w:szCs w:val="24"/>
        </w:rPr>
      </w:pPr>
      <w:r>
        <w:rPr>
          <w:sz w:val="24"/>
          <w:szCs w:val="24"/>
        </w:rPr>
        <w:t>For the sake of those who are in the kingdom of heaven with my God.</w:t>
      </w:r>
    </w:p>
    <w:p w:rsidR="0002151D" w:rsidRDefault="0002151D" w:rsidP="0002151D">
      <w:pPr>
        <w:rPr>
          <w:sz w:val="24"/>
          <w:szCs w:val="24"/>
        </w:rPr>
      </w:pPr>
      <w:r>
        <w:rPr>
          <w:sz w:val="24"/>
          <w:szCs w:val="24"/>
        </w:rPr>
        <w:t xml:space="preserve">He does not die, he does not flee, </w:t>
      </w:r>
      <w:proofErr w:type="gramStart"/>
      <w:r>
        <w:rPr>
          <w:sz w:val="24"/>
          <w:szCs w:val="24"/>
        </w:rPr>
        <w:t>he</w:t>
      </w:r>
      <w:proofErr w:type="gramEnd"/>
      <w:r>
        <w:rPr>
          <w:sz w:val="24"/>
          <w:szCs w:val="24"/>
        </w:rPr>
        <w:t xml:space="preserve"> does not tire,</w:t>
      </w:r>
    </w:p>
    <w:p w:rsidR="0002151D" w:rsidRDefault="0002151D" w:rsidP="0002151D">
      <w:pPr>
        <w:rPr>
          <w:sz w:val="24"/>
          <w:szCs w:val="24"/>
        </w:rPr>
      </w:pPr>
      <w:r>
        <w:rPr>
          <w:sz w:val="24"/>
          <w:szCs w:val="24"/>
        </w:rPr>
        <w:t xml:space="preserve">He does not perish, he does not fail, he does not bend, </w:t>
      </w:r>
      <w:proofErr w:type="gramStart"/>
      <w:r>
        <w:rPr>
          <w:sz w:val="24"/>
          <w:szCs w:val="24"/>
        </w:rPr>
        <w:t>he</w:t>
      </w:r>
      <w:proofErr w:type="gramEnd"/>
      <w:r>
        <w:rPr>
          <w:sz w:val="24"/>
          <w:szCs w:val="24"/>
        </w:rPr>
        <w:t xml:space="preserve"> does not wither.”</w:t>
      </w:r>
      <w:r>
        <w:rPr>
          <w:rStyle w:val="FootnoteReference"/>
          <w:sz w:val="24"/>
          <w:szCs w:val="24"/>
        </w:rPr>
        <w:footnoteReference w:id="1"/>
      </w:r>
      <w:r>
        <w:rPr>
          <w:sz w:val="24"/>
          <w:szCs w:val="24"/>
        </w:rPr>
        <w:t xml:space="preserve"> </w:t>
      </w:r>
    </w:p>
    <w:p w:rsidR="0002151D" w:rsidRPr="0021713A" w:rsidRDefault="0002151D" w:rsidP="0002151D">
      <w:pPr>
        <w:rPr>
          <w:sz w:val="24"/>
          <w:szCs w:val="24"/>
        </w:rPr>
      </w:pPr>
      <w:r>
        <w:rPr>
          <w:sz w:val="24"/>
          <w:szCs w:val="24"/>
        </w:rPr>
        <w:t xml:space="preserve">The cult of Saint David was resurrected by </w:t>
      </w:r>
      <w:proofErr w:type="spellStart"/>
      <w:r>
        <w:rPr>
          <w:sz w:val="24"/>
          <w:szCs w:val="24"/>
        </w:rPr>
        <w:t>Rhygyfarch</w:t>
      </w:r>
      <w:proofErr w:type="spellEnd"/>
      <w:r>
        <w:rPr>
          <w:sz w:val="24"/>
          <w:szCs w:val="24"/>
        </w:rPr>
        <w:t xml:space="preserve"> </w:t>
      </w:r>
      <w:proofErr w:type="spellStart"/>
      <w:proofErr w:type="gramStart"/>
      <w:r>
        <w:rPr>
          <w:sz w:val="24"/>
          <w:szCs w:val="24"/>
        </w:rPr>
        <w:t>ap</w:t>
      </w:r>
      <w:proofErr w:type="spellEnd"/>
      <w:proofErr w:type="gramEnd"/>
      <w:r>
        <w:rPr>
          <w:sz w:val="24"/>
          <w:szCs w:val="24"/>
        </w:rPr>
        <w:t xml:space="preserve"> </w:t>
      </w:r>
      <w:proofErr w:type="spellStart"/>
      <w:r>
        <w:rPr>
          <w:sz w:val="24"/>
          <w:szCs w:val="24"/>
        </w:rPr>
        <w:t>Sulien</w:t>
      </w:r>
      <w:proofErr w:type="spellEnd"/>
      <w:r>
        <w:rPr>
          <w:sz w:val="24"/>
          <w:szCs w:val="24"/>
        </w:rPr>
        <w:t xml:space="preserve"> (1056-1099) when he recorded the Latin life of Saint David, </w:t>
      </w:r>
      <w:r>
        <w:rPr>
          <w:i/>
          <w:sz w:val="24"/>
          <w:szCs w:val="24"/>
        </w:rPr>
        <w:t xml:space="preserve">Vita </w:t>
      </w:r>
      <w:proofErr w:type="spellStart"/>
      <w:r>
        <w:rPr>
          <w:i/>
          <w:sz w:val="24"/>
          <w:szCs w:val="24"/>
        </w:rPr>
        <w:t>Davidus</w:t>
      </w:r>
      <w:proofErr w:type="spellEnd"/>
      <w:r>
        <w:rPr>
          <w:sz w:val="24"/>
          <w:szCs w:val="24"/>
        </w:rPr>
        <w:t xml:space="preserve">. His apprehensions about the Norman presence in his homeland is apparent in his description of the Norman encroachment in Wales in his 1093 work, </w:t>
      </w:r>
      <w:r>
        <w:rPr>
          <w:i/>
          <w:sz w:val="24"/>
          <w:szCs w:val="24"/>
        </w:rPr>
        <w:t>Lament,</w:t>
      </w:r>
      <w:r>
        <w:rPr>
          <w:sz w:val="24"/>
          <w:szCs w:val="24"/>
        </w:rPr>
        <w:t>“</w:t>
      </w:r>
      <w:proofErr w:type="spellStart"/>
      <w:r>
        <w:rPr>
          <w:i/>
          <w:sz w:val="24"/>
          <w:szCs w:val="24"/>
        </w:rPr>
        <w:t>Planctus</w:t>
      </w:r>
      <w:proofErr w:type="spellEnd"/>
      <w:r>
        <w:rPr>
          <w:i/>
          <w:sz w:val="24"/>
          <w:szCs w:val="24"/>
        </w:rPr>
        <w:t xml:space="preserve"> </w:t>
      </w:r>
      <w:proofErr w:type="spellStart"/>
      <w:r>
        <w:rPr>
          <w:i/>
          <w:sz w:val="24"/>
          <w:szCs w:val="24"/>
        </w:rPr>
        <w:t>Ricemarch</w:t>
      </w:r>
      <w:proofErr w:type="spellEnd"/>
      <w:r>
        <w:rPr>
          <w:i/>
          <w:sz w:val="24"/>
          <w:szCs w:val="24"/>
        </w:rPr>
        <w:t>”.</w:t>
      </w:r>
      <w:r>
        <w:rPr>
          <w:sz w:val="24"/>
          <w:szCs w:val="24"/>
        </w:rPr>
        <w:t xml:space="preserve"> The Saint David in </w:t>
      </w:r>
      <w:proofErr w:type="spellStart"/>
      <w:r>
        <w:rPr>
          <w:sz w:val="24"/>
          <w:szCs w:val="24"/>
        </w:rPr>
        <w:t>Rhygyfarch’s</w:t>
      </w:r>
      <w:proofErr w:type="spellEnd"/>
      <w:r>
        <w:rPr>
          <w:sz w:val="24"/>
          <w:szCs w:val="24"/>
        </w:rPr>
        <w:t xml:space="preserve"> work was not leading armies, but he was still doing the “big things” needed to protect the Welsh people and church by embodying the spiritual values of the 11</w:t>
      </w:r>
      <w:r w:rsidRPr="00624C2C">
        <w:rPr>
          <w:sz w:val="24"/>
          <w:szCs w:val="24"/>
          <w:vertAlign w:val="superscript"/>
        </w:rPr>
        <w:t>th</w:t>
      </w:r>
      <w:r>
        <w:rPr>
          <w:sz w:val="24"/>
          <w:szCs w:val="24"/>
        </w:rPr>
        <w:t xml:space="preserve"> century.</w:t>
      </w:r>
      <w:r w:rsidRPr="0023010F">
        <w:rPr>
          <w:sz w:val="24"/>
          <w:szCs w:val="24"/>
        </w:rPr>
        <w:t xml:space="preserve"> </w:t>
      </w:r>
      <w:r>
        <w:rPr>
          <w:sz w:val="24"/>
          <w:szCs w:val="24"/>
        </w:rPr>
        <w:t xml:space="preserve">By writing his </w:t>
      </w:r>
      <w:r>
        <w:rPr>
          <w:i/>
          <w:sz w:val="24"/>
          <w:szCs w:val="24"/>
        </w:rPr>
        <w:t xml:space="preserve">Life, </w:t>
      </w:r>
      <w:proofErr w:type="spellStart"/>
      <w:r>
        <w:rPr>
          <w:sz w:val="24"/>
          <w:szCs w:val="24"/>
        </w:rPr>
        <w:t>Rhygyfarch</w:t>
      </w:r>
      <w:proofErr w:type="spellEnd"/>
      <w:r>
        <w:rPr>
          <w:sz w:val="24"/>
          <w:szCs w:val="24"/>
        </w:rPr>
        <w:t xml:space="preserve"> invoked the spiritual authority of St. David he felt the Welsh church needed to keep its independence in a changing political landscape.</w:t>
      </w:r>
    </w:p>
    <w:p w:rsidR="0002151D" w:rsidRDefault="0002151D" w:rsidP="0002151D">
      <w:pPr>
        <w:rPr>
          <w:sz w:val="24"/>
          <w:szCs w:val="24"/>
        </w:rPr>
      </w:pPr>
      <w:r>
        <w:rPr>
          <w:sz w:val="24"/>
          <w:szCs w:val="24"/>
        </w:rPr>
        <w:t>Some of the earliest references to St David are from Irish sources</w:t>
      </w:r>
      <w:r w:rsidRPr="00CA0CA5">
        <w:rPr>
          <w:sz w:val="24"/>
          <w:szCs w:val="24"/>
        </w:rPr>
        <w:t>,</w:t>
      </w:r>
      <w:r>
        <w:rPr>
          <w:sz w:val="24"/>
          <w:szCs w:val="24"/>
        </w:rPr>
        <w:t xml:space="preserve"> including the 9</w:t>
      </w:r>
      <w:r w:rsidRPr="0054348A">
        <w:rPr>
          <w:sz w:val="24"/>
          <w:szCs w:val="24"/>
          <w:vertAlign w:val="superscript"/>
        </w:rPr>
        <w:t>th</w:t>
      </w:r>
      <w:r>
        <w:rPr>
          <w:sz w:val="24"/>
          <w:szCs w:val="24"/>
        </w:rPr>
        <w:t xml:space="preserve"> century </w:t>
      </w:r>
      <w:proofErr w:type="spellStart"/>
      <w:r>
        <w:rPr>
          <w:sz w:val="24"/>
          <w:szCs w:val="24"/>
        </w:rPr>
        <w:t>Martyrologies</w:t>
      </w:r>
      <w:proofErr w:type="spellEnd"/>
      <w:r>
        <w:rPr>
          <w:sz w:val="24"/>
          <w:szCs w:val="24"/>
        </w:rPr>
        <w:t xml:space="preserve"> from Ireland, which list his feast Day, and The Catalogue of Irish Saints.</w:t>
      </w:r>
      <w:r>
        <w:rPr>
          <w:rStyle w:val="FootnoteReference"/>
          <w:sz w:val="24"/>
          <w:szCs w:val="24"/>
        </w:rPr>
        <w:footnoteReference w:id="2"/>
      </w:r>
      <w:r>
        <w:rPr>
          <w:sz w:val="24"/>
          <w:szCs w:val="24"/>
        </w:rPr>
        <w:t xml:space="preserve"> This might</w:t>
      </w:r>
      <w:r w:rsidRPr="00CA0CA5">
        <w:rPr>
          <w:sz w:val="24"/>
          <w:szCs w:val="24"/>
        </w:rPr>
        <w:t xml:space="preserve"> suggest</w:t>
      </w:r>
      <w:r>
        <w:rPr>
          <w:sz w:val="24"/>
          <w:szCs w:val="24"/>
        </w:rPr>
        <w:t xml:space="preserve"> that </w:t>
      </w:r>
      <w:proofErr w:type="spellStart"/>
      <w:r>
        <w:rPr>
          <w:sz w:val="24"/>
          <w:szCs w:val="24"/>
        </w:rPr>
        <w:t>Rhygyfarch</w:t>
      </w:r>
      <w:proofErr w:type="spellEnd"/>
      <w:r w:rsidRPr="00CA0CA5">
        <w:rPr>
          <w:sz w:val="24"/>
          <w:szCs w:val="24"/>
        </w:rPr>
        <w:t xml:space="preserve"> </w:t>
      </w:r>
      <w:r>
        <w:rPr>
          <w:sz w:val="24"/>
          <w:szCs w:val="24"/>
        </w:rPr>
        <w:t>u</w:t>
      </w:r>
      <w:r w:rsidRPr="00CA0CA5">
        <w:rPr>
          <w:sz w:val="24"/>
          <w:szCs w:val="24"/>
        </w:rPr>
        <w:t>sed Irish sources</w:t>
      </w:r>
      <w:r>
        <w:rPr>
          <w:sz w:val="24"/>
          <w:szCs w:val="24"/>
        </w:rPr>
        <w:t xml:space="preserve"> or other early manuscripts now lost to us in writing </w:t>
      </w:r>
      <w:r w:rsidRPr="00CA0CA5">
        <w:rPr>
          <w:sz w:val="24"/>
          <w:szCs w:val="24"/>
        </w:rPr>
        <w:t xml:space="preserve">his </w:t>
      </w:r>
      <w:r>
        <w:rPr>
          <w:i/>
          <w:sz w:val="24"/>
          <w:szCs w:val="24"/>
        </w:rPr>
        <w:t>Life.</w:t>
      </w:r>
      <w:r>
        <w:rPr>
          <w:sz w:val="24"/>
          <w:szCs w:val="24"/>
        </w:rPr>
        <w:t xml:space="preserve"> Whatever his sources, he intentionally reconstructed the narrative behind the existing cult to embody medieval ecclesiastical traditions for its acceptance and preservation in the 11</w:t>
      </w:r>
      <w:r w:rsidRPr="000B3F5A">
        <w:rPr>
          <w:sz w:val="24"/>
          <w:szCs w:val="24"/>
          <w:vertAlign w:val="superscript"/>
        </w:rPr>
        <w:t>th</w:t>
      </w:r>
      <w:r>
        <w:rPr>
          <w:sz w:val="24"/>
          <w:szCs w:val="24"/>
        </w:rPr>
        <w:t xml:space="preserve"> century. </w:t>
      </w:r>
      <w:proofErr w:type="spellStart"/>
      <w:r>
        <w:rPr>
          <w:sz w:val="24"/>
          <w:szCs w:val="24"/>
        </w:rPr>
        <w:t>Rhygyfarch’s</w:t>
      </w:r>
      <w:proofErr w:type="spellEnd"/>
      <w:r>
        <w:rPr>
          <w:sz w:val="24"/>
          <w:szCs w:val="24"/>
        </w:rPr>
        <w:t xml:space="preserve"> writing followed a well-known formula of the hagiographical </w:t>
      </w:r>
      <w:r>
        <w:rPr>
          <w:i/>
          <w:sz w:val="24"/>
          <w:szCs w:val="24"/>
        </w:rPr>
        <w:t>Vitae sanctorum</w:t>
      </w:r>
      <w:r>
        <w:rPr>
          <w:sz w:val="24"/>
          <w:szCs w:val="24"/>
        </w:rPr>
        <w:t xml:space="preserve"> literary genre that was popular in the medieval church. In the middle ages, the cult of a Saint without a written Saint’s </w:t>
      </w:r>
      <w:r>
        <w:rPr>
          <w:i/>
          <w:sz w:val="24"/>
          <w:szCs w:val="24"/>
        </w:rPr>
        <w:t>Vitae</w:t>
      </w:r>
      <w:r>
        <w:rPr>
          <w:sz w:val="24"/>
          <w:szCs w:val="24"/>
        </w:rPr>
        <w:t>, could not continue to survive, thus, the context of the political and social conditions of Wales in the 11</w:t>
      </w:r>
      <w:r w:rsidRPr="00F930B1">
        <w:rPr>
          <w:sz w:val="24"/>
          <w:szCs w:val="24"/>
          <w:vertAlign w:val="superscript"/>
        </w:rPr>
        <w:t>th</w:t>
      </w:r>
      <w:r>
        <w:rPr>
          <w:sz w:val="24"/>
          <w:szCs w:val="24"/>
        </w:rPr>
        <w:t xml:space="preserve"> century is as important to understanding </w:t>
      </w:r>
      <w:proofErr w:type="spellStart"/>
      <w:r>
        <w:rPr>
          <w:sz w:val="24"/>
          <w:szCs w:val="24"/>
        </w:rPr>
        <w:t>Rhygyfarch’s</w:t>
      </w:r>
      <w:proofErr w:type="spellEnd"/>
      <w:r>
        <w:rPr>
          <w:sz w:val="24"/>
          <w:szCs w:val="24"/>
        </w:rPr>
        <w:t xml:space="preserve"> work as the actual text itself. </w:t>
      </w:r>
    </w:p>
    <w:p w:rsidR="0002151D" w:rsidRDefault="0002151D" w:rsidP="0002151D">
      <w:pPr>
        <w:rPr>
          <w:sz w:val="24"/>
          <w:szCs w:val="24"/>
        </w:rPr>
      </w:pPr>
      <w:r>
        <w:rPr>
          <w:sz w:val="24"/>
          <w:szCs w:val="24"/>
        </w:rPr>
        <w:lastRenderedPageBreak/>
        <w:t xml:space="preserve"> Recent scholars have put the years that he wrote his </w:t>
      </w:r>
      <w:r w:rsidRPr="007C4686">
        <w:rPr>
          <w:i/>
          <w:sz w:val="24"/>
          <w:szCs w:val="24"/>
        </w:rPr>
        <w:t>Life</w:t>
      </w:r>
      <w:r>
        <w:rPr>
          <w:sz w:val="24"/>
          <w:szCs w:val="24"/>
        </w:rPr>
        <w:t xml:space="preserve"> sometime within 1091-1093</w:t>
      </w:r>
      <w:r>
        <w:rPr>
          <w:rStyle w:val="FootnoteReference"/>
          <w:sz w:val="24"/>
          <w:szCs w:val="24"/>
        </w:rPr>
        <w:footnoteReference w:id="3"/>
      </w:r>
      <w:r>
        <w:rPr>
          <w:sz w:val="24"/>
          <w:szCs w:val="24"/>
        </w:rPr>
        <w:t>, although some put this as early as 1080. The Norman Conquest was encroaching into Wales, and the Welsh were struggling to maintain their political and religious independence. The church was a vital political component in the middle ages. The medieval church possessed political power and prestige through secular associations- gaining donations of land and money from wealthy landowners who coveted the spiritual protection and blessing of a venerated saint, and through educated church officials who played an important role within the government administration. It is no wonder medieval leaders sought to control the appointments and decisions of the church. The Norman king, William the Conqueror, wished to do this in England by fashioning Canterbury as the ecclesiastical authority of the entire island.</w:t>
      </w:r>
      <w:r>
        <w:rPr>
          <w:rStyle w:val="FootnoteReference"/>
          <w:sz w:val="24"/>
          <w:szCs w:val="24"/>
        </w:rPr>
        <w:footnoteReference w:id="4"/>
      </w:r>
    </w:p>
    <w:p w:rsidR="0002151D" w:rsidRDefault="0002151D" w:rsidP="0002151D">
      <w:pPr>
        <w:rPr>
          <w:sz w:val="24"/>
          <w:szCs w:val="24"/>
        </w:rPr>
      </w:pPr>
      <w:r>
        <w:rPr>
          <w:sz w:val="24"/>
          <w:szCs w:val="24"/>
        </w:rPr>
        <w:t xml:space="preserve"> William received support of his conquest of England in 1066 by the pope Alexander 11, but when Gregory V11 became pope in 1073, conflicts of interest arose between Rome and the Norman ruler, particularly concerning Canterbury primacy and the role of king within the church. These tensions escalated when Canterbury asserted jurisdiction over York Cathedral yet failed to obtain formal confirmation of Canterbury’s primacy from Rome.</w:t>
      </w:r>
      <w:r>
        <w:rPr>
          <w:rStyle w:val="FootnoteReference"/>
          <w:sz w:val="24"/>
          <w:szCs w:val="24"/>
        </w:rPr>
        <w:footnoteReference w:id="5"/>
      </w:r>
      <w:r>
        <w:rPr>
          <w:sz w:val="24"/>
          <w:szCs w:val="24"/>
        </w:rPr>
        <w:t xml:space="preserve"> Perhaps within the power struggle between the Pope and England, </w:t>
      </w:r>
      <w:proofErr w:type="spellStart"/>
      <w:r>
        <w:rPr>
          <w:sz w:val="24"/>
          <w:szCs w:val="24"/>
        </w:rPr>
        <w:t>Rhygyfarch</w:t>
      </w:r>
      <w:proofErr w:type="spellEnd"/>
      <w:r>
        <w:rPr>
          <w:sz w:val="24"/>
          <w:szCs w:val="24"/>
        </w:rPr>
        <w:t xml:space="preserve"> saw an opportunity for an elevation of St David’s status in Rome. In the eyes of the Western ecclesiastical world, Rome’s recognition of a Saint’s cult could elevate their church by granting it archbishopric and metropolitan status. By writing the life of David, Ry was taking the first step to achieve this status. A hallmark of a saint’s </w:t>
      </w:r>
      <w:r>
        <w:rPr>
          <w:i/>
          <w:sz w:val="24"/>
          <w:szCs w:val="24"/>
        </w:rPr>
        <w:t xml:space="preserve">Vitae </w:t>
      </w:r>
      <w:r>
        <w:rPr>
          <w:sz w:val="24"/>
          <w:szCs w:val="24"/>
        </w:rPr>
        <w:t xml:space="preserve">is a journey to Jerusalem, in which Saint David partakes. While he is there, the Patriarch makes him an archbishop. Thus, </w:t>
      </w:r>
      <w:proofErr w:type="spellStart"/>
      <w:r>
        <w:rPr>
          <w:sz w:val="24"/>
          <w:szCs w:val="24"/>
        </w:rPr>
        <w:t>Rhygyfarch</w:t>
      </w:r>
      <w:proofErr w:type="spellEnd"/>
      <w:r>
        <w:rPr>
          <w:sz w:val="24"/>
          <w:szCs w:val="24"/>
        </w:rPr>
        <w:t xml:space="preserve"> established evidence for primacy of the Welsh church by ascribing “archbishop” status to David in the 7</w:t>
      </w:r>
      <w:r w:rsidRPr="00E224DA">
        <w:rPr>
          <w:sz w:val="24"/>
          <w:szCs w:val="24"/>
          <w:vertAlign w:val="superscript"/>
        </w:rPr>
        <w:t>th</w:t>
      </w:r>
      <w:r>
        <w:rPr>
          <w:sz w:val="24"/>
          <w:szCs w:val="24"/>
        </w:rPr>
        <w:t xml:space="preserve"> century- once by the Patriarch in Jerusalem and once by the Bishops at the synod at </w:t>
      </w:r>
      <w:proofErr w:type="spellStart"/>
      <w:r>
        <w:rPr>
          <w:sz w:val="24"/>
          <w:szCs w:val="24"/>
        </w:rPr>
        <w:t>Brefi</w:t>
      </w:r>
      <w:proofErr w:type="spellEnd"/>
      <w:r>
        <w:rPr>
          <w:sz w:val="24"/>
          <w:szCs w:val="24"/>
        </w:rPr>
        <w:t xml:space="preserve"> with the intention of realizing an  11</w:t>
      </w:r>
      <w:r w:rsidRPr="001249F5">
        <w:rPr>
          <w:sz w:val="24"/>
          <w:szCs w:val="24"/>
          <w:vertAlign w:val="superscript"/>
        </w:rPr>
        <w:t>th</w:t>
      </w:r>
      <w:r>
        <w:rPr>
          <w:sz w:val="24"/>
          <w:szCs w:val="24"/>
        </w:rPr>
        <w:t xml:space="preserve"> century archbishopric in Wales and protecting the independence of the Welsh church.</w:t>
      </w:r>
    </w:p>
    <w:p w:rsidR="0002151D" w:rsidRDefault="0002151D" w:rsidP="0002151D">
      <w:pPr>
        <w:rPr>
          <w:sz w:val="24"/>
          <w:szCs w:val="24"/>
        </w:rPr>
      </w:pPr>
      <w:r>
        <w:rPr>
          <w:sz w:val="24"/>
          <w:szCs w:val="24"/>
        </w:rPr>
        <w:t xml:space="preserve">A financial motivation for inscribing a Saint’s life was to obtain the lucrative business of holy pilgrimages. Any lands associated with the saint, whether it was a place where miracles occurred during their lifetime or a place where their relics were </w:t>
      </w:r>
      <w:proofErr w:type="gramStart"/>
      <w:r>
        <w:rPr>
          <w:sz w:val="24"/>
          <w:szCs w:val="24"/>
        </w:rPr>
        <w:t>held,</w:t>
      </w:r>
      <w:proofErr w:type="gramEnd"/>
      <w:r>
        <w:rPr>
          <w:sz w:val="24"/>
          <w:szCs w:val="24"/>
        </w:rPr>
        <w:t xml:space="preserve"> would embody the saint’s spirit and be elevated to a sacred and spiritual site. Pilgrimages to these sites were an important financial incentive for monastic communities and cathedrals associated with a popular saint. Besides mastering the writing style of the </w:t>
      </w:r>
      <w:r>
        <w:rPr>
          <w:i/>
          <w:sz w:val="24"/>
          <w:szCs w:val="24"/>
        </w:rPr>
        <w:t xml:space="preserve">Vitae </w:t>
      </w:r>
      <w:r w:rsidRPr="003C62B6">
        <w:rPr>
          <w:sz w:val="24"/>
          <w:szCs w:val="24"/>
        </w:rPr>
        <w:t>genre</w:t>
      </w:r>
      <w:r>
        <w:rPr>
          <w:i/>
          <w:sz w:val="24"/>
          <w:szCs w:val="24"/>
        </w:rPr>
        <w:t xml:space="preserve">, </w:t>
      </w:r>
      <w:r>
        <w:rPr>
          <w:sz w:val="24"/>
          <w:szCs w:val="24"/>
        </w:rPr>
        <w:t xml:space="preserve">the fact that Ry came from a highly respected family associated with the church (his father was bishop of St </w:t>
      </w:r>
      <w:proofErr w:type="spellStart"/>
      <w:r>
        <w:rPr>
          <w:sz w:val="24"/>
          <w:szCs w:val="24"/>
        </w:rPr>
        <w:t>Davids</w:t>
      </w:r>
      <w:proofErr w:type="spellEnd"/>
      <w:r>
        <w:rPr>
          <w:sz w:val="24"/>
          <w:szCs w:val="24"/>
        </w:rPr>
        <w:t xml:space="preserve"> twice) </w:t>
      </w:r>
      <w:r>
        <w:rPr>
          <w:sz w:val="24"/>
          <w:szCs w:val="24"/>
        </w:rPr>
        <w:lastRenderedPageBreak/>
        <w:t xml:space="preserve">would have played a role in the acceptance of his work by the church and the promotion of it among the nobility. Yet, his work still needed to resonate to a local and non-literate population to maintain the status of the cult and to attract pilgrims.  It may have been primarily a work of propaganda to elevate the cult and the Cathedral, but it was also a spiritual guide for the community.  </w:t>
      </w:r>
    </w:p>
    <w:p w:rsidR="0002151D" w:rsidRDefault="0002151D" w:rsidP="0002151D">
      <w:pPr>
        <w:rPr>
          <w:sz w:val="24"/>
          <w:szCs w:val="24"/>
        </w:rPr>
      </w:pPr>
      <w:r>
        <w:rPr>
          <w:sz w:val="24"/>
          <w:szCs w:val="24"/>
        </w:rPr>
        <w:t xml:space="preserve"> There would have been two main audiences listening to The Life of Saint David: the local congregation on his feast day on March 1rst and the community of monks in the monasteries. By including the local landscape and miracle stories common with other saints in the work, St David’s own miracles take on a type of “spiritual truthfulness”</w:t>
      </w:r>
      <w:r w:rsidRPr="00D50D56">
        <w:rPr>
          <w:sz w:val="24"/>
          <w:szCs w:val="24"/>
        </w:rPr>
        <w:t xml:space="preserve"> </w:t>
      </w:r>
      <w:r>
        <w:rPr>
          <w:sz w:val="24"/>
          <w:szCs w:val="24"/>
        </w:rPr>
        <w:t>brought about by repetition and collective belief.</w:t>
      </w:r>
      <w:r>
        <w:rPr>
          <w:rStyle w:val="FootnoteReference"/>
          <w:sz w:val="24"/>
          <w:szCs w:val="24"/>
        </w:rPr>
        <w:footnoteReference w:id="6"/>
      </w:r>
      <w:r>
        <w:rPr>
          <w:sz w:val="24"/>
          <w:szCs w:val="24"/>
        </w:rPr>
        <w:t xml:space="preserve"> </w:t>
      </w:r>
      <w:proofErr w:type="spellStart"/>
      <w:r>
        <w:rPr>
          <w:sz w:val="24"/>
          <w:szCs w:val="24"/>
        </w:rPr>
        <w:t>Rhygyfarch</w:t>
      </w:r>
      <w:proofErr w:type="spellEnd"/>
      <w:r>
        <w:rPr>
          <w:sz w:val="24"/>
          <w:szCs w:val="24"/>
        </w:rPr>
        <w:t xml:space="preserve"> deliberately constructed David’s own miracles to follow familiar themes in other saint’s lives, but particularly the life of Jesus Christ. A very popular miracle performed in the Middle Ages was the miracle of child resurrection from drowning.</w:t>
      </w:r>
      <w:r>
        <w:rPr>
          <w:rStyle w:val="FootnoteReference"/>
          <w:sz w:val="24"/>
          <w:szCs w:val="24"/>
        </w:rPr>
        <w:footnoteReference w:id="7"/>
      </w:r>
      <w:r>
        <w:rPr>
          <w:sz w:val="24"/>
          <w:szCs w:val="24"/>
        </w:rPr>
        <w:t xml:space="preserve"> On his way to the synod in </w:t>
      </w:r>
      <w:proofErr w:type="spellStart"/>
      <w:r>
        <w:rPr>
          <w:sz w:val="24"/>
          <w:szCs w:val="24"/>
        </w:rPr>
        <w:t>Brefi</w:t>
      </w:r>
      <w:proofErr w:type="spellEnd"/>
      <w:r>
        <w:rPr>
          <w:sz w:val="24"/>
          <w:szCs w:val="24"/>
        </w:rPr>
        <w:t>, David raises Magnus, a recently drowned boy. Other similarities to Jesus in D</w:t>
      </w:r>
      <w:r w:rsidR="00944FAD">
        <w:rPr>
          <w:sz w:val="24"/>
          <w:szCs w:val="24"/>
        </w:rPr>
        <w:t xml:space="preserve">avid’s </w:t>
      </w:r>
      <w:r w:rsidR="00944FAD">
        <w:rPr>
          <w:i/>
          <w:sz w:val="24"/>
          <w:szCs w:val="24"/>
        </w:rPr>
        <w:t>Life</w:t>
      </w:r>
      <w:r>
        <w:rPr>
          <w:sz w:val="24"/>
          <w:szCs w:val="24"/>
        </w:rPr>
        <w:t xml:space="preserve"> include his prophesied birth, the three gifts given in preparation of his birth, and turning water into wine. The most important element was his genealogy. </w:t>
      </w:r>
      <w:proofErr w:type="spellStart"/>
      <w:r>
        <w:rPr>
          <w:sz w:val="24"/>
          <w:szCs w:val="24"/>
        </w:rPr>
        <w:t>Rhygyfarch</w:t>
      </w:r>
      <w:proofErr w:type="spellEnd"/>
      <w:r>
        <w:rPr>
          <w:sz w:val="24"/>
          <w:szCs w:val="24"/>
        </w:rPr>
        <w:t xml:space="preserve"> traced David’s relatives back to the son of the Virgin Mary’s sister and gave him a direct connection to the holy family.  </w:t>
      </w:r>
    </w:p>
    <w:p w:rsidR="0002151D" w:rsidRDefault="0002151D" w:rsidP="0002151D">
      <w:pPr>
        <w:rPr>
          <w:sz w:val="24"/>
          <w:szCs w:val="24"/>
        </w:rPr>
      </w:pPr>
      <w:r>
        <w:rPr>
          <w:sz w:val="24"/>
          <w:szCs w:val="24"/>
        </w:rPr>
        <w:t xml:space="preserve">David shared many similarities with other famous Saints. Like St Benedict, he founded twelve monasteries, experienced temptation by women (sent by </w:t>
      </w:r>
      <w:proofErr w:type="spellStart"/>
      <w:r>
        <w:rPr>
          <w:sz w:val="24"/>
          <w:szCs w:val="24"/>
        </w:rPr>
        <w:t>Baia’s</w:t>
      </w:r>
      <w:proofErr w:type="spellEnd"/>
      <w:r>
        <w:rPr>
          <w:sz w:val="24"/>
          <w:szCs w:val="24"/>
        </w:rPr>
        <w:t xml:space="preserve"> wife), attempts on his life (poisoned bread), but most significantly, David established a strict discipline within his religious community</w:t>
      </w:r>
      <w:r w:rsidRPr="00F37BF3">
        <w:rPr>
          <w:sz w:val="24"/>
          <w:szCs w:val="24"/>
        </w:rPr>
        <w:t xml:space="preserve"> </w:t>
      </w:r>
      <w:r w:rsidR="00050BBF">
        <w:rPr>
          <w:sz w:val="24"/>
          <w:szCs w:val="24"/>
        </w:rPr>
        <w:t>which had</w:t>
      </w:r>
      <w:r>
        <w:rPr>
          <w:sz w:val="24"/>
          <w:szCs w:val="24"/>
        </w:rPr>
        <w:t xml:space="preserve"> similarities to the application of Saint Benedict’s Rule, except far more austere.</w:t>
      </w:r>
      <w:r>
        <w:rPr>
          <w:rStyle w:val="FootnoteReference"/>
          <w:sz w:val="24"/>
          <w:szCs w:val="24"/>
        </w:rPr>
        <w:footnoteReference w:id="8"/>
      </w:r>
      <w:r>
        <w:rPr>
          <w:sz w:val="24"/>
          <w:szCs w:val="24"/>
        </w:rPr>
        <w:t xml:space="preserve">A substantial amount of space, chapters 20-33, </w:t>
      </w:r>
      <w:proofErr w:type="gramStart"/>
      <w:r>
        <w:rPr>
          <w:sz w:val="24"/>
          <w:szCs w:val="24"/>
        </w:rPr>
        <w:t>was dedicated</w:t>
      </w:r>
      <w:proofErr w:type="gramEnd"/>
      <w:r>
        <w:rPr>
          <w:sz w:val="24"/>
          <w:szCs w:val="24"/>
        </w:rPr>
        <w:t xml:space="preserve"> to detailing the extreme ascetic life David and his monastic community followed. </w:t>
      </w:r>
      <w:proofErr w:type="spellStart"/>
      <w:r>
        <w:rPr>
          <w:sz w:val="24"/>
          <w:szCs w:val="24"/>
        </w:rPr>
        <w:t>Rhygyfarch’s</w:t>
      </w:r>
      <w:proofErr w:type="spellEnd"/>
      <w:r>
        <w:rPr>
          <w:sz w:val="24"/>
          <w:szCs w:val="24"/>
        </w:rPr>
        <w:t xml:space="preserve"> motivation for emphasizing the austerity measures in his monastery might have come in wake of Pope Gregory VII reform’s against nepotism, cleric marriage, and </w:t>
      </w:r>
      <w:proofErr w:type="spellStart"/>
      <w:r>
        <w:rPr>
          <w:sz w:val="24"/>
          <w:szCs w:val="24"/>
        </w:rPr>
        <w:t>Simonism</w:t>
      </w:r>
      <w:proofErr w:type="spellEnd"/>
      <w:r>
        <w:rPr>
          <w:sz w:val="24"/>
          <w:szCs w:val="24"/>
        </w:rPr>
        <w:t xml:space="preserve">, which all existed in the Celtic church at the time. Perhaps </w:t>
      </w:r>
      <w:proofErr w:type="spellStart"/>
      <w:r>
        <w:rPr>
          <w:sz w:val="24"/>
          <w:szCs w:val="24"/>
        </w:rPr>
        <w:t>Rhygyfarch</w:t>
      </w:r>
      <w:proofErr w:type="spellEnd"/>
      <w:r>
        <w:rPr>
          <w:sz w:val="24"/>
          <w:szCs w:val="24"/>
        </w:rPr>
        <w:t xml:space="preserve"> was trying to deflect this image of the Celtic church and focus on its long held reputation for austerity instead. </w:t>
      </w:r>
    </w:p>
    <w:p w:rsidR="0002151D" w:rsidRDefault="0002151D" w:rsidP="0002151D">
      <w:pPr>
        <w:rPr>
          <w:sz w:val="24"/>
          <w:szCs w:val="24"/>
        </w:rPr>
      </w:pPr>
      <w:r>
        <w:rPr>
          <w:sz w:val="24"/>
          <w:szCs w:val="24"/>
        </w:rPr>
        <w:t xml:space="preserve"> Another major theme in the work is the great number of references to Irish Saints and their stories. </w:t>
      </w:r>
      <w:r w:rsidR="00050BBF">
        <w:rPr>
          <w:sz w:val="24"/>
          <w:szCs w:val="24"/>
        </w:rPr>
        <w:t>It could</w:t>
      </w:r>
      <w:r>
        <w:rPr>
          <w:sz w:val="24"/>
          <w:szCs w:val="24"/>
        </w:rPr>
        <w:t xml:space="preserve"> reflect the presence of a large Irish settlement in the region of Dyfed, as the local chieftain, </w:t>
      </w:r>
      <w:proofErr w:type="spellStart"/>
      <w:r>
        <w:rPr>
          <w:sz w:val="24"/>
          <w:szCs w:val="24"/>
        </w:rPr>
        <w:t>Baia</w:t>
      </w:r>
      <w:proofErr w:type="spellEnd"/>
      <w:r>
        <w:rPr>
          <w:sz w:val="24"/>
          <w:szCs w:val="24"/>
        </w:rPr>
        <w:t>, was an Irishman.</w:t>
      </w:r>
      <w:r>
        <w:rPr>
          <w:rStyle w:val="FootnoteReference"/>
          <w:sz w:val="24"/>
          <w:szCs w:val="24"/>
        </w:rPr>
        <w:footnoteReference w:id="9"/>
      </w:r>
      <w:r>
        <w:rPr>
          <w:sz w:val="24"/>
          <w:szCs w:val="24"/>
        </w:rPr>
        <w:t xml:space="preserve"> David’s interaction with the Irish Saints is one of an authority figure rather than an equal. An important ecclesiastical relationship definitely existed between Wales and Ireland, and these references could be an indicator of Rhys attempt to raise David’s status within the greater Celtic church by elevating him above the Irish saints. It is </w:t>
      </w:r>
      <w:r>
        <w:rPr>
          <w:sz w:val="24"/>
          <w:szCs w:val="24"/>
        </w:rPr>
        <w:lastRenderedPageBreak/>
        <w:t xml:space="preserve">interesting to note that in the earlier poem, </w:t>
      </w:r>
      <w:proofErr w:type="spellStart"/>
      <w:r>
        <w:rPr>
          <w:sz w:val="24"/>
          <w:szCs w:val="24"/>
        </w:rPr>
        <w:t>Arymes</w:t>
      </w:r>
      <w:proofErr w:type="spellEnd"/>
      <w:r>
        <w:rPr>
          <w:sz w:val="24"/>
          <w:szCs w:val="24"/>
        </w:rPr>
        <w:t xml:space="preserve"> </w:t>
      </w:r>
      <w:proofErr w:type="spellStart"/>
      <w:r>
        <w:rPr>
          <w:sz w:val="24"/>
          <w:szCs w:val="24"/>
        </w:rPr>
        <w:t>Prydein</w:t>
      </w:r>
      <w:proofErr w:type="spellEnd"/>
      <w:r>
        <w:rPr>
          <w:sz w:val="24"/>
          <w:szCs w:val="24"/>
        </w:rPr>
        <w:t xml:space="preserve"> </w:t>
      </w:r>
      <w:proofErr w:type="spellStart"/>
      <w:r>
        <w:rPr>
          <w:sz w:val="24"/>
          <w:szCs w:val="24"/>
        </w:rPr>
        <w:t>Vawr</w:t>
      </w:r>
      <w:proofErr w:type="spellEnd"/>
      <w:r>
        <w:rPr>
          <w:sz w:val="24"/>
          <w:szCs w:val="24"/>
        </w:rPr>
        <w:t>, Saint David is leading the Irish</w:t>
      </w:r>
      <w:r w:rsidRPr="0051321A">
        <w:rPr>
          <w:sz w:val="24"/>
          <w:szCs w:val="24"/>
        </w:rPr>
        <w:t xml:space="preserve"> </w:t>
      </w:r>
      <w:r>
        <w:rPr>
          <w:sz w:val="24"/>
          <w:szCs w:val="24"/>
        </w:rPr>
        <w:t>as well as the Welsh against the Anglo Saxons; perhaps there was an earlier presumption that Saint David possessed power over the Irish, at least from a Welsh perspective. In the first chapter of his Life, David’s birth is prophesized thirty years before he was born to both his father and St. Patrick. In the prophecy, the angel of God defines David’s sanctity, like Christ, and immediately Saint David is elevated above St Patrick, who established his own sanctity through transformation during his lifetime, not before he was born. Even David’s own humbleness outdoes</w:t>
      </w:r>
      <w:r w:rsidRPr="006B45F7">
        <w:rPr>
          <w:sz w:val="24"/>
          <w:szCs w:val="24"/>
        </w:rPr>
        <w:t xml:space="preserve"> </w:t>
      </w:r>
      <w:r>
        <w:rPr>
          <w:sz w:val="24"/>
          <w:szCs w:val="24"/>
        </w:rPr>
        <w:t>Patrick’s famous reputation for being humble when Patrick takes offense for God choosing David,</w:t>
      </w:r>
      <w:r w:rsidRPr="004C07A0">
        <w:rPr>
          <w:sz w:val="24"/>
          <w:szCs w:val="24"/>
        </w:rPr>
        <w:t xml:space="preserve"> </w:t>
      </w:r>
      <w:r>
        <w:rPr>
          <w:sz w:val="24"/>
          <w:szCs w:val="24"/>
        </w:rPr>
        <w:t xml:space="preserve">who was to be born thirty years later, as the saint to occupy </w:t>
      </w:r>
      <w:proofErr w:type="spellStart"/>
      <w:r>
        <w:rPr>
          <w:i/>
          <w:sz w:val="24"/>
          <w:szCs w:val="24"/>
        </w:rPr>
        <w:t>Vallis</w:t>
      </w:r>
      <w:proofErr w:type="spellEnd"/>
      <w:r>
        <w:rPr>
          <w:i/>
          <w:sz w:val="24"/>
          <w:szCs w:val="24"/>
        </w:rPr>
        <w:t xml:space="preserve"> Rosina</w:t>
      </w:r>
      <w:r>
        <w:rPr>
          <w:sz w:val="24"/>
          <w:szCs w:val="24"/>
        </w:rPr>
        <w:t>.</w:t>
      </w:r>
    </w:p>
    <w:p w:rsidR="0002151D" w:rsidRDefault="0002151D" w:rsidP="0002151D">
      <w:pPr>
        <w:rPr>
          <w:sz w:val="24"/>
          <w:szCs w:val="24"/>
        </w:rPr>
      </w:pPr>
      <w:r>
        <w:rPr>
          <w:sz w:val="24"/>
          <w:szCs w:val="24"/>
        </w:rPr>
        <w:t xml:space="preserve"> David exerts great influence over the Irish saints, like St Aidan of Ferns, who was one of his earliest disciples. He sent others on journeys to Ireland, like </w:t>
      </w:r>
      <w:proofErr w:type="spellStart"/>
      <w:r>
        <w:rPr>
          <w:sz w:val="24"/>
          <w:szCs w:val="24"/>
        </w:rPr>
        <w:t>Modomnoc</w:t>
      </w:r>
      <w:proofErr w:type="spellEnd"/>
      <w:r>
        <w:rPr>
          <w:sz w:val="24"/>
          <w:szCs w:val="24"/>
        </w:rPr>
        <w:t xml:space="preserve">, who brought bees to Ireland on behalf of St. David. Bees have a strong association with Saint David, as honeycomb was one of the three gifts the prophetic angel told his father to gather: “The honeycomb proclaims his wisdom” (C1). Thus, the text hints that David gave the gift of wisdom to Ireland, a place that already possessed a reputation for learning. </w:t>
      </w:r>
    </w:p>
    <w:p w:rsidR="0002151D" w:rsidRDefault="0002151D" w:rsidP="0002151D">
      <w:pPr>
        <w:rPr>
          <w:sz w:val="24"/>
          <w:szCs w:val="24"/>
        </w:rPr>
      </w:pPr>
      <w:r>
        <w:rPr>
          <w:sz w:val="24"/>
          <w:szCs w:val="24"/>
        </w:rPr>
        <w:t>The emphasis put on the Irish saints in t</w:t>
      </w:r>
      <w:r w:rsidRPr="00F62748">
        <w:rPr>
          <w:sz w:val="24"/>
          <w:szCs w:val="24"/>
        </w:rPr>
        <w:t>he</w:t>
      </w:r>
      <w:r>
        <w:rPr>
          <w:i/>
          <w:sz w:val="24"/>
          <w:szCs w:val="24"/>
        </w:rPr>
        <w:t xml:space="preserve"> Life</w:t>
      </w:r>
      <w:r>
        <w:rPr>
          <w:sz w:val="24"/>
          <w:szCs w:val="24"/>
        </w:rPr>
        <w:t xml:space="preserve"> is substantial, although Saint David never ventures to Ireland himself. He exerts significant influence over the saints in Ireland from his base in Wales. </w:t>
      </w:r>
      <w:proofErr w:type="spellStart"/>
      <w:r>
        <w:rPr>
          <w:sz w:val="24"/>
          <w:szCs w:val="24"/>
        </w:rPr>
        <w:t>Mynyw</w:t>
      </w:r>
      <w:proofErr w:type="spellEnd"/>
      <w:r>
        <w:rPr>
          <w:sz w:val="24"/>
          <w:szCs w:val="24"/>
        </w:rPr>
        <w:t>, at the very tip of the Dyfed peninsula, physically might have been on the remote eastern edge</w:t>
      </w:r>
      <w:r w:rsidR="00382453">
        <w:rPr>
          <w:sz w:val="24"/>
          <w:szCs w:val="24"/>
        </w:rPr>
        <w:t xml:space="preserve"> of the Christian</w:t>
      </w:r>
      <w:r>
        <w:rPr>
          <w:sz w:val="24"/>
          <w:szCs w:val="24"/>
        </w:rPr>
        <w:t xml:space="preserve"> world,</w:t>
      </w:r>
      <w:r w:rsidRPr="00DF31AE">
        <w:rPr>
          <w:sz w:val="24"/>
          <w:szCs w:val="24"/>
        </w:rPr>
        <w:t xml:space="preserve"> </w:t>
      </w:r>
      <w:r>
        <w:rPr>
          <w:sz w:val="24"/>
          <w:szCs w:val="24"/>
        </w:rPr>
        <w:t>but when aligned westward with Ireland, it was placed geographically at the center of the Celtic World, with St David at its head.</w:t>
      </w:r>
    </w:p>
    <w:p w:rsidR="0002151D" w:rsidRDefault="0002151D" w:rsidP="0002151D">
      <w:pPr>
        <w:rPr>
          <w:sz w:val="24"/>
          <w:szCs w:val="24"/>
        </w:rPr>
      </w:pPr>
      <w:r>
        <w:rPr>
          <w:sz w:val="24"/>
          <w:szCs w:val="24"/>
        </w:rPr>
        <w:t xml:space="preserve">The most important emphasis on a geographic area in the </w:t>
      </w:r>
      <w:r>
        <w:rPr>
          <w:i/>
          <w:sz w:val="24"/>
          <w:szCs w:val="24"/>
        </w:rPr>
        <w:t>Life</w:t>
      </w:r>
      <w:r>
        <w:rPr>
          <w:sz w:val="24"/>
          <w:szCs w:val="24"/>
        </w:rPr>
        <w:t xml:space="preserve"> was the placement of St David’s monastery-</w:t>
      </w:r>
      <w:proofErr w:type="spellStart"/>
      <w:r>
        <w:rPr>
          <w:i/>
          <w:sz w:val="24"/>
          <w:szCs w:val="24"/>
        </w:rPr>
        <w:t>Vallis</w:t>
      </w:r>
      <w:proofErr w:type="spellEnd"/>
      <w:r>
        <w:rPr>
          <w:i/>
          <w:sz w:val="24"/>
          <w:szCs w:val="24"/>
        </w:rPr>
        <w:t xml:space="preserve"> Rosina</w:t>
      </w:r>
      <w:r>
        <w:rPr>
          <w:sz w:val="24"/>
          <w:szCs w:val="24"/>
        </w:rPr>
        <w:t xml:space="preserve"> in </w:t>
      </w:r>
      <w:proofErr w:type="spellStart"/>
      <w:r>
        <w:rPr>
          <w:sz w:val="24"/>
          <w:szCs w:val="24"/>
        </w:rPr>
        <w:t>Mynyw</w:t>
      </w:r>
      <w:proofErr w:type="spellEnd"/>
      <w:r>
        <w:rPr>
          <w:sz w:val="24"/>
          <w:szCs w:val="24"/>
        </w:rPr>
        <w:t xml:space="preserve"> (</w:t>
      </w:r>
      <w:proofErr w:type="spellStart"/>
      <w:r>
        <w:rPr>
          <w:sz w:val="24"/>
          <w:szCs w:val="24"/>
        </w:rPr>
        <w:t>Menevia</w:t>
      </w:r>
      <w:proofErr w:type="spellEnd"/>
      <w:r>
        <w:rPr>
          <w:sz w:val="24"/>
          <w:szCs w:val="24"/>
        </w:rPr>
        <w:t xml:space="preserve">). The “sacredness” of the land that the monastery sat upon was paramount to David moving there. An angel from God told David to go to </w:t>
      </w:r>
      <w:proofErr w:type="spellStart"/>
      <w:r>
        <w:rPr>
          <w:i/>
          <w:sz w:val="24"/>
          <w:szCs w:val="24"/>
        </w:rPr>
        <w:t>Vallis</w:t>
      </w:r>
      <w:proofErr w:type="spellEnd"/>
      <w:r>
        <w:rPr>
          <w:i/>
          <w:sz w:val="24"/>
          <w:szCs w:val="24"/>
        </w:rPr>
        <w:t xml:space="preserve"> Rosina</w:t>
      </w:r>
      <w:r>
        <w:rPr>
          <w:sz w:val="24"/>
          <w:szCs w:val="24"/>
        </w:rPr>
        <w:t xml:space="preserve">. </w:t>
      </w:r>
    </w:p>
    <w:p w:rsidR="0002151D" w:rsidRDefault="0002151D" w:rsidP="0002151D">
      <w:pPr>
        <w:rPr>
          <w:sz w:val="24"/>
          <w:szCs w:val="24"/>
        </w:rPr>
      </w:pPr>
      <w:r>
        <w:rPr>
          <w:sz w:val="24"/>
          <w:szCs w:val="24"/>
        </w:rPr>
        <w:t>“Instead, he (the angel) showed me a place from where few will go to perdition; for everyone who is buried in good faith in the graveyard of that place will obtain forgiveness.” (C15)</w:t>
      </w:r>
    </w:p>
    <w:p w:rsidR="0002151D" w:rsidRDefault="0002151D" w:rsidP="0002151D">
      <w:pPr>
        <w:rPr>
          <w:sz w:val="24"/>
          <w:szCs w:val="24"/>
        </w:rPr>
      </w:pPr>
      <w:r>
        <w:rPr>
          <w:sz w:val="24"/>
          <w:szCs w:val="24"/>
        </w:rPr>
        <w:t xml:space="preserve">The land in </w:t>
      </w:r>
      <w:proofErr w:type="spellStart"/>
      <w:r>
        <w:rPr>
          <w:sz w:val="24"/>
          <w:szCs w:val="24"/>
        </w:rPr>
        <w:t>Vallis</w:t>
      </w:r>
      <w:proofErr w:type="spellEnd"/>
      <w:r>
        <w:rPr>
          <w:sz w:val="24"/>
          <w:szCs w:val="24"/>
        </w:rPr>
        <w:t xml:space="preserve"> </w:t>
      </w:r>
      <w:proofErr w:type="spellStart"/>
      <w:r>
        <w:rPr>
          <w:sz w:val="24"/>
          <w:szCs w:val="24"/>
        </w:rPr>
        <w:t>Rosino</w:t>
      </w:r>
      <w:proofErr w:type="spellEnd"/>
      <w:r>
        <w:rPr>
          <w:sz w:val="24"/>
          <w:szCs w:val="24"/>
        </w:rPr>
        <w:t xml:space="preserve"> was sacred. It was the land that possessed the ability to forgive the sins of the people buried in it before David ever stepped foot on it. </w:t>
      </w:r>
      <w:proofErr w:type="spellStart"/>
      <w:proofErr w:type="gramStart"/>
      <w:r>
        <w:rPr>
          <w:sz w:val="24"/>
          <w:szCs w:val="24"/>
        </w:rPr>
        <w:t>Rhygyfarch</w:t>
      </w:r>
      <w:proofErr w:type="spellEnd"/>
      <w:r>
        <w:rPr>
          <w:sz w:val="24"/>
          <w:szCs w:val="24"/>
        </w:rPr>
        <w:t>,</w:t>
      </w:r>
      <w:proofErr w:type="gramEnd"/>
      <w:r>
        <w:rPr>
          <w:sz w:val="24"/>
          <w:szCs w:val="24"/>
        </w:rPr>
        <w:t xml:space="preserve"> thus establishes the sanctity of the land where the Cathedral sits. In reality, it was a remote and dangerous place, yet </w:t>
      </w:r>
      <w:proofErr w:type="spellStart"/>
      <w:r>
        <w:rPr>
          <w:sz w:val="24"/>
          <w:szCs w:val="24"/>
        </w:rPr>
        <w:t>Rhygyfarch</w:t>
      </w:r>
      <w:proofErr w:type="spellEnd"/>
      <w:r>
        <w:rPr>
          <w:sz w:val="24"/>
          <w:szCs w:val="24"/>
        </w:rPr>
        <w:t xml:space="preserve"> gives the geographic area of St David’s as much spiritually importance as David, himself. The </w:t>
      </w:r>
      <w:r>
        <w:rPr>
          <w:i/>
          <w:sz w:val="24"/>
          <w:szCs w:val="24"/>
        </w:rPr>
        <w:t>Life</w:t>
      </w:r>
      <w:r>
        <w:rPr>
          <w:sz w:val="24"/>
          <w:szCs w:val="24"/>
        </w:rPr>
        <w:t xml:space="preserve"> propagated the idea that the topography of the land in which David lived and practiced his faith </w:t>
      </w:r>
      <w:proofErr w:type="gramStart"/>
      <w:r>
        <w:rPr>
          <w:sz w:val="24"/>
          <w:szCs w:val="24"/>
        </w:rPr>
        <w:t>was embedded</w:t>
      </w:r>
      <w:proofErr w:type="gramEnd"/>
      <w:r>
        <w:rPr>
          <w:sz w:val="24"/>
          <w:szCs w:val="24"/>
        </w:rPr>
        <w:t xml:space="preserve"> with his spirit and long after his death, it remained sacred. The imprint of his cult onto the topography could possibly be the reason behind the continued rise of David’s cult in the 12</w:t>
      </w:r>
      <w:r w:rsidRPr="0011762A">
        <w:rPr>
          <w:sz w:val="24"/>
          <w:szCs w:val="24"/>
          <w:vertAlign w:val="superscript"/>
        </w:rPr>
        <w:t>th</w:t>
      </w:r>
      <w:r>
        <w:rPr>
          <w:sz w:val="24"/>
          <w:szCs w:val="24"/>
        </w:rPr>
        <w:t xml:space="preserve"> century, not only among the Welsh, but</w:t>
      </w:r>
      <w:r w:rsidRPr="00E619BB">
        <w:rPr>
          <w:sz w:val="24"/>
          <w:szCs w:val="24"/>
        </w:rPr>
        <w:t xml:space="preserve"> </w:t>
      </w:r>
      <w:r>
        <w:rPr>
          <w:sz w:val="24"/>
          <w:szCs w:val="24"/>
        </w:rPr>
        <w:t>unintentionally</w:t>
      </w:r>
      <w:r w:rsidR="00382453">
        <w:rPr>
          <w:sz w:val="24"/>
          <w:szCs w:val="24"/>
        </w:rPr>
        <w:t>,</w:t>
      </w:r>
      <w:r>
        <w:rPr>
          <w:sz w:val="24"/>
          <w:szCs w:val="24"/>
        </w:rPr>
        <w:t xml:space="preserve"> among the new Norman settlers in Wales- the very ones Rhys complained about in his </w:t>
      </w:r>
      <w:proofErr w:type="gramStart"/>
      <w:r>
        <w:rPr>
          <w:i/>
          <w:sz w:val="24"/>
          <w:szCs w:val="24"/>
        </w:rPr>
        <w:t>Lament</w:t>
      </w:r>
      <w:r>
        <w:rPr>
          <w:sz w:val="24"/>
          <w:szCs w:val="24"/>
        </w:rPr>
        <w:t xml:space="preserve"> .</w:t>
      </w:r>
      <w:proofErr w:type="gramEnd"/>
      <w:r>
        <w:rPr>
          <w:rStyle w:val="FootnoteReference"/>
          <w:sz w:val="24"/>
          <w:szCs w:val="24"/>
        </w:rPr>
        <w:footnoteReference w:id="10"/>
      </w:r>
      <w:r>
        <w:rPr>
          <w:sz w:val="24"/>
          <w:szCs w:val="24"/>
        </w:rPr>
        <w:t xml:space="preserve"> The </w:t>
      </w:r>
      <w:r>
        <w:rPr>
          <w:sz w:val="24"/>
          <w:szCs w:val="24"/>
        </w:rPr>
        <w:lastRenderedPageBreak/>
        <w:t>new Norman elite in Southern Wales adopted Saint David as their own as they pushed out the native Welsh and laid claim to the landscape infused with his spirit.</w:t>
      </w:r>
    </w:p>
    <w:p w:rsidR="0002151D" w:rsidRDefault="0002151D" w:rsidP="0002151D">
      <w:pPr>
        <w:rPr>
          <w:sz w:val="24"/>
          <w:szCs w:val="24"/>
        </w:rPr>
      </w:pPr>
      <w:r>
        <w:t xml:space="preserve">There were a few versions of St David’s life produced after </w:t>
      </w:r>
      <w:proofErr w:type="spellStart"/>
      <w:r>
        <w:t>Rhygyfarch’s</w:t>
      </w:r>
      <w:proofErr w:type="spellEnd"/>
      <w:r>
        <w:t xml:space="preserve"> Life. The Nero-Digby, produced around 1120, </w:t>
      </w:r>
      <w:r>
        <w:rPr>
          <w:sz w:val="24"/>
          <w:szCs w:val="24"/>
        </w:rPr>
        <w:t>corresponds with the canonization of David as a saint in Rome</w:t>
      </w:r>
      <w:r>
        <w:t xml:space="preserve">. </w:t>
      </w:r>
      <w:r>
        <w:rPr>
          <w:sz w:val="24"/>
          <w:szCs w:val="24"/>
        </w:rPr>
        <w:t xml:space="preserve">The Nero- Digby was a shorter version of David’s Life, with many of the Irish elements and some of the local geographic references missing.  </w:t>
      </w:r>
      <w:r>
        <w:t xml:space="preserve">Bishop Bernard, appointed to Saint David’s in 1115 by King Henry I, tirelessly campaigned for an archbishopric seat to </w:t>
      </w:r>
      <w:proofErr w:type="gramStart"/>
      <w:r>
        <w:t>be established</w:t>
      </w:r>
      <w:proofErr w:type="gramEnd"/>
      <w:r>
        <w:t xml:space="preserve"> there. </w:t>
      </w:r>
      <w:r>
        <w:rPr>
          <w:sz w:val="24"/>
          <w:szCs w:val="24"/>
        </w:rPr>
        <w:t>Although Bishop Bernard was Norman, his ambition was to create a Metropolitan archbishopric in St David’s, in hopes of keeping Canterbury out of the Welsh church, but</w:t>
      </w:r>
      <w:r>
        <w:t xml:space="preserve"> an additional </w:t>
      </w:r>
      <w:r>
        <w:rPr>
          <w:sz w:val="24"/>
          <w:szCs w:val="24"/>
        </w:rPr>
        <w:t>incentive for producing a</w:t>
      </w:r>
      <w:r>
        <w:t xml:space="preserve"> new </w:t>
      </w:r>
      <w:r>
        <w:rPr>
          <w:i/>
        </w:rPr>
        <w:t xml:space="preserve">Life </w:t>
      </w:r>
      <w:r>
        <w:t xml:space="preserve">included competition within Wales </w:t>
      </w:r>
      <w:r>
        <w:rPr>
          <w:sz w:val="24"/>
          <w:szCs w:val="24"/>
        </w:rPr>
        <w:t>for archdiocese status</w:t>
      </w:r>
      <w:r>
        <w:t xml:space="preserve"> with Bishop Urban from </w:t>
      </w:r>
      <w:proofErr w:type="spellStart"/>
      <w:r>
        <w:rPr>
          <w:sz w:val="24"/>
          <w:szCs w:val="24"/>
        </w:rPr>
        <w:t>Llandaff</w:t>
      </w:r>
      <w:proofErr w:type="spellEnd"/>
      <w:r>
        <w:t>. Due to this internal rivalry, Bernard sought support and received support from Bangor.</w:t>
      </w:r>
      <w:r>
        <w:rPr>
          <w:sz w:val="24"/>
          <w:szCs w:val="24"/>
        </w:rPr>
        <w:t xml:space="preserve"> This support from Northern Wales could well be the reason that local geographic references </w:t>
      </w:r>
      <w:proofErr w:type="gramStart"/>
      <w:r>
        <w:rPr>
          <w:sz w:val="24"/>
          <w:szCs w:val="24"/>
        </w:rPr>
        <w:t>were omitted</w:t>
      </w:r>
      <w:proofErr w:type="gramEnd"/>
      <w:r>
        <w:rPr>
          <w:sz w:val="24"/>
          <w:szCs w:val="24"/>
        </w:rPr>
        <w:t xml:space="preserve"> in the Nero-Digby version, making it more inclusive of the rest of Wales than just focusing on southern Wales.</w:t>
      </w:r>
      <w:r>
        <w:rPr>
          <w:rStyle w:val="FootnoteReference"/>
          <w:sz w:val="24"/>
          <w:szCs w:val="24"/>
        </w:rPr>
        <w:footnoteReference w:id="11"/>
      </w:r>
      <w:r>
        <w:rPr>
          <w:sz w:val="24"/>
          <w:szCs w:val="24"/>
        </w:rPr>
        <w:t xml:space="preserve"> </w:t>
      </w:r>
      <w:r>
        <w:t xml:space="preserve">It was during his tenure that Pope </w:t>
      </w:r>
      <w:proofErr w:type="spellStart"/>
      <w:r>
        <w:t>Calixus</w:t>
      </w:r>
      <w:proofErr w:type="spellEnd"/>
      <w:r>
        <w:t xml:space="preserve"> 11 ordained that two pilgrimages to St David’s was equivalent to one to Rome</w:t>
      </w:r>
      <w:r>
        <w:rPr>
          <w:sz w:val="24"/>
          <w:szCs w:val="24"/>
        </w:rPr>
        <w:t xml:space="preserve">. In 1120, David </w:t>
      </w:r>
      <w:proofErr w:type="gramStart"/>
      <w:r>
        <w:rPr>
          <w:sz w:val="24"/>
          <w:szCs w:val="24"/>
        </w:rPr>
        <w:t>was canonized</w:t>
      </w:r>
      <w:proofErr w:type="gramEnd"/>
      <w:r>
        <w:rPr>
          <w:sz w:val="24"/>
          <w:szCs w:val="24"/>
        </w:rPr>
        <w:t xml:space="preserve"> as a saint in Rome, </w:t>
      </w:r>
      <w:r w:rsidR="00170FCE">
        <w:rPr>
          <w:sz w:val="24"/>
          <w:szCs w:val="24"/>
        </w:rPr>
        <w:t xml:space="preserve">and </w:t>
      </w:r>
      <w:r>
        <w:rPr>
          <w:sz w:val="24"/>
          <w:szCs w:val="24"/>
        </w:rPr>
        <w:t>was declared patron saint of Wales in the same year. Nero-Digby was targeting a wider audience, one that was more internally Welsh, less Celtic and more focused on the support of Rome.</w:t>
      </w:r>
    </w:p>
    <w:p w:rsidR="0002151D" w:rsidRDefault="0002151D" w:rsidP="0002151D">
      <w:pPr>
        <w:rPr>
          <w:sz w:val="24"/>
          <w:szCs w:val="24"/>
        </w:rPr>
      </w:pPr>
      <w:r>
        <w:rPr>
          <w:sz w:val="24"/>
          <w:szCs w:val="24"/>
        </w:rPr>
        <w:t xml:space="preserve">Gerald of Wales (1146-1223) was also promoting the agenda of the archdioceses when he wrote his version of the Life of David. Gerald of Wale’s ambition was to be the archbishop of </w:t>
      </w:r>
      <w:r w:rsidR="00170FCE">
        <w:rPr>
          <w:sz w:val="24"/>
          <w:szCs w:val="24"/>
        </w:rPr>
        <w:t xml:space="preserve">St </w:t>
      </w:r>
      <w:proofErr w:type="spellStart"/>
      <w:r w:rsidR="00170FCE">
        <w:rPr>
          <w:sz w:val="24"/>
          <w:szCs w:val="24"/>
        </w:rPr>
        <w:t>Davids</w:t>
      </w:r>
      <w:proofErr w:type="spellEnd"/>
      <w:r w:rsidR="00170FCE">
        <w:rPr>
          <w:sz w:val="24"/>
          <w:szCs w:val="24"/>
        </w:rPr>
        <w:t>. Henry II offered</w:t>
      </w:r>
      <w:r>
        <w:rPr>
          <w:sz w:val="24"/>
          <w:szCs w:val="24"/>
        </w:rPr>
        <w:t xml:space="preserve"> the bishopric of Bangor and of </w:t>
      </w:r>
      <w:proofErr w:type="spellStart"/>
      <w:r>
        <w:rPr>
          <w:sz w:val="24"/>
          <w:szCs w:val="24"/>
        </w:rPr>
        <w:t>Llandaff</w:t>
      </w:r>
      <w:proofErr w:type="spellEnd"/>
      <w:r>
        <w:rPr>
          <w:sz w:val="24"/>
          <w:szCs w:val="24"/>
        </w:rPr>
        <w:t xml:space="preserve"> to him, yet, he refused both.</w:t>
      </w:r>
      <w:r>
        <w:rPr>
          <w:rStyle w:val="FootnoteReference"/>
          <w:sz w:val="24"/>
          <w:szCs w:val="24"/>
        </w:rPr>
        <w:footnoteReference w:id="12"/>
      </w:r>
      <w:r>
        <w:rPr>
          <w:sz w:val="24"/>
          <w:szCs w:val="24"/>
        </w:rPr>
        <w:t xml:space="preserve"> He only wanted one, and that was St </w:t>
      </w:r>
      <w:proofErr w:type="spellStart"/>
      <w:r>
        <w:rPr>
          <w:sz w:val="24"/>
          <w:szCs w:val="24"/>
        </w:rPr>
        <w:t>Davids</w:t>
      </w:r>
      <w:proofErr w:type="spellEnd"/>
      <w:r>
        <w:rPr>
          <w:sz w:val="24"/>
          <w:szCs w:val="24"/>
        </w:rPr>
        <w:t xml:space="preserve">. Perhaps this personal ambition was the reason His version of the </w:t>
      </w:r>
      <w:r>
        <w:rPr>
          <w:i/>
          <w:sz w:val="24"/>
          <w:szCs w:val="24"/>
        </w:rPr>
        <w:t>Life</w:t>
      </w:r>
      <w:r>
        <w:rPr>
          <w:sz w:val="24"/>
          <w:szCs w:val="24"/>
        </w:rPr>
        <w:t xml:space="preserve"> was similar to Nero-Digby, with the main difference being the addition of topographical details setting St David back within a local southern landscape. Although, like </w:t>
      </w:r>
      <w:proofErr w:type="spellStart"/>
      <w:r>
        <w:rPr>
          <w:sz w:val="24"/>
          <w:szCs w:val="24"/>
        </w:rPr>
        <w:t>Ryhgyfarch</w:t>
      </w:r>
      <w:proofErr w:type="spellEnd"/>
      <w:r>
        <w:rPr>
          <w:sz w:val="24"/>
          <w:szCs w:val="24"/>
        </w:rPr>
        <w:t xml:space="preserve"> and Bishop Bernard before him</w:t>
      </w:r>
      <w:r w:rsidR="00170FCE">
        <w:rPr>
          <w:sz w:val="24"/>
          <w:szCs w:val="24"/>
        </w:rPr>
        <w:t xml:space="preserve">, his main aim was to </w:t>
      </w:r>
      <w:r>
        <w:rPr>
          <w:sz w:val="24"/>
          <w:szCs w:val="24"/>
        </w:rPr>
        <w:t>free</w:t>
      </w:r>
      <w:r w:rsidR="00170FCE">
        <w:rPr>
          <w:sz w:val="24"/>
          <w:szCs w:val="24"/>
        </w:rPr>
        <w:t xml:space="preserve"> the Welsh church</w:t>
      </w:r>
      <w:r>
        <w:rPr>
          <w:sz w:val="24"/>
          <w:szCs w:val="24"/>
        </w:rPr>
        <w:t xml:space="preserve"> from Norman domination.</w:t>
      </w:r>
    </w:p>
    <w:p w:rsidR="0002151D" w:rsidRDefault="0002151D" w:rsidP="0002151D">
      <w:pPr>
        <w:rPr>
          <w:sz w:val="24"/>
          <w:szCs w:val="24"/>
        </w:rPr>
      </w:pPr>
      <w:r>
        <w:rPr>
          <w:sz w:val="24"/>
          <w:szCs w:val="24"/>
        </w:rPr>
        <w:t xml:space="preserve">Welsh </w:t>
      </w:r>
      <w:r>
        <w:rPr>
          <w:i/>
          <w:sz w:val="24"/>
          <w:szCs w:val="24"/>
        </w:rPr>
        <w:t>Life</w:t>
      </w:r>
      <w:r>
        <w:rPr>
          <w:sz w:val="24"/>
          <w:szCs w:val="24"/>
        </w:rPr>
        <w:t xml:space="preserve"> </w:t>
      </w:r>
      <w:proofErr w:type="gramStart"/>
      <w:r>
        <w:rPr>
          <w:sz w:val="24"/>
          <w:szCs w:val="24"/>
        </w:rPr>
        <w:t>was created</w:t>
      </w:r>
      <w:proofErr w:type="gramEnd"/>
      <w:r>
        <w:rPr>
          <w:sz w:val="24"/>
          <w:szCs w:val="24"/>
        </w:rPr>
        <w:t xml:space="preserve"> in the 14</w:t>
      </w:r>
      <w:r w:rsidRPr="00053A57">
        <w:rPr>
          <w:sz w:val="24"/>
          <w:szCs w:val="24"/>
          <w:vertAlign w:val="superscript"/>
        </w:rPr>
        <w:t>th</w:t>
      </w:r>
      <w:r>
        <w:rPr>
          <w:sz w:val="24"/>
          <w:szCs w:val="24"/>
        </w:rPr>
        <w:t xml:space="preserve"> century, and it is the shortest version of the three </w:t>
      </w:r>
      <w:proofErr w:type="spellStart"/>
      <w:r>
        <w:rPr>
          <w:i/>
          <w:sz w:val="24"/>
          <w:szCs w:val="24"/>
        </w:rPr>
        <w:t>Lifes</w:t>
      </w:r>
      <w:proofErr w:type="spellEnd"/>
      <w:r>
        <w:rPr>
          <w:i/>
          <w:sz w:val="24"/>
          <w:szCs w:val="24"/>
        </w:rPr>
        <w:t>.</w:t>
      </w:r>
      <w:r>
        <w:rPr>
          <w:sz w:val="24"/>
          <w:szCs w:val="24"/>
        </w:rPr>
        <w:t xml:space="preserve"> There were many details left out that played so prominently in </w:t>
      </w:r>
      <w:proofErr w:type="spellStart"/>
      <w:r>
        <w:rPr>
          <w:sz w:val="24"/>
          <w:szCs w:val="24"/>
        </w:rPr>
        <w:t>Rhygyfarch’s</w:t>
      </w:r>
      <w:proofErr w:type="spellEnd"/>
      <w:r>
        <w:rPr>
          <w:sz w:val="24"/>
          <w:szCs w:val="24"/>
        </w:rPr>
        <w:t xml:space="preserve"> version, including the details about the austerity in the daily life of his monastic community, David’s journey to Jerusalem, and much of the Irish references. Some descriptions </w:t>
      </w:r>
      <w:proofErr w:type="gramStart"/>
      <w:r>
        <w:rPr>
          <w:sz w:val="24"/>
          <w:szCs w:val="24"/>
        </w:rPr>
        <w:t>were enhanced</w:t>
      </w:r>
      <w:proofErr w:type="gramEnd"/>
      <w:r>
        <w:rPr>
          <w:sz w:val="24"/>
          <w:szCs w:val="24"/>
        </w:rPr>
        <w:t>, such as the David’s genealogy and the borders of his right of sanctuary.</w:t>
      </w:r>
      <w:r>
        <w:rPr>
          <w:i/>
          <w:sz w:val="24"/>
          <w:szCs w:val="24"/>
        </w:rPr>
        <w:t xml:space="preserve"> </w:t>
      </w:r>
      <w:r>
        <w:rPr>
          <w:sz w:val="24"/>
          <w:szCs w:val="24"/>
        </w:rPr>
        <w:t xml:space="preserve">Significantly, Welsh </w:t>
      </w:r>
      <w:r>
        <w:rPr>
          <w:i/>
          <w:sz w:val="24"/>
          <w:szCs w:val="24"/>
        </w:rPr>
        <w:t>Life</w:t>
      </w:r>
      <w:r>
        <w:rPr>
          <w:sz w:val="24"/>
          <w:szCs w:val="24"/>
        </w:rPr>
        <w:t xml:space="preserve"> </w:t>
      </w:r>
      <w:proofErr w:type="gramStart"/>
      <w:r>
        <w:rPr>
          <w:sz w:val="24"/>
          <w:szCs w:val="24"/>
        </w:rPr>
        <w:t>was written</w:t>
      </w:r>
      <w:proofErr w:type="gramEnd"/>
      <w:r>
        <w:rPr>
          <w:sz w:val="24"/>
          <w:szCs w:val="24"/>
        </w:rPr>
        <w:t xml:space="preserve"> for a local audie</w:t>
      </w:r>
      <w:r w:rsidR="00170FCE">
        <w:rPr>
          <w:sz w:val="24"/>
          <w:szCs w:val="24"/>
        </w:rPr>
        <w:t>nce in their own vernacular. In</w:t>
      </w:r>
      <w:r>
        <w:rPr>
          <w:sz w:val="24"/>
          <w:szCs w:val="24"/>
        </w:rPr>
        <w:t xml:space="preserve"> </w:t>
      </w:r>
      <w:r w:rsidRPr="000079CA">
        <w:rPr>
          <w:i/>
          <w:sz w:val="24"/>
          <w:szCs w:val="24"/>
        </w:rPr>
        <w:t>The Welsh Life of St. David</w:t>
      </w:r>
      <w:r>
        <w:rPr>
          <w:sz w:val="24"/>
          <w:szCs w:val="24"/>
        </w:rPr>
        <w:t>, Simon Evans describes it as containing “certain delicate touches, apparently calculated to create a more familiar, intimate, and less formal atmosphere.”</w:t>
      </w:r>
      <w:r>
        <w:rPr>
          <w:rStyle w:val="FootnoteReference"/>
          <w:sz w:val="24"/>
          <w:szCs w:val="24"/>
        </w:rPr>
        <w:footnoteReference w:id="13"/>
      </w:r>
      <w:r>
        <w:rPr>
          <w:sz w:val="24"/>
          <w:szCs w:val="24"/>
        </w:rPr>
        <w:t xml:space="preserve">  An example of this are Saint David’s last words, as recorded only in the Welsh Life: “Do the little things that you have seen and heard </w:t>
      </w:r>
      <w:r>
        <w:rPr>
          <w:sz w:val="24"/>
          <w:szCs w:val="24"/>
        </w:rPr>
        <w:lastRenderedPageBreak/>
        <w:t xml:space="preserve">from me”- This has become a popular saying in Wales, and represents the spiritual essence of Saint David’s teaching. </w:t>
      </w:r>
    </w:p>
    <w:p w:rsidR="0002151D" w:rsidRDefault="0002151D" w:rsidP="0002151D">
      <w:pPr>
        <w:rPr>
          <w:sz w:val="24"/>
          <w:szCs w:val="24"/>
        </w:rPr>
      </w:pPr>
      <w:r>
        <w:rPr>
          <w:sz w:val="24"/>
          <w:szCs w:val="24"/>
        </w:rPr>
        <w:t xml:space="preserve">In </w:t>
      </w:r>
      <w:proofErr w:type="spellStart"/>
      <w:r>
        <w:rPr>
          <w:sz w:val="24"/>
          <w:szCs w:val="24"/>
        </w:rPr>
        <w:t>Rhygyfarch’s</w:t>
      </w:r>
      <w:proofErr w:type="spellEnd"/>
      <w:r w:rsidRPr="000079CA">
        <w:rPr>
          <w:i/>
          <w:sz w:val="24"/>
          <w:szCs w:val="24"/>
        </w:rPr>
        <w:t xml:space="preserve"> Life</w:t>
      </w:r>
      <w:r>
        <w:rPr>
          <w:sz w:val="24"/>
          <w:szCs w:val="24"/>
        </w:rPr>
        <w:t xml:space="preserve">, Saint David </w:t>
      </w:r>
      <w:proofErr w:type="gramStart"/>
      <w:r>
        <w:rPr>
          <w:sz w:val="24"/>
          <w:szCs w:val="24"/>
        </w:rPr>
        <w:t>was introduced</w:t>
      </w:r>
      <w:proofErr w:type="gramEnd"/>
      <w:r>
        <w:rPr>
          <w:sz w:val="24"/>
          <w:szCs w:val="24"/>
        </w:rPr>
        <w:t xml:space="preserve"> to the world stage at a time when his protection was needed for the survival of the Welsh church. </w:t>
      </w:r>
      <w:proofErr w:type="spellStart"/>
      <w:r>
        <w:rPr>
          <w:sz w:val="24"/>
          <w:szCs w:val="24"/>
        </w:rPr>
        <w:t>Rhygyfarch</w:t>
      </w:r>
      <w:proofErr w:type="spellEnd"/>
      <w:r>
        <w:rPr>
          <w:sz w:val="24"/>
          <w:szCs w:val="24"/>
        </w:rPr>
        <w:t xml:space="preserve"> needed to demonstrate that St David could do “the big things” to strengthen his reputation and spiritual authority in order to override the threat of the Norman encroachment into the Welsh land, culture, and religion. Although, the Welsh were not able to maintain the freedom from Norman rule that </w:t>
      </w:r>
      <w:proofErr w:type="spellStart"/>
      <w:r>
        <w:rPr>
          <w:sz w:val="24"/>
          <w:szCs w:val="24"/>
        </w:rPr>
        <w:t>Rhygyfarch</w:t>
      </w:r>
      <w:proofErr w:type="spellEnd"/>
      <w:r>
        <w:rPr>
          <w:sz w:val="24"/>
          <w:szCs w:val="24"/>
        </w:rPr>
        <w:t xml:space="preserve"> desired, he secured the survival of Saint David and his cult, and with it, a Welsh spiritual identity</w:t>
      </w:r>
      <w:r w:rsidR="00170FCE">
        <w:rPr>
          <w:sz w:val="24"/>
          <w:szCs w:val="24"/>
        </w:rPr>
        <w:t xml:space="preserve"> that follows Saint David’s teachings of</w:t>
      </w:r>
      <w:bookmarkStart w:id="0" w:name="_GoBack"/>
      <w:bookmarkEnd w:id="0"/>
      <w:r>
        <w:rPr>
          <w:sz w:val="24"/>
          <w:szCs w:val="24"/>
        </w:rPr>
        <w:t xml:space="preserve"> “ Doing the little things”.   </w:t>
      </w: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Default="0002151D" w:rsidP="0002151D">
      <w:pPr>
        <w:rPr>
          <w:sz w:val="24"/>
          <w:szCs w:val="24"/>
        </w:rPr>
      </w:pPr>
    </w:p>
    <w:p w:rsidR="0002151D" w:rsidRPr="000668C9" w:rsidRDefault="0002151D" w:rsidP="0002151D">
      <w:pPr>
        <w:rPr>
          <w:rFonts w:cstheme="minorHAnsi"/>
          <w:sz w:val="32"/>
          <w:szCs w:val="32"/>
          <w:u w:val="single"/>
        </w:rPr>
      </w:pPr>
      <w:r w:rsidRPr="003F1659">
        <w:rPr>
          <w:rFonts w:cstheme="minorHAnsi"/>
          <w:sz w:val="24"/>
          <w:szCs w:val="24"/>
        </w:rPr>
        <w:lastRenderedPageBreak/>
        <w:t xml:space="preserve">                                                   </w:t>
      </w:r>
      <w:r>
        <w:rPr>
          <w:rFonts w:cstheme="minorHAnsi"/>
          <w:sz w:val="24"/>
          <w:szCs w:val="24"/>
        </w:rPr>
        <w:t xml:space="preserve">                </w:t>
      </w:r>
      <w:r w:rsidRPr="003F1659">
        <w:rPr>
          <w:rFonts w:cstheme="minorHAnsi"/>
          <w:sz w:val="24"/>
          <w:szCs w:val="24"/>
        </w:rPr>
        <w:t xml:space="preserve"> </w:t>
      </w:r>
      <w:r w:rsidRPr="000668C9">
        <w:rPr>
          <w:rFonts w:cstheme="minorHAnsi"/>
          <w:sz w:val="32"/>
          <w:szCs w:val="32"/>
          <w:u w:val="single"/>
        </w:rPr>
        <w:t>Bibliography</w:t>
      </w:r>
    </w:p>
    <w:p w:rsidR="0002151D" w:rsidRPr="00A169A5" w:rsidRDefault="0002151D" w:rsidP="0002151D">
      <w:pPr>
        <w:ind w:left="720" w:hanging="720"/>
        <w:rPr>
          <w:rFonts w:cstheme="minorHAnsi"/>
          <w:sz w:val="24"/>
          <w:szCs w:val="24"/>
          <w:u w:val="single"/>
        </w:rPr>
      </w:pPr>
      <w:r w:rsidRPr="003F1659">
        <w:rPr>
          <w:rFonts w:eastAsia="Times New Roman" w:cstheme="minorHAnsi"/>
          <w:sz w:val="24"/>
          <w:szCs w:val="24"/>
        </w:rPr>
        <w:t xml:space="preserve"> Bartlett, Robert,</w:t>
      </w:r>
      <w:r w:rsidRPr="003F1659">
        <w:rPr>
          <w:rFonts w:eastAsia="Times New Roman" w:cstheme="minorHAnsi"/>
          <w:i/>
          <w:sz w:val="24"/>
          <w:szCs w:val="24"/>
        </w:rPr>
        <w:t xml:space="preserve"> Why Can</w:t>
      </w:r>
      <w:r>
        <w:rPr>
          <w:rFonts w:eastAsia="Times New Roman" w:cstheme="minorHAnsi"/>
          <w:i/>
          <w:sz w:val="24"/>
          <w:szCs w:val="24"/>
        </w:rPr>
        <w:t xml:space="preserve"> the Dead Do Such Great Things:</w:t>
      </w:r>
      <w:r w:rsidRPr="003F1659">
        <w:rPr>
          <w:rFonts w:eastAsia="Times New Roman" w:cstheme="minorHAnsi"/>
          <w:i/>
          <w:sz w:val="24"/>
          <w:szCs w:val="24"/>
        </w:rPr>
        <w:t xml:space="preserve"> Saints and Worshippers from the Martyrs to the Reformation</w:t>
      </w:r>
      <w:r w:rsidRPr="003F1659">
        <w:rPr>
          <w:rFonts w:eastAsia="Times New Roman" w:cstheme="minorHAnsi"/>
          <w:sz w:val="24"/>
          <w:szCs w:val="24"/>
        </w:rPr>
        <w:t xml:space="preserve"> (Princeton,</w:t>
      </w:r>
      <w:r>
        <w:rPr>
          <w:rFonts w:eastAsia="Times New Roman" w:cstheme="minorHAnsi"/>
          <w:sz w:val="24"/>
          <w:szCs w:val="24"/>
        </w:rPr>
        <w:t xml:space="preserve"> NJ: Princeton University Press</w:t>
      </w:r>
      <w:r w:rsidRPr="003F1659">
        <w:rPr>
          <w:rFonts w:eastAsia="Times New Roman" w:cstheme="minorHAnsi"/>
          <w:sz w:val="24"/>
          <w:szCs w:val="24"/>
        </w:rPr>
        <w:t>, 2013)</w:t>
      </w:r>
      <w:r>
        <w:rPr>
          <w:rFonts w:eastAsia="Times New Roman" w:cstheme="minorHAnsi"/>
          <w:sz w:val="24"/>
          <w:szCs w:val="24"/>
        </w:rPr>
        <w:t>.</w:t>
      </w:r>
    </w:p>
    <w:p w:rsidR="0002151D" w:rsidRPr="003F1659" w:rsidRDefault="0002151D" w:rsidP="0002151D">
      <w:pPr>
        <w:spacing w:after="0" w:line="240" w:lineRule="auto"/>
        <w:rPr>
          <w:rFonts w:eastAsia="Times New Roman" w:cstheme="minorHAnsi"/>
          <w:sz w:val="24"/>
          <w:szCs w:val="24"/>
        </w:rPr>
      </w:pPr>
    </w:p>
    <w:p w:rsidR="0002151D" w:rsidRPr="003F1659" w:rsidRDefault="0002151D" w:rsidP="0002151D">
      <w:pPr>
        <w:spacing w:after="0" w:line="240" w:lineRule="auto"/>
        <w:rPr>
          <w:rFonts w:eastAsia="Times New Roman" w:cstheme="minorHAnsi"/>
          <w:sz w:val="24"/>
          <w:szCs w:val="24"/>
        </w:rPr>
      </w:pPr>
      <w:r w:rsidRPr="003F1659">
        <w:rPr>
          <w:rFonts w:eastAsia="Times New Roman" w:cstheme="minorHAnsi"/>
          <w:sz w:val="24"/>
          <w:szCs w:val="24"/>
        </w:rPr>
        <w:t>B</w:t>
      </w:r>
      <w:r>
        <w:rPr>
          <w:rFonts w:eastAsia="Times New Roman" w:cstheme="minorHAnsi"/>
          <w:sz w:val="24"/>
          <w:szCs w:val="24"/>
        </w:rPr>
        <w:t>owen, E.G.,</w:t>
      </w:r>
      <w:r w:rsidRPr="003F1659">
        <w:rPr>
          <w:rFonts w:eastAsia="Times New Roman" w:cstheme="minorHAnsi"/>
          <w:i/>
          <w:sz w:val="24"/>
          <w:szCs w:val="24"/>
        </w:rPr>
        <w:t xml:space="preserve"> </w:t>
      </w:r>
      <w:proofErr w:type="spellStart"/>
      <w:r w:rsidRPr="003F1659">
        <w:rPr>
          <w:rFonts w:eastAsia="Times New Roman" w:cstheme="minorHAnsi"/>
          <w:i/>
          <w:sz w:val="24"/>
          <w:szCs w:val="24"/>
        </w:rPr>
        <w:t>Dewi</w:t>
      </w:r>
      <w:proofErr w:type="spellEnd"/>
      <w:r w:rsidRPr="003F1659">
        <w:rPr>
          <w:rFonts w:eastAsia="Times New Roman" w:cstheme="minorHAnsi"/>
          <w:i/>
          <w:sz w:val="24"/>
          <w:szCs w:val="24"/>
        </w:rPr>
        <w:t xml:space="preserve"> </w:t>
      </w:r>
      <w:proofErr w:type="spellStart"/>
      <w:r w:rsidRPr="003F1659">
        <w:rPr>
          <w:rFonts w:eastAsia="Times New Roman" w:cstheme="minorHAnsi"/>
          <w:i/>
          <w:sz w:val="24"/>
          <w:szCs w:val="24"/>
        </w:rPr>
        <w:t>Sant</w:t>
      </w:r>
      <w:proofErr w:type="spellEnd"/>
      <w:r w:rsidRPr="003F1659">
        <w:rPr>
          <w:rFonts w:eastAsia="Times New Roman" w:cstheme="minorHAnsi"/>
          <w:i/>
          <w:sz w:val="24"/>
          <w:szCs w:val="24"/>
        </w:rPr>
        <w:t>/Saint David</w:t>
      </w:r>
      <w:r>
        <w:rPr>
          <w:rFonts w:eastAsia="Times New Roman" w:cstheme="minorHAnsi"/>
          <w:sz w:val="24"/>
          <w:szCs w:val="24"/>
        </w:rPr>
        <w:t>, (Cardiff: University of Wales Press, 1983).</w:t>
      </w:r>
    </w:p>
    <w:p w:rsidR="0002151D" w:rsidRPr="003F1659" w:rsidRDefault="0002151D" w:rsidP="0002151D">
      <w:pPr>
        <w:rPr>
          <w:rFonts w:cstheme="minorHAnsi"/>
          <w:sz w:val="24"/>
          <w:szCs w:val="24"/>
          <w:u w:val="single"/>
        </w:rPr>
      </w:pPr>
    </w:p>
    <w:p w:rsidR="0002151D" w:rsidRPr="003F1659" w:rsidRDefault="0002151D" w:rsidP="0002151D">
      <w:pPr>
        <w:spacing w:after="0" w:line="240" w:lineRule="auto"/>
        <w:ind w:left="720" w:hanging="720"/>
        <w:rPr>
          <w:rFonts w:eastAsia="Times New Roman" w:cstheme="minorHAnsi"/>
          <w:sz w:val="24"/>
          <w:szCs w:val="24"/>
        </w:rPr>
      </w:pPr>
      <w:r>
        <w:rPr>
          <w:rFonts w:eastAsia="Times New Roman" w:cstheme="minorHAnsi"/>
          <w:sz w:val="24"/>
          <w:szCs w:val="24"/>
        </w:rPr>
        <w:t>Davies, John Reuben, ‘</w:t>
      </w:r>
      <w:r w:rsidRPr="003F1659">
        <w:rPr>
          <w:rFonts w:eastAsia="Times New Roman" w:cstheme="minorHAnsi"/>
          <w:sz w:val="24"/>
          <w:szCs w:val="24"/>
        </w:rPr>
        <w:t>Cathedrals and the Cult of Saints in Eleve</w:t>
      </w:r>
      <w:r>
        <w:rPr>
          <w:rFonts w:eastAsia="Times New Roman" w:cstheme="minorHAnsi"/>
          <w:sz w:val="24"/>
          <w:szCs w:val="24"/>
        </w:rPr>
        <w:t>nth- and Twelfth-Century Wales’,</w:t>
      </w:r>
      <w:r w:rsidRPr="003F1659">
        <w:rPr>
          <w:rFonts w:eastAsia="Times New Roman" w:cstheme="minorHAnsi"/>
          <w:sz w:val="24"/>
          <w:szCs w:val="24"/>
        </w:rPr>
        <w:t xml:space="preserve"> </w:t>
      </w:r>
      <w:r w:rsidRPr="003F1659">
        <w:rPr>
          <w:rFonts w:eastAsia="Times New Roman" w:cstheme="minorHAnsi"/>
          <w:i/>
          <w:iCs/>
          <w:sz w:val="24"/>
          <w:szCs w:val="24"/>
        </w:rPr>
        <w:t>Cathedrals, Communities and Conflict in the Anglo-Norman World</w:t>
      </w:r>
      <w:r>
        <w:rPr>
          <w:rFonts w:eastAsia="Times New Roman" w:cstheme="minorHAnsi"/>
          <w:sz w:val="24"/>
          <w:szCs w:val="24"/>
        </w:rPr>
        <w:t>, edited by Paul Dalton</w:t>
      </w:r>
      <w:r w:rsidRPr="003F1659">
        <w:rPr>
          <w:rFonts w:eastAsia="Times New Roman" w:cstheme="minorHAnsi"/>
          <w:sz w:val="24"/>
          <w:szCs w:val="24"/>
        </w:rPr>
        <w:t xml:space="preserve"> et al., vol. 38,</w:t>
      </w:r>
      <w:r>
        <w:rPr>
          <w:rFonts w:eastAsia="Times New Roman" w:cstheme="minorHAnsi"/>
          <w:sz w:val="24"/>
          <w:szCs w:val="24"/>
        </w:rPr>
        <w:t>(Woodbridge:</w:t>
      </w:r>
      <w:r w:rsidRPr="003F1659">
        <w:rPr>
          <w:rFonts w:eastAsia="Times New Roman" w:cstheme="minorHAnsi"/>
          <w:sz w:val="24"/>
          <w:szCs w:val="24"/>
        </w:rPr>
        <w:t xml:space="preserve"> </w:t>
      </w:r>
      <w:proofErr w:type="spellStart"/>
      <w:r w:rsidRPr="003F1659">
        <w:rPr>
          <w:rFonts w:eastAsia="Times New Roman" w:cstheme="minorHAnsi"/>
          <w:sz w:val="24"/>
          <w:szCs w:val="24"/>
        </w:rPr>
        <w:t>Boydell</w:t>
      </w:r>
      <w:proofErr w:type="spellEnd"/>
      <w:r w:rsidRPr="003F1659">
        <w:rPr>
          <w:rFonts w:eastAsia="Times New Roman" w:cstheme="minorHAnsi"/>
          <w:sz w:val="24"/>
          <w:szCs w:val="24"/>
        </w:rPr>
        <w:t xml:space="preserve"> &amp; Brewer, 2011</w:t>
      </w:r>
      <w:r>
        <w:rPr>
          <w:rFonts w:eastAsia="Times New Roman" w:cstheme="minorHAnsi"/>
          <w:sz w:val="24"/>
          <w:szCs w:val="24"/>
        </w:rPr>
        <w:t>)</w:t>
      </w:r>
      <w:r w:rsidRPr="003F1659">
        <w:rPr>
          <w:rFonts w:eastAsia="Times New Roman" w:cstheme="minorHAnsi"/>
          <w:sz w:val="24"/>
          <w:szCs w:val="24"/>
        </w:rPr>
        <w:t xml:space="preserve"> pp. 99–116. </w:t>
      </w:r>
      <w:r w:rsidRPr="003F1659">
        <w:rPr>
          <w:rFonts w:eastAsia="Times New Roman" w:cstheme="minorHAnsi"/>
          <w:i/>
          <w:iCs/>
          <w:sz w:val="24"/>
          <w:szCs w:val="24"/>
        </w:rPr>
        <w:t>JSTOR</w:t>
      </w:r>
      <w:r w:rsidRPr="003F1659">
        <w:rPr>
          <w:rFonts w:eastAsia="Times New Roman" w:cstheme="minorHAnsi"/>
          <w:sz w:val="24"/>
          <w:szCs w:val="24"/>
        </w:rPr>
        <w:t xml:space="preserve">, </w:t>
      </w:r>
      <w:hyperlink r:id="rId6" w:history="1">
        <w:r w:rsidRPr="003F1659">
          <w:rPr>
            <w:rStyle w:val="Hyperlink"/>
            <w:rFonts w:eastAsia="Times New Roman" w:cstheme="minorHAnsi"/>
            <w:sz w:val="24"/>
            <w:szCs w:val="24"/>
          </w:rPr>
          <w:t>http://www.jstor.org/stable/10.7722/j.ctt81q16.12. Accessed 18 Mar. 2023</w:t>
        </w:r>
      </w:hyperlink>
      <w:r w:rsidRPr="003F1659">
        <w:rPr>
          <w:rFonts w:eastAsia="Times New Roman" w:cstheme="minorHAnsi"/>
          <w:sz w:val="24"/>
          <w:szCs w:val="24"/>
        </w:rPr>
        <w:t>.</w:t>
      </w:r>
    </w:p>
    <w:p w:rsidR="0002151D" w:rsidRPr="003F1659" w:rsidRDefault="0002151D" w:rsidP="0002151D">
      <w:pPr>
        <w:spacing w:after="0" w:line="240" w:lineRule="auto"/>
        <w:rPr>
          <w:rFonts w:eastAsia="Times New Roman" w:cstheme="minorHAnsi"/>
          <w:sz w:val="24"/>
          <w:szCs w:val="24"/>
        </w:rPr>
      </w:pPr>
    </w:p>
    <w:p w:rsidR="0002151D" w:rsidRPr="003F1659" w:rsidRDefault="0002151D" w:rsidP="0002151D">
      <w:pPr>
        <w:spacing w:after="0" w:line="240" w:lineRule="auto"/>
        <w:ind w:left="720" w:hanging="720"/>
        <w:rPr>
          <w:rFonts w:eastAsia="Times New Roman" w:cstheme="minorHAnsi"/>
          <w:sz w:val="24"/>
          <w:szCs w:val="24"/>
        </w:rPr>
      </w:pPr>
      <w:r w:rsidRPr="003F1659">
        <w:rPr>
          <w:rFonts w:eastAsia="Times New Roman" w:cstheme="minorHAnsi"/>
          <w:sz w:val="24"/>
          <w:szCs w:val="24"/>
        </w:rPr>
        <w:t>Douglas, David</w:t>
      </w:r>
      <w:r>
        <w:rPr>
          <w:rFonts w:eastAsia="Times New Roman" w:cstheme="minorHAnsi"/>
          <w:sz w:val="24"/>
          <w:szCs w:val="24"/>
        </w:rPr>
        <w:t xml:space="preserve"> C, ‘The King in the Church’,</w:t>
      </w:r>
      <w:r w:rsidRPr="003F1659">
        <w:rPr>
          <w:rFonts w:eastAsia="Times New Roman" w:cstheme="minorHAnsi"/>
          <w:sz w:val="24"/>
          <w:szCs w:val="24"/>
        </w:rPr>
        <w:t xml:space="preserve"> </w:t>
      </w:r>
      <w:r w:rsidRPr="00A169A5">
        <w:rPr>
          <w:rFonts w:eastAsia="Times New Roman" w:cstheme="minorHAnsi"/>
          <w:i/>
          <w:sz w:val="24"/>
          <w:szCs w:val="24"/>
        </w:rPr>
        <w:t>William the Conqueror</w:t>
      </w:r>
      <w:r>
        <w:rPr>
          <w:rFonts w:eastAsia="Times New Roman" w:cstheme="minorHAnsi"/>
          <w:i/>
          <w:sz w:val="24"/>
          <w:szCs w:val="24"/>
        </w:rPr>
        <w:t>,</w:t>
      </w:r>
      <w:r w:rsidRPr="003F1659">
        <w:rPr>
          <w:rFonts w:eastAsia="Times New Roman" w:cstheme="minorHAnsi"/>
          <w:sz w:val="24"/>
          <w:szCs w:val="24"/>
        </w:rPr>
        <w:t xml:space="preserve"> (New Haven: Yale University Press, 2017), pp. 317–45</w:t>
      </w:r>
      <w:r>
        <w:rPr>
          <w:rFonts w:eastAsia="Times New Roman" w:cstheme="minorHAnsi"/>
          <w:sz w:val="24"/>
          <w:szCs w:val="24"/>
        </w:rPr>
        <w:t>.</w:t>
      </w:r>
    </w:p>
    <w:p w:rsidR="0002151D" w:rsidRPr="003F1659" w:rsidRDefault="0002151D" w:rsidP="0002151D">
      <w:pPr>
        <w:spacing w:after="0" w:line="240" w:lineRule="auto"/>
        <w:rPr>
          <w:rFonts w:eastAsia="Times New Roman" w:cstheme="minorHAnsi"/>
          <w:sz w:val="24"/>
          <w:szCs w:val="24"/>
        </w:rPr>
      </w:pPr>
    </w:p>
    <w:p w:rsidR="0002151D" w:rsidRPr="003F1659" w:rsidRDefault="0002151D" w:rsidP="0002151D">
      <w:pPr>
        <w:spacing w:after="0" w:line="240" w:lineRule="auto"/>
        <w:ind w:left="720" w:hanging="720"/>
        <w:rPr>
          <w:rFonts w:eastAsia="Times New Roman" w:cstheme="minorHAnsi"/>
          <w:sz w:val="24"/>
          <w:szCs w:val="24"/>
        </w:rPr>
      </w:pPr>
      <w:r>
        <w:rPr>
          <w:rFonts w:cstheme="minorHAnsi"/>
          <w:color w:val="333333"/>
          <w:sz w:val="24"/>
          <w:szCs w:val="24"/>
        </w:rPr>
        <w:t xml:space="preserve">Edwards, </w:t>
      </w:r>
      <w:proofErr w:type="spellStart"/>
      <w:r>
        <w:rPr>
          <w:rFonts w:cstheme="minorHAnsi"/>
          <w:color w:val="333333"/>
          <w:sz w:val="24"/>
          <w:szCs w:val="24"/>
        </w:rPr>
        <w:t>Owain</w:t>
      </w:r>
      <w:proofErr w:type="spellEnd"/>
      <w:r>
        <w:rPr>
          <w:rFonts w:cstheme="minorHAnsi"/>
          <w:color w:val="333333"/>
          <w:sz w:val="24"/>
          <w:szCs w:val="24"/>
        </w:rPr>
        <w:t>, ‘</w:t>
      </w:r>
      <w:r w:rsidRPr="003F1659">
        <w:rPr>
          <w:rFonts w:cstheme="minorHAnsi"/>
          <w:color w:val="333333"/>
          <w:sz w:val="24"/>
          <w:szCs w:val="24"/>
        </w:rPr>
        <w:t>Welsh Saints’</w:t>
      </w:r>
      <w:r>
        <w:rPr>
          <w:rFonts w:cstheme="minorHAnsi"/>
          <w:color w:val="333333"/>
          <w:sz w:val="24"/>
          <w:szCs w:val="24"/>
        </w:rPr>
        <w:t xml:space="preserve"> Lives as Legendary Propaganda’,</w:t>
      </w:r>
      <w:r w:rsidRPr="003F1659">
        <w:rPr>
          <w:rFonts w:cstheme="minorHAnsi"/>
          <w:color w:val="333333"/>
          <w:sz w:val="24"/>
          <w:szCs w:val="24"/>
        </w:rPr>
        <w:t> </w:t>
      </w:r>
      <w:r w:rsidRPr="003F1659">
        <w:rPr>
          <w:rFonts w:cstheme="minorHAnsi"/>
          <w:i/>
          <w:iCs/>
          <w:color w:val="333333"/>
          <w:sz w:val="24"/>
          <w:szCs w:val="24"/>
          <w:bdr w:val="none" w:sz="0" w:space="0" w:color="auto" w:frame="1"/>
        </w:rPr>
        <w:t>Oral Tradition</w:t>
      </w:r>
      <w:r>
        <w:rPr>
          <w:rFonts w:cstheme="minorHAnsi"/>
          <w:color w:val="333333"/>
          <w:sz w:val="24"/>
          <w:szCs w:val="24"/>
        </w:rPr>
        <w:t>, vol. 23, no. 2,</w:t>
      </w:r>
      <w:r w:rsidRPr="003F1659">
        <w:rPr>
          <w:rFonts w:cstheme="minorHAnsi"/>
          <w:color w:val="333333"/>
          <w:sz w:val="24"/>
          <w:szCs w:val="24"/>
        </w:rPr>
        <w:t xml:space="preserve"> </w:t>
      </w:r>
      <w:r>
        <w:rPr>
          <w:rFonts w:cstheme="minorHAnsi"/>
          <w:color w:val="333333"/>
          <w:sz w:val="24"/>
          <w:szCs w:val="24"/>
        </w:rPr>
        <w:t xml:space="preserve">(March </w:t>
      </w:r>
      <w:r w:rsidRPr="003F1659">
        <w:rPr>
          <w:rFonts w:cstheme="minorHAnsi"/>
          <w:color w:val="333333"/>
          <w:sz w:val="24"/>
          <w:szCs w:val="24"/>
        </w:rPr>
        <w:t>2008</w:t>
      </w:r>
      <w:r>
        <w:rPr>
          <w:rFonts w:cstheme="minorHAnsi"/>
          <w:color w:val="333333"/>
          <w:sz w:val="24"/>
          <w:szCs w:val="24"/>
        </w:rPr>
        <w:t>)</w:t>
      </w:r>
    </w:p>
    <w:p w:rsidR="0002151D" w:rsidRDefault="0002151D" w:rsidP="0002151D">
      <w:pPr>
        <w:spacing w:after="0" w:line="240" w:lineRule="auto"/>
        <w:rPr>
          <w:rFonts w:eastAsia="Times New Roman" w:cstheme="minorHAnsi"/>
          <w:sz w:val="24"/>
          <w:szCs w:val="24"/>
        </w:rPr>
      </w:pPr>
    </w:p>
    <w:p w:rsidR="0002151D" w:rsidRPr="00A169A5" w:rsidRDefault="0002151D" w:rsidP="0002151D">
      <w:pPr>
        <w:spacing w:after="0" w:line="240" w:lineRule="auto"/>
        <w:ind w:left="720" w:hanging="720"/>
        <w:rPr>
          <w:rFonts w:eastAsia="Times New Roman" w:cstheme="minorHAnsi"/>
          <w:i/>
          <w:sz w:val="24"/>
          <w:szCs w:val="24"/>
        </w:rPr>
      </w:pPr>
      <w:r w:rsidRPr="003F1659">
        <w:rPr>
          <w:rFonts w:eastAsia="Times New Roman" w:cstheme="minorHAnsi"/>
          <w:sz w:val="24"/>
          <w:szCs w:val="24"/>
        </w:rPr>
        <w:t xml:space="preserve"> Evans, J. </w:t>
      </w:r>
      <w:proofErr w:type="spellStart"/>
      <w:r w:rsidRPr="003F1659">
        <w:rPr>
          <w:rFonts w:eastAsia="Times New Roman" w:cstheme="minorHAnsi"/>
          <w:sz w:val="24"/>
          <w:szCs w:val="24"/>
        </w:rPr>
        <w:t>Wyn</w:t>
      </w:r>
      <w:proofErr w:type="spellEnd"/>
      <w:r w:rsidRPr="003F1659">
        <w:rPr>
          <w:rFonts w:eastAsia="Times New Roman" w:cstheme="minorHAnsi"/>
          <w:sz w:val="24"/>
          <w:szCs w:val="24"/>
        </w:rPr>
        <w:t xml:space="preserve">, and Jonathan M. Wooding, </w:t>
      </w:r>
      <w:r w:rsidRPr="00A169A5">
        <w:rPr>
          <w:rFonts w:eastAsia="Times New Roman" w:cstheme="minorHAnsi"/>
          <w:i/>
          <w:sz w:val="24"/>
          <w:szCs w:val="24"/>
        </w:rPr>
        <w:t xml:space="preserve">St David of Wales Cult, Church and Nation </w:t>
      </w:r>
      <w:r w:rsidRPr="00A169A5">
        <w:rPr>
          <w:rFonts w:eastAsia="Times New Roman" w:cstheme="minorHAnsi"/>
          <w:sz w:val="24"/>
          <w:szCs w:val="24"/>
        </w:rPr>
        <w:t xml:space="preserve">(Woodbridge: </w:t>
      </w:r>
      <w:proofErr w:type="spellStart"/>
      <w:r w:rsidRPr="00A169A5">
        <w:rPr>
          <w:rFonts w:eastAsia="Times New Roman" w:cstheme="minorHAnsi"/>
          <w:sz w:val="24"/>
          <w:szCs w:val="24"/>
        </w:rPr>
        <w:t>Boydell</w:t>
      </w:r>
      <w:proofErr w:type="spellEnd"/>
      <w:r w:rsidRPr="00A169A5">
        <w:rPr>
          <w:rFonts w:eastAsia="Times New Roman" w:cstheme="minorHAnsi"/>
          <w:sz w:val="24"/>
          <w:szCs w:val="24"/>
        </w:rPr>
        <w:t xml:space="preserve"> &amp; Brewer, 2007).</w:t>
      </w:r>
    </w:p>
    <w:p w:rsidR="0002151D" w:rsidRDefault="0002151D" w:rsidP="0002151D">
      <w:pPr>
        <w:spacing w:after="0" w:line="240" w:lineRule="auto"/>
        <w:rPr>
          <w:rFonts w:eastAsia="Times New Roman" w:cstheme="minorHAnsi"/>
          <w:sz w:val="24"/>
          <w:szCs w:val="24"/>
        </w:rPr>
      </w:pPr>
    </w:p>
    <w:p w:rsidR="0002151D" w:rsidRDefault="0002151D" w:rsidP="0002151D">
      <w:pPr>
        <w:spacing w:after="0" w:line="240" w:lineRule="auto"/>
        <w:ind w:left="720" w:hanging="720"/>
        <w:rPr>
          <w:rFonts w:eastAsia="Times New Roman" w:cstheme="minorHAnsi"/>
          <w:sz w:val="24"/>
          <w:szCs w:val="24"/>
        </w:rPr>
      </w:pPr>
      <w:r w:rsidRPr="003F1659">
        <w:rPr>
          <w:rFonts w:eastAsia="Times New Roman" w:cstheme="minorHAnsi"/>
          <w:sz w:val="24"/>
          <w:szCs w:val="24"/>
        </w:rPr>
        <w:t xml:space="preserve"> Isaac,</w:t>
      </w:r>
      <w:r>
        <w:rPr>
          <w:rFonts w:eastAsia="Times New Roman" w:cstheme="minorHAnsi"/>
          <w:sz w:val="24"/>
          <w:szCs w:val="24"/>
        </w:rPr>
        <w:t xml:space="preserve"> G.R,</w:t>
      </w:r>
      <w:r w:rsidRPr="003F1659">
        <w:rPr>
          <w:rFonts w:eastAsia="Times New Roman" w:cstheme="minorHAnsi"/>
          <w:sz w:val="24"/>
          <w:szCs w:val="24"/>
        </w:rPr>
        <w:t xml:space="preserve"> ‘</w:t>
      </w:r>
      <w:proofErr w:type="spellStart"/>
      <w:r w:rsidRPr="003F1659">
        <w:rPr>
          <w:rFonts w:eastAsia="Times New Roman" w:cstheme="minorHAnsi"/>
          <w:i/>
          <w:sz w:val="24"/>
          <w:szCs w:val="24"/>
        </w:rPr>
        <w:t>Armes</w:t>
      </w:r>
      <w:proofErr w:type="spellEnd"/>
      <w:r w:rsidRPr="003F1659">
        <w:rPr>
          <w:rFonts w:eastAsia="Times New Roman" w:cstheme="minorHAnsi"/>
          <w:i/>
          <w:sz w:val="24"/>
          <w:szCs w:val="24"/>
        </w:rPr>
        <w:t xml:space="preserve"> </w:t>
      </w:r>
      <w:proofErr w:type="spellStart"/>
      <w:r w:rsidRPr="003F1659">
        <w:rPr>
          <w:rFonts w:eastAsia="Times New Roman" w:cstheme="minorHAnsi"/>
          <w:i/>
          <w:sz w:val="24"/>
          <w:szCs w:val="24"/>
        </w:rPr>
        <w:t>Prydain</w:t>
      </w:r>
      <w:proofErr w:type="spellEnd"/>
      <w:r w:rsidRPr="003F1659">
        <w:rPr>
          <w:rFonts w:eastAsia="Times New Roman" w:cstheme="minorHAnsi"/>
          <w:i/>
          <w:sz w:val="24"/>
          <w:szCs w:val="24"/>
        </w:rPr>
        <w:t xml:space="preserve"> </w:t>
      </w:r>
      <w:proofErr w:type="spellStart"/>
      <w:r w:rsidRPr="003F1659">
        <w:rPr>
          <w:rFonts w:eastAsia="Times New Roman" w:cstheme="minorHAnsi"/>
          <w:i/>
          <w:sz w:val="24"/>
          <w:szCs w:val="24"/>
        </w:rPr>
        <w:t>Fawr</w:t>
      </w:r>
      <w:proofErr w:type="spellEnd"/>
      <w:r w:rsidRPr="003F1659">
        <w:rPr>
          <w:rFonts w:eastAsia="Times New Roman" w:cstheme="minorHAnsi"/>
          <w:i/>
          <w:sz w:val="24"/>
          <w:szCs w:val="24"/>
        </w:rPr>
        <w:t xml:space="preserve"> </w:t>
      </w:r>
      <w:r w:rsidRPr="003F1659">
        <w:rPr>
          <w:rFonts w:eastAsia="Times New Roman" w:cstheme="minorHAnsi"/>
          <w:sz w:val="24"/>
          <w:szCs w:val="24"/>
        </w:rPr>
        <w:t>and St. David’,</w:t>
      </w:r>
      <w:r w:rsidRPr="003F1659">
        <w:rPr>
          <w:rFonts w:eastAsia="Times New Roman" w:cstheme="minorHAnsi"/>
          <w:i/>
          <w:sz w:val="24"/>
          <w:szCs w:val="24"/>
        </w:rPr>
        <w:t xml:space="preserve"> St David of Wales Cult, Church and Nation, </w:t>
      </w:r>
      <w:proofErr w:type="gramStart"/>
      <w:r w:rsidRPr="003F1659">
        <w:rPr>
          <w:rFonts w:eastAsia="Times New Roman" w:cstheme="minorHAnsi"/>
          <w:sz w:val="24"/>
          <w:szCs w:val="24"/>
        </w:rPr>
        <w:t>ed</w:t>
      </w:r>
      <w:proofErr w:type="gramEnd"/>
      <w:r w:rsidRPr="003F1659">
        <w:rPr>
          <w:rFonts w:eastAsia="Times New Roman" w:cstheme="minorHAnsi"/>
          <w:sz w:val="24"/>
          <w:szCs w:val="24"/>
        </w:rPr>
        <w:t xml:space="preserve">. By Evans, J. </w:t>
      </w:r>
      <w:proofErr w:type="spellStart"/>
      <w:r w:rsidRPr="003F1659">
        <w:rPr>
          <w:rFonts w:eastAsia="Times New Roman" w:cstheme="minorHAnsi"/>
          <w:sz w:val="24"/>
          <w:szCs w:val="24"/>
        </w:rPr>
        <w:t>Wyn</w:t>
      </w:r>
      <w:proofErr w:type="spellEnd"/>
      <w:r w:rsidRPr="003F1659">
        <w:rPr>
          <w:rFonts w:eastAsia="Times New Roman" w:cstheme="minorHAnsi"/>
          <w:sz w:val="24"/>
          <w:szCs w:val="24"/>
        </w:rPr>
        <w:t>, and Jonathan M. Wooding</w:t>
      </w:r>
      <w:r w:rsidRPr="003F1659">
        <w:rPr>
          <w:rFonts w:eastAsia="Times New Roman" w:cstheme="minorHAnsi"/>
          <w:i/>
          <w:sz w:val="24"/>
          <w:szCs w:val="24"/>
        </w:rPr>
        <w:t xml:space="preserve"> </w:t>
      </w:r>
      <w:r w:rsidRPr="003F1659">
        <w:rPr>
          <w:rFonts w:eastAsia="Times New Roman" w:cstheme="minorHAnsi"/>
          <w:sz w:val="24"/>
          <w:szCs w:val="24"/>
        </w:rPr>
        <w:t xml:space="preserve">(Woodbridge: </w:t>
      </w:r>
      <w:proofErr w:type="spellStart"/>
      <w:r w:rsidRPr="003F1659">
        <w:rPr>
          <w:rFonts w:eastAsia="Times New Roman" w:cstheme="minorHAnsi"/>
          <w:sz w:val="24"/>
          <w:szCs w:val="24"/>
        </w:rPr>
        <w:t>Boydell</w:t>
      </w:r>
      <w:proofErr w:type="spellEnd"/>
      <w:r w:rsidRPr="003F1659">
        <w:rPr>
          <w:rFonts w:eastAsia="Times New Roman" w:cstheme="minorHAnsi"/>
          <w:sz w:val="24"/>
          <w:szCs w:val="24"/>
        </w:rPr>
        <w:t xml:space="preserve"> &amp; Brewer, 2007)</w:t>
      </w:r>
      <w:r>
        <w:rPr>
          <w:rFonts w:eastAsia="Times New Roman" w:cstheme="minorHAnsi"/>
          <w:sz w:val="24"/>
          <w:szCs w:val="24"/>
        </w:rPr>
        <w:t xml:space="preserve"> pp161-181</w:t>
      </w:r>
      <w:r w:rsidRPr="003F1659">
        <w:rPr>
          <w:rFonts w:eastAsia="Times New Roman" w:cstheme="minorHAnsi"/>
          <w:sz w:val="24"/>
          <w:szCs w:val="24"/>
        </w:rPr>
        <w:t>.</w:t>
      </w:r>
    </w:p>
    <w:p w:rsidR="0002151D" w:rsidRDefault="0002151D" w:rsidP="0002151D">
      <w:pPr>
        <w:spacing w:after="0" w:line="240" w:lineRule="auto"/>
        <w:rPr>
          <w:rFonts w:eastAsia="Times New Roman" w:cstheme="minorHAnsi"/>
          <w:sz w:val="24"/>
          <w:szCs w:val="24"/>
        </w:rPr>
      </w:pPr>
    </w:p>
    <w:p w:rsidR="0002151D" w:rsidRDefault="0002151D" w:rsidP="0002151D">
      <w:pPr>
        <w:spacing w:after="0" w:line="240" w:lineRule="auto"/>
        <w:rPr>
          <w:rFonts w:eastAsia="Times New Roman" w:cstheme="minorHAnsi"/>
          <w:sz w:val="24"/>
          <w:szCs w:val="24"/>
        </w:rPr>
      </w:pPr>
      <w:r>
        <w:rPr>
          <w:rFonts w:eastAsia="Times New Roman" w:cstheme="minorHAnsi"/>
          <w:sz w:val="24"/>
          <w:szCs w:val="24"/>
        </w:rPr>
        <w:t xml:space="preserve">Miles, John, </w:t>
      </w:r>
      <w:r>
        <w:rPr>
          <w:rFonts w:eastAsia="Times New Roman" w:cstheme="minorHAnsi"/>
          <w:i/>
          <w:sz w:val="24"/>
          <w:szCs w:val="24"/>
        </w:rPr>
        <w:t xml:space="preserve">Gerald of Wales, </w:t>
      </w:r>
      <w:r>
        <w:rPr>
          <w:rFonts w:eastAsia="Times New Roman" w:cstheme="minorHAnsi"/>
          <w:sz w:val="24"/>
          <w:szCs w:val="24"/>
        </w:rPr>
        <w:t>(</w:t>
      </w:r>
      <w:proofErr w:type="spellStart"/>
      <w:r>
        <w:rPr>
          <w:rFonts w:eastAsia="Times New Roman" w:cstheme="minorHAnsi"/>
          <w:sz w:val="24"/>
          <w:szCs w:val="24"/>
        </w:rPr>
        <w:t>Llandysul</w:t>
      </w:r>
      <w:proofErr w:type="spellEnd"/>
      <w:r>
        <w:rPr>
          <w:rFonts w:eastAsia="Times New Roman" w:cstheme="minorHAnsi"/>
          <w:sz w:val="24"/>
          <w:szCs w:val="24"/>
        </w:rPr>
        <w:t>: J.D. Lewis and Sons, Ltd, Gomer Press, 1974).</w:t>
      </w:r>
    </w:p>
    <w:p w:rsidR="0002151D" w:rsidRDefault="0002151D" w:rsidP="0002151D">
      <w:pPr>
        <w:spacing w:after="0" w:line="240" w:lineRule="auto"/>
      </w:pPr>
    </w:p>
    <w:p w:rsidR="0002151D" w:rsidRDefault="0002151D" w:rsidP="0002151D">
      <w:pPr>
        <w:spacing w:after="0" w:line="240" w:lineRule="auto"/>
      </w:pPr>
    </w:p>
    <w:p w:rsidR="0002151D" w:rsidRPr="00A169A5" w:rsidRDefault="0002151D" w:rsidP="0002151D">
      <w:pPr>
        <w:spacing w:after="0" w:line="240" w:lineRule="auto"/>
        <w:ind w:left="720" w:hanging="720"/>
        <w:rPr>
          <w:rFonts w:eastAsia="Times New Roman" w:cstheme="minorHAnsi"/>
          <w:sz w:val="24"/>
          <w:szCs w:val="24"/>
        </w:rPr>
      </w:pPr>
      <w:r>
        <w:t xml:space="preserve">Toke, L, ’Saint David’, </w:t>
      </w:r>
      <w:r>
        <w:rPr>
          <w:i/>
        </w:rPr>
        <w:t xml:space="preserve">The Catholic Encyclopedia </w:t>
      </w:r>
      <w:r w:rsidRPr="000024B9">
        <w:t xml:space="preserve">(New York: Robert </w:t>
      </w:r>
      <w:proofErr w:type="spellStart"/>
      <w:r w:rsidRPr="000024B9">
        <w:t>Appeton</w:t>
      </w:r>
      <w:proofErr w:type="spellEnd"/>
      <w:r w:rsidRPr="000024B9">
        <w:t xml:space="preserve"> Company</w:t>
      </w:r>
      <w:r>
        <w:t>, 1908</w:t>
      </w:r>
      <w:r w:rsidRPr="000024B9">
        <w:t>)</w:t>
      </w:r>
      <w:r>
        <w:t>, www.newadvent.org/cathen/04640b.htm.</w:t>
      </w:r>
    </w:p>
    <w:p w:rsidR="0002151D" w:rsidRPr="003F1659" w:rsidRDefault="0002151D" w:rsidP="0002151D">
      <w:pPr>
        <w:spacing w:after="0" w:line="240" w:lineRule="auto"/>
        <w:rPr>
          <w:rFonts w:eastAsia="Times New Roman" w:cstheme="minorHAnsi"/>
          <w:sz w:val="24"/>
          <w:szCs w:val="24"/>
        </w:rPr>
      </w:pPr>
    </w:p>
    <w:p w:rsidR="0002151D" w:rsidRPr="003F1659" w:rsidRDefault="0002151D" w:rsidP="0002151D">
      <w:pPr>
        <w:spacing w:after="0" w:line="240" w:lineRule="auto"/>
        <w:rPr>
          <w:rFonts w:eastAsia="Times New Roman" w:cstheme="minorHAnsi"/>
          <w:sz w:val="24"/>
          <w:szCs w:val="24"/>
        </w:rPr>
      </w:pPr>
    </w:p>
    <w:p w:rsidR="0002151D" w:rsidRDefault="0002151D" w:rsidP="0002151D">
      <w:pPr>
        <w:spacing w:after="0" w:line="240" w:lineRule="auto"/>
        <w:rPr>
          <w:rFonts w:ascii="Times New Roman" w:eastAsia="Times New Roman" w:hAnsi="Times New Roman" w:cs="Times New Roman"/>
          <w:sz w:val="24"/>
          <w:szCs w:val="24"/>
        </w:rPr>
      </w:pPr>
    </w:p>
    <w:p w:rsidR="0002151D" w:rsidRPr="0021403C" w:rsidRDefault="0002151D" w:rsidP="0002151D">
      <w:pPr>
        <w:spacing w:after="0" w:line="240" w:lineRule="auto"/>
        <w:rPr>
          <w:rFonts w:ascii="Times New Roman" w:eastAsia="Times New Roman" w:hAnsi="Times New Roman" w:cs="Times New Roman"/>
          <w:sz w:val="24"/>
          <w:szCs w:val="24"/>
        </w:rPr>
      </w:pPr>
    </w:p>
    <w:p w:rsidR="0002151D" w:rsidRDefault="0002151D" w:rsidP="0002151D">
      <w:pPr>
        <w:spacing w:after="0" w:line="240" w:lineRule="auto"/>
        <w:rPr>
          <w:rFonts w:ascii="Times New Roman" w:eastAsia="Times New Roman" w:hAnsi="Times New Roman" w:cs="Times New Roman"/>
          <w:sz w:val="24"/>
          <w:szCs w:val="24"/>
        </w:rPr>
      </w:pPr>
    </w:p>
    <w:p w:rsidR="0002151D" w:rsidRPr="00996E31" w:rsidRDefault="0002151D" w:rsidP="0002151D">
      <w:pPr>
        <w:spacing w:after="0" w:line="240" w:lineRule="auto"/>
        <w:rPr>
          <w:rFonts w:ascii="Times New Roman" w:eastAsia="Times New Roman" w:hAnsi="Times New Roman" w:cs="Times New Roman"/>
          <w:sz w:val="24"/>
          <w:szCs w:val="24"/>
        </w:rPr>
      </w:pPr>
    </w:p>
    <w:p w:rsidR="0002151D" w:rsidRPr="009F6C68" w:rsidRDefault="0002151D" w:rsidP="0002151D">
      <w:pPr>
        <w:rPr>
          <w:sz w:val="24"/>
          <w:szCs w:val="24"/>
          <w:u w:val="single"/>
        </w:rPr>
      </w:pPr>
    </w:p>
    <w:p w:rsidR="0002151D" w:rsidRPr="00D80773" w:rsidRDefault="0002151D" w:rsidP="0002151D">
      <w:pPr>
        <w:rPr>
          <w:sz w:val="24"/>
          <w:szCs w:val="24"/>
        </w:rPr>
      </w:pPr>
    </w:p>
    <w:p w:rsidR="0002151D" w:rsidRPr="00546AE4" w:rsidRDefault="0002151D" w:rsidP="00546AE4">
      <w:pPr>
        <w:rPr>
          <w:sz w:val="32"/>
          <w:szCs w:val="32"/>
        </w:rPr>
      </w:pPr>
    </w:p>
    <w:sectPr w:rsidR="0002151D" w:rsidRPr="00546A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5A9" w:rsidRDefault="008165A9" w:rsidP="0002151D">
      <w:pPr>
        <w:spacing w:after="0" w:line="240" w:lineRule="auto"/>
      </w:pPr>
      <w:r>
        <w:separator/>
      </w:r>
    </w:p>
  </w:endnote>
  <w:endnote w:type="continuationSeparator" w:id="0">
    <w:p w:rsidR="008165A9" w:rsidRDefault="008165A9" w:rsidP="00021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5A9" w:rsidRDefault="008165A9" w:rsidP="0002151D">
      <w:pPr>
        <w:spacing w:after="0" w:line="240" w:lineRule="auto"/>
      </w:pPr>
      <w:r>
        <w:separator/>
      </w:r>
    </w:p>
  </w:footnote>
  <w:footnote w:type="continuationSeparator" w:id="0">
    <w:p w:rsidR="008165A9" w:rsidRDefault="008165A9" w:rsidP="0002151D">
      <w:pPr>
        <w:spacing w:after="0" w:line="240" w:lineRule="auto"/>
      </w:pPr>
      <w:r>
        <w:continuationSeparator/>
      </w:r>
    </w:p>
  </w:footnote>
  <w:footnote w:id="1">
    <w:p w:rsidR="0002151D" w:rsidRPr="00601099" w:rsidRDefault="0002151D" w:rsidP="0002151D">
      <w:pPr>
        <w:spacing w:after="0" w:line="240" w:lineRule="auto"/>
        <w:rPr>
          <w:rFonts w:ascii="Times New Roman" w:eastAsia="Times New Roman" w:hAnsi="Times New Roman" w:cs="Times New Roman"/>
          <w:sz w:val="20"/>
          <w:szCs w:val="20"/>
        </w:rPr>
      </w:pPr>
      <w:r>
        <w:rPr>
          <w:rStyle w:val="FootnoteReference"/>
        </w:rPr>
        <w:footnoteRef/>
      </w:r>
      <w:r>
        <w:t xml:space="preserve"> </w:t>
      </w:r>
      <w:r w:rsidRPr="0033048A">
        <w:rPr>
          <w:rFonts w:ascii="Times New Roman" w:eastAsia="Times New Roman" w:hAnsi="Times New Roman" w:cs="Times New Roman"/>
          <w:sz w:val="24"/>
          <w:szCs w:val="24"/>
        </w:rPr>
        <w:t xml:space="preserve"> </w:t>
      </w:r>
      <w:r w:rsidRPr="00601099">
        <w:rPr>
          <w:rFonts w:eastAsia="Times New Roman" w:cstheme="minorHAnsi"/>
          <w:sz w:val="20"/>
          <w:szCs w:val="20"/>
        </w:rPr>
        <w:t>G.R. Isaac, ‘</w:t>
      </w:r>
      <w:proofErr w:type="spellStart"/>
      <w:r w:rsidRPr="00601099">
        <w:rPr>
          <w:rFonts w:eastAsia="Times New Roman" w:cstheme="minorHAnsi"/>
          <w:i/>
          <w:sz w:val="20"/>
          <w:szCs w:val="20"/>
        </w:rPr>
        <w:t>Armes</w:t>
      </w:r>
      <w:proofErr w:type="spellEnd"/>
      <w:r w:rsidRPr="00601099">
        <w:rPr>
          <w:rFonts w:eastAsia="Times New Roman" w:cstheme="minorHAnsi"/>
          <w:i/>
          <w:sz w:val="20"/>
          <w:szCs w:val="20"/>
        </w:rPr>
        <w:t xml:space="preserve"> </w:t>
      </w:r>
      <w:proofErr w:type="spellStart"/>
      <w:r w:rsidRPr="00601099">
        <w:rPr>
          <w:rFonts w:eastAsia="Times New Roman" w:cstheme="minorHAnsi"/>
          <w:i/>
          <w:sz w:val="20"/>
          <w:szCs w:val="20"/>
        </w:rPr>
        <w:t>Prydain</w:t>
      </w:r>
      <w:proofErr w:type="spellEnd"/>
      <w:r w:rsidRPr="00601099">
        <w:rPr>
          <w:rFonts w:eastAsia="Times New Roman" w:cstheme="minorHAnsi"/>
          <w:i/>
          <w:sz w:val="20"/>
          <w:szCs w:val="20"/>
        </w:rPr>
        <w:t xml:space="preserve"> </w:t>
      </w:r>
      <w:proofErr w:type="spellStart"/>
      <w:r w:rsidRPr="00601099">
        <w:rPr>
          <w:rFonts w:eastAsia="Times New Roman" w:cstheme="minorHAnsi"/>
          <w:i/>
          <w:sz w:val="20"/>
          <w:szCs w:val="20"/>
        </w:rPr>
        <w:t>Fawr</w:t>
      </w:r>
      <w:proofErr w:type="spellEnd"/>
      <w:r w:rsidRPr="00601099">
        <w:rPr>
          <w:rFonts w:eastAsia="Times New Roman" w:cstheme="minorHAnsi"/>
          <w:i/>
          <w:sz w:val="20"/>
          <w:szCs w:val="20"/>
        </w:rPr>
        <w:t xml:space="preserve"> </w:t>
      </w:r>
      <w:r w:rsidRPr="00601099">
        <w:rPr>
          <w:rFonts w:eastAsia="Times New Roman" w:cstheme="minorHAnsi"/>
          <w:sz w:val="20"/>
          <w:szCs w:val="20"/>
        </w:rPr>
        <w:t>and St. David’,</w:t>
      </w:r>
      <w:r w:rsidRPr="00601099">
        <w:rPr>
          <w:rFonts w:eastAsia="Times New Roman" w:cstheme="minorHAnsi"/>
          <w:i/>
          <w:sz w:val="20"/>
          <w:szCs w:val="20"/>
        </w:rPr>
        <w:t xml:space="preserve"> St David of Wales Cult, Church and Nation, </w:t>
      </w:r>
      <w:proofErr w:type="gramStart"/>
      <w:r w:rsidRPr="00601099">
        <w:rPr>
          <w:rFonts w:eastAsia="Times New Roman" w:cstheme="minorHAnsi"/>
          <w:sz w:val="20"/>
          <w:szCs w:val="20"/>
        </w:rPr>
        <w:t>ed</w:t>
      </w:r>
      <w:proofErr w:type="gramEnd"/>
      <w:r w:rsidRPr="00601099">
        <w:rPr>
          <w:rFonts w:eastAsia="Times New Roman" w:cstheme="minorHAnsi"/>
          <w:sz w:val="20"/>
          <w:szCs w:val="20"/>
        </w:rPr>
        <w:t xml:space="preserve">. By Evans, J. </w:t>
      </w:r>
      <w:proofErr w:type="spellStart"/>
      <w:r w:rsidRPr="00601099">
        <w:rPr>
          <w:rFonts w:eastAsia="Times New Roman" w:cstheme="minorHAnsi"/>
          <w:sz w:val="20"/>
          <w:szCs w:val="20"/>
        </w:rPr>
        <w:t>Wyn</w:t>
      </w:r>
      <w:proofErr w:type="spellEnd"/>
      <w:r w:rsidRPr="00601099">
        <w:rPr>
          <w:rFonts w:eastAsia="Times New Roman" w:cstheme="minorHAnsi"/>
          <w:sz w:val="20"/>
          <w:szCs w:val="20"/>
        </w:rPr>
        <w:t>, and Jonathan M. Wooding</w:t>
      </w:r>
      <w:r w:rsidRPr="00601099">
        <w:rPr>
          <w:rFonts w:eastAsia="Times New Roman" w:cstheme="minorHAnsi"/>
          <w:i/>
          <w:sz w:val="20"/>
          <w:szCs w:val="20"/>
        </w:rPr>
        <w:t xml:space="preserve"> </w:t>
      </w:r>
      <w:r w:rsidRPr="00601099">
        <w:rPr>
          <w:rFonts w:eastAsia="Times New Roman" w:cstheme="minorHAnsi"/>
          <w:sz w:val="20"/>
          <w:szCs w:val="20"/>
        </w:rPr>
        <w:t xml:space="preserve">(Woodbridge: </w:t>
      </w:r>
      <w:proofErr w:type="spellStart"/>
      <w:r w:rsidRPr="00601099">
        <w:rPr>
          <w:rFonts w:eastAsia="Times New Roman" w:cstheme="minorHAnsi"/>
          <w:sz w:val="20"/>
          <w:szCs w:val="20"/>
        </w:rPr>
        <w:t>Boydell</w:t>
      </w:r>
      <w:proofErr w:type="spellEnd"/>
      <w:r w:rsidRPr="00601099">
        <w:rPr>
          <w:rFonts w:eastAsia="Times New Roman" w:cstheme="minorHAnsi"/>
          <w:sz w:val="20"/>
          <w:szCs w:val="20"/>
        </w:rPr>
        <w:t xml:space="preserve"> &amp; Brewer, 2007)</w:t>
      </w:r>
      <w:proofErr w:type="gramStart"/>
      <w:r w:rsidRPr="00601099">
        <w:rPr>
          <w:rFonts w:eastAsia="Times New Roman" w:cstheme="minorHAnsi"/>
          <w:sz w:val="20"/>
          <w:szCs w:val="20"/>
        </w:rPr>
        <w:t>,pp161</w:t>
      </w:r>
      <w:proofErr w:type="gramEnd"/>
      <w:r w:rsidRPr="00601099">
        <w:rPr>
          <w:rFonts w:eastAsia="Times New Roman" w:cstheme="minorHAnsi"/>
          <w:sz w:val="20"/>
          <w:szCs w:val="20"/>
        </w:rPr>
        <w:t>-181,(p181).</w:t>
      </w:r>
    </w:p>
    <w:p w:rsidR="0002151D" w:rsidRDefault="0002151D" w:rsidP="0002151D">
      <w:pPr>
        <w:pStyle w:val="FootnoteText"/>
      </w:pPr>
    </w:p>
  </w:footnote>
  <w:footnote w:id="2">
    <w:p w:rsidR="0002151D" w:rsidRPr="00601099" w:rsidRDefault="0002151D" w:rsidP="0002151D">
      <w:pPr>
        <w:pStyle w:val="FootnoteText"/>
      </w:pPr>
      <w:r>
        <w:rPr>
          <w:rStyle w:val="FootnoteReference"/>
        </w:rPr>
        <w:footnoteRef/>
      </w:r>
      <w:r>
        <w:t xml:space="preserve"> </w:t>
      </w:r>
      <w:proofErr w:type="spellStart"/>
      <w:r>
        <w:t>E.G.Bowen</w:t>
      </w:r>
      <w:proofErr w:type="spellEnd"/>
      <w:r>
        <w:t xml:space="preserve">, </w:t>
      </w:r>
      <w:proofErr w:type="spellStart"/>
      <w:r>
        <w:rPr>
          <w:i/>
        </w:rPr>
        <w:t>Dewi</w:t>
      </w:r>
      <w:proofErr w:type="spellEnd"/>
      <w:r>
        <w:rPr>
          <w:i/>
        </w:rPr>
        <w:t xml:space="preserve"> </w:t>
      </w:r>
      <w:proofErr w:type="spellStart"/>
      <w:r>
        <w:rPr>
          <w:i/>
        </w:rPr>
        <w:t>Sant</w:t>
      </w:r>
      <w:proofErr w:type="spellEnd"/>
      <w:r>
        <w:rPr>
          <w:i/>
        </w:rPr>
        <w:t xml:space="preserve">/Saint David, </w:t>
      </w:r>
      <w:r>
        <w:t>(Cardiff: University of Wales Press, 1983) p11.</w:t>
      </w:r>
    </w:p>
  </w:footnote>
  <w:footnote w:id="3">
    <w:p w:rsidR="0002151D" w:rsidRDefault="0002151D" w:rsidP="0002151D">
      <w:pPr>
        <w:pStyle w:val="FootnoteText"/>
      </w:pPr>
      <w:r>
        <w:rPr>
          <w:rStyle w:val="FootnoteReference"/>
        </w:rPr>
        <w:footnoteRef/>
      </w:r>
      <w:r>
        <w:t xml:space="preserve"> John Reuben Davies, ‘Some Observations on the Nero, Digby, and Vespasian Recensions </w:t>
      </w:r>
      <w:proofErr w:type="gramStart"/>
      <w:r>
        <w:t>Of</w:t>
      </w:r>
      <w:proofErr w:type="gramEnd"/>
      <w:r>
        <w:t xml:space="preserve"> Vita S. David’,</w:t>
      </w:r>
      <w:r w:rsidRPr="00601099">
        <w:rPr>
          <w:rFonts w:eastAsia="Times New Roman" w:cstheme="minorHAnsi"/>
          <w:i/>
        </w:rPr>
        <w:t xml:space="preserve"> St David of Wales Cult, Church and Nation, </w:t>
      </w:r>
      <w:r w:rsidRPr="00601099">
        <w:rPr>
          <w:rFonts w:eastAsia="Times New Roman" w:cstheme="minorHAnsi"/>
        </w:rPr>
        <w:t xml:space="preserve">ed. By Evans, J. </w:t>
      </w:r>
      <w:proofErr w:type="spellStart"/>
      <w:r w:rsidRPr="00601099">
        <w:rPr>
          <w:rFonts w:eastAsia="Times New Roman" w:cstheme="minorHAnsi"/>
        </w:rPr>
        <w:t>Wyn</w:t>
      </w:r>
      <w:proofErr w:type="spellEnd"/>
      <w:r w:rsidRPr="00601099">
        <w:rPr>
          <w:rFonts w:eastAsia="Times New Roman" w:cstheme="minorHAnsi"/>
        </w:rPr>
        <w:t>, and Jonathan M. Wooding</w:t>
      </w:r>
      <w:r w:rsidRPr="00601099">
        <w:rPr>
          <w:rFonts w:eastAsia="Times New Roman" w:cstheme="minorHAnsi"/>
          <w:i/>
        </w:rPr>
        <w:t xml:space="preserve"> </w:t>
      </w:r>
      <w:r w:rsidRPr="00601099">
        <w:rPr>
          <w:rFonts w:eastAsia="Times New Roman" w:cstheme="minorHAnsi"/>
        </w:rPr>
        <w:t>(Woo</w:t>
      </w:r>
      <w:r>
        <w:rPr>
          <w:rFonts w:eastAsia="Times New Roman" w:cstheme="minorHAnsi"/>
        </w:rPr>
        <w:t xml:space="preserve">dbridge: </w:t>
      </w:r>
      <w:proofErr w:type="spellStart"/>
      <w:r>
        <w:rPr>
          <w:rFonts w:eastAsia="Times New Roman" w:cstheme="minorHAnsi"/>
        </w:rPr>
        <w:t>Boydell</w:t>
      </w:r>
      <w:proofErr w:type="spellEnd"/>
      <w:r>
        <w:rPr>
          <w:rFonts w:eastAsia="Times New Roman" w:cstheme="minorHAnsi"/>
        </w:rPr>
        <w:t xml:space="preserve"> &amp; Brewer, 2007) pp157-160, p160.</w:t>
      </w:r>
    </w:p>
  </w:footnote>
  <w:footnote w:id="4">
    <w:p w:rsidR="0002151D" w:rsidRDefault="0002151D" w:rsidP="0002151D">
      <w:pPr>
        <w:pStyle w:val="FootnoteText"/>
      </w:pPr>
      <w:r>
        <w:rPr>
          <w:rStyle w:val="FootnoteReference"/>
        </w:rPr>
        <w:footnoteRef/>
      </w:r>
      <w:r>
        <w:t xml:space="preserve"> David C. Douglas, ‘The King in the Church’, </w:t>
      </w:r>
      <w:r w:rsidRPr="000024B9">
        <w:rPr>
          <w:i/>
        </w:rPr>
        <w:t>William the Conqueror</w:t>
      </w:r>
      <w:r>
        <w:t xml:space="preserve"> (New Haven: Yale University Press, 2017), pp. 317–45, p325.</w:t>
      </w:r>
    </w:p>
    <w:p w:rsidR="0002151D" w:rsidRDefault="0002151D" w:rsidP="0002151D">
      <w:pPr>
        <w:pStyle w:val="FootnoteText"/>
      </w:pPr>
      <w:r>
        <w:rPr>
          <w:rStyle w:val="FootnoteReference"/>
        </w:rPr>
        <w:t>5</w:t>
      </w:r>
      <w:r>
        <w:t xml:space="preserve"> Douglas, p323.</w:t>
      </w:r>
    </w:p>
    <w:p w:rsidR="0002151D" w:rsidRDefault="0002151D" w:rsidP="0002151D">
      <w:pPr>
        <w:pStyle w:val="FootnoteText"/>
      </w:pPr>
    </w:p>
    <w:p w:rsidR="0002151D" w:rsidRDefault="0002151D" w:rsidP="0002151D">
      <w:pPr>
        <w:pStyle w:val="FootnoteText"/>
      </w:pPr>
    </w:p>
    <w:p w:rsidR="0002151D" w:rsidRDefault="0002151D" w:rsidP="0002151D">
      <w:pPr>
        <w:pStyle w:val="FootnoteText"/>
      </w:pPr>
    </w:p>
  </w:footnote>
  <w:footnote w:id="5">
    <w:p w:rsidR="0002151D" w:rsidRDefault="0002151D" w:rsidP="0002151D">
      <w:pPr>
        <w:pStyle w:val="FootnoteText"/>
      </w:pPr>
    </w:p>
  </w:footnote>
  <w:footnote w:id="6">
    <w:p w:rsidR="0002151D" w:rsidRDefault="0002151D" w:rsidP="0002151D">
      <w:pPr>
        <w:pStyle w:val="FootnoteText"/>
      </w:pPr>
      <w:r>
        <w:rPr>
          <w:rStyle w:val="FootnoteReference"/>
        </w:rPr>
        <w:footnoteRef/>
      </w:r>
      <w:r>
        <w:t xml:space="preserve"> </w:t>
      </w:r>
      <w:r w:rsidRPr="00491961">
        <w:rPr>
          <w:rFonts w:cstheme="minorHAnsi"/>
          <w:color w:val="333333"/>
        </w:rPr>
        <w:t xml:space="preserve"> </w:t>
      </w:r>
      <w:proofErr w:type="spellStart"/>
      <w:r w:rsidRPr="00491961">
        <w:rPr>
          <w:rFonts w:cstheme="minorHAnsi"/>
          <w:color w:val="333333"/>
        </w:rPr>
        <w:t>Owain</w:t>
      </w:r>
      <w:proofErr w:type="spellEnd"/>
      <w:r w:rsidRPr="00491961">
        <w:rPr>
          <w:rFonts w:cstheme="minorHAnsi"/>
          <w:color w:val="333333"/>
        </w:rPr>
        <w:t>, Edwards, “Welsh Saints’ Lives as Legendary Propaganda.” </w:t>
      </w:r>
      <w:r w:rsidRPr="00491961">
        <w:rPr>
          <w:rFonts w:cstheme="minorHAnsi"/>
          <w:i/>
          <w:iCs/>
          <w:color w:val="333333"/>
          <w:bdr w:val="none" w:sz="0" w:space="0" w:color="auto" w:frame="1"/>
        </w:rPr>
        <w:t>Oral Tradition</w:t>
      </w:r>
      <w:r w:rsidRPr="00491961">
        <w:rPr>
          <w:rFonts w:cstheme="minorHAnsi"/>
          <w:color w:val="333333"/>
        </w:rPr>
        <w:t>, vol. 23, no. 2, Mar. 2008</w:t>
      </w:r>
    </w:p>
  </w:footnote>
  <w:footnote w:id="7">
    <w:p w:rsidR="0002151D" w:rsidRDefault="0002151D" w:rsidP="0002151D">
      <w:pPr>
        <w:pStyle w:val="FootnoteText"/>
      </w:pPr>
      <w:r>
        <w:rPr>
          <w:rStyle w:val="FootnoteReference"/>
        </w:rPr>
        <w:footnoteRef/>
      </w:r>
      <w:r>
        <w:t xml:space="preserve"> </w:t>
      </w:r>
      <w:proofErr w:type="spellStart"/>
      <w:r>
        <w:t>Robert</w:t>
      </w:r>
      <w:proofErr w:type="gramStart"/>
      <w:r>
        <w:t>,Bartlett</w:t>
      </w:r>
      <w:proofErr w:type="spellEnd"/>
      <w:proofErr w:type="gramEnd"/>
      <w:r>
        <w:t>,</w:t>
      </w:r>
      <w:r w:rsidRPr="000024B9">
        <w:rPr>
          <w:i/>
        </w:rPr>
        <w:t xml:space="preserve"> Why Can the Dead Do Such Great Things? : Saints and Worshippers from the Martyrs to the Reformation </w:t>
      </w:r>
      <w:r>
        <w:t>(Princeton, NJ: Princeton University Press,, 2013)p34.</w:t>
      </w:r>
    </w:p>
    <w:p w:rsidR="0002151D" w:rsidRDefault="0002151D" w:rsidP="0002151D">
      <w:pPr>
        <w:pStyle w:val="FootnoteText"/>
      </w:pPr>
      <w:r>
        <w:t xml:space="preserve">   </w:t>
      </w:r>
    </w:p>
  </w:footnote>
  <w:footnote w:id="8">
    <w:p w:rsidR="0002151D" w:rsidRPr="000024B9" w:rsidRDefault="0002151D" w:rsidP="0002151D">
      <w:pPr>
        <w:pStyle w:val="FootnoteText"/>
        <w:rPr>
          <w:i/>
        </w:rPr>
      </w:pPr>
      <w:r>
        <w:rPr>
          <w:rStyle w:val="FootnoteReference"/>
        </w:rPr>
        <w:footnoteRef/>
      </w:r>
      <w:r>
        <w:t xml:space="preserve"> </w:t>
      </w:r>
      <w:proofErr w:type="spellStart"/>
      <w:r>
        <w:t>L.Toke,’Saint</w:t>
      </w:r>
      <w:proofErr w:type="spellEnd"/>
      <w:r>
        <w:t xml:space="preserve"> David’, </w:t>
      </w:r>
      <w:r>
        <w:rPr>
          <w:i/>
        </w:rPr>
        <w:t xml:space="preserve">The Catholic Encyclopedia </w:t>
      </w:r>
      <w:r w:rsidRPr="000024B9">
        <w:t xml:space="preserve">(New York: Robert </w:t>
      </w:r>
      <w:proofErr w:type="spellStart"/>
      <w:r w:rsidRPr="000024B9">
        <w:t>Appeton</w:t>
      </w:r>
      <w:proofErr w:type="spellEnd"/>
      <w:r w:rsidRPr="000024B9">
        <w:t xml:space="preserve"> Company</w:t>
      </w:r>
      <w:r>
        <w:t>, 1908</w:t>
      </w:r>
      <w:r w:rsidRPr="000024B9">
        <w:t>)</w:t>
      </w:r>
      <w:r>
        <w:t>, www.newadvent.org/cathen/04640b.htm.</w:t>
      </w:r>
    </w:p>
  </w:footnote>
  <w:footnote w:id="9">
    <w:p w:rsidR="0002151D" w:rsidRPr="00F62748" w:rsidRDefault="0002151D" w:rsidP="0002151D">
      <w:pPr>
        <w:pStyle w:val="FootnoteText"/>
      </w:pPr>
      <w:r>
        <w:rPr>
          <w:rStyle w:val="FootnoteReference"/>
        </w:rPr>
        <w:footnoteRef/>
      </w:r>
      <w:r>
        <w:t xml:space="preserve"> </w:t>
      </w:r>
      <w:proofErr w:type="spellStart"/>
      <w:r>
        <w:t>D.Simon</w:t>
      </w:r>
      <w:proofErr w:type="spellEnd"/>
      <w:r>
        <w:t xml:space="preserve"> Even, </w:t>
      </w:r>
      <w:r>
        <w:rPr>
          <w:i/>
        </w:rPr>
        <w:t>The Welsh Life of St. David</w:t>
      </w:r>
      <w:r>
        <w:t xml:space="preserve"> (Cardiff: University of Wales Press, 1988) </w:t>
      </w:r>
      <w:proofErr w:type="spellStart"/>
      <w:r>
        <w:t>pxiv</w:t>
      </w:r>
      <w:proofErr w:type="spellEnd"/>
      <w:r>
        <w:t>.</w:t>
      </w:r>
    </w:p>
  </w:footnote>
  <w:footnote w:id="10">
    <w:p w:rsidR="0002151D" w:rsidRDefault="0002151D" w:rsidP="0002151D">
      <w:pPr>
        <w:pStyle w:val="FootnoteText"/>
      </w:pPr>
      <w:r>
        <w:rPr>
          <w:rStyle w:val="FootnoteReference"/>
        </w:rPr>
        <w:footnoteRef/>
      </w:r>
      <w:r>
        <w:t xml:space="preserve"> </w:t>
      </w:r>
      <w:r>
        <w:rPr>
          <w:rFonts w:eastAsia="Times New Roman" w:cstheme="minorHAnsi"/>
        </w:rPr>
        <w:t xml:space="preserve"> John Reuben Davies. ‘</w:t>
      </w:r>
      <w:r w:rsidRPr="00421E01">
        <w:rPr>
          <w:rFonts w:eastAsia="Times New Roman" w:cstheme="minorHAnsi"/>
        </w:rPr>
        <w:t>Cathedrals and the Cult of Saints in Eleve</w:t>
      </w:r>
      <w:r>
        <w:rPr>
          <w:rFonts w:eastAsia="Times New Roman" w:cstheme="minorHAnsi"/>
        </w:rPr>
        <w:t>nth- and Twelfth-Century Wales.’</w:t>
      </w:r>
      <w:r w:rsidRPr="00421E01">
        <w:rPr>
          <w:rFonts w:eastAsia="Times New Roman" w:cstheme="minorHAnsi"/>
        </w:rPr>
        <w:t xml:space="preserve"> </w:t>
      </w:r>
      <w:r w:rsidRPr="00421E01">
        <w:rPr>
          <w:rFonts w:eastAsia="Times New Roman" w:cstheme="minorHAnsi"/>
          <w:i/>
          <w:iCs/>
        </w:rPr>
        <w:t>Cathedrals, Communities and Conflict in the Anglo-Norman World</w:t>
      </w:r>
      <w:r w:rsidRPr="00421E01">
        <w:rPr>
          <w:rFonts w:eastAsia="Times New Roman" w:cstheme="minorHAnsi"/>
        </w:rPr>
        <w:t>, edited</w:t>
      </w:r>
      <w:r>
        <w:rPr>
          <w:rFonts w:eastAsia="Times New Roman" w:cstheme="minorHAnsi"/>
        </w:rPr>
        <w:t xml:space="preserve"> by Paul Dalton et al., vol. 38 (Woodbridge:</w:t>
      </w:r>
      <w:r w:rsidRPr="00421E01">
        <w:rPr>
          <w:rFonts w:eastAsia="Times New Roman" w:cstheme="minorHAnsi"/>
        </w:rPr>
        <w:t xml:space="preserve"> </w:t>
      </w:r>
      <w:proofErr w:type="spellStart"/>
      <w:r w:rsidRPr="00421E01">
        <w:rPr>
          <w:rFonts w:eastAsia="Times New Roman" w:cstheme="minorHAnsi"/>
        </w:rPr>
        <w:t>Boydell</w:t>
      </w:r>
      <w:proofErr w:type="spellEnd"/>
      <w:r w:rsidRPr="00421E01">
        <w:rPr>
          <w:rFonts w:eastAsia="Times New Roman" w:cstheme="minorHAnsi"/>
        </w:rPr>
        <w:t xml:space="preserve"> &amp; Brewer, 2011</w:t>
      </w:r>
      <w:r>
        <w:rPr>
          <w:rFonts w:eastAsia="Times New Roman" w:cstheme="minorHAnsi"/>
        </w:rPr>
        <w:t>)</w:t>
      </w:r>
      <w:r w:rsidRPr="00421E01">
        <w:rPr>
          <w:rFonts w:eastAsia="Times New Roman" w:cstheme="minorHAnsi"/>
        </w:rPr>
        <w:t>, pp. 99–116.</w:t>
      </w:r>
      <w:r>
        <w:rPr>
          <w:rFonts w:eastAsia="Times New Roman" w:cstheme="minorHAnsi"/>
        </w:rPr>
        <w:t>p119.</w:t>
      </w:r>
    </w:p>
  </w:footnote>
  <w:footnote w:id="11">
    <w:p w:rsidR="0002151D" w:rsidRPr="00421E01" w:rsidRDefault="0002151D" w:rsidP="0002151D">
      <w:pPr>
        <w:pStyle w:val="FootnoteText"/>
      </w:pPr>
      <w:r>
        <w:rPr>
          <w:rStyle w:val="FootnoteReference"/>
        </w:rPr>
        <w:footnoteRef/>
      </w:r>
      <w:r>
        <w:t xml:space="preserve"> Bowen, </w:t>
      </w:r>
      <w:proofErr w:type="spellStart"/>
      <w:r>
        <w:rPr>
          <w:i/>
        </w:rPr>
        <w:t>Dewi</w:t>
      </w:r>
      <w:proofErr w:type="spellEnd"/>
      <w:r>
        <w:rPr>
          <w:i/>
        </w:rPr>
        <w:t xml:space="preserve"> </w:t>
      </w:r>
      <w:proofErr w:type="spellStart"/>
      <w:r>
        <w:rPr>
          <w:i/>
        </w:rPr>
        <w:t>Sant</w:t>
      </w:r>
      <w:proofErr w:type="spellEnd"/>
      <w:r>
        <w:rPr>
          <w:i/>
        </w:rPr>
        <w:t xml:space="preserve">, </w:t>
      </w:r>
      <w:r>
        <w:t>p97.</w:t>
      </w:r>
    </w:p>
  </w:footnote>
  <w:footnote w:id="12">
    <w:p w:rsidR="0002151D" w:rsidRPr="00E2415A" w:rsidRDefault="0002151D" w:rsidP="0002151D">
      <w:pPr>
        <w:pStyle w:val="FootnoteText"/>
      </w:pPr>
      <w:r>
        <w:rPr>
          <w:rStyle w:val="FootnoteReference"/>
        </w:rPr>
        <w:footnoteRef/>
      </w:r>
      <w:r>
        <w:t xml:space="preserve"> John Miles, </w:t>
      </w:r>
      <w:r>
        <w:rPr>
          <w:i/>
        </w:rPr>
        <w:t xml:space="preserve">Gerald of Wales, </w:t>
      </w:r>
      <w:r>
        <w:t>(</w:t>
      </w:r>
      <w:proofErr w:type="spellStart"/>
      <w:r>
        <w:t>Llandysul</w:t>
      </w:r>
      <w:proofErr w:type="spellEnd"/>
      <w:r>
        <w:t>: JD Lewis and Sons, Gomer Press, 1974) p41.</w:t>
      </w:r>
    </w:p>
  </w:footnote>
  <w:footnote w:id="13">
    <w:p w:rsidR="0002151D" w:rsidRDefault="0002151D" w:rsidP="0002151D">
      <w:pPr>
        <w:pStyle w:val="FootnoteText"/>
      </w:pPr>
      <w:r>
        <w:rPr>
          <w:rStyle w:val="FootnoteReference"/>
        </w:rPr>
        <w:footnoteRef/>
      </w:r>
      <w:r>
        <w:t xml:space="preserve"> Evans, </w:t>
      </w:r>
      <w:r w:rsidRPr="000079CA">
        <w:rPr>
          <w:i/>
        </w:rPr>
        <w:t>The Welsh Life</w:t>
      </w:r>
      <w:r>
        <w:t xml:space="preserve">, </w:t>
      </w:r>
      <w:proofErr w:type="spellStart"/>
      <w:r>
        <w:t>plii</w:t>
      </w:r>
      <w:proofErr w:type="spellEnd"/>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AE4"/>
    <w:rsid w:val="0002151D"/>
    <w:rsid w:val="00050BBF"/>
    <w:rsid w:val="00170FCE"/>
    <w:rsid w:val="00382453"/>
    <w:rsid w:val="00546AE4"/>
    <w:rsid w:val="008165A9"/>
    <w:rsid w:val="008C2851"/>
    <w:rsid w:val="00944FAD"/>
    <w:rsid w:val="00BB5F6B"/>
    <w:rsid w:val="00DE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C388B"/>
  <w15:chartTrackingRefBased/>
  <w15:docId w15:val="{0BD02F1E-CC49-4FE4-A221-E47C49AD8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6A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AE4"/>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6A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AE4"/>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0215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151D"/>
    <w:rPr>
      <w:sz w:val="20"/>
      <w:szCs w:val="20"/>
    </w:rPr>
  </w:style>
  <w:style w:type="character" w:styleId="FootnoteReference">
    <w:name w:val="footnote reference"/>
    <w:basedOn w:val="DefaultParagraphFont"/>
    <w:uiPriority w:val="99"/>
    <w:semiHidden/>
    <w:unhideWhenUsed/>
    <w:rsid w:val="0002151D"/>
    <w:rPr>
      <w:vertAlign w:val="superscript"/>
    </w:rPr>
  </w:style>
  <w:style w:type="character" w:styleId="Hyperlink">
    <w:name w:val="Hyperlink"/>
    <w:basedOn w:val="DefaultParagraphFont"/>
    <w:uiPriority w:val="99"/>
    <w:unhideWhenUsed/>
    <w:rsid w:val="000215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10.7722/j.ctt81q16.12.%20Accessed%2018%20Mar.%202023"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2566</Words>
  <Characters>14632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Tauck</dc:creator>
  <cp:keywords/>
  <dc:description/>
  <cp:lastModifiedBy>Tauck</cp:lastModifiedBy>
  <cp:revision>5</cp:revision>
  <dcterms:created xsi:type="dcterms:W3CDTF">2023-03-31T15:29:00Z</dcterms:created>
  <dcterms:modified xsi:type="dcterms:W3CDTF">2023-03-31T15:46:00Z</dcterms:modified>
</cp:coreProperties>
</file>