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904DE" w14:textId="6660180D"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My name is Gwawr </w:t>
      </w:r>
      <w:proofErr w:type="gramStart"/>
      <w:r w:rsidRPr="00D66C9C">
        <w:rPr>
          <w:rFonts w:ascii="Arial" w:hAnsi="Arial" w:cs="Arial"/>
          <w:color w:val="00B0F0"/>
          <w:sz w:val="20"/>
          <w:szCs w:val="20"/>
        </w:rPr>
        <w:t>Lewis</w:t>
      </w:r>
      <w:proofErr w:type="gramEnd"/>
      <w:r w:rsidRPr="00D66C9C">
        <w:rPr>
          <w:rFonts w:ascii="Arial" w:hAnsi="Arial" w:cs="Arial"/>
          <w:color w:val="00B0F0"/>
          <w:sz w:val="20"/>
          <w:szCs w:val="20"/>
        </w:rPr>
        <w:t xml:space="preserve"> and I am the allocated Lead Social Worker for this case, my responsibilities are framed by the Children Act 1989, Children Act 2004, and statutory guidance in Working Together to Safeguard Children (HM Government, 2023). My role is to ensure the safety and welfare of Joseph (aged 3) and Amelia (aged 10 months) by conducting a robust assessment of need and risk, convening a Section 47 investigation, and coordinating a Child Protection Plan following the Initial Child Protection Conference (ICPC) (Munro, 2011; HM Government, 2023).</w:t>
      </w:r>
    </w:p>
    <w:p w14:paraId="2B9C7EC8" w14:textId="77777777" w:rsidR="00AC55D8" w:rsidRPr="00D66C9C" w:rsidRDefault="00AC55D8" w:rsidP="00D66C9C">
      <w:pPr>
        <w:spacing w:line="276" w:lineRule="auto"/>
        <w:rPr>
          <w:rFonts w:ascii="Arial" w:hAnsi="Arial" w:cs="Arial"/>
          <w:color w:val="00B0F0"/>
          <w:sz w:val="20"/>
          <w:szCs w:val="20"/>
        </w:rPr>
      </w:pPr>
    </w:p>
    <w:p w14:paraId="2DB89919"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Social workers must act on the early identification of harm, coordinate information-sharing between agencies, and lead safeguarding interventions when the threshold of significant harm is met (Parton, 2014; Ferguson, 2017). These duties are guided by the principle of acting in the best interests of the child (UNCRC, 1989).</w:t>
      </w:r>
    </w:p>
    <w:p w14:paraId="69C27DD4" w14:textId="77777777" w:rsidR="00AC55D8" w:rsidRPr="00D66C9C" w:rsidRDefault="00AC55D8" w:rsidP="00D66C9C">
      <w:pPr>
        <w:spacing w:line="276" w:lineRule="auto"/>
        <w:rPr>
          <w:rFonts w:ascii="Arial" w:hAnsi="Arial" w:cs="Arial"/>
          <w:color w:val="00B0F0"/>
          <w:sz w:val="20"/>
          <w:szCs w:val="20"/>
        </w:rPr>
      </w:pPr>
    </w:p>
    <w:p w14:paraId="65621DE2" w14:textId="58BCA2A6"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The case was referred by 3 Multi agency Referral Forms, referred by the nursery, the health visitor and team around the family, following a pattern of concerning behaviours. </w:t>
      </w:r>
    </w:p>
    <w:p w14:paraId="00214836"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    Emotional withdrawal and developmental regression</w:t>
      </w:r>
    </w:p>
    <w:p w14:paraId="17DC02AE"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    Persistent poor hygiene and dirty clothing</w:t>
      </w:r>
    </w:p>
    <w:p w14:paraId="6E5F967D"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    Presentation by an unfamiliar adult male with signs of intoxication</w:t>
      </w:r>
    </w:p>
    <w:p w14:paraId="641D3A57" w14:textId="77777777" w:rsidR="00AC55D8" w:rsidRPr="00D66C9C" w:rsidRDefault="00AC55D8" w:rsidP="00D66C9C">
      <w:pPr>
        <w:spacing w:line="276" w:lineRule="auto"/>
        <w:rPr>
          <w:rFonts w:ascii="Arial" w:hAnsi="Arial" w:cs="Arial"/>
          <w:color w:val="00B0F0"/>
          <w:sz w:val="20"/>
          <w:szCs w:val="20"/>
        </w:rPr>
      </w:pPr>
    </w:p>
    <w:p w14:paraId="50541477" w14:textId="7E9DA29C"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These concerns were supported by internal nursery documentation, completed in line with Keeping Children Safe in Education (DfE, 2023). The nursery worker noted Joseph’s fear response, non-verbal behaviour, and a lack of explanation from her mother during discussions. Given the indicators of neglect, emotional abuse, and potential risk of exposure to domestic violence and substance misuse, I authorised a Section 47 investigation within 24 hours (Department for Education, 2023).</w:t>
      </w:r>
    </w:p>
    <w:p w14:paraId="79F1CAC5" w14:textId="77777777" w:rsidR="00AC55D8" w:rsidRPr="00D66C9C" w:rsidRDefault="00AC55D8" w:rsidP="00D66C9C">
      <w:pPr>
        <w:spacing w:line="276" w:lineRule="auto"/>
        <w:rPr>
          <w:rFonts w:ascii="Arial" w:hAnsi="Arial" w:cs="Arial"/>
          <w:color w:val="00B0F0"/>
          <w:sz w:val="20"/>
          <w:szCs w:val="20"/>
        </w:rPr>
      </w:pPr>
    </w:p>
    <w:p w14:paraId="4BFCD988" w14:textId="5821237F"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My Initial Home Visit and Assessment</w:t>
      </w:r>
    </w:p>
    <w:p w14:paraId="3E321AE3" w14:textId="77777777" w:rsidR="00AC55D8" w:rsidRPr="00D66C9C" w:rsidRDefault="00AC55D8" w:rsidP="00D66C9C">
      <w:pPr>
        <w:spacing w:line="276" w:lineRule="auto"/>
        <w:rPr>
          <w:rFonts w:ascii="Arial" w:hAnsi="Arial" w:cs="Arial"/>
          <w:color w:val="00B0F0"/>
          <w:sz w:val="20"/>
          <w:szCs w:val="20"/>
        </w:rPr>
      </w:pPr>
    </w:p>
    <w:p w14:paraId="27EE56A8" w14:textId="586F5743"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I made unannounced home visits within 24 hours of the TAF visit, consistent with statutory guidance (</w:t>
      </w:r>
      <w:proofErr w:type="spellStart"/>
      <w:r w:rsidRPr="00D66C9C">
        <w:rPr>
          <w:rFonts w:ascii="Arial" w:hAnsi="Arial" w:cs="Arial"/>
          <w:color w:val="00B0F0"/>
          <w:sz w:val="20"/>
          <w:szCs w:val="20"/>
        </w:rPr>
        <w:t>Childlawadvice</w:t>
      </w:r>
      <w:proofErr w:type="spellEnd"/>
      <w:r w:rsidRPr="00D66C9C">
        <w:rPr>
          <w:rFonts w:ascii="Arial" w:hAnsi="Arial" w:cs="Arial"/>
          <w:color w:val="00B0F0"/>
          <w:sz w:val="20"/>
          <w:szCs w:val="20"/>
        </w:rPr>
        <w:t>, n.d.).</w:t>
      </w:r>
    </w:p>
    <w:p w14:paraId="784A8DB5" w14:textId="77777777" w:rsidR="00AC55D8" w:rsidRPr="00D66C9C" w:rsidRDefault="00AC55D8" w:rsidP="00D66C9C">
      <w:pPr>
        <w:spacing w:line="276" w:lineRule="auto"/>
        <w:rPr>
          <w:rFonts w:ascii="Arial" w:hAnsi="Arial" w:cs="Arial"/>
          <w:color w:val="00B0F0"/>
          <w:sz w:val="20"/>
          <w:szCs w:val="20"/>
        </w:rPr>
      </w:pPr>
    </w:p>
    <w:p w14:paraId="1E744FA2"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When I arrived at the house, I noticed a ring doorbell at the door which rang and I was greeted by Jenny, who is the mother of both Joseph and Amelia. It was the only three of them present in the house at the time of my visit, although during my visit, mum was quite anxious, and regularly peeping and staring at the door.</w:t>
      </w:r>
    </w:p>
    <w:p w14:paraId="6F1FB9D7" w14:textId="77777777" w:rsidR="00AC55D8" w:rsidRPr="00D66C9C" w:rsidRDefault="00AC55D8" w:rsidP="00D66C9C">
      <w:pPr>
        <w:spacing w:line="276" w:lineRule="auto"/>
        <w:rPr>
          <w:rFonts w:ascii="Arial" w:hAnsi="Arial" w:cs="Arial"/>
          <w:color w:val="00B0F0"/>
          <w:sz w:val="20"/>
          <w:szCs w:val="20"/>
        </w:rPr>
      </w:pPr>
    </w:p>
    <w:p w14:paraId="2F295718"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When I visited and viewed the house, I noticed many a concern about the unsafe and unsanitary environment of their current living conditions, there were scattered soiled nappies, visible mould in both the shared and children’s bedroom spaces. </w:t>
      </w:r>
    </w:p>
    <w:p w14:paraId="5FFEF7AD"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Mum did declare to me about the lack of food and formula she had in the house that specific day, she declared that it was because she hadn’t had a chance to go shopping yet. </w:t>
      </w:r>
    </w:p>
    <w:p w14:paraId="53709E62" w14:textId="77777777" w:rsidR="00AC55D8" w:rsidRPr="00D66C9C" w:rsidRDefault="00AC55D8" w:rsidP="00D66C9C">
      <w:pPr>
        <w:spacing w:line="276" w:lineRule="auto"/>
        <w:rPr>
          <w:rFonts w:ascii="Arial" w:hAnsi="Arial" w:cs="Arial"/>
          <w:color w:val="00B0F0"/>
          <w:sz w:val="20"/>
          <w:szCs w:val="20"/>
        </w:rPr>
      </w:pPr>
    </w:p>
    <w:p w14:paraId="2278FD14"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I also picked up great concerns and signs of emotional neglect of both the children, Joseph was observed very withdrawn, unable to come forward to talk or play alongside me, he spent the time hiding behind different furniture, he wasn’t communicative at all. Joseph seemed very fearful and aware of the surroundings behind him, he also was peering at the door, looking like he expected it to open. Amelia was of greatest concern as she was visibly in a soiled nappy, still sat in an infant car seat. </w:t>
      </w:r>
    </w:p>
    <w:p w14:paraId="1691BC30" w14:textId="77777777" w:rsidR="00AC55D8" w:rsidRPr="00D66C9C" w:rsidRDefault="00AC55D8" w:rsidP="00D66C9C">
      <w:pPr>
        <w:spacing w:line="276" w:lineRule="auto"/>
        <w:rPr>
          <w:rFonts w:ascii="Arial" w:hAnsi="Arial" w:cs="Arial"/>
          <w:color w:val="00B0F0"/>
          <w:sz w:val="20"/>
          <w:szCs w:val="20"/>
        </w:rPr>
      </w:pPr>
    </w:p>
    <w:p w14:paraId="0074DDF9" w14:textId="32EFAB31"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I chatted to mum generally asking how things are going, she came across emotionally flat, she was unkept and seemed unbothered and very uncooperative to my questions and conversation. Following form, the information written in the MARF’s I asked mum about her partner, which she denied having, Mum explained that it was just the three of them in the house. There was no one else was involved. </w:t>
      </w:r>
      <w:r w:rsidRPr="00D66C9C">
        <w:rPr>
          <w:rFonts w:ascii="Arial" w:hAnsi="Arial" w:cs="Arial"/>
          <w:color w:val="00B0F0"/>
          <w:sz w:val="20"/>
          <w:szCs w:val="20"/>
        </w:rPr>
        <w:lastRenderedPageBreak/>
        <w:t>Which is conflicting with the MARF form’s I have received, which I declared with Jenny. To which she revised to say, I was with someone, but he won’t be coming back. After my visit I referred to Dyfed Powys Police, to raise concerns about the male in the house for further investigation. (Section 47 – Child Protection Enquiries)</w:t>
      </w:r>
    </w:p>
    <w:p w14:paraId="682E600B" w14:textId="77777777" w:rsidR="00AC55D8" w:rsidRPr="00D66C9C" w:rsidRDefault="00AC55D8" w:rsidP="00D66C9C">
      <w:pPr>
        <w:spacing w:line="276" w:lineRule="auto"/>
        <w:rPr>
          <w:rFonts w:ascii="Arial" w:hAnsi="Arial" w:cs="Arial"/>
          <w:color w:val="00B0F0"/>
          <w:sz w:val="20"/>
          <w:szCs w:val="20"/>
        </w:rPr>
      </w:pPr>
    </w:p>
    <w:p w14:paraId="56276454"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The visit raised immediate safeguarding concerns in line with The Framework for the Assessment of Children in Need and their Families (</w:t>
      </w:r>
      <w:proofErr w:type="spellStart"/>
      <w:r w:rsidRPr="00D66C9C">
        <w:rPr>
          <w:rFonts w:ascii="Arial" w:hAnsi="Arial" w:cs="Arial"/>
          <w:color w:val="00B0F0"/>
          <w:sz w:val="20"/>
          <w:szCs w:val="20"/>
        </w:rPr>
        <w:t>DoH</w:t>
      </w:r>
      <w:proofErr w:type="spellEnd"/>
      <w:r w:rsidRPr="00D66C9C">
        <w:rPr>
          <w:rFonts w:ascii="Arial" w:hAnsi="Arial" w:cs="Arial"/>
          <w:color w:val="00B0F0"/>
          <w:sz w:val="20"/>
          <w:szCs w:val="20"/>
        </w:rPr>
        <w:t xml:space="preserve"> et al., 2000). The children’s lived experiences suggest chronic neglect, unmet physical and emotional needs, and an unsafe household with unvetted adults present (Cleaver, </w:t>
      </w:r>
      <w:proofErr w:type="spellStart"/>
      <w:r w:rsidRPr="00D66C9C">
        <w:rPr>
          <w:rFonts w:ascii="Arial" w:hAnsi="Arial" w:cs="Arial"/>
          <w:color w:val="00B0F0"/>
          <w:sz w:val="20"/>
          <w:szCs w:val="20"/>
        </w:rPr>
        <w:t>Unell</w:t>
      </w:r>
      <w:proofErr w:type="spellEnd"/>
      <w:r w:rsidRPr="00D66C9C">
        <w:rPr>
          <w:rFonts w:ascii="Arial" w:hAnsi="Arial" w:cs="Arial"/>
          <w:color w:val="00B0F0"/>
          <w:sz w:val="20"/>
          <w:szCs w:val="20"/>
        </w:rPr>
        <w:t xml:space="preserve"> and Aldgate, 2011; Brandon et al., 2020).</w:t>
      </w:r>
    </w:p>
    <w:p w14:paraId="7E1485BF" w14:textId="77777777" w:rsidR="00AC55D8" w:rsidRPr="00D66C9C" w:rsidRDefault="00AC55D8" w:rsidP="00D66C9C">
      <w:pPr>
        <w:spacing w:line="276" w:lineRule="auto"/>
        <w:rPr>
          <w:rFonts w:ascii="Arial" w:hAnsi="Arial" w:cs="Arial"/>
          <w:color w:val="00B0F0"/>
          <w:sz w:val="20"/>
          <w:szCs w:val="20"/>
        </w:rPr>
      </w:pPr>
    </w:p>
    <w:p w14:paraId="0852EFAF"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A multi-agency strategy meeting convened within 48 hours, including representatives from:</w:t>
      </w:r>
    </w:p>
    <w:p w14:paraId="70C1B08A"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    Social Services (lead worker and manager)</w:t>
      </w:r>
    </w:p>
    <w:p w14:paraId="519E7F2A"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    •    Team around the family officer </w:t>
      </w:r>
    </w:p>
    <w:p w14:paraId="488150CA"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    Police (Child Protection Unit)</w:t>
      </w:r>
    </w:p>
    <w:p w14:paraId="240529C1"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    Health Visitor</w:t>
      </w:r>
    </w:p>
    <w:p w14:paraId="256C71DC" w14:textId="77777777" w:rsidR="00AC55D8" w:rsidRPr="00D66C9C" w:rsidRDefault="00AC55D8" w:rsidP="00D66C9C">
      <w:pPr>
        <w:spacing w:line="276" w:lineRule="auto"/>
        <w:rPr>
          <w:rFonts w:ascii="Arial" w:hAnsi="Arial" w:cs="Arial"/>
          <w:color w:val="00B0F0"/>
          <w:sz w:val="20"/>
          <w:szCs w:val="20"/>
        </w:rPr>
      </w:pPr>
    </w:p>
    <w:p w14:paraId="05D64648" w14:textId="5836839C"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A consensus was reached that the threshold for significant harm had been met and an ICPC was necessary. This decision was recorded as per statutory requirements.</w:t>
      </w:r>
    </w:p>
    <w:p w14:paraId="131616F3" w14:textId="77777777" w:rsidR="00AC55D8" w:rsidRPr="00D66C9C" w:rsidRDefault="00AC55D8" w:rsidP="00D66C9C">
      <w:pPr>
        <w:spacing w:line="276" w:lineRule="auto"/>
        <w:rPr>
          <w:rFonts w:ascii="Arial" w:hAnsi="Arial" w:cs="Arial"/>
          <w:color w:val="00B0F0"/>
          <w:sz w:val="20"/>
          <w:szCs w:val="20"/>
        </w:rPr>
      </w:pPr>
    </w:p>
    <w:p w14:paraId="2EFCD593" w14:textId="648CFF28"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As the lead social worker, I have Coordinated attendance of relevant professionals, in compliance with statutory attendance expectations (ELFT Procedure 3.3; NSPCC, 2024)</w:t>
      </w:r>
    </w:p>
    <w:p w14:paraId="28753CBC" w14:textId="2E9F59C6"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I have also prepared the above report on my house visit, outlined evidence of the current safeguarding issues. The ICPC is held today, which is within the statutory 15-working-day timeframe. All core professionals now will share their written reports, and when they have concluded I will then recommend protective interventions if needed (York CYSCP, </w:t>
      </w:r>
      <w:proofErr w:type="spellStart"/>
      <w:r w:rsidRPr="00D66C9C">
        <w:rPr>
          <w:rFonts w:ascii="Arial" w:hAnsi="Arial" w:cs="Arial"/>
          <w:color w:val="00B0F0"/>
          <w:sz w:val="20"/>
          <w:szCs w:val="20"/>
        </w:rPr>
        <w:t>nd</w:t>
      </w:r>
      <w:proofErr w:type="spellEnd"/>
      <w:r w:rsidRPr="00D66C9C">
        <w:rPr>
          <w:rFonts w:ascii="Arial" w:hAnsi="Arial" w:cs="Arial"/>
          <w:color w:val="00B0F0"/>
          <w:sz w:val="20"/>
          <w:szCs w:val="20"/>
        </w:rPr>
        <w:t>.; Wirral SCP, 2021)</w:t>
      </w:r>
    </w:p>
    <w:p w14:paraId="1152B1F3" w14:textId="77777777" w:rsidR="00D66C9C" w:rsidRPr="00D66C9C" w:rsidRDefault="00D66C9C" w:rsidP="00D66C9C">
      <w:pPr>
        <w:spacing w:line="276" w:lineRule="auto"/>
        <w:rPr>
          <w:rFonts w:ascii="Arial" w:hAnsi="Arial" w:cs="Arial"/>
          <w:color w:val="00B0F0"/>
          <w:sz w:val="20"/>
          <w:szCs w:val="20"/>
        </w:rPr>
      </w:pPr>
    </w:p>
    <w:p w14:paraId="323BF17E"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 xml:space="preserve">Good afternoon, my name is Cody, and I am a Senior Nursery Practitioner at the nursery where Joseph attends 3 days a week. As a senior nursery practitioner, I work under the Statutory Framework for the Early Years Foundation Stage (EYFS) (DfE, 2024), which emphasises safeguarding, promoting welfare, and supporting the learning and development of all children. </w:t>
      </w:r>
    </w:p>
    <w:p w14:paraId="40AC3F79"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My responsibilities include daily observation, planning, and monitoring of children’s physical, social, and emotional development and acting promptly on concerns that may indicate abuse or neglect in accordance with Working Together to Safeguard Children (HM Government, 2023) and Keeping Children Safe in Education (DfE, 2023).</w:t>
      </w:r>
    </w:p>
    <w:p w14:paraId="2B0BD07D"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All staff are trained in safeguarding procedures and must follow the Designated Safeguarding Lead (DSL) escalation pathway when concerns arise (Estyn, 2021).</w:t>
      </w:r>
    </w:p>
    <w:p w14:paraId="7F4A027B"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Over the course of four weeks, I have observed a notable deterioration in the wellbeing of Joseph, who is three years old. Initially a sociable and engaged child, Joseph has become withdrawn, shows reduced interaction with his friends, and the other adults in work, and often isolates himself in quiet areas. This behavioural regression aligns with Bowlby’s Attachment Theory, which suggests that emotional withdrawal and clinginess can indicate disruption in caregiver bonds (Bowlby, 1988; Geddes, 2006).</w:t>
      </w:r>
    </w:p>
    <w:p w14:paraId="554E15EE"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 xml:space="preserve">The following concerns that I have documented and included in the Multi agency Referral Form are Josephs, </w:t>
      </w:r>
    </w:p>
    <w:p w14:paraId="2FAC1EDC" w14:textId="77777777" w:rsidR="00D66C9C" w:rsidRPr="00D66C9C" w:rsidRDefault="00D66C9C" w:rsidP="00D66C9C">
      <w:pPr>
        <w:numPr>
          <w:ilvl w:val="0"/>
          <w:numId w:val="1"/>
        </w:numPr>
        <w:spacing w:after="160" w:line="276" w:lineRule="auto"/>
        <w:rPr>
          <w:rFonts w:ascii="Arial" w:hAnsi="Arial" w:cs="Arial"/>
          <w:color w:val="70AD47" w:themeColor="accent6"/>
          <w:sz w:val="20"/>
          <w:szCs w:val="20"/>
        </w:rPr>
      </w:pPr>
      <w:r w:rsidRPr="00D66C9C">
        <w:rPr>
          <w:rFonts w:ascii="Arial" w:hAnsi="Arial" w:cs="Arial"/>
          <w:color w:val="70AD47" w:themeColor="accent6"/>
          <w:sz w:val="20"/>
          <w:szCs w:val="20"/>
        </w:rPr>
        <w:t xml:space="preserve">Hygiene and appearance: Josephs consistently arrives in dirty, ill-fitting clothing, often with an odour indicating infrequent washing. HIS nails are long and dirty, and </w:t>
      </w:r>
      <w:proofErr w:type="spellStart"/>
      <w:r w:rsidRPr="00D66C9C">
        <w:rPr>
          <w:rFonts w:ascii="Arial" w:hAnsi="Arial" w:cs="Arial"/>
          <w:color w:val="70AD47" w:themeColor="accent6"/>
          <w:sz w:val="20"/>
          <w:szCs w:val="20"/>
        </w:rPr>
        <w:t>hIS</w:t>
      </w:r>
      <w:proofErr w:type="spellEnd"/>
      <w:r w:rsidRPr="00D66C9C">
        <w:rPr>
          <w:rFonts w:ascii="Arial" w:hAnsi="Arial" w:cs="Arial"/>
          <w:color w:val="70AD47" w:themeColor="accent6"/>
          <w:sz w:val="20"/>
          <w:szCs w:val="20"/>
        </w:rPr>
        <w:t xml:space="preserve"> hair is matted. This indicates a potential failure to meet basic care needs, consistent with physical neglect (Horwath, 2007).</w:t>
      </w:r>
    </w:p>
    <w:p w14:paraId="792897C3" w14:textId="77777777" w:rsidR="00D66C9C" w:rsidRPr="00D66C9C" w:rsidRDefault="00D66C9C" w:rsidP="00D66C9C">
      <w:pPr>
        <w:numPr>
          <w:ilvl w:val="0"/>
          <w:numId w:val="1"/>
        </w:numPr>
        <w:spacing w:after="160" w:line="276" w:lineRule="auto"/>
        <w:rPr>
          <w:rFonts w:ascii="Arial" w:hAnsi="Arial" w:cs="Arial"/>
          <w:color w:val="70AD47" w:themeColor="accent6"/>
          <w:sz w:val="20"/>
          <w:szCs w:val="20"/>
        </w:rPr>
      </w:pPr>
      <w:r w:rsidRPr="00D66C9C">
        <w:rPr>
          <w:rFonts w:ascii="Arial" w:hAnsi="Arial" w:cs="Arial"/>
          <w:color w:val="70AD47" w:themeColor="accent6"/>
          <w:sz w:val="20"/>
          <w:szCs w:val="20"/>
        </w:rPr>
        <w:lastRenderedPageBreak/>
        <w:t>Behavioural changes: Joseph shows fear-based behaviours, such as flinching when approached and hiding under tables. These are recognised as non-verbal trauma indicators (Daniel et al., 2011; NSPCC, 2023).</w:t>
      </w:r>
    </w:p>
    <w:p w14:paraId="25531CBC" w14:textId="77777777" w:rsidR="00D66C9C" w:rsidRPr="00D66C9C" w:rsidRDefault="00D66C9C" w:rsidP="00D66C9C">
      <w:pPr>
        <w:numPr>
          <w:ilvl w:val="0"/>
          <w:numId w:val="1"/>
        </w:numPr>
        <w:spacing w:after="160" w:line="276" w:lineRule="auto"/>
        <w:rPr>
          <w:rFonts w:ascii="Arial" w:hAnsi="Arial" w:cs="Arial"/>
          <w:color w:val="70AD47" w:themeColor="accent6"/>
          <w:sz w:val="20"/>
          <w:szCs w:val="20"/>
        </w:rPr>
      </w:pPr>
      <w:r w:rsidRPr="00D66C9C">
        <w:rPr>
          <w:rFonts w:ascii="Arial" w:hAnsi="Arial" w:cs="Arial"/>
          <w:color w:val="70AD47" w:themeColor="accent6"/>
          <w:sz w:val="20"/>
          <w:szCs w:val="20"/>
        </w:rPr>
        <w:t>Emotional regulation: He frequently cries during transitions and is resistant to adult support. This suggests emotional insecurity and the possibility of witnessing or experiencing domestic conflict (Sidebotham and Heron, 2006).</w:t>
      </w:r>
    </w:p>
    <w:p w14:paraId="00822CBF"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Last week, Joseph was brought in by an unknown adult male who appeared intoxicated, evidenced by slurred speech and a strong smell of alcohol. This incident was deeply concerning and was recorded as a safeguarding breach, in line with Safer Working Practice guidelines (Safer Recruitment Consortium, 2022).</w:t>
      </w:r>
    </w:p>
    <w:p w14:paraId="1CFB43B3"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Following our observations, the Designated Safeguarding Lead and I arranged a meeting with Joseph’s mother. In the meeting, she was very dismissive and vague, offering no explanation for Joseph’s recent condition or the unknown male’s identity. This raises concerns of disguised compliance – a known barrier to early intervention where parents present superficially compliant behaviours to deflect scrutiny (Reder and Duncan, 1999; Laming, 2009)</w:t>
      </w:r>
    </w:p>
    <w:p w14:paraId="6E60F93A"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We are aware that Joseph has a younger sibling, Amelia, who I believe to be around 10 months old, whom we have never seen. There is no known father registered with the setting. The family has declined offers of Early Help previously.</w:t>
      </w:r>
    </w:p>
    <w:p w14:paraId="19460B30"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 xml:space="preserve">In line with the Threshold Criteria of our Local Safeguarding Children Board (LSCB), this case meets indicators of neglect and emotional abuse (Cleaver, </w:t>
      </w:r>
      <w:proofErr w:type="spellStart"/>
      <w:r w:rsidRPr="00D66C9C">
        <w:rPr>
          <w:rFonts w:ascii="Arial" w:hAnsi="Arial" w:cs="Arial"/>
          <w:color w:val="70AD47" w:themeColor="accent6"/>
          <w:sz w:val="20"/>
          <w:szCs w:val="20"/>
        </w:rPr>
        <w:t>Unell</w:t>
      </w:r>
      <w:proofErr w:type="spellEnd"/>
      <w:r w:rsidRPr="00D66C9C">
        <w:rPr>
          <w:rFonts w:ascii="Arial" w:hAnsi="Arial" w:cs="Arial"/>
          <w:color w:val="70AD47" w:themeColor="accent6"/>
          <w:sz w:val="20"/>
          <w:szCs w:val="20"/>
        </w:rPr>
        <w:t xml:space="preserve"> and Aldgate, 2011). I immediately escalated the case to the Designated Safeguarding Lead, who documented the concerns and submitted a MARF to Children’s Services under Section 11 of the Children Act 2004. This led to a Section 47 investigation (HM Government, 2023).</w:t>
      </w:r>
    </w:p>
    <w:p w14:paraId="2F27FBE4"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This case exemplifies the crucial role early years professionals play in the early identification of safeguarding concerns. We see the importance of ecological models (Bronfenbrenner, 1979), which place children within complex systems of family, social services, and education, all of which influence outcomes.</w:t>
      </w:r>
    </w:p>
    <w:p w14:paraId="2BF7304C"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Our team recognises that Adverse Childhood Experiences (ACEs), such as neglect or exposure to substance misuse, may have long-term effects on Ella’s emotional regulation, self-esteem, and developmental trajectory (</w:t>
      </w:r>
      <w:proofErr w:type="spellStart"/>
      <w:r w:rsidRPr="00D66C9C">
        <w:rPr>
          <w:rFonts w:ascii="Arial" w:hAnsi="Arial" w:cs="Arial"/>
          <w:color w:val="70AD47" w:themeColor="accent6"/>
          <w:sz w:val="20"/>
          <w:szCs w:val="20"/>
        </w:rPr>
        <w:t>Felitti</w:t>
      </w:r>
      <w:proofErr w:type="spellEnd"/>
      <w:r w:rsidRPr="00D66C9C">
        <w:rPr>
          <w:rFonts w:ascii="Arial" w:hAnsi="Arial" w:cs="Arial"/>
          <w:color w:val="70AD47" w:themeColor="accent6"/>
          <w:sz w:val="20"/>
          <w:szCs w:val="20"/>
        </w:rPr>
        <w:t xml:space="preserve"> et al., 1998; Bellis et al., 2014). Therefore, trauma-informed practice (Bath, 2008) has been embedded into our key worker support approach.</w:t>
      </w:r>
    </w:p>
    <w:p w14:paraId="45049E9D" w14:textId="77777777" w:rsidR="00D66C9C" w:rsidRPr="00D66C9C" w:rsidRDefault="00D66C9C" w:rsidP="00D66C9C">
      <w:pPr>
        <w:spacing w:line="276" w:lineRule="auto"/>
        <w:rPr>
          <w:rFonts w:ascii="Arial" w:hAnsi="Arial" w:cs="Arial"/>
          <w:color w:val="70AD47" w:themeColor="accent6"/>
          <w:sz w:val="20"/>
          <w:szCs w:val="20"/>
        </w:rPr>
      </w:pPr>
      <w:r w:rsidRPr="00D66C9C">
        <w:rPr>
          <w:rFonts w:ascii="Arial" w:hAnsi="Arial" w:cs="Arial"/>
          <w:color w:val="70AD47" w:themeColor="accent6"/>
          <w:sz w:val="20"/>
          <w:szCs w:val="20"/>
        </w:rPr>
        <w:t>For us as a nursery, Joseph’s case highlights serious safeguarding concerns, particularly around neglect, emotional harm, and unsafe adult exposure. Early years practitioners are often the first to recognise such concerns due to consistent contact with children. Timely multi-agency intervention is essential to break cycles of harm and provide Joseph and Amelia with a safer, more supportive environment (Allen, 2011; Munro, 2011).</w:t>
      </w:r>
    </w:p>
    <w:p w14:paraId="05D62F70" w14:textId="77777777" w:rsidR="00AC55D8" w:rsidRPr="00D66C9C" w:rsidRDefault="00AC55D8" w:rsidP="00D66C9C">
      <w:pPr>
        <w:spacing w:line="276" w:lineRule="auto"/>
        <w:rPr>
          <w:rFonts w:ascii="Arial" w:hAnsi="Arial" w:cs="Arial"/>
          <w:sz w:val="20"/>
          <w:szCs w:val="20"/>
          <w:highlight w:val="cyan"/>
        </w:rPr>
      </w:pPr>
    </w:p>
    <w:p w14:paraId="6F76175B" w14:textId="77777777"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r w:rsidRPr="00D66C9C">
        <w:rPr>
          <w:rFonts w:ascii="Arial" w:eastAsia="Times New Roman" w:hAnsi="Arial" w:cs="Arial"/>
          <w:color w:val="D883FF"/>
          <w:kern w:val="0"/>
          <w:sz w:val="20"/>
          <w:szCs w:val="20"/>
          <w:lang w:eastAsia="en-GB"/>
          <w14:ligatures w14:val="none"/>
        </w:rPr>
        <w:t>Good afternoon. My name is Joelle Evans, and I am a Health Visitor working within the community public health team. My role involves supporting families with young children during the crucial early years of development, with a focus on supporting wellbeing, minimising illness, and narrowing health gaps. As stated in Article 6 of the UNCRC (1989), all children are entitled to life, and governments must make every effort to ensure their survival and support their development to their full potential.</w:t>
      </w:r>
    </w:p>
    <w:p w14:paraId="206AE0BE" w14:textId="6E5F3E4B"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r w:rsidRPr="00D66C9C">
        <w:rPr>
          <w:rFonts w:ascii="Arial" w:eastAsia="Times New Roman" w:hAnsi="Arial" w:cs="Arial"/>
          <w:color w:val="D883FF"/>
          <w:kern w:val="0"/>
          <w:sz w:val="20"/>
          <w:szCs w:val="20"/>
          <w:lang w:eastAsia="en-GB"/>
          <w14:ligatures w14:val="none"/>
        </w:rPr>
        <w:t xml:space="preserve">I have been involved with Joseph, Amelia, and their family since the children were very young. Over time, I have built a trusting relationship with the family, offering guidance and support through key developmental stages. This links with Bowlby’s Attachment Theory (1969), which emphasize the importance of stable, secure relationships in helping children feel safe, explore their environment, and develop emotionally (The Attachment Project 2024). However, during recent visits, I have observed some changes in the children’s health, wellbeing and home environment that have raised concerns. According to the Royal College of Nursing (2024), as a registered health professional, I have a legal and ethical duty of care to act in the best interests of the children and to safeguard their health and </w:t>
      </w:r>
      <w:r w:rsidRPr="00D66C9C">
        <w:rPr>
          <w:rFonts w:ascii="Arial" w:eastAsia="Times New Roman" w:hAnsi="Arial" w:cs="Arial"/>
          <w:color w:val="D883FF"/>
          <w:kern w:val="0"/>
          <w:sz w:val="20"/>
          <w:szCs w:val="20"/>
          <w:lang w:eastAsia="en-GB"/>
          <w14:ligatures w14:val="none"/>
        </w:rPr>
        <w:lastRenderedPageBreak/>
        <w:t>development. This is supported by Every Child Matters framework (2003), which outlines five key outcomes that are essential for every child's well-being.  This includes identifying potential risks, offering early intervention, and working collaboratively with other professionals to ensure the family receives the support they need. This approach shows the importance of the principles of multi-agency working, which is essential in safeguarding to ensure that no information is missed and that children and families get the right help at the right time (Department for Education 2025</w:t>
      </w:r>
      <w:proofErr w:type="gramStart"/>
      <w:r w:rsidRPr="00D66C9C">
        <w:rPr>
          <w:rFonts w:ascii="Arial" w:eastAsia="Times New Roman" w:hAnsi="Arial" w:cs="Arial"/>
          <w:color w:val="D883FF"/>
          <w:kern w:val="0"/>
          <w:sz w:val="20"/>
          <w:szCs w:val="20"/>
          <w:lang w:eastAsia="en-GB"/>
          <w14:ligatures w14:val="none"/>
        </w:rPr>
        <w:t>) .</w:t>
      </w:r>
      <w:proofErr w:type="gramEnd"/>
      <w:r w:rsidRPr="00D66C9C">
        <w:rPr>
          <w:rFonts w:ascii="Arial" w:eastAsia="Times New Roman" w:hAnsi="Arial" w:cs="Arial"/>
          <w:color w:val="D883FF"/>
          <w:kern w:val="0"/>
          <w:sz w:val="20"/>
          <w:szCs w:val="20"/>
          <w:lang w:eastAsia="en-GB"/>
          <w14:ligatures w14:val="none"/>
        </w:rPr>
        <w:t xml:space="preserve">  </w:t>
      </w:r>
    </w:p>
    <w:p w14:paraId="3F3C950B" w14:textId="77777777"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r w:rsidRPr="00D66C9C">
        <w:rPr>
          <w:rFonts w:ascii="Arial" w:eastAsia="Times New Roman" w:hAnsi="Arial" w:cs="Arial"/>
          <w:color w:val="D883FF"/>
          <w:kern w:val="0"/>
          <w:sz w:val="20"/>
          <w:szCs w:val="20"/>
          <w:lang w:eastAsia="en-GB"/>
          <w14:ligatures w14:val="none"/>
        </w:rPr>
        <w:t>Over the past couple of years, there has been a noticeable change in the family's engagement. When Joseph was a baby, Mum regularly attended all scheduled health appointments and ensured he remained up to date with his immunisations. During that time, Joseph was meeting his developmental milestones but as we know, milestones are just general guidelines, as every child is different and develops at their own pace (NHS 2024).  Mum appeared to be enjoying her role as a new parent, fully immersed in the baby bubble.</w:t>
      </w:r>
    </w:p>
    <w:p w14:paraId="122E8D6F" w14:textId="77777777"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r w:rsidRPr="00D66C9C">
        <w:rPr>
          <w:rFonts w:ascii="Arial" w:eastAsia="Times New Roman" w:hAnsi="Arial" w:cs="Arial"/>
          <w:color w:val="D883FF"/>
          <w:kern w:val="0"/>
          <w:sz w:val="20"/>
          <w:szCs w:val="20"/>
          <w:lang w:eastAsia="en-GB"/>
          <w14:ligatures w14:val="none"/>
        </w:rPr>
        <w:t xml:space="preserve">However, since the birth of Amelia, there has been a significant change. Mum has struggled to attend appointments at the baby clinic, and Amelia has fallen behind with her routine immunisations which are vitally important (NHS 2024). These concerns led me to my most recent home visit, during which I observed several changes in the children’s behaviour and the overall home environment. Both children, have experienced a drop in weight, which is unusual. Particularly for Joseph, as previously he has maintained a steady position on the centile charts in his personal health record (Red Book), the recent decline marks a noticeable change in his growth pattern. As Almond-Bushell (2019) explains, these charts help professionals monitor whether a child is growing as expected, and whether any significant drop might be a cause for concern. This has raised further concerns about both children's nutritional intake and overall wellbeing along with the lack of routines, all of which can contribute to developmental delays. According to Maslow’s Hierarchy of Needs, children require their basic physiological needs such as food and water, to be consistently met to support their holistic development and learning (Early Years TV </w:t>
      </w:r>
      <w:proofErr w:type="spellStart"/>
      <w:r w:rsidRPr="00D66C9C">
        <w:rPr>
          <w:rFonts w:ascii="Arial" w:eastAsia="Times New Roman" w:hAnsi="Arial" w:cs="Arial"/>
          <w:color w:val="D883FF"/>
          <w:kern w:val="0"/>
          <w:sz w:val="20"/>
          <w:szCs w:val="20"/>
          <w:lang w:eastAsia="en-GB"/>
          <w14:ligatures w14:val="none"/>
        </w:rPr>
        <w:t>nodate</w:t>
      </w:r>
      <w:proofErr w:type="spellEnd"/>
      <w:r w:rsidRPr="00D66C9C">
        <w:rPr>
          <w:rFonts w:ascii="Arial" w:eastAsia="Times New Roman" w:hAnsi="Arial" w:cs="Arial"/>
          <w:color w:val="D883FF"/>
          <w:kern w:val="0"/>
          <w:sz w:val="20"/>
          <w:szCs w:val="20"/>
          <w:lang w:eastAsia="en-GB"/>
          <w14:ligatures w14:val="none"/>
        </w:rPr>
        <w:t>).</w:t>
      </w:r>
    </w:p>
    <w:p w14:paraId="1EF484E9" w14:textId="77777777"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r w:rsidRPr="00D66C9C">
        <w:rPr>
          <w:rFonts w:ascii="Arial" w:eastAsia="Times New Roman" w:hAnsi="Arial" w:cs="Arial"/>
          <w:color w:val="D883FF"/>
          <w:kern w:val="0"/>
          <w:sz w:val="20"/>
          <w:szCs w:val="20"/>
          <w:lang w:eastAsia="en-GB"/>
          <w14:ligatures w14:val="none"/>
        </w:rPr>
        <w:t>I also noted that both children appeared visibly tired, and Joseph showed signs of behavioural deterioration alongside reduced physical energy, which may indicate underlying emotional or physical needs not being met. REFERNCE?? Amelia appeared withdrawn and was reluctant to engage in the activities she previously enjoyed. Linking this to the Bronfenbrenner’s Ecological Systems Theory, which highlights how a child’s development is shaped by a series of interconnected systems, beginning with their immediate environment, such as the home (Laroche 2025). If this environment becomes unstable, stressful, or lacks consistent support, it can negatively affect a child’s physical health, emotional wellbeing, and ability to engage in learning and play. This relates to Article 31 of the UNCRC, which recognises every child’s right to rest, leisure, and play as essential to their development and wellbeing (UNCRC, 1989).</w:t>
      </w:r>
    </w:p>
    <w:p w14:paraId="259BB138" w14:textId="7F2CEC8D"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r w:rsidRPr="00D66C9C">
        <w:rPr>
          <w:rFonts w:ascii="Arial" w:eastAsia="Times New Roman" w:hAnsi="Arial" w:cs="Arial"/>
          <w:color w:val="D883FF"/>
          <w:kern w:val="0"/>
          <w:sz w:val="20"/>
          <w:szCs w:val="20"/>
          <w:lang w:eastAsia="en-GB"/>
          <w14:ligatures w14:val="none"/>
        </w:rPr>
        <w:t>I also noticed that when I tried to talk to Mum, Jenny, about how she was doing, her partner would often interrupt and speak over her quite sharply, showing very little patience. which led to an immediate change in Jenny’s body language, she became withdrawn and flinched once or twice when he came close. Furthermore, I observed Joseph rocking back and forth when Mum’s partner was moving in and out of the room, and Amelia appeared jumpy. These behaviours lead me to further concerns about the partners impact on both jenny and the children. This situation might be a sign of coercive control, where one partner tries to take control by using intimidation, pressure, or emotional tactics to overpower others in the home. Research shows that these actions can have serious emotional and developmental impacts on children living in these environments (McLeod </w:t>
      </w:r>
      <w:r w:rsidRPr="00D66C9C">
        <w:rPr>
          <w:rFonts w:ascii="Arial" w:eastAsia="Times New Roman" w:hAnsi="Arial" w:cs="Arial"/>
          <w:i/>
          <w:iCs/>
          <w:color w:val="D883FF"/>
          <w:kern w:val="0"/>
          <w:sz w:val="20"/>
          <w:szCs w:val="20"/>
          <w:lang w:eastAsia="en-GB"/>
          <w14:ligatures w14:val="none"/>
        </w:rPr>
        <w:t>et al.</w:t>
      </w:r>
      <w:r w:rsidRPr="00D66C9C">
        <w:rPr>
          <w:rFonts w:ascii="Arial" w:eastAsia="Times New Roman" w:hAnsi="Arial" w:cs="Arial"/>
          <w:color w:val="D883FF"/>
          <w:kern w:val="0"/>
          <w:sz w:val="20"/>
          <w:szCs w:val="20"/>
          <w:lang w:eastAsia="en-GB"/>
          <w14:ligatures w14:val="none"/>
        </w:rPr>
        <w:t> 2018).</w:t>
      </w:r>
    </w:p>
    <w:p w14:paraId="60EA6B43" w14:textId="77777777"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r w:rsidRPr="00D66C9C">
        <w:rPr>
          <w:rFonts w:ascii="Arial" w:eastAsia="Times New Roman" w:hAnsi="Arial" w:cs="Arial"/>
          <w:color w:val="D883FF"/>
          <w:kern w:val="0"/>
          <w:sz w:val="20"/>
          <w:szCs w:val="20"/>
          <w:lang w:eastAsia="en-GB"/>
          <w14:ligatures w14:val="none"/>
        </w:rPr>
        <w:t>Based on these observations, my background from previous meetings and the changes reported by the parents, including financial challenges and irregular meal routines, have led me to believe that the family may be experiencing difficulties that could impact the children’s growth and development, and be at significant risk of harm. Therefore, I am had put in a MARF and referred to the Team around the family for my concerns.</w:t>
      </w:r>
    </w:p>
    <w:p w14:paraId="249D668A" w14:textId="77777777" w:rsidR="00D66C9C" w:rsidRPr="00D66C9C" w:rsidRDefault="00D66C9C" w:rsidP="00D66C9C">
      <w:pPr>
        <w:shd w:val="clear" w:color="auto" w:fill="FFFFFF"/>
        <w:spacing w:line="276" w:lineRule="auto"/>
        <w:rPr>
          <w:rFonts w:ascii="Arial" w:eastAsia="Times New Roman" w:hAnsi="Arial" w:cs="Arial"/>
          <w:color w:val="D883FF"/>
          <w:kern w:val="0"/>
          <w:sz w:val="20"/>
          <w:szCs w:val="20"/>
          <w:lang w:eastAsia="en-GB"/>
          <w14:ligatures w14:val="none"/>
        </w:rPr>
      </w:pPr>
    </w:p>
    <w:p w14:paraId="6DD75D12" w14:textId="77777777" w:rsidR="00D66C9C" w:rsidRPr="00D66C9C" w:rsidRDefault="00D66C9C" w:rsidP="00D66C9C">
      <w:pPr>
        <w:spacing w:line="276" w:lineRule="auto"/>
        <w:rPr>
          <w:rFonts w:ascii="Arial" w:hAnsi="Arial" w:cs="Arial"/>
          <w:color w:val="FFC000" w:themeColor="accent4"/>
          <w:sz w:val="20"/>
          <w:szCs w:val="20"/>
          <w:lang w:val="en-US"/>
        </w:rPr>
      </w:pPr>
      <w:r w:rsidRPr="00D66C9C">
        <w:rPr>
          <w:rFonts w:ascii="Arial" w:hAnsi="Arial" w:cs="Arial"/>
          <w:color w:val="FFC000" w:themeColor="accent4"/>
          <w:sz w:val="20"/>
          <w:szCs w:val="20"/>
          <w:lang w:val="en-US"/>
        </w:rPr>
        <w:lastRenderedPageBreak/>
        <w:t xml:space="preserve">Good afternoon, my name is Bobbie </w:t>
      </w:r>
      <w:proofErr w:type="gramStart"/>
      <w:r w:rsidRPr="00D66C9C">
        <w:rPr>
          <w:rFonts w:ascii="Arial" w:hAnsi="Arial" w:cs="Arial"/>
          <w:color w:val="FFC000" w:themeColor="accent4"/>
          <w:sz w:val="20"/>
          <w:szCs w:val="20"/>
          <w:lang w:val="en-US"/>
        </w:rPr>
        <w:t>Rees</w:t>
      </w:r>
      <w:proofErr w:type="gramEnd"/>
      <w:r w:rsidRPr="00D66C9C">
        <w:rPr>
          <w:rFonts w:ascii="Arial" w:hAnsi="Arial" w:cs="Arial"/>
          <w:color w:val="FFC000" w:themeColor="accent4"/>
          <w:sz w:val="20"/>
          <w:szCs w:val="20"/>
          <w:lang w:val="en-US"/>
        </w:rPr>
        <w:t xml:space="preserve"> and I am the Team Around </w:t>
      </w:r>
      <w:proofErr w:type="gramStart"/>
      <w:r w:rsidRPr="00D66C9C">
        <w:rPr>
          <w:rFonts w:ascii="Arial" w:hAnsi="Arial" w:cs="Arial"/>
          <w:color w:val="FFC000" w:themeColor="accent4"/>
          <w:sz w:val="20"/>
          <w:szCs w:val="20"/>
          <w:lang w:val="en-US"/>
        </w:rPr>
        <w:t>The</w:t>
      </w:r>
      <w:proofErr w:type="gramEnd"/>
      <w:r w:rsidRPr="00D66C9C">
        <w:rPr>
          <w:rFonts w:ascii="Arial" w:hAnsi="Arial" w:cs="Arial"/>
          <w:color w:val="FFC000" w:themeColor="accent4"/>
          <w:sz w:val="20"/>
          <w:szCs w:val="20"/>
          <w:lang w:val="en-US"/>
        </w:rPr>
        <w:t xml:space="preserve"> Family Support Worker. I have recently been referred to the family by the health visitor and have carried out my first meeting in the family home last week as agreed by the mother Jenny. My role is to work together with the mother and the children individually, listening to </w:t>
      </w:r>
      <w:proofErr w:type="gramStart"/>
      <w:r w:rsidRPr="00D66C9C">
        <w:rPr>
          <w:rFonts w:ascii="Arial" w:hAnsi="Arial" w:cs="Arial"/>
          <w:color w:val="FFC000" w:themeColor="accent4"/>
          <w:sz w:val="20"/>
          <w:szCs w:val="20"/>
          <w:lang w:val="en-US"/>
        </w:rPr>
        <w:t>all of</w:t>
      </w:r>
      <w:proofErr w:type="gramEnd"/>
      <w:r w:rsidRPr="00D66C9C">
        <w:rPr>
          <w:rFonts w:ascii="Arial" w:hAnsi="Arial" w:cs="Arial"/>
          <w:color w:val="FFC000" w:themeColor="accent4"/>
          <w:sz w:val="20"/>
          <w:szCs w:val="20"/>
          <w:lang w:val="en-US"/>
        </w:rPr>
        <w:t xml:space="preserve"> their voices and identifying any specific needs which require further support. This will then allow me to create a tailored support plan to improve well-being and ensure the best outcomes for the whole family in line with The Social Services and Well-being (Wales) Act 2014. In doing so, this supports Article 3 of the United Nations Conventions on the Rights of the child standards 1989. Providing early intervention is fundamental to prevent any problems from escalating which can cause adverse childhood experiences. This is important to support the goals of the Well-being of Future Generations (Wales) Act 2015. It is important to note that mum gave permission for the meeting to take place but requested that some of the information I am about to share remained confidential. </w:t>
      </w:r>
      <w:proofErr w:type="gramStart"/>
      <w:r w:rsidRPr="00D66C9C">
        <w:rPr>
          <w:rFonts w:ascii="Arial" w:hAnsi="Arial" w:cs="Arial"/>
          <w:color w:val="FFC000" w:themeColor="accent4"/>
          <w:sz w:val="20"/>
          <w:szCs w:val="20"/>
          <w:lang w:val="en-US"/>
        </w:rPr>
        <w:t>However</w:t>
      </w:r>
      <w:proofErr w:type="gramEnd"/>
      <w:r w:rsidRPr="00D66C9C">
        <w:rPr>
          <w:rFonts w:ascii="Arial" w:hAnsi="Arial" w:cs="Arial"/>
          <w:color w:val="FFC000" w:themeColor="accent4"/>
          <w:sz w:val="20"/>
          <w:szCs w:val="20"/>
          <w:lang w:val="en-US"/>
        </w:rPr>
        <w:t xml:space="preserve"> under The Data Protection Act 2018 I have a legal duty to share my concerns </w:t>
      </w:r>
      <w:proofErr w:type="gramStart"/>
      <w:r w:rsidRPr="00D66C9C">
        <w:rPr>
          <w:rFonts w:ascii="Arial" w:hAnsi="Arial" w:cs="Arial"/>
          <w:color w:val="FFC000" w:themeColor="accent4"/>
          <w:sz w:val="20"/>
          <w:szCs w:val="20"/>
          <w:lang w:val="en-US"/>
        </w:rPr>
        <w:t>in order to</w:t>
      </w:r>
      <w:proofErr w:type="gramEnd"/>
      <w:r w:rsidRPr="00D66C9C">
        <w:rPr>
          <w:rFonts w:ascii="Arial" w:hAnsi="Arial" w:cs="Arial"/>
          <w:color w:val="FFC000" w:themeColor="accent4"/>
          <w:sz w:val="20"/>
          <w:szCs w:val="20"/>
          <w:lang w:val="en-US"/>
        </w:rPr>
        <w:t xml:space="preserve"> prevent further serious harm. This is further supported by Working Together to Safeguard people Volume 1 (Welsh Government) which states information can be shared without consent when there is a public concern. </w:t>
      </w:r>
    </w:p>
    <w:p w14:paraId="7A1A69AE" w14:textId="77777777" w:rsidR="00D66C9C" w:rsidRPr="00D66C9C" w:rsidRDefault="00D66C9C" w:rsidP="00D66C9C">
      <w:pPr>
        <w:spacing w:line="276" w:lineRule="auto"/>
        <w:rPr>
          <w:rFonts w:ascii="Arial" w:hAnsi="Arial" w:cs="Arial"/>
          <w:color w:val="FFC000" w:themeColor="accent4"/>
          <w:sz w:val="20"/>
          <w:szCs w:val="20"/>
          <w:lang w:val="en-US"/>
        </w:rPr>
      </w:pPr>
      <w:r w:rsidRPr="00D66C9C">
        <w:rPr>
          <w:rFonts w:ascii="Arial" w:hAnsi="Arial" w:cs="Arial"/>
          <w:color w:val="FFC000" w:themeColor="accent4"/>
          <w:sz w:val="20"/>
          <w:szCs w:val="20"/>
          <w:lang w:val="en-US"/>
        </w:rPr>
        <w:t xml:space="preserve">Upon arrival </w:t>
      </w:r>
      <w:proofErr w:type="gramStart"/>
      <w:r w:rsidRPr="00D66C9C">
        <w:rPr>
          <w:rFonts w:ascii="Arial" w:hAnsi="Arial" w:cs="Arial"/>
          <w:color w:val="FFC000" w:themeColor="accent4"/>
          <w:sz w:val="20"/>
          <w:szCs w:val="20"/>
          <w:lang w:val="en-US"/>
        </w:rPr>
        <w:t>into</w:t>
      </w:r>
      <w:proofErr w:type="gramEnd"/>
      <w:r w:rsidRPr="00D66C9C">
        <w:rPr>
          <w:rFonts w:ascii="Arial" w:hAnsi="Arial" w:cs="Arial"/>
          <w:color w:val="FFC000" w:themeColor="accent4"/>
          <w:sz w:val="20"/>
          <w:szCs w:val="20"/>
          <w:lang w:val="en-US"/>
        </w:rPr>
        <w:t xml:space="preserve"> the family </w:t>
      </w:r>
      <w:proofErr w:type="gramStart"/>
      <w:r w:rsidRPr="00D66C9C">
        <w:rPr>
          <w:rFonts w:ascii="Arial" w:hAnsi="Arial" w:cs="Arial"/>
          <w:color w:val="FFC000" w:themeColor="accent4"/>
          <w:sz w:val="20"/>
          <w:szCs w:val="20"/>
          <w:lang w:val="en-US"/>
        </w:rPr>
        <w:t>home</w:t>
      </w:r>
      <w:proofErr w:type="gramEnd"/>
      <w:r w:rsidRPr="00D66C9C">
        <w:rPr>
          <w:rFonts w:ascii="Arial" w:hAnsi="Arial" w:cs="Arial"/>
          <w:color w:val="FFC000" w:themeColor="accent4"/>
          <w:sz w:val="20"/>
          <w:szCs w:val="20"/>
          <w:lang w:val="en-US"/>
        </w:rPr>
        <w:t xml:space="preserve"> I first observed that the living conditions were not adequate. My immediate concern was that the home was very cluttered and generally unclean, I could see a lot of unwashed dishes and piles of clothing. Both Joseph and Amelia were wearing dirty clothes, their hair appeared greasy which fails to meet the basic needs of the child. Throughout my visit Amelia cried a lot but Jenny always responded by picking Ameila up and attempting to comfort her showing that she is supporting her emotional needs. Jenny had dark circles under eyes and told me she had been up all night with her. I asked what Amelia and Joseph’s sleep routine is like, Jenny informed me that Amelia has never slept well since birth and said she cries a lot which often wakes Joseph as they share a bedroom. As a </w:t>
      </w:r>
      <w:proofErr w:type="gramStart"/>
      <w:r w:rsidRPr="00D66C9C">
        <w:rPr>
          <w:rFonts w:ascii="Arial" w:hAnsi="Arial" w:cs="Arial"/>
          <w:color w:val="FFC000" w:themeColor="accent4"/>
          <w:sz w:val="20"/>
          <w:szCs w:val="20"/>
          <w:lang w:val="en-US"/>
        </w:rPr>
        <w:t>result</w:t>
      </w:r>
      <w:proofErr w:type="gramEnd"/>
      <w:r w:rsidRPr="00D66C9C">
        <w:rPr>
          <w:rFonts w:ascii="Arial" w:hAnsi="Arial" w:cs="Arial"/>
          <w:color w:val="FFC000" w:themeColor="accent4"/>
          <w:sz w:val="20"/>
          <w:szCs w:val="20"/>
          <w:lang w:val="en-US"/>
        </w:rPr>
        <w:t xml:space="preserve"> Joseph is tired during the day and Jenny feels this is causing him to have some challenging </w:t>
      </w:r>
      <w:proofErr w:type="spellStart"/>
      <w:r w:rsidRPr="00D66C9C">
        <w:rPr>
          <w:rFonts w:ascii="Arial" w:hAnsi="Arial" w:cs="Arial"/>
          <w:color w:val="FFC000" w:themeColor="accent4"/>
          <w:sz w:val="20"/>
          <w:szCs w:val="20"/>
          <w:lang w:val="en-US"/>
        </w:rPr>
        <w:t>behaviour</w:t>
      </w:r>
      <w:proofErr w:type="spellEnd"/>
      <w:r w:rsidRPr="00D66C9C">
        <w:rPr>
          <w:rFonts w:ascii="Arial" w:hAnsi="Arial" w:cs="Arial"/>
          <w:color w:val="FFC000" w:themeColor="accent4"/>
          <w:sz w:val="20"/>
          <w:szCs w:val="20"/>
          <w:lang w:val="en-US"/>
        </w:rPr>
        <w:t xml:space="preserve">. During my visit Joseph was watching television and I could not see many toys in the living room for him to play with. Jenny admitted that she puts the television on a lot so she can tend to Amelia. I explained to Jenny the importance of Joseph having the opportunity to play as outlined in article 31 of the UNCRC and Every Child Matters framework to support his health, well-being and development. Upon speaking to </w:t>
      </w:r>
      <w:proofErr w:type="gramStart"/>
      <w:r w:rsidRPr="00D66C9C">
        <w:rPr>
          <w:rFonts w:ascii="Arial" w:hAnsi="Arial" w:cs="Arial"/>
          <w:color w:val="FFC000" w:themeColor="accent4"/>
          <w:sz w:val="20"/>
          <w:szCs w:val="20"/>
          <w:lang w:val="en-US"/>
        </w:rPr>
        <w:t>Jenny</w:t>
      </w:r>
      <w:proofErr w:type="gramEnd"/>
      <w:r w:rsidRPr="00D66C9C">
        <w:rPr>
          <w:rFonts w:ascii="Arial" w:hAnsi="Arial" w:cs="Arial"/>
          <w:color w:val="FFC000" w:themeColor="accent4"/>
          <w:sz w:val="20"/>
          <w:szCs w:val="20"/>
          <w:lang w:val="en-US"/>
        </w:rPr>
        <w:t xml:space="preserve"> it was clear she was sleep deprived and appeared overwhelmed with the responsibilities of being a mother.  It was clear I needed to support the family with implementing daily routines and improving the living conditions.</w:t>
      </w:r>
    </w:p>
    <w:p w14:paraId="625538DC" w14:textId="77777777" w:rsidR="00D66C9C" w:rsidRPr="00D66C9C" w:rsidRDefault="00D66C9C" w:rsidP="00D66C9C">
      <w:pPr>
        <w:spacing w:line="276" w:lineRule="auto"/>
        <w:rPr>
          <w:rFonts w:ascii="Arial" w:hAnsi="Arial" w:cs="Arial"/>
          <w:color w:val="FFC000" w:themeColor="accent4"/>
          <w:sz w:val="20"/>
          <w:szCs w:val="20"/>
          <w:lang w:val="en-US"/>
        </w:rPr>
      </w:pPr>
      <w:r w:rsidRPr="00D66C9C">
        <w:rPr>
          <w:rFonts w:ascii="Arial" w:hAnsi="Arial" w:cs="Arial"/>
          <w:color w:val="FFC000" w:themeColor="accent4"/>
          <w:sz w:val="20"/>
          <w:szCs w:val="20"/>
          <w:lang w:val="en-US"/>
        </w:rPr>
        <w:t xml:space="preserve">I asked if there </w:t>
      </w:r>
      <w:proofErr w:type="gramStart"/>
      <w:r w:rsidRPr="00D66C9C">
        <w:rPr>
          <w:rFonts w:ascii="Arial" w:hAnsi="Arial" w:cs="Arial"/>
          <w:color w:val="FFC000" w:themeColor="accent4"/>
          <w:sz w:val="20"/>
          <w:szCs w:val="20"/>
          <w:lang w:val="en-US"/>
        </w:rPr>
        <w:t>was</w:t>
      </w:r>
      <w:proofErr w:type="gramEnd"/>
      <w:r w:rsidRPr="00D66C9C">
        <w:rPr>
          <w:rFonts w:ascii="Arial" w:hAnsi="Arial" w:cs="Arial"/>
          <w:color w:val="FFC000" w:themeColor="accent4"/>
          <w:sz w:val="20"/>
          <w:szCs w:val="20"/>
          <w:lang w:val="en-US"/>
        </w:rPr>
        <w:t xml:space="preserve"> any wider family members who could support by looking after the children while she could have time to clean and catch up on sleep. Jenny informed me that she does not live near any family members and has lost contact with her friends since she met her new partner. She said her partner told her that she did not have time for friends. When I asked questions about the partner Jenny was vague in her answers, she said he would not like her talking about him when he is not there. When I asked what the living arrangements </w:t>
      </w:r>
      <w:proofErr w:type="gramStart"/>
      <w:r w:rsidRPr="00D66C9C">
        <w:rPr>
          <w:rFonts w:ascii="Arial" w:hAnsi="Arial" w:cs="Arial"/>
          <w:color w:val="FFC000" w:themeColor="accent4"/>
          <w:sz w:val="20"/>
          <w:szCs w:val="20"/>
          <w:lang w:val="en-US"/>
        </w:rPr>
        <w:t>are</w:t>
      </w:r>
      <w:proofErr w:type="gramEnd"/>
      <w:r w:rsidRPr="00D66C9C">
        <w:rPr>
          <w:rFonts w:ascii="Arial" w:hAnsi="Arial" w:cs="Arial"/>
          <w:color w:val="FFC000" w:themeColor="accent4"/>
          <w:sz w:val="20"/>
          <w:szCs w:val="20"/>
          <w:lang w:val="en-US"/>
        </w:rPr>
        <w:t xml:space="preserve"> Jenny said her partner wants to move </w:t>
      </w:r>
      <w:proofErr w:type="gramStart"/>
      <w:r w:rsidRPr="00D66C9C">
        <w:rPr>
          <w:rFonts w:ascii="Arial" w:hAnsi="Arial" w:cs="Arial"/>
          <w:color w:val="FFC000" w:themeColor="accent4"/>
          <w:sz w:val="20"/>
          <w:szCs w:val="20"/>
          <w:lang w:val="en-US"/>
        </w:rPr>
        <w:t>in</w:t>
      </w:r>
      <w:proofErr w:type="gramEnd"/>
      <w:r w:rsidRPr="00D66C9C">
        <w:rPr>
          <w:rFonts w:ascii="Arial" w:hAnsi="Arial" w:cs="Arial"/>
          <w:color w:val="FFC000" w:themeColor="accent4"/>
          <w:sz w:val="20"/>
          <w:szCs w:val="20"/>
          <w:lang w:val="en-US"/>
        </w:rPr>
        <w:t xml:space="preserve"> but she has only known him for 8 weeks. According to Women’s Aid (2025) this suggests that Jenny is potentially suffering from controlling and coercive </w:t>
      </w:r>
      <w:proofErr w:type="spellStart"/>
      <w:r w:rsidRPr="00D66C9C">
        <w:rPr>
          <w:rFonts w:ascii="Arial" w:hAnsi="Arial" w:cs="Arial"/>
          <w:color w:val="FFC000" w:themeColor="accent4"/>
          <w:sz w:val="20"/>
          <w:szCs w:val="20"/>
          <w:lang w:val="en-US"/>
        </w:rPr>
        <w:t>behaviour</w:t>
      </w:r>
      <w:proofErr w:type="spellEnd"/>
      <w:r w:rsidRPr="00D66C9C">
        <w:rPr>
          <w:rFonts w:ascii="Arial" w:hAnsi="Arial" w:cs="Arial"/>
          <w:color w:val="FFC000" w:themeColor="accent4"/>
          <w:sz w:val="20"/>
          <w:szCs w:val="20"/>
          <w:lang w:val="en-US"/>
        </w:rPr>
        <w:t xml:space="preserve"> in this new relationship. Jenny is currently living a very isolated </w:t>
      </w:r>
      <w:proofErr w:type="gramStart"/>
      <w:r w:rsidRPr="00D66C9C">
        <w:rPr>
          <w:rFonts w:ascii="Arial" w:hAnsi="Arial" w:cs="Arial"/>
          <w:color w:val="FFC000" w:themeColor="accent4"/>
          <w:sz w:val="20"/>
          <w:szCs w:val="20"/>
          <w:lang w:val="en-US"/>
        </w:rPr>
        <w:t>life,</w:t>
      </w:r>
      <w:proofErr w:type="gramEnd"/>
      <w:r w:rsidRPr="00D66C9C">
        <w:rPr>
          <w:rFonts w:ascii="Arial" w:hAnsi="Arial" w:cs="Arial"/>
          <w:color w:val="FFC000" w:themeColor="accent4"/>
          <w:sz w:val="20"/>
          <w:szCs w:val="20"/>
          <w:lang w:val="en-US"/>
        </w:rPr>
        <w:t xml:space="preserve"> she only leaves the house to take Joseph to Nursery and collect him. I asked Jenny to describe her well-being </w:t>
      </w:r>
      <w:proofErr w:type="gramStart"/>
      <w:r w:rsidRPr="00D66C9C">
        <w:rPr>
          <w:rFonts w:ascii="Arial" w:hAnsi="Arial" w:cs="Arial"/>
          <w:color w:val="FFC000" w:themeColor="accent4"/>
          <w:sz w:val="20"/>
          <w:szCs w:val="20"/>
          <w:lang w:val="en-US"/>
        </w:rPr>
        <w:t>at the moment</w:t>
      </w:r>
      <w:proofErr w:type="gramEnd"/>
      <w:r w:rsidRPr="00D66C9C">
        <w:rPr>
          <w:rFonts w:ascii="Arial" w:hAnsi="Arial" w:cs="Arial"/>
          <w:color w:val="FFC000" w:themeColor="accent4"/>
          <w:sz w:val="20"/>
          <w:szCs w:val="20"/>
          <w:lang w:val="en-US"/>
        </w:rPr>
        <w:t xml:space="preserve"> she said her mood is low, she does not feel she has energy and is continuously tired. I offered Jenny reassurance that these feelings can be a normal part of motherhood however I explained they can also be signs of postnatal depression as outlined by the NHS (2022). I advised Jenny that she makes an appointment with the GP to discuss how she is feeling and reminded her that if she is </w:t>
      </w:r>
      <w:proofErr w:type="gramStart"/>
      <w:r w:rsidRPr="00D66C9C">
        <w:rPr>
          <w:rFonts w:ascii="Arial" w:hAnsi="Arial" w:cs="Arial"/>
          <w:color w:val="FFC000" w:themeColor="accent4"/>
          <w:sz w:val="20"/>
          <w:szCs w:val="20"/>
          <w:lang w:val="en-US"/>
        </w:rPr>
        <w:t>diagnosed</w:t>
      </w:r>
      <w:proofErr w:type="gramEnd"/>
      <w:r w:rsidRPr="00D66C9C">
        <w:rPr>
          <w:rFonts w:ascii="Arial" w:hAnsi="Arial" w:cs="Arial"/>
          <w:color w:val="FFC000" w:themeColor="accent4"/>
          <w:sz w:val="20"/>
          <w:szCs w:val="20"/>
          <w:lang w:val="en-US"/>
        </w:rPr>
        <w:t xml:space="preserve"> she will not be treated any differently under The Equality Act 2010 and The Mental Capacity Act 2005.</w:t>
      </w:r>
    </w:p>
    <w:p w14:paraId="7A734B7A" w14:textId="77777777" w:rsidR="00D66C9C" w:rsidRPr="00D66C9C" w:rsidRDefault="00D66C9C" w:rsidP="00D66C9C">
      <w:pPr>
        <w:spacing w:line="276" w:lineRule="auto"/>
        <w:rPr>
          <w:rFonts w:ascii="Arial" w:hAnsi="Arial" w:cs="Arial"/>
          <w:color w:val="FFC000" w:themeColor="accent4"/>
          <w:sz w:val="20"/>
          <w:szCs w:val="20"/>
          <w:lang w:val="en-US"/>
        </w:rPr>
      </w:pPr>
      <w:r w:rsidRPr="00D66C9C">
        <w:rPr>
          <w:rFonts w:ascii="Arial" w:hAnsi="Arial" w:cs="Arial"/>
          <w:color w:val="FFC000" w:themeColor="accent4"/>
          <w:sz w:val="20"/>
          <w:szCs w:val="20"/>
          <w:lang w:val="en-US"/>
        </w:rPr>
        <w:t xml:space="preserve">I asked Jenny if she had any other worries which might be </w:t>
      </w:r>
      <w:proofErr w:type="gramStart"/>
      <w:r w:rsidRPr="00D66C9C">
        <w:rPr>
          <w:rFonts w:ascii="Arial" w:hAnsi="Arial" w:cs="Arial"/>
          <w:color w:val="FFC000" w:themeColor="accent4"/>
          <w:sz w:val="20"/>
          <w:szCs w:val="20"/>
          <w:lang w:val="en-US"/>
        </w:rPr>
        <w:t>effecting</w:t>
      </w:r>
      <w:proofErr w:type="gramEnd"/>
      <w:r w:rsidRPr="00D66C9C">
        <w:rPr>
          <w:rFonts w:ascii="Arial" w:hAnsi="Arial" w:cs="Arial"/>
          <w:color w:val="FFC000" w:themeColor="accent4"/>
          <w:sz w:val="20"/>
          <w:szCs w:val="20"/>
          <w:lang w:val="en-US"/>
        </w:rPr>
        <w:t xml:space="preserve"> the family home at present, she shared with me that she is struggling financially. She was due to return to work one month ago when her </w:t>
      </w:r>
      <w:proofErr w:type="gramStart"/>
      <w:r w:rsidRPr="00D66C9C">
        <w:rPr>
          <w:rFonts w:ascii="Arial" w:hAnsi="Arial" w:cs="Arial"/>
          <w:color w:val="FFC000" w:themeColor="accent4"/>
          <w:sz w:val="20"/>
          <w:szCs w:val="20"/>
          <w:lang w:val="en-US"/>
        </w:rPr>
        <w:t>maternity</w:t>
      </w:r>
      <w:proofErr w:type="gramEnd"/>
      <w:r w:rsidRPr="00D66C9C">
        <w:rPr>
          <w:rFonts w:ascii="Arial" w:hAnsi="Arial" w:cs="Arial"/>
          <w:color w:val="FFC000" w:themeColor="accent4"/>
          <w:sz w:val="20"/>
          <w:szCs w:val="20"/>
          <w:lang w:val="en-US"/>
        </w:rPr>
        <w:t xml:space="preserve"> ended but due to being so tired and feeling </w:t>
      </w:r>
      <w:proofErr w:type="gramStart"/>
      <w:r w:rsidRPr="00D66C9C">
        <w:rPr>
          <w:rFonts w:ascii="Arial" w:hAnsi="Arial" w:cs="Arial"/>
          <w:color w:val="FFC000" w:themeColor="accent4"/>
          <w:sz w:val="20"/>
          <w:szCs w:val="20"/>
          <w:lang w:val="en-US"/>
        </w:rPr>
        <w:t>low</w:t>
      </w:r>
      <w:proofErr w:type="gramEnd"/>
      <w:r w:rsidRPr="00D66C9C">
        <w:rPr>
          <w:rFonts w:ascii="Arial" w:hAnsi="Arial" w:cs="Arial"/>
          <w:color w:val="FFC000" w:themeColor="accent4"/>
          <w:sz w:val="20"/>
          <w:szCs w:val="20"/>
          <w:lang w:val="en-US"/>
        </w:rPr>
        <w:t xml:space="preserve"> she explained she </w:t>
      </w:r>
      <w:proofErr w:type="gramStart"/>
      <w:r w:rsidRPr="00D66C9C">
        <w:rPr>
          <w:rFonts w:ascii="Arial" w:hAnsi="Arial" w:cs="Arial"/>
          <w:color w:val="FFC000" w:themeColor="accent4"/>
          <w:sz w:val="20"/>
          <w:szCs w:val="20"/>
          <w:lang w:val="en-US"/>
        </w:rPr>
        <w:t>has</w:t>
      </w:r>
      <w:proofErr w:type="gramEnd"/>
      <w:r w:rsidRPr="00D66C9C">
        <w:rPr>
          <w:rFonts w:ascii="Arial" w:hAnsi="Arial" w:cs="Arial"/>
          <w:color w:val="FFC000" w:themeColor="accent4"/>
          <w:sz w:val="20"/>
          <w:szCs w:val="20"/>
          <w:lang w:val="en-US"/>
        </w:rPr>
        <w:t xml:space="preserve"> not felt ready. Jenny shared with me that she now has a limited amount of money to spend on food, clothes and toys. When I asked for some examples of recent meals it was clear there is a lot of processed foods </w:t>
      </w:r>
      <w:r w:rsidRPr="00D66C9C">
        <w:rPr>
          <w:rFonts w:ascii="Arial" w:hAnsi="Arial" w:cs="Arial"/>
          <w:color w:val="FFC000" w:themeColor="accent4"/>
          <w:sz w:val="20"/>
          <w:szCs w:val="20"/>
          <w:lang w:val="en-US"/>
        </w:rPr>
        <w:lastRenderedPageBreak/>
        <w:t xml:space="preserve">being given to Joseph as they are the cheaper option for Jenny. This does not provide a nutritious diet needed to support children to keep healthy and develop physically as outlined by the NHS (2022). To support </w:t>
      </w:r>
      <w:proofErr w:type="gramStart"/>
      <w:r w:rsidRPr="00D66C9C">
        <w:rPr>
          <w:rFonts w:ascii="Arial" w:hAnsi="Arial" w:cs="Arial"/>
          <w:color w:val="FFC000" w:themeColor="accent4"/>
          <w:sz w:val="20"/>
          <w:szCs w:val="20"/>
          <w:lang w:val="en-US"/>
        </w:rPr>
        <w:t>this</w:t>
      </w:r>
      <w:proofErr w:type="gramEnd"/>
      <w:r w:rsidRPr="00D66C9C">
        <w:rPr>
          <w:rFonts w:ascii="Arial" w:hAnsi="Arial" w:cs="Arial"/>
          <w:color w:val="FFC000" w:themeColor="accent4"/>
          <w:sz w:val="20"/>
          <w:szCs w:val="20"/>
          <w:lang w:val="en-US"/>
        </w:rPr>
        <w:t xml:space="preserve"> I provided Jenny with information on her local food bank along with a request for a Section 17 assessment under the Children Act 1989.</w:t>
      </w:r>
    </w:p>
    <w:p w14:paraId="7AFA6968" w14:textId="34754E88" w:rsidR="00D66C9C" w:rsidRPr="00D66C9C" w:rsidRDefault="00D66C9C" w:rsidP="00D66C9C">
      <w:pPr>
        <w:spacing w:line="276" w:lineRule="auto"/>
        <w:rPr>
          <w:rFonts w:ascii="Arial" w:hAnsi="Arial" w:cs="Arial"/>
          <w:color w:val="FFC000" w:themeColor="accent4"/>
          <w:sz w:val="20"/>
          <w:szCs w:val="20"/>
          <w:lang w:val="en-US"/>
        </w:rPr>
      </w:pPr>
      <w:r w:rsidRPr="00D66C9C">
        <w:rPr>
          <w:rFonts w:ascii="Arial" w:hAnsi="Arial" w:cs="Arial"/>
          <w:color w:val="FFC000" w:themeColor="accent4"/>
          <w:sz w:val="20"/>
          <w:szCs w:val="20"/>
          <w:lang w:val="en-US"/>
        </w:rPr>
        <w:t xml:space="preserve">To conclude my </w:t>
      </w:r>
      <w:proofErr w:type="gramStart"/>
      <w:r w:rsidRPr="00D66C9C">
        <w:rPr>
          <w:rFonts w:ascii="Arial" w:hAnsi="Arial" w:cs="Arial"/>
          <w:color w:val="FFC000" w:themeColor="accent4"/>
          <w:sz w:val="20"/>
          <w:szCs w:val="20"/>
          <w:lang w:val="en-US"/>
        </w:rPr>
        <w:t>report</w:t>
      </w:r>
      <w:proofErr w:type="gramEnd"/>
      <w:r w:rsidRPr="00D66C9C">
        <w:rPr>
          <w:rFonts w:ascii="Arial" w:hAnsi="Arial" w:cs="Arial"/>
          <w:color w:val="FFC000" w:themeColor="accent4"/>
          <w:sz w:val="20"/>
          <w:szCs w:val="20"/>
          <w:lang w:val="en-US"/>
        </w:rPr>
        <w:t xml:space="preserve"> It is my professional judgement that urgent intervention and support for Jenny is required to prevent the risk of significant harm from happening to Joseph and Amelia in the future. I do not believe Joseph and Amelia to be in an unsafe environment and feel with the right support from multi agencies, the general well-being and living conditions will improve for the whole family. I have seen that Jenny is a loving mum through her responses to the children during my visit. I have heard that she has particularly struggled the past couple of months due to financial hardship and possible depression. Jenny has agreed to actions which </w:t>
      </w:r>
      <w:proofErr w:type="gramStart"/>
      <w:r w:rsidRPr="00D66C9C">
        <w:rPr>
          <w:rFonts w:ascii="Arial" w:hAnsi="Arial" w:cs="Arial"/>
          <w:color w:val="FFC000" w:themeColor="accent4"/>
          <w:sz w:val="20"/>
          <w:szCs w:val="20"/>
          <w:lang w:val="en-US"/>
        </w:rPr>
        <w:t>shows</w:t>
      </w:r>
      <w:proofErr w:type="gramEnd"/>
      <w:r w:rsidRPr="00D66C9C">
        <w:rPr>
          <w:rFonts w:ascii="Arial" w:hAnsi="Arial" w:cs="Arial"/>
          <w:color w:val="FFC000" w:themeColor="accent4"/>
          <w:sz w:val="20"/>
          <w:szCs w:val="20"/>
          <w:lang w:val="en-US"/>
        </w:rPr>
        <w:t xml:space="preserve"> her willingness to work in </w:t>
      </w:r>
      <w:proofErr w:type="gramStart"/>
      <w:r w:rsidRPr="00D66C9C">
        <w:rPr>
          <w:rFonts w:ascii="Arial" w:hAnsi="Arial" w:cs="Arial"/>
          <w:color w:val="FFC000" w:themeColor="accent4"/>
          <w:sz w:val="20"/>
          <w:szCs w:val="20"/>
          <w:lang w:val="en-US"/>
        </w:rPr>
        <w:t>partnership .</w:t>
      </w:r>
      <w:proofErr w:type="gramEnd"/>
      <w:r w:rsidRPr="00D66C9C">
        <w:rPr>
          <w:rFonts w:ascii="Arial" w:hAnsi="Arial" w:cs="Arial"/>
          <w:color w:val="FFC000" w:themeColor="accent4"/>
          <w:sz w:val="20"/>
          <w:szCs w:val="20"/>
          <w:lang w:val="en-US"/>
        </w:rPr>
        <w:t xml:space="preserve"> I believe the welfare of Joseph and Amelia should be closely monitored and this case to be reviewed in a few weeks. That concludes my report to conference. Thank you for listening. </w:t>
      </w:r>
    </w:p>
    <w:p w14:paraId="2A94440D" w14:textId="77777777" w:rsidR="00D66C9C" w:rsidRPr="00D66C9C" w:rsidRDefault="00D66C9C" w:rsidP="00D66C9C">
      <w:pPr>
        <w:spacing w:line="276" w:lineRule="auto"/>
        <w:rPr>
          <w:rFonts w:ascii="Arial" w:hAnsi="Arial" w:cs="Arial"/>
          <w:sz w:val="20"/>
          <w:szCs w:val="20"/>
          <w:highlight w:val="cyan"/>
        </w:rPr>
      </w:pPr>
    </w:p>
    <w:p w14:paraId="3881CE34"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Good afternoon my name is Officer Wemyss. This case was referred to me by the Social Worker under section 47 of the child protection enquiries.</w:t>
      </w:r>
    </w:p>
    <w:p w14:paraId="66D085E4"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Today is Monday 8th July 2025 and my report is a Child Welfare Concern.</w:t>
      </w:r>
    </w:p>
    <w:p w14:paraId="68AD7655"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b/>
          <w:bCs/>
          <w:color w:val="ED7D31" w:themeColor="accent2"/>
          <w:kern w:val="0"/>
          <w:sz w:val="20"/>
          <w:szCs w:val="20"/>
          <w:lang w:eastAsia="en-GB"/>
          <w14:ligatures w14:val="none"/>
        </w:rPr>
        <w:t>Summary of Concerns</w:t>
      </w:r>
    </w:p>
    <w:p w14:paraId="61A19A68"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 xml:space="preserve">The subjects of concern in this case are a 3-year-old boy named Joseph and a 10-month-old girl named Amelia. The reasons for Concern are suspected neglect in the home environment under the Children and Young Persons Act of 1989 (Legislations, Gov 2024). Joseph and his younger sister Amelia have been identified as at-risk individuals </w:t>
      </w:r>
      <w:proofErr w:type="gramStart"/>
      <w:r w:rsidRPr="00D66C9C">
        <w:rPr>
          <w:rFonts w:ascii="Arial" w:eastAsia="Times New Roman" w:hAnsi="Arial" w:cs="Arial"/>
          <w:color w:val="ED7D31" w:themeColor="accent2"/>
          <w:kern w:val="0"/>
          <w:sz w:val="20"/>
          <w:szCs w:val="20"/>
          <w:lang w:eastAsia="en-GB"/>
          <w14:ligatures w14:val="none"/>
        </w:rPr>
        <w:t>as a result of</w:t>
      </w:r>
      <w:proofErr w:type="gramEnd"/>
      <w:r w:rsidRPr="00D66C9C">
        <w:rPr>
          <w:rFonts w:ascii="Arial" w:eastAsia="Times New Roman" w:hAnsi="Arial" w:cs="Arial"/>
          <w:color w:val="ED7D31" w:themeColor="accent2"/>
          <w:kern w:val="0"/>
          <w:sz w:val="20"/>
          <w:szCs w:val="20"/>
          <w:lang w:eastAsia="en-GB"/>
          <w14:ligatures w14:val="none"/>
        </w:rPr>
        <w:t xml:space="preserve"> the potential neglect in their family environment. Emerging concerns have arisen regarding the mother's new relationship, including potential exposure to domestic violence, emotional well-being, and fundamental care. The children appear to be withdrawn, and Joseph has exhibited irregular nursery attendance and inadequate hygiene</w:t>
      </w:r>
      <w:r w:rsidRPr="00D66C9C">
        <w:rPr>
          <w:rFonts w:ascii="Arial" w:eastAsia="Times New Roman" w:hAnsi="Arial" w:cs="Arial"/>
          <w:b/>
          <w:bCs/>
          <w:color w:val="ED7D31" w:themeColor="accent2"/>
          <w:kern w:val="0"/>
          <w:sz w:val="20"/>
          <w:szCs w:val="20"/>
          <w:lang w:eastAsia="en-GB"/>
          <w14:ligatures w14:val="none"/>
        </w:rPr>
        <w:t>.</w:t>
      </w:r>
    </w:p>
    <w:p w14:paraId="0FAD6778"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b/>
          <w:bCs/>
          <w:color w:val="ED7D31" w:themeColor="accent2"/>
          <w:kern w:val="0"/>
          <w:sz w:val="20"/>
          <w:szCs w:val="20"/>
          <w:lang w:eastAsia="en-GB"/>
          <w14:ligatures w14:val="none"/>
        </w:rPr>
        <w:t> </w:t>
      </w:r>
    </w:p>
    <w:p w14:paraId="0A67185A"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b/>
          <w:bCs/>
          <w:color w:val="ED7D31" w:themeColor="accent2"/>
          <w:kern w:val="0"/>
          <w:sz w:val="20"/>
          <w:szCs w:val="20"/>
          <w:lang w:eastAsia="en-GB"/>
          <w14:ligatures w14:val="none"/>
        </w:rPr>
        <w:t>Key risk factors</w:t>
      </w:r>
    </w:p>
    <w:p w14:paraId="301DD930"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The mother has recently started a romantic relationship with a new partner. This individual is already familiar to law enforcement from prior enquiries concerning child safety. This man has no contact or interaction with his biological children due to domestic abuse in a prior relationship. Due to this, he possesses a restraining order issued under Section 360 sentence Act 2020 (CPS, 2025) stopping any contact or interaction with both children and ex-partner. Even though the restraining order remains in effect it has been breached once.</w:t>
      </w:r>
    </w:p>
    <w:p w14:paraId="0421CB86"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Information collected indicates worries around potential controlling and coercive behaviour within the household. The male subject had already previously been charged under Section 76 of the Serious Crime Act 2015 (CPS, 2021). There may be unverified reports of domestic violence, thereby jeopardising the physical and mental well-being of both children. The Mans history of domestic abuse and disregard for restraining orders, coupled with the mother's current involvement with this individual causes serious safeguarding concerns.</w:t>
      </w:r>
    </w:p>
    <w:p w14:paraId="1F89994A"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b/>
          <w:bCs/>
          <w:color w:val="ED7D31" w:themeColor="accent2"/>
          <w:kern w:val="0"/>
          <w:sz w:val="20"/>
          <w:szCs w:val="20"/>
          <w:lang w:eastAsia="en-GB"/>
          <w14:ligatures w14:val="none"/>
        </w:rPr>
        <w:t>Criminal history</w:t>
      </w:r>
    </w:p>
    <w:p w14:paraId="7CCA7BE7"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The male has a history of abusing drugs and alcohol, and he has been arrested before for being abusive and drunk around a child, which led to Child Protective Services being called. The male was charged with drunk and disorderly conduct, which led to charges under the Public Order Act 1986 (CPS, 2024), charged for resisting arrest, which led to charges under the Police Act Section 89 (Legislation.Gov, 2020) and child endangerment, which led to charges under the Children and Young Person Act 1989 (Gov, 2022). These actions show that he is still a danger to any children he is responsible for or in contact with.</w:t>
      </w:r>
    </w:p>
    <w:p w14:paraId="7F004CD1"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b/>
          <w:bCs/>
          <w:color w:val="ED7D31" w:themeColor="accent2"/>
          <w:kern w:val="0"/>
          <w:sz w:val="20"/>
          <w:szCs w:val="20"/>
          <w:lang w:eastAsia="en-GB"/>
          <w14:ligatures w14:val="none"/>
        </w:rPr>
        <w:t>My recommendations</w:t>
      </w:r>
    </w:p>
    <w:p w14:paraId="498FF087"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 xml:space="preserve">Based on the available facts I advise a criminal inquiry into possible coercive control, child endangerment, and domestic abuse under Section 76 of the Serious Crime Act 2015 (Gov, 2024), </w:t>
      </w:r>
      <w:r w:rsidRPr="00D66C9C">
        <w:rPr>
          <w:rFonts w:ascii="Arial" w:eastAsia="Times New Roman" w:hAnsi="Arial" w:cs="Arial"/>
          <w:color w:val="ED7D31" w:themeColor="accent2"/>
          <w:kern w:val="0"/>
          <w:sz w:val="20"/>
          <w:szCs w:val="20"/>
          <w:lang w:eastAsia="en-GB"/>
          <w14:ligatures w14:val="none"/>
        </w:rPr>
        <w:lastRenderedPageBreak/>
        <w:t>The Children and Young People Act 2004 (Legislation, Gov 2022) and the Sentencing Act 2020, Section 360 (Legislation.gov 2020). Until the outcomes of the police investigations and risk assessments are known, I advise the male in question to avoid any unsupervised interactions with the children. If the children are deemed at immediate risk after these risk assessments, I urge Children's Services to seek an Emergency Protection Order under the Children Act 1989, Section 44 (Child Law Advice, 2023).       </w:t>
      </w:r>
    </w:p>
    <w:p w14:paraId="320B3599"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Given the indications of coercive control, I suggest that the mother seek help from domestic abuse services, which include safety planning under the Domestic Abuse Act 2021 (Gov, 2024).</w:t>
      </w:r>
    </w:p>
    <w:p w14:paraId="7313FE27"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 </w:t>
      </w:r>
    </w:p>
    <w:p w14:paraId="610A1A9F"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b/>
          <w:bCs/>
          <w:color w:val="ED7D31" w:themeColor="accent2"/>
          <w:kern w:val="0"/>
          <w:sz w:val="20"/>
          <w:szCs w:val="20"/>
          <w:lang w:eastAsia="en-GB"/>
          <w14:ligatures w14:val="none"/>
        </w:rPr>
        <w:t>Conclusion</w:t>
      </w:r>
    </w:p>
    <w:p w14:paraId="5BAC3AB9" w14:textId="77777777" w:rsidR="00D66C9C" w:rsidRPr="00D66C9C" w:rsidRDefault="00D66C9C" w:rsidP="00D66C9C">
      <w:pPr>
        <w:shd w:val="clear" w:color="auto" w:fill="FFFFFF"/>
        <w:spacing w:line="276" w:lineRule="auto"/>
        <w:rPr>
          <w:rFonts w:ascii="Arial" w:eastAsia="Times New Roman" w:hAnsi="Arial" w:cs="Arial"/>
          <w:color w:val="ED7D31" w:themeColor="accent2"/>
          <w:kern w:val="0"/>
          <w:sz w:val="20"/>
          <w:szCs w:val="20"/>
          <w:lang w:eastAsia="en-GB"/>
          <w14:ligatures w14:val="none"/>
        </w:rPr>
      </w:pPr>
      <w:r w:rsidRPr="00D66C9C">
        <w:rPr>
          <w:rFonts w:ascii="Arial" w:eastAsia="Times New Roman" w:hAnsi="Arial" w:cs="Arial"/>
          <w:color w:val="ED7D31" w:themeColor="accent2"/>
          <w:kern w:val="0"/>
          <w:sz w:val="20"/>
          <w:szCs w:val="20"/>
          <w:lang w:eastAsia="en-GB"/>
          <w14:ligatures w14:val="none"/>
        </w:rPr>
        <w:t>Despite what the Team around the family have said, based on the data base I deem the welfare of Joseph, Amelia and Jenny at a serious and credible risk. I have multiple safeguarding concerns, which include neglect, suspected domestic abuse, breach of legal orders and a male adult with a significant offending history.</w:t>
      </w:r>
      <w:r w:rsidRPr="00D66C9C">
        <w:rPr>
          <w:rFonts w:ascii="Arial" w:eastAsia="Times New Roman" w:hAnsi="Arial" w:cs="Arial"/>
          <w:color w:val="ED7D31" w:themeColor="accent2"/>
          <w:kern w:val="0"/>
          <w:sz w:val="20"/>
          <w:szCs w:val="20"/>
          <w:lang w:eastAsia="en-GB"/>
          <w14:ligatures w14:val="none"/>
        </w:rPr>
        <w:br/>
        <w:t>As our duty of care under the Children Act 1989 (NSPCC, 2024) the police are in favour of immediate protective action, joint-agency investigation, and the implementation of appropriate legal measures to protect the minors from ongoing harm.</w:t>
      </w:r>
    </w:p>
    <w:p w14:paraId="32B39D95" w14:textId="77777777" w:rsidR="00D66C9C" w:rsidRPr="00D66C9C" w:rsidRDefault="00D66C9C" w:rsidP="00D66C9C">
      <w:pPr>
        <w:spacing w:line="276" w:lineRule="auto"/>
        <w:rPr>
          <w:rFonts w:ascii="Arial" w:hAnsi="Arial" w:cs="Arial"/>
          <w:sz w:val="20"/>
          <w:szCs w:val="20"/>
          <w:highlight w:val="cyan"/>
        </w:rPr>
      </w:pPr>
    </w:p>
    <w:p w14:paraId="18E5C73E" w14:textId="77777777"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This case exemplifies the complexity of cumulative neglect and the risks of disguised compliance, where parents offer minimal cooperation to deflect scrutiny (Reder and Duncan, 1999; Laming, 2009). The lack of visible injuries should not obscure the seriousness of emotional harm and developmental disruption experienced by both children (NSPCC, 2023).</w:t>
      </w:r>
    </w:p>
    <w:p w14:paraId="5EFE4D82" w14:textId="77777777" w:rsidR="00AC55D8" w:rsidRPr="00D66C9C" w:rsidRDefault="00AC55D8" w:rsidP="00D66C9C">
      <w:pPr>
        <w:spacing w:line="276" w:lineRule="auto"/>
        <w:rPr>
          <w:rFonts w:ascii="Arial" w:hAnsi="Arial" w:cs="Arial"/>
          <w:color w:val="00B0F0"/>
          <w:sz w:val="20"/>
          <w:szCs w:val="20"/>
        </w:rPr>
      </w:pPr>
    </w:p>
    <w:p w14:paraId="5E261707" w14:textId="10259A18"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Challenges include maternal non-engagement and the unknown role of the adult male, suggesting ongoing risk. As the lead professional, I will ensure robust Core Group coordination, ongoing risk reassessment, and that the children’s voices and experiences remain central to planning (Winter, 2011).</w:t>
      </w:r>
    </w:p>
    <w:p w14:paraId="07DF94A1" w14:textId="77777777" w:rsidR="00AC55D8" w:rsidRPr="00D66C9C" w:rsidRDefault="00AC55D8" w:rsidP="00D66C9C">
      <w:pPr>
        <w:spacing w:line="276" w:lineRule="auto"/>
        <w:rPr>
          <w:rFonts w:ascii="Arial" w:hAnsi="Arial" w:cs="Arial"/>
          <w:color w:val="00B0F0"/>
          <w:sz w:val="20"/>
          <w:szCs w:val="20"/>
        </w:rPr>
      </w:pPr>
    </w:p>
    <w:p w14:paraId="16DFD3CE" w14:textId="3D4CADED"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The evidence gathered from direct observation, partner agency input, and family history strongly supports the categorisation of significant harm. Including missed health appointments, social withdrawal, and maternal non-engagement. The police confirmed the male visitor has a criminal record for domestic assault and substance misuse. Consent for checks was not granted by the mother, prompting safeguarding overrides in line with GDPR Article 6(1)(d) and Article 9(2)(c) – protection of vital interests (Information Commissioner’s Office, 2023). My professional judgement is that the children remain at risk and require ongoing statutory intervention, including a Child Protection Plan, monitored through monthly Core Groups and a 3-month review conference.</w:t>
      </w:r>
    </w:p>
    <w:p w14:paraId="3594DD63" w14:textId="10F8CB1E"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If there is non-compliance or further deterioration, legal proceedings will be considered under the Children Act 1989 (Section 31 – Care Proceedings).</w:t>
      </w:r>
    </w:p>
    <w:p w14:paraId="341697FB" w14:textId="77777777" w:rsidR="00AC55D8" w:rsidRPr="00D66C9C" w:rsidRDefault="00AC55D8" w:rsidP="00D66C9C">
      <w:pPr>
        <w:spacing w:line="276" w:lineRule="auto"/>
        <w:rPr>
          <w:rFonts w:ascii="Arial" w:hAnsi="Arial" w:cs="Arial"/>
          <w:color w:val="00B0F0"/>
          <w:sz w:val="20"/>
          <w:szCs w:val="20"/>
        </w:rPr>
      </w:pPr>
    </w:p>
    <w:p w14:paraId="1B851624" w14:textId="4C8F03F1"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Bobby, do you agree with this outcome?</w:t>
      </w:r>
    </w:p>
    <w:p w14:paraId="51FFF436" w14:textId="657A72A9"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Cody, do you agree with this outcome?</w:t>
      </w:r>
    </w:p>
    <w:p w14:paraId="0D92BFB0" w14:textId="2CB546A2"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Joelle, do you agree with this outcome?</w:t>
      </w:r>
    </w:p>
    <w:p w14:paraId="43562975" w14:textId="4B8E0401"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Gemma, do you agree with this outcome?</w:t>
      </w:r>
    </w:p>
    <w:p w14:paraId="7AC00510" w14:textId="77777777" w:rsidR="00AC55D8" w:rsidRPr="00D66C9C" w:rsidRDefault="00AC55D8" w:rsidP="00D66C9C">
      <w:pPr>
        <w:spacing w:line="276" w:lineRule="auto"/>
        <w:rPr>
          <w:rFonts w:ascii="Arial" w:hAnsi="Arial" w:cs="Arial"/>
          <w:color w:val="00B0F0"/>
          <w:sz w:val="20"/>
          <w:szCs w:val="20"/>
        </w:rPr>
      </w:pPr>
    </w:p>
    <w:p w14:paraId="16783AA3" w14:textId="5FBB11C5"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 xml:space="preserve">We will meet again in 2 weeks’ time to review the steps to the plan. </w:t>
      </w:r>
    </w:p>
    <w:p w14:paraId="501AAC5A" w14:textId="77777777" w:rsidR="00AC55D8" w:rsidRPr="00D66C9C" w:rsidRDefault="00AC55D8" w:rsidP="00D66C9C">
      <w:pPr>
        <w:spacing w:line="276" w:lineRule="auto"/>
        <w:rPr>
          <w:rFonts w:ascii="Arial" w:hAnsi="Arial" w:cs="Arial"/>
          <w:color w:val="00B0F0"/>
          <w:sz w:val="20"/>
          <w:szCs w:val="20"/>
        </w:rPr>
      </w:pPr>
    </w:p>
    <w:p w14:paraId="30B950DC" w14:textId="71AF8E3A" w:rsidR="00AC55D8" w:rsidRPr="00D66C9C" w:rsidRDefault="00AC55D8" w:rsidP="00D66C9C">
      <w:pPr>
        <w:spacing w:line="276" w:lineRule="auto"/>
        <w:rPr>
          <w:rFonts w:ascii="Arial" w:hAnsi="Arial" w:cs="Arial"/>
          <w:color w:val="00B0F0"/>
          <w:sz w:val="20"/>
          <w:szCs w:val="20"/>
        </w:rPr>
      </w:pPr>
      <w:r w:rsidRPr="00D66C9C">
        <w:rPr>
          <w:rFonts w:ascii="Arial" w:hAnsi="Arial" w:cs="Arial"/>
          <w:color w:val="00B0F0"/>
          <w:sz w:val="20"/>
          <w:szCs w:val="20"/>
        </w:rPr>
        <w:t>Thank you all for your contribution and support.</w:t>
      </w:r>
    </w:p>
    <w:p w14:paraId="53CC98D5" w14:textId="77777777" w:rsidR="00AC55D8" w:rsidRPr="00D66C9C" w:rsidRDefault="00AC55D8" w:rsidP="00D66C9C">
      <w:pPr>
        <w:spacing w:line="276" w:lineRule="auto"/>
        <w:rPr>
          <w:rFonts w:ascii="Arial" w:hAnsi="Arial" w:cs="Arial"/>
          <w:sz w:val="20"/>
          <w:szCs w:val="20"/>
        </w:rPr>
      </w:pPr>
    </w:p>
    <w:p w14:paraId="5FCB3B01" w14:textId="77777777" w:rsidR="00AC55D8" w:rsidRPr="00D66C9C" w:rsidRDefault="00AC55D8" w:rsidP="00D66C9C">
      <w:pPr>
        <w:spacing w:line="276" w:lineRule="auto"/>
        <w:rPr>
          <w:rFonts w:ascii="Arial" w:hAnsi="Arial" w:cs="Arial"/>
          <w:sz w:val="20"/>
          <w:szCs w:val="20"/>
        </w:rPr>
      </w:pPr>
    </w:p>
    <w:p w14:paraId="0D8439CC" w14:textId="29E20870" w:rsidR="00AC55D8" w:rsidRPr="00D66C9C" w:rsidRDefault="00AC55D8" w:rsidP="00D66C9C">
      <w:pPr>
        <w:spacing w:line="276" w:lineRule="auto"/>
        <w:rPr>
          <w:rFonts w:ascii="Arial" w:hAnsi="Arial" w:cs="Arial"/>
          <w:sz w:val="20"/>
          <w:szCs w:val="20"/>
        </w:rPr>
      </w:pPr>
    </w:p>
    <w:p w14:paraId="14FAF299" w14:textId="77777777" w:rsidR="00AC55D8" w:rsidRPr="00D66C9C" w:rsidRDefault="00AC55D8" w:rsidP="00D66C9C">
      <w:pPr>
        <w:spacing w:line="276" w:lineRule="auto"/>
        <w:rPr>
          <w:rFonts w:ascii="Arial" w:hAnsi="Arial" w:cs="Arial"/>
          <w:sz w:val="20"/>
          <w:szCs w:val="20"/>
        </w:rPr>
      </w:pPr>
    </w:p>
    <w:p w14:paraId="0DCF0228" w14:textId="77777777" w:rsidR="00AC55D8" w:rsidRPr="00D66C9C" w:rsidRDefault="00AC55D8" w:rsidP="00D66C9C">
      <w:pPr>
        <w:spacing w:line="276" w:lineRule="auto"/>
        <w:rPr>
          <w:rFonts w:ascii="Arial" w:hAnsi="Arial" w:cs="Arial"/>
          <w:sz w:val="20"/>
          <w:szCs w:val="20"/>
        </w:rPr>
      </w:pPr>
    </w:p>
    <w:p w14:paraId="637F80CA" w14:textId="77777777" w:rsidR="00AC55D8" w:rsidRPr="00D66C9C" w:rsidRDefault="00AC55D8" w:rsidP="00D66C9C">
      <w:pPr>
        <w:spacing w:line="276" w:lineRule="auto"/>
        <w:rPr>
          <w:rFonts w:ascii="Arial" w:hAnsi="Arial" w:cs="Arial"/>
          <w:sz w:val="20"/>
          <w:szCs w:val="20"/>
        </w:rPr>
      </w:pPr>
    </w:p>
    <w:p w14:paraId="2516EFCA" w14:textId="77777777" w:rsidR="00AC55D8" w:rsidRPr="00D66C9C" w:rsidRDefault="00AC55D8" w:rsidP="00D66C9C">
      <w:pPr>
        <w:spacing w:line="276" w:lineRule="auto"/>
        <w:rPr>
          <w:rFonts w:ascii="Arial" w:hAnsi="Arial" w:cs="Arial"/>
          <w:sz w:val="20"/>
          <w:szCs w:val="20"/>
        </w:rPr>
      </w:pPr>
    </w:p>
    <w:p w14:paraId="3BAF2A55" w14:textId="77777777" w:rsidR="00AC55D8" w:rsidRPr="00D66C9C" w:rsidRDefault="00AC55D8" w:rsidP="00D66C9C">
      <w:pPr>
        <w:spacing w:line="276" w:lineRule="auto"/>
        <w:rPr>
          <w:rFonts w:ascii="Arial" w:hAnsi="Arial" w:cs="Arial"/>
          <w:sz w:val="20"/>
          <w:szCs w:val="20"/>
        </w:rPr>
      </w:pPr>
    </w:p>
    <w:p w14:paraId="43676658" w14:textId="77777777" w:rsidR="00AC55D8" w:rsidRPr="00D66C9C" w:rsidRDefault="00AC55D8" w:rsidP="00D66C9C">
      <w:pPr>
        <w:spacing w:line="276" w:lineRule="auto"/>
        <w:rPr>
          <w:rFonts w:ascii="Arial" w:hAnsi="Arial" w:cs="Arial"/>
          <w:sz w:val="20"/>
          <w:szCs w:val="20"/>
        </w:rPr>
      </w:pPr>
    </w:p>
    <w:p w14:paraId="2E5467C9" w14:textId="77777777" w:rsidR="00AC55D8" w:rsidRPr="00D66C9C" w:rsidRDefault="00AC55D8" w:rsidP="00D66C9C">
      <w:pPr>
        <w:spacing w:line="276" w:lineRule="auto"/>
        <w:rPr>
          <w:rFonts w:ascii="Arial" w:hAnsi="Arial" w:cs="Arial"/>
          <w:sz w:val="20"/>
          <w:szCs w:val="20"/>
        </w:rPr>
      </w:pPr>
    </w:p>
    <w:p w14:paraId="61AADA75" w14:textId="77777777" w:rsidR="00AC55D8" w:rsidRPr="00D66C9C" w:rsidRDefault="00AC55D8" w:rsidP="00D66C9C">
      <w:pPr>
        <w:spacing w:line="276" w:lineRule="auto"/>
        <w:rPr>
          <w:rFonts w:ascii="Arial" w:hAnsi="Arial" w:cs="Arial"/>
          <w:sz w:val="20"/>
          <w:szCs w:val="20"/>
        </w:rPr>
      </w:pPr>
    </w:p>
    <w:p w14:paraId="727E6657" w14:textId="77777777" w:rsidR="00AC55D8" w:rsidRPr="00D66C9C" w:rsidRDefault="00AC55D8" w:rsidP="00D66C9C">
      <w:pPr>
        <w:spacing w:line="276" w:lineRule="auto"/>
        <w:rPr>
          <w:rFonts w:ascii="Arial" w:hAnsi="Arial" w:cs="Arial"/>
          <w:sz w:val="20"/>
          <w:szCs w:val="20"/>
        </w:rPr>
      </w:pPr>
    </w:p>
    <w:p w14:paraId="2177B277" w14:textId="77777777" w:rsidR="00AC55D8" w:rsidRPr="00D66C9C" w:rsidRDefault="00AC55D8" w:rsidP="00D66C9C">
      <w:pPr>
        <w:spacing w:line="276" w:lineRule="auto"/>
        <w:rPr>
          <w:rFonts w:ascii="Arial" w:hAnsi="Arial" w:cs="Arial"/>
          <w:sz w:val="20"/>
          <w:szCs w:val="20"/>
        </w:rPr>
      </w:pPr>
    </w:p>
    <w:p w14:paraId="74497397" w14:textId="77777777" w:rsidR="00AC55D8" w:rsidRPr="00D66C9C" w:rsidRDefault="00AC55D8" w:rsidP="00D66C9C">
      <w:pPr>
        <w:spacing w:line="276" w:lineRule="auto"/>
        <w:rPr>
          <w:rFonts w:ascii="Arial" w:hAnsi="Arial" w:cs="Arial"/>
          <w:sz w:val="20"/>
          <w:szCs w:val="20"/>
        </w:rPr>
      </w:pPr>
    </w:p>
    <w:p w14:paraId="14E91FAA" w14:textId="77777777" w:rsidR="00AC55D8" w:rsidRPr="00D66C9C" w:rsidRDefault="00AC55D8" w:rsidP="00D66C9C">
      <w:pPr>
        <w:spacing w:line="276" w:lineRule="auto"/>
        <w:rPr>
          <w:rFonts w:ascii="Arial" w:hAnsi="Arial" w:cs="Arial"/>
          <w:sz w:val="20"/>
          <w:szCs w:val="20"/>
        </w:rPr>
      </w:pPr>
    </w:p>
    <w:p w14:paraId="4DAABBA5" w14:textId="77777777" w:rsidR="00AC55D8" w:rsidRPr="00D66C9C" w:rsidRDefault="00AC55D8" w:rsidP="00D66C9C">
      <w:pPr>
        <w:spacing w:line="276" w:lineRule="auto"/>
        <w:rPr>
          <w:rFonts w:ascii="Arial" w:hAnsi="Arial" w:cs="Arial"/>
          <w:sz w:val="20"/>
          <w:szCs w:val="20"/>
        </w:rPr>
      </w:pPr>
    </w:p>
    <w:p w14:paraId="048A2D8C" w14:textId="77777777" w:rsidR="00AC55D8" w:rsidRPr="00D66C9C" w:rsidRDefault="00AC55D8" w:rsidP="00D66C9C">
      <w:pPr>
        <w:spacing w:line="276" w:lineRule="auto"/>
        <w:rPr>
          <w:rFonts w:ascii="Arial" w:hAnsi="Arial" w:cs="Arial"/>
          <w:sz w:val="20"/>
          <w:szCs w:val="20"/>
        </w:rPr>
      </w:pPr>
    </w:p>
    <w:p w14:paraId="27692A63" w14:textId="77777777" w:rsidR="00302192" w:rsidRPr="00D66C9C" w:rsidRDefault="00302192" w:rsidP="00D66C9C">
      <w:pPr>
        <w:spacing w:line="276" w:lineRule="auto"/>
        <w:rPr>
          <w:rFonts w:ascii="Arial" w:hAnsi="Arial" w:cs="Arial"/>
          <w:sz w:val="20"/>
          <w:szCs w:val="20"/>
        </w:rPr>
      </w:pPr>
    </w:p>
    <w:p w14:paraId="76561C3A" w14:textId="77777777" w:rsidR="00302192" w:rsidRPr="00D66C9C" w:rsidRDefault="00302192" w:rsidP="00D66C9C">
      <w:pPr>
        <w:spacing w:line="276" w:lineRule="auto"/>
        <w:rPr>
          <w:rFonts w:ascii="Arial" w:hAnsi="Arial" w:cs="Arial"/>
          <w:sz w:val="20"/>
          <w:szCs w:val="20"/>
        </w:rPr>
      </w:pPr>
    </w:p>
    <w:p w14:paraId="77BE28FE" w14:textId="77777777" w:rsidR="00D66C9C" w:rsidRDefault="00D66C9C" w:rsidP="00D66C9C">
      <w:pPr>
        <w:spacing w:line="276" w:lineRule="auto"/>
        <w:rPr>
          <w:rFonts w:ascii="Arial" w:hAnsi="Arial" w:cs="Arial"/>
          <w:sz w:val="20"/>
          <w:szCs w:val="20"/>
        </w:rPr>
      </w:pPr>
    </w:p>
    <w:p w14:paraId="0451ACD8" w14:textId="77777777" w:rsidR="00D66C9C" w:rsidRDefault="00D66C9C" w:rsidP="00D66C9C">
      <w:pPr>
        <w:spacing w:line="276" w:lineRule="auto"/>
        <w:rPr>
          <w:rFonts w:ascii="Arial" w:hAnsi="Arial" w:cs="Arial"/>
          <w:sz w:val="20"/>
          <w:szCs w:val="20"/>
        </w:rPr>
      </w:pPr>
    </w:p>
    <w:p w14:paraId="15665E6B" w14:textId="77777777" w:rsidR="00D66C9C" w:rsidRPr="00D66C9C" w:rsidRDefault="00D66C9C" w:rsidP="00D66C9C">
      <w:pPr>
        <w:spacing w:line="276" w:lineRule="auto"/>
        <w:rPr>
          <w:rFonts w:ascii="Arial" w:hAnsi="Arial" w:cs="Arial"/>
          <w:sz w:val="20"/>
          <w:szCs w:val="20"/>
        </w:rPr>
      </w:pPr>
    </w:p>
    <w:p w14:paraId="33DE9F58" w14:textId="77777777" w:rsidR="00D66C9C" w:rsidRPr="00D66C9C" w:rsidRDefault="00D66C9C" w:rsidP="00D66C9C">
      <w:pPr>
        <w:spacing w:line="276" w:lineRule="auto"/>
        <w:rPr>
          <w:rFonts w:ascii="Arial" w:hAnsi="Arial" w:cs="Arial"/>
          <w:sz w:val="20"/>
          <w:szCs w:val="20"/>
        </w:rPr>
      </w:pPr>
    </w:p>
    <w:p w14:paraId="706CB949" w14:textId="46292789" w:rsidR="00AC55D8" w:rsidRPr="00D66C9C" w:rsidRDefault="00AC55D8" w:rsidP="00D66C9C">
      <w:pPr>
        <w:spacing w:line="276" w:lineRule="auto"/>
        <w:rPr>
          <w:rFonts w:ascii="Arial" w:hAnsi="Arial" w:cs="Arial"/>
          <w:sz w:val="20"/>
          <w:szCs w:val="20"/>
        </w:rPr>
      </w:pPr>
      <w:r w:rsidRPr="00D66C9C">
        <w:rPr>
          <w:rFonts w:ascii="Arial" w:hAnsi="Arial" w:cs="Arial"/>
          <w:sz w:val="20"/>
          <w:szCs w:val="20"/>
        </w:rPr>
        <w:t xml:space="preserve">Reference list </w:t>
      </w:r>
    </w:p>
    <w:p w14:paraId="043F543E" w14:textId="77777777" w:rsidR="00D66C9C" w:rsidRPr="00D66C9C" w:rsidRDefault="00D66C9C" w:rsidP="00D66C9C">
      <w:pPr>
        <w:spacing w:line="276" w:lineRule="auto"/>
        <w:rPr>
          <w:rFonts w:ascii="Arial" w:hAnsi="Arial" w:cs="Arial"/>
          <w:sz w:val="20"/>
          <w:szCs w:val="20"/>
        </w:rPr>
      </w:pPr>
    </w:p>
    <w:p w14:paraId="29ACBF7F"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Allen, G. (2011) Early Intervention: The Next Steps. London: HM Government.</w:t>
      </w:r>
    </w:p>
    <w:p w14:paraId="633B26DA"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Bath, H. (2008) ‘The three pillars of trauma-informed care’, Reclaiming Children and Youth, 17(3), pp. 17–21.</w:t>
      </w:r>
    </w:p>
    <w:p w14:paraId="6F4E707B"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Bath, H. (2008) ‘The three pillars of trauma-informed care’, Reclaiming Children and Youth, 17(3), pp. 17–21.</w:t>
      </w:r>
    </w:p>
    <w:p w14:paraId="2F3DFF1E"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Bellis, M.A. et al. (2014) ‘National household survey of adverse childhood experiences and their relationship with resilience to health-harming behaviours in England’, BMC Medicine, 12(72).</w:t>
      </w:r>
    </w:p>
    <w:p w14:paraId="7870F30B"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Bowlby, J. (1988) A Secure Base: Clinical Applications of Attachment Theory. London: Routledge.</w:t>
      </w:r>
    </w:p>
    <w:p w14:paraId="2028E256"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 xml:space="preserve">Brandon, M., Sidebotham, P., </w:t>
      </w:r>
      <w:proofErr w:type="spellStart"/>
      <w:r w:rsidRPr="00D66C9C">
        <w:rPr>
          <w:rFonts w:ascii="Arial" w:hAnsi="Arial" w:cs="Arial"/>
          <w:sz w:val="20"/>
          <w:szCs w:val="20"/>
        </w:rPr>
        <w:t>Belderson</w:t>
      </w:r>
      <w:proofErr w:type="spellEnd"/>
      <w:r w:rsidRPr="00D66C9C">
        <w:rPr>
          <w:rFonts w:ascii="Arial" w:hAnsi="Arial" w:cs="Arial"/>
          <w:sz w:val="20"/>
          <w:szCs w:val="20"/>
        </w:rPr>
        <w:t>, P. and Ellis, C. (2020) Complexity and challenge: A triennial analysis of SCRs 2014–2017. London: DfE.</w:t>
      </w:r>
    </w:p>
    <w:p w14:paraId="5B7FC1F3"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Bronfenbrenner, U. (1979) The Ecology of Human Development. Cambridge, MA: Harvard University Press.</w:t>
      </w:r>
    </w:p>
    <w:p w14:paraId="4F4076C5"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Child Law Advice (2023) </w:t>
      </w:r>
      <w:r w:rsidRPr="00D66C9C">
        <w:rPr>
          <w:rFonts w:ascii="Arial" w:hAnsi="Arial" w:cs="Arial"/>
          <w:i/>
          <w:iCs/>
          <w:color w:val="000000"/>
          <w:sz w:val="20"/>
          <w:szCs w:val="20"/>
        </w:rPr>
        <w:t>Police powers of protection and emergency protection orders. </w:t>
      </w:r>
      <w:r w:rsidRPr="00D66C9C">
        <w:rPr>
          <w:rFonts w:ascii="Arial" w:hAnsi="Arial" w:cs="Arial"/>
          <w:color w:val="000000"/>
          <w:sz w:val="20"/>
          <w:szCs w:val="20"/>
        </w:rPr>
        <w:t>Available at: </w:t>
      </w:r>
      <w:hyperlink r:id="rId7" w:tgtFrame="_blank" w:history="1">
        <w:r w:rsidRPr="00D66C9C">
          <w:rPr>
            <w:rStyle w:val="Hyperlink"/>
            <w:rFonts w:ascii="Arial" w:hAnsi="Arial" w:cs="Arial"/>
            <w:color w:val="1155CC"/>
            <w:sz w:val="20"/>
            <w:szCs w:val="20"/>
          </w:rPr>
          <w:t>https://childlawadvice.org.uk/information-pages/police-powers-of-protection-emergency-protection-orders/</w:t>
        </w:r>
      </w:hyperlink>
      <w:r w:rsidRPr="00D66C9C">
        <w:rPr>
          <w:rFonts w:ascii="Arial" w:hAnsi="Arial" w:cs="Arial"/>
          <w:color w:val="000000"/>
          <w:sz w:val="20"/>
          <w:szCs w:val="20"/>
        </w:rPr>
        <w:t> (Accessed 1st July 2025).</w:t>
      </w:r>
    </w:p>
    <w:p w14:paraId="77194831"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 xml:space="preserve">Childlawadvice.org.uk. (2019). Available at: </w:t>
      </w:r>
      <w:hyperlink r:id="rId8" w:history="1">
        <w:r w:rsidRPr="00D66C9C">
          <w:rPr>
            <w:rStyle w:val="Hyperlink"/>
            <w:rFonts w:ascii="Arial" w:hAnsi="Arial" w:cs="Arial"/>
            <w:sz w:val="20"/>
            <w:szCs w:val="20"/>
          </w:rPr>
          <w:t>https://childlawadvice.org.uk/</w:t>
        </w:r>
      </w:hyperlink>
      <w:r w:rsidRPr="00D66C9C">
        <w:rPr>
          <w:rFonts w:ascii="Arial" w:hAnsi="Arial" w:cs="Arial"/>
          <w:color w:val="000000"/>
          <w:sz w:val="20"/>
          <w:szCs w:val="20"/>
        </w:rPr>
        <w:t xml:space="preserve">.                                      </w:t>
      </w:r>
      <w:r w:rsidRPr="00D66C9C">
        <w:rPr>
          <w:rFonts w:ascii="Arial" w:hAnsi="Arial" w:cs="Arial"/>
          <w:sz w:val="20"/>
          <w:szCs w:val="20"/>
        </w:rPr>
        <w:t xml:space="preserve">Cleaver, H., </w:t>
      </w:r>
      <w:proofErr w:type="spellStart"/>
      <w:r w:rsidRPr="00D66C9C">
        <w:rPr>
          <w:rFonts w:ascii="Arial" w:hAnsi="Arial" w:cs="Arial"/>
          <w:sz w:val="20"/>
          <w:szCs w:val="20"/>
        </w:rPr>
        <w:t>Unell</w:t>
      </w:r>
      <w:proofErr w:type="spellEnd"/>
      <w:r w:rsidRPr="00D66C9C">
        <w:rPr>
          <w:rFonts w:ascii="Arial" w:hAnsi="Arial" w:cs="Arial"/>
          <w:sz w:val="20"/>
          <w:szCs w:val="20"/>
        </w:rPr>
        <w:t xml:space="preserve">, I. and Aldgate, J. (2011) Children’s needs—parenting capacity. 2nd </w:t>
      </w:r>
      <w:proofErr w:type="spellStart"/>
      <w:r w:rsidRPr="00D66C9C">
        <w:rPr>
          <w:rFonts w:ascii="Arial" w:hAnsi="Arial" w:cs="Arial"/>
          <w:sz w:val="20"/>
          <w:szCs w:val="20"/>
        </w:rPr>
        <w:t>edn</w:t>
      </w:r>
      <w:proofErr w:type="spellEnd"/>
      <w:r w:rsidRPr="00D66C9C">
        <w:rPr>
          <w:rFonts w:ascii="Arial" w:hAnsi="Arial" w:cs="Arial"/>
          <w:sz w:val="20"/>
          <w:szCs w:val="20"/>
        </w:rPr>
        <w:t>. London: TSO.</w:t>
      </w:r>
    </w:p>
    <w:p w14:paraId="1FF37DD5"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Children Act (1989). </w:t>
      </w:r>
      <w:r w:rsidRPr="00D66C9C">
        <w:rPr>
          <w:rFonts w:ascii="Arial" w:hAnsi="Arial" w:cs="Arial"/>
          <w:i/>
          <w:iCs/>
          <w:color w:val="000000"/>
          <w:sz w:val="20"/>
          <w:szCs w:val="20"/>
        </w:rPr>
        <w:t>Children Act 1989</w:t>
      </w:r>
      <w:r w:rsidRPr="00D66C9C">
        <w:rPr>
          <w:rFonts w:ascii="Arial" w:hAnsi="Arial" w:cs="Arial"/>
          <w:color w:val="000000"/>
          <w:sz w:val="20"/>
          <w:szCs w:val="20"/>
        </w:rPr>
        <w:t xml:space="preserve">. [online] legislation.gov.uk. Available at: </w:t>
      </w:r>
      <w:hyperlink r:id="rId9" w:history="1">
        <w:r w:rsidRPr="00D66C9C">
          <w:rPr>
            <w:rStyle w:val="Hyperlink"/>
            <w:rFonts w:ascii="Arial" w:hAnsi="Arial" w:cs="Arial"/>
            <w:sz w:val="20"/>
            <w:szCs w:val="20"/>
          </w:rPr>
          <w:t>https://www.legislation.gov.uk/ukpga/1989/41/contents</w:t>
        </w:r>
      </w:hyperlink>
      <w:r w:rsidRPr="00D66C9C">
        <w:rPr>
          <w:rFonts w:ascii="Arial" w:hAnsi="Arial" w:cs="Arial"/>
          <w:color w:val="000000"/>
          <w:sz w:val="20"/>
          <w:szCs w:val="20"/>
        </w:rPr>
        <w:t xml:space="preserve">. </w:t>
      </w:r>
    </w:p>
    <w:p w14:paraId="5B2F1BC9"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 xml:space="preserve">Cleaver, H., </w:t>
      </w:r>
      <w:proofErr w:type="spellStart"/>
      <w:r w:rsidRPr="00D66C9C">
        <w:rPr>
          <w:rFonts w:ascii="Arial" w:hAnsi="Arial" w:cs="Arial"/>
          <w:sz w:val="20"/>
          <w:szCs w:val="20"/>
        </w:rPr>
        <w:t>Unell</w:t>
      </w:r>
      <w:proofErr w:type="spellEnd"/>
      <w:r w:rsidRPr="00D66C9C">
        <w:rPr>
          <w:rFonts w:ascii="Arial" w:hAnsi="Arial" w:cs="Arial"/>
          <w:sz w:val="20"/>
          <w:szCs w:val="20"/>
        </w:rPr>
        <w:t>, I. and Aldgate, J. (2011) Children’s Needs – Parenting Capacity: Child Abuse: Parental Mental Illness, Learning Disability, Substance Misuse and Domestic Violence. London: TSO.</w:t>
      </w:r>
    </w:p>
    <w:p w14:paraId="3949CBD5"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CPS (2024) </w:t>
      </w:r>
      <w:r w:rsidRPr="00D66C9C">
        <w:rPr>
          <w:rFonts w:ascii="Arial" w:hAnsi="Arial" w:cs="Arial"/>
          <w:i/>
          <w:iCs/>
          <w:color w:val="000000"/>
          <w:sz w:val="20"/>
          <w:szCs w:val="20"/>
        </w:rPr>
        <w:t>Public order offences incorporating the charging standard</w:t>
      </w:r>
      <w:r w:rsidRPr="00D66C9C">
        <w:rPr>
          <w:rFonts w:ascii="Arial" w:hAnsi="Arial" w:cs="Arial"/>
          <w:color w:val="000000"/>
          <w:sz w:val="20"/>
          <w:szCs w:val="20"/>
        </w:rPr>
        <w:t>. Available at: </w:t>
      </w:r>
      <w:hyperlink r:id="rId10" w:tgtFrame="_blank" w:history="1">
        <w:r w:rsidRPr="00D66C9C">
          <w:rPr>
            <w:rStyle w:val="Hyperlink"/>
            <w:rFonts w:ascii="Arial" w:hAnsi="Arial" w:cs="Arial"/>
            <w:color w:val="1155CC"/>
            <w:sz w:val="20"/>
            <w:szCs w:val="20"/>
          </w:rPr>
          <w:t>https://www.cps.gov.uk/legal-guidance/public-order-offences-incorporating-charging-standard</w:t>
        </w:r>
      </w:hyperlink>
      <w:r w:rsidRPr="00D66C9C">
        <w:rPr>
          <w:rFonts w:ascii="Arial" w:hAnsi="Arial" w:cs="Arial"/>
          <w:color w:val="000000"/>
          <w:sz w:val="20"/>
          <w:szCs w:val="20"/>
        </w:rPr>
        <w:t> (Accessed 1st July 2025)</w:t>
      </w:r>
    </w:p>
    <w:p w14:paraId="5F1D6DBD"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CPS (2025) </w:t>
      </w:r>
      <w:r w:rsidRPr="00D66C9C">
        <w:rPr>
          <w:rFonts w:ascii="Arial" w:hAnsi="Arial" w:cs="Arial"/>
          <w:i/>
          <w:iCs/>
          <w:color w:val="000000"/>
          <w:sz w:val="20"/>
          <w:szCs w:val="20"/>
        </w:rPr>
        <w:t>Controlling or coercive behaviour in an intimate or family relationship</w:t>
      </w:r>
      <w:r w:rsidRPr="00D66C9C">
        <w:rPr>
          <w:rFonts w:ascii="Arial" w:hAnsi="Arial" w:cs="Arial"/>
          <w:color w:val="000000"/>
          <w:sz w:val="20"/>
          <w:szCs w:val="20"/>
        </w:rPr>
        <w:t>. Available at: </w:t>
      </w:r>
      <w:hyperlink r:id="rId11" w:tgtFrame="_blank" w:history="1">
        <w:r w:rsidRPr="00D66C9C">
          <w:rPr>
            <w:rStyle w:val="Hyperlink"/>
            <w:rFonts w:ascii="Arial" w:hAnsi="Arial" w:cs="Arial"/>
            <w:color w:val="1155CC"/>
            <w:sz w:val="20"/>
            <w:szCs w:val="20"/>
          </w:rPr>
          <w:t>https://www.cps.gov.uk/legal-guidance/controlling-or-coercive-behaviour-intimate-or-family-relationship</w:t>
        </w:r>
      </w:hyperlink>
      <w:r w:rsidRPr="00D66C9C">
        <w:rPr>
          <w:rFonts w:ascii="Arial" w:hAnsi="Arial" w:cs="Arial"/>
          <w:color w:val="000000"/>
          <w:sz w:val="20"/>
          <w:szCs w:val="20"/>
        </w:rPr>
        <w:t> (Accessed 1st July 2025).</w:t>
      </w:r>
    </w:p>
    <w:p w14:paraId="0707D0D1"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CPS (2025) </w:t>
      </w:r>
      <w:r w:rsidRPr="00D66C9C">
        <w:rPr>
          <w:rFonts w:ascii="Arial" w:hAnsi="Arial" w:cs="Arial"/>
          <w:i/>
          <w:iCs/>
          <w:color w:val="000000"/>
          <w:sz w:val="20"/>
          <w:szCs w:val="20"/>
        </w:rPr>
        <w:t>Restraining orders</w:t>
      </w:r>
      <w:r w:rsidRPr="00D66C9C">
        <w:rPr>
          <w:rFonts w:ascii="Arial" w:hAnsi="Arial" w:cs="Arial"/>
          <w:color w:val="000000"/>
          <w:sz w:val="20"/>
          <w:szCs w:val="20"/>
        </w:rPr>
        <w:t>. Available at: </w:t>
      </w:r>
      <w:hyperlink r:id="rId12" w:tgtFrame="_blank" w:history="1">
        <w:r w:rsidRPr="00D66C9C">
          <w:rPr>
            <w:rStyle w:val="Hyperlink"/>
            <w:rFonts w:ascii="Arial" w:hAnsi="Arial" w:cs="Arial"/>
            <w:color w:val="1155CC"/>
            <w:sz w:val="20"/>
            <w:szCs w:val="20"/>
          </w:rPr>
          <w:t>https://www.cps.gov.uk/legal-guidance/restraining-orders</w:t>
        </w:r>
      </w:hyperlink>
      <w:r w:rsidRPr="00D66C9C">
        <w:rPr>
          <w:rFonts w:ascii="Arial" w:hAnsi="Arial" w:cs="Arial"/>
          <w:color w:val="000000"/>
          <w:sz w:val="20"/>
          <w:szCs w:val="20"/>
        </w:rPr>
        <w:t> (Accessed 1st July 2025).</w:t>
      </w:r>
    </w:p>
    <w:p w14:paraId="51E29DA5"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lastRenderedPageBreak/>
        <w:t xml:space="preserve">Daniel, B., Wassell, S. and Gilligan, R. (2011) Child Development for Child Care and Protection Workers. 2nd </w:t>
      </w:r>
      <w:proofErr w:type="spellStart"/>
      <w:r w:rsidRPr="00D66C9C">
        <w:rPr>
          <w:rFonts w:ascii="Arial" w:hAnsi="Arial" w:cs="Arial"/>
          <w:sz w:val="20"/>
          <w:szCs w:val="20"/>
        </w:rPr>
        <w:t>edn</w:t>
      </w:r>
      <w:proofErr w:type="spellEnd"/>
      <w:r w:rsidRPr="00D66C9C">
        <w:rPr>
          <w:rFonts w:ascii="Arial" w:hAnsi="Arial" w:cs="Arial"/>
          <w:sz w:val="20"/>
          <w:szCs w:val="20"/>
        </w:rPr>
        <w:t xml:space="preserve">. London: Jessica Kingsley.                                                                             </w:t>
      </w:r>
      <w:r w:rsidRPr="00D66C9C">
        <w:rPr>
          <w:rFonts w:ascii="Arial" w:hAnsi="Arial" w:cs="Arial"/>
          <w:color w:val="000000"/>
          <w:sz w:val="20"/>
          <w:szCs w:val="20"/>
        </w:rPr>
        <w:t>Department for Education (2003). </w:t>
      </w:r>
      <w:r w:rsidRPr="00D66C9C">
        <w:rPr>
          <w:rFonts w:ascii="Arial" w:hAnsi="Arial" w:cs="Arial"/>
          <w:i/>
          <w:iCs/>
          <w:color w:val="000000"/>
          <w:sz w:val="20"/>
          <w:szCs w:val="20"/>
        </w:rPr>
        <w:t>Every Child Matters</w:t>
      </w:r>
      <w:r w:rsidRPr="00D66C9C">
        <w:rPr>
          <w:rFonts w:ascii="Arial" w:hAnsi="Arial" w:cs="Arial"/>
          <w:color w:val="000000"/>
          <w:sz w:val="20"/>
          <w:szCs w:val="20"/>
        </w:rPr>
        <w:t xml:space="preserve">. [online] Available at: </w:t>
      </w:r>
      <w:hyperlink r:id="rId13" w:history="1">
        <w:r w:rsidRPr="00D66C9C">
          <w:rPr>
            <w:rStyle w:val="Hyperlink"/>
            <w:rFonts w:ascii="Arial" w:hAnsi="Arial" w:cs="Arial"/>
            <w:sz w:val="20"/>
            <w:szCs w:val="20"/>
          </w:rPr>
          <w:t>https://assets.publishing.service.gov.uk/media/5a7c95a4e5274a0bb7cb806d/5860.pdf</w:t>
        </w:r>
      </w:hyperlink>
      <w:r w:rsidRPr="00D66C9C">
        <w:rPr>
          <w:rFonts w:ascii="Arial" w:hAnsi="Arial" w:cs="Arial"/>
          <w:color w:val="000000"/>
          <w:sz w:val="20"/>
          <w:szCs w:val="20"/>
        </w:rPr>
        <w:t xml:space="preserve">. </w:t>
      </w:r>
    </w:p>
    <w:p w14:paraId="7DC693DC"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Department for Education (2023) Keeping children safe in education. London: DfE.</w:t>
      </w:r>
    </w:p>
    <w:p w14:paraId="462365B8"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Department for Education (2024) Statutory Framework for the Early Years Foundation Stage. London: DfE.</w:t>
      </w:r>
    </w:p>
    <w:p w14:paraId="570214FD"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Department of Health, Department for Education and Employment, and Home Office (2000)</w:t>
      </w:r>
    </w:p>
    <w:p w14:paraId="05EC2340"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 xml:space="preserve">Equality Act (2010) </w:t>
      </w:r>
      <w:r w:rsidRPr="00D66C9C">
        <w:rPr>
          <w:rFonts w:ascii="Arial" w:hAnsi="Arial" w:cs="Arial"/>
          <w:i/>
          <w:iCs/>
          <w:sz w:val="20"/>
          <w:szCs w:val="20"/>
        </w:rPr>
        <w:t>Direct discrimination</w:t>
      </w:r>
      <w:r w:rsidRPr="00D66C9C">
        <w:rPr>
          <w:rFonts w:ascii="Arial" w:hAnsi="Arial" w:cs="Arial"/>
          <w:sz w:val="20"/>
          <w:szCs w:val="20"/>
        </w:rPr>
        <w:t xml:space="preserve">. Available at: </w:t>
      </w:r>
      <w:hyperlink r:id="rId14" w:history="1">
        <w:r w:rsidRPr="00D66C9C">
          <w:rPr>
            <w:rStyle w:val="Hyperlink"/>
            <w:rFonts w:ascii="Arial" w:hAnsi="Arial" w:cs="Arial"/>
            <w:sz w:val="20"/>
            <w:szCs w:val="20"/>
          </w:rPr>
          <w:t>https://www.legislation.gov.uk/ukpga/2010/15/section/13</w:t>
        </w:r>
      </w:hyperlink>
      <w:r w:rsidRPr="00D66C9C">
        <w:rPr>
          <w:rFonts w:ascii="Arial" w:hAnsi="Arial" w:cs="Arial"/>
          <w:sz w:val="20"/>
          <w:szCs w:val="20"/>
        </w:rPr>
        <w:t xml:space="preserve"> (Accessed 2nd July 2025)  </w:t>
      </w:r>
    </w:p>
    <w:p w14:paraId="4F1112F5" w14:textId="77777777" w:rsidR="00D66C9C" w:rsidRPr="00D66C9C" w:rsidRDefault="00D66C9C" w:rsidP="00D66C9C">
      <w:pPr>
        <w:spacing w:line="276" w:lineRule="auto"/>
        <w:rPr>
          <w:rFonts w:ascii="Arial" w:hAnsi="Arial" w:cs="Arial"/>
          <w:sz w:val="20"/>
          <w:szCs w:val="20"/>
        </w:rPr>
      </w:pPr>
      <w:proofErr w:type="spellStart"/>
      <w:r w:rsidRPr="00D66C9C">
        <w:rPr>
          <w:rFonts w:ascii="Arial" w:hAnsi="Arial" w:cs="Arial"/>
          <w:sz w:val="20"/>
          <w:szCs w:val="20"/>
        </w:rPr>
        <w:t>Felitti</w:t>
      </w:r>
      <w:proofErr w:type="spellEnd"/>
      <w:r w:rsidRPr="00D66C9C">
        <w:rPr>
          <w:rFonts w:ascii="Arial" w:hAnsi="Arial" w:cs="Arial"/>
          <w:sz w:val="20"/>
          <w:szCs w:val="20"/>
        </w:rPr>
        <w:t>, V.J. et al. (1998) ‘Relationship of childhood abuse and household dysfunction to many of the leading causes of death in adults’, American Journal of Preventive Medicine, 14(4), pp. 245–258.</w:t>
      </w:r>
    </w:p>
    <w:p w14:paraId="5D11307F"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Ferguson, H. (2017) ‘How children become invisible in child protection work: findings from research into day-to-day social work practice’, British Journal of Social Work, 47(4), pp. 1007–1023.</w:t>
      </w:r>
    </w:p>
    <w:p w14:paraId="777E5CC3"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Framework for the assessment of children in need and their families. London: The Stationery Office.</w:t>
      </w:r>
    </w:p>
    <w:p w14:paraId="45B9A2DF"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Geddes, H. (2006) Attachment in the Classroom: The Links Between Children’s Early Experience, Emotional Well-Being, and Performance in School. London: Worth.</w:t>
      </w:r>
    </w:p>
    <w:p w14:paraId="7DAA0C6A"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Geddes, H. (2006) Attachment in the Classroom: The Links Between Children’s Early Experience, Emotional Well-Being, and Performance in School. London: Worth.</w:t>
      </w:r>
    </w:p>
    <w:p w14:paraId="7FAB42AE"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Gottman, J.M. (1997) Raising an Emotionally Intelligent Child. New York: Simon &amp; Schuster.</w:t>
      </w:r>
    </w:p>
    <w:p w14:paraId="6829F6EF"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Gov (2024) </w:t>
      </w:r>
      <w:r w:rsidRPr="00D66C9C">
        <w:rPr>
          <w:rFonts w:ascii="Arial" w:hAnsi="Arial" w:cs="Arial"/>
          <w:i/>
          <w:iCs/>
          <w:color w:val="000000"/>
          <w:sz w:val="20"/>
          <w:szCs w:val="20"/>
        </w:rPr>
        <w:t>Amendment to the controlling or coercive behaviour offence</w:t>
      </w:r>
      <w:r w:rsidRPr="00D66C9C">
        <w:rPr>
          <w:rFonts w:ascii="Arial" w:hAnsi="Arial" w:cs="Arial"/>
          <w:color w:val="000000"/>
          <w:sz w:val="20"/>
          <w:szCs w:val="20"/>
        </w:rPr>
        <w:t>. Available at: </w:t>
      </w:r>
      <w:hyperlink r:id="rId15" w:tgtFrame="_blank" w:history="1">
        <w:r w:rsidRPr="00D66C9C">
          <w:rPr>
            <w:rStyle w:val="Hyperlink"/>
            <w:rFonts w:ascii="Arial" w:hAnsi="Arial" w:cs="Arial"/>
            <w:color w:val="1155CC"/>
            <w:sz w:val="20"/>
            <w:szCs w:val="20"/>
          </w:rPr>
          <w:t>https://www.gov.uk/government/publications/domestic-abuse-bill-2020-factsheets/amendment-to-the-controlling-or-coercive-behaviour-offence</w:t>
        </w:r>
      </w:hyperlink>
      <w:r w:rsidRPr="00D66C9C">
        <w:rPr>
          <w:rFonts w:ascii="Arial" w:hAnsi="Arial" w:cs="Arial"/>
          <w:color w:val="000000"/>
          <w:sz w:val="20"/>
          <w:szCs w:val="20"/>
        </w:rPr>
        <w:t> (Accessed 1st July 2025)</w:t>
      </w:r>
    </w:p>
    <w:p w14:paraId="2CF3140E"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Gov (2024) </w:t>
      </w:r>
      <w:r w:rsidRPr="00D66C9C">
        <w:rPr>
          <w:rFonts w:ascii="Arial" w:hAnsi="Arial" w:cs="Arial"/>
          <w:i/>
          <w:iCs/>
          <w:color w:val="000000"/>
          <w:sz w:val="20"/>
          <w:szCs w:val="20"/>
        </w:rPr>
        <w:t>Domestic Abuse Act 2021: overarching factsheets</w:t>
      </w:r>
      <w:r w:rsidRPr="00D66C9C">
        <w:rPr>
          <w:rFonts w:ascii="Arial" w:hAnsi="Arial" w:cs="Arial"/>
          <w:color w:val="000000"/>
          <w:sz w:val="20"/>
          <w:szCs w:val="20"/>
        </w:rPr>
        <w:t>. Available at: </w:t>
      </w:r>
      <w:hyperlink r:id="rId16" w:tgtFrame="_blank" w:history="1">
        <w:r w:rsidRPr="00D66C9C">
          <w:rPr>
            <w:rStyle w:val="Hyperlink"/>
            <w:rFonts w:ascii="Arial" w:hAnsi="Arial" w:cs="Arial"/>
            <w:color w:val="1155CC"/>
            <w:sz w:val="20"/>
            <w:szCs w:val="20"/>
          </w:rPr>
          <w:t>https://www.gov.uk/government/publications/domestic-abuse-bill-2020-factsheets/domestic-abuse-bill-2020-overarching-factsheet</w:t>
        </w:r>
      </w:hyperlink>
      <w:r w:rsidRPr="00D66C9C">
        <w:rPr>
          <w:rFonts w:ascii="Arial" w:hAnsi="Arial" w:cs="Arial"/>
          <w:color w:val="000000"/>
          <w:sz w:val="20"/>
          <w:szCs w:val="20"/>
        </w:rPr>
        <w:t> (Accessed 1st July 2025).</w:t>
      </w:r>
    </w:p>
    <w:p w14:paraId="04551FC7"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GOV.UK (1989). </w:t>
      </w:r>
      <w:r w:rsidRPr="00D66C9C">
        <w:rPr>
          <w:rFonts w:ascii="Arial" w:hAnsi="Arial" w:cs="Arial"/>
          <w:i/>
          <w:iCs/>
          <w:color w:val="000000"/>
          <w:sz w:val="20"/>
          <w:szCs w:val="20"/>
        </w:rPr>
        <w:t>Children Act 1989</w:t>
      </w:r>
      <w:r w:rsidRPr="00D66C9C">
        <w:rPr>
          <w:rFonts w:ascii="Arial" w:hAnsi="Arial" w:cs="Arial"/>
          <w:color w:val="000000"/>
          <w:sz w:val="20"/>
          <w:szCs w:val="20"/>
        </w:rPr>
        <w:t xml:space="preserve">. [online] Legislation.gov.uk. Available at: </w:t>
      </w:r>
      <w:hyperlink r:id="rId17" w:history="1">
        <w:r w:rsidRPr="00D66C9C">
          <w:rPr>
            <w:rStyle w:val="Hyperlink"/>
            <w:rFonts w:ascii="Arial" w:hAnsi="Arial" w:cs="Arial"/>
            <w:sz w:val="20"/>
            <w:szCs w:val="20"/>
          </w:rPr>
          <w:t>https://www.legislation.gov.uk/ukpga/1989/41/section/31</w:t>
        </w:r>
      </w:hyperlink>
      <w:r w:rsidRPr="00D66C9C">
        <w:rPr>
          <w:rFonts w:ascii="Arial" w:hAnsi="Arial" w:cs="Arial"/>
          <w:color w:val="000000"/>
          <w:sz w:val="20"/>
          <w:szCs w:val="20"/>
        </w:rPr>
        <w:t>.</w:t>
      </w:r>
    </w:p>
    <w:p w14:paraId="50B0BBBB"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GOV.UK (2018). </w:t>
      </w:r>
      <w:r w:rsidRPr="00D66C9C">
        <w:rPr>
          <w:rFonts w:ascii="Arial" w:hAnsi="Arial" w:cs="Arial"/>
          <w:i/>
          <w:iCs/>
          <w:color w:val="000000"/>
          <w:sz w:val="20"/>
          <w:szCs w:val="20"/>
        </w:rPr>
        <w:t>Data Protection Act 2018</w:t>
      </w:r>
      <w:r w:rsidRPr="00D66C9C">
        <w:rPr>
          <w:rFonts w:ascii="Arial" w:hAnsi="Arial" w:cs="Arial"/>
          <w:color w:val="000000"/>
          <w:sz w:val="20"/>
          <w:szCs w:val="20"/>
        </w:rPr>
        <w:t xml:space="preserve">. [online] legislation.gov.uk. Available at: </w:t>
      </w:r>
      <w:hyperlink r:id="rId18" w:history="1">
        <w:r w:rsidRPr="00D66C9C">
          <w:rPr>
            <w:rStyle w:val="Hyperlink"/>
            <w:rFonts w:ascii="Arial" w:hAnsi="Arial" w:cs="Arial"/>
            <w:sz w:val="20"/>
            <w:szCs w:val="20"/>
          </w:rPr>
          <w:t>https://www.legislation.gov.uk/ukpga/2018/12/contents</w:t>
        </w:r>
      </w:hyperlink>
      <w:r w:rsidRPr="00D66C9C">
        <w:rPr>
          <w:rFonts w:ascii="Arial" w:hAnsi="Arial" w:cs="Arial"/>
          <w:color w:val="000000"/>
          <w:sz w:val="20"/>
          <w:szCs w:val="20"/>
        </w:rPr>
        <w:t xml:space="preserve">. </w:t>
      </w:r>
    </w:p>
    <w:p w14:paraId="271ED5BE"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HM Government (2023) Working Together to Safeguard Children. London: The Stationery Office.</w:t>
      </w:r>
    </w:p>
    <w:p w14:paraId="64FAA793"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Horwath, J. (2007) Child Neglect: Identification and Assessment. Basingstoke: Palgrave Macmillan.</w:t>
      </w:r>
    </w:p>
    <w:p w14:paraId="7EFB8C2A"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Information Commissioner’s Office (2023) Lawful basis for processing. [Online] Available at: https://ico.org.uk (Accessed: [Date 30</w:t>
      </w:r>
      <w:r w:rsidRPr="00D66C9C">
        <w:rPr>
          <w:rFonts w:ascii="Arial" w:hAnsi="Arial" w:cs="Arial"/>
          <w:sz w:val="20"/>
          <w:szCs w:val="20"/>
          <w:vertAlign w:val="superscript"/>
        </w:rPr>
        <w:t>th</w:t>
      </w:r>
      <w:r w:rsidRPr="00D66C9C">
        <w:rPr>
          <w:rFonts w:ascii="Arial" w:hAnsi="Arial" w:cs="Arial"/>
          <w:sz w:val="20"/>
          <w:szCs w:val="20"/>
        </w:rPr>
        <w:t xml:space="preserve"> June 2025]).</w:t>
      </w:r>
    </w:p>
    <w:p w14:paraId="133D1854"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Laming, H. (2009) The Protection of Children in England: A Progress Report. London: TSO.</w:t>
      </w:r>
    </w:p>
    <w:p w14:paraId="29DB05BD" w14:textId="77777777" w:rsidR="00D66C9C" w:rsidRPr="00D66C9C" w:rsidRDefault="00D66C9C" w:rsidP="00D66C9C">
      <w:pPr>
        <w:shd w:val="clear" w:color="auto" w:fill="FFFFFF"/>
        <w:spacing w:line="276" w:lineRule="auto"/>
        <w:rPr>
          <w:rFonts w:ascii="Arial" w:hAnsi="Arial" w:cs="Arial"/>
          <w:color w:val="000000"/>
          <w:sz w:val="20"/>
          <w:szCs w:val="20"/>
        </w:rPr>
      </w:pPr>
      <w:hyperlink r:id="rId19" w:tgtFrame="_blank" w:history="1">
        <w:r w:rsidRPr="00D66C9C">
          <w:rPr>
            <w:rStyle w:val="Hyperlink"/>
            <w:rFonts w:ascii="Arial" w:hAnsi="Arial" w:cs="Arial"/>
            <w:color w:val="1155CC"/>
            <w:sz w:val="20"/>
            <w:szCs w:val="20"/>
          </w:rPr>
          <w:t>Legisation.Gov.Uk</w:t>
        </w:r>
      </w:hyperlink>
      <w:r w:rsidRPr="00D66C9C">
        <w:rPr>
          <w:rFonts w:ascii="Arial" w:hAnsi="Arial" w:cs="Arial"/>
          <w:color w:val="000000"/>
          <w:sz w:val="20"/>
          <w:szCs w:val="20"/>
        </w:rPr>
        <w:t> (2024) </w:t>
      </w:r>
      <w:r w:rsidRPr="00D66C9C">
        <w:rPr>
          <w:rFonts w:ascii="Arial" w:hAnsi="Arial" w:cs="Arial"/>
          <w:i/>
          <w:iCs/>
          <w:color w:val="000000"/>
          <w:sz w:val="20"/>
          <w:szCs w:val="20"/>
        </w:rPr>
        <w:t>Children and Young Person</w:t>
      </w:r>
      <w:r w:rsidRPr="00D66C9C">
        <w:rPr>
          <w:rFonts w:ascii="Arial" w:hAnsi="Arial" w:cs="Arial"/>
          <w:color w:val="000000"/>
          <w:sz w:val="20"/>
          <w:szCs w:val="20"/>
        </w:rPr>
        <w:t> Act 1933. Available at: </w:t>
      </w:r>
      <w:hyperlink r:id="rId20" w:tgtFrame="_blank" w:history="1">
        <w:r w:rsidRPr="00D66C9C">
          <w:rPr>
            <w:rStyle w:val="Hyperlink"/>
            <w:rFonts w:ascii="Arial" w:hAnsi="Arial" w:cs="Arial"/>
            <w:color w:val="1155CC"/>
            <w:sz w:val="20"/>
            <w:szCs w:val="20"/>
          </w:rPr>
          <w:t>https://www.legislation.gov.uk/ukpga/Geo5/23-24/12/2024-01-31?view=plain</w:t>
        </w:r>
      </w:hyperlink>
      <w:r w:rsidRPr="00D66C9C">
        <w:rPr>
          <w:rFonts w:ascii="Arial" w:hAnsi="Arial" w:cs="Arial"/>
          <w:color w:val="000000"/>
          <w:sz w:val="20"/>
          <w:szCs w:val="20"/>
        </w:rPr>
        <w:t> (Accessed 1st July 2025).</w:t>
      </w:r>
    </w:p>
    <w:p w14:paraId="5277F87A"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Legislation Gov Uk (2020) </w:t>
      </w:r>
      <w:r w:rsidRPr="00D66C9C">
        <w:rPr>
          <w:rFonts w:ascii="Arial" w:hAnsi="Arial" w:cs="Arial"/>
          <w:i/>
          <w:iCs/>
          <w:color w:val="000000"/>
          <w:sz w:val="20"/>
          <w:szCs w:val="20"/>
        </w:rPr>
        <w:t>Assaults on constables</w:t>
      </w:r>
      <w:r w:rsidRPr="00D66C9C">
        <w:rPr>
          <w:rFonts w:ascii="Arial" w:hAnsi="Arial" w:cs="Arial"/>
          <w:color w:val="000000"/>
          <w:sz w:val="20"/>
          <w:szCs w:val="20"/>
        </w:rPr>
        <w:t>. Available at: </w:t>
      </w:r>
      <w:hyperlink r:id="rId21" w:tgtFrame="_blank" w:history="1">
        <w:r w:rsidRPr="00D66C9C">
          <w:rPr>
            <w:rStyle w:val="Hyperlink"/>
            <w:rFonts w:ascii="Arial" w:hAnsi="Arial" w:cs="Arial"/>
            <w:color w:val="1155CC"/>
            <w:sz w:val="20"/>
            <w:szCs w:val="20"/>
          </w:rPr>
          <w:t>https://www.legislation.gov.uk/ukpga/1996/16/section/89</w:t>
        </w:r>
      </w:hyperlink>
      <w:r w:rsidRPr="00D66C9C">
        <w:rPr>
          <w:rFonts w:ascii="Arial" w:hAnsi="Arial" w:cs="Arial"/>
          <w:color w:val="000000"/>
          <w:sz w:val="20"/>
          <w:szCs w:val="20"/>
        </w:rPr>
        <w:t> (Accessed 1st July 2025).</w:t>
      </w:r>
    </w:p>
    <w:p w14:paraId="5F8451D6"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Legislation Gov Uk (2020) </w:t>
      </w:r>
      <w:r w:rsidRPr="00D66C9C">
        <w:rPr>
          <w:rFonts w:ascii="Arial" w:hAnsi="Arial" w:cs="Arial"/>
          <w:i/>
          <w:iCs/>
          <w:color w:val="000000"/>
          <w:sz w:val="20"/>
          <w:szCs w:val="20"/>
        </w:rPr>
        <w:t>Restraining order availability</w:t>
      </w:r>
      <w:r w:rsidRPr="00D66C9C">
        <w:rPr>
          <w:rFonts w:ascii="Arial" w:hAnsi="Arial" w:cs="Arial"/>
          <w:color w:val="000000"/>
          <w:sz w:val="20"/>
          <w:szCs w:val="20"/>
        </w:rPr>
        <w:t>. Available at: </w:t>
      </w:r>
      <w:hyperlink r:id="rId22" w:tgtFrame="_blank" w:history="1">
        <w:r w:rsidRPr="00D66C9C">
          <w:rPr>
            <w:rStyle w:val="Hyperlink"/>
            <w:rFonts w:ascii="Arial" w:hAnsi="Arial" w:cs="Arial"/>
            <w:color w:val="1155CC"/>
            <w:sz w:val="20"/>
            <w:szCs w:val="20"/>
          </w:rPr>
          <w:t>https://www.legislation.gov.uk/ukpga/2020/17/section/360/2020-12-01</w:t>
        </w:r>
      </w:hyperlink>
      <w:r w:rsidRPr="00D66C9C">
        <w:rPr>
          <w:rFonts w:ascii="Arial" w:hAnsi="Arial" w:cs="Arial"/>
          <w:color w:val="000000"/>
          <w:sz w:val="20"/>
          <w:szCs w:val="20"/>
        </w:rPr>
        <w:t> (Accessed 1st June 2025).</w:t>
      </w:r>
    </w:p>
    <w:p w14:paraId="72445FB2"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Legislation Gov Uk (2022) </w:t>
      </w:r>
      <w:r w:rsidRPr="00D66C9C">
        <w:rPr>
          <w:rFonts w:ascii="Arial" w:hAnsi="Arial" w:cs="Arial"/>
          <w:i/>
          <w:iCs/>
          <w:color w:val="000000"/>
          <w:sz w:val="20"/>
          <w:szCs w:val="20"/>
        </w:rPr>
        <w:t>Cruelty to persons under sixteen</w:t>
      </w:r>
      <w:r w:rsidRPr="00D66C9C">
        <w:rPr>
          <w:rFonts w:ascii="Arial" w:hAnsi="Arial" w:cs="Arial"/>
          <w:color w:val="000000"/>
          <w:sz w:val="20"/>
          <w:szCs w:val="20"/>
        </w:rPr>
        <w:t>. Available at:  </w:t>
      </w:r>
      <w:hyperlink r:id="rId23" w:tgtFrame="_blank" w:history="1">
        <w:r w:rsidRPr="00D66C9C">
          <w:rPr>
            <w:rStyle w:val="Hyperlink"/>
            <w:rFonts w:ascii="Arial" w:hAnsi="Arial" w:cs="Arial"/>
            <w:color w:val="1155CC"/>
            <w:sz w:val="20"/>
            <w:szCs w:val="20"/>
          </w:rPr>
          <w:t>https://www.legislation.gov.uk/ukpga/Geo5/23-24/12/part/I/crossheading/offences</w:t>
        </w:r>
      </w:hyperlink>
      <w:r w:rsidRPr="00D66C9C">
        <w:rPr>
          <w:rFonts w:ascii="Arial" w:hAnsi="Arial" w:cs="Arial"/>
          <w:color w:val="000000"/>
          <w:sz w:val="20"/>
          <w:szCs w:val="20"/>
        </w:rPr>
        <w:t> (Accessed 1st July 2025).</w:t>
      </w:r>
    </w:p>
    <w:p w14:paraId="44183184"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legislation.gov.uk (1989). </w:t>
      </w:r>
      <w:r w:rsidRPr="00D66C9C">
        <w:rPr>
          <w:rFonts w:ascii="Arial" w:hAnsi="Arial" w:cs="Arial"/>
          <w:i/>
          <w:iCs/>
          <w:color w:val="000000"/>
          <w:sz w:val="20"/>
          <w:szCs w:val="20"/>
        </w:rPr>
        <w:t>Children Act 1989</w:t>
      </w:r>
      <w:r w:rsidRPr="00D66C9C">
        <w:rPr>
          <w:rFonts w:ascii="Arial" w:hAnsi="Arial" w:cs="Arial"/>
          <w:color w:val="000000"/>
          <w:sz w:val="20"/>
          <w:szCs w:val="20"/>
        </w:rPr>
        <w:t xml:space="preserve">. [online] Legislation.gov.uk. Available at: </w:t>
      </w:r>
      <w:hyperlink r:id="rId24" w:history="1">
        <w:r w:rsidRPr="00D66C9C">
          <w:rPr>
            <w:rStyle w:val="Hyperlink"/>
            <w:rFonts w:ascii="Arial" w:hAnsi="Arial" w:cs="Arial"/>
            <w:sz w:val="20"/>
            <w:szCs w:val="20"/>
          </w:rPr>
          <w:t>https://www.legislation.gov.uk/ukpga/1989/41/section/47</w:t>
        </w:r>
      </w:hyperlink>
      <w:r w:rsidRPr="00D66C9C">
        <w:rPr>
          <w:rFonts w:ascii="Arial" w:hAnsi="Arial" w:cs="Arial"/>
          <w:color w:val="000000"/>
          <w:sz w:val="20"/>
          <w:szCs w:val="20"/>
        </w:rPr>
        <w:t>.</w:t>
      </w:r>
    </w:p>
    <w:p w14:paraId="6F30668C"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 xml:space="preserve">Mental Capacity Act (2025) </w:t>
      </w:r>
      <w:r w:rsidRPr="00D66C9C">
        <w:rPr>
          <w:rFonts w:ascii="Arial" w:hAnsi="Arial" w:cs="Arial"/>
          <w:i/>
          <w:iCs/>
          <w:sz w:val="20"/>
          <w:szCs w:val="20"/>
        </w:rPr>
        <w:t>The Principles.</w:t>
      </w:r>
      <w:r w:rsidRPr="00D66C9C">
        <w:rPr>
          <w:rFonts w:ascii="Arial" w:hAnsi="Arial" w:cs="Arial"/>
          <w:sz w:val="20"/>
          <w:szCs w:val="20"/>
        </w:rPr>
        <w:t xml:space="preserve"> Available at: </w:t>
      </w:r>
      <w:hyperlink r:id="rId25" w:history="1">
        <w:r w:rsidRPr="00D66C9C">
          <w:rPr>
            <w:rFonts w:ascii="Arial" w:hAnsi="Arial" w:cs="Arial"/>
            <w:color w:val="0000FF"/>
            <w:sz w:val="20"/>
            <w:szCs w:val="20"/>
            <w:u w:val="single"/>
          </w:rPr>
          <w:t>https://www.legislation.gov.uk/ukpga/2005/9/section/1</w:t>
        </w:r>
      </w:hyperlink>
      <w:r w:rsidRPr="00D66C9C">
        <w:rPr>
          <w:rFonts w:ascii="Arial" w:hAnsi="Arial" w:cs="Arial"/>
          <w:sz w:val="20"/>
          <w:szCs w:val="20"/>
        </w:rPr>
        <w:t xml:space="preserve"> (Accessed 2</w:t>
      </w:r>
      <w:r w:rsidRPr="00D66C9C">
        <w:rPr>
          <w:rFonts w:ascii="Arial" w:hAnsi="Arial" w:cs="Arial"/>
          <w:sz w:val="20"/>
          <w:szCs w:val="20"/>
          <w:vertAlign w:val="superscript"/>
        </w:rPr>
        <w:t>nd</w:t>
      </w:r>
      <w:r w:rsidRPr="00D66C9C">
        <w:rPr>
          <w:rFonts w:ascii="Arial" w:hAnsi="Arial" w:cs="Arial"/>
          <w:sz w:val="20"/>
          <w:szCs w:val="20"/>
        </w:rPr>
        <w:t xml:space="preserve"> July 2025) </w:t>
      </w:r>
    </w:p>
    <w:p w14:paraId="2EDB01A5"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Munro, E. (2011) The Munro Review of Child Protection: Final Report. London: DfE.</w:t>
      </w:r>
    </w:p>
    <w:p w14:paraId="22DAE94A" w14:textId="77777777" w:rsidR="00D66C9C" w:rsidRPr="00D66C9C" w:rsidRDefault="00D66C9C" w:rsidP="00D66C9C">
      <w:pPr>
        <w:spacing w:line="276" w:lineRule="auto"/>
        <w:rPr>
          <w:rFonts w:ascii="Arial" w:hAnsi="Arial" w:cs="Arial"/>
          <w:b/>
          <w:bCs/>
          <w:sz w:val="20"/>
          <w:szCs w:val="20"/>
          <w:u w:val="single"/>
        </w:rPr>
      </w:pPr>
      <w:r w:rsidRPr="00D66C9C">
        <w:rPr>
          <w:rFonts w:ascii="Arial" w:hAnsi="Arial" w:cs="Arial"/>
          <w:sz w:val="20"/>
          <w:szCs w:val="20"/>
        </w:rPr>
        <w:lastRenderedPageBreak/>
        <w:t xml:space="preserve">NHS. (2022) </w:t>
      </w:r>
      <w:r w:rsidRPr="00D66C9C">
        <w:rPr>
          <w:rFonts w:ascii="Arial" w:hAnsi="Arial" w:cs="Arial"/>
          <w:i/>
          <w:iCs/>
          <w:sz w:val="20"/>
          <w:szCs w:val="20"/>
        </w:rPr>
        <w:t>Postnatal depression</w:t>
      </w:r>
      <w:r w:rsidRPr="00D66C9C">
        <w:rPr>
          <w:rFonts w:ascii="Arial" w:hAnsi="Arial" w:cs="Arial"/>
          <w:sz w:val="20"/>
          <w:szCs w:val="20"/>
        </w:rPr>
        <w:t xml:space="preserve">. Available at: </w:t>
      </w:r>
      <w:hyperlink r:id="rId26" w:history="1">
        <w:r w:rsidRPr="00D66C9C">
          <w:rPr>
            <w:rStyle w:val="Hyperlink"/>
            <w:rFonts w:ascii="Arial" w:hAnsi="Arial" w:cs="Arial"/>
            <w:sz w:val="20"/>
            <w:szCs w:val="20"/>
          </w:rPr>
          <w:t>https://www.nhs.uk/mental-health/conditions/post-natal-depression/overview/</w:t>
        </w:r>
      </w:hyperlink>
      <w:r w:rsidRPr="00D66C9C">
        <w:rPr>
          <w:rFonts w:ascii="Arial" w:hAnsi="Arial" w:cs="Arial"/>
          <w:sz w:val="20"/>
          <w:szCs w:val="20"/>
        </w:rPr>
        <w:t xml:space="preserve"> (Accessed 2</w:t>
      </w:r>
      <w:r w:rsidRPr="00D66C9C">
        <w:rPr>
          <w:rFonts w:ascii="Arial" w:hAnsi="Arial" w:cs="Arial"/>
          <w:sz w:val="20"/>
          <w:szCs w:val="20"/>
          <w:vertAlign w:val="superscript"/>
        </w:rPr>
        <w:t>nd</w:t>
      </w:r>
      <w:r w:rsidRPr="00D66C9C">
        <w:rPr>
          <w:rFonts w:ascii="Arial" w:hAnsi="Arial" w:cs="Arial"/>
          <w:sz w:val="20"/>
          <w:szCs w:val="20"/>
        </w:rPr>
        <w:t xml:space="preserve"> July 2025)</w:t>
      </w:r>
    </w:p>
    <w:p w14:paraId="43348743"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 xml:space="preserve">NHS. (2022) </w:t>
      </w:r>
      <w:r w:rsidRPr="00D66C9C">
        <w:rPr>
          <w:rFonts w:ascii="Arial" w:hAnsi="Arial" w:cs="Arial"/>
          <w:i/>
          <w:iCs/>
          <w:sz w:val="20"/>
          <w:szCs w:val="20"/>
        </w:rPr>
        <w:t>The Eatwell Guide</w:t>
      </w:r>
      <w:r w:rsidRPr="00D66C9C">
        <w:rPr>
          <w:rFonts w:ascii="Arial" w:hAnsi="Arial" w:cs="Arial"/>
          <w:sz w:val="20"/>
          <w:szCs w:val="20"/>
        </w:rPr>
        <w:t xml:space="preserve">. Available at: </w:t>
      </w:r>
      <w:hyperlink r:id="rId27" w:history="1">
        <w:r w:rsidRPr="00D66C9C">
          <w:rPr>
            <w:rStyle w:val="Hyperlink"/>
            <w:rFonts w:ascii="Arial" w:hAnsi="Arial" w:cs="Arial"/>
            <w:sz w:val="20"/>
            <w:szCs w:val="20"/>
          </w:rPr>
          <w:t>https://www.nhs.uk/live-well/eat-well/food-guidelines-and-food-labels/the-eatwell-guide/</w:t>
        </w:r>
      </w:hyperlink>
      <w:r w:rsidRPr="00D66C9C">
        <w:rPr>
          <w:rFonts w:ascii="Arial" w:hAnsi="Arial" w:cs="Arial"/>
          <w:sz w:val="20"/>
          <w:szCs w:val="20"/>
        </w:rPr>
        <w:t xml:space="preserve"> (Accessed 2</w:t>
      </w:r>
      <w:r w:rsidRPr="00D66C9C">
        <w:rPr>
          <w:rFonts w:ascii="Arial" w:hAnsi="Arial" w:cs="Arial"/>
          <w:sz w:val="20"/>
          <w:szCs w:val="20"/>
          <w:vertAlign w:val="superscript"/>
        </w:rPr>
        <w:t>nd</w:t>
      </w:r>
      <w:r w:rsidRPr="00D66C9C">
        <w:rPr>
          <w:rFonts w:ascii="Arial" w:hAnsi="Arial" w:cs="Arial"/>
          <w:sz w:val="20"/>
          <w:szCs w:val="20"/>
        </w:rPr>
        <w:t xml:space="preserve"> July 2025)</w:t>
      </w:r>
    </w:p>
    <w:p w14:paraId="5135E4D7"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NSPCC (2023) Learning from Case Reviews: Neglect. [Online] Available at: </w:t>
      </w:r>
      <w:hyperlink r:id="rId28" w:tooltip="Protected by Outlook: https://learning.nspcc.org.uk/. Click or tap to follow the link." w:history="1">
        <w:r w:rsidRPr="00D66C9C">
          <w:rPr>
            <w:rStyle w:val="Hyperlink"/>
            <w:rFonts w:ascii="Arial" w:hAnsi="Arial" w:cs="Arial"/>
            <w:sz w:val="20"/>
            <w:szCs w:val="20"/>
          </w:rPr>
          <w:t>https://learning.nspcc.org.uk</w:t>
        </w:r>
      </w:hyperlink>
    </w:p>
    <w:p w14:paraId="1B98DB3B"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NSPCC (2023) Understanding neglect. [Online] Available at: https://learning.nspcc.org.uk (Accessed: [Date 30</w:t>
      </w:r>
      <w:r w:rsidRPr="00D66C9C">
        <w:rPr>
          <w:rFonts w:ascii="Arial" w:hAnsi="Arial" w:cs="Arial"/>
          <w:sz w:val="20"/>
          <w:szCs w:val="20"/>
          <w:vertAlign w:val="superscript"/>
        </w:rPr>
        <w:t>th</w:t>
      </w:r>
      <w:r w:rsidRPr="00D66C9C">
        <w:rPr>
          <w:rFonts w:ascii="Arial" w:hAnsi="Arial" w:cs="Arial"/>
          <w:sz w:val="20"/>
          <w:szCs w:val="20"/>
        </w:rPr>
        <w:t xml:space="preserve"> June 2025]).</w:t>
      </w:r>
    </w:p>
    <w:p w14:paraId="521F3914" w14:textId="77777777" w:rsidR="00D66C9C" w:rsidRPr="00D66C9C" w:rsidRDefault="00D66C9C" w:rsidP="00D66C9C">
      <w:pPr>
        <w:shd w:val="clear" w:color="auto" w:fill="FFFFFF"/>
        <w:spacing w:line="276" w:lineRule="auto"/>
        <w:rPr>
          <w:rFonts w:ascii="Arial" w:hAnsi="Arial" w:cs="Arial"/>
          <w:color w:val="000000"/>
          <w:sz w:val="20"/>
          <w:szCs w:val="20"/>
        </w:rPr>
      </w:pPr>
      <w:r w:rsidRPr="00D66C9C">
        <w:rPr>
          <w:rFonts w:ascii="Arial" w:hAnsi="Arial" w:cs="Arial"/>
          <w:color w:val="000000"/>
          <w:sz w:val="20"/>
          <w:szCs w:val="20"/>
        </w:rPr>
        <w:t>NSPCC (2024) </w:t>
      </w:r>
      <w:r w:rsidRPr="00D66C9C">
        <w:rPr>
          <w:rFonts w:ascii="Arial" w:hAnsi="Arial" w:cs="Arial"/>
          <w:i/>
          <w:iCs/>
          <w:color w:val="000000"/>
          <w:sz w:val="20"/>
          <w:szCs w:val="20"/>
        </w:rPr>
        <w:t>Who is responsible for safeguarding and child protection</w:t>
      </w:r>
      <w:r w:rsidRPr="00D66C9C">
        <w:rPr>
          <w:rFonts w:ascii="Arial" w:hAnsi="Arial" w:cs="Arial"/>
          <w:color w:val="000000"/>
          <w:sz w:val="20"/>
          <w:szCs w:val="20"/>
        </w:rPr>
        <w:t>. Available at: </w:t>
      </w:r>
      <w:hyperlink r:id="rId29" w:tgtFrame="_blank" w:history="1">
        <w:r w:rsidRPr="00D66C9C">
          <w:rPr>
            <w:rStyle w:val="Hyperlink"/>
            <w:rFonts w:ascii="Arial" w:hAnsi="Arial" w:cs="Arial"/>
            <w:color w:val="1155CC"/>
            <w:sz w:val="20"/>
            <w:szCs w:val="20"/>
          </w:rPr>
          <w:t>https://learning.nspcc.org.uk/child-protection-system/england</w:t>
        </w:r>
      </w:hyperlink>
      <w:r w:rsidRPr="00D66C9C">
        <w:rPr>
          <w:rFonts w:ascii="Arial" w:hAnsi="Arial" w:cs="Arial"/>
          <w:color w:val="000000"/>
          <w:sz w:val="20"/>
          <w:szCs w:val="20"/>
        </w:rPr>
        <w:t> (Accessed 1st July 2025)</w:t>
      </w:r>
    </w:p>
    <w:p w14:paraId="12DD9B85"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Ofsted (2021) Inspecting safeguarding in early years, education, and skills settings. Manchester: Ofsted.</w:t>
      </w:r>
    </w:p>
    <w:p w14:paraId="5AA3FC54"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Parton, N. (2014) ‘The politics of child protection: Contemporary developments and future directions’, Palgrave Macmillan.</w:t>
      </w:r>
    </w:p>
    <w:p w14:paraId="60141980"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Reder, P. and Duncan, S. (1999) Lost Innocents: A Follow-up Study of Fatal Child Abuse. London: Routledge.</w:t>
      </w:r>
    </w:p>
    <w:p w14:paraId="7E232E6B"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UNCRC (1989) United Nations Convention on the Rights of the Child. Geneva: United Nations.</w:t>
      </w:r>
    </w:p>
    <w:p w14:paraId="26B8C6CB"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Welsh Government (2014). </w:t>
      </w:r>
      <w:r w:rsidRPr="00D66C9C">
        <w:rPr>
          <w:rFonts w:ascii="Arial" w:hAnsi="Arial" w:cs="Arial"/>
          <w:i/>
          <w:iCs/>
          <w:color w:val="000000"/>
          <w:sz w:val="20"/>
          <w:szCs w:val="20"/>
        </w:rPr>
        <w:t>Social Services and Well-being (Wales) Act 2014</w:t>
      </w:r>
      <w:r w:rsidRPr="00D66C9C">
        <w:rPr>
          <w:rFonts w:ascii="Arial" w:hAnsi="Arial" w:cs="Arial"/>
          <w:color w:val="000000"/>
          <w:sz w:val="20"/>
          <w:szCs w:val="20"/>
        </w:rPr>
        <w:t xml:space="preserve">. [online] Legislation.gov.uk. Available at: </w:t>
      </w:r>
      <w:hyperlink r:id="rId30" w:history="1">
        <w:r w:rsidRPr="00D66C9C">
          <w:rPr>
            <w:rStyle w:val="Hyperlink"/>
            <w:rFonts w:ascii="Arial" w:hAnsi="Arial" w:cs="Arial"/>
            <w:sz w:val="20"/>
            <w:szCs w:val="20"/>
          </w:rPr>
          <w:t>https://www.legislation.gov.uk/anaw/2014/4/contents</w:t>
        </w:r>
      </w:hyperlink>
      <w:r w:rsidRPr="00D66C9C">
        <w:rPr>
          <w:rFonts w:ascii="Arial" w:hAnsi="Arial" w:cs="Arial"/>
          <w:color w:val="000000"/>
          <w:sz w:val="20"/>
          <w:szCs w:val="20"/>
        </w:rPr>
        <w:t xml:space="preserve">. </w:t>
      </w:r>
    </w:p>
    <w:p w14:paraId="19AF2042"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Welsh Government (2015). </w:t>
      </w:r>
      <w:r w:rsidRPr="00D66C9C">
        <w:rPr>
          <w:rFonts w:ascii="Arial" w:hAnsi="Arial" w:cs="Arial"/>
          <w:i/>
          <w:iCs/>
          <w:color w:val="000000"/>
          <w:sz w:val="20"/>
          <w:szCs w:val="20"/>
        </w:rPr>
        <w:t>Well-being of Future Generations (Wales) Act 2015</w:t>
      </w:r>
      <w:r w:rsidRPr="00D66C9C">
        <w:rPr>
          <w:rFonts w:ascii="Arial" w:hAnsi="Arial" w:cs="Arial"/>
          <w:color w:val="000000"/>
          <w:sz w:val="20"/>
          <w:szCs w:val="20"/>
        </w:rPr>
        <w:t xml:space="preserve">. [online] Legislation.gov.uk. Available at: </w:t>
      </w:r>
      <w:hyperlink r:id="rId31" w:history="1">
        <w:r w:rsidRPr="00D66C9C">
          <w:rPr>
            <w:rStyle w:val="Hyperlink"/>
            <w:rFonts w:ascii="Arial" w:hAnsi="Arial" w:cs="Arial"/>
            <w:sz w:val="20"/>
            <w:szCs w:val="20"/>
          </w:rPr>
          <w:t>https://www.legislation.gov.uk/anaw/2015/2/contents</w:t>
        </w:r>
      </w:hyperlink>
      <w:r w:rsidRPr="00D66C9C">
        <w:rPr>
          <w:rFonts w:ascii="Arial" w:hAnsi="Arial" w:cs="Arial"/>
          <w:color w:val="000000"/>
          <w:sz w:val="20"/>
          <w:szCs w:val="20"/>
        </w:rPr>
        <w:t xml:space="preserve">. </w:t>
      </w:r>
    </w:p>
    <w:p w14:paraId="6E753487" w14:textId="77777777" w:rsidR="00D66C9C" w:rsidRPr="00D66C9C" w:rsidRDefault="00D66C9C" w:rsidP="00D66C9C">
      <w:pPr>
        <w:spacing w:line="276" w:lineRule="auto"/>
        <w:rPr>
          <w:rFonts w:ascii="Arial" w:hAnsi="Arial" w:cs="Arial"/>
          <w:sz w:val="20"/>
          <w:szCs w:val="20"/>
        </w:rPr>
      </w:pPr>
      <w:r w:rsidRPr="00D66C9C">
        <w:rPr>
          <w:rFonts w:ascii="Arial" w:hAnsi="Arial" w:cs="Arial"/>
          <w:sz w:val="20"/>
          <w:szCs w:val="20"/>
        </w:rPr>
        <w:t>Winter, K. (2011) Understanding and Supporting Young Children’s Transitions into State Care: Children’s Perspectives. London: Routledge.</w:t>
      </w:r>
    </w:p>
    <w:p w14:paraId="216D13DC" w14:textId="77777777" w:rsidR="00D66C9C" w:rsidRPr="00D66C9C" w:rsidRDefault="00D66C9C" w:rsidP="00D66C9C">
      <w:pPr>
        <w:pStyle w:val="NormalWeb"/>
        <w:spacing w:before="0" w:beforeAutospacing="0" w:after="0" w:afterAutospacing="0" w:line="276" w:lineRule="auto"/>
        <w:rPr>
          <w:rFonts w:ascii="Arial" w:hAnsi="Arial" w:cs="Arial"/>
          <w:color w:val="000000"/>
          <w:sz w:val="20"/>
          <w:szCs w:val="20"/>
        </w:rPr>
      </w:pPr>
      <w:r w:rsidRPr="00D66C9C">
        <w:rPr>
          <w:rFonts w:ascii="Arial" w:hAnsi="Arial" w:cs="Arial"/>
          <w:color w:val="000000"/>
          <w:sz w:val="20"/>
          <w:szCs w:val="20"/>
        </w:rPr>
        <w:t>Women's Aid (2025). </w:t>
      </w:r>
      <w:proofErr w:type="spellStart"/>
      <w:r w:rsidRPr="00D66C9C">
        <w:rPr>
          <w:rFonts w:ascii="Arial" w:hAnsi="Arial" w:cs="Arial"/>
          <w:i/>
          <w:iCs/>
          <w:color w:val="000000"/>
          <w:sz w:val="20"/>
          <w:szCs w:val="20"/>
        </w:rPr>
        <w:t>Womens</w:t>
      </w:r>
      <w:proofErr w:type="spellEnd"/>
      <w:r w:rsidRPr="00D66C9C">
        <w:rPr>
          <w:rFonts w:ascii="Arial" w:hAnsi="Arial" w:cs="Arial"/>
          <w:i/>
          <w:iCs/>
          <w:color w:val="000000"/>
          <w:sz w:val="20"/>
          <w:szCs w:val="20"/>
        </w:rPr>
        <w:t xml:space="preserve"> Aid</w:t>
      </w:r>
      <w:r w:rsidRPr="00D66C9C">
        <w:rPr>
          <w:rFonts w:ascii="Arial" w:hAnsi="Arial" w:cs="Arial"/>
          <w:color w:val="000000"/>
          <w:sz w:val="20"/>
          <w:szCs w:val="20"/>
        </w:rPr>
        <w:t xml:space="preserve">. [online] </w:t>
      </w:r>
      <w:proofErr w:type="spellStart"/>
      <w:r w:rsidRPr="00D66C9C">
        <w:rPr>
          <w:rFonts w:ascii="Arial" w:hAnsi="Arial" w:cs="Arial"/>
          <w:color w:val="000000"/>
          <w:sz w:val="20"/>
          <w:szCs w:val="20"/>
        </w:rPr>
        <w:t>Womens</w:t>
      </w:r>
      <w:proofErr w:type="spellEnd"/>
      <w:r w:rsidRPr="00D66C9C">
        <w:rPr>
          <w:rFonts w:ascii="Arial" w:hAnsi="Arial" w:cs="Arial"/>
          <w:color w:val="000000"/>
          <w:sz w:val="20"/>
          <w:szCs w:val="20"/>
        </w:rPr>
        <w:t xml:space="preserve"> Aid. Available at: </w:t>
      </w:r>
      <w:hyperlink r:id="rId32" w:history="1">
        <w:r w:rsidRPr="00D66C9C">
          <w:rPr>
            <w:rStyle w:val="Hyperlink"/>
            <w:rFonts w:ascii="Arial" w:hAnsi="Arial" w:cs="Arial"/>
            <w:sz w:val="20"/>
            <w:szCs w:val="20"/>
          </w:rPr>
          <w:t>https://www.womensaid.org.uk/</w:t>
        </w:r>
      </w:hyperlink>
      <w:r w:rsidRPr="00D66C9C">
        <w:rPr>
          <w:rFonts w:ascii="Arial" w:hAnsi="Arial" w:cs="Arial"/>
          <w:color w:val="000000"/>
          <w:sz w:val="20"/>
          <w:szCs w:val="20"/>
        </w:rPr>
        <w:t>.</w:t>
      </w:r>
    </w:p>
    <w:p w14:paraId="76C61F54" w14:textId="77777777" w:rsidR="00D66C9C" w:rsidRPr="00D66C9C" w:rsidRDefault="00D66C9C" w:rsidP="00D66C9C">
      <w:pPr>
        <w:spacing w:line="276" w:lineRule="auto"/>
        <w:rPr>
          <w:rFonts w:ascii="Arial" w:hAnsi="Arial" w:cs="Arial"/>
          <w:sz w:val="20"/>
          <w:szCs w:val="20"/>
        </w:rPr>
      </w:pPr>
    </w:p>
    <w:p w14:paraId="46ADA289" w14:textId="77777777" w:rsidR="00AC55D8" w:rsidRPr="00D66C9C" w:rsidRDefault="00AC55D8" w:rsidP="00D66C9C">
      <w:pPr>
        <w:spacing w:line="276" w:lineRule="auto"/>
        <w:rPr>
          <w:rFonts w:ascii="Arial" w:hAnsi="Arial" w:cs="Arial"/>
          <w:sz w:val="20"/>
          <w:szCs w:val="20"/>
        </w:rPr>
      </w:pPr>
    </w:p>
    <w:p w14:paraId="7626AB27" w14:textId="77777777" w:rsidR="00AC55D8" w:rsidRPr="00D66C9C" w:rsidRDefault="00AC55D8" w:rsidP="00D66C9C">
      <w:pPr>
        <w:spacing w:line="276" w:lineRule="auto"/>
        <w:rPr>
          <w:rFonts w:ascii="Arial" w:hAnsi="Arial" w:cs="Arial"/>
          <w:sz w:val="20"/>
          <w:szCs w:val="20"/>
        </w:rPr>
      </w:pPr>
    </w:p>
    <w:sectPr w:rsidR="00AC55D8" w:rsidRPr="00D66C9C">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9A995" w14:textId="77777777" w:rsidR="00B14847" w:rsidRDefault="00B14847" w:rsidP="00D66C9C">
      <w:r>
        <w:separator/>
      </w:r>
    </w:p>
  </w:endnote>
  <w:endnote w:type="continuationSeparator" w:id="0">
    <w:p w14:paraId="4F7407D6" w14:textId="77777777" w:rsidR="00B14847" w:rsidRDefault="00B14847" w:rsidP="00D66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37F8F" w14:textId="77777777" w:rsidR="00B14847" w:rsidRDefault="00B14847" w:rsidP="00D66C9C">
      <w:r>
        <w:separator/>
      </w:r>
    </w:p>
  </w:footnote>
  <w:footnote w:type="continuationSeparator" w:id="0">
    <w:p w14:paraId="32A13CC0" w14:textId="77777777" w:rsidR="00B14847" w:rsidRDefault="00B14847" w:rsidP="00D66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BCA43" w14:textId="32643B10" w:rsidR="00D66C9C" w:rsidRPr="00D66C9C" w:rsidRDefault="00D66C9C" w:rsidP="00D66C9C">
    <w:pPr>
      <w:jc w:val="right"/>
      <w:rPr>
        <w:color w:val="00B0F0"/>
        <w:sz w:val="18"/>
        <w:szCs w:val="18"/>
      </w:rPr>
    </w:pPr>
    <w:r w:rsidRPr="00D66C9C">
      <w:rPr>
        <w:noProof/>
        <w:color w:val="00B0F0"/>
        <w:sz w:val="18"/>
        <w:szCs w:val="18"/>
      </w:rPr>
      <mc:AlternateContent>
        <mc:Choice Requires="wps">
          <w:drawing>
            <wp:anchor distT="0" distB="0" distL="114300" distR="114300" simplePos="0" relativeHeight="251659264" behindDoc="0" locked="0" layoutInCell="1" allowOverlap="1" wp14:anchorId="4A3A97CC" wp14:editId="5E222D0B">
              <wp:simplePos x="0" y="0"/>
              <wp:positionH relativeFrom="column">
                <wp:posOffset>-353085</wp:posOffset>
              </wp:positionH>
              <wp:positionV relativeFrom="paragraph">
                <wp:posOffset>-141762</wp:posOffset>
              </wp:positionV>
              <wp:extent cx="2806574" cy="1213164"/>
              <wp:effectExtent l="0" t="0" r="0" b="0"/>
              <wp:wrapNone/>
              <wp:docPr id="934611588" name="Text Box 1"/>
              <wp:cNvGraphicFramePr/>
              <a:graphic xmlns:a="http://schemas.openxmlformats.org/drawingml/2006/main">
                <a:graphicData uri="http://schemas.microsoft.com/office/word/2010/wordprocessingShape">
                  <wps:wsp>
                    <wps:cNvSpPr txBox="1"/>
                    <wps:spPr>
                      <a:xfrm>
                        <a:off x="0" y="0"/>
                        <a:ext cx="2806574" cy="1213164"/>
                      </a:xfrm>
                      <a:prstGeom prst="rect">
                        <a:avLst/>
                      </a:prstGeom>
                      <a:noFill/>
                      <a:ln w="6350">
                        <a:noFill/>
                      </a:ln>
                    </wps:spPr>
                    <wps:txbx>
                      <w:txbxContent>
                        <w:p w14:paraId="41417E7F" w14:textId="5FD5D6AB" w:rsidR="00D66C9C" w:rsidRDefault="00D66C9C">
                          <w:r>
                            <w:t>ECEY5011</w:t>
                          </w:r>
                        </w:p>
                        <w:p w14:paraId="167B5345" w14:textId="24B22A12" w:rsidR="00C91028" w:rsidRDefault="00502026">
                          <w:r>
                            <w:t>2418872</w:t>
                          </w:r>
                        </w:p>
                        <w:p w14:paraId="765DC607" w14:textId="15A37383" w:rsidR="00D66C9C" w:rsidRDefault="00D66C9C">
                          <w:r>
                            <w:t xml:space="preserve">I have not used AI for this assignment.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3A97CC" id="_x0000_t202" coordsize="21600,21600" o:spt="202" path="m,l,21600r21600,l21600,xe">
              <v:stroke joinstyle="miter"/>
              <v:path gradientshapeok="t" o:connecttype="rect"/>
            </v:shapetype>
            <v:shape id="Text Box 1" o:spid="_x0000_s1026" type="#_x0000_t202" style="position:absolute;left:0;text-align:left;margin-left:-27.8pt;margin-top:-11.15pt;width:221pt;height:9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mKGQIAAC0EAAAOAAAAZHJzL2Uyb0RvYy54bWysU8tu2zAQvBfoPxC815Ic2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" filled="f" stroked="f" strokeweight=".5pt">
              <v:textbox>
                <w:txbxContent>
                  <w:p w14:paraId="41417E7F" w14:textId="5FD5D6AB" w:rsidR="00D66C9C" w:rsidRDefault="00D66C9C">
                    <w:r>
                      <w:t>ECEY5011</w:t>
                    </w:r>
                  </w:p>
                  <w:p w14:paraId="167B5345" w14:textId="24B22A12" w:rsidR="00C91028" w:rsidRDefault="00502026">
                    <w:r>
                      <w:t>2418872</w:t>
                    </w:r>
                  </w:p>
                  <w:p w14:paraId="765DC607" w14:textId="15A37383" w:rsidR="00D66C9C" w:rsidRDefault="00D66C9C">
                    <w:r>
                      <w:t xml:space="preserve">I have not used AI for this assignment. </w:t>
                    </w:r>
                  </w:p>
                </w:txbxContent>
              </v:textbox>
            </v:shape>
          </w:pict>
        </mc:Fallback>
      </mc:AlternateContent>
    </w:r>
    <w:r w:rsidRPr="00D66C9C">
      <w:rPr>
        <w:color w:val="00B0F0"/>
        <w:sz w:val="18"/>
        <w:szCs w:val="18"/>
      </w:rPr>
      <w:t xml:space="preserve">Gwawr </w:t>
    </w:r>
  </w:p>
  <w:p w14:paraId="3FDB4D99" w14:textId="77777777" w:rsidR="00D66C9C" w:rsidRPr="00D66C9C" w:rsidRDefault="00D66C9C" w:rsidP="00D66C9C">
    <w:pPr>
      <w:jc w:val="right"/>
      <w:rPr>
        <w:color w:val="70AD47" w:themeColor="accent6"/>
        <w:sz w:val="18"/>
        <w:szCs w:val="18"/>
      </w:rPr>
    </w:pPr>
    <w:r w:rsidRPr="00D66C9C">
      <w:rPr>
        <w:color w:val="70AD47" w:themeColor="accent6"/>
        <w:sz w:val="18"/>
        <w:szCs w:val="18"/>
      </w:rPr>
      <w:t xml:space="preserve">Cody </w:t>
    </w:r>
  </w:p>
  <w:p w14:paraId="5B3CB794" w14:textId="77777777" w:rsidR="00D66C9C" w:rsidRPr="00D66C9C" w:rsidRDefault="00D66C9C" w:rsidP="00D66C9C">
    <w:pPr>
      <w:jc w:val="right"/>
      <w:rPr>
        <w:color w:val="FFC000" w:themeColor="accent4"/>
        <w:sz w:val="18"/>
        <w:szCs w:val="18"/>
      </w:rPr>
    </w:pPr>
    <w:r w:rsidRPr="00D66C9C">
      <w:rPr>
        <w:color w:val="FFC000" w:themeColor="accent4"/>
        <w:sz w:val="18"/>
        <w:szCs w:val="18"/>
      </w:rPr>
      <w:t>Bobby</w:t>
    </w:r>
  </w:p>
  <w:p w14:paraId="435B902B" w14:textId="77777777" w:rsidR="00D66C9C" w:rsidRPr="00D66C9C" w:rsidRDefault="00D66C9C" w:rsidP="00D66C9C">
    <w:pPr>
      <w:jc w:val="right"/>
      <w:rPr>
        <w:color w:val="D883FF"/>
        <w:sz w:val="18"/>
        <w:szCs w:val="18"/>
      </w:rPr>
    </w:pPr>
    <w:r w:rsidRPr="00D66C9C">
      <w:rPr>
        <w:color w:val="D883FF"/>
        <w:sz w:val="18"/>
        <w:szCs w:val="18"/>
      </w:rPr>
      <w:t xml:space="preserve">Joelle </w:t>
    </w:r>
  </w:p>
  <w:p w14:paraId="2D5CE000" w14:textId="041040EE" w:rsidR="00D66C9C" w:rsidRPr="00D66C9C" w:rsidRDefault="00D66C9C" w:rsidP="00D66C9C">
    <w:pPr>
      <w:jc w:val="right"/>
      <w:rPr>
        <w:color w:val="ED7D31" w:themeColor="accent2"/>
        <w:sz w:val="18"/>
        <w:szCs w:val="18"/>
      </w:rPr>
    </w:pPr>
    <w:r w:rsidRPr="00D66C9C">
      <w:rPr>
        <w:color w:val="ED7D31" w:themeColor="accent2"/>
        <w:sz w:val="18"/>
        <w:szCs w:val="18"/>
      </w:rPr>
      <w:t xml:space="preserve">Gemma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81A8E"/>
    <w:multiLevelType w:val="multilevel"/>
    <w:tmpl w:val="D8E2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82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7E3"/>
    <w:rsid w:val="00242902"/>
    <w:rsid w:val="00302192"/>
    <w:rsid w:val="00502026"/>
    <w:rsid w:val="005447E3"/>
    <w:rsid w:val="009202DC"/>
    <w:rsid w:val="00AC55D8"/>
    <w:rsid w:val="00B14847"/>
    <w:rsid w:val="00C91028"/>
    <w:rsid w:val="00D66C9C"/>
    <w:rsid w:val="00F53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DF17F"/>
  <w15:chartTrackingRefBased/>
  <w15:docId w15:val="{DCF22C51-54E9-9341-98C1-820C789BD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55D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C55D8"/>
    <w:rPr>
      <w:color w:val="0563C1" w:themeColor="hyperlink"/>
      <w:u w:val="single"/>
    </w:rPr>
  </w:style>
  <w:style w:type="character" w:styleId="UnresolvedMention">
    <w:name w:val="Unresolved Mention"/>
    <w:basedOn w:val="DefaultParagraphFont"/>
    <w:uiPriority w:val="99"/>
    <w:semiHidden/>
    <w:unhideWhenUsed/>
    <w:rsid w:val="00AC55D8"/>
    <w:rPr>
      <w:color w:val="605E5C"/>
      <w:shd w:val="clear" w:color="auto" w:fill="E1DFDD"/>
    </w:rPr>
  </w:style>
  <w:style w:type="paragraph" w:styleId="Header">
    <w:name w:val="header"/>
    <w:basedOn w:val="Normal"/>
    <w:link w:val="HeaderChar"/>
    <w:uiPriority w:val="99"/>
    <w:unhideWhenUsed/>
    <w:rsid w:val="00D66C9C"/>
    <w:pPr>
      <w:tabs>
        <w:tab w:val="center" w:pos="4513"/>
        <w:tab w:val="right" w:pos="9026"/>
      </w:tabs>
    </w:pPr>
  </w:style>
  <w:style w:type="character" w:customStyle="1" w:styleId="HeaderChar">
    <w:name w:val="Header Char"/>
    <w:basedOn w:val="DefaultParagraphFont"/>
    <w:link w:val="Header"/>
    <w:uiPriority w:val="99"/>
    <w:rsid w:val="00D66C9C"/>
  </w:style>
  <w:style w:type="paragraph" w:styleId="Footer">
    <w:name w:val="footer"/>
    <w:basedOn w:val="Normal"/>
    <w:link w:val="FooterChar"/>
    <w:uiPriority w:val="99"/>
    <w:unhideWhenUsed/>
    <w:rsid w:val="00D66C9C"/>
    <w:pPr>
      <w:tabs>
        <w:tab w:val="center" w:pos="4513"/>
        <w:tab w:val="right" w:pos="9026"/>
      </w:tabs>
    </w:pPr>
  </w:style>
  <w:style w:type="character" w:customStyle="1" w:styleId="FooterChar">
    <w:name w:val="Footer Char"/>
    <w:basedOn w:val="DefaultParagraphFont"/>
    <w:link w:val="Footer"/>
    <w:uiPriority w:val="99"/>
    <w:rsid w:val="00D66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627752">
      <w:bodyDiv w:val="1"/>
      <w:marLeft w:val="0"/>
      <w:marRight w:val="0"/>
      <w:marTop w:val="0"/>
      <w:marBottom w:val="0"/>
      <w:divBdr>
        <w:top w:val="none" w:sz="0" w:space="0" w:color="auto"/>
        <w:left w:val="none" w:sz="0" w:space="0" w:color="auto"/>
        <w:bottom w:val="none" w:sz="0" w:space="0" w:color="auto"/>
        <w:right w:val="none" w:sz="0" w:space="0" w:color="auto"/>
      </w:divBdr>
    </w:div>
    <w:div w:id="688793859">
      <w:bodyDiv w:val="1"/>
      <w:marLeft w:val="0"/>
      <w:marRight w:val="0"/>
      <w:marTop w:val="0"/>
      <w:marBottom w:val="0"/>
      <w:divBdr>
        <w:top w:val="none" w:sz="0" w:space="0" w:color="auto"/>
        <w:left w:val="none" w:sz="0" w:space="0" w:color="auto"/>
        <w:bottom w:val="none" w:sz="0" w:space="0" w:color="auto"/>
        <w:right w:val="none" w:sz="0" w:space="0" w:color="auto"/>
      </w:divBdr>
    </w:div>
    <w:div w:id="717901374">
      <w:bodyDiv w:val="1"/>
      <w:marLeft w:val="0"/>
      <w:marRight w:val="0"/>
      <w:marTop w:val="0"/>
      <w:marBottom w:val="0"/>
      <w:divBdr>
        <w:top w:val="none" w:sz="0" w:space="0" w:color="auto"/>
        <w:left w:val="none" w:sz="0" w:space="0" w:color="auto"/>
        <w:bottom w:val="none" w:sz="0" w:space="0" w:color="auto"/>
        <w:right w:val="none" w:sz="0" w:space="0" w:color="auto"/>
      </w:divBdr>
    </w:div>
    <w:div w:id="782304104">
      <w:bodyDiv w:val="1"/>
      <w:marLeft w:val="0"/>
      <w:marRight w:val="0"/>
      <w:marTop w:val="0"/>
      <w:marBottom w:val="0"/>
      <w:divBdr>
        <w:top w:val="none" w:sz="0" w:space="0" w:color="auto"/>
        <w:left w:val="none" w:sz="0" w:space="0" w:color="auto"/>
        <w:bottom w:val="none" w:sz="0" w:space="0" w:color="auto"/>
        <w:right w:val="none" w:sz="0" w:space="0" w:color="auto"/>
      </w:divBdr>
      <w:divsChild>
        <w:div w:id="108473077">
          <w:marLeft w:val="0"/>
          <w:marRight w:val="0"/>
          <w:marTop w:val="240"/>
          <w:marBottom w:val="240"/>
          <w:divBdr>
            <w:top w:val="none" w:sz="0" w:space="0" w:color="auto"/>
            <w:left w:val="none" w:sz="0" w:space="0" w:color="auto"/>
            <w:bottom w:val="none" w:sz="0" w:space="0" w:color="auto"/>
            <w:right w:val="none" w:sz="0" w:space="0" w:color="auto"/>
          </w:divBdr>
        </w:div>
        <w:div w:id="513420866">
          <w:marLeft w:val="0"/>
          <w:marRight w:val="0"/>
          <w:marTop w:val="240"/>
          <w:marBottom w:val="240"/>
          <w:divBdr>
            <w:top w:val="none" w:sz="0" w:space="0" w:color="auto"/>
            <w:left w:val="none" w:sz="0" w:space="0" w:color="auto"/>
            <w:bottom w:val="none" w:sz="0" w:space="0" w:color="auto"/>
            <w:right w:val="none" w:sz="0" w:space="0" w:color="auto"/>
          </w:divBdr>
        </w:div>
        <w:div w:id="753822551">
          <w:marLeft w:val="0"/>
          <w:marRight w:val="0"/>
          <w:marTop w:val="240"/>
          <w:marBottom w:val="240"/>
          <w:divBdr>
            <w:top w:val="none" w:sz="0" w:space="0" w:color="auto"/>
            <w:left w:val="none" w:sz="0" w:space="0" w:color="auto"/>
            <w:bottom w:val="none" w:sz="0" w:space="0" w:color="auto"/>
            <w:right w:val="none" w:sz="0" w:space="0" w:color="auto"/>
          </w:divBdr>
        </w:div>
        <w:div w:id="41563069">
          <w:marLeft w:val="0"/>
          <w:marRight w:val="0"/>
          <w:marTop w:val="240"/>
          <w:marBottom w:val="240"/>
          <w:divBdr>
            <w:top w:val="none" w:sz="0" w:space="0" w:color="auto"/>
            <w:left w:val="none" w:sz="0" w:space="0" w:color="auto"/>
            <w:bottom w:val="none" w:sz="0" w:space="0" w:color="auto"/>
            <w:right w:val="none" w:sz="0" w:space="0" w:color="auto"/>
          </w:divBdr>
        </w:div>
        <w:div w:id="1866286197">
          <w:marLeft w:val="0"/>
          <w:marRight w:val="0"/>
          <w:marTop w:val="240"/>
          <w:marBottom w:val="240"/>
          <w:divBdr>
            <w:top w:val="none" w:sz="0" w:space="0" w:color="auto"/>
            <w:left w:val="none" w:sz="0" w:space="0" w:color="auto"/>
            <w:bottom w:val="none" w:sz="0" w:space="0" w:color="auto"/>
            <w:right w:val="none" w:sz="0" w:space="0" w:color="auto"/>
          </w:divBdr>
        </w:div>
        <w:div w:id="1267159192">
          <w:marLeft w:val="0"/>
          <w:marRight w:val="0"/>
          <w:marTop w:val="240"/>
          <w:marBottom w:val="240"/>
          <w:divBdr>
            <w:top w:val="none" w:sz="0" w:space="0" w:color="auto"/>
            <w:left w:val="none" w:sz="0" w:space="0" w:color="auto"/>
            <w:bottom w:val="none" w:sz="0" w:space="0" w:color="auto"/>
            <w:right w:val="none" w:sz="0" w:space="0" w:color="auto"/>
          </w:divBdr>
        </w:div>
        <w:div w:id="2094352437">
          <w:marLeft w:val="0"/>
          <w:marRight w:val="0"/>
          <w:marTop w:val="240"/>
          <w:marBottom w:val="240"/>
          <w:divBdr>
            <w:top w:val="none" w:sz="0" w:space="0" w:color="auto"/>
            <w:left w:val="none" w:sz="0" w:space="0" w:color="auto"/>
            <w:bottom w:val="none" w:sz="0" w:space="0" w:color="auto"/>
            <w:right w:val="none" w:sz="0" w:space="0" w:color="auto"/>
          </w:divBdr>
        </w:div>
      </w:divsChild>
    </w:div>
    <w:div w:id="1600524465">
      <w:bodyDiv w:val="1"/>
      <w:marLeft w:val="0"/>
      <w:marRight w:val="0"/>
      <w:marTop w:val="0"/>
      <w:marBottom w:val="0"/>
      <w:divBdr>
        <w:top w:val="none" w:sz="0" w:space="0" w:color="auto"/>
        <w:left w:val="none" w:sz="0" w:space="0" w:color="auto"/>
        <w:bottom w:val="none" w:sz="0" w:space="0" w:color="auto"/>
        <w:right w:val="none" w:sz="0" w:space="0" w:color="auto"/>
      </w:divBdr>
      <w:divsChild>
        <w:div w:id="107088795">
          <w:marLeft w:val="0"/>
          <w:marRight w:val="0"/>
          <w:marTop w:val="240"/>
          <w:marBottom w:val="240"/>
          <w:divBdr>
            <w:top w:val="none" w:sz="0" w:space="0" w:color="auto"/>
            <w:left w:val="none" w:sz="0" w:space="0" w:color="auto"/>
            <w:bottom w:val="none" w:sz="0" w:space="0" w:color="auto"/>
            <w:right w:val="none" w:sz="0" w:space="0" w:color="auto"/>
          </w:divBdr>
        </w:div>
        <w:div w:id="1125661224">
          <w:marLeft w:val="0"/>
          <w:marRight w:val="0"/>
          <w:marTop w:val="240"/>
          <w:marBottom w:val="240"/>
          <w:divBdr>
            <w:top w:val="none" w:sz="0" w:space="0" w:color="auto"/>
            <w:left w:val="none" w:sz="0" w:space="0" w:color="auto"/>
            <w:bottom w:val="none" w:sz="0" w:space="0" w:color="auto"/>
            <w:right w:val="none" w:sz="0" w:space="0" w:color="auto"/>
          </w:divBdr>
        </w:div>
        <w:div w:id="654069491">
          <w:marLeft w:val="0"/>
          <w:marRight w:val="0"/>
          <w:marTop w:val="240"/>
          <w:marBottom w:val="240"/>
          <w:divBdr>
            <w:top w:val="none" w:sz="0" w:space="0" w:color="auto"/>
            <w:left w:val="none" w:sz="0" w:space="0" w:color="auto"/>
            <w:bottom w:val="none" w:sz="0" w:space="0" w:color="auto"/>
            <w:right w:val="none" w:sz="0" w:space="0" w:color="auto"/>
          </w:divBdr>
        </w:div>
        <w:div w:id="1412390931">
          <w:marLeft w:val="0"/>
          <w:marRight w:val="0"/>
          <w:marTop w:val="240"/>
          <w:marBottom w:val="240"/>
          <w:divBdr>
            <w:top w:val="none" w:sz="0" w:space="0" w:color="auto"/>
            <w:left w:val="none" w:sz="0" w:space="0" w:color="auto"/>
            <w:bottom w:val="none" w:sz="0" w:space="0" w:color="auto"/>
            <w:right w:val="none" w:sz="0" w:space="0" w:color="auto"/>
          </w:divBdr>
        </w:div>
        <w:div w:id="1428429120">
          <w:marLeft w:val="0"/>
          <w:marRight w:val="0"/>
          <w:marTop w:val="240"/>
          <w:marBottom w:val="240"/>
          <w:divBdr>
            <w:top w:val="none" w:sz="0" w:space="0" w:color="auto"/>
            <w:left w:val="none" w:sz="0" w:space="0" w:color="auto"/>
            <w:bottom w:val="none" w:sz="0" w:space="0" w:color="auto"/>
            <w:right w:val="none" w:sz="0" w:space="0" w:color="auto"/>
          </w:divBdr>
        </w:div>
        <w:div w:id="1283270499">
          <w:marLeft w:val="0"/>
          <w:marRight w:val="0"/>
          <w:marTop w:val="240"/>
          <w:marBottom w:val="240"/>
          <w:divBdr>
            <w:top w:val="none" w:sz="0" w:space="0" w:color="auto"/>
            <w:left w:val="none" w:sz="0" w:space="0" w:color="auto"/>
            <w:bottom w:val="none" w:sz="0" w:space="0" w:color="auto"/>
            <w:right w:val="none" w:sz="0" w:space="0" w:color="auto"/>
          </w:divBdr>
        </w:div>
        <w:div w:id="218982737">
          <w:marLeft w:val="0"/>
          <w:marRight w:val="0"/>
          <w:marTop w:val="240"/>
          <w:marBottom w:val="240"/>
          <w:divBdr>
            <w:top w:val="none" w:sz="0" w:space="0" w:color="auto"/>
            <w:left w:val="none" w:sz="0" w:space="0" w:color="auto"/>
            <w:bottom w:val="none" w:sz="0" w:space="0" w:color="auto"/>
            <w:right w:val="none" w:sz="0" w:space="0" w:color="auto"/>
          </w:divBdr>
        </w:div>
        <w:div w:id="2052920747">
          <w:marLeft w:val="0"/>
          <w:marRight w:val="0"/>
          <w:marTop w:val="240"/>
          <w:marBottom w:val="240"/>
          <w:divBdr>
            <w:top w:val="none" w:sz="0" w:space="0" w:color="auto"/>
            <w:left w:val="none" w:sz="0" w:space="0" w:color="auto"/>
            <w:bottom w:val="none" w:sz="0" w:space="0" w:color="auto"/>
            <w:right w:val="none" w:sz="0" w:space="0" w:color="auto"/>
          </w:divBdr>
        </w:div>
        <w:div w:id="1192063729">
          <w:marLeft w:val="0"/>
          <w:marRight w:val="0"/>
          <w:marTop w:val="240"/>
          <w:marBottom w:val="240"/>
          <w:divBdr>
            <w:top w:val="none" w:sz="0" w:space="0" w:color="auto"/>
            <w:left w:val="none" w:sz="0" w:space="0" w:color="auto"/>
            <w:bottom w:val="none" w:sz="0" w:space="0" w:color="auto"/>
            <w:right w:val="none" w:sz="0" w:space="0" w:color="auto"/>
          </w:divBdr>
        </w:div>
        <w:div w:id="993728669">
          <w:marLeft w:val="0"/>
          <w:marRight w:val="0"/>
          <w:marTop w:val="240"/>
          <w:marBottom w:val="240"/>
          <w:divBdr>
            <w:top w:val="none" w:sz="0" w:space="0" w:color="auto"/>
            <w:left w:val="none" w:sz="0" w:space="0" w:color="auto"/>
            <w:bottom w:val="none" w:sz="0" w:space="0" w:color="auto"/>
            <w:right w:val="none" w:sz="0" w:space="0" w:color="auto"/>
          </w:divBdr>
        </w:div>
        <w:div w:id="1017388972">
          <w:marLeft w:val="0"/>
          <w:marRight w:val="0"/>
          <w:marTop w:val="240"/>
          <w:marBottom w:val="0"/>
          <w:divBdr>
            <w:top w:val="none" w:sz="0" w:space="0" w:color="auto"/>
            <w:left w:val="none" w:sz="0" w:space="0" w:color="auto"/>
            <w:bottom w:val="none" w:sz="0" w:space="0" w:color="auto"/>
            <w:right w:val="none" w:sz="0" w:space="0" w:color="auto"/>
          </w:divBdr>
        </w:div>
        <w:div w:id="692726649">
          <w:marLeft w:val="0"/>
          <w:marRight w:val="0"/>
          <w:marTop w:val="240"/>
          <w:marBottom w:val="240"/>
          <w:divBdr>
            <w:top w:val="none" w:sz="0" w:space="0" w:color="auto"/>
            <w:left w:val="none" w:sz="0" w:space="0" w:color="auto"/>
            <w:bottom w:val="none" w:sz="0" w:space="0" w:color="auto"/>
            <w:right w:val="none" w:sz="0" w:space="0" w:color="auto"/>
          </w:divBdr>
        </w:div>
        <w:div w:id="1239553765">
          <w:marLeft w:val="0"/>
          <w:marRight w:val="0"/>
          <w:marTop w:val="240"/>
          <w:marBottom w:val="240"/>
          <w:divBdr>
            <w:top w:val="none" w:sz="0" w:space="0" w:color="auto"/>
            <w:left w:val="none" w:sz="0" w:space="0" w:color="auto"/>
            <w:bottom w:val="none" w:sz="0" w:space="0" w:color="auto"/>
            <w:right w:val="none" w:sz="0" w:space="0" w:color="auto"/>
          </w:divBdr>
        </w:div>
        <w:div w:id="1295284830">
          <w:marLeft w:val="0"/>
          <w:marRight w:val="0"/>
          <w:marTop w:val="240"/>
          <w:marBottom w:val="0"/>
          <w:divBdr>
            <w:top w:val="none" w:sz="0" w:space="0" w:color="auto"/>
            <w:left w:val="none" w:sz="0" w:space="0" w:color="auto"/>
            <w:bottom w:val="none" w:sz="0" w:space="0" w:color="auto"/>
            <w:right w:val="none" w:sz="0" w:space="0" w:color="auto"/>
          </w:divBdr>
        </w:div>
        <w:div w:id="248738133">
          <w:marLeft w:val="0"/>
          <w:marRight w:val="0"/>
          <w:marTop w:val="240"/>
          <w:marBottom w:val="240"/>
          <w:divBdr>
            <w:top w:val="none" w:sz="0" w:space="0" w:color="auto"/>
            <w:left w:val="none" w:sz="0" w:space="0" w:color="auto"/>
            <w:bottom w:val="none" w:sz="0" w:space="0" w:color="auto"/>
            <w:right w:val="none" w:sz="0" w:space="0" w:color="auto"/>
          </w:divBdr>
        </w:div>
        <w:div w:id="1798060018">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c95a4e5274a0bb7cb806d/5860.pdf" TargetMode="External"/><Relationship Id="rId18" Type="http://schemas.openxmlformats.org/officeDocument/2006/relationships/hyperlink" Target="https://www.legislation.gov.uk/ukpga/2018/12/contents" TargetMode="External"/><Relationship Id="rId26" Type="http://schemas.openxmlformats.org/officeDocument/2006/relationships/hyperlink" Target="https://www.nhs.uk/mental-health/conditions/post-natal-depression/overview/" TargetMode="External"/><Relationship Id="rId3" Type="http://schemas.openxmlformats.org/officeDocument/2006/relationships/settings" Target="settings.xml"/><Relationship Id="rId21" Type="http://schemas.openxmlformats.org/officeDocument/2006/relationships/hyperlink" Target="https://www.legislation.gov.uk/ukpga/1996/16/section/89" TargetMode="External"/><Relationship Id="rId34" Type="http://schemas.openxmlformats.org/officeDocument/2006/relationships/fontTable" Target="fontTable.xml"/><Relationship Id="rId7" Type="http://schemas.openxmlformats.org/officeDocument/2006/relationships/hyperlink" Target="https://childlawadvice.org.uk/information-pages/police-powers-of-protection-emergency-protection-orders/" TargetMode="External"/><Relationship Id="rId12" Type="http://schemas.openxmlformats.org/officeDocument/2006/relationships/hyperlink" Target="https://www.cps.gov.uk/legal-guidance/restraining-orders" TargetMode="External"/><Relationship Id="rId17" Type="http://schemas.openxmlformats.org/officeDocument/2006/relationships/hyperlink" Target="https://www.legislation.gov.uk/ukpga/1989/41/section/31" TargetMode="External"/><Relationship Id="rId25" Type="http://schemas.openxmlformats.org/officeDocument/2006/relationships/hyperlink" Target="https://www.legislation.gov.uk/ukpga/2005/9/section/1"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domestic-abuse-bill-2020-factsheets/domestic-abuse-bill-2020-overarching-factsheet" TargetMode="External"/><Relationship Id="rId20" Type="http://schemas.openxmlformats.org/officeDocument/2006/relationships/hyperlink" Target="https://www.legislation.gov.uk/ukpga/Geo5/23-24/12/2024-01-31?view=plain" TargetMode="External"/><Relationship Id="rId29" Type="http://schemas.openxmlformats.org/officeDocument/2006/relationships/hyperlink" Target="https://learning.nspcc.org.uk/child-protection-system/engl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ps.gov.uk/legal-guidance/controlling-or-coercive-behaviour-intimate-or-family-relationship" TargetMode="External"/><Relationship Id="rId24" Type="http://schemas.openxmlformats.org/officeDocument/2006/relationships/hyperlink" Target="https://www.legislation.gov.uk/ukpga/1989/41/section/47" TargetMode="External"/><Relationship Id="rId32" Type="http://schemas.openxmlformats.org/officeDocument/2006/relationships/hyperlink" Target="https://www.womensaid.org.uk/" TargetMode="External"/><Relationship Id="rId5" Type="http://schemas.openxmlformats.org/officeDocument/2006/relationships/footnotes" Target="footnotes.xml"/><Relationship Id="rId15" Type="http://schemas.openxmlformats.org/officeDocument/2006/relationships/hyperlink" Target="https://www.gov.uk/government/publications/domestic-abuse-bill-2020-factsheets/amendment-to-the-controlling-or-coercive-behaviour-offence" TargetMode="External"/><Relationship Id="rId23" Type="http://schemas.openxmlformats.org/officeDocument/2006/relationships/hyperlink" Target="https://www.legislation.gov.uk/ukpga/Geo5/23-24/12/part/I/crossheading/offences" TargetMode="External"/><Relationship Id="rId28" Type="http://schemas.openxmlformats.org/officeDocument/2006/relationships/hyperlink" Target="https://emea01.safelinks.protection.outlook.com/?url=https%3A%2F%2Flearning.nspcc.org.uk%2F&amp;data=05%7C02%7C%7Cba68601245484ecc4c8008ddbd52c4d8%7C84df9e7fe9f640afb435aaaaaaaaaaaa%7C1%7C0%7C638874885366613679%7CUnknown%7CTWFpbGZsb3d8eyJFbXB0eU1hcGkiOnRydWUsIlYiOiIwLjAuMDAwMCIsIlAiOiJXaW4zMiIsIkFOIjoiTWFpbCIsIldUIjoyfQ%3D%3D%7C0%7C%7C%7C&amp;sdata=xMj1nHFFv7m6XVT%2BxGcG0pyvSTuDYAJvONsLkQB5KrU%3D&amp;reserved=0" TargetMode="External"/><Relationship Id="rId10" Type="http://schemas.openxmlformats.org/officeDocument/2006/relationships/hyperlink" Target="https://www.cps.gov.uk/legal-guidance/public-order-offences-incorporating-charging-standard" TargetMode="External"/><Relationship Id="rId19" Type="http://schemas.openxmlformats.org/officeDocument/2006/relationships/hyperlink" Target="http://legisation.gov.uk/" TargetMode="External"/><Relationship Id="rId31" Type="http://schemas.openxmlformats.org/officeDocument/2006/relationships/hyperlink" Target="https://www.legislation.gov.uk/anaw/2015/2/contents" TargetMode="External"/><Relationship Id="rId4" Type="http://schemas.openxmlformats.org/officeDocument/2006/relationships/webSettings" Target="webSettings.xml"/><Relationship Id="rId9" Type="http://schemas.openxmlformats.org/officeDocument/2006/relationships/hyperlink" Target="https://www.legislation.gov.uk/ukpga/1989/41/contents" TargetMode="External"/><Relationship Id="rId14" Type="http://schemas.openxmlformats.org/officeDocument/2006/relationships/hyperlink" Target="https://www.legislation.gov.uk/ukpga/2010/15/section/13" TargetMode="External"/><Relationship Id="rId22" Type="http://schemas.openxmlformats.org/officeDocument/2006/relationships/hyperlink" Target="https://www.legislation.gov.uk/ukpga/2020/17/section/360/2020-12-01" TargetMode="External"/><Relationship Id="rId27" Type="http://schemas.openxmlformats.org/officeDocument/2006/relationships/hyperlink" Target="https://www.nhs.uk/live-well/eat-well/food-guidelines-and-food-labels/the-eatwell-guide/" TargetMode="External"/><Relationship Id="rId30" Type="http://schemas.openxmlformats.org/officeDocument/2006/relationships/hyperlink" Target="https://www.legislation.gov.uk/anaw/2014/4/contents" TargetMode="External"/><Relationship Id="rId35" Type="http://schemas.openxmlformats.org/officeDocument/2006/relationships/theme" Target="theme/theme1.xml"/><Relationship Id="rId8" Type="http://schemas.openxmlformats.org/officeDocument/2006/relationships/hyperlink" Target="https://childlawadv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5745</Words>
  <Characters>32747</Characters>
  <Application>Microsoft Office Word</Application>
  <DocSecurity>0</DocSecurity>
  <Lines>272</Lines>
  <Paragraphs>76</Paragraphs>
  <ScaleCrop>false</ScaleCrop>
  <Company/>
  <LinksUpToDate>false</LinksUpToDate>
  <CharactersWithSpaces>38416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Gemma Wemyss</cp:lastModifiedBy>
  <cp:revision>4</cp:revision>
  <cp:lastPrinted>2025-07-07T14:53:00Z</cp:lastPrinted>
  <dcterms:created xsi:type="dcterms:W3CDTF">2025-07-07T17:05:00Z</dcterms:created>
  <dcterms:modified xsi:type="dcterms:W3CDTF">2025-07-07T17:11:00Z</dcterms:modified>
</cp:coreProperties>
</file>