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12EF" w:rsidRDefault="00E24314">
      <w:pPr>
        <w:rPr>
          <w:rFonts w:ascii="Myriad Pro" w:hAnsi="Myriad Pro"/>
          <w:b/>
          <w:sz w:val="24"/>
          <w:u w:val="single"/>
        </w:rPr>
      </w:pPr>
      <w:bookmarkStart w:id="0" w:name="_GoBack"/>
      <w:bookmarkEnd w:id="0"/>
      <w:r w:rsidRPr="00E24314">
        <w:rPr>
          <w:rFonts w:ascii="Myriad Pro" w:hAnsi="Myriad Pro"/>
          <w:b/>
          <w:sz w:val="24"/>
          <w:u w:val="single"/>
        </w:rPr>
        <w:t xml:space="preserve">Discipline and Grievance </w:t>
      </w:r>
    </w:p>
    <w:p w:rsidR="00E24314" w:rsidRPr="00E24314" w:rsidRDefault="00E24314">
      <w:pPr>
        <w:rPr>
          <w:rFonts w:ascii="Myriad Pro" w:hAnsi="Myriad Pro"/>
          <w:b/>
          <w:sz w:val="24"/>
          <w:u w:val="single"/>
        </w:rPr>
      </w:pPr>
    </w:p>
    <w:p w:rsidR="00F124F2" w:rsidRPr="009B5E0F" w:rsidRDefault="00F124F2" w:rsidP="00F124F2">
      <w:pPr>
        <w:rPr>
          <w:rFonts w:asciiTheme="minorHAnsi" w:hAnsiTheme="minorHAnsi"/>
          <w:b/>
          <w:bCs/>
          <w:color w:val="212121"/>
          <w:sz w:val="24"/>
        </w:rPr>
      </w:pPr>
      <w:r w:rsidRPr="009B5E0F">
        <w:rPr>
          <w:rFonts w:asciiTheme="minorHAnsi" w:hAnsiTheme="minorHAnsi"/>
          <w:b/>
          <w:bCs/>
          <w:color w:val="212121"/>
          <w:sz w:val="24"/>
        </w:rPr>
        <w:t xml:space="preserve">Contents </w:t>
      </w:r>
    </w:p>
    <w:p w:rsidR="00F124F2" w:rsidRPr="009B5E0F" w:rsidRDefault="00F124F2" w:rsidP="00F124F2">
      <w:pPr>
        <w:rPr>
          <w:rFonts w:asciiTheme="minorHAnsi" w:hAnsiTheme="minorHAnsi"/>
          <w:sz w:val="24"/>
        </w:rPr>
      </w:pPr>
      <w:r w:rsidRPr="009B5E0F">
        <w:rPr>
          <w:rFonts w:asciiTheme="minorHAnsi" w:hAnsiTheme="minorHAnsi"/>
          <w:noProof/>
          <w:sz w:val="24"/>
        </w:rPr>
        <w:drawing>
          <wp:inline distT="0" distB="0" distL="0" distR="0">
            <wp:extent cx="114300" cy="123825"/>
            <wp:effectExtent l="19050" t="0" r="0" b="0"/>
            <wp:docPr id="2" name="Picture 2" descr="http://uk.practicallaw.com/presentation/images/common/noExpandTopi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k.practicallaw.com/presentation/images/common/noExpandTopic.gif"/>
                    <pic:cNvPicPr>
                      <a:picLocks noChangeAspect="1" noChangeArrowheads="1"/>
                    </pic:cNvPicPr>
                  </pic:nvPicPr>
                  <pic:blipFill>
                    <a:blip r:embed="rId6" cstate="print"/>
                    <a:srcRect/>
                    <a:stretch>
                      <a:fillRect/>
                    </a:stretch>
                  </pic:blipFill>
                  <pic:spPr bwMode="auto">
                    <a:xfrm>
                      <a:off x="0" y="0"/>
                      <a:ext cx="114300" cy="123825"/>
                    </a:xfrm>
                    <a:prstGeom prst="rect">
                      <a:avLst/>
                    </a:prstGeom>
                    <a:noFill/>
                    <a:ln w="9525">
                      <a:noFill/>
                      <a:miter lim="800000"/>
                      <a:headEnd/>
                      <a:tailEnd/>
                    </a:ln>
                  </pic:spPr>
                </pic:pic>
              </a:graphicData>
            </a:graphic>
          </wp:inline>
        </w:drawing>
      </w:r>
      <w:hyperlink r:id="rId7" w:anchor="a152953" w:history="1">
        <w:r w:rsidRPr="009B5E0F">
          <w:rPr>
            <w:rFonts w:asciiTheme="minorHAnsi" w:hAnsiTheme="minorHAnsi"/>
            <w:color w:val="005A84"/>
            <w:sz w:val="24"/>
          </w:rPr>
          <w:t>Key legal principles</w:t>
        </w:r>
      </w:hyperlink>
    </w:p>
    <w:p w:rsidR="00F124F2" w:rsidRPr="009B5E0F" w:rsidRDefault="00F124F2" w:rsidP="00F124F2">
      <w:pPr>
        <w:rPr>
          <w:rFonts w:asciiTheme="minorHAnsi" w:hAnsiTheme="minorHAnsi"/>
          <w:sz w:val="24"/>
        </w:rPr>
      </w:pPr>
      <w:r w:rsidRPr="009B5E0F">
        <w:rPr>
          <w:rFonts w:asciiTheme="minorHAnsi" w:hAnsiTheme="minorHAnsi"/>
          <w:noProof/>
          <w:sz w:val="24"/>
        </w:rPr>
        <w:drawing>
          <wp:inline distT="0" distB="0" distL="0" distR="0">
            <wp:extent cx="66675" cy="114300"/>
            <wp:effectExtent l="19050" t="0" r="9525" b="0"/>
            <wp:docPr id="3" name="Picture 3" descr="http://uk.practicallaw.com/presentation/images/common/listBull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k.practicallaw.com/presentation/images/common/listBullet.gif"/>
                    <pic:cNvPicPr>
                      <a:picLocks noChangeAspect="1" noChangeArrowheads="1"/>
                    </pic:cNvPicPr>
                  </pic:nvPicPr>
                  <pic:blipFill>
                    <a:blip r:embed="rId8" cstate="print"/>
                    <a:srcRect/>
                    <a:stretch>
                      <a:fillRect/>
                    </a:stretch>
                  </pic:blipFill>
                  <pic:spPr bwMode="auto">
                    <a:xfrm>
                      <a:off x="0" y="0"/>
                      <a:ext cx="66675" cy="114300"/>
                    </a:xfrm>
                    <a:prstGeom prst="rect">
                      <a:avLst/>
                    </a:prstGeom>
                    <a:noFill/>
                    <a:ln w="9525">
                      <a:noFill/>
                      <a:miter lim="800000"/>
                      <a:headEnd/>
                      <a:tailEnd/>
                    </a:ln>
                  </pic:spPr>
                </pic:pic>
              </a:graphicData>
            </a:graphic>
          </wp:inline>
        </w:drawing>
      </w:r>
      <w:hyperlink r:id="rId9" w:anchor="a470408" w:history="1">
        <w:proofErr w:type="spellStart"/>
        <w:r w:rsidRPr="009B5E0F">
          <w:rPr>
            <w:rFonts w:asciiTheme="minorHAnsi" w:hAnsiTheme="minorHAnsi"/>
            <w:color w:val="005A84"/>
            <w:sz w:val="24"/>
          </w:rPr>
          <w:t>Acas</w:t>
        </w:r>
        <w:proofErr w:type="spellEnd"/>
        <w:r w:rsidRPr="009B5E0F">
          <w:rPr>
            <w:rFonts w:asciiTheme="minorHAnsi" w:hAnsiTheme="minorHAnsi"/>
            <w:color w:val="005A84"/>
            <w:sz w:val="24"/>
          </w:rPr>
          <w:t xml:space="preserve"> Code of Practice</w:t>
        </w:r>
      </w:hyperlink>
    </w:p>
    <w:p w:rsidR="00F124F2" w:rsidRPr="009B5E0F" w:rsidRDefault="00F124F2" w:rsidP="00F124F2">
      <w:pPr>
        <w:rPr>
          <w:rFonts w:asciiTheme="minorHAnsi" w:hAnsiTheme="minorHAnsi"/>
          <w:sz w:val="24"/>
        </w:rPr>
      </w:pPr>
      <w:r w:rsidRPr="009B5E0F">
        <w:rPr>
          <w:rFonts w:asciiTheme="minorHAnsi" w:hAnsiTheme="minorHAnsi"/>
          <w:noProof/>
          <w:sz w:val="24"/>
        </w:rPr>
        <w:drawing>
          <wp:inline distT="0" distB="0" distL="0" distR="0">
            <wp:extent cx="66675" cy="114300"/>
            <wp:effectExtent l="19050" t="0" r="9525" b="0"/>
            <wp:docPr id="4" name="Picture 4" descr="http://uk.practicallaw.com/presentation/images/common/listBull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uk.practicallaw.com/presentation/images/common/listBullet.gif"/>
                    <pic:cNvPicPr>
                      <a:picLocks noChangeAspect="1" noChangeArrowheads="1"/>
                    </pic:cNvPicPr>
                  </pic:nvPicPr>
                  <pic:blipFill>
                    <a:blip r:embed="rId8" cstate="print"/>
                    <a:srcRect/>
                    <a:stretch>
                      <a:fillRect/>
                    </a:stretch>
                  </pic:blipFill>
                  <pic:spPr bwMode="auto">
                    <a:xfrm>
                      <a:off x="0" y="0"/>
                      <a:ext cx="66675" cy="114300"/>
                    </a:xfrm>
                    <a:prstGeom prst="rect">
                      <a:avLst/>
                    </a:prstGeom>
                    <a:noFill/>
                    <a:ln w="9525">
                      <a:noFill/>
                      <a:miter lim="800000"/>
                      <a:headEnd/>
                      <a:tailEnd/>
                    </a:ln>
                  </pic:spPr>
                </pic:pic>
              </a:graphicData>
            </a:graphic>
          </wp:inline>
        </w:drawing>
      </w:r>
      <w:hyperlink r:id="rId10" w:anchor="a207420" w:history="1"/>
      <w:hyperlink r:id="rId11" w:anchor="a143342" w:history="1">
        <w:r w:rsidRPr="009B5E0F">
          <w:rPr>
            <w:rFonts w:asciiTheme="minorHAnsi" w:hAnsiTheme="minorHAnsi"/>
            <w:color w:val="005A84"/>
            <w:sz w:val="24"/>
          </w:rPr>
          <w:t>Is formal action necessary?</w:t>
        </w:r>
      </w:hyperlink>
    </w:p>
    <w:p w:rsidR="00F124F2" w:rsidRPr="009B5E0F" w:rsidRDefault="00F124F2" w:rsidP="00F124F2">
      <w:pPr>
        <w:rPr>
          <w:rFonts w:asciiTheme="minorHAnsi" w:hAnsiTheme="minorHAnsi"/>
          <w:sz w:val="24"/>
        </w:rPr>
      </w:pPr>
      <w:r w:rsidRPr="009B5E0F">
        <w:rPr>
          <w:rFonts w:asciiTheme="minorHAnsi" w:hAnsiTheme="minorHAnsi"/>
          <w:noProof/>
          <w:sz w:val="24"/>
        </w:rPr>
        <w:drawing>
          <wp:inline distT="0" distB="0" distL="0" distR="0">
            <wp:extent cx="66675" cy="114300"/>
            <wp:effectExtent l="19050" t="0" r="9525" b="0"/>
            <wp:docPr id="6" name="Picture 6" descr="http://uk.practicallaw.com/presentation/images/common/listBull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uk.practicallaw.com/presentation/images/common/listBullet.gif"/>
                    <pic:cNvPicPr>
                      <a:picLocks noChangeAspect="1" noChangeArrowheads="1"/>
                    </pic:cNvPicPr>
                  </pic:nvPicPr>
                  <pic:blipFill>
                    <a:blip r:embed="rId8" cstate="print"/>
                    <a:srcRect/>
                    <a:stretch>
                      <a:fillRect/>
                    </a:stretch>
                  </pic:blipFill>
                  <pic:spPr bwMode="auto">
                    <a:xfrm>
                      <a:off x="0" y="0"/>
                      <a:ext cx="66675" cy="114300"/>
                    </a:xfrm>
                    <a:prstGeom prst="rect">
                      <a:avLst/>
                    </a:prstGeom>
                    <a:noFill/>
                    <a:ln w="9525">
                      <a:noFill/>
                      <a:miter lim="800000"/>
                      <a:headEnd/>
                      <a:tailEnd/>
                    </a:ln>
                  </pic:spPr>
                </pic:pic>
              </a:graphicData>
            </a:graphic>
          </wp:inline>
        </w:drawing>
      </w:r>
      <w:hyperlink r:id="rId12" w:anchor="a949233" w:history="1">
        <w:r w:rsidRPr="009B5E0F">
          <w:rPr>
            <w:rFonts w:asciiTheme="minorHAnsi" w:hAnsiTheme="minorHAnsi"/>
            <w:color w:val="005A84"/>
            <w:sz w:val="24"/>
          </w:rPr>
          <w:t>Informal discussions and warnings</w:t>
        </w:r>
      </w:hyperlink>
    </w:p>
    <w:p w:rsidR="00F124F2" w:rsidRPr="009B5E0F" w:rsidRDefault="00F124F2" w:rsidP="00F124F2">
      <w:pPr>
        <w:rPr>
          <w:rFonts w:asciiTheme="minorHAnsi" w:hAnsiTheme="minorHAnsi"/>
          <w:sz w:val="24"/>
        </w:rPr>
      </w:pPr>
      <w:r w:rsidRPr="009B5E0F">
        <w:rPr>
          <w:rFonts w:asciiTheme="minorHAnsi" w:hAnsiTheme="minorHAnsi"/>
          <w:noProof/>
          <w:sz w:val="24"/>
        </w:rPr>
        <w:drawing>
          <wp:inline distT="0" distB="0" distL="0" distR="0">
            <wp:extent cx="66675" cy="114300"/>
            <wp:effectExtent l="19050" t="0" r="9525" b="0"/>
            <wp:docPr id="7" name="Picture 7" descr="http://uk.practicallaw.com/presentation/images/common/listBull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uk.practicallaw.com/presentation/images/common/listBullet.gif"/>
                    <pic:cNvPicPr>
                      <a:picLocks noChangeAspect="1" noChangeArrowheads="1"/>
                    </pic:cNvPicPr>
                  </pic:nvPicPr>
                  <pic:blipFill>
                    <a:blip r:embed="rId8" cstate="print"/>
                    <a:srcRect/>
                    <a:stretch>
                      <a:fillRect/>
                    </a:stretch>
                  </pic:blipFill>
                  <pic:spPr bwMode="auto">
                    <a:xfrm>
                      <a:off x="0" y="0"/>
                      <a:ext cx="66675" cy="114300"/>
                    </a:xfrm>
                    <a:prstGeom prst="rect">
                      <a:avLst/>
                    </a:prstGeom>
                    <a:noFill/>
                    <a:ln w="9525">
                      <a:noFill/>
                      <a:miter lim="800000"/>
                      <a:headEnd/>
                      <a:tailEnd/>
                    </a:ln>
                  </pic:spPr>
                </pic:pic>
              </a:graphicData>
            </a:graphic>
          </wp:inline>
        </w:drawing>
      </w:r>
      <w:hyperlink r:id="rId13" w:anchor="a469805" w:history="1">
        <w:r w:rsidRPr="009B5E0F">
          <w:rPr>
            <w:rFonts w:asciiTheme="minorHAnsi" w:hAnsiTheme="minorHAnsi"/>
            <w:color w:val="005A84"/>
            <w:sz w:val="24"/>
          </w:rPr>
          <w:t>Suggested informal steps</w:t>
        </w:r>
      </w:hyperlink>
    </w:p>
    <w:p w:rsidR="00F124F2" w:rsidRPr="009B5E0F" w:rsidRDefault="00F124F2" w:rsidP="00F124F2">
      <w:pPr>
        <w:rPr>
          <w:rFonts w:asciiTheme="minorHAnsi" w:hAnsiTheme="minorHAnsi"/>
          <w:sz w:val="24"/>
        </w:rPr>
      </w:pPr>
      <w:r w:rsidRPr="009B5E0F">
        <w:rPr>
          <w:rFonts w:asciiTheme="minorHAnsi" w:hAnsiTheme="minorHAnsi"/>
          <w:noProof/>
          <w:sz w:val="24"/>
        </w:rPr>
        <w:drawing>
          <wp:inline distT="0" distB="0" distL="0" distR="0">
            <wp:extent cx="66675" cy="114300"/>
            <wp:effectExtent l="19050" t="0" r="9525" b="0"/>
            <wp:docPr id="8" name="Picture 8" descr="http://uk.practicallaw.com/presentation/images/common/listBull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uk.practicallaw.com/presentation/images/common/listBullet.gif"/>
                    <pic:cNvPicPr>
                      <a:picLocks noChangeAspect="1" noChangeArrowheads="1"/>
                    </pic:cNvPicPr>
                  </pic:nvPicPr>
                  <pic:blipFill>
                    <a:blip r:embed="rId8" cstate="print"/>
                    <a:srcRect/>
                    <a:stretch>
                      <a:fillRect/>
                    </a:stretch>
                  </pic:blipFill>
                  <pic:spPr bwMode="auto">
                    <a:xfrm>
                      <a:off x="0" y="0"/>
                      <a:ext cx="66675" cy="114300"/>
                    </a:xfrm>
                    <a:prstGeom prst="rect">
                      <a:avLst/>
                    </a:prstGeom>
                    <a:noFill/>
                    <a:ln w="9525">
                      <a:noFill/>
                      <a:miter lim="800000"/>
                      <a:headEnd/>
                      <a:tailEnd/>
                    </a:ln>
                  </pic:spPr>
                </pic:pic>
              </a:graphicData>
            </a:graphic>
          </wp:inline>
        </w:drawing>
      </w:r>
      <w:hyperlink r:id="rId14" w:anchor="a360287" w:history="1">
        <w:r w:rsidRPr="009B5E0F">
          <w:rPr>
            <w:rFonts w:asciiTheme="minorHAnsi" w:hAnsiTheme="minorHAnsi"/>
            <w:color w:val="005A84"/>
            <w:sz w:val="24"/>
          </w:rPr>
          <w:t>Employer may need to reserve its position</w:t>
        </w:r>
      </w:hyperlink>
    </w:p>
    <w:p w:rsidR="00F124F2" w:rsidRPr="009B5E0F" w:rsidRDefault="00F124F2" w:rsidP="00F124F2">
      <w:pPr>
        <w:rPr>
          <w:rFonts w:asciiTheme="minorHAnsi" w:hAnsiTheme="minorHAnsi"/>
          <w:sz w:val="24"/>
        </w:rPr>
      </w:pPr>
      <w:r w:rsidRPr="009B5E0F">
        <w:rPr>
          <w:rFonts w:asciiTheme="minorHAnsi" w:hAnsiTheme="minorHAnsi"/>
          <w:noProof/>
          <w:sz w:val="24"/>
        </w:rPr>
        <w:drawing>
          <wp:inline distT="0" distB="0" distL="0" distR="0">
            <wp:extent cx="114300" cy="123825"/>
            <wp:effectExtent l="19050" t="0" r="0" b="0"/>
            <wp:docPr id="9" name="Picture 9" descr="http://uk.practicallaw.com/presentation/images/common/noExpandTopi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uk.practicallaw.com/presentation/images/common/noExpandTopic.gif"/>
                    <pic:cNvPicPr>
                      <a:picLocks noChangeAspect="1" noChangeArrowheads="1"/>
                    </pic:cNvPicPr>
                  </pic:nvPicPr>
                  <pic:blipFill>
                    <a:blip r:embed="rId6" cstate="print"/>
                    <a:srcRect/>
                    <a:stretch>
                      <a:fillRect/>
                    </a:stretch>
                  </pic:blipFill>
                  <pic:spPr bwMode="auto">
                    <a:xfrm>
                      <a:off x="0" y="0"/>
                      <a:ext cx="114300" cy="123825"/>
                    </a:xfrm>
                    <a:prstGeom prst="rect">
                      <a:avLst/>
                    </a:prstGeom>
                    <a:noFill/>
                    <a:ln w="9525">
                      <a:noFill/>
                      <a:miter lim="800000"/>
                      <a:headEnd/>
                      <a:tailEnd/>
                    </a:ln>
                  </pic:spPr>
                </pic:pic>
              </a:graphicData>
            </a:graphic>
          </wp:inline>
        </w:drawing>
      </w:r>
      <w:hyperlink r:id="rId15" w:anchor="a730805" w:history="1">
        <w:r w:rsidRPr="009B5E0F">
          <w:rPr>
            <w:rFonts w:asciiTheme="minorHAnsi" w:hAnsiTheme="minorHAnsi"/>
            <w:color w:val="005A84"/>
            <w:sz w:val="24"/>
          </w:rPr>
          <w:t>The investigation</w:t>
        </w:r>
      </w:hyperlink>
    </w:p>
    <w:p w:rsidR="00F124F2" w:rsidRPr="009B5E0F" w:rsidRDefault="00F124F2" w:rsidP="00F124F2">
      <w:pPr>
        <w:rPr>
          <w:rFonts w:asciiTheme="minorHAnsi" w:hAnsiTheme="minorHAnsi"/>
          <w:sz w:val="24"/>
        </w:rPr>
      </w:pPr>
      <w:r w:rsidRPr="009B5E0F">
        <w:rPr>
          <w:rFonts w:asciiTheme="minorHAnsi" w:hAnsiTheme="minorHAnsi"/>
          <w:noProof/>
          <w:sz w:val="24"/>
        </w:rPr>
        <w:drawing>
          <wp:inline distT="0" distB="0" distL="0" distR="0">
            <wp:extent cx="66675" cy="114300"/>
            <wp:effectExtent l="19050" t="0" r="9525" b="0"/>
            <wp:docPr id="10" name="Picture 10" descr="http://uk.practicallaw.com/presentation/images/common/listBull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uk.practicallaw.com/presentation/images/common/listBullet.gif"/>
                    <pic:cNvPicPr>
                      <a:picLocks noChangeAspect="1" noChangeArrowheads="1"/>
                    </pic:cNvPicPr>
                  </pic:nvPicPr>
                  <pic:blipFill>
                    <a:blip r:embed="rId8" cstate="print"/>
                    <a:srcRect/>
                    <a:stretch>
                      <a:fillRect/>
                    </a:stretch>
                  </pic:blipFill>
                  <pic:spPr bwMode="auto">
                    <a:xfrm>
                      <a:off x="0" y="0"/>
                      <a:ext cx="66675" cy="114300"/>
                    </a:xfrm>
                    <a:prstGeom prst="rect">
                      <a:avLst/>
                    </a:prstGeom>
                    <a:noFill/>
                    <a:ln w="9525">
                      <a:noFill/>
                      <a:miter lim="800000"/>
                      <a:headEnd/>
                      <a:tailEnd/>
                    </a:ln>
                  </pic:spPr>
                </pic:pic>
              </a:graphicData>
            </a:graphic>
          </wp:inline>
        </w:drawing>
      </w:r>
      <w:hyperlink r:id="rId16" w:anchor="a593719" w:history="1">
        <w:r w:rsidRPr="009B5E0F">
          <w:rPr>
            <w:rFonts w:asciiTheme="minorHAnsi" w:hAnsiTheme="minorHAnsi"/>
            <w:color w:val="005A84"/>
            <w:sz w:val="24"/>
          </w:rPr>
          <w:t>How much investigation is required?</w:t>
        </w:r>
      </w:hyperlink>
    </w:p>
    <w:p w:rsidR="00F124F2" w:rsidRPr="009B5E0F" w:rsidRDefault="00F124F2" w:rsidP="00F124F2">
      <w:pPr>
        <w:rPr>
          <w:rFonts w:asciiTheme="minorHAnsi" w:hAnsiTheme="minorHAnsi"/>
          <w:sz w:val="24"/>
        </w:rPr>
      </w:pPr>
      <w:r w:rsidRPr="009B5E0F">
        <w:rPr>
          <w:rFonts w:asciiTheme="minorHAnsi" w:hAnsiTheme="minorHAnsi"/>
          <w:noProof/>
          <w:sz w:val="24"/>
        </w:rPr>
        <w:drawing>
          <wp:inline distT="0" distB="0" distL="0" distR="0">
            <wp:extent cx="66675" cy="114300"/>
            <wp:effectExtent l="19050" t="0" r="9525" b="0"/>
            <wp:docPr id="11" name="Picture 11" descr="http://uk.practicallaw.com/presentation/images/common/listBull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uk.practicallaw.com/presentation/images/common/listBullet.gif"/>
                    <pic:cNvPicPr>
                      <a:picLocks noChangeAspect="1" noChangeArrowheads="1"/>
                    </pic:cNvPicPr>
                  </pic:nvPicPr>
                  <pic:blipFill>
                    <a:blip r:embed="rId8" cstate="print"/>
                    <a:srcRect/>
                    <a:stretch>
                      <a:fillRect/>
                    </a:stretch>
                  </pic:blipFill>
                  <pic:spPr bwMode="auto">
                    <a:xfrm>
                      <a:off x="0" y="0"/>
                      <a:ext cx="66675" cy="114300"/>
                    </a:xfrm>
                    <a:prstGeom prst="rect">
                      <a:avLst/>
                    </a:prstGeom>
                    <a:noFill/>
                    <a:ln w="9525">
                      <a:noFill/>
                      <a:miter lim="800000"/>
                      <a:headEnd/>
                      <a:tailEnd/>
                    </a:ln>
                  </pic:spPr>
                </pic:pic>
              </a:graphicData>
            </a:graphic>
          </wp:inline>
        </w:drawing>
      </w:r>
      <w:hyperlink r:id="rId17" w:anchor="a509591" w:history="1">
        <w:r w:rsidRPr="009B5E0F">
          <w:rPr>
            <w:rFonts w:asciiTheme="minorHAnsi" w:hAnsiTheme="minorHAnsi"/>
            <w:color w:val="005A84"/>
            <w:sz w:val="24"/>
          </w:rPr>
          <w:t>Confidentiality</w:t>
        </w:r>
      </w:hyperlink>
    </w:p>
    <w:p w:rsidR="00F124F2" w:rsidRPr="009B5E0F" w:rsidRDefault="00F124F2" w:rsidP="00F124F2">
      <w:pPr>
        <w:rPr>
          <w:rFonts w:asciiTheme="minorHAnsi" w:hAnsiTheme="minorHAnsi"/>
          <w:sz w:val="24"/>
        </w:rPr>
      </w:pPr>
      <w:r w:rsidRPr="009B5E0F">
        <w:rPr>
          <w:rFonts w:asciiTheme="minorHAnsi" w:hAnsiTheme="minorHAnsi"/>
          <w:noProof/>
          <w:sz w:val="24"/>
        </w:rPr>
        <w:drawing>
          <wp:inline distT="0" distB="0" distL="0" distR="0">
            <wp:extent cx="66675" cy="114300"/>
            <wp:effectExtent l="19050" t="0" r="9525" b="0"/>
            <wp:docPr id="12" name="Picture 12" descr="http://uk.practicallaw.com/presentation/images/common/listBull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uk.practicallaw.com/presentation/images/common/listBullet.gif"/>
                    <pic:cNvPicPr>
                      <a:picLocks noChangeAspect="1" noChangeArrowheads="1"/>
                    </pic:cNvPicPr>
                  </pic:nvPicPr>
                  <pic:blipFill>
                    <a:blip r:embed="rId8" cstate="print"/>
                    <a:srcRect/>
                    <a:stretch>
                      <a:fillRect/>
                    </a:stretch>
                  </pic:blipFill>
                  <pic:spPr bwMode="auto">
                    <a:xfrm>
                      <a:off x="0" y="0"/>
                      <a:ext cx="66675" cy="114300"/>
                    </a:xfrm>
                    <a:prstGeom prst="rect">
                      <a:avLst/>
                    </a:prstGeom>
                    <a:noFill/>
                    <a:ln w="9525">
                      <a:noFill/>
                      <a:miter lim="800000"/>
                      <a:headEnd/>
                      <a:tailEnd/>
                    </a:ln>
                  </pic:spPr>
                </pic:pic>
              </a:graphicData>
            </a:graphic>
          </wp:inline>
        </w:drawing>
      </w:r>
      <w:hyperlink r:id="rId18" w:anchor="a588405" w:history="1">
        <w:r w:rsidRPr="009B5E0F">
          <w:rPr>
            <w:rFonts w:asciiTheme="minorHAnsi" w:hAnsiTheme="minorHAnsi"/>
            <w:color w:val="005A84"/>
            <w:sz w:val="24"/>
          </w:rPr>
          <w:t>Who should conduct the investigation?</w:t>
        </w:r>
      </w:hyperlink>
    </w:p>
    <w:p w:rsidR="00F124F2" w:rsidRPr="009B5E0F" w:rsidRDefault="00F124F2" w:rsidP="00F124F2">
      <w:pPr>
        <w:rPr>
          <w:rFonts w:asciiTheme="minorHAnsi" w:hAnsiTheme="minorHAnsi"/>
          <w:sz w:val="24"/>
        </w:rPr>
      </w:pPr>
      <w:r w:rsidRPr="009B5E0F">
        <w:rPr>
          <w:rFonts w:asciiTheme="minorHAnsi" w:hAnsiTheme="minorHAnsi"/>
          <w:noProof/>
          <w:sz w:val="24"/>
        </w:rPr>
        <w:drawing>
          <wp:inline distT="0" distB="0" distL="0" distR="0">
            <wp:extent cx="66675" cy="114300"/>
            <wp:effectExtent l="19050" t="0" r="9525" b="0"/>
            <wp:docPr id="13" name="Picture 13" descr="http://uk.practicallaw.com/presentation/images/common/listBull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uk.practicallaw.com/presentation/images/common/listBullet.gif"/>
                    <pic:cNvPicPr>
                      <a:picLocks noChangeAspect="1" noChangeArrowheads="1"/>
                    </pic:cNvPicPr>
                  </pic:nvPicPr>
                  <pic:blipFill>
                    <a:blip r:embed="rId8" cstate="print"/>
                    <a:srcRect/>
                    <a:stretch>
                      <a:fillRect/>
                    </a:stretch>
                  </pic:blipFill>
                  <pic:spPr bwMode="auto">
                    <a:xfrm>
                      <a:off x="0" y="0"/>
                      <a:ext cx="66675" cy="114300"/>
                    </a:xfrm>
                    <a:prstGeom prst="rect">
                      <a:avLst/>
                    </a:prstGeom>
                    <a:noFill/>
                    <a:ln w="9525">
                      <a:noFill/>
                      <a:miter lim="800000"/>
                      <a:headEnd/>
                      <a:tailEnd/>
                    </a:ln>
                  </pic:spPr>
                </pic:pic>
              </a:graphicData>
            </a:graphic>
          </wp:inline>
        </w:drawing>
      </w:r>
      <w:hyperlink r:id="rId19" w:anchor="a86383" w:history="1">
        <w:r w:rsidRPr="009B5E0F">
          <w:rPr>
            <w:rFonts w:asciiTheme="minorHAnsi" w:hAnsiTheme="minorHAnsi"/>
            <w:color w:val="005A84"/>
            <w:sz w:val="24"/>
          </w:rPr>
          <w:t>Suspension</w:t>
        </w:r>
      </w:hyperlink>
    </w:p>
    <w:p w:rsidR="00F124F2" w:rsidRPr="009B5E0F" w:rsidRDefault="00F124F2" w:rsidP="00F124F2">
      <w:pPr>
        <w:rPr>
          <w:rFonts w:asciiTheme="minorHAnsi" w:hAnsiTheme="minorHAnsi"/>
          <w:sz w:val="24"/>
        </w:rPr>
      </w:pPr>
      <w:r w:rsidRPr="009B5E0F">
        <w:rPr>
          <w:rFonts w:asciiTheme="minorHAnsi" w:hAnsiTheme="minorHAnsi"/>
          <w:noProof/>
          <w:sz w:val="24"/>
        </w:rPr>
        <w:drawing>
          <wp:inline distT="0" distB="0" distL="0" distR="0">
            <wp:extent cx="66675" cy="114300"/>
            <wp:effectExtent l="19050" t="0" r="9525" b="0"/>
            <wp:docPr id="14" name="Picture 14" descr="http://uk.practicallaw.com/presentation/images/common/listBull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uk.practicallaw.com/presentation/images/common/listBullet.gif"/>
                    <pic:cNvPicPr>
                      <a:picLocks noChangeAspect="1" noChangeArrowheads="1"/>
                    </pic:cNvPicPr>
                  </pic:nvPicPr>
                  <pic:blipFill>
                    <a:blip r:embed="rId8" cstate="print"/>
                    <a:srcRect/>
                    <a:stretch>
                      <a:fillRect/>
                    </a:stretch>
                  </pic:blipFill>
                  <pic:spPr bwMode="auto">
                    <a:xfrm>
                      <a:off x="0" y="0"/>
                      <a:ext cx="66675" cy="114300"/>
                    </a:xfrm>
                    <a:prstGeom prst="rect">
                      <a:avLst/>
                    </a:prstGeom>
                    <a:noFill/>
                    <a:ln w="9525">
                      <a:noFill/>
                      <a:miter lim="800000"/>
                      <a:headEnd/>
                      <a:tailEnd/>
                    </a:ln>
                  </pic:spPr>
                </pic:pic>
              </a:graphicData>
            </a:graphic>
          </wp:inline>
        </w:drawing>
      </w:r>
      <w:hyperlink r:id="rId20" w:anchor="a746351" w:history="1">
        <w:r w:rsidRPr="009B5E0F">
          <w:rPr>
            <w:rFonts w:asciiTheme="minorHAnsi" w:hAnsiTheme="minorHAnsi"/>
            <w:color w:val="005A84"/>
            <w:sz w:val="24"/>
          </w:rPr>
          <w:t>Obtaining the evidence</w:t>
        </w:r>
      </w:hyperlink>
    </w:p>
    <w:p w:rsidR="00F124F2" w:rsidRPr="009B5E0F" w:rsidRDefault="00F124F2" w:rsidP="00F124F2">
      <w:pPr>
        <w:rPr>
          <w:rFonts w:asciiTheme="minorHAnsi" w:hAnsiTheme="minorHAnsi"/>
          <w:sz w:val="24"/>
        </w:rPr>
      </w:pPr>
      <w:r w:rsidRPr="009B5E0F">
        <w:rPr>
          <w:rFonts w:asciiTheme="minorHAnsi" w:hAnsiTheme="minorHAnsi"/>
          <w:noProof/>
          <w:sz w:val="24"/>
        </w:rPr>
        <w:drawing>
          <wp:inline distT="0" distB="0" distL="0" distR="0">
            <wp:extent cx="66675" cy="114300"/>
            <wp:effectExtent l="19050" t="0" r="9525" b="0"/>
            <wp:docPr id="15" name="Picture 15" descr="http://uk.practicallaw.com/presentation/images/common/listBull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uk.practicallaw.com/presentation/images/common/listBullet.gif"/>
                    <pic:cNvPicPr>
                      <a:picLocks noChangeAspect="1" noChangeArrowheads="1"/>
                    </pic:cNvPicPr>
                  </pic:nvPicPr>
                  <pic:blipFill>
                    <a:blip r:embed="rId8" cstate="print"/>
                    <a:srcRect/>
                    <a:stretch>
                      <a:fillRect/>
                    </a:stretch>
                  </pic:blipFill>
                  <pic:spPr bwMode="auto">
                    <a:xfrm>
                      <a:off x="0" y="0"/>
                      <a:ext cx="66675" cy="114300"/>
                    </a:xfrm>
                    <a:prstGeom prst="rect">
                      <a:avLst/>
                    </a:prstGeom>
                    <a:noFill/>
                    <a:ln w="9525">
                      <a:noFill/>
                      <a:miter lim="800000"/>
                      <a:headEnd/>
                      <a:tailEnd/>
                    </a:ln>
                  </pic:spPr>
                </pic:pic>
              </a:graphicData>
            </a:graphic>
          </wp:inline>
        </w:drawing>
      </w:r>
      <w:hyperlink r:id="rId21" w:anchor="a628857" w:history="1">
        <w:r w:rsidRPr="009B5E0F">
          <w:rPr>
            <w:rFonts w:asciiTheme="minorHAnsi" w:hAnsiTheme="minorHAnsi"/>
            <w:color w:val="005A84"/>
            <w:sz w:val="24"/>
          </w:rPr>
          <w:t>Reluctant witnesses</w:t>
        </w:r>
      </w:hyperlink>
    </w:p>
    <w:p w:rsidR="00F124F2" w:rsidRPr="009B5E0F" w:rsidRDefault="00F124F2" w:rsidP="00F124F2">
      <w:pPr>
        <w:rPr>
          <w:rFonts w:asciiTheme="minorHAnsi" w:hAnsiTheme="minorHAnsi"/>
          <w:sz w:val="24"/>
        </w:rPr>
      </w:pPr>
      <w:r w:rsidRPr="009B5E0F">
        <w:rPr>
          <w:rFonts w:asciiTheme="minorHAnsi" w:hAnsiTheme="minorHAnsi"/>
          <w:noProof/>
          <w:sz w:val="24"/>
        </w:rPr>
        <w:drawing>
          <wp:inline distT="0" distB="0" distL="0" distR="0">
            <wp:extent cx="66675" cy="114300"/>
            <wp:effectExtent l="19050" t="0" r="9525" b="0"/>
            <wp:docPr id="16" name="Picture 16" descr="http://uk.practicallaw.com/presentation/images/common/listBull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uk.practicallaw.com/presentation/images/common/listBullet.gif"/>
                    <pic:cNvPicPr>
                      <a:picLocks noChangeAspect="1" noChangeArrowheads="1"/>
                    </pic:cNvPicPr>
                  </pic:nvPicPr>
                  <pic:blipFill>
                    <a:blip r:embed="rId8" cstate="print"/>
                    <a:srcRect/>
                    <a:stretch>
                      <a:fillRect/>
                    </a:stretch>
                  </pic:blipFill>
                  <pic:spPr bwMode="auto">
                    <a:xfrm>
                      <a:off x="0" y="0"/>
                      <a:ext cx="66675" cy="114300"/>
                    </a:xfrm>
                    <a:prstGeom prst="rect">
                      <a:avLst/>
                    </a:prstGeom>
                    <a:noFill/>
                    <a:ln w="9525">
                      <a:noFill/>
                      <a:miter lim="800000"/>
                      <a:headEnd/>
                      <a:tailEnd/>
                    </a:ln>
                  </pic:spPr>
                </pic:pic>
              </a:graphicData>
            </a:graphic>
          </wp:inline>
        </w:drawing>
      </w:r>
      <w:r w:rsidR="00376472" w:rsidRPr="009B5E0F">
        <w:rPr>
          <w:rFonts w:asciiTheme="minorHAnsi" w:hAnsiTheme="minorHAnsi"/>
          <w:noProof/>
          <w:sz w:val="24"/>
        </w:rPr>
        <w:t xml:space="preserve"> </w:t>
      </w:r>
      <w:r w:rsidRPr="009B5E0F">
        <w:rPr>
          <w:rFonts w:asciiTheme="minorHAnsi" w:hAnsiTheme="minorHAnsi"/>
          <w:noProof/>
          <w:sz w:val="24"/>
        </w:rPr>
        <w:drawing>
          <wp:inline distT="0" distB="0" distL="0" distR="0">
            <wp:extent cx="114300" cy="123825"/>
            <wp:effectExtent l="19050" t="0" r="0" b="0"/>
            <wp:docPr id="17" name="Picture 17" descr="http://uk.practicallaw.com/presentation/images/common/noExpandTopi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uk.practicallaw.com/presentation/images/common/noExpandTopic.gif"/>
                    <pic:cNvPicPr>
                      <a:picLocks noChangeAspect="1" noChangeArrowheads="1"/>
                    </pic:cNvPicPr>
                  </pic:nvPicPr>
                  <pic:blipFill>
                    <a:blip r:embed="rId6" cstate="print"/>
                    <a:srcRect/>
                    <a:stretch>
                      <a:fillRect/>
                    </a:stretch>
                  </pic:blipFill>
                  <pic:spPr bwMode="auto">
                    <a:xfrm>
                      <a:off x="0" y="0"/>
                      <a:ext cx="114300" cy="123825"/>
                    </a:xfrm>
                    <a:prstGeom prst="rect">
                      <a:avLst/>
                    </a:prstGeom>
                    <a:noFill/>
                    <a:ln w="9525">
                      <a:noFill/>
                      <a:miter lim="800000"/>
                      <a:headEnd/>
                      <a:tailEnd/>
                    </a:ln>
                  </pic:spPr>
                </pic:pic>
              </a:graphicData>
            </a:graphic>
          </wp:inline>
        </w:drawing>
      </w:r>
      <w:hyperlink r:id="rId22" w:anchor="a881108" w:history="1">
        <w:r w:rsidRPr="009B5E0F">
          <w:rPr>
            <w:rFonts w:asciiTheme="minorHAnsi" w:hAnsiTheme="minorHAnsi"/>
            <w:color w:val="005A84"/>
            <w:sz w:val="24"/>
          </w:rPr>
          <w:t>Information to be given to the employee before the disciplinary hearing</w:t>
        </w:r>
      </w:hyperlink>
    </w:p>
    <w:p w:rsidR="00F124F2" w:rsidRPr="009B5E0F" w:rsidRDefault="00F124F2" w:rsidP="00F124F2">
      <w:pPr>
        <w:rPr>
          <w:rFonts w:asciiTheme="minorHAnsi" w:hAnsiTheme="minorHAnsi"/>
          <w:sz w:val="24"/>
        </w:rPr>
      </w:pPr>
      <w:r w:rsidRPr="009B5E0F">
        <w:rPr>
          <w:rFonts w:asciiTheme="minorHAnsi" w:hAnsiTheme="minorHAnsi"/>
          <w:noProof/>
          <w:sz w:val="24"/>
        </w:rPr>
        <w:drawing>
          <wp:inline distT="0" distB="0" distL="0" distR="0">
            <wp:extent cx="66675" cy="114300"/>
            <wp:effectExtent l="19050" t="0" r="9525" b="0"/>
            <wp:docPr id="18" name="Picture 18" descr="http://uk.practicallaw.com/presentation/images/common/listBull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uk.practicallaw.com/presentation/images/common/listBullet.gif"/>
                    <pic:cNvPicPr>
                      <a:picLocks noChangeAspect="1" noChangeArrowheads="1"/>
                    </pic:cNvPicPr>
                  </pic:nvPicPr>
                  <pic:blipFill>
                    <a:blip r:embed="rId8" cstate="print"/>
                    <a:srcRect/>
                    <a:stretch>
                      <a:fillRect/>
                    </a:stretch>
                  </pic:blipFill>
                  <pic:spPr bwMode="auto">
                    <a:xfrm>
                      <a:off x="0" y="0"/>
                      <a:ext cx="66675" cy="114300"/>
                    </a:xfrm>
                    <a:prstGeom prst="rect">
                      <a:avLst/>
                    </a:prstGeom>
                    <a:noFill/>
                    <a:ln w="9525">
                      <a:noFill/>
                      <a:miter lim="800000"/>
                      <a:headEnd/>
                      <a:tailEnd/>
                    </a:ln>
                  </pic:spPr>
                </pic:pic>
              </a:graphicData>
            </a:graphic>
          </wp:inline>
        </w:drawing>
      </w:r>
      <w:hyperlink r:id="rId23" w:anchor="a778421" w:history="1">
        <w:r w:rsidRPr="009B5E0F">
          <w:rPr>
            <w:rFonts w:asciiTheme="minorHAnsi" w:hAnsiTheme="minorHAnsi"/>
            <w:color w:val="005A84"/>
            <w:sz w:val="24"/>
          </w:rPr>
          <w:t>Setting out the case against the employee</w:t>
        </w:r>
      </w:hyperlink>
    </w:p>
    <w:p w:rsidR="00F124F2" w:rsidRPr="009B5E0F" w:rsidRDefault="00F124F2" w:rsidP="00F124F2">
      <w:pPr>
        <w:rPr>
          <w:rFonts w:asciiTheme="minorHAnsi" w:hAnsiTheme="minorHAnsi"/>
          <w:sz w:val="24"/>
        </w:rPr>
      </w:pPr>
      <w:r w:rsidRPr="009B5E0F">
        <w:rPr>
          <w:rFonts w:asciiTheme="minorHAnsi" w:hAnsiTheme="minorHAnsi"/>
          <w:noProof/>
          <w:sz w:val="24"/>
        </w:rPr>
        <w:drawing>
          <wp:inline distT="0" distB="0" distL="0" distR="0">
            <wp:extent cx="66675" cy="114300"/>
            <wp:effectExtent l="19050" t="0" r="9525" b="0"/>
            <wp:docPr id="19" name="Picture 19" descr="http://uk.practicallaw.com/presentation/images/common/listBull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uk.practicallaw.com/presentation/images/common/listBullet.gif"/>
                    <pic:cNvPicPr>
                      <a:picLocks noChangeAspect="1" noChangeArrowheads="1"/>
                    </pic:cNvPicPr>
                  </pic:nvPicPr>
                  <pic:blipFill>
                    <a:blip r:embed="rId8" cstate="print"/>
                    <a:srcRect/>
                    <a:stretch>
                      <a:fillRect/>
                    </a:stretch>
                  </pic:blipFill>
                  <pic:spPr bwMode="auto">
                    <a:xfrm>
                      <a:off x="0" y="0"/>
                      <a:ext cx="66675" cy="114300"/>
                    </a:xfrm>
                    <a:prstGeom prst="rect">
                      <a:avLst/>
                    </a:prstGeom>
                    <a:noFill/>
                    <a:ln w="9525">
                      <a:noFill/>
                      <a:miter lim="800000"/>
                      <a:headEnd/>
                      <a:tailEnd/>
                    </a:ln>
                  </pic:spPr>
                </pic:pic>
              </a:graphicData>
            </a:graphic>
          </wp:inline>
        </w:drawing>
      </w:r>
      <w:hyperlink r:id="rId24" w:anchor="sect2pos15res1" w:history="1">
        <w:r w:rsidRPr="009B5E0F">
          <w:rPr>
            <w:rFonts w:asciiTheme="minorHAnsi" w:hAnsiTheme="minorHAnsi"/>
            <w:color w:val="005A84"/>
            <w:sz w:val="24"/>
          </w:rPr>
          <w:t>Employee should be aware of possible consequences</w:t>
        </w:r>
      </w:hyperlink>
    </w:p>
    <w:p w:rsidR="00F124F2" w:rsidRPr="009B5E0F" w:rsidRDefault="00F124F2" w:rsidP="00F124F2">
      <w:pPr>
        <w:rPr>
          <w:rFonts w:asciiTheme="minorHAnsi" w:hAnsiTheme="minorHAnsi"/>
          <w:sz w:val="24"/>
        </w:rPr>
      </w:pPr>
      <w:r w:rsidRPr="009B5E0F">
        <w:rPr>
          <w:rFonts w:asciiTheme="minorHAnsi" w:hAnsiTheme="minorHAnsi"/>
          <w:noProof/>
          <w:sz w:val="24"/>
        </w:rPr>
        <w:drawing>
          <wp:inline distT="0" distB="0" distL="0" distR="0">
            <wp:extent cx="66675" cy="114300"/>
            <wp:effectExtent l="19050" t="0" r="9525" b="0"/>
            <wp:docPr id="20" name="Picture 20" descr="http://uk.practicallaw.com/presentation/images/common/listBull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uk.practicallaw.com/presentation/images/common/listBullet.gif"/>
                    <pic:cNvPicPr>
                      <a:picLocks noChangeAspect="1" noChangeArrowheads="1"/>
                    </pic:cNvPicPr>
                  </pic:nvPicPr>
                  <pic:blipFill>
                    <a:blip r:embed="rId8" cstate="print"/>
                    <a:srcRect/>
                    <a:stretch>
                      <a:fillRect/>
                    </a:stretch>
                  </pic:blipFill>
                  <pic:spPr bwMode="auto">
                    <a:xfrm>
                      <a:off x="0" y="0"/>
                      <a:ext cx="66675" cy="114300"/>
                    </a:xfrm>
                    <a:prstGeom prst="rect">
                      <a:avLst/>
                    </a:prstGeom>
                    <a:noFill/>
                    <a:ln w="9525">
                      <a:noFill/>
                      <a:miter lim="800000"/>
                      <a:headEnd/>
                      <a:tailEnd/>
                    </a:ln>
                  </pic:spPr>
                </pic:pic>
              </a:graphicData>
            </a:graphic>
          </wp:inline>
        </w:drawing>
      </w:r>
      <w:hyperlink r:id="rId25" w:anchor="a470856" w:history="1">
        <w:r w:rsidRPr="009B5E0F">
          <w:rPr>
            <w:rFonts w:asciiTheme="minorHAnsi" w:hAnsiTheme="minorHAnsi"/>
            <w:color w:val="005A84"/>
            <w:sz w:val="24"/>
          </w:rPr>
          <w:t>Disclosing the evidence</w:t>
        </w:r>
      </w:hyperlink>
    </w:p>
    <w:p w:rsidR="00F124F2" w:rsidRPr="009B5E0F" w:rsidRDefault="00F124F2" w:rsidP="00F124F2">
      <w:pPr>
        <w:rPr>
          <w:rFonts w:asciiTheme="minorHAnsi" w:hAnsiTheme="minorHAnsi"/>
          <w:sz w:val="24"/>
        </w:rPr>
      </w:pPr>
      <w:r w:rsidRPr="009B5E0F">
        <w:rPr>
          <w:rFonts w:asciiTheme="minorHAnsi" w:hAnsiTheme="minorHAnsi"/>
          <w:noProof/>
          <w:sz w:val="24"/>
        </w:rPr>
        <w:drawing>
          <wp:inline distT="0" distB="0" distL="0" distR="0">
            <wp:extent cx="114300" cy="123825"/>
            <wp:effectExtent l="19050" t="0" r="0" b="0"/>
            <wp:docPr id="21" name="Picture 21" descr="http://uk.practicallaw.com/presentation/images/common/noExpandTopi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uk.practicallaw.com/presentation/images/common/noExpandTopic.gif"/>
                    <pic:cNvPicPr>
                      <a:picLocks noChangeAspect="1" noChangeArrowheads="1"/>
                    </pic:cNvPicPr>
                  </pic:nvPicPr>
                  <pic:blipFill>
                    <a:blip r:embed="rId6" cstate="print"/>
                    <a:srcRect/>
                    <a:stretch>
                      <a:fillRect/>
                    </a:stretch>
                  </pic:blipFill>
                  <pic:spPr bwMode="auto">
                    <a:xfrm>
                      <a:off x="0" y="0"/>
                      <a:ext cx="114300" cy="123825"/>
                    </a:xfrm>
                    <a:prstGeom prst="rect">
                      <a:avLst/>
                    </a:prstGeom>
                    <a:noFill/>
                    <a:ln w="9525">
                      <a:noFill/>
                      <a:miter lim="800000"/>
                      <a:headEnd/>
                      <a:tailEnd/>
                    </a:ln>
                  </pic:spPr>
                </pic:pic>
              </a:graphicData>
            </a:graphic>
          </wp:inline>
        </w:drawing>
      </w:r>
      <w:hyperlink r:id="rId26" w:anchor="a256681" w:history="1">
        <w:r w:rsidRPr="009B5E0F">
          <w:rPr>
            <w:rFonts w:asciiTheme="minorHAnsi" w:hAnsiTheme="minorHAnsi"/>
            <w:color w:val="005A84"/>
            <w:sz w:val="24"/>
          </w:rPr>
          <w:t>Disciplinary hearings</w:t>
        </w:r>
      </w:hyperlink>
    </w:p>
    <w:p w:rsidR="00F124F2" w:rsidRPr="009B5E0F" w:rsidRDefault="00F124F2" w:rsidP="00F124F2">
      <w:pPr>
        <w:rPr>
          <w:rFonts w:asciiTheme="minorHAnsi" w:hAnsiTheme="minorHAnsi"/>
          <w:sz w:val="24"/>
        </w:rPr>
      </w:pPr>
      <w:r w:rsidRPr="009B5E0F">
        <w:rPr>
          <w:rFonts w:asciiTheme="minorHAnsi" w:hAnsiTheme="minorHAnsi"/>
          <w:noProof/>
          <w:sz w:val="24"/>
        </w:rPr>
        <w:drawing>
          <wp:inline distT="0" distB="0" distL="0" distR="0">
            <wp:extent cx="66675" cy="114300"/>
            <wp:effectExtent l="19050" t="0" r="9525" b="0"/>
            <wp:docPr id="22" name="Picture 22" descr="http://uk.practicallaw.com/presentation/images/common/listBull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uk.practicallaw.com/presentation/images/common/listBullet.gif"/>
                    <pic:cNvPicPr>
                      <a:picLocks noChangeAspect="1" noChangeArrowheads="1"/>
                    </pic:cNvPicPr>
                  </pic:nvPicPr>
                  <pic:blipFill>
                    <a:blip r:embed="rId8" cstate="print"/>
                    <a:srcRect/>
                    <a:stretch>
                      <a:fillRect/>
                    </a:stretch>
                  </pic:blipFill>
                  <pic:spPr bwMode="auto">
                    <a:xfrm>
                      <a:off x="0" y="0"/>
                      <a:ext cx="66675" cy="114300"/>
                    </a:xfrm>
                    <a:prstGeom prst="rect">
                      <a:avLst/>
                    </a:prstGeom>
                    <a:noFill/>
                    <a:ln w="9525">
                      <a:noFill/>
                      <a:miter lim="800000"/>
                      <a:headEnd/>
                      <a:tailEnd/>
                    </a:ln>
                  </pic:spPr>
                </pic:pic>
              </a:graphicData>
            </a:graphic>
          </wp:inline>
        </w:drawing>
      </w:r>
      <w:hyperlink r:id="rId27" w:anchor="a330228" w:history="1">
        <w:r w:rsidRPr="009B5E0F">
          <w:rPr>
            <w:rFonts w:asciiTheme="minorHAnsi" w:hAnsiTheme="minorHAnsi"/>
            <w:color w:val="005A84"/>
            <w:sz w:val="24"/>
          </w:rPr>
          <w:t>Non-attendance and requests to postpone</w:t>
        </w:r>
      </w:hyperlink>
    </w:p>
    <w:p w:rsidR="00F124F2" w:rsidRPr="009B5E0F" w:rsidRDefault="00F124F2" w:rsidP="00F124F2">
      <w:pPr>
        <w:rPr>
          <w:rFonts w:asciiTheme="minorHAnsi" w:hAnsiTheme="minorHAnsi"/>
          <w:sz w:val="24"/>
        </w:rPr>
      </w:pPr>
      <w:r w:rsidRPr="009B5E0F">
        <w:rPr>
          <w:rFonts w:asciiTheme="minorHAnsi" w:hAnsiTheme="minorHAnsi"/>
          <w:noProof/>
          <w:sz w:val="24"/>
        </w:rPr>
        <w:drawing>
          <wp:inline distT="0" distB="0" distL="0" distR="0">
            <wp:extent cx="66675" cy="114300"/>
            <wp:effectExtent l="19050" t="0" r="9525" b="0"/>
            <wp:docPr id="23" name="Picture 23" descr="http://uk.practicallaw.com/presentation/images/common/listBull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uk.practicallaw.com/presentation/images/common/listBullet.gif"/>
                    <pic:cNvPicPr>
                      <a:picLocks noChangeAspect="1" noChangeArrowheads="1"/>
                    </pic:cNvPicPr>
                  </pic:nvPicPr>
                  <pic:blipFill>
                    <a:blip r:embed="rId8" cstate="print"/>
                    <a:srcRect/>
                    <a:stretch>
                      <a:fillRect/>
                    </a:stretch>
                  </pic:blipFill>
                  <pic:spPr bwMode="auto">
                    <a:xfrm>
                      <a:off x="0" y="0"/>
                      <a:ext cx="66675" cy="114300"/>
                    </a:xfrm>
                    <a:prstGeom prst="rect">
                      <a:avLst/>
                    </a:prstGeom>
                    <a:noFill/>
                    <a:ln w="9525">
                      <a:noFill/>
                      <a:miter lim="800000"/>
                      <a:headEnd/>
                      <a:tailEnd/>
                    </a:ln>
                  </pic:spPr>
                </pic:pic>
              </a:graphicData>
            </a:graphic>
          </wp:inline>
        </w:drawing>
      </w:r>
      <w:hyperlink r:id="rId28" w:anchor="a614578" w:history="1">
        <w:r w:rsidRPr="009B5E0F">
          <w:rPr>
            <w:rFonts w:asciiTheme="minorHAnsi" w:hAnsiTheme="minorHAnsi"/>
            <w:color w:val="005A84"/>
            <w:sz w:val="24"/>
          </w:rPr>
          <w:t>Ill-health and stress</w:t>
        </w:r>
      </w:hyperlink>
    </w:p>
    <w:p w:rsidR="00F124F2" w:rsidRPr="009B5E0F" w:rsidRDefault="00F124F2" w:rsidP="00F124F2">
      <w:pPr>
        <w:rPr>
          <w:rFonts w:asciiTheme="minorHAnsi" w:hAnsiTheme="minorHAnsi"/>
          <w:sz w:val="24"/>
        </w:rPr>
      </w:pPr>
      <w:r w:rsidRPr="009B5E0F">
        <w:rPr>
          <w:rFonts w:asciiTheme="minorHAnsi" w:hAnsiTheme="minorHAnsi"/>
          <w:noProof/>
          <w:sz w:val="24"/>
        </w:rPr>
        <w:drawing>
          <wp:inline distT="0" distB="0" distL="0" distR="0">
            <wp:extent cx="66675" cy="114300"/>
            <wp:effectExtent l="19050" t="0" r="9525" b="0"/>
            <wp:docPr id="24" name="Picture 24" descr="http://uk.practicallaw.com/presentation/images/common/listBull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uk.practicallaw.com/presentation/images/common/listBullet.gif"/>
                    <pic:cNvPicPr>
                      <a:picLocks noChangeAspect="1" noChangeArrowheads="1"/>
                    </pic:cNvPicPr>
                  </pic:nvPicPr>
                  <pic:blipFill>
                    <a:blip r:embed="rId8" cstate="print"/>
                    <a:srcRect/>
                    <a:stretch>
                      <a:fillRect/>
                    </a:stretch>
                  </pic:blipFill>
                  <pic:spPr bwMode="auto">
                    <a:xfrm>
                      <a:off x="0" y="0"/>
                      <a:ext cx="66675" cy="114300"/>
                    </a:xfrm>
                    <a:prstGeom prst="rect">
                      <a:avLst/>
                    </a:prstGeom>
                    <a:noFill/>
                    <a:ln w="9525">
                      <a:noFill/>
                      <a:miter lim="800000"/>
                      <a:headEnd/>
                      <a:tailEnd/>
                    </a:ln>
                  </pic:spPr>
                </pic:pic>
              </a:graphicData>
            </a:graphic>
          </wp:inline>
        </w:drawing>
      </w:r>
      <w:hyperlink r:id="rId29" w:anchor="a994558" w:history="1">
        <w:r w:rsidRPr="009B5E0F">
          <w:rPr>
            <w:rFonts w:asciiTheme="minorHAnsi" w:hAnsiTheme="minorHAnsi"/>
            <w:color w:val="005A84"/>
            <w:sz w:val="24"/>
          </w:rPr>
          <w:t>Chair person</w:t>
        </w:r>
      </w:hyperlink>
    </w:p>
    <w:p w:rsidR="00F124F2" w:rsidRPr="009B5E0F" w:rsidRDefault="00F124F2" w:rsidP="00F124F2">
      <w:pPr>
        <w:rPr>
          <w:rFonts w:asciiTheme="minorHAnsi" w:hAnsiTheme="minorHAnsi"/>
          <w:sz w:val="24"/>
        </w:rPr>
      </w:pPr>
      <w:r w:rsidRPr="009B5E0F">
        <w:rPr>
          <w:rFonts w:asciiTheme="minorHAnsi" w:hAnsiTheme="minorHAnsi"/>
          <w:noProof/>
          <w:sz w:val="24"/>
        </w:rPr>
        <w:drawing>
          <wp:inline distT="0" distB="0" distL="0" distR="0">
            <wp:extent cx="66675" cy="114300"/>
            <wp:effectExtent l="19050" t="0" r="9525" b="0"/>
            <wp:docPr id="25" name="Picture 25" descr="http://uk.practicallaw.com/presentation/images/common/listBull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uk.practicallaw.com/presentation/images/common/listBullet.gif"/>
                    <pic:cNvPicPr>
                      <a:picLocks noChangeAspect="1" noChangeArrowheads="1"/>
                    </pic:cNvPicPr>
                  </pic:nvPicPr>
                  <pic:blipFill>
                    <a:blip r:embed="rId8" cstate="print"/>
                    <a:srcRect/>
                    <a:stretch>
                      <a:fillRect/>
                    </a:stretch>
                  </pic:blipFill>
                  <pic:spPr bwMode="auto">
                    <a:xfrm>
                      <a:off x="0" y="0"/>
                      <a:ext cx="66675" cy="114300"/>
                    </a:xfrm>
                    <a:prstGeom prst="rect">
                      <a:avLst/>
                    </a:prstGeom>
                    <a:noFill/>
                    <a:ln w="9525">
                      <a:noFill/>
                      <a:miter lim="800000"/>
                      <a:headEnd/>
                      <a:tailEnd/>
                    </a:ln>
                  </pic:spPr>
                </pic:pic>
              </a:graphicData>
            </a:graphic>
          </wp:inline>
        </w:drawing>
      </w:r>
      <w:hyperlink r:id="rId30" w:anchor="a514067" w:history="1">
        <w:r w:rsidRPr="009B5E0F">
          <w:rPr>
            <w:rFonts w:asciiTheme="minorHAnsi" w:hAnsiTheme="minorHAnsi"/>
            <w:color w:val="005A84"/>
            <w:sz w:val="24"/>
          </w:rPr>
          <w:t>Record keeper</w:t>
        </w:r>
      </w:hyperlink>
    </w:p>
    <w:p w:rsidR="00F124F2" w:rsidRPr="009B5E0F" w:rsidRDefault="00F124F2" w:rsidP="00F124F2">
      <w:pPr>
        <w:rPr>
          <w:rFonts w:asciiTheme="minorHAnsi" w:hAnsiTheme="minorHAnsi"/>
          <w:sz w:val="24"/>
        </w:rPr>
      </w:pPr>
      <w:r w:rsidRPr="009B5E0F">
        <w:rPr>
          <w:rFonts w:asciiTheme="minorHAnsi" w:hAnsiTheme="minorHAnsi"/>
          <w:noProof/>
          <w:sz w:val="24"/>
        </w:rPr>
        <w:drawing>
          <wp:inline distT="0" distB="0" distL="0" distR="0">
            <wp:extent cx="66675" cy="114300"/>
            <wp:effectExtent l="19050" t="0" r="9525" b="0"/>
            <wp:docPr id="26" name="Picture 26" descr="http://uk.practicallaw.com/presentation/images/common/listBull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uk.practicallaw.com/presentation/images/common/listBullet.gif"/>
                    <pic:cNvPicPr>
                      <a:picLocks noChangeAspect="1" noChangeArrowheads="1"/>
                    </pic:cNvPicPr>
                  </pic:nvPicPr>
                  <pic:blipFill>
                    <a:blip r:embed="rId8" cstate="print"/>
                    <a:srcRect/>
                    <a:stretch>
                      <a:fillRect/>
                    </a:stretch>
                  </pic:blipFill>
                  <pic:spPr bwMode="auto">
                    <a:xfrm>
                      <a:off x="0" y="0"/>
                      <a:ext cx="66675" cy="114300"/>
                    </a:xfrm>
                    <a:prstGeom prst="rect">
                      <a:avLst/>
                    </a:prstGeom>
                    <a:noFill/>
                    <a:ln w="9525">
                      <a:noFill/>
                      <a:miter lim="800000"/>
                      <a:headEnd/>
                      <a:tailEnd/>
                    </a:ln>
                  </pic:spPr>
                </pic:pic>
              </a:graphicData>
            </a:graphic>
          </wp:inline>
        </w:drawing>
      </w:r>
      <w:hyperlink r:id="rId31" w:anchor="a106740" w:history="1">
        <w:r w:rsidRPr="009B5E0F">
          <w:rPr>
            <w:rFonts w:asciiTheme="minorHAnsi" w:hAnsiTheme="minorHAnsi"/>
            <w:color w:val="005A84"/>
            <w:sz w:val="24"/>
          </w:rPr>
          <w:t>How to conduct the hearing</w:t>
        </w:r>
      </w:hyperlink>
    </w:p>
    <w:p w:rsidR="00F124F2" w:rsidRPr="009B5E0F" w:rsidRDefault="00F124F2" w:rsidP="00F124F2">
      <w:pPr>
        <w:rPr>
          <w:rFonts w:asciiTheme="minorHAnsi" w:hAnsiTheme="minorHAnsi"/>
          <w:sz w:val="24"/>
        </w:rPr>
      </w:pPr>
      <w:r w:rsidRPr="009B5E0F">
        <w:rPr>
          <w:rFonts w:asciiTheme="minorHAnsi" w:hAnsiTheme="minorHAnsi"/>
          <w:noProof/>
          <w:sz w:val="24"/>
        </w:rPr>
        <w:drawing>
          <wp:inline distT="0" distB="0" distL="0" distR="0">
            <wp:extent cx="66675" cy="114300"/>
            <wp:effectExtent l="19050" t="0" r="9525" b="0"/>
            <wp:docPr id="27" name="Picture 27" descr="http://uk.practicallaw.com/presentation/images/common/listBull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uk.practicallaw.com/presentation/images/common/listBullet.gif"/>
                    <pic:cNvPicPr>
                      <a:picLocks noChangeAspect="1" noChangeArrowheads="1"/>
                    </pic:cNvPicPr>
                  </pic:nvPicPr>
                  <pic:blipFill>
                    <a:blip r:embed="rId8" cstate="print"/>
                    <a:srcRect/>
                    <a:stretch>
                      <a:fillRect/>
                    </a:stretch>
                  </pic:blipFill>
                  <pic:spPr bwMode="auto">
                    <a:xfrm>
                      <a:off x="0" y="0"/>
                      <a:ext cx="66675" cy="114300"/>
                    </a:xfrm>
                    <a:prstGeom prst="rect">
                      <a:avLst/>
                    </a:prstGeom>
                    <a:noFill/>
                    <a:ln w="9525">
                      <a:noFill/>
                      <a:miter lim="800000"/>
                      <a:headEnd/>
                      <a:tailEnd/>
                    </a:ln>
                  </pic:spPr>
                </pic:pic>
              </a:graphicData>
            </a:graphic>
          </wp:inline>
        </w:drawing>
      </w:r>
      <w:hyperlink r:id="rId32" w:anchor="a75116" w:history="1">
        <w:r w:rsidRPr="009B5E0F">
          <w:rPr>
            <w:rFonts w:asciiTheme="minorHAnsi" w:hAnsiTheme="minorHAnsi"/>
            <w:color w:val="005A84"/>
            <w:sz w:val="24"/>
          </w:rPr>
          <w:t>Adjourning for further investigation or decision</w:t>
        </w:r>
      </w:hyperlink>
    </w:p>
    <w:p w:rsidR="00F124F2" w:rsidRPr="009B5E0F" w:rsidRDefault="00F124F2" w:rsidP="00F124F2">
      <w:pPr>
        <w:rPr>
          <w:rFonts w:asciiTheme="minorHAnsi" w:hAnsiTheme="minorHAnsi"/>
          <w:sz w:val="24"/>
        </w:rPr>
      </w:pPr>
      <w:r w:rsidRPr="009B5E0F">
        <w:rPr>
          <w:rFonts w:asciiTheme="minorHAnsi" w:hAnsiTheme="minorHAnsi"/>
          <w:noProof/>
          <w:sz w:val="24"/>
        </w:rPr>
        <w:drawing>
          <wp:inline distT="0" distB="0" distL="0" distR="0">
            <wp:extent cx="66675" cy="114300"/>
            <wp:effectExtent l="19050" t="0" r="9525" b="0"/>
            <wp:docPr id="28" name="Picture 28" descr="http://uk.practicallaw.com/presentation/images/common/listBull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uk.practicallaw.com/presentation/images/common/listBullet.gif"/>
                    <pic:cNvPicPr>
                      <a:picLocks noChangeAspect="1" noChangeArrowheads="1"/>
                    </pic:cNvPicPr>
                  </pic:nvPicPr>
                  <pic:blipFill>
                    <a:blip r:embed="rId8" cstate="print"/>
                    <a:srcRect/>
                    <a:stretch>
                      <a:fillRect/>
                    </a:stretch>
                  </pic:blipFill>
                  <pic:spPr bwMode="auto">
                    <a:xfrm>
                      <a:off x="0" y="0"/>
                      <a:ext cx="66675" cy="114300"/>
                    </a:xfrm>
                    <a:prstGeom prst="rect">
                      <a:avLst/>
                    </a:prstGeom>
                    <a:noFill/>
                    <a:ln w="9525">
                      <a:noFill/>
                      <a:miter lim="800000"/>
                      <a:headEnd/>
                      <a:tailEnd/>
                    </a:ln>
                  </pic:spPr>
                </pic:pic>
              </a:graphicData>
            </a:graphic>
          </wp:inline>
        </w:drawing>
      </w:r>
      <w:hyperlink r:id="rId33" w:anchor="a331048" w:history="1">
        <w:r w:rsidRPr="009B5E0F">
          <w:rPr>
            <w:rFonts w:asciiTheme="minorHAnsi" w:hAnsiTheme="minorHAnsi"/>
            <w:color w:val="005A84"/>
            <w:sz w:val="24"/>
          </w:rPr>
          <w:t>Should cross-examination of witnesses be allowed?</w:t>
        </w:r>
      </w:hyperlink>
    </w:p>
    <w:p w:rsidR="00F124F2" w:rsidRPr="009B5E0F" w:rsidRDefault="00F124F2" w:rsidP="00F124F2">
      <w:pPr>
        <w:rPr>
          <w:rFonts w:asciiTheme="minorHAnsi" w:hAnsiTheme="minorHAnsi"/>
          <w:sz w:val="24"/>
        </w:rPr>
      </w:pPr>
      <w:r w:rsidRPr="009B5E0F">
        <w:rPr>
          <w:rFonts w:asciiTheme="minorHAnsi" w:hAnsiTheme="minorHAnsi"/>
          <w:noProof/>
          <w:sz w:val="24"/>
        </w:rPr>
        <w:drawing>
          <wp:inline distT="0" distB="0" distL="0" distR="0">
            <wp:extent cx="66675" cy="114300"/>
            <wp:effectExtent l="19050" t="0" r="9525" b="0"/>
            <wp:docPr id="29" name="Picture 29" descr="http://uk.practicallaw.com/presentation/images/common/listBull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uk.practicallaw.com/presentation/images/common/listBullet.gif"/>
                    <pic:cNvPicPr>
                      <a:picLocks noChangeAspect="1" noChangeArrowheads="1"/>
                    </pic:cNvPicPr>
                  </pic:nvPicPr>
                  <pic:blipFill>
                    <a:blip r:embed="rId8" cstate="print"/>
                    <a:srcRect/>
                    <a:stretch>
                      <a:fillRect/>
                    </a:stretch>
                  </pic:blipFill>
                  <pic:spPr bwMode="auto">
                    <a:xfrm>
                      <a:off x="0" y="0"/>
                      <a:ext cx="66675" cy="114300"/>
                    </a:xfrm>
                    <a:prstGeom prst="rect">
                      <a:avLst/>
                    </a:prstGeom>
                    <a:noFill/>
                    <a:ln w="9525">
                      <a:noFill/>
                      <a:miter lim="800000"/>
                      <a:headEnd/>
                      <a:tailEnd/>
                    </a:ln>
                  </pic:spPr>
                </pic:pic>
              </a:graphicData>
            </a:graphic>
          </wp:inline>
        </w:drawing>
      </w:r>
      <w:hyperlink r:id="rId34" w:anchor="a1027105" w:history="1">
        <w:r w:rsidRPr="009B5E0F">
          <w:rPr>
            <w:rFonts w:asciiTheme="minorHAnsi" w:hAnsiTheme="minorHAnsi"/>
            <w:color w:val="005A84"/>
            <w:sz w:val="24"/>
          </w:rPr>
          <w:t>Right to be accompanied</w:t>
        </w:r>
      </w:hyperlink>
    </w:p>
    <w:p w:rsidR="00F124F2" w:rsidRPr="009B5E0F" w:rsidRDefault="00F124F2" w:rsidP="00F124F2">
      <w:pPr>
        <w:rPr>
          <w:rFonts w:asciiTheme="minorHAnsi" w:hAnsiTheme="minorHAnsi"/>
          <w:sz w:val="24"/>
        </w:rPr>
      </w:pPr>
      <w:r w:rsidRPr="009B5E0F">
        <w:rPr>
          <w:rFonts w:asciiTheme="minorHAnsi" w:hAnsiTheme="minorHAnsi"/>
          <w:noProof/>
          <w:sz w:val="24"/>
        </w:rPr>
        <w:drawing>
          <wp:inline distT="0" distB="0" distL="0" distR="0">
            <wp:extent cx="66675" cy="114300"/>
            <wp:effectExtent l="19050" t="0" r="9525" b="0"/>
            <wp:docPr id="30" name="Picture 30" descr="http://uk.practicallaw.com/presentation/images/common/listBull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uk.practicallaw.com/presentation/images/common/listBullet.gif"/>
                    <pic:cNvPicPr>
                      <a:picLocks noChangeAspect="1" noChangeArrowheads="1"/>
                    </pic:cNvPicPr>
                  </pic:nvPicPr>
                  <pic:blipFill>
                    <a:blip r:embed="rId8" cstate="print"/>
                    <a:srcRect/>
                    <a:stretch>
                      <a:fillRect/>
                    </a:stretch>
                  </pic:blipFill>
                  <pic:spPr bwMode="auto">
                    <a:xfrm>
                      <a:off x="0" y="0"/>
                      <a:ext cx="66675" cy="114300"/>
                    </a:xfrm>
                    <a:prstGeom prst="rect">
                      <a:avLst/>
                    </a:prstGeom>
                    <a:noFill/>
                    <a:ln w="9525">
                      <a:noFill/>
                      <a:miter lim="800000"/>
                      <a:headEnd/>
                      <a:tailEnd/>
                    </a:ln>
                  </pic:spPr>
                </pic:pic>
              </a:graphicData>
            </a:graphic>
          </wp:inline>
        </w:drawing>
      </w:r>
      <w:hyperlink r:id="rId35" w:anchor="a843340" w:history="1">
        <w:r w:rsidRPr="009B5E0F">
          <w:rPr>
            <w:rFonts w:asciiTheme="minorHAnsi" w:hAnsiTheme="minorHAnsi"/>
            <w:color w:val="005A84"/>
            <w:sz w:val="24"/>
          </w:rPr>
          <w:t>Legal representation</w:t>
        </w:r>
      </w:hyperlink>
    </w:p>
    <w:p w:rsidR="00F124F2" w:rsidRPr="009B5E0F" w:rsidRDefault="00F124F2" w:rsidP="00F124F2">
      <w:pPr>
        <w:rPr>
          <w:rFonts w:asciiTheme="minorHAnsi" w:hAnsiTheme="minorHAnsi"/>
          <w:sz w:val="24"/>
        </w:rPr>
      </w:pPr>
      <w:r w:rsidRPr="009B5E0F">
        <w:rPr>
          <w:rFonts w:asciiTheme="minorHAnsi" w:hAnsiTheme="minorHAnsi"/>
          <w:noProof/>
          <w:sz w:val="24"/>
        </w:rPr>
        <w:drawing>
          <wp:inline distT="0" distB="0" distL="0" distR="0">
            <wp:extent cx="114300" cy="123825"/>
            <wp:effectExtent l="19050" t="0" r="0" b="0"/>
            <wp:docPr id="31" name="Picture 31" descr="http://uk.practicallaw.com/presentation/images/common/noExpandTopi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uk.practicallaw.com/presentation/images/common/noExpandTopic.gif"/>
                    <pic:cNvPicPr>
                      <a:picLocks noChangeAspect="1" noChangeArrowheads="1"/>
                    </pic:cNvPicPr>
                  </pic:nvPicPr>
                  <pic:blipFill>
                    <a:blip r:embed="rId6" cstate="print"/>
                    <a:srcRect/>
                    <a:stretch>
                      <a:fillRect/>
                    </a:stretch>
                  </pic:blipFill>
                  <pic:spPr bwMode="auto">
                    <a:xfrm>
                      <a:off x="0" y="0"/>
                      <a:ext cx="114300" cy="123825"/>
                    </a:xfrm>
                    <a:prstGeom prst="rect">
                      <a:avLst/>
                    </a:prstGeom>
                    <a:noFill/>
                    <a:ln w="9525">
                      <a:noFill/>
                      <a:miter lim="800000"/>
                      <a:headEnd/>
                      <a:tailEnd/>
                    </a:ln>
                  </pic:spPr>
                </pic:pic>
              </a:graphicData>
            </a:graphic>
          </wp:inline>
        </w:drawing>
      </w:r>
      <w:hyperlink r:id="rId36" w:anchor="a887621" w:history="1">
        <w:r w:rsidRPr="009B5E0F">
          <w:rPr>
            <w:rFonts w:asciiTheme="minorHAnsi" w:hAnsiTheme="minorHAnsi"/>
            <w:color w:val="005A84"/>
            <w:sz w:val="24"/>
          </w:rPr>
          <w:t>Matters involving the police and criminal proceedings</w:t>
        </w:r>
      </w:hyperlink>
    </w:p>
    <w:p w:rsidR="00F124F2" w:rsidRPr="009B5E0F" w:rsidRDefault="00F124F2" w:rsidP="00F124F2">
      <w:pPr>
        <w:rPr>
          <w:rFonts w:asciiTheme="minorHAnsi" w:hAnsiTheme="minorHAnsi"/>
          <w:sz w:val="24"/>
        </w:rPr>
      </w:pPr>
      <w:r w:rsidRPr="009B5E0F">
        <w:rPr>
          <w:rFonts w:asciiTheme="minorHAnsi" w:hAnsiTheme="minorHAnsi"/>
          <w:noProof/>
          <w:sz w:val="24"/>
        </w:rPr>
        <w:drawing>
          <wp:inline distT="0" distB="0" distL="0" distR="0">
            <wp:extent cx="66675" cy="114300"/>
            <wp:effectExtent l="19050" t="0" r="9525" b="0"/>
            <wp:docPr id="32" name="Picture 32" descr="http://uk.practicallaw.com/presentation/images/common/listBull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uk.practicallaw.com/presentation/images/common/listBullet.gif"/>
                    <pic:cNvPicPr>
                      <a:picLocks noChangeAspect="1" noChangeArrowheads="1"/>
                    </pic:cNvPicPr>
                  </pic:nvPicPr>
                  <pic:blipFill>
                    <a:blip r:embed="rId8" cstate="print"/>
                    <a:srcRect/>
                    <a:stretch>
                      <a:fillRect/>
                    </a:stretch>
                  </pic:blipFill>
                  <pic:spPr bwMode="auto">
                    <a:xfrm>
                      <a:off x="0" y="0"/>
                      <a:ext cx="66675" cy="114300"/>
                    </a:xfrm>
                    <a:prstGeom prst="rect">
                      <a:avLst/>
                    </a:prstGeom>
                    <a:noFill/>
                    <a:ln w="9525">
                      <a:noFill/>
                      <a:miter lim="800000"/>
                      <a:headEnd/>
                      <a:tailEnd/>
                    </a:ln>
                  </pic:spPr>
                </pic:pic>
              </a:graphicData>
            </a:graphic>
          </wp:inline>
        </w:drawing>
      </w:r>
      <w:hyperlink r:id="rId37" w:anchor="a368891" w:history="1">
        <w:r w:rsidRPr="009B5E0F">
          <w:rPr>
            <w:rFonts w:asciiTheme="minorHAnsi" w:hAnsiTheme="minorHAnsi"/>
            <w:color w:val="005A84"/>
            <w:sz w:val="24"/>
          </w:rPr>
          <w:t>Should disciplinary action be put on hold pending the outcome of criminal proceedings?</w:t>
        </w:r>
      </w:hyperlink>
    </w:p>
    <w:p w:rsidR="00F124F2" w:rsidRPr="009B5E0F" w:rsidRDefault="00F124F2" w:rsidP="00F124F2">
      <w:pPr>
        <w:rPr>
          <w:rFonts w:asciiTheme="minorHAnsi" w:hAnsiTheme="minorHAnsi"/>
          <w:sz w:val="24"/>
        </w:rPr>
      </w:pPr>
      <w:r w:rsidRPr="009B5E0F">
        <w:rPr>
          <w:rFonts w:asciiTheme="minorHAnsi" w:hAnsiTheme="minorHAnsi"/>
          <w:noProof/>
          <w:sz w:val="24"/>
        </w:rPr>
        <w:drawing>
          <wp:inline distT="0" distB="0" distL="0" distR="0">
            <wp:extent cx="66675" cy="114300"/>
            <wp:effectExtent l="19050" t="0" r="9525" b="0"/>
            <wp:docPr id="33" name="Picture 33" descr="http://uk.practicallaw.com/presentation/images/common/listBull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uk.practicallaw.com/presentation/images/common/listBullet.gif"/>
                    <pic:cNvPicPr>
                      <a:picLocks noChangeAspect="1" noChangeArrowheads="1"/>
                    </pic:cNvPicPr>
                  </pic:nvPicPr>
                  <pic:blipFill>
                    <a:blip r:embed="rId8" cstate="print"/>
                    <a:srcRect/>
                    <a:stretch>
                      <a:fillRect/>
                    </a:stretch>
                  </pic:blipFill>
                  <pic:spPr bwMode="auto">
                    <a:xfrm>
                      <a:off x="0" y="0"/>
                      <a:ext cx="66675" cy="114300"/>
                    </a:xfrm>
                    <a:prstGeom prst="rect">
                      <a:avLst/>
                    </a:prstGeom>
                    <a:noFill/>
                    <a:ln w="9525">
                      <a:noFill/>
                      <a:miter lim="800000"/>
                      <a:headEnd/>
                      <a:tailEnd/>
                    </a:ln>
                  </pic:spPr>
                </pic:pic>
              </a:graphicData>
            </a:graphic>
          </wp:inline>
        </w:drawing>
      </w:r>
      <w:hyperlink r:id="rId38" w:anchor="a1045454" w:history="1">
        <w:r w:rsidRPr="009B5E0F">
          <w:rPr>
            <w:rFonts w:asciiTheme="minorHAnsi" w:hAnsiTheme="minorHAnsi"/>
            <w:color w:val="005A84"/>
            <w:sz w:val="24"/>
          </w:rPr>
          <w:t>Level of investigation into criminal allegations</w:t>
        </w:r>
      </w:hyperlink>
    </w:p>
    <w:p w:rsidR="00F124F2" w:rsidRPr="009B5E0F" w:rsidRDefault="00F124F2" w:rsidP="00F124F2">
      <w:pPr>
        <w:rPr>
          <w:rFonts w:asciiTheme="minorHAnsi" w:hAnsiTheme="minorHAnsi"/>
          <w:sz w:val="24"/>
        </w:rPr>
      </w:pPr>
      <w:r w:rsidRPr="009B5E0F">
        <w:rPr>
          <w:rFonts w:asciiTheme="minorHAnsi" w:hAnsiTheme="minorHAnsi"/>
          <w:noProof/>
          <w:sz w:val="24"/>
        </w:rPr>
        <w:drawing>
          <wp:inline distT="0" distB="0" distL="0" distR="0">
            <wp:extent cx="66675" cy="114300"/>
            <wp:effectExtent l="19050" t="0" r="9525" b="0"/>
            <wp:docPr id="34" name="Picture 34" descr="http://uk.practicallaw.com/presentation/images/common/listBull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uk.practicallaw.com/presentation/images/common/listBullet.gif"/>
                    <pic:cNvPicPr>
                      <a:picLocks noChangeAspect="1" noChangeArrowheads="1"/>
                    </pic:cNvPicPr>
                  </pic:nvPicPr>
                  <pic:blipFill>
                    <a:blip r:embed="rId8" cstate="print"/>
                    <a:srcRect/>
                    <a:stretch>
                      <a:fillRect/>
                    </a:stretch>
                  </pic:blipFill>
                  <pic:spPr bwMode="auto">
                    <a:xfrm>
                      <a:off x="0" y="0"/>
                      <a:ext cx="66675" cy="114300"/>
                    </a:xfrm>
                    <a:prstGeom prst="rect">
                      <a:avLst/>
                    </a:prstGeom>
                    <a:noFill/>
                    <a:ln w="9525">
                      <a:noFill/>
                      <a:miter lim="800000"/>
                      <a:headEnd/>
                      <a:tailEnd/>
                    </a:ln>
                  </pic:spPr>
                </pic:pic>
              </a:graphicData>
            </a:graphic>
          </wp:inline>
        </w:drawing>
      </w:r>
      <w:hyperlink r:id="rId39" w:anchor="a117139" w:history="1">
        <w:r w:rsidRPr="009B5E0F">
          <w:rPr>
            <w:rFonts w:asciiTheme="minorHAnsi" w:hAnsiTheme="minorHAnsi"/>
            <w:color w:val="005A84"/>
            <w:sz w:val="24"/>
          </w:rPr>
          <w:t>When is it appropriate for the employer to involve the Police?</w:t>
        </w:r>
      </w:hyperlink>
    </w:p>
    <w:p w:rsidR="00F124F2" w:rsidRPr="009B5E0F" w:rsidRDefault="00F124F2" w:rsidP="00F124F2">
      <w:pPr>
        <w:rPr>
          <w:rFonts w:asciiTheme="minorHAnsi" w:hAnsiTheme="minorHAnsi"/>
          <w:sz w:val="24"/>
        </w:rPr>
      </w:pPr>
      <w:r w:rsidRPr="009B5E0F">
        <w:rPr>
          <w:rFonts w:asciiTheme="minorHAnsi" w:hAnsiTheme="minorHAnsi"/>
          <w:noProof/>
          <w:sz w:val="24"/>
        </w:rPr>
        <w:drawing>
          <wp:inline distT="0" distB="0" distL="0" distR="0">
            <wp:extent cx="114300" cy="123825"/>
            <wp:effectExtent l="19050" t="0" r="0" b="0"/>
            <wp:docPr id="35" name="Picture 35" descr="http://uk.practicallaw.com/presentation/images/common/noExpandTopi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uk.practicallaw.com/presentation/images/common/noExpandTopic.gif"/>
                    <pic:cNvPicPr>
                      <a:picLocks noChangeAspect="1" noChangeArrowheads="1"/>
                    </pic:cNvPicPr>
                  </pic:nvPicPr>
                  <pic:blipFill>
                    <a:blip r:embed="rId6" cstate="print"/>
                    <a:srcRect/>
                    <a:stretch>
                      <a:fillRect/>
                    </a:stretch>
                  </pic:blipFill>
                  <pic:spPr bwMode="auto">
                    <a:xfrm>
                      <a:off x="0" y="0"/>
                      <a:ext cx="114300" cy="123825"/>
                    </a:xfrm>
                    <a:prstGeom prst="rect">
                      <a:avLst/>
                    </a:prstGeom>
                    <a:noFill/>
                    <a:ln w="9525">
                      <a:noFill/>
                      <a:miter lim="800000"/>
                      <a:headEnd/>
                      <a:tailEnd/>
                    </a:ln>
                  </pic:spPr>
                </pic:pic>
              </a:graphicData>
            </a:graphic>
          </wp:inline>
        </w:drawing>
      </w:r>
      <w:hyperlink r:id="rId40" w:anchor="a302339" w:history="1">
        <w:r w:rsidRPr="009B5E0F">
          <w:rPr>
            <w:rFonts w:asciiTheme="minorHAnsi" w:hAnsiTheme="minorHAnsi"/>
            <w:color w:val="005A84"/>
            <w:sz w:val="24"/>
          </w:rPr>
          <w:t>The decision</w:t>
        </w:r>
      </w:hyperlink>
    </w:p>
    <w:p w:rsidR="00F124F2" w:rsidRPr="009B5E0F" w:rsidRDefault="00F124F2" w:rsidP="00F124F2">
      <w:pPr>
        <w:rPr>
          <w:rFonts w:asciiTheme="minorHAnsi" w:hAnsiTheme="minorHAnsi"/>
          <w:sz w:val="24"/>
        </w:rPr>
      </w:pPr>
      <w:r w:rsidRPr="009B5E0F">
        <w:rPr>
          <w:rFonts w:asciiTheme="minorHAnsi" w:hAnsiTheme="minorHAnsi"/>
          <w:noProof/>
          <w:sz w:val="24"/>
        </w:rPr>
        <w:drawing>
          <wp:inline distT="0" distB="0" distL="0" distR="0">
            <wp:extent cx="66675" cy="114300"/>
            <wp:effectExtent l="19050" t="0" r="9525" b="0"/>
            <wp:docPr id="36" name="Picture 36" descr="http://uk.practicallaw.com/presentation/images/common/listBull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uk.practicallaw.com/presentation/images/common/listBullet.gif"/>
                    <pic:cNvPicPr>
                      <a:picLocks noChangeAspect="1" noChangeArrowheads="1"/>
                    </pic:cNvPicPr>
                  </pic:nvPicPr>
                  <pic:blipFill>
                    <a:blip r:embed="rId8" cstate="print"/>
                    <a:srcRect/>
                    <a:stretch>
                      <a:fillRect/>
                    </a:stretch>
                  </pic:blipFill>
                  <pic:spPr bwMode="auto">
                    <a:xfrm>
                      <a:off x="0" y="0"/>
                      <a:ext cx="66675" cy="114300"/>
                    </a:xfrm>
                    <a:prstGeom prst="rect">
                      <a:avLst/>
                    </a:prstGeom>
                    <a:noFill/>
                    <a:ln w="9525">
                      <a:noFill/>
                      <a:miter lim="800000"/>
                      <a:headEnd/>
                      <a:tailEnd/>
                    </a:ln>
                  </pic:spPr>
                </pic:pic>
              </a:graphicData>
            </a:graphic>
          </wp:inline>
        </w:drawing>
      </w:r>
      <w:hyperlink r:id="rId41" w:anchor="a748022" w:history="1">
        <w:r w:rsidRPr="009B5E0F">
          <w:rPr>
            <w:rFonts w:asciiTheme="minorHAnsi" w:hAnsiTheme="minorHAnsi"/>
            <w:color w:val="005A84"/>
            <w:sz w:val="24"/>
          </w:rPr>
          <w:t>Dismissal</w:t>
        </w:r>
      </w:hyperlink>
    </w:p>
    <w:p w:rsidR="00F124F2" w:rsidRPr="009B5E0F" w:rsidRDefault="00F124F2" w:rsidP="00F124F2">
      <w:pPr>
        <w:rPr>
          <w:rFonts w:asciiTheme="minorHAnsi" w:hAnsiTheme="minorHAnsi"/>
          <w:sz w:val="24"/>
        </w:rPr>
      </w:pPr>
      <w:r w:rsidRPr="009B5E0F">
        <w:rPr>
          <w:rFonts w:asciiTheme="minorHAnsi" w:hAnsiTheme="minorHAnsi"/>
          <w:noProof/>
          <w:sz w:val="24"/>
        </w:rPr>
        <w:drawing>
          <wp:inline distT="0" distB="0" distL="0" distR="0">
            <wp:extent cx="66675" cy="114300"/>
            <wp:effectExtent l="19050" t="0" r="9525" b="0"/>
            <wp:docPr id="37" name="Picture 37" descr="http://uk.practicallaw.com/presentation/images/common/listBull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uk.practicallaw.com/presentation/images/common/listBullet.gif"/>
                    <pic:cNvPicPr>
                      <a:picLocks noChangeAspect="1" noChangeArrowheads="1"/>
                    </pic:cNvPicPr>
                  </pic:nvPicPr>
                  <pic:blipFill>
                    <a:blip r:embed="rId8" cstate="print"/>
                    <a:srcRect/>
                    <a:stretch>
                      <a:fillRect/>
                    </a:stretch>
                  </pic:blipFill>
                  <pic:spPr bwMode="auto">
                    <a:xfrm>
                      <a:off x="0" y="0"/>
                      <a:ext cx="66675" cy="114300"/>
                    </a:xfrm>
                    <a:prstGeom prst="rect">
                      <a:avLst/>
                    </a:prstGeom>
                    <a:noFill/>
                    <a:ln w="9525">
                      <a:noFill/>
                      <a:miter lim="800000"/>
                      <a:headEnd/>
                      <a:tailEnd/>
                    </a:ln>
                  </pic:spPr>
                </pic:pic>
              </a:graphicData>
            </a:graphic>
          </wp:inline>
        </w:drawing>
      </w:r>
      <w:hyperlink r:id="rId42" w:anchor="a701252" w:history="1">
        <w:r w:rsidRPr="009B5E0F">
          <w:rPr>
            <w:rFonts w:asciiTheme="minorHAnsi" w:hAnsiTheme="minorHAnsi"/>
            <w:color w:val="005A84"/>
            <w:sz w:val="24"/>
          </w:rPr>
          <w:t>Warnings</w:t>
        </w:r>
      </w:hyperlink>
    </w:p>
    <w:p w:rsidR="00F124F2" w:rsidRPr="009B5E0F" w:rsidRDefault="00F124F2" w:rsidP="00F124F2">
      <w:pPr>
        <w:rPr>
          <w:rFonts w:asciiTheme="minorHAnsi" w:hAnsiTheme="minorHAnsi"/>
          <w:sz w:val="24"/>
        </w:rPr>
      </w:pPr>
      <w:r w:rsidRPr="009B5E0F">
        <w:rPr>
          <w:rFonts w:asciiTheme="minorHAnsi" w:hAnsiTheme="minorHAnsi"/>
          <w:noProof/>
          <w:sz w:val="24"/>
        </w:rPr>
        <w:drawing>
          <wp:inline distT="0" distB="0" distL="0" distR="0">
            <wp:extent cx="66675" cy="114300"/>
            <wp:effectExtent l="19050" t="0" r="9525" b="0"/>
            <wp:docPr id="38" name="Picture 38" descr="http://uk.practicallaw.com/presentation/images/common/listBull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uk.practicallaw.com/presentation/images/common/listBullet.gif"/>
                    <pic:cNvPicPr>
                      <a:picLocks noChangeAspect="1" noChangeArrowheads="1"/>
                    </pic:cNvPicPr>
                  </pic:nvPicPr>
                  <pic:blipFill>
                    <a:blip r:embed="rId8" cstate="print"/>
                    <a:srcRect/>
                    <a:stretch>
                      <a:fillRect/>
                    </a:stretch>
                  </pic:blipFill>
                  <pic:spPr bwMode="auto">
                    <a:xfrm>
                      <a:off x="0" y="0"/>
                      <a:ext cx="66675" cy="114300"/>
                    </a:xfrm>
                    <a:prstGeom prst="rect">
                      <a:avLst/>
                    </a:prstGeom>
                    <a:noFill/>
                    <a:ln w="9525">
                      <a:noFill/>
                      <a:miter lim="800000"/>
                      <a:headEnd/>
                      <a:tailEnd/>
                    </a:ln>
                  </pic:spPr>
                </pic:pic>
              </a:graphicData>
            </a:graphic>
          </wp:inline>
        </w:drawing>
      </w:r>
      <w:hyperlink r:id="rId43" w:anchor="a271408" w:history="1">
        <w:r w:rsidRPr="009B5E0F">
          <w:rPr>
            <w:rFonts w:asciiTheme="minorHAnsi" w:hAnsiTheme="minorHAnsi"/>
            <w:color w:val="005A84"/>
            <w:sz w:val="24"/>
          </w:rPr>
          <w:t>Demotion or other sanctions</w:t>
        </w:r>
      </w:hyperlink>
    </w:p>
    <w:p w:rsidR="00F124F2" w:rsidRPr="009B5E0F" w:rsidRDefault="00F124F2" w:rsidP="00F124F2">
      <w:pPr>
        <w:rPr>
          <w:rFonts w:asciiTheme="minorHAnsi" w:hAnsiTheme="minorHAnsi"/>
          <w:sz w:val="24"/>
        </w:rPr>
      </w:pPr>
      <w:r w:rsidRPr="009B5E0F">
        <w:rPr>
          <w:rFonts w:asciiTheme="minorHAnsi" w:hAnsiTheme="minorHAnsi"/>
          <w:noProof/>
          <w:sz w:val="24"/>
        </w:rPr>
        <w:drawing>
          <wp:inline distT="0" distB="0" distL="0" distR="0">
            <wp:extent cx="66675" cy="114300"/>
            <wp:effectExtent l="19050" t="0" r="9525" b="0"/>
            <wp:docPr id="39" name="Picture 39" descr="http://uk.practicallaw.com/presentation/images/common/listBull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uk.practicallaw.com/presentation/images/common/listBullet.gif"/>
                    <pic:cNvPicPr>
                      <a:picLocks noChangeAspect="1" noChangeArrowheads="1"/>
                    </pic:cNvPicPr>
                  </pic:nvPicPr>
                  <pic:blipFill>
                    <a:blip r:embed="rId8" cstate="print"/>
                    <a:srcRect/>
                    <a:stretch>
                      <a:fillRect/>
                    </a:stretch>
                  </pic:blipFill>
                  <pic:spPr bwMode="auto">
                    <a:xfrm>
                      <a:off x="0" y="0"/>
                      <a:ext cx="66675" cy="114300"/>
                    </a:xfrm>
                    <a:prstGeom prst="rect">
                      <a:avLst/>
                    </a:prstGeom>
                    <a:noFill/>
                    <a:ln w="9525">
                      <a:noFill/>
                      <a:miter lim="800000"/>
                      <a:headEnd/>
                      <a:tailEnd/>
                    </a:ln>
                  </pic:spPr>
                </pic:pic>
              </a:graphicData>
            </a:graphic>
          </wp:inline>
        </w:drawing>
      </w:r>
      <w:hyperlink r:id="rId44" w:anchor="a95335" w:history="1">
        <w:r w:rsidRPr="009B5E0F">
          <w:rPr>
            <w:rFonts w:asciiTheme="minorHAnsi" w:hAnsiTheme="minorHAnsi"/>
            <w:color w:val="005A84"/>
            <w:sz w:val="24"/>
          </w:rPr>
          <w:t>Communicating the decision</w:t>
        </w:r>
      </w:hyperlink>
    </w:p>
    <w:p w:rsidR="00F124F2" w:rsidRPr="009B5E0F" w:rsidRDefault="00F124F2" w:rsidP="00F124F2">
      <w:pPr>
        <w:rPr>
          <w:rFonts w:asciiTheme="minorHAnsi" w:hAnsiTheme="minorHAnsi"/>
          <w:sz w:val="24"/>
        </w:rPr>
      </w:pPr>
      <w:r w:rsidRPr="009B5E0F">
        <w:rPr>
          <w:rFonts w:asciiTheme="minorHAnsi" w:hAnsiTheme="minorHAnsi"/>
          <w:noProof/>
          <w:sz w:val="24"/>
        </w:rPr>
        <w:drawing>
          <wp:inline distT="0" distB="0" distL="0" distR="0">
            <wp:extent cx="66675" cy="114300"/>
            <wp:effectExtent l="19050" t="0" r="9525" b="0"/>
            <wp:docPr id="40" name="Picture 40" descr="http://uk.practicallaw.com/presentation/images/common/listBull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uk.practicallaw.com/presentation/images/common/listBullet.gif"/>
                    <pic:cNvPicPr>
                      <a:picLocks noChangeAspect="1" noChangeArrowheads="1"/>
                    </pic:cNvPicPr>
                  </pic:nvPicPr>
                  <pic:blipFill>
                    <a:blip r:embed="rId8" cstate="print"/>
                    <a:srcRect/>
                    <a:stretch>
                      <a:fillRect/>
                    </a:stretch>
                  </pic:blipFill>
                  <pic:spPr bwMode="auto">
                    <a:xfrm>
                      <a:off x="0" y="0"/>
                      <a:ext cx="66675" cy="114300"/>
                    </a:xfrm>
                    <a:prstGeom prst="rect">
                      <a:avLst/>
                    </a:prstGeom>
                    <a:noFill/>
                    <a:ln w="9525">
                      <a:noFill/>
                      <a:miter lim="800000"/>
                      <a:headEnd/>
                      <a:tailEnd/>
                    </a:ln>
                  </pic:spPr>
                </pic:pic>
              </a:graphicData>
            </a:graphic>
          </wp:inline>
        </w:drawing>
      </w:r>
      <w:hyperlink r:id="rId45" w:anchor="a377873" w:history="1">
        <w:r w:rsidRPr="009B5E0F">
          <w:rPr>
            <w:rFonts w:asciiTheme="minorHAnsi" w:hAnsiTheme="minorHAnsi"/>
            <w:color w:val="005A84"/>
            <w:sz w:val="24"/>
          </w:rPr>
          <w:t>Appeals</w:t>
        </w:r>
      </w:hyperlink>
    </w:p>
    <w:p w:rsidR="00F124F2" w:rsidRPr="009B5E0F" w:rsidRDefault="00F124F2" w:rsidP="00F124F2">
      <w:pPr>
        <w:rPr>
          <w:rFonts w:asciiTheme="minorHAnsi" w:hAnsiTheme="minorHAnsi"/>
          <w:sz w:val="24"/>
        </w:rPr>
      </w:pPr>
      <w:r w:rsidRPr="009B5E0F">
        <w:rPr>
          <w:rFonts w:asciiTheme="minorHAnsi" w:hAnsiTheme="minorHAnsi"/>
          <w:noProof/>
          <w:sz w:val="24"/>
        </w:rPr>
        <w:drawing>
          <wp:inline distT="0" distB="0" distL="0" distR="0">
            <wp:extent cx="66675" cy="114300"/>
            <wp:effectExtent l="19050" t="0" r="9525" b="0"/>
            <wp:docPr id="42" name="Picture 42" descr="http://uk.practicallaw.com/presentation/images/common/listBull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uk.practicallaw.com/presentation/images/common/listBullet.gif"/>
                    <pic:cNvPicPr>
                      <a:picLocks noChangeAspect="1" noChangeArrowheads="1"/>
                    </pic:cNvPicPr>
                  </pic:nvPicPr>
                  <pic:blipFill>
                    <a:blip r:embed="rId8" cstate="print"/>
                    <a:srcRect/>
                    <a:stretch>
                      <a:fillRect/>
                    </a:stretch>
                  </pic:blipFill>
                  <pic:spPr bwMode="auto">
                    <a:xfrm>
                      <a:off x="0" y="0"/>
                      <a:ext cx="66675" cy="114300"/>
                    </a:xfrm>
                    <a:prstGeom prst="rect">
                      <a:avLst/>
                    </a:prstGeom>
                    <a:noFill/>
                    <a:ln w="9525">
                      <a:noFill/>
                      <a:miter lim="800000"/>
                      <a:headEnd/>
                      <a:tailEnd/>
                    </a:ln>
                  </pic:spPr>
                </pic:pic>
              </a:graphicData>
            </a:graphic>
          </wp:inline>
        </w:drawing>
      </w:r>
      <w:hyperlink r:id="rId46" w:anchor="a1012475" w:history="1">
        <w:r w:rsidRPr="009B5E0F">
          <w:rPr>
            <w:rFonts w:asciiTheme="minorHAnsi" w:hAnsiTheme="minorHAnsi"/>
            <w:color w:val="005A84"/>
            <w:sz w:val="24"/>
          </w:rPr>
          <w:t>Impartiality when conducting an appeal</w:t>
        </w:r>
      </w:hyperlink>
    </w:p>
    <w:p w:rsidR="00F124F2" w:rsidRPr="009B5E0F" w:rsidRDefault="00F124F2" w:rsidP="00F124F2">
      <w:pPr>
        <w:rPr>
          <w:rFonts w:asciiTheme="minorHAnsi" w:hAnsiTheme="minorHAnsi"/>
          <w:sz w:val="24"/>
        </w:rPr>
      </w:pPr>
      <w:r w:rsidRPr="009B5E0F">
        <w:rPr>
          <w:rFonts w:asciiTheme="minorHAnsi" w:hAnsiTheme="minorHAnsi"/>
          <w:noProof/>
          <w:sz w:val="24"/>
        </w:rPr>
        <w:drawing>
          <wp:inline distT="0" distB="0" distL="0" distR="0">
            <wp:extent cx="66675" cy="114300"/>
            <wp:effectExtent l="19050" t="0" r="9525" b="0"/>
            <wp:docPr id="43" name="Picture 43" descr="http://uk.practicallaw.com/presentation/images/common/listBull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uk.practicallaw.com/presentation/images/common/listBullet.gif"/>
                    <pic:cNvPicPr>
                      <a:picLocks noChangeAspect="1" noChangeArrowheads="1"/>
                    </pic:cNvPicPr>
                  </pic:nvPicPr>
                  <pic:blipFill>
                    <a:blip r:embed="rId8" cstate="print"/>
                    <a:srcRect/>
                    <a:stretch>
                      <a:fillRect/>
                    </a:stretch>
                  </pic:blipFill>
                  <pic:spPr bwMode="auto">
                    <a:xfrm>
                      <a:off x="0" y="0"/>
                      <a:ext cx="66675" cy="114300"/>
                    </a:xfrm>
                    <a:prstGeom prst="rect">
                      <a:avLst/>
                    </a:prstGeom>
                    <a:noFill/>
                    <a:ln w="9525">
                      <a:noFill/>
                      <a:miter lim="800000"/>
                      <a:headEnd/>
                      <a:tailEnd/>
                    </a:ln>
                  </pic:spPr>
                </pic:pic>
              </a:graphicData>
            </a:graphic>
          </wp:inline>
        </w:drawing>
      </w:r>
      <w:hyperlink r:id="rId47" w:anchor="a638626" w:history="1">
        <w:r w:rsidRPr="009B5E0F">
          <w:rPr>
            <w:rFonts w:asciiTheme="minorHAnsi" w:hAnsiTheme="minorHAnsi"/>
            <w:color w:val="005A84"/>
            <w:sz w:val="24"/>
          </w:rPr>
          <w:t>Appeal procedure</w:t>
        </w:r>
      </w:hyperlink>
    </w:p>
    <w:p w:rsidR="00F124F2" w:rsidRPr="009B5E0F" w:rsidRDefault="00F124F2" w:rsidP="00F124F2">
      <w:pPr>
        <w:rPr>
          <w:rFonts w:asciiTheme="minorHAnsi" w:hAnsiTheme="minorHAnsi"/>
          <w:sz w:val="24"/>
        </w:rPr>
      </w:pPr>
      <w:r w:rsidRPr="009B5E0F">
        <w:rPr>
          <w:rFonts w:asciiTheme="minorHAnsi" w:hAnsiTheme="minorHAnsi"/>
          <w:noProof/>
          <w:sz w:val="24"/>
        </w:rPr>
        <w:drawing>
          <wp:inline distT="0" distB="0" distL="0" distR="0">
            <wp:extent cx="66675" cy="114300"/>
            <wp:effectExtent l="19050" t="0" r="9525" b="0"/>
            <wp:docPr id="44" name="Picture 44" descr="http://uk.practicallaw.com/presentation/images/common/listBull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uk.practicallaw.com/presentation/images/common/listBullet.gif"/>
                    <pic:cNvPicPr>
                      <a:picLocks noChangeAspect="1" noChangeArrowheads="1"/>
                    </pic:cNvPicPr>
                  </pic:nvPicPr>
                  <pic:blipFill>
                    <a:blip r:embed="rId8" cstate="print"/>
                    <a:srcRect/>
                    <a:stretch>
                      <a:fillRect/>
                    </a:stretch>
                  </pic:blipFill>
                  <pic:spPr bwMode="auto">
                    <a:xfrm>
                      <a:off x="0" y="0"/>
                      <a:ext cx="66675" cy="114300"/>
                    </a:xfrm>
                    <a:prstGeom prst="rect">
                      <a:avLst/>
                    </a:prstGeom>
                    <a:noFill/>
                    <a:ln w="9525">
                      <a:noFill/>
                      <a:miter lim="800000"/>
                      <a:headEnd/>
                      <a:tailEnd/>
                    </a:ln>
                  </pic:spPr>
                </pic:pic>
              </a:graphicData>
            </a:graphic>
          </wp:inline>
        </w:drawing>
      </w:r>
      <w:hyperlink r:id="rId48" w:anchor="a418363" w:history="1">
        <w:r w:rsidRPr="009B5E0F">
          <w:rPr>
            <w:rFonts w:asciiTheme="minorHAnsi" w:hAnsiTheme="minorHAnsi"/>
            <w:color w:val="005A84"/>
            <w:sz w:val="24"/>
          </w:rPr>
          <w:t>New evidence at the appeal stage</w:t>
        </w:r>
      </w:hyperlink>
    </w:p>
    <w:p w:rsidR="00F124F2" w:rsidRPr="009B5E0F" w:rsidRDefault="00F124F2" w:rsidP="00F124F2">
      <w:pPr>
        <w:rPr>
          <w:rFonts w:asciiTheme="minorHAnsi" w:hAnsiTheme="minorHAnsi"/>
          <w:sz w:val="24"/>
        </w:rPr>
      </w:pPr>
      <w:r w:rsidRPr="009B5E0F">
        <w:rPr>
          <w:rFonts w:asciiTheme="minorHAnsi" w:hAnsiTheme="minorHAnsi"/>
          <w:noProof/>
          <w:sz w:val="24"/>
        </w:rPr>
        <w:drawing>
          <wp:inline distT="0" distB="0" distL="0" distR="0">
            <wp:extent cx="66675" cy="114300"/>
            <wp:effectExtent l="19050" t="0" r="9525" b="0"/>
            <wp:docPr id="45" name="Picture 45" descr="http://uk.practicallaw.com/presentation/images/common/listBull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uk.practicallaw.com/presentation/images/common/listBullet.gif"/>
                    <pic:cNvPicPr>
                      <a:picLocks noChangeAspect="1" noChangeArrowheads="1"/>
                    </pic:cNvPicPr>
                  </pic:nvPicPr>
                  <pic:blipFill>
                    <a:blip r:embed="rId8" cstate="print"/>
                    <a:srcRect/>
                    <a:stretch>
                      <a:fillRect/>
                    </a:stretch>
                  </pic:blipFill>
                  <pic:spPr bwMode="auto">
                    <a:xfrm>
                      <a:off x="0" y="0"/>
                      <a:ext cx="66675" cy="114300"/>
                    </a:xfrm>
                    <a:prstGeom prst="rect">
                      <a:avLst/>
                    </a:prstGeom>
                    <a:noFill/>
                    <a:ln w="9525">
                      <a:noFill/>
                      <a:miter lim="800000"/>
                      <a:headEnd/>
                      <a:tailEnd/>
                    </a:ln>
                  </pic:spPr>
                </pic:pic>
              </a:graphicData>
            </a:graphic>
          </wp:inline>
        </w:drawing>
      </w:r>
      <w:hyperlink r:id="rId49" w:anchor="a576149" w:history="1">
        <w:r w:rsidRPr="009B5E0F">
          <w:rPr>
            <w:rFonts w:asciiTheme="minorHAnsi" w:hAnsiTheme="minorHAnsi"/>
            <w:color w:val="005A84"/>
            <w:sz w:val="24"/>
          </w:rPr>
          <w:t>Increasing the sanction at the appeal stage</w:t>
        </w:r>
      </w:hyperlink>
    </w:p>
    <w:p w:rsidR="00F124F2" w:rsidRPr="009B5E0F" w:rsidRDefault="00F124F2" w:rsidP="00F124F2">
      <w:pPr>
        <w:rPr>
          <w:rFonts w:asciiTheme="minorHAnsi" w:hAnsiTheme="minorHAnsi"/>
          <w:sz w:val="24"/>
        </w:rPr>
      </w:pPr>
      <w:r w:rsidRPr="009B5E0F">
        <w:rPr>
          <w:rFonts w:asciiTheme="minorHAnsi" w:hAnsiTheme="minorHAnsi"/>
          <w:noProof/>
          <w:sz w:val="24"/>
        </w:rPr>
        <w:drawing>
          <wp:inline distT="0" distB="0" distL="0" distR="0">
            <wp:extent cx="114300" cy="123825"/>
            <wp:effectExtent l="19050" t="0" r="0" b="0"/>
            <wp:docPr id="46" name="Picture 46" descr="http://uk.practicallaw.com/presentation/images/common/noExpandTopi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uk.practicallaw.com/presentation/images/common/noExpandTopic.gif"/>
                    <pic:cNvPicPr>
                      <a:picLocks noChangeAspect="1" noChangeArrowheads="1"/>
                    </pic:cNvPicPr>
                  </pic:nvPicPr>
                  <pic:blipFill>
                    <a:blip r:embed="rId6" cstate="print"/>
                    <a:srcRect/>
                    <a:stretch>
                      <a:fillRect/>
                    </a:stretch>
                  </pic:blipFill>
                  <pic:spPr bwMode="auto">
                    <a:xfrm>
                      <a:off x="0" y="0"/>
                      <a:ext cx="114300" cy="123825"/>
                    </a:xfrm>
                    <a:prstGeom prst="rect">
                      <a:avLst/>
                    </a:prstGeom>
                    <a:noFill/>
                    <a:ln w="9525">
                      <a:noFill/>
                      <a:miter lim="800000"/>
                      <a:headEnd/>
                      <a:tailEnd/>
                    </a:ln>
                  </pic:spPr>
                </pic:pic>
              </a:graphicData>
            </a:graphic>
          </wp:inline>
        </w:drawing>
      </w:r>
      <w:r w:rsidR="00376472" w:rsidRPr="009B5E0F">
        <w:rPr>
          <w:rFonts w:asciiTheme="minorHAnsi" w:hAnsiTheme="minorHAnsi"/>
          <w:noProof/>
          <w:sz w:val="24"/>
        </w:rPr>
        <w:t xml:space="preserve"> </w:t>
      </w:r>
      <w:r w:rsidRPr="009B5E0F">
        <w:rPr>
          <w:rFonts w:asciiTheme="minorHAnsi" w:hAnsiTheme="minorHAnsi"/>
          <w:noProof/>
          <w:sz w:val="24"/>
        </w:rPr>
        <w:drawing>
          <wp:inline distT="0" distB="0" distL="0" distR="0">
            <wp:extent cx="66675" cy="114300"/>
            <wp:effectExtent l="19050" t="0" r="9525" b="0"/>
            <wp:docPr id="47" name="Picture 47" descr="http://uk.practicallaw.com/presentation/images/common/listBull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uk.practicallaw.com/presentation/images/common/listBullet.gif"/>
                    <pic:cNvPicPr>
                      <a:picLocks noChangeAspect="1" noChangeArrowheads="1"/>
                    </pic:cNvPicPr>
                  </pic:nvPicPr>
                  <pic:blipFill>
                    <a:blip r:embed="rId8" cstate="print"/>
                    <a:srcRect/>
                    <a:stretch>
                      <a:fillRect/>
                    </a:stretch>
                  </pic:blipFill>
                  <pic:spPr bwMode="auto">
                    <a:xfrm>
                      <a:off x="0" y="0"/>
                      <a:ext cx="66675" cy="114300"/>
                    </a:xfrm>
                    <a:prstGeom prst="rect">
                      <a:avLst/>
                    </a:prstGeom>
                    <a:noFill/>
                    <a:ln w="9525">
                      <a:noFill/>
                      <a:miter lim="800000"/>
                      <a:headEnd/>
                      <a:tailEnd/>
                    </a:ln>
                  </pic:spPr>
                </pic:pic>
              </a:graphicData>
            </a:graphic>
          </wp:inline>
        </w:drawing>
      </w:r>
      <w:hyperlink r:id="rId50" w:anchor="a263318" w:history="1">
        <w:r w:rsidRPr="009B5E0F">
          <w:rPr>
            <w:rFonts w:asciiTheme="minorHAnsi" w:hAnsiTheme="minorHAnsi"/>
            <w:color w:val="005A84"/>
            <w:sz w:val="24"/>
          </w:rPr>
          <w:t>Records of the investigation</w:t>
        </w:r>
      </w:hyperlink>
    </w:p>
    <w:p w:rsidR="00F124F2" w:rsidRPr="009B5E0F" w:rsidRDefault="00F124F2" w:rsidP="00F124F2">
      <w:pPr>
        <w:rPr>
          <w:rFonts w:asciiTheme="minorHAnsi" w:hAnsiTheme="minorHAnsi"/>
          <w:sz w:val="24"/>
        </w:rPr>
      </w:pPr>
      <w:r w:rsidRPr="009B5E0F">
        <w:rPr>
          <w:rFonts w:asciiTheme="minorHAnsi" w:hAnsiTheme="minorHAnsi"/>
          <w:noProof/>
          <w:sz w:val="24"/>
        </w:rPr>
        <w:drawing>
          <wp:inline distT="0" distB="0" distL="0" distR="0">
            <wp:extent cx="66675" cy="114300"/>
            <wp:effectExtent l="19050" t="0" r="9525" b="0"/>
            <wp:docPr id="48" name="Picture 48" descr="http://uk.practicallaw.com/presentation/images/common/listBull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uk.practicallaw.com/presentation/images/common/listBullet.gif"/>
                    <pic:cNvPicPr>
                      <a:picLocks noChangeAspect="1" noChangeArrowheads="1"/>
                    </pic:cNvPicPr>
                  </pic:nvPicPr>
                  <pic:blipFill>
                    <a:blip r:embed="rId8" cstate="print"/>
                    <a:srcRect/>
                    <a:stretch>
                      <a:fillRect/>
                    </a:stretch>
                  </pic:blipFill>
                  <pic:spPr bwMode="auto">
                    <a:xfrm>
                      <a:off x="0" y="0"/>
                      <a:ext cx="66675" cy="114300"/>
                    </a:xfrm>
                    <a:prstGeom prst="rect">
                      <a:avLst/>
                    </a:prstGeom>
                    <a:noFill/>
                    <a:ln w="9525">
                      <a:noFill/>
                      <a:miter lim="800000"/>
                      <a:headEnd/>
                      <a:tailEnd/>
                    </a:ln>
                  </pic:spPr>
                </pic:pic>
              </a:graphicData>
            </a:graphic>
          </wp:inline>
        </w:drawing>
      </w:r>
      <w:hyperlink r:id="rId51" w:anchor="a889487" w:history="1">
        <w:r w:rsidRPr="009B5E0F">
          <w:rPr>
            <w:rFonts w:asciiTheme="minorHAnsi" w:hAnsiTheme="minorHAnsi"/>
            <w:color w:val="005A84"/>
            <w:sz w:val="24"/>
          </w:rPr>
          <w:t>Minutes of hearings</w:t>
        </w:r>
      </w:hyperlink>
    </w:p>
    <w:p w:rsidR="00F124F2" w:rsidRPr="009B5E0F" w:rsidRDefault="00F124F2" w:rsidP="00F124F2">
      <w:pPr>
        <w:rPr>
          <w:rFonts w:asciiTheme="minorHAnsi" w:hAnsiTheme="minorHAnsi"/>
          <w:sz w:val="24"/>
        </w:rPr>
      </w:pPr>
      <w:r w:rsidRPr="009B5E0F">
        <w:rPr>
          <w:rFonts w:asciiTheme="minorHAnsi" w:hAnsiTheme="minorHAnsi"/>
          <w:noProof/>
          <w:sz w:val="24"/>
        </w:rPr>
        <w:lastRenderedPageBreak/>
        <w:drawing>
          <wp:inline distT="0" distB="0" distL="0" distR="0">
            <wp:extent cx="66675" cy="114300"/>
            <wp:effectExtent l="19050" t="0" r="9525" b="0"/>
            <wp:docPr id="49" name="Picture 49" descr="http://uk.practicallaw.com/presentation/images/common/listBull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uk.practicallaw.com/presentation/images/common/listBullet.gif"/>
                    <pic:cNvPicPr>
                      <a:picLocks noChangeAspect="1" noChangeArrowheads="1"/>
                    </pic:cNvPicPr>
                  </pic:nvPicPr>
                  <pic:blipFill>
                    <a:blip r:embed="rId8" cstate="print"/>
                    <a:srcRect/>
                    <a:stretch>
                      <a:fillRect/>
                    </a:stretch>
                  </pic:blipFill>
                  <pic:spPr bwMode="auto">
                    <a:xfrm>
                      <a:off x="0" y="0"/>
                      <a:ext cx="66675" cy="114300"/>
                    </a:xfrm>
                    <a:prstGeom prst="rect">
                      <a:avLst/>
                    </a:prstGeom>
                    <a:noFill/>
                    <a:ln w="9525">
                      <a:noFill/>
                      <a:miter lim="800000"/>
                      <a:headEnd/>
                      <a:tailEnd/>
                    </a:ln>
                  </pic:spPr>
                </pic:pic>
              </a:graphicData>
            </a:graphic>
          </wp:inline>
        </w:drawing>
      </w:r>
      <w:hyperlink r:id="rId52" w:anchor="a443647" w:history="1">
        <w:r w:rsidRPr="009B5E0F">
          <w:rPr>
            <w:rFonts w:asciiTheme="minorHAnsi" w:hAnsiTheme="minorHAnsi"/>
            <w:color w:val="005A84"/>
            <w:sz w:val="24"/>
          </w:rPr>
          <w:t>Covert recording of hearings</w:t>
        </w:r>
      </w:hyperlink>
    </w:p>
    <w:p w:rsidR="00F124F2" w:rsidRPr="009B5E0F" w:rsidRDefault="00F124F2" w:rsidP="00F124F2">
      <w:pPr>
        <w:rPr>
          <w:rFonts w:asciiTheme="minorHAnsi" w:hAnsiTheme="minorHAnsi"/>
          <w:sz w:val="24"/>
        </w:rPr>
      </w:pPr>
      <w:r w:rsidRPr="009B5E0F">
        <w:rPr>
          <w:rFonts w:asciiTheme="minorHAnsi" w:hAnsiTheme="minorHAnsi"/>
          <w:noProof/>
          <w:sz w:val="24"/>
        </w:rPr>
        <w:drawing>
          <wp:inline distT="0" distB="0" distL="0" distR="0">
            <wp:extent cx="66675" cy="114300"/>
            <wp:effectExtent l="19050" t="0" r="9525" b="0"/>
            <wp:docPr id="50" name="Picture 50" descr="http://uk.practicallaw.com/presentation/images/common/listBull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uk.practicallaw.com/presentation/images/common/listBullet.gif"/>
                    <pic:cNvPicPr>
                      <a:picLocks noChangeAspect="1" noChangeArrowheads="1"/>
                    </pic:cNvPicPr>
                  </pic:nvPicPr>
                  <pic:blipFill>
                    <a:blip r:embed="rId8" cstate="print"/>
                    <a:srcRect/>
                    <a:stretch>
                      <a:fillRect/>
                    </a:stretch>
                  </pic:blipFill>
                  <pic:spPr bwMode="auto">
                    <a:xfrm>
                      <a:off x="0" y="0"/>
                      <a:ext cx="66675" cy="114300"/>
                    </a:xfrm>
                    <a:prstGeom prst="rect">
                      <a:avLst/>
                    </a:prstGeom>
                    <a:noFill/>
                    <a:ln w="9525">
                      <a:noFill/>
                      <a:miter lim="800000"/>
                      <a:headEnd/>
                      <a:tailEnd/>
                    </a:ln>
                  </pic:spPr>
                </pic:pic>
              </a:graphicData>
            </a:graphic>
          </wp:inline>
        </w:drawing>
      </w:r>
      <w:hyperlink r:id="rId53" w:anchor="a729801" w:history="1">
        <w:r w:rsidRPr="009B5E0F">
          <w:rPr>
            <w:rFonts w:asciiTheme="minorHAnsi" w:hAnsiTheme="minorHAnsi"/>
            <w:color w:val="005A84"/>
            <w:sz w:val="24"/>
          </w:rPr>
          <w:t>Should spent warnings be kept on file?</w:t>
        </w:r>
      </w:hyperlink>
    </w:p>
    <w:p w:rsidR="00F124F2" w:rsidRPr="009B5E0F" w:rsidRDefault="00F124F2" w:rsidP="009B5E0F">
      <w:pPr>
        <w:rPr>
          <w:rFonts w:asciiTheme="minorHAnsi" w:hAnsiTheme="minorHAnsi"/>
          <w:sz w:val="24"/>
        </w:rPr>
      </w:pPr>
    </w:p>
    <w:p w:rsidR="00F124F2" w:rsidRPr="009B5E0F" w:rsidRDefault="00C929EC" w:rsidP="00F124F2">
      <w:pPr>
        <w:rPr>
          <w:rFonts w:asciiTheme="minorHAnsi" w:hAnsiTheme="minorHAnsi"/>
          <w:vanish/>
          <w:sz w:val="24"/>
        </w:rPr>
      </w:pPr>
      <w:hyperlink r:id="rId54" w:anchor="top" w:tooltip="Link to the top of the document" w:history="1">
        <w:r w:rsidR="00F124F2" w:rsidRPr="009B5E0F">
          <w:rPr>
            <w:rFonts w:asciiTheme="minorHAnsi" w:hAnsiTheme="minorHAnsi"/>
            <w:vanish/>
            <w:color w:val="005A84"/>
            <w:sz w:val="24"/>
          </w:rPr>
          <w:t>Top</w:t>
        </w:r>
      </w:hyperlink>
    </w:p>
    <w:p w:rsidR="00F124F2" w:rsidRPr="009B5E0F" w:rsidRDefault="00F124F2" w:rsidP="00F124F2">
      <w:pPr>
        <w:pBdr>
          <w:bottom w:val="dotted" w:sz="6" w:space="7" w:color="BABABA"/>
        </w:pBdr>
        <w:spacing w:before="100" w:beforeAutospacing="1" w:after="135"/>
        <w:outlineLvl w:val="1"/>
        <w:rPr>
          <w:rFonts w:asciiTheme="minorHAnsi" w:hAnsiTheme="minorHAnsi"/>
          <w:b/>
          <w:bCs/>
          <w:sz w:val="24"/>
        </w:rPr>
      </w:pPr>
      <w:bookmarkStart w:id="1" w:name="a152953"/>
      <w:bookmarkEnd w:id="1"/>
      <w:r w:rsidRPr="009B5E0F">
        <w:rPr>
          <w:rFonts w:asciiTheme="minorHAnsi" w:hAnsiTheme="minorHAnsi"/>
          <w:b/>
          <w:bCs/>
          <w:sz w:val="24"/>
        </w:rPr>
        <w:t>Key legal principles</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Before commencing any disciplinary process, an employer needs to be familiar with the following:</w:t>
      </w:r>
    </w:p>
    <w:p w:rsidR="00F124F2" w:rsidRPr="009B5E0F" w:rsidRDefault="00F124F2" w:rsidP="00F124F2">
      <w:pPr>
        <w:numPr>
          <w:ilvl w:val="0"/>
          <w:numId w:val="1"/>
        </w:numPr>
        <w:spacing w:before="100" w:beforeAutospacing="1" w:after="100" w:afterAutospacing="1"/>
        <w:ind w:left="0"/>
        <w:rPr>
          <w:rFonts w:asciiTheme="minorHAnsi" w:hAnsiTheme="minorHAnsi"/>
          <w:sz w:val="24"/>
        </w:rPr>
      </w:pPr>
      <w:r w:rsidRPr="009B5E0F">
        <w:rPr>
          <w:rFonts w:asciiTheme="minorHAnsi" w:hAnsiTheme="minorHAnsi"/>
          <w:sz w:val="24"/>
        </w:rPr>
        <w:t xml:space="preserve">The principles of fairness set out in the </w:t>
      </w:r>
      <w:hyperlink r:id="rId55" w:history="1">
        <w:r w:rsidRPr="009B5E0F">
          <w:rPr>
            <w:rFonts w:asciiTheme="minorHAnsi" w:hAnsiTheme="minorHAnsi"/>
            <w:i/>
            <w:iCs/>
            <w:color w:val="005A84"/>
            <w:sz w:val="24"/>
          </w:rPr>
          <w:t>Acas Code of Practice on Disciplinary and Grievance Procedures</w:t>
        </w:r>
        <w:r w:rsidRPr="009B5E0F">
          <w:rPr>
            <w:rFonts w:asciiTheme="minorHAnsi" w:hAnsiTheme="minorHAnsi"/>
            <w:i/>
            <w:iCs/>
            <w:vanish/>
            <w:color w:val="005A84"/>
            <w:sz w:val="24"/>
          </w:rPr>
          <w:t xml:space="preserve"> ( www.practicallaw.com/9-200-4742) </w:t>
        </w:r>
      </w:hyperlink>
      <w:r w:rsidRPr="009B5E0F">
        <w:rPr>
          <w:rFonts w:asciiTheme="minorHAnsi" w:hAnsiTheme="minorHAnsi"/>
          <w:sz w:val="24"/>
        </w:rPr>
        <w:t xml:space="preserve">(the </w:t>
      </w:r>
      <w:proofErr w:type="spellStart"/>
      <w:r w:rsidRPr="009B5E0F">
        <w:rPr>
          <w:rFonts w:asciiTheme="minorHAnsi" w:hAnsiTheme="minorHAnsi"/>
          <w:sz w:val="24"/>
        </w:rPr>
        <w:t>Acas</w:t>
      </w:r>
      <w:proofErr w:type="spellEnd"/>
      <w:r w:rsidRPr="009B5E0F">
        <w:rPr>
          <w:rFonts w:asciiTheme="minorHAnsi" w:hAnsiTheme="minorHAnsi"/>
          <w:sz w:val="24"/>
        </w:rPr>
        <w:t xml:space="preserve"> Code) and the supporting non-statutory guide, </w:t>
      </w:r>
      <w:hyperlink r:id="rId56" w:history="1">
        <w:r w:rsidRPr="009B5E0F">
          <w:rPr>
            <w:rFonts w:asciiTheme="minorHAnsi" w:hAnsiTheme="minorHAnsi"/>
            <w:i/>
            <w:iCs/>
            <w:color w:val="005A84"/>
            <w:sz w:val="24"/>
          </w:rPr>
          <w:t>Discipline and grievances at work</w:t>
        </w:r>
        <w:r w:rsidRPr="009B5E0F">
          <w:rPr>
            <w:rFonts w:asciiTheme="minorHAnsi" w:hAnsiTheme="minorHAnsi"/>
            <w:i/>
            <w:iCs/>
            <w:vanish/>
            <w:color w:val="005A84"/>
            <w:sz w:val="24"/>
          </w:rPr>
          <w:t xml:space="preserve"> ( www.practicallaw.com/7-384-3283) </w:t>
        </w:r>
      </w:hyperlink>
      <w:r w:rsidRPr="009B5E0F">
        <w:rPr>
          <w:rFonts w:asciiTheme="minorHAnsi" w:hAnsiTheme="minorHAnsi"/>
          <w:sz w:val="24"/>
        </w:rPr>
        <w:t xml:space="preserve">(the non-statutory </w:t>
      </w:r>
      <w:proofErr w:type="spellStart"/>
      <w:r w:rsidRPr="009B5E0F">
        <w:rPr>
          <w:rFonts w:asciiTheme="minorHAnsi" w:hAnsiTheme="minorHAnsi"/>
          <w:sz w:val="24"/>
        </w:rPr>
        <w:t>Acas</w:t>
      </w:r>
      <w:proofErr w:type="spellEnd"/>
      <w:r w:rsidRPr="009B5E0F">
        <w:rPr>
          <w:rFonts w:asciiTheme="minorHAnsi" w:hAnsiTheme="minorHAnsi"/>
          <w:sz w:val="24"/>
        </w:rPr>
        <w:t xml:space="preserve"> guide).</w:t>
      </w:r>
    </w:p>
    <w:p w:rsidR="00F124F2" w:rsidRPr="009B5E0F" w:rsidRDefault="00F124F2" w:rsidP="00F124F2">
      <w:pPr>
        <w:numPr>
          <w:ilvl w:val="0"/>
          <w:numId w:val="1"/>
        </w:numPr>
        <w:spacing w:before="100" w:beforeAutospacing="1" w:after="100" w:afterAutospacing="1"/>
        <w:ind w:left="0"/>
        <w:rPr>
          <w:rFonts w:asciiTheme="minorHAnsi" w:hAnsiTheme="minorHAnsi"/>
          <w:sz w:val="24"/>
        </w:rPr>
      </w:pPr>
      <w:r w:rsidRPr="009B5E0F">
        <w:rPr>
          <w:rFonts w:asciiTheme="minorHAnsi" w:hAnsiTheme="minorHAnsi"/>
          <w:sz w:val="24"/>
        </w:rPr>
        <w:t>How to dismiss fairly, including the need to identify a statutory fair reason for dismissal (</w:t>
      </w:r>
      <w:hyperlink r:id="rId57" w:history="1">
        <w:r w:rsidRPr="009B5E0F">
          <w:rPr>
            <w:rFonts w:asciiTheme="minorHAnsi" w:hAnsiTheme="minorHAnsi"/>
            <w:i/>
            <w:iCs/>
            <w:color w:val="005A84"/>
            <w:sz w:val="24"/>
          </w:rPr>
          <w:t>section 98(1)</w:t>
        </w:r>
      </w:hyperlink>
      <w:r w:rsidRPr="009B5E0F">
        <w:rPr>
          <w:rFonts w:asciiTheme="minorHAnsi" w:hAnsiTheme="minorHAnsi"/>
          <w:sz w:val="24"/>
        </w:rPr>
        <w:t xml:space="preserve">, </w:t>
      </w:r>
      <w:hyperlink r:id="rId58" w:history="1">
        <w:r w:rsidRPr="009B5E0F">
          <w:rPr>
            <w:rFonts w:asciiTheme="minorHAnsi" w:hAnsiTheme="minorHAnsi"/>
            <w:i/>
            <w:iCs/>
            <w:color w:val="005A84"/>
            <w:sz w:val="24"/>
          </w:rPr>
          <w:t>Employment Rights Act 1996</w:t>
        </w:r>
      </w:hyperlink>
      <w:r w:rsidRPr="009B5E0F">
        <w:rPr>
          <w:rFonts w:asciiTheme="minorHAnsi" w:hAnsiTheme="minorHAnsi"/>
          <w:i/>
          <w:iCs/>
          <w:sz w:val="24"/>
        </w:rPr>
        <w:t xml:space="preserve"> (ERA 1996)</w:t>
      </w:r>
      <w:r w:rsidRPr="009B5E0F">
        <w:rPr>
          <w:rFonts w:asciiTheme="minorHAnsi" w:hAnsiTheme="minorHAnsi"/>
          <w:sz w:val="24"/>
        </w:rPr>
        <w:t xml:space="preserve">) and, act reasonably in accordance with </w:t>
      </w:r>
      <w:hyperlink r:id="rId59" w:history="1">
        <w:r w:rsidRPr="009B5E0F">
          <w:rPr>
            <w:rFonts w:asciiTheme="minorHAnsi" w:hAnsiTheme="minorHAnsi"/>
            <w:i/>
            <w:iCs/>
            <w:color w:val="005A84"/>
            <w:sz w:val="24"/>
          </w:rPr>
          <w:t>section 98(4)</w:t>
        </w:r>
      </w:hyperlink>
      <w:r w:rsidRPr="009B5E0F">
        <w:rPr>
          <w:rFonts w:asciiTheme="minorHAnsi" w:hAnsiTheme="minorHAnsi"/>
          <w:sz w:val="24"/>
        </w:rPr>
        <w:t>, ERA 1996 when conducting a disciplinary investigation or hearing and when deciding whether dismissal for that reason is justified.</w:t>
      </w:r>
    </w:p>
    <w:p w:rsidR="00F124F2" w:rsidRPr="009B5E0F" w:rsidRDefault="00F124F2" w:rsidP="00F124F2">
      <w:pPr>
        <w:spacing w:before="100" w:beforeAutospacing="1" w:after="100" w:afterAutospacing="1"/>
        <w:outlineLvl w:val="2"/>
        <w:rPr>
          <w:rFonts w:asciiTheme="minorHAnsi" w:hAnsiTheme="minorHAnsi"/>
          <w:b/>
          <w:bCs/>
          <w:sz w:val="24"/>
        </w:rPr>
      </w:pPr>
      <w:bookmarkStart w:id="2" w:name="a470408"/>
      <w:bookmarkEnd w:id="2"/>
      <w:proofErr w:type="spellStart"/>
      <w:r w:rsidRPr="009B5E0F">
        <w:rPr>
          <w:rFonts w:asciiTheme="minorHAnsi" w:hAnsiTheme="minorHAnsi"/>
          <w:b/>
          <w:bCs/>
          <w:sz w:val="24"/>
        </w:rPr>
        <w:t>Acas</w:t>
      </w:r>
      <w:proofErr w:type="spellEnd"/>
      <w:r w:rsidRPr="009B5E0F">
        <w:rPr>
          <w:rFonts w:asciiTheme="minorHAnsi" w:hAnsiTheme="minorHAnsi"/>
          <w:b/>
          <w:bCs/>
          <w:sz w:val="24"/>
        </w:rPr>
        <w:t xml:space="preserve"> Code of Practice</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The </w:t>
      </w:r>
      <w:hyperlink r:id="rId60" w:history="1">
        <w:r w:rsidRPr="009B5E0F">
          <w:rPr>
            <w:rFonts w:asciiTheme="minorHAnsi" w:hAnsiTheme="minorHAnsi"/>
            <w:i/>
            <w:iCs/>
            <w:color w:val="005A84"/>
            <w:sz w:val="24"/>
          </w:rPr>
          <w:t>Acas Code</w:t>
        </w:r>
        <w:r w:rsidRPr="009B5E0F">
          <w:rPr>
            <w:rFonts w:asciiTheme="minorHAnsi" w:hAnsiTheme="minorHAnsi"/>
            <w:i/>
            <w:iCs/>
            <w:vanish/>
            <w:color w:val="005A84"/>
            <w:sz w:val="24"/>
          </w:rPr>
          <w:t xml:space="preserve"> ( www.practicallaw.com/9-200-4742) </w:t>
        </w:r>
      </w:hyperlink>
      <w:r w:rsidRPr="009B5E0F">
        <w:rPr>
          <w:rFonts w:asciiTheme="minorHAnsi" w:hAnsiTheme="minorHAnsi"/>
          <w:i/>
          <w:iCs/>
          <w:sz w:val="24"/>
        </w:rPr>
        <w:t xml:space="preserve"> </w:t>
      </w:r>
      <w:r w:rsidRPr="009B5E0F">
        <w:rPr>
          <w:rFonts w:asciiTheme="minorHAnsi" w:hAnsiTheme="minorHAnsi"/>
          <w:sz w:val="24"/>
        </w:rPr>
        <w:t xml:space="preserve">is intended to provide practical guidance to employers and employees on how to fairly carry out disciplinary procedures for misconduct or poor performance. Failure to follow any part of the </w:t>
      </w:r>
      <w:proofErr w:type="spellStart"/>
      <w:r w:rsidRPr="009B5E0F">
        <w:rPr>
          <w:rFonts w:asciiTheme="minorHAnsi" w:hAnsiTheme="minorHAnsi"/>
          <w:sz w:val="24"/>
        </w:rPr>
        <w:t>Acas</w:t>
      </w:r>
      <w:proofErr w:type="spellEnd"/>
      <w:r w:rsidRPr="009B5E0F">
        <w:rPr>
          <w:rFonts w:asciiTheme="minorHAnsi" w:hAnsiTheme="minorHAnsi"/>
          <w:sz w:val="24"/>
        </w:rPr>
        <w:t xml:space="preserve"> Code does not of itself make an employer liable to proceedings. However, employment tribunals must take the </w:t>
      </w:r>
      <w:proofErr w:type="spellStart"/>
      <w:r w:rsidRPr="009B5E0F">
        <w:rPr>
          <w:rFonts w:asciiTheme="minorHAnsi" w:hAnsiTheme="minorHAnsi"/>
          <w:sz w:val="24"/>
        </w:rPr>
        <w:t>Acas</w:t>
      </w:r>
      <w:proofErr w:type="spellEnd"/>
      <w:r w:rsidRPr="009B5E0F">
        <w:rPr>
          <w:rFonts w:asciiTheme="minorHAnsi" w:hAnsiTheme="minorHAnsi"/>
          <w:sz w:val="24"/>
        </w:rPr>
        <w:t xml:space="preserve"> Code into account where relevant when considering whether an employer has acted reasonably or not (</w:t>
      </w:r>
      <w:hyperlink r:id="rId61" w:history="1">
        <w:r w:rsidRPr="009B5E0F">
          <w:rPr>
            <w:rFonts w:asciiTheme="minorHAnsi" w:hAnsiTheme="minorHAnsi"/>
            <w:i/>
            <w:iCs/>
            <w:color w:val="005A84"/>
            <w:sz w:val="24"/>
          </w:rPr>
          <w:t>section 207</w:t>
        </w:r>
      </w:hyperlink>
      <w:r w:rsidRPr="009B5E0F">
        <w:rPr>
          <w:rFonts w:asciiTheme="minorHAnsi" w:hAnsiTheme="minorHAnsi"/>
          <w:i/>
          <w:iCs/>
          <w:sz w:val="24"/>
        </w:rPr>
        <w:t xml:space="preserve">, </w:t>
      </w:r>
      <w:hyperlink r:id="rId62" w:history="1">
        <w:r w:rsidRPr="009B5E0F">
          <w:rPr>
            <w:rFonts w:asciiTheme="minorHAnsi" w:hAnsiTheme="minorHAnsi"/>
            <w:i/>
            <w:iCs/>
            <w:color w:val="005A84"/>
            <w:sz w:val="24"/>
          </w:rPr>
          <w:t xml:space="preserve">Trade Union and Labour Relations (Consolidation) Act 1992 </w:t>
        </w:r>
      </w:hyperlink>
      <w:r w:rsidRPr="009B5E0F">
        <w:rPr>
          <w:rFonts w:asciiTheme="minorHAnsi" w:hAnsiTheme="minorHAnsi"/>
          <w:i/>
          <w:iCs/>
          <w:sz w:val="24"/>
        </w:rPr>
        <w:t>(TULRCA)</w:t>
      </w:r>
      <w:r w:rsidRPr="009B5E0F">
        <w:rPr>
          <w:rFonts w:asciiTheme="minorHAnsi" w:hAnsiTheme="minorHAnsi"/>
          <w:sz w:val="24"/>
        </w:rPr>
        <w:t xml:space="preserve">). Furthermore, if the employee wins an unfair dismissal case (or one of a number of other types of case) the tribunal can adjust the amount of compensation by up to 25% either way, if either the employer or employee has unreasonably failed to comply with the </w:t>
      </w:r>
      <w:proofErr w:type="spellStart"/>
      <w:r w:rsidRPr="009B5E0F">
        <w:rPr>
          <w:rFonts w:asciiTheme="minorHAnsi" w:hAnsiTheme="minorHAnsi"/>
          <w:sz w:val="24"/>
        </w:rPr>
        <w:t>Acas</w:t>
      </w:r>
      <w:proofErr w:type="spellEnd"/>
      <w:r w:rsidRPr="009B5E0F">
        <w:rPr>
          <w:rFonts w:asciiTheme="minorHAnsi" w:hAnsiTheme="minorHAnsi"/>
          <w:sz w:val="24"/>
        </w:rPr>
        <w:t xml:space="preserve"> Code (</w:t>
      </w:r>
      <w:hyperlink r:id="rId63" w:history="1">
        <w:r w:rsidRPr="009B5E0F">
          <w:rPr>
            <w:rFonts w:asciiTheme="minorHAnsi" w:hAnsiTheme="minorHAnsi"/>
            <w:i/>
            <w:iCs/>
            <w:color w:val="005A84"/>
            <w:sz w:val="24"/>
          </w:rPr>
          <w:t>section 207A</w:t>
        </w:r>
      </w:hyperlink>
      <w:r w:rsidRPr="009B5E0F">
        <w:rPr>
          <w:rFonts w:asciiTheme="minorHAnsi" w:hAnsiTheme="minorHAnsi"/>
          <w:i/>
          <w:iCs/>
          <w:sz w:val="24"/>
        </w:rPr>
        <w:t>, TULRCA</w:t>
      </w:r>
      <w:r w:rsidR="00376472">
        <w:rPr>
          <w:rFonts w:asciiTheme="minorHAnsi" w:hAnsiTheme="minorHAnsi"/>
          <w:sz w:val="24"/>
        </w:rPr>
        <w:t>)</w:t>
      </w:r>
      <w:r w:rsidRPr="009B5E0F">
        <w:rPr>
          <w:rFonts w:asciiTheme="minorHAnsi" w:hAnsiTheme="minorHAnsi"/>
          <w:sz w:val="24"/>
        </w:rPr>
        <w:t>.</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The </w:t>
      </w:r>
      <w:proofErr w:type="spellStart"/>
      <w:r w:rsidRPr="009B5E0F">
        <w:rPr>
          <w:rFonts w:asciiTheme="minorHAnsi" w:hAnsiTheme="minorHAnsi"/>
          <w:sz w:val="24"/>
        </w:rPr>
        <w:t>Acas</w:t>
      </w:r>
      <w:proofErr w:type="spellEnd"/>
      <w:r w:rsidRPr="009B5E0F">
        <w:rPr>
          <w:rFonts w:asciiTheme="minorHAnsi" w:hAnsiTheme="minorHAnsi"/>
          <w:sz w:val="24"/>
        </w:rPr>
        <w:t xml:space="preserve"> Code is supplemented by the </w:t>
      </w:r>
      <w:hyperlink r:id="rId64" w:history="1">
        <w:r w:rsidRPr="009B5E0F">
          <w:rPr>
            <w:rFonts w:asciiTheme="minorHAnsi" w:hAnsiTheme="minorHAnsi"/>
            <w:i/>
            <w:iCs/>
            <w:color w:val="005A84"/>
            <w:sz w:val="24"/>
          </w:rPr>
          <w:t>Non statutory Acas guide</w:t>
        </w:r>
        <w:r w:rsidRPr="009B5E0F">
          <w:rPr>
            <w:rFonts w:asciiTheme="minorHAnsi" w:hAnsiTheme="minorHAnsi"/>
            <w:i/>
            <w:iCs/>
            <w:vanish/>
            <w:color w:val="005A84"/>
            <w:sz w:val="24"/>
          </w:rPr>
          <w:t xml:space="preserve"> ( www.practicallaw.com/7-384-3283) </w:t>
        </w:r>
      </w:hyperlink>
      <w:r w:rsidRPr="009B5E0F">
        <w:rPr>
          <w:rFonts w:asciiTheme="minorHAnsi" w:hAnsiTheme="minorHAnsi"/>
          <w:sz w:val="24"/>
        </w:rPr>
        <w:t xml:space="preserve">. Unlike the </w:t>
      </w:r>
      <w:proofErr w:type="spellStart"/>
      <w:r w:rsidRPr="009B5E0F">
        <w:rPr>
          <w:rFonts w:asciiTheme="minorHAnsi" w:hAnsiTheme="minorHAnsi"/>
          <w:sz w:val="24"/>
        </w:rPr>
        <w:t>Acas</w:t>
      </w:r>
      <w:proofErr w:type="spellEnd"/>
      <w:r w:rsidRPr="009B5E0F">
        <w:rPr>
          <w:rFonts w:asciiTheme="minorHAnsi" w:hAnsiTheme="minorHAnsi"/>
          <w:sz w:val="24"/>
        </w:rPr>
        <w:t xml:space="preserve"> Code, this does not need to be taken into account by tribunals, and neither can parties be penalised for failure to follow it. However, it does provide practical guidance on the handling of disciplinary matters, based on good industrial relations practice and the accumulated wisdom of several decades of unfair dismissal law.</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The </w:t>
      </w:r>
      <w:proofErr w:type="spellStart"/>
      <w:r w:rsidRPr="009B5E0F">
        <w:rPr>
          <w:rFonts w:asciiTheme="minorHAnsi" w:hAnsiTheme="minorHAnsi"/>
          <w:sz w:val="24"/>
        </w:rPr>
        <w:t>Acas</w:t>
      </w:r>
      <w:proofErr w:type="spellEnd"/>
      <w:r w:rsidRPr="009B5E0F">
        <w:rPr>
          <w:rFonts w:asciiTheme="minorHAnsi" w:hAnsiTheme="minorHAnsi"/>
          <w:sz w:val="24"/>
        </w:rPr>
        <w:t xml:space="preserve"> Code is an important document and should always be borne in mind by the employer when drafting or implementing a disciplinary procedure. However, it must be emphasised that simply following the </w:t>
      </w:r>
      <w:proofErr w:type="spellStart"/>
      <w:r w:rsidRPr="009B5E0F">
        <w:rPr>
          <w:rFonts w:asciiTheme="minorHAnsi" w:hAnsiTheme="minorHAnsi"/>
          <w:sz w:val="24"/>
        </w:rPr>
        <w:t>Acas</w:t>
      </w:r>
      <w:proofErr w:type="spellEnd"/>
      <w:r w:rsidRPr="009B5E0F">
        <w:rPr>
          <w:rFonts w:asciiTheme="minorHAnsi" w:hAnsiTheme="minorHAnsi"/>
          <w:sz w:val="24"/>
        </w:rPr>
        <w:t xml:space="preserve"> Code may not be sufficient to persuade an employment tribunal that an employer has dismissed fairly in the event the disciplinary hearing leads to a dismissal. The law of unfair dismissal is primarily concerned with whether the individual employer acted reasonably in all the circumstances, and so there is no one-size-fits-all answer to every case. More may be required from a procedural viewpoint, for example, on issues involving anonymous informants and whether to allow cross-examination of witnesses at hearings, which are not dealt with in the </w:t>
      </w:r>
      <w:proofErr w:type="spellStart"/>
      <w:proofErr w:type="gramStart"/>
      <w:r w:rsidRPr="009B5E0F">
        <w:rPr>
          <w:rFonts w:asciiTheme="minorHAnsi" w:hAnsiTheme="minorHAnsi"/>
          <w:sz w:val="24"/>
        </w:rPr>
        <w:t>Acas</w:t>
      </w:r>
      <w:proofErr w:type="spellEnd"/>
      <w:r w:rsidRPr="009B5E0F">
        <w:rPr>
          <w:rFonts w:asciiTheme="minorHAnsi" w:hAnsiTheme="minorHAnsi"/>
          <w:sz w:val="24"/>
        </w:rPr>
        <w:t xml:space="preserve"> .</w:t>
      </w:r>
      <w:proofErr w:type="gramEnd"/>
      <w:r w:rsidRPr="009B5E0F">
        <w:rPr>
          <w:rFonts w:asciiTheme="minorHAnsi" w:hAnsiTheme="minorHAnsi"/>
          <w:sz w:val="24"/>
        </w:rPr>
        <w:t xml:space="preserve"> The dismissal must also be substantively fair, that is, </w:t>
      </w:r>
      <w:r w:rsidRPr="009B5E0F">
        <w:rPr>
          <w:rFonts w:asciiTheme="minorHAnsi" w:hAnsiTheme="minorHAnsi"/>
          <w:sz w:val="24"/>
        </w:rPr>
        <w:lastRenderedPageBreak/>
        <w:t xml:space="preserve">it must not have been outside the "band of reasonable responses" for the employer to treat the misconduct or poor performance as grounds for dismissal (see </w:t>
      </w:r>
      <w:hyperlink r:id="rId65" w:anchor="a207420" w:history="1">
        <w:r w:rsidRPr="009B5E0F">
          <w:rPr>
            <w:rFonts w:asciiTheme="minorHAnsi" w:hAnsiTheme="minorHAnsi"/>
            <w:i/>
            <w:iCs/>
            <w:color w:val="005A84"/>
            <w:sz w:val="24"/>
          </w:rPr>
          <w:t>Fair dismissal</w:t>
        </w:r>
      </w:hyperlink>
      <w:r w:rsidRPr="009B5E0F">
        <w:rPr>
          <w:rFonts w:asciiTheme="minorHAnsi" w:hAnsiTheme="minorHAnsi"/>
          <w:sz w:val="24"/>
        </w:rPr>
        <w:t>, below).</w:t>
      </w:r>
    </w:p>
    <w:bookmarkStart w:id="3" w:name="a207420"/>
    <w:bookmarkEnd w:id="3"/>
    <w:p w:rsidR="00F124F2" w:rsidRPr="009B5E0F" w:rsidRDefault="00951A7B" w:rsidP="00F124F2">
      <w:pPr>
        <w:rPr>
          <w:rFonts w:asciiTheme="minorHAnsi" w:hAnsiTheme="minorHAnsi"/>
          <w:vanish/>
          <w:sz w:val="24"/>
        </w:rPr>
      </w:pPr>
      <w:r>
        <w:fldChar w:fldCharType="begin"/>
      </w:r>
      <w:r>
        <w:instrText>HYPERLINK "http://uk.practicallaw.com/8-200-2423?q=&amp;qp=&amp;qo=&amp;qe=" \l "top" \o "Link to the top of the document"</w:instrText>
      </w:r>
      <w:r>
        <w:fldChar w:fldCharType="separate"/>
      </w:r>
      <w:r w:rsidR="00F124F2" w:rsidRPr="009B5E0F">
        <w:rPr>
          <w:rFonts w:asciiTheme="minorHAnsi" w:hAnsiTheme="minorHAnsi"/>
          <w:vanish/>
          <w:color w:val="005A84"/>
          <w:sz w:val="24"/>
        </w:rPr>
        <w:t>Top</w:t>
      </w:r>
      <w:r>
        <w:fldChar w:fldCharType="end"/>
      </w:r>
    </w:p>
    <w:p w:rsidR="00F124F2" w:rsidRPr="009B5E0F" w:rsidRDefault="00F124F2" w:rsidP="00F124F2">
      <w:pPr>
        <w:pBdr>
          <w:bottom w:val="dotted" w:sz="6" w:space="7" w:color="BABABA"/>
        </w:pBdr>
        <w:spacing w:before="100" w:beforeAutospacing="1" w:after="135"/>
        <w:outlineLvl w:val="1"/>
        <w:rPr>
          <w:rFonts w:asciiTheme="minorHAnsi" w:hAnsiTheme="minorHAnsi"/>
          <w:b/>
          <w:bCs/>
          <w:sz w:val="24"/>
        </w:rPr>
      </w:pPr>
      <w:bookmarkStart w:id="4" w:name="a143342"/>
      <w:bookmarkEnd w:id="4"/>
      <w:r w:rsidRPr="009B5E0F">
        <w:rPr>
          <w:rFonts w:asciiTheme="minorHAnsi" w:hAnsiTheme="minorHAnsi"/>
          <w:b/>
          <w:bCs/>
          <w:sz w:val="24"/>
        </w:rPr>
        <w:t>Is formal action necessary?</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Employers should consider whether a formal investigation and disciplinary proceedings are even necessary. The foreword to the </w:t>
      </w:r>
      <w:proofErr w:type="spellStart"/>
      <w:r w:rsidRPr="009B5E0F">
        <w:rPr>
          <w:rFonts w:asciiTheme="minorHAnsi" w:hAnsiTheme="minorHAnsi"/>
          <w:sz w:val="24"/>
        </w:rPr>
        <w:t>Acas</w:t>
      </w:r>
      <w:proofErr w:type="spellEnd"/>
      <w:r w:rsidRPr="009B5E0F">
        <w:rPr>
          <w:rFonts w:asciiTheme="minorHAnsi" w:hAnsiTheme="minorHAnsi"/>
          <w:sz w:val="24"/>
        </w:rPr>
        <w:t xml:space="preserve"> Code encourages informal resolution where appropriate and emphasises that a "quiet word" may often be all that is required to resolve a problem. </w:t>
      </w:r>
    </w:p>
    <w:bookmarkStart w:id="5" w:name="a949233"/>
    <w:bookmarkEnd w:id="5"/>
    <w:p w:rsidR="00F124F2" w:rsidRPr="009B5E0F" w:rsidRDefault="00951A7B" w:rsidP="00F124F2">
      <w:pPr>
        <w:rPr>
          <w:rFonts w:asciiTheme="minorHAnsi" w:hAnsiTheme="minorHAnsi"/>
          <w:vanish/>
          <w:sz w:val="24"/>
        </w:rPr>
      </w:pPr>
      <w:r>
        <w:fldChar w:fldCharType="begin"/>
      </w:r>
      <w:r>
        <w:instrText>HYPERLINK "http://uk.practicallaw.com/8-200-2423?q=&amp;qp=&amp;qo=&amp;qe=" \l "top" \o "Link to the top of the document"</w:instrText>
      </w:r>
      <w:r>
        <w:fldChar w:fldCharType="separate"/>
      </w:r>
      <w:r w:rsidR="00F124F2" w:rsidRPr="009B5E0F">
        <w:rPr>
          <w:rFonts w:asciiTheme="minorHAnsi" w:hAnsiTheme="minorHAnsi"/>
          <w:vanish/>
          <w:color w:val="005A84"/>
          <w:sz w:val="24"/>
        </w:rPr>
        <w:t>Top</w:t>
      </w:r>
      <w:r>
        <w:fldChar w:fldCharType="end"/>
      </w:r>
    </w:p>
    <w:p w:rsidR="00F124F2" w:rsidRPr="009B5E0F" w:rsidRDefault="00F124F2" w:rsidP="00F124F2">
      <w:pPr>
        <w:pBdr>
          <w:bottom w:val="dotted" w:sz="6" w:space="7" w:color="BABABA"/>
        </w:pBdr>
        <w:spacing w:before="100" w:beforeAutospacing="1" w:after="135"/>
        <w:outlineLvl w:val="1"/>
        <w:rPr>
          <w:rFonts w:asciiTheme="minorHAnsi" w:hAnsiTheme="minorHAnsi"/>
          <w:b/>
          <w:bCs/>
          <w:sz w:val="24"/>
        </w:rPr>
      </w:pPr>
      <w:bookmarkStart w:id="6" w:name="a730805"/>
      <w:bookmarkEnd w:id="6"/>
      <w:r w:rsidRPr="009B5E0F">
        <w:rPr>
          <w:rFonts w:asciiTheme="minorHAnsi" w:hAnsiTheme="minorHAnsi"/>
          <w:b/>
          <w:bCs/>
          <w:sz w:val="24"/>
        </w:rPr>
        <w:t>The investigation</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The requirement for an investigation to take place prior to any disciplinary action is critical if an employer is to ensure it does not fall foul of the </w:t>
      </w:r>
      <w:proofErr w:type="spellStart"/>
      <w:r w:rsidRPr="009B5E0F">
        <w:rPr>
          <w:rFonts w:asciiTheme="minorHAnsi" w:hAnsiTheme="minorHAnsi"/>
          <w:sz w:val="24"/>
        </w:rPr>
        <w:t>Acas</w:t>
      </w:r>
      <w:proofErr w:type="spellEnd"/>
      <w:r w:rsidRPr="009B5E0F">
        <w:rPr>
          <w:rFonts w:asciiTheme="minorHAnsi" w:hAnsiTheme="minorHAnsi"/>
          <w:sz w:val="24"/>
        </w:rPr>
        <w:t xml:space="preserve"> Code or the principles of fairness established by case law. </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It can be the case that, during the investigation, perfectly plausible explanations emerge and the disciplinary process is discontinued without a hearing. This is why it is of vital importance that, even in cases of apparently "obvious guilt" the employer should always investigate rather than launch straight into a disciplinary hearing or (worse) go straight to dismissal. For this reason, it is important that in disciplinary processes which could lead to a dismissal, employees comply with an employer's reasonable requests to provide a statement, information and representations, as well as requests to attend meetings (</w:t>
      </w:r>
      <w:hyperlink r:id="rId66" w:history="1">
        <w:r w:rsidRPr="009B5E0F">
          <w:rPr>
            <w:rFonts w:asciiTheme="minorHAnsi" w:hAnsiTheme="minorHAnsi"/>
            <w:i/>
            <w:iCs/>
            <w:color w:val="005A84"/>
            <w:sz w:val="24"/>
          </w:rPr>
          <w:t>Fuller v London Borough of Brent [2011] IRLR 414</w:t>
        </w:r>
      </w:hyperlink>
      <w:r w:rsidRPr="009B5E0F">
        <w:rPr>
          <w:rFonts w:asciiTheme="minorHAnsi" w:hAnsiTheme="minorHAnsi"/>
          <w:sz w:val="24"/>
        </w:rPr>
        <w:t xml:space="preserve">, see </w:t>
      </w:r>
      <w:hyperlink r:id="rId67" w:history="1">
        <w:r w:rsidRPr="009B5E0F">
          <w:rPr>
            <w:rFonts w:asciiTheme="minorHAnsi" w:hAnsiTheme="minorHAnsi"/>
            <w:i/>
            <w:iCs/>
            <w:color w:val="005A84"/>
            <w:sz w:val="24"/>
          </w:rPr>
          <w:t>Legal update, Court of Appeal warns against over-analysis of tribunal decisions</w:t>
        </w:r>
        <w:r w:rsidRPr="009B5E0F">
          <w:rPr>
            <w:rFonts w:asciiTheme="minorHAnsi" w:hAnsiTheme="minorHAnsi"/>
            <w:i/>
            <w:iCs/>
            <w:vanish/>
            <w:color w:val="005A84"/>
            <w:sz w:val="24"/>
          </w:rPr>
          <w:t xml:space="preserve"> ( www.practicallaw.com/9-503-9347) </w:t>
        </w:r>
      </w:hyperlink>
      <w:r w:rsidRPr="009B5E0F">
        <w:rPr>
          <w:rFonts w:asciiTheme="minorHAnsi" w:hAnsiTheme="minorHAnsi"/>
          <w:sz w:val="24"/>
        </w:rPr>
        <w:t xml:space="preserve">). </w:t>
      </w:r>
    </w:p>
    <w:p w:rsidR="00F124F2" w:rsidRPr="009B5E0F" w:rsidRDefault="00F124F2" w:rsidP="00F124F2">
      <w:pPr>
        <w:spacing w:before="100" w:beforeAutospacing="1" w:after="100" w:afterAutospacing="1"/>
        <w:rPr>
          <w:rFonts w:asciiTheme="minorHAnsi" w:hAnsiTheme="minorHAnsi"/>
          <w:sz w:val="24"/>
        </w:rPr>
      </w:pPr>
      <w:bookmarkStart w:id="7" w:name="a160650"/>
      <w:bookmarkStart w:id="8" w:name="a839038"/>
      <w:bookmarkStart w:id="9" w:name="a693862"/>
      <w:bookmarkEnd w:id="7"/>
      <w:bookmarkEnd w:id="8"/>
      <w:bookmarkEnd w:id="9"/>
      <w:proofErr w:type="spellStart"/>
      <w:r w:rsidRPr="009B5E0F">
        <w:rPr>
          <w:rFonts w:asciiTheme="minorHAnsi" w:hAnsiTheme="minorHAnsi"/>
          <w:sz w:val="24"/>
        </w:rPr>
        <w:t>Acas</w:t>
      </w:r>
      <w:proofErr w:type="spellEnd"/>
      <w:r w:rsidRPr="009B5E0F">
        <w:rPr>
          <w:rFonts w:asciiTheme="minorHAnsi" w:hAnsiTheme="minorHAnsi"/>
          <w:sz w:val="24"/>
        </w:rPr>
        <w:t xml:space="preserve"> has published a guide to conducting workplace investigations (see </w:t>
      </w:r>
      <w:hyperlink r:id="rId68" w:history="1">
        <w:r w:rsidRPr="009B5E0F">
          <w:rPr>
            <w:rFonts w:asciiTheme="minorHAnsi" w:hAnsiTheme="minorHAnsi"/>
            <w:i/>
            <w:iCs/>
            <w:color w:val="005A84"/>
            <w:sz w:val="24"/>
          </w:rPr>
          <w:t>Acas guide to conducting workplace investigations</w:t>
        </w:r>
        <w:r w:rsidRPr="009B5E0F">
          <w:rPr>
            <w:rFonts w:asciiTheme="minorHAnsi" w:hAnsiTheme="minorHAnsi"/>
            <w:i/>
            <w:iCs/>
            <w:vanish/>
            <w:color w:val="005A84"/>
            <w:sz w:val="24"/>
          </w:rPr>
          <w:t xml:space="preserve"> ( www.practicallaw.com/3-620-1109) </w:t>
        </w:r>
      </w:hyperlink>
      <w:r w:rsidRPr="009B5E0F">
        <w:rPr>
          <w:rFonts w:asciiTheme="minorHAnsi" w:hAnsiTheme="minorHAnsi"/>
          <w:sz w:val="24"/>
        </w:rPr>
        <w:t>(</w:t>
      </w:r>
      <w:proofErr w:type="spellStart"/>
      <w:r w:rsidRPr="009B5E0F">
        <w:rPr>
          <w:rFonts w:asciiTheme="minorHAnsi" w:hAnsiTheme="minorHAnsi"/>
          <w:sz w:val="24"/>
        </w:rPr>
        <w:t>Acas</w:t>
      </w:r>
      <w:proofErr w:type="spellEnd"/>
      <w:r w:rsidRPr="009B5E0F">
        <w:rPr>
          <w:rFonts w:asciiTheme="minorHAnsi" w:hAnsiTheme="minorHAnsi"/>
          <w:sz w:val="24"/>
        </w:rPr>
        <w:t xml:space="preserve"> investigations guide)). This provides helpful advice and guidance on planning and conducting disciplinary investigations.</w:t>
      </w:r>
    </w:p>
    <w:p w:rsidR="00F124F2" w:rsidRPr="009B5E0F" w:rsidRDefault="00F124F2" w:rsidP="00F124F2">
      <w:pPr>
        <w:spacing w:before="100" w:beforeAutospacing="1" w:after="100" w:afterAutospacing="1"/>
        <w:outlineLvl w:val="3"/>
        <w:rPr>
          <w:rFonts w:asciiTheme="minorHAnsi" w:hAnsiTheme="minorHAnsi"/>
          <w:b/>
          <w:bCs/>
          <w:sz w:val="24"/>
        </w:rPr>
      </w:pPr>
      <w:bookmarkStart w:id="10" w:name="a615081"/>
      <w:bookmarkEnd w:id="10"/>
      <w:r w:rsidRPr="009B5E0F">
        <w:rPr>
          <w:rFonts w:asciiTheme="minorHAnsi" w:hAnsiTheme="minorHAnsi"/>
          <w:b/>
          <w:bCs/>
          <w:sz w:val="24"/>
        </w:rPr>
        <w:t>Investigations are not disciplinary hearings</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Employers need to be aware that there is a distinction between an investigation and any subsequent disciplinary proceedings. For example, if an employee admits guilt during an investigative interview this will not remove the need for a further disciplinary meeting, in order that the employee can have an opportunity to state his case and possibly bring evidence to explain any mitigating factors (</w:t>
      </w:r>
      <w:hyperlink r:id="rId69" w:history="1">
        <w:r w:rsidRPr="009B5E0F">
          <w:rPr>
            <w:rFonts w:asciiTheme="minorHAnsi" w:hAnsiTheme="minorHAnsi"/>
            <w:i/>
            <w:iCs/>
            <w:color w:val="005A84"/>
            <w:sz w:val="24"/>
          </w:rPr>
          <w:t>Budgen and Co v Thomas [1976] IRLR 174</w:t>
        </w:r>
      </w:hyperlink>
      <w:r w:rsidRPr="009B5E0F">
        <w:rPr>
          <w:rFonts w:asciiTheme="minorHAnsi" w:hAnsiTheme="minorHAnsi"/>
          <w:sz w:val="24"/>
        </w:rPr>
        <w:t xml:space="preserve">). An admission is likely to shape the investigation that the employer then follows but may not remove the need for further investigation to be undertaken. </w:t>
      </w:r>
    </w:p>
    <w:p w:rsidR="00F124F2" w:rsidRPr="009B5E0F" w:rsidRDefault="00F124F2" w:rsidP="00F124F2">
      <w:pPr>
        <w:spacing w:before="100" w:beforeAutospacing="1" w:after="100" w:afterAutospacing="1"/>
        <w:rPr>
          <w:rFonts w:asciiTheme="minorHAnsi" w:hAnsiTheme="minorHAnsi"/>
          <w:sz w:val="24"/>
        </w:rPr>
      </w:pPr>
    </w:p>
    <w:p w:rsidR="00F124F2" w:rsidRPr="009B5E0F" w:rsidRDefault="00F124F2" w:rsidP="00F124F2">
      <w:pPr>
        <w:spacing w:before="100" w:beforeAutospacing="1" w:after="100" w:afterAutospacing="1"/>
        <w:rPr>
          <w:rFonts w:asciiTheme="minorHAnsi" w:hAnsiTheme="minorHAnsi"/>
          <w:sz w:val="24"/>
        </w:rPr>
      </w:pP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lastRenderedPageBreak/>
        <w:t>.</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At the end of the investigation the person who made the decision to appoint the investigating officer should then decide what the next steps should be, in view of the investigation findings. In most cases, the person carrying out the investigation is effectively a witness in the disciplinary hearing, and so it is better if the investigation in not carried out by the person who will conduct the disciplinary hearing. However, this may not be possible or appropriate in all cases, particularly where the employer is small. This is recognised in the </w:t>
      </w:r>
      <w:proofErr w:type="spellStart"/>
      <w:r w:rsidRPr="009B5E0F">
        <w:rPr>
          <w:rFonts w:asciiTheme="minorHAnsi" w:hAnsiTheme="minorHAnsi"/>
          <w:sz w:val="24"/>
        </w:rPr>
        <w:t>Acas</w:t>
      </w:r>
      <w:proofErr w:type="spellEnd"/>
      <w:r w:rsidRPr="009B5E0F">
        <w:rPr>
          <w:rFonts w:asciiTheme="minorHAnsi" w:hAnsiTheme="minorHAnsi"/>
          <w:sz w:val="24"/>
        </w:rPr>
        <w:t xml:space="preserve"> Code which states that "where practicable, different people should carry out the investigation and disciplinary hearing" (</w:t>
      </w:r>
      <w:r w:rsidRPr="009B5E0F">
        <w:rPr>
          <w:rFonts w:asciiTheme="minorHAnsi" w:hAnsiTheme="minorHAnsi"/>
          <w:i/>
          <w:iCs/>
          <w:sz w:val="24"/>
        </w:rPr>
        <w:t>paragraph 5</w:t>
      </w:r>
      <w:r w:rsidRPr="009B5E0F">
        <w:rPr>
          <w:rFonts w:asciiTheme="minorHAnsi" w:hAnsiTheme="minorHAnsi"/>
          <w:sz w:val="24"/>
        </w:rPr>
        <w:t>).</w:t>
      </w:r>
    </w:p>
    <w:p w:rsidR="00F124F2" w:rsidRPr="009B5E0F" w:rsidRDefault="00F124F2" w:rsidP="00F124F2">
      <w:pPr>
        <w:spacing w:before="100" w:beforeAutospacing="1" w:after="100" w:afterAutospacing="1"/>
        <w:outlineLvl w:val="3"/>
        <w:rPr>
          <w:rFonts w:asciiTheme="minorHAnsi" w:hAnsiTheme="minorHAnsi"/>
          <w:b/>
          <w:bCs/>
          <w:sz w:val="24"/>
        </w:rPr>
      </w:pPr>
      <w:bookmarkStart w:id="11" w:name="a258553"/>
      <w:bookmarkEnd w:id="11"/>
      <w:r w:rsidRPr="009B5E0F">
        <w:rPr>
          <w:rFonts w:asciiTheme="minorHAnsi" w:hAnsiTheme="minorHAnsi"/>
          <w:b/>
          <w:bCs/>
          <w:sz w:val="24"/>
        </w:rPr>
        <w:t>A right to be accompanied?</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Employees have no statutory right to be accompanied at an investigatory meeting, although a contractual disciplinary procedure may give them such a right. In the unusual case of </w:t>
      </w:r>
      <w:hyperlink r:id="rId70" w:history="1">
        <w:r w:rsidRPr="009B5E0F">
          <w:rPr>
            <w:rFonts w:asciiTheme="minorHAnsi" w:hAnsiTheme="minorHAnsi"/>
            <w:i/>
            <w:iCs/>
            <w:color w:val="005A84"/>
            <w:sz w:val="24"/>
          </w:rPr>
          <w:t>Stevens v University of Birmingham [2015] EWHC 2300</w:t>
        </w:r>
      </w:hyperlink>
      <w:r w:rsidRPr="009B5E0F">
        <w:rPr>
          <w:rFonts w:asciiTheme="minorHAnsi" w:hAnsiTheme="minorHAnsi"/>
          <w:sz w:val="24"/>
        </w:rPr>
        <w:t xml:space="preserve">, the High Court found that, on the facts, a refusal to allow an employee to be accompanied at an investigatory meeting, where there was no contractual right to that effect, was a breach of the implied term of mutual trust and confidence. </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The </w:t>
      </w:r>
      <w:proofErr w:type="spellStart"/>
      <w:r w:rsidRPr="009B5E0F">
        <w:rPr>
          <w:rFonts w:asciiTheme="minorHAnsi" w:hAnsiTheme="minorHAnsi"/>
          <w:sz w:val="24"/>
        </w:rPr>
        <w:t>Acas</w:t>
      </w:r>
      <w:proofErr w:type="spellEnd"/>
      <w:r w:rsidRPr="009B5E0F">
        <w:rPr>
          <w:rFonts w:asciiTheme="minorHAnsi" w:hAnsiTheme="minorHAnsi"/>
          <w:sz w:val="24"/>
        </w:rPr>
        <w:t xml:space="preserve"> investigations guide advises that in many cases it will benefit an investigation to allow an employee to be accompanied at an investigation meeting. It also suggests that employers might even consider allowing a friend or family member to accompany an interviewee.</w:t>
      </w:r>
    </w:p>
    <w:p w:rsidR="00F124F2" w:rsidRPr="009B5E0F" w:rsidRDefault="00F124F2" w:rsidP="00F124F2">
      <w:pPr>
        <w:spacing w:before="100" w:beforeAutospacing="1" w:after="100" w:afterAutospacing="1"/>
        <w:outlineLvl w:val="2"/>
        <w:rPr>
          <w:rFonts w:asciiTheme="minorHAnsi" w:hAnsiTheme="minorHAnsi"/>
          <w:b/>
          <w:bCs/>
          <w:sz w:val="24"/>
        </w:rPr>
      </w:pPr>
      <w:bookmarkStart w:id="12" w:name="a593719"/>
      <w:bookmarkEnd w:id="12"/>
      <w:r w:rsidRPr="009B5E0F">
        <w:rPr>
          <w:rFonts w:asciiTheme="minorHAnsi" w:hAnsiTheme="minorHAnsi"/>
          <w:b/>
          <w:bCs/>
          <w:sz w:val="24"/>
        </w:rPr>
        <w:t>How much investigation is required?</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The amount of investigation required will vary enormously depending on the individual circumstances of the case. </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The legal test is that an employer must hold such investigation as is "reasonable in all the circumstances", judged objectively by reference to the "band of reasonable responses". While it is difficult to give hard and fast guidelines as to what this means in practice, an employer will need to investigate sufficiently to ensure that the substance of the allegations are clear, in order that these can be put to the employee in sufficient detail to enable a meaningful response. The Court of Appeal in </w:t>
      </w:r>
      <w:hyperlink r:id="rId71" w:history="1">
        <w:r w:rsidRPr="009B5E0F">
          <w:rPr>
            <w:rFonts w:asciiTheme="minorHAnsi" w:hAnsiTheme="minorHAnsi"/>
            <w:i/>
            <w:iCs/>
            <w:color w:val="005A84"/>
            <w:sz w:val="24"/>
          </w:rPr>
          <w:t>Shrestha v Genesis Housing Association Ltd [2015] EWCA Civ 94</w:t>
        </w:r>
      </w:hyperlink>
      <w:r w:rsidRPr="009B5E0F">
        <w:rPr>
          <w:rFonts w:asciiTheme="minorHAnsi" w:hAnsiTheme="minorHAnsi"/>
          <w:sz w:val="24"/>
        </w:rPr>
        <w:t xml:space="preserve"> made it clear that it is not necessary for an employer to extensively investigate each line of defence advanced by an employee. It considered that this would be too narrow an approach and add an "unwarranted gloss" to the test established in </w:t>
      </w:r>
      <w:hyperlink r:id="rId72" w:history="1">
        <w:r w:rsidRPr="009B5E0F">
          <w:rPr>
            <w:rFonts w:asciiTheme="minorHAnsi" w:hAnsiTheme="minorHAnsi"/>
            <w:i/>
            <w:iCs/>
            <w:color w:val="005A84"/>
            <w:sz w:val="24"/>
          </w:rPr>
          <w:t>British Home Stores Ltd v Burchell [1978] IRLR 379</w:t>
        </w:r>
      </w:hyperlink>
      <w:r w:rsidRPr="009B5E0F">
        <w:rPr>
          <w:rFonts w:asciiTheme="minorHAnsi" w:hAnsiTheme="minorHAnsi"/>
          <w:sz w:val="24"/>
        </w:rPr>
        <w:t>. What was important was the reasonableness of the investigation as a whole.</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The Non statutory </w:t>
      </w:r>
      <w:proofErr w:type="spellStart"/>
      <w:r w:rsidRPr="009B5E0F">
        <w:rPr>
          <w:rFonts w:asciiTheme="minorHAnsi" w:hAnsiTheme="minorHAnsi"/>
          <w:sz w:val="24"/>
        </w:rPr>
        <w:t>Acas</w:t>
      </w:r>
      <w:proofErr w:type="spellEnd"/>
      <w:r w:rsidRPr="009B5E0F">
        <w:rPr>
          <w:rFonts w:asciiTheme="minorHAnsi" w:hAnsiTheme="minorHAnsi"/>
          <w:sz w:val="24"/>
        </w:rPr>
        <w:t xml:space="preserve"> guide states that the more serious the allegation, the more thorough the level of investigation required. In </w:t>
      </w:r>
      <w:hyperlink r:id="rId73" w:history="1">
        <w:r w:rsidRPr="009B5E0F">
          <w:rPr>
            <w:rFonts w:asciiTheme="minorHAnsi" w:hAnsiTheme="minorHAnsi"/>
            <w:i/>
            <w:iCs/>
            <w:color w:val="005A84"/>
            <w:sz w:val="24"/>
          </w:rPr>
          <w:t>A v B [2003] IRLR 405</w:t>
        </w:r>
      </w:hyperlink>
      <w:r w:rsidRPr="009B5E0F">
        <w:rPr>
          <w:rFonts w:asciiTheme="minorHAnsi" w:hAnsiTheme="minorHAnsi"/>
          <w:sz w:val="24"/>
        </w:rPr>
        <w:t xml:space="preserve">, the EAT held that "all the circumstances" for assessing reasonableness include the gravity of the </w:t>
      </w:r>
      <w:r w:rsidRPr="009B5E0F">
        <w:rPr>
          <w:rFonts w:asciiTheme="minorHAnsi" w:hAnsiTheme="minorHAnsi"/>
          <w:sz w:val="24"/>
        </w:rPr>
        <w:lastRenderedPageBreak/>
        <w:t xml:space="preserve">allegation and the potential effect upon the employee. The Court of Appeal made the same point in </w:t>
      </w:r>
      <w:hyperlink r:id="rId74" w:history="1">
        <w:r w:rsidRPr="009B5E0F">
          <w:rPr>
            <w:rFonts w:asciiTheme="minorHAnsi" w:hAnsiTheme="minorHAnsi"/>
            <w:i/>
            <w:iCs/>
            <w:color w:val="005A84"/>
            <w:sz w:val="24"/>
          </w:rPr>
          <w:t>Turner v East Midlands Trains Ltd [2013] IRLR 107</w:t>
        </w:r>
      </w:hyperlink>
      <w:r w:rsidRPr="009B5E0F">
        <w:rPr>
          <w:rFonts w:asciiTheme="minorHAnsi" w:hAnsiTheme="minorHAnsi"/>
          <w:sz w:val="24"/>
        </w:rPr>
        <w:t xml:space="preserve"> (see </w:t>
      </w:r>
      <w:hyperlink r:id="rId75" w:history="1">
        <w:r w:rsidRPr="009B5E0F">
          <w:rPr>
            <w:rFonts w:asciiTheme="minorHAnsi" w:hAnsiTheme="minorHAnsi"/>
            <w:i/>
            <w:iCs/>
            <w:color w:val="005A84"/>
            <w:sz w:val="24"/>
          </w:rPr>
          <w:t>Legal update, Unfair dismissal: "range of reasonable responses" test compatible with European Convention on Human Rights</w:t>
        </w:r>
        <w:r w:rsidRPr="009B5E0F">
          <w:rPr>
            <w:rFonts w:asciiTheme="minorHAnsi" w:hAnsiTheme="minorHAnsi"/>
            <w:i/>
            <w:iCs/>
            <w:vanish/>
            <w:color w:val="005A84"/>
            <w:sz w:val="24"/>
          </w:rPr>
          <w:t xml:space="preserve"> ( www.practicallaw.com/5-522-5049) </w:t>
        </w:r>
      </w:hyperlink>
      <w:r w:rsidRPr="009B5E0F">
        <w:rPr>
          <w:rFonts w:asciiTheme="minorHAnsi" w:hAnsiTheme="minorHAnsi"/>
          <w:sz w:val="24"/>
        </w:rPr>
        <w:t xml:space="preserve">). So, if an employee's professional reputation or ability to work in a chosen career is at stake, it is even more important that the investigation is fair and even-handed. (See </w:t>
      </w:r>
      <w:hyperlink r:id="rId76" w:anchor="a746351" w:history="1">
        <w:proofErr w:type="gramStart"/>
        <w:r w:rsidRPr="009B5E0F">
          <w:rPr>
            <w:rFonts w:asciiTheme="minorHAnsi" w:hAnsiTheme="minorHAnsi"/>
            <w:i/>
            <w:iCs/>
            <w:color w:val="005A84"/>
            <w:sz w:val="24"/>
          </w:rPr>
          <w:t>Obtaining</w:t>
        </w:r>
        <w:proofErr w:type="gramEnd"/>
        <w:r w:rsidRPr="009B5E0F">
          <w:rPr>
            <w:rFonts w:asciiTheme="minorHAnsi" w:hAnsiTheme="minorHAnsi"/>
            <w:i/>
            <w:iCs/>
            <w:color w:val="005A84"/>
            <w:sz w:val="24"/>
          </w:rPr>
          <w:t xml:space="preserve"> the evidence</w:t>
        </w:r>
      </w:hyperlink>
      <w:r w:rsidRPr="009B5E0F">
        <w:rPr>
          <w:rFonts w:asciiTheme="minorHAnsi" w:hAnsiTheme="minorHAnsi"/>
          <w:sz w:val="24"/>
        </w:rPr>
        <w:t xml:space="preserve">.) Where the allegations against the employee amount to criminal behaviour, they must always be the subject of the most careful investigation (see </w:t>
      </w:r>
      <w:hyperlink r:id="rId77" w:anchor="a1045454" w:history="1">
        <w:r w:rsidRPr="009B5E0F">
          <w:rPr>
            <w:rFonts w:asciiTheme="minorHAnsi" w:hAnsiTheme="minorHAnsi"/>
            <w:i/>
            <w:iCs/>
            <w:color w:val="005A84"/>
            <w:sz w:val="24"/>
          </w:rPr>
          <w:t>Level of investigation into criminal allegations</w:t>
        </w:r>
      </w:hyperlink>
      <w:r w:rsidRPr="009B5E0F">
        <w:rPr>
          <w:rFonts w:asciiTheme="minorHAnsi" w:hAnsiTheme="minorHAnsi"/>
          <w:sz w:val="24"/>
        </w:rPr>
        <w:t>). This is because the employee's reputation will be seriously affected, and their ability to work in their chosen field could be irreparably compromised, if they are dismissed because of misconduct which amounts to a criminal offence (</w:t>
      </w:r>
      <w:hyperlink r:id="rId78" w:history="1">
        <w:r w:rsidRPr="009B5E0F">
          <w:rPr>
            <w:rFonts w:asciiTheme="minorHAnsi" w:hAnsiTheme="minorHAnsi"/>
            <w:i/>
            <w:iCs/>
            <w:color w:val="005A84"/>
            <w:sz w:val="24"/>
          </w:rPr>
          <w:t xml:space="preserve">Salford Royal NHS Foundation Trust v Roldan [2010] EWCA </w:t>
        </w:r>
        <w:proofErr w:type="spellStart"/>
        <w:r w:rsidRPr="009B5E0F">
          <w:rPr>
            <w:rFonts w:asciiTheme="minorHAnsi" w:hAnsiTheme="minorHAnsi"/>
            <w:i/>
            <w:iCs/>
            <w:color w:val="005A84"/>
            <w:sz w:val="24"/>
          </w:rPr>
          <w:t>Civ</w:t>
        </w:r>
        <w:proofErr w:type="spellEnd"/>
        <w:r w:rsidRPr="009B5E0F">
          <w:rPr>
            <w:rFonts w:asciiTheme="minorHAnsi" w:hAnsiTheme="minorHAnsi"/>
            <w:i/>
            <w:iCs/>
            <w:color w:val="005A84"/>
            <w:sz w:val="24"/>
          </w:rPr>
          <w:t xml:space="preserve"> 522</w:t>
        </w:r>
      </w:hyperlink>
      <w:r w:rsidRPr="009B5E0F">
        <w:rPr>
          <w:rFonts w:asciiTheme="minorHAnsi" w:hAnsiTheme="minorHAnsi"/>
          <w:sz w:val="24"/>
        </w:rPr>
        <w:t xml:space="preserve">). For an example of a case where the EAT found that an investigation into suspected theft was not sufficiently thorough, see </w:t>
      </w:r>
      <w:hyperlink r:id="rId79" w:history="1">
        <w:r w:rsidRPr="009B5E0F">
          <w:rPr>
            <w:rFonts w:asciiTheme="minorHAnsi" w:hAnsiTheme="minorHAnsi"/>
            <w:i/>
            <w:iCs/>
            <w:color w:val="005A84"/>
            <w:sz w:val="24"/>
          </w:rPr>
          <w:t>Miller v William Hill Organisation Ltd UKEAT/0336/12</w:t>
        </w:r>
      </w:hyperlink>
      <w:r w:rsidRPr="009B5E0F">
        <w:rPr>
          <w:rFonts w:asciiTheme="minorHAnsi" w:hAnsiTheme="minorHAnsi"/>
          <w:sz w:val="24"/>
        </w:rPr>
        <w:t xml:space="preserve">. </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If an employee has admitted misconduct, it may be reasonable for the employer to take this at face value without further investigation (</w:t>
      </w:r>
      <w:hyperlink r:id="rId80" w:history="1">
        <w:r w:rsidRPr="009B5E0F">
          <w:rPr>
            <w:rFonts w:asciiTheme="minorHAnsi" w:hAnsiTheme="minorHAnsi"/>
            <w:i/>
            <w:iCs/>
            <w:color w:val="005A84"/>
            <w:sz w:val="24"/>
          </w:rPr>
          <w:t xml:space="preserve">Royal Society for the Protection of Birds v </w:t>
        </w:r>
        <w:proofErr w:type="spellStart"/>
        <w:r w:rsidRPr="009B5E0F">
          <w:rPr>
            <w:rFonts w:asciiTheme="minorHAnsi" w:hAnsiTheme="minorHAnsi"/>
            <w:i/>
            <w:iCs/>
            <w:color w:val="005A84"/>
            <w:sz w:val="24"/>
          </w:rPr>
          <w:t>Croucher</w:t>
        </w:r>
        <w:proofErr w:type="spellEnd"/>
        <w:r w:rsidRPr="009B5E0F">
          <w:rPr>
            <w:rFonts w:asciiTheme="minorHAnsi" w:hAnsiTheme="minorHAnsi"/>
            <w:i/>
            <w:iCs/>
            <w:color w:val="005A84"/>
            <w:sz w:val="24"/>
          </w:rPr>
          <w:t xml:space="preserve"> [1984] IRLR 425</w:t>
        </w:r>
      </w:hyperlink>
      <w:r w:rsidRPr="009B5E0F">
        <w:rPr>
          <w:rFonts w:asciiTheme="minorHAnsi" w:hAnsiTheme="minorHAnsi"/>
          <w:sz w:val="24"/>
        </w:rPr>
        <w:t>). However, the test of whether the employer has acted reasonably in all the circumstances still applies. If there is any doubt as to the employee's motives or the truthfulness of the confession, or if their confession implicates others, or if the employee concerned may be particularly vulnerable, for example, by reason of disability, or if there are any extenuating circumstances, these should be investigated.</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The employer should also consider whether the investigation should extend beyond employees. In </w:t>
      </w:r>
      <w:hyperlink r:id="rId81" w:history="1">
        <w:r w:rsidRPr="009B5E0F">
          <w:rPr>
            <w:rFonts w:asciiTheme="minorHAnsi" w:hAnsiTheme="minorHAnsi"/>
            <w:i/>
            <w:iCs/>
            <w:color w:val="005A84"/>
            <w:sz w:val="24"/>
          </w:rPr>
          <w:t>Henderson v Granville Tours Ltd [1982] IRLR 494</w:t>
        </w:r>
      </w:hyperlink>
      <w:r w:rsidRPr="009B5E0F">
        <w:rPr>
          <w:rFonts w:asciiTheme="minorHAnsi" w:hAnsiTheme="minorHAnsi"/>
          <w:sz w:val="24"/>
        </w:rPr>
        <w:t xml:space="preserve"> an employer unfairly dismissed a coach driver, Mr Henderson, when it accepted without further inquiry a customer complaint that Mr Henderson had driven the coach in an erratic and dangerous manner. The EAT noted that the employer had made no attempt to check her account with other witnesses, something it would have been relatively simple to do, or to test her veracity as a witness by interviewing her in person.</w:t>
      </w:r>
    </w:p>
    <w:p w:rsidR="00F124F2" w:rsidRPr="009B5E0F" w:rsidRDefault="00F124F2" w:rsidP="00F124F2">
      <w:pPr>
        <w:spacing w:before="100" w:beforeAutospacing="1" w:after="100" w:afterAutospacing="1"/>
        <w:outlineLvl w:val="2"/>
        <w:rPr>
          <w:rFonts w:asciiTheme="minorHAnsi" w:hAnsiTheme="minorHAnsi"/>
          <w:b/>
          <w:bCs/>
          <w:sz w:val="24"/>
        </w:rPr>
      </w:pPr>
      <w:bookmarkStart w:id="13" w:name="a509591"/>
      <w:bookmarkEnd w:id="13"/>
      <w:r w:rsidRPr="009B5E0F">
        <w:rPr>
          <w:rFonts w:asciiTheme="minorHAnsi" w:hAnsiTheme="minorHAnsi"/>
          <w:b/>
          <w:bCs/>
          <w:sz w:val="24"/>
        </w:rPr>
        <w:t>Confidentiality</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Before commencing any investigation the employer should always bear in mind the importance of keeping the investigation confidential. This duty applies to both the person conducting the investigation and to any witnesses. Consideration should be given as to whether fellow employees interviewed as witnesses need to be told the name of the employee being investigated. Obviously, this cannot be avoided in small offices and in situations of individual misconduct but there will be cases in which it is possible to gather information without revealing names. In any event, witnesses should be advised not to discuss the investigation with other employees or third parties and, where appropriate, be reminded of their legal duties of confidentiality.</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The </w:t>
      </w:r>
      <w:proofErr w:type="spellStart"/>
      <w:r w:rsidRPr="009B5E0F">
        <w:rPr>
          <w:rFonts w:asciiTheme="minorHAnsi" w:hAnsiTheme="minorHAnsi"/>
          <w:sz w:val="24"/>
        </w:rPr>
        <w:t>Acas</w:t>
      </w:r>
      <w:proofErr w:type="spellEnd"/>
      <w:r w:rsidRPr="009B5E0F">
        <w:rPr>
          <w:rFonts w:asciiTheme="minorHAnsi" w:hAnsiTheme="minorHAnsi"/>
          <w:sz w:val="24"/>
        </w:rPr>
        <w:t xml:space="preserve"> investigations guide advises that keeping the matter confidential can:</w:t>
      </w:r>
    </w:p>
    <w:p w:rsidR="00F124F2" w:rsidRPr="009B5E0F" w:rsidRDefault="00F124F2" w:rsidP="00F124F2">
      <w:pPr>
        <w:numPr>
          <w:ilvl w:val="0"/>
          <w:numId w:val="3"/>
        </w:numPr>
        <w:spacing w:before="100" w:beforeAutospacing="1" w:after="100" w:afterAutospacing="1"/>
        <w:ind w:left="0"/>
        <w:rPr>
          <w:rFonts w:asciiTheme="minorHAnsi" w:hAnsiTheme="minorHAnsi"/>
          <w:sz w:val="24"/>
        </w:rPr>
      </w:pPr>
      <w:r w:rsidRPr="009B5E0F">
        <w:rPr>
          <w:rFonts w:asciiTheme="minorHAnsi" w:hAnsiTheme="minorHAnsi"/>
          <w:sz w:val="24"/>
        </w:rPr>
        <w:t>reduce any negative impact to a party involved in the matter</w:t>
      </w:r>
    </w:p>
    <w:p w:rsidR="00F124F2" w:rsidRPr="009B5E0F" w:rsidRDefault="00F124F2" w:rsidP="00F124F2">
      <w:pPr>
        <w:numPr>
          <w:ilvl w:val="0"/>
          <w:numId w:val="3"/>
        </w:numPr>
        <w:spacing w:before="100" w:beforeAutospacing="1" w:after="100" w:afterAutospacing="1"/>
        <w:ind w:left="0"/>
        <w:rPr>
          <w:rFonts w:asciiTheme="minorHAnsi" w:hAnsiTheme="minorHAnsi"/>
          <w:sz w:val="24"/>
        </w:rPr>
      </w:pPr>
      <w:r w:rsidRPr="009B5E0F">
        <w:rPr>
          <w:rFonts w:asciiTheme="minorHAnsi" w:hAnsiTheme="minorHAnsi"/>
          <w:sz w:val="24"/>
        </w:rPr>
        <w:lastRenderedPageBreak/>
        <w:t>help to ensure that staff morale is not unnecessarily affected</w:t>
      </w:r>
    </w:p>
    <w:p w:rsidR="00F124F2" w:rsidRPr="009B5E0F" w:rsidRDefault="00F124F2" w:rsidP="00F124F2">
      <w:pPr>
        <w:numPr>
          <w:ilvl w:val="0"/>
          <w:numId w:val="3"/>
        </w:numPr>
        <w:spacing w:before="100" w:beforeAutospacing="1" w:after="100" w:afterAutospacing="1"/>
        <w:ind w:left="0"/>
        <w:rPr>
          <w:rFonts w:asciiTheme="minorHAnsi" w:hAnsiTheme="minorHAnsi"/>
          <w:sz w:val="24"/>
        </w:rPr>
      </w:pPr>
      <w:proofErr w:type="gramStart"/>
      <w:r w:rsidRPr="009B5E0F">
        <w:rPr>
          <w:rFonts w:asciiTheme="minorHAnsi" w:hAnsiTheme="minorHAnsi"/>
          <w:sz w:val="24"/>
        </w:rPr>
        <w:t>reduce</w:t>
      </w:r>
      <w:proofErr w:type="gramEnd"/>
      <w:r w:rsidRPr="009B5E0F">
        <w:rPr>
          <w:rFonts w:asciiTheme="minorHAnsi" w:hAnsiTheme="minorHAnsi"/>
          <w:sz w:val="24"/>
        </w:rPr>
        <w:t xml:space="preserve"> the risk of witnesses discussing or agreeing what their evidence should be.</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It also suggests that employees should be allowed to discuss the matter with an employee representative, where they have one. If an employee breaches confidentiality, an employer should consider whether the breach is sufficiently serious to warrant disciplinary action.</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In contrast, there is no set rule on whether an employer has a duty of confidentiality to witnesses providing information in disciplinary investigations. In </w:t>
      </w:r>
      <w:hyperlink r:id="rId82" w:history="1">
        <w:proofErr w:type="spellStart"/>
        <w:r w:rsidRPr="009B5E0F">
          <w:rPr>
            <w:rFonts w:asciiTheme="minorHAnsi" w:hAnsiTheme="minorHAnsi"/>
            <w:i/>
            <w:iCs/>
            <w:color w:val="005A84"/>
            <w:sz w:val="24"/>
          </w:rPr>
          <w:t>Shinwari</w:t>
        </w:r>
        <w:proofErr w:type="spellEnd"/>
        <w:r w:rsidRPr="009B5E0F">
          <w:rPr>
            <w:rFonts w:asciiTheme="minorHAnsi" w:hAnsiTheme="minorHAnsi"/>
            <w:i/>
            <w:iCs/>
            <w:color w:val="005A84"/>
            <w:sz w:val="24"/>
          </w:rPr>
          <w:t xml:space="preserve"> v </w:t>
        </w:r>
        <w:proofErr w:type="spellStart"/>
        <w:r w:rsidRPr="009B5E0F">
          <w:rPr>
            <w:rFonts w:asciiTheme="minorHAnsi" w:hAnsiTheme="minorHAnsi"/>
            <w:i/>
            <w:iCs/>
            <w:color w:val="005A84"/>
            <w:sz w:val="24"/>
          </w:rPr>
          <w:t>Vue</w:t>
        </w:r>
        <w:proofErr w:type="spellEnd"/>
        <w:r w:rsidRPr="009B5E0F">
          <w:rPr>
            <w:rFonts w:asciiTheme="minorHAnsi" w:hAnsiTheme="minorHAnsi"/>
            <w:i/>
            <w:iCs/>
            <w:color w:val="005A84"/>
            <w:sz w:val="24"/>
          </w:rPr>
          <w:t xml:space="preserve"> Entertainment Ltd UKEAT/0394/14</w:t>
        </w:r>
      </w:hyperlink>
      <w:r w:rsidRPr="009B5E0F">
        <w:rPr>
          <w:rFonts w:asciiTheme="minorHAnsi" w:hAnsiTheme="minorHAnsi"/>
          <w:sz w:val="24"/>
        </w:rPr>
        <w:t xml:space="preserve">, the EAT considered whether an employer should have disclosed the witness's identity to the employee being investigated. The witness subsequently received threats from the employee and complained that the employer owed him, and had breached, a duty of confidentiality. On the facts, the EAT found that the employer did not give any assurance of confidentiality and was permitted to disclose the witness's identity. The EAT observed that: </w:t>
      </w:r>
    </w:p>
    <w:p w:rsidR="00F124F2" w:rsidRPr="009B5E0F" w:rsidRDefault="00F124F2" w:rsidP="00F124F2">
      <w:pPr>
        <w:rPr>
          <w:rFonts w:asciiTheme="minorHAnsi" w:hAnsiTheme="minorHAnsi"/>
          <w:sz w:val="24"/>
        </w:rPr>
      </w:pPr>
      <w:r w:rsidRPr="009B5E0F">
        <w:rPr>
          <w:rFonts w:asciiTheme="minorHAnsi" w:hAnsiTheme="minorHAnsi"/>
          <w:sz w:val="24"/>
        </w:rPr>
        <w:t>"There is no universal rule that full disclosure is always required. Whether it is required in a particular case will depend on the nature of the disciplinary charge, the other evidence in the case and the strength of any balancing considerations that support or justify non-disclosure".</w:t>
      </w:r>
    </w:p>
    <w:p w:rsidR="00F124F2" w:rsidRPr="009B5E0F" w:rsidRDefault="00F124F2" w:rsidP="00F124F2">
      <w:pPr>
        <w:spacing w:before="100" w:beforeAutospacing="1" w:after="100" w:afterAutospacing="1"/>
        <w:outlineLvl w:val="2"/>
        <w:rPr>
          <w:rFonts w:asciiTheme="minorHAnsi" w:hAnsiTheme="minorHAnsi"/>
          <w:b/>
          <w:bCs/>
          <w:sz w:val="24"/>
        </w:rPr>
      </w:pPr>
      <w:bookmarkStart w:id="14" w:name="a588405"/>
      <w:bookmarkEnd w:id="14"/>
      <w:r w:rsidRPr="009B5E0F">
        <w:rPr>
          <w:rFonts w:asciiTheme="minorHAnsi" w:hAnsiTheme="minorHAnsi"/>
          <w:b/>
          <w:bCs/>
          <w:sz w:val="24"/>
        </w:rPr>
        <w:t>Who should conduct the investigation?</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Once the decision is taken that an investigation is required, the employer needs to consider who should conduct the investigation. In most cases, the employee's immediate line manager will be the appropriate person. However, this may not always be the case. Sometimes the employer's own procedure (which may be contractual) stipulates who is to conduct an investigation. In some larger public sector employers, for example, it will be a requirement of the disciplinary procedure that the person conducting the investigation is a manager from outside the employee's own reporting line in order to ensure that the investigation can be carried out impartially. An alternative is to appoint a member of the Human Resources department to conduct the investigation, since they may have had training as to the best way to go about this. In other cases someone with specialist knowledge may be needed, for example, a Finance Manager, if the allegations concern financial mismanagement. The investigator should ideally not be a key witness (unless this is completely unavoidable, for example, in the case of a small employer). </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When selecting the investigator, the employer will also need to consider who should conduct the disciplinary hearing, if one becomes necessary, and any potential appeal hearing. </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It may also be important to take into account whether the individuals conducting the investigation and the disciplinary hearing have had any equal opportunities training, as this may be appropriate in cases involving harassment, bullying, or other </w:t>
      </w:r>
      <w:r w:rsidRPr="009B5E0F">
        <w:rPr>
          <w:rFonts w:asciiTheme="minorHAnsi" w:hAnsiTheme="minorHAnsi"/>
          <w:sz w:val="24"/>
        </w:rPr>
        <w:lastRenderedPageBreak/>
        <w:t>discriminatory treatment. If they have not had training then they should be briefed in their key responsibilities by a member of Human Resources.</w:t>
      </w:r>
    </w:p>
    <w:p w:rsidR="00F124F2" w:rsidRPr="009B5E0F" w:rsidRDefault="00F124F2" w:rsidP="00F124F2">
      <w:pPr>
        <w:spacing w:before="100" w:beforeAutospacing="1" w:after="100" w:afterAutospacing="1"/>
        <w:outlineLvl w:val="2"/>
        <w:rPr>
          <w:rFonts w:asciiTheme="minorHAnsi" w:hAnsiTheme="minorHAnsi"/>
          <w:b/>
          <w:bCs/>
          <w:sz w:val="24"/>
        </w:rPr>
      </w:pPr>
      <w:bookmarkStart w:id="15" w:name="a86383"/>
      <w:bookmarkEnd w:id="15"/>
      <w:r w:rsidRPr="009B5E0F">
        <w:rPr>
          <w:rFonts w:asciiTheme="minorHAnsi" w:hAnsiTheme="minorHAnsi"/>
          <w:b/>
          <w:bCs/>
          <w:sz w:val="24"/>
        </w:rPr>
        <w:t>Suspension</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In instances of serious misconduct, an employer may wish to suspend the employee who is being investigated. This may be appropriate, for example, where there is a potential threat to the business or other employees, or where it is not possible to properly investigate the allegation if an employee remains at work (for example because they may destroy evidence or attempt to influence witnesses). It may also be appropriate where relationships at work have broken down (see pages 17 and 18 of the non-statutory </w:t>
      </w:r>
      <w:proofErr w:type="spellStart"/>
      <w:r w:rsidRPr="009B5E0F">
        <w:rPr>
          <w:rFonts w:asciiTheme="minorHAnsi" w:hAnsiTheme="minorHAnsi"/>
          <w:sz w:val="24"/>
        </w:rPr>
        <w:t>Acas</w:t>
      </w:r>
      <w:proofErr w:type="spellEnd"/>
      <w:r w:rsidRPr="009B5E0F">
        <w:rPr>
          <w:rFonts w:asciiTheme="minorHAnsi" w:hAnsiTheme="minorHAnsi"/>
          <w:sz w:val="24"/>
        </w:rPr>
        <w:t xml:space="preserve"> guide). However, in such cases each individual is likely to have their own view of whom is to blame and the employer should be careful not to give the impression of having pre-judged this issue. </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Employees need to be informed of the fact that they have been placed on suspension as soon as possible. Any conversation to this effect should be followed up in writing. The letter should:</w:t>
      </w:r>
    </w:p>
    <w:p w:rsidR="00F124F2" w:rsidRPr="009B5E0F" w:rsidRDefault="00F124F2" w:rsidP="00F124F2">
      <w:pPr>
        <w:numPr>
          <w:ilvl w:val="0"/>
          <w:numId w:val="4"/>
        </w:numPr>
        <w:spacing w:before="100" w:beforeAutospacing="1" w:after="100" w:afterAutospacing="1"/>
        <w:ind w:left="0"/>
        <w:rPr>
          <w:rFonts w:asciiTheme="minorHAnsi" w:hAnsiTheme="minorHAnsi"/>
          <w:sz w:val="24"/>
        </w:rPr>
      </w:pPr>
      <w:r w:rsidRPr="009B5E0F">
        <w:rPr>
          <w:rFonts w:asciiTheme="minorHAnsi" w:hAnsiTheme="minorHAnsi"/>
          <w:sz w:val="24"/>
        </w:rPr>
        <w:t>Make it clear that the employee is suspended and set out how long it is anticipated the employee will be suspended for.</w:t>
      </w:r>
    </w:p>
    <w:p w:rsidR="00F124F2" w:rsidRPr="009B5E0F" w:rsidRDefault="00F124F2" w:rsidP="00F124F2">
      <w:pPr>
        <w:numPr>
          <w:ilvl w:val="0"/>
          <w:numId w:val="4"/>
        </w:numPr>
        <w:spacing w:before="100" w:beforeAutospacing="1" w:after="100" w:afterAutospacing="1"/>
        <w:ind w:left="0"/>
        <w:rPr>
          <w:rFonts w:asciiTheme="minorHAnsi" w:hAnsiTheme="minorHAnsi"/>
          <w:sz w:val="24"/>
        </w:rPr>
      </w:pPr>
      <w:r w:rsidRPr="009B5E0F">
        <w:rPr>
          <w:rFonts w:asciiTheme="minorHAnsi" w:hAnsiTheme="minorHAnsi"/>
          <w:sz w:val="24"/>
        </w:rPr>
        <w:t xml:space="preserve">Explain the employee's rights and obligations during the period of suspension. </w:t>
      </w:r>
    </w:p>
    <w:p w:rsidR="00F124F2" w:rsidRPr="009B5E0F" w:rsidRDefault="00F124F2" w:rsidP="00F124F2">
      <w:pPr>
        <w:numPr>
          <w:ilvl w:val="0"/>
          <w:numId w:val="4"/>
        </w:numPr>
        <w:spacing w:before="100" w:beforeAutospacing="1" w:after="100" w:afterAutospacing="1"/>
        <w:ind w:left="0"/>
        <w:rPr>
          <w:rFonts w:asciiTheme="minorHAnsi" w:hAnsiTheme="minorHAnsi"/>
          <w:sz w:val="24"/>
        </w:rPr>
      </w:pPr>
      <w:r w:rsidRPr="009B5E0F">
        <w:rPr>
          <w:rFonts w:asciiTheme="minorHAnsi" w:hAnsiTheme="minorHAnsi"/>
          <w:sz w:val="24"/>
        </w:rPr>
        <w:t xml:space="preserve">State that the employment contract continues but that the employee is not to report to work and must not contact colleagues or clients. </w:t>
      </w:r>
    </w:p>
    <w:p w:rsidR="00F124F2" w:rsidRPr="009B5E0F" w:rsidRDefault="00F124F2" w:rsidP="00F124F2">
      <w:pPr>
        <w:numPr>
          <w:ilvl w:val="0"/>
          <w:numId w:val="4"/>
        </w:numPr>
        <w:spacing w:before="100" w:beforeAutospacing="1" w:after="100" w:afterAutospacing="1"/>
        <w:ind w:left="0"/>
        <w:rPr>
          <w:rFonts w:asciiTheme="minorHAnsi" w:hAnsiTheme="minorHAnsi"/>
          <w:sz w:val="24"/>
        </w:rPr>
      </w:pPr>
      <w:r w:rsidRPr="009B5E0F">
        <w:rPr>
          <w:rFonts w:asciiTheme="minorHAnsi" w:hAnsiTheme="minorHAnsi"/>
          <w:sz w:val="24"/>
        </w:rPr>
        <w:t xml:space="preserve">Notify the employee of a point of contact (such as a Human Resources manager) during their period of suspension. </w:t>
      </w:r>
    </w:p>
    <w:p w:rsidR="00F124F2" w:rsidRPr="009B5E0F" w:rsidRDefault="00F124F2" w:rsidP="00F124F2">
      <w:pPr>
        <w:spacing w:before="100" w:beforeAutospacing="1" w:after="100" w:afterAutospacing="1"/>
        <w:rPr>
          <w:rFonts w:asciiTheme="minorHAnsi" w:hAnsiTheme="minorHAnsi"/>
          <w:sz w:val="24"/>
        </w:rPr>
      </w:pP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The period of suspension should be as short as possible and the suspension decision should be kept under regular review. Particular care should be taken where the matter concerns possible criminal allegations as the employer will wish to avoid keeping the employee suspended on full pay for months or even years pending a court hearing. Suspension should not be seen by the employer at this stage as some form of punishment for the employee, but as a means of carrying out an investigation unhindered as quickly as possible. Inevitably, however, an employee will often view the suspension as a punishment and, unless handled very sensitively, it may send a strong signal out to an employee that the outcome of any disciplinary hearing is a forgone conclusion. </w:t>
      </w:r>
    </w:p>
    <w:p w:rsidR="00F124F2" w:rsidRPr="009B5E0F" w:rsidRDefault="00F124F2" w:rsidP="00F124F2">
      <w:pPr>
        <w:spacing w:before="100" w:beforeAutospacing="1" w:after="100" w:afterAutospacing="1"/>
        <w:outlineLvl w:val="3"/>
        <w:rPr>
          <w:rFonts w:asciiTheme="minorHAnsi" w:hAnsiTheme="minorHAnsi"/>
          <w:b/>
          <w:bCs/>
          <w:sz w:val="24"/>
        </w:rPr>
      </w:pPr>
      <w:bookmarkStart w:id="16" w:name="a596345"/>
      <w:bookmarkStart w:id="17" w:name="a858029"/>
      <w:bookmarkEnd w:id="16"/>
      <w:bookmarkEnd w:id="17"/>
      <w:r w:rsidRPr="009B5E0F">
        <w:rPr>
          <w:rFonts w:asciiTheme="minorHAnsi" w:hAnsiTheme="minorHAnsi"/>
          <w:b/>
          <w:bCs/>
          <w:sz w:val="24"/>
        </w:rPr>
        <w:t>Pay and skills during suspension</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Unless there is a clear contractual right to do so, an employer will not be entitled to suspend without pay. Therefore, while the employee is suspended, they should continue receiving their pay and normal benefits. What, however, of the employee who receives a substantial portion of their salary by way of commission or overtime? In </w:t>
      </w:r>
      <w:hyperlink r:id="rId83" w:history="1">
        <w:proofErr w:type="spellStart"/>
        <w:r w:rsidRPr="009B5E0F">
          <w:rPr>
            <w:rFonts w:asciiTheme="minorHAnsi" w:hAnsiTheme="minorHAnsi"/>
            <w:i/>
            <w:iCs/>
            <w:color w:val="005A84"/>
            <w:sz w:val="24"/>
          </w:rPr>
          <w:t>McClory</w:t>
        </w:r>
        <w:proofErr w:type="spellEnd"/>
        <w:r w:rsidRPr="009B5E0F">
          <w:rPr>
            <w:rFonts w:asciiTheme="minorHAnsi" w:hAnsiTheme="minorHAnsi"/>
            <w:i/>
            <w:iCs/>
            <w:color w:val="005A84"/>
            <w:sz w:val="24"/>
          </w:rPr>
          <w:t xml:space="preserve"> v Post Office [1993] IRLR 159</w:t>
        </w:r>
      </w:hyperlink>
      <w:r w:rsidRPr="009B5E0F">
        <w:rPr>
          <w:rFonts w:asciiTheme="minorHAnsi" w:hAnsiTheme="minorHAnsi"/>
          <w:sz w:val="24"/>
        </w:rPr>
        <w:t xml:space="preserve"> it was held that, unless the employee is able </w:t>
      </w:r>
      <w:r w:rsidRPr="009B5E0F">
        <w:rPr>
          <w:rFonts w:asciiTheme="minorHAnsi" w:hAnsiTheme="minorHAnsi"/>
          <w:sz w:val="24"/>
        </w:rPr>
        <w:lastRenderedPageBreak/>
        <w:t>to show a contractual right to such commission or overtime pay, it is likely any claim for such loss would be dismissed.</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However, </w:t>
      </w:r>
      <w:proofErr w:type="spellStart"/>
      <w:r w:rsidRPr="009B5E0F">
        <w:rPr>
          <w:rFonts w:asciiTheme="minorHAnsi" w:hAnsiTheme="minorHAnsi"/>
          <w:sz w:val="24"/>
        </w:rPr>
        <w:t>McClory</w:t>
      </w:r>
      <w:proofErr w:type="spellEnd"/>
      <w:r w:rsidRPr="009B5E0F">
        <w:rPr>
          <w:rFonts w:asciiTheme="minorHAnsi" w:hAnsiTheme="minorHAnsi"/>
          <w:sz w:val="24"/>
        </w:rPr>
        <w:t xml:space="preserve"> should be followed with caution, as a right to work may be implied into the contract in cases where the employee is otherwise deprived of the opportunity of earning remuneration such as shift premium or commission (</w:t>
      </w:r>
      <w:hyperlink r:id="rId84" w:history="1">
        <w:r w:rsidRPr="009B5E0F">
          <w:rPr>
            <w:rFonts w:asciiTheme="minorHAnsi" w:hAnsiTheme="minorHAnsi"/>
            <w:i/>
            <w:iCs/>
            <w:color w:val="005A84"/>
            <w:sz w:val="24"/>
          </w:rPr>
          <w:t>Devonald v Rosser &amp; Sons [1906] 2 KB 728</w:t>
        </w:r>
      </w:hyperlink>
      <w:r w:rsidRPr="009B5E0F">
        <w:rPr>
          <w:rFonts w:asciiTheme="minorHAnsi" w:hAnsiTheme="minorHAnsi"/>
          <w:sz w:val="24"/>
        </w:rPr>
        <w:t xml:space="preserve">; </w:t>
      </w:r>
      <w:hyperlink r:id="rId85" w:history="1">
        <w:r w:rsidRPr="009B5E0F">
          <w:rPr>
            <w:rFonts w:asciiTheme="minorHAnsi" w:hAnsiTheme="minorHAnsi"/>
            <w:i/>
            <w:iCs/>
            <w:color w:val="005A84"/>
            <w:sz w:val="24"/>
          </w:rPr>
          <w:t>Langston v AUEW (No.2) [1974] ICR 510</w:t>
        </w:r>
      </w:hyperlink>
      <w:r w:rsidRPr="009B5E0F">
        <w:rPr>
          <w:rFonts w:asciiTheme="minorHAnsi" w:hAnsiTheme="minorHAnsi"/>
          <w:sz w:val="24"/>
        </w:rPr>
        <w:t xml:space="preserve">; </w:t>
      </w:r>
      <w:hyperlink r:id="rId86" w:history="1">
        <w:r w:rsidRPr="009B5E0F">
          <w:rPr>
            <w:rFonts w:asciiTheme="minorHAnsi" w:hAnsiTheme="minorHAnsi"/>
            <w:i/>
            <w:iCs/>
            <w:color w:val="005A84"/>
            <w:sz w:val="24"/>
          </w:rPr>
          <w:t>In re an Arbitration between Rubel Bronze &amp; Metal Co Ltd and Vos [1918] I KB 315</w:t>
        </w:r>
      </w:hyperlink>
      <w:r w:rsidRPr="009B5E0F">
        <w:rPr>
          <w:rFonts w:asciiTheme="minorHAnsi" w:hAnsiTheme="minorHAnsi"/>
          <w:sz w:val="24"/>
        </w:rPr>
        <w:t xml:space="preserve">)or where suspension may be regarded as preventing the exercise and maintenance of skills properly necessary for the performance of an employee's duties. In such circumstances, suspension on full pay may give the employee a right to seek damages or argue that he has been constructively dismissed. </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Where an employee who is suspended falls sick, an employer may wish to review the amount of pay the employee is receiving, if, under the sick pay policy, the employee would only be entitled to receive statutory sick pay. However, if the contract gives the employee an express right to full pay during suspension, payment of SSP is likely to give rise to a claim for unlawful deductions from wages (see </w:t>
      </w:r>
      <w:hyperlink r:id="rId87" w:history="1">
        <w:r w:rsidRPr="009B5E0F">
          <w:rPr>
            <w:rFonts w:asciiTheme="minorHAnsi" w:hAnsiTheme="minorHAnsi"/>
            <w:i/>
            <w:iCs/>
            <w:color w:val="005A84"/>
            <w:sz w:val="24"/>
          </w:rPr>
          <w:t>Wright v Weed Control Limited UKEAT/0492/07</w:t>
        </w:r>
        <w:r w:rsidRPr="009B5E0F">
          <w:rPr>
            <w:rFonts w:asciiTheme="minorHAnsi" w:hAnsiTheme="minorHAnsi"/>
            <w:i/>
            <w:iCs/>
            <w:vanish/>
            <w:color w:val="005A84"/>
            <w:sz w:val="24"/>
          </w:rPr>
          <w:t xml:space="preserve"> ( www.practicallaw.com/8-380-5233) </w:t>
        </w:r>
      </w:hyperlink>
      <w:r w:rsidRPr="009B5E0F">
        <w:rPr>
          <w:rFonts w:asciiTheme="minorHAnsi" w:hAnsiTheme="minorHAnsi"/>
          <w:sz w:val="24"/>
        </w:rPr>
        <w:t>). An alternative approach, in these circumstances, would be to bring the suspension to an end and place the employee on sick leave.</w:t>
      </w:r>
    </w:p>
    <w:p w:rsidR="00F124F2" w:rsidRPr="009B5E0F" w:rsidRDefault="00F124F2" w:rsidP="00F124F2">
      <w:pPr>
        <w:spacing w:before="100" w:beforeAutospacing="1" w:after="100" w:afterAutospacing="1"/>
        <w:outlineLvl w:val="2"/>
        <w:rPr>
          <w:rFonts w:asciiTheme="minorHAnsi" w:hAnsiTheme="minorHAnsi"/>
          <w:b/>
          <w:bCs/>
          <w:sz w:val="24"/>
        </w:rPr>
      </w:pPr>
      <w:bookmarkStart w:id="18" w:name="a746351"/>
      <w:bookmarkEnd w:id="18"/>
      <w:r w:rsidRPr="009B5E0F">
        <w:rPr>
          <w:rFonts w:asciiTheme="minorHAnsi" w:hAnsiTheme="minorHAnsi"/>
          <w:b/>
          <w:bCs/>
          <w:sz w:val="24"/>
        </w:rPr>
        <w:t>Obtaining the evidence</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Any investigation undertaken by the employer should ideally be conducted as quickly as is reasonably possible. The </w:t>
      </w:r>
      <w:proofErr w:type="spellStart"/>
      <w:r w:rsidRPr="009B5E0F">
        <w:rPr>
          <w:rFonts w:asciiTheme="minorHAnsi" w:hAnsiTheme="minorHAnsi"/>
          <w:sz w:val="24"/>
        </w:rPr>
        <w:t>Acas</w:t>
      </w:r>
      <w:proofErr w:type="spellEnd"/>
      <w:r w:rsidRPr="009B5E0F">
        <w:rPr>
          <w:rFonts w:asciiTheme="minorHAnsi" w:hAnsiTheme="minorHAnsi"/>
          <w:sz w:val="24"/>
        </w:rPr>
        <w:t xml:space="preserve"> Code says that it should happen "without unreasonable delay" (</w:t>
      </w:r>
      <w:r w:rsidRPr="009B5E0F">
        <w:rPr>
          <w:rFonts w:asciiTheme="minorHAnsi" w:hAnsiTheme="minorHAnsi"/>
          <w:i/>
          <w:iCs/>
          <w:sz w:val="24"/>
        </w:rPr>
        <w:t>paragraph 5</w:t>
      </w:r>
      <w:r w:rsidRPr="009B5E0F">
        <w:rPr>
          <w:rFonts w:asciiTheme="minorHAnsi" w:hAnsiTheme="minorHAnsi"/>
          <w:sz w:val="24"/>
        </w:rPr>
        <w:t xml:space="preserve">). Witnesses should be spoken to and notes taken of their recollection of events before memories fade. Consideration also needs to be given as to whether any physical evidence is required. The type of physical evidence required will obviously depend on the issue to be determined: for example, if there is a suspicion the employee has been disclosing confidential information to competitors, the employee's correspondence files and e-mails may need to be searched. If the employee has a company mobile phone, checks may need to be undertaken as to what numbers were dialled. It may be appropriate for the employer to review its CCTV recordings, particularly when this has been requested by the employee (see, for example, </w:t>
      </w:r>
      <w:hyperlink r:id="rId88" w:history="1">
        <w:r w:rsidRPr="009B5E0F">
          <w:rPr>
            <w:rFonts w:asciiTheme="minorHAnsi" w:hAnsiTheme="minorHAnsi"/>
            <w:i/>
            <w:iCs/>
            <w:color w:val="005A84"/>
            <w:sz w:val="24"/>
          </w:rPr>
          <w:t>Singh v Royal Mail Group Ltd ET/1400341/11</w:t>
        </w:r>
      </w:hyperlink>
      <w:r w:rsidRPr="009B5E0F">
        <w:rPr>
          <w:rFonts w:asciiTheme="minorHAnsi" w:hAnsiTheme="minorHAnsi"/>
          <w:sz w:val="24"/>
        </w:rPr>
        <w:t xml:space="preserve">). </w:t>
      </w:r>
    </w:p>
    <w:p w:rsidR="00F124F2" w:rsidRPr="009B5E0F" w:rsidRDefault="00F124F2" w:rsidP="00F124F2">
      <w:pPr>
        <w:spacing w:before="100" w:beforeAutospacing="1" w:after="100" w:afterAutospacing="1"/>
        <w:outlineLvl w:val="3"/>
        <w:rPr>
          <w:rFonts w:asciiTheme="minorHAnsi" w:hAnsiTheme="minorHAnsi"/>
          <w:b/>
          <w:bCs/>
          <w:sz w:val="24"/>
        </w:rPr>
      </w:pPr>
      <w:r w:rsidRPr="009B5E0F">
        <w:rPr>
          <w:rFonts w:asciiTheme="minorHAnsi" w:hAnsiTheme="minorHAnsi"/>
          <w:b/>
          <w:bCs/>
          <w:sz w:val="24"/>
        </w:rPr>
        <w:t>Covert surveillance</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In cases involving sickness, care should be taken with respect to any evidence gathered as a result of recording an employee's activity, such as surveillance film. Such evidence can be relevant, but it may only be useful if it has been assessed by a medical professional with appropriate qualifications. A failure to do so is likely to render the investigation unreasonable (see </w:t>
      </w:r>
      <w:hyperlink r:id="rId89" w:history="1">
        <w:r w:rsidRPr="009B5E0F">
          <w:rPr>
            <w:rFonts w:asciiTheme="minorHAnsi" w:hAnsiTheme="minorHAnsi"/>
            <w:i/>
            <w:iCs/>
            <w:color w:val="005A84"/>
            <w:sz w:val="24"/>
          </w:rPr>
          <w:t>Pacey v Caterpillar Logistics Services (UK) Ltd ET/3501719/10</w:t>
        </w:r>
      </w:hyperlink>
      <w:r w:rsidRPr="009B5E0F">
        <w:rPr>
          <w:rFonts w:asciiTheme="minorHAnsi" w:hAnsiTheme="minorHAnsi"/>
          <w:sz w:val="24"/>
        </w:rPr>
        <w:t xml:space="preserve">, </w:t>
      </w:r>
      <w:hyperlink r:id="rId90" w:history="1">
        <w:r w:rsidRPr="009B5E0F">
          <w:rPr>
            <w:rFonts w:asciiTheme="minorHAnsi" w:hAnsiTheme="minorHAnsi"/>
            <w:i/>
            <w:iCs/>
            <w:color w:val="005A84"/>
            <w:sz w:val="24"/>
          </w:rPr>
          <w:t>Legal update, Use of surveillance film in disciplinary proceedings (ET)</w:t>
        </w:r>
        <w:r w:rsidRPr="009B5E0F">
          <w:rPr>
            <w:rFonts w:asciiTheme="minorHAnsi" w:hAnsiTheme="minorHAnsi"/>
            <w:i/>
            <w:iCs/>
            <w:vanish/>
            <w:color w:val="005A84"/>
            <w:sz w:val="24"/>
          </w:rPr>
          <w:t xml:space="preserve"> ( www.practicallaw.com/0-505-7864) </w:t>
        </w:r>
      </w:hyperlink>
      <w:r w:rsidRPr="009B5E0F">
        <w:rPr>
          <w:rFonts w:asciiTheme="minorHAnsi" w:hAnsiTheme="minorHAnsi"/>
          <w:sz w:val="24"/>
        </w:rPr>
        <w:t xml:space="preserve">). However, in </w:t>
      </w:r>
      <w:hyperlink r:id="rId91" w:history="1">
        <w:r w:rsidRPr="009B5E0F">
          <w:rPr>
            <w:rFonts w:asciiTheme="minorHAnsi" w:hAnsiTheme="minorHAnsi"/>
            <w:i/>
            <w:iCs/>
            <w:color w:val="005A84"/>
            <w:sz w:val="24"/>
          </w:rPr>
          <w:t>City and County Of Swansea v Gayle [2013] IRLR 768</w:t>
        </w:r>
      </w:hyperlink>
      <w:r w:rsidRPr="009B5E0F">
        <w:rPr>
          <w:rFonts w:asciiTheme="minorHAnsi" w:hAnsiTheme="minorHAnsi"/>
          <w:sz w:val="24"/>
        </w:rPr>
        <w:t xml:space="preserve"> the EAT held that an employer's covert surveillance of an employee's fraudulent activities in a public place did not make its disciplinary investigation unreasonable. Only faults in </w:t>
      </w:r>
      <w:r w:rsidRPr="009B5E0F">
        <w:rPr>
          <w:rFonts w:asciiTheme="minorHAnsi" w:hAnsiTheme="minorHAnsi"/>
          <w:sz w:val="24"/>
        </w:rPr>
        <w:lastRenderedPageBreak/>
        <w:t xml:space="preserve">an investigation which are relevant to the dismissal will affect reasonableness. The fact that the employer's act of arranging covert surveillance was disproportionate (given the existing evidence of the employee's misconduct) was irrelevant to the question of fairness because it did not affect the decision to dismiss. </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There is a clear balance to be struck between the employer's need to gather information for the investigation and the employee's right to be treated fairly and reasonably so that there is no breach of the implied term of mutual trust and confidence. An employer should be careful therefore not to use the investigation as an excuse to undertake a "fishing expedition" and should therefore avoid reading material that is obviously personal such as private e-mails and diary entries. Reading personal e-mails may also raise issues under the </w:t>
      </w:r>
      <w:hyperlink r:id="rId92" w:history="1">
        <w:r w:rsidRPr="009B5E0F">
          <w:rPr>
            <w:rFonts w:asciiTheme="minorHAnsi" w:hAnsiTheme="minorHAnsi"/>
            <w:i/>
            <w:iCs/>
            <w:color w:val="005A84"/>
            <w:sz w:val="24"/>
          </w:rPr>
          <w:t>Data Protection Act 1998</w:t>
        </w:r>
      </w:hyperlink>
      <w:r w:rsidRPr="009B5E0F">
        <w:rPr>
          <w:rFonts w:asciiTheme="minorHAnsi" w:hAnsiTheme="minorHAnsi"/>
          <w:sz w:val="24"/>
        </w:rPr>
        <w:t xml:space="preserve">, the </w:t>
      </w:r>
      <w:hyperlink r:id="rId93" w:history="1">
        <w:r w:rsidRPr="009B5E0F">
          <w:rPr>
            <w:rFonts w:asciiTheme="minorHAnsi" w:hAnsiTheme="minorHAnsi"/>
            <w:i/>
            <w:iCs/>
            <w:color w:val="005A84"/>
            <w:sz w:val="24"/>
          </w:rPr>
          <w:t>Regulation of Investigatory Powers Act 2000</w:t>
        </w:r>
      </w:hyperlink>
      <w:r w:rsidRPr="009B5E0F">
        <w:rPr>
          <w:rFonts w:asciiTheme="minorHAnsi" w:hAnsiTheme="minorHAnsi"/>
          <w:sz w:val="24"/>
        </w:rPr>
        <w:t xml:space="preserve"> and the </w:t>
      </w:r>
      <w:hyperlink r:id="rId94" w:history="1">
        <w:r w:rsidRPr="009B5E0F">
          <w:rPr>
            <w:rFonts w:asciiTheme="minorHAnsi" w:hAnsiTheme="minorHAnsi"/>
            <w:i/>
            <w:iCs/>
            <w:color w:val="005A84"/>
            <w:sz w:val="24"/>
          </w:rPr>
          <w:t>Telecommunications (Lawful Business Practice) (Interception of Communications) Regulations 2000 (SI 2000/2699)</w:t>
        </w:r>
      </w:hyperlink>
      <w:r w:rsidRPr="009B5E0F">
        <w:rPr>
          <w:rFonts w:asciiTheme="minorHAnsi" w:hAnsiTheme="minorHAnsi"/>
          <w:sz w:val="24"/>
        </w:rPr>
        <w:t>.</w:t>
      </w:r>
    </w:p>
    <w:p w:rsidR="00F124F2" w:rsidRPr="009B5E0F" w:rsidRDefault="00376472" w:rsidP="00F124F2">
      <w:pPr>
        <w:spacing w:before="100" w:beforeAutospacing="1" w:after="100" w:afterAutospacing="1"/>
        <w:outlineLvl w:val="2"/>
        <w:rPr>
          <w:rFonts w:asciiTheme="minorHAnsi" w:hAnsiTheme="minorHAnsi"/>
          <w:b/>
          <w:bCs/>
          <w:sz w:val="24"/>
        </w:rPr>
      </w:pPr>
      <w:bookmarkStart w:id="19" w:name="a628857"/>
      <w:bookmarkEnd w:id="19"/>
      <w:r>
        <w:rPr>
          <w:rFonts w:asciiTheme="minorHAnsi" w:hAnsiTheme="minorHAnsi"/>
          <w:b/>
          <w:bCs/>
          <w:sz w:val="24"/>
        </w:rPr>
        <w:t>R</w:t>
      </w:r>
      <w:r w:rsidR="00F124F2" w:rsidRPr="009B5E0F">
        <w:rPr>
          <w:rFonts w:asciiTheme="minorHAnsi" w:hAnsiTheme="minorHAnsi"/>
          <w:b/>
          <w:bCs/>
          <w:sz w:val="24"/>
        </w:rPr>
        <w:t>eluctant witnesses</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The evidence of witnesses is often crucial to the investigation, particularly in cases of misconduct. Witnesses should be interviewed privately and the need for confidentiality should be emphasised. Notes should be made of the statement or of the information provided by the witness and where possible the witness asked to sign the statement to confirm that the version of events taken down by the interviewer is correct. </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A common problem faced by employers is that of the reluctant witness or the witness who will only provide information if they are given an assurance of anonymity.</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The employer should try to establish the reason for any reluctance and, if the witness is an employee, then they should be reminded of the obligation of good faith or fidelity owed towards the employer. However, while it may be possible to establish an implied obligation for senior managers to report on another employee's misconduct, it is unlikely, in the absence of an express obligation, that a junior employee would be legally obliged to inform on a colleague </w:t>
      </w:r>
    </w:p>
    <w:p w:rsidR="00F124F2" w:rsidRPr="009B5E0F" w:rsidRDefault="00F124F2" w:rsidP="00F124F2">
      <w:pPr>
        <w:spacing w:before="100" w:beforeAutospacing="1" w:after="100" w:afterAutospacing="1"/>
        <w:outlineLvl w:val="3"/>
        <w:rPr>
          <w:rFonts w:asciiTheme="minorHAnsi" w:hAnsiTheme="minorHAnsi"/>
          <w:b/>
          <w:bCs/>
          <w:sz w:val="24"/>
        </w:rPr>
      </w:pPr>
      <w:bookmarkStart w:id="20" w:name="a981340"/>
      <w:bookmarkEnd w:id="20"/>
      <w:r w:rsidRPr="009B5E0F">
        <w:rPr>
          <w:rFonts w:asciiTheme="minorHAnsi" w:hAnsiTheme="minorHAnsi"/>
          <w:b/>
          <w:bCs/>
          <w:sz w:val="24"/>
        </w:rPr>
        <w:t>Anonymity</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With a request for anonymity the reason for the request and the motives of the informant needs to be explored. If a tribunal is asked to rule on whether a subsequent dismissal was fair, it must consider whether the employer's investigation was within the band of reasonableness. In doing so it should investigate why there was a need for anonymity and carry out a balancing act between that perceived need and the employee's need to know details of the case against him (</w:t>
      </w:r>
      <w:hyperlink r:id="rId95" w:history="1">
        <w:r w:rsidRPr="009B5E0F">
          <w:rPr>
            <w:rFonts w:asciiTheme="minorHAnsi" w:hAnsiTheme="minorHAnsi"/>
            <w:i/>
            <w:iCs/>
            <w:color w:val="005A84"/>
            <w:sz w:val="24"/>
          </w:rPr>
          <w:t>Surrey County Council v Henderson UKEAT/0326/05/ZT</w:t>
        </w:r>
      </w:hyperlink>
      <w:r w:rsidRPr="009B5E0F">
        <w:rPr>
          <w:rFonts w:asciiTheme="minorHAnsi" w:hAnsiTheme="minorHAnsi"/>
          <w:i/>
          <w:iCs/>
          <w:sz w:val="24"/>
        </w:rPr>
        <w:t>;</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lastRenderedPageBreak/>
        <w:t xml:space="preserve">In a small workplace, or in instances where the witness is genuinely in fear of physical violence, various steps can be taken to protect the witnesses' identity. The reality is, however, no guarantee of complete confidentiality to the witness can be given. There may always be a risk that subsequent criminal or civil (including employment tribunal) proceedings are issued and the accused employee will seek disclosure of the witness statements or notes of interview, which will identify the witness. </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In ordinary disciplinary proceedings, witnesses' anonymity may be protected (</w:t>
      </w:r>
      <w:hyperlink r:id="rId96" w:history="1">
        <w:r w:rsidRPr="009B5E0F">
          <w:rPr>
            <w:rFonts w:asciiTheme="minorHAnsi" w:hAnsiTheme="minorHAnsi"/>
            <w:i/>
            <w:iCs/>
            <w:color w:val="005A84"/>
            <w:sz w:val="24"/>
          </w:rPr>
          <w:t>Ramsey v Walkers Snack Foods Ltd [2004] IRLR 754</w:t>
        </w:r>
      </w:hyperlink>
      <w:r w:rsidRPr="009B5E0F">
        <w:rPr>
          <w:rFonts w:asciiTheme="minorHAnsi" w:hAnsiTheme="minorHAnsi"/>
          <w:sz w:val="24"/>
        </w:rPr>
        <w:t xml:space="preserve">). It is not necessary as a matter of course for the employee to know the identity of witnesses. What is important is that the employee knows the case they have to answer. Therefore, they need to know what allegations have been made against them in order that they can respond to them. It is therefore permissible for an employer to ensure that nothing is disclosed which could identify the maker of the statement. This could include deleting any references in the body of the statement which may lead to identification of the source in addition to their actual name. The </w:t>
      </w:r>
      <w:proofErr w:type="spellStart"/>
      <w:r w:rsidRPr="009B5E0F">
        <w:rPr>
          <w:rFonts w:asciiTheme="minorHAnsi" w:hAnsiTheme="minorHAnsi"/>
          <w:sz w:val="24"/>
        </w:rPr>
        <w:t>Acas</w:t>
      </w:r>
      <w:proofErr w:type="spellEnd"/>
      <w:r w:rsidRPr="009B5E0F">
        <w:rPr>
          <w:rFonts w:asciiTheme="minorHAnsi" w:hAnsiTheme="minorHAnsi"/>
          <w:sz w:val="24"/>
        </w:rPr>
        <w:t xml:space="preserve"> investigations guide advises that interviews should be conducted and notes taken without regard to the need for anonymity. The investigator should then consider what, if any, points need to be omitted or redacted to prevent identification.</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Even in employment tribunal proceedings the tribunal may permit an employer to disclose statements in an anonymised or redacted form to protect the identity of the witness (</w:t>
      </w:r>
      <w:hyperlink r:id="rId97" w:history="1">
        <w:r w:rsidRPr="009B5E0F">
          <w:rPr>
            <w:rFonts w:asciiTheme="minorHAnsi" w:hAnsiTheme="minorHAnsi"/>
            <w:i/>
            <w:iCs/>
            <w:color w:val="005A84"/>
            <w:sz w:val="24"/>
          </w:rPr>
          <w:t>Asda Stores Limited v Thompson [2004] IRLR 598</w:t>
        </w:r>
      </w:hyperlink>
      <w:r w:rsidRPr="009B5E0F">
        <w:rPr>
          <w:rFonts w:asciiTheme="minorHAnsi" w:hAnsiTheme="minorHAnsi"/>
          <w:sz w:val="24"/>
        </w:rPr>
        <w:t>).</w:t>
      </w:r>
    </w:p>
    <w:p w:rsidR="00F124F2" w:rsidRPr="009B5E0F" w:rsidRDefault="00F124F2" w:rsidP="00F124F2">
      <w:pPr>
        <w:spacing w:before="100" w:beforeAutospacing="1" w:after="100" w:afterAutospacing="1"/>
        <w:outlineLvl w:val="3"/>
        <w:rPr>
          <w:rFonts w:asciiTheme="minorHAnsi" w:hAnsiTheme="minorHAnsi"/>
          <w:b/>
          <w:bCs/>
          <w:sz w:val="24"/>
        </w:rPr>
      </w:pPr>
      <w:bookmarkStart w:id="21" w:name="a612304"/>
      <w:bookmarkEnd w:id="21"/>
      <w:r w:rsidRPr="009B5E0F">
        <w:rPr>
          <w:rFonts w:asciiTheme="minorHAnsi" w:hAnsiTheme="minorHAnsi"/>
          <w:b/>
          <w:bCs/>
          <w:sz w:val="24"/>
        </w:rPr>
        <w:t>Guidelines for protecting witness anonymity</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In </w:t>
      </w:r>
      <w:hyperlink r:id="rId98" w:history="1">
        <w:proofErr w:type="spellStart"/>
        <w:r w:rsidRPr="009B5E0F">
          <w:rPr>
            <w:rFonts w:asciiTheme="minorHAnsi" w:hAnsiTheme="minorHAnsi"/>
            <w:i/>
            <w:iCs/>
            <w:color w:val="005A84"/>
            <w:sz w:val="24"/>
          </w:rPr>
          <w:t>Linfood</w:t>
        </w:r>
        <w:proofErr w:type="spellEnd"/>
        <w:r w:rsidRPr="009B5E0F">
          <w:rPr>
            <w:rFonts w:asciiTheme="minorHAnsi" w:hAnsiTheme="minorHAnsi"/>
            <w:i/>
            <w:iCs/>
            <w:color w:val="005A84"/>
            <w:sz w:val="24"/>
          </w:rPr>
          <w:t xml:space="preserve"> Cash &amp; Carry Limited v Thompson [1989] IRLR 235</w:t>
        </w:r>
      </w:hyperlink>
      <w:r w:rsidRPr="009B5E0F">
        <w:rPr>
          <w:rFonts w:asciiTheme="minorHAnsi" w:hAnsiTheme="minorHAnsi"/>
          <w:sz w:val="24"/>
        </w:rPr>
        <w:t xml:space="preserve"> the EAT gave guidance to assist employers and tribunals to balance the need for a fair hearing with the protection of witnesses and informants:</w:t>
      </w:r>
    </w:p>
    <w:p w:rsidR="00F124F2" w:rsidRPr="009B5E0F" w:rsidRDefault="00F124F2" w:rsidP="00F124F2">
      <w:pPr>
        <w:numPr>
          <w:ilvl w:val="0"/>
          <w:numId w:val="6"/>
        </w:numPr>
        <w:spacing w:before="100" w:beforeAutospacing="1" w:after="100" w:afterAutospacing="1"/>
        <w:ind w:left="0"/>
        <w:rPr>
          <w:rFonts w:asciiTheme="minorHAnsi" w:hAnsiTheme="minorHAnsi"/>
          <w:sz w:val="24"/>
        </w:rPr>
      </w:pPr>
      <w:r w:rsidRPr="009B5E0F">
        <w:rPr>
          <w:rFonts w:asciiTheme="minorHAnsi" w:hAnsiTheme="minorHAnsi"/>
          <w:sz w:val="24"/>
        </w:rPr>
        <w:t xml:space="preserve">The information given by the informant should be put in writing in one or more statements. Although the employer may need to erase certain parts before showing the statement to others (if anonymity is to be preserved), the statements should initially be taken without regard to that fact. </w:t>
      </w:r>
    </w:p>
    <w:p w:rsidR="00F124F2" w:rsidRPr="009B5E0F" w:rsidRDefault="00F124F2" w:rsidP="00F124F2">
      <w:pPr>
        <w:numPr>
          <w:ilvl w:val="0"/>
          <w:numId w:val="6"/>
        </w:numPr>
        <w:spacing w:before="100" w:beforeAutospacing="1" w:after="100" w:afterAutospacing="1"/>
        <w:ind w:left="0"/>
        <w:rPr>
          <w:rFonts w:asciiTheme="minorHAnsi" w:hAnsiTheme="minorHAnsi"/>
          <w:sz w:val="24"/>
        </w:rPr>
      </w:pPr>
      <w:r w:rsidRPr="009B5E0F">
        <w:rPr>
          <w:rFonts w:asciiTheme="minorHAnsi" w:hAnsiTheme="minorHAnsi"/>
          <w:sz w:val="24"/>
        </w:rPr>
        <w:t>When taking witness statements consider the following:</w:t>
      </w:r>
    </w:p>
    <w:p w:rsidR="00F124F2" w:rsidRPr="009B5E0F" w:rsidRDefault="00F124F2" w:rsidP="00F124F2">
      <w:pPr>
        <w:numPr>
          <w:ilvl w:val="1"/>
          <w:numId w:val="6"/>
        </w:numPr>
        <w:spacing w:before="100" w:beforeAutospacing="1" w:after="100" w:afterAutospacing="1"/>
        <w:ind w:left="0"/>
        <w:rPr>
          <w:rFonts w:asciiTheme="minorHAnsi" w:hAnsiTheme="minorHAnsi"/>
          <w:sz w:val="24"/>
        </w:rPr>
      </w:pPr>
      <w:r w:rsidRPr="009B5E0F">
        <w:rPr>
          <w:rFonts w:asciiTheme="minorHAnsi" w:hAnsiTheme="minorHAnsi"/>
          <w:sz w:val="24"/>
        </w:rPr>
        <w:t>The date, time and place of observations and incidents;</w:t>
      </w:r>
    </w:p>
    <w:p w:rsidR="00F124F2" w:rsidRPr="009B5E0F" w:rsidRDefault="00F124F2" w:rsidP="00F124F2">
      <w:pPr>
        <w:numPr>
          <w:ilvl w:val="1"/>
          <w:numId w:val="6"/>
        </w:numPr>
        <w:spacing w:before="100" w:beforeAutospacing="1" w:after="100" w:afterAutospacing="1"/>
        <w:ind w:left="0"/>
        <w:rPr>
          <w:rFonts w:asciiTheme="minorHAnsi" w:hAnsiTheme="minorHAnsi"/>
          <w:sz w:val="24"/>
        </w:rPr>
      </w:pPr>
      <w:r w:rsidRPr="009B5E0F">
        <w:rPr>
          <w:rFonts w:asciiTheme="minorHAnsi" w:hAnsiTheme="minorHAnsi"/>
          <w:sz w:val="24"/>
        </w:rPr>
        <w:t>The witness's opportunity and ability to observe the incident clearly and with accuracy;</w:t>
      </w:r>
    </w:p>
    <w:p w:rsidR="00F124F2" w:rsidRPr="009B5E0F" w:rsidRDefault="00F124F2" w:rsidP="00F124F2">
      <w:pPr>
        <w:numPr>
          <w:ilvl w:val="1"/>
          <w:numId w:val="6"/>
        </w:numPr>
        <w:spacing w:before="100" w:beforeAutospacing="1" w:after="100" w:afterAutospacing="1"/>
        <w:ind w:left="0"/>
        <w:rPr>
          <w:rFonts w:asciiTheme="minorHAnsi" w:hAnsiTheme="minorHAnsi"/>
          <w:sz w:val="24"/>
        </w:rPr>
      </w:pPr>
      <w:r w:rsidRPr="009B5E0F">
        <w:rPr>
          <w:rFonts w:asciiTheme="minorHAnsi" w:hAnsiTheme="minorHAnsi"/>
          <w:sz w:val="24"/>
        </w:rPr>
        <w:t xml:space="preserve">Relevant circumstantial evidence such as the individual's knowledge of working arrangements, his reasons for being present and viewing the incident, and why he remembers certain small details; and </w:t>
      </w:r>
    </w:p>
    <w:p w:rsidR="00F124F2" w:rsidRPr="009B5E0F" w:rsidRDefault="00F124F2" w:rsidP="00F124F2">
      <w:pPr>
        <w:numPr>
          <w:ilvl w:val="1"/>
          <w:numId w:val="6"/>
        </w:numPr>
        <w:spacing w:before="100" w:beforeAutospacing="1" w:after="100" w:afterAutospacing="1"/>
        <w:ind w:left="0"/>
        <w:rPr>
          <w:rFonts w:asciiTheme="minorHAnsi" w:hAnsiTheme="minorHAnsi"/>
          <w:sz w:val="24"/>
        </w:rPr>
      </w:pPr>
      <w:r w:rsidRPr="009B5E0F">
        <w:rPr>
          <w:rFonts w:asciiTheme="minorHAnsi" w:hAnsiTheme="minorHAnsi"/>
          <w:sz w:val="24"/>
        </w:rPr>
        <w:t>Whether the witness has suffered at the hands of the accused or has any other reason to fabricate evidence.</w:t>
      </w:r>
    </w:p>
    <w:p w:rsidR="00F124F2" w:rsidRPr="009B5E0F" w:rsidRDefault="00F124F2" w:rsidP="00F124F2">
      <w:pPr>
        <w:numPr>
          <w:ilvl w:val="0"/>
          <w:numId w:val="6"/>
        </w:numPr>
        <w:spacing w:before="100" w:beforeAutospacing="1" w:after="100" w:afterAutospacing="1"/>
        <w:ind w:left="0"/>
        <w:rPr>
          <w:rFonts w:asciiTheme="minorHAnsi" w:hAnsiTheme="minorHAnsi"/>
          <w:sz w:val="24"/>
        </w:rPr>
      </w:pPr>
      <w:r w:rsidRPr="009B5E0F">
        <w:rPr>
          <w:rFonts w:asciiTheme="minorHAnsi" w:hAnsiTheme="minorHAnsi"/>
          <w:sz w:val="24"/>
        </w:rPr>
        <w:t>Corroboration of witness evidence is desirable. Once witness statements have been taken, further investigation may be required to verify or undermine the information given.</w:t>
      </w:r>
    </w:p>
    <w:p w:rsidR="00F124F2" w:rsidRPr="009B5E0F" w:rsidRDefault="00F124F2" w:rsidP="00F124F2">
      <w:pPr>
        <w:numPr>
          <w:ilvl w:val="0"/>
          <w:numId w:val="6"/>
        </w:numPr>
        <w:spacing w:before="100" w:beforeAutospacing="1" w:after="100" w:afterAutospacing="1"/>
        <w:ind w:left="0"/>
        <w:rPr>
          <w:rFonts w:asciiTheme="minorHAnsi" w:hAnsiTheme="minorHAnsi"/>
          <w:sz w:val="24"/>
        </w:rPr>
      </w:pPr>
      <w:r w:rsidRPr="009B5E0F">
        <w:rPr>
          <w:rFonts w:asciiTheme="minorHAnsi" w:hAnsiTheme="minorHAnsi"/>
          <w:sz w:val="24"/>
        </w:rPr>
        <w:lastRenderedPageBreak/>
        <w:t>It may be appropriate to make tactful enquiries into the character and background of the witness, and in relation to any other information which may add to or detract from the value of their evidence.</w:t>
      </w:r>
    </w:p>
    <w:p w:rsidR="00F124F2" w:rsidRPr="009B5E0F" w:rsidRDefault="00F124F2" w:rsidP="00F124F2">
      <w:pPr>
        <w:numPr>
          <w:ilvl w:val="0"/>
          <w:numId w:val="6"/>
        </w:numPr>
        <w:spacing w:before="100" w:beforeAutospacing="1" w:after="100" w:afterAutospacing="1"/>
        <w:ind w:left="0"/>
        <w:rPr>
          <w:rFonts w:asciiTheme="minorHAnsi" w:hAnsiTheme="minorHAnsi"/>
          <w:sz w:val="24"/>
        </w:rPr>
      </w:pPr>
      <w:r w:rsidRPr="009B5E0F">
        <w:rPr>
          <w:rFonts w:asciiTheme="minorHAnsi" w:hAnsiTheme="minorHAnsi"/>
          <w:sz w:val="24"/>
        </w:rPr>
        <w:t>If the witness is genuinely in fear of their identity being disclosed to the employee accused of misconduct, and as a result is not prepared to attend a disciplinary hearing, the employer will need to decide whether or not to continue with the disciplinary process.</w:t>
      </w:r>
    </w:p>
    <w:p w:rsidR="00F124F2" w:rsidRPr="009B5E0F" w:rsidRDefault="00F124F2" w:rsidP="00F124F2">
      <w:pPr>
        <w:numPr>
          <w:ilvl w:val="0"/>
          <w:numId w:val="6"/>
        </w:numPr>
        <w:spacing w:before="100" w:beforeAutospacing="1" w:after="100" w:afterAutospacing="1"/>
        <w:ind w:left="0"/>
        <w:rPr>
          <w:rFonts w:asciiTheme="minorHAnsi" w:hAnsiTheme="minorHAnsi"/>
          <w:sz w:val="24"/>
        </w:rPr>
      </w:pPr>
      <w:r w:rsidRPr="009B5E0F">
        <w:rPr>
          <w:rFonts w:asciiTheme="minorHAnsi" w:hAnsiTheme="minorHAnsi"/>
          <w:sz w:val="24"/>
        </w:rPr>
        <w:t>If a decision is taken to continue, those conducting the hearing should interview the witness themselves, and satisfy themselves as to the weight to be given to the witness's evidence.</w:t>
      </w:r>
    </w:p>
    <w:p w:rsidR="00F124F2" w:rsidRPr="009B5E0F" w:rsidRDefault="00F124F2" w:rsidP="00F124F2">
      <w:pPr>
        <w:numPr>
          <w:ilvl w:val="0"/>
          <w:numId w:val="6"/>
        </w:numPr>
        <w:spacing w:before="100" w:beforeAutospacing="1" w:after="100" w:afterAutospacing="1"/>
        <w:ind w:left="0"/>
        <w:rPr>
          <w:rFonts w:asciiTheme="minorHAnsi" w:hAnsiTheme="minorHAnsi"/>
          <w:sz w:val="24"/>
        </w:rPr>
      </w:pPr>
      <w:r w:rsidRPr="009B5E0F">
        <w:rPr>
          <w:rFonts w:asciiTheme="minorHAnsi" w:hAnsiTheme="minorHAnsi"/>
          <w:sz w:val="24"/>
        </w:rPr>
        <w:t>Witness statements should be made available to the employee accused of the misconduct and his representative, if necessary, with appropriate omissions so as to avoid identification of the witness.</w:t>
      </w:r>
    </w:p>
    <w:p w:rsidR="00F124F2" w:rsidRPr="009B5E0F" w:rsidRDefault="00F124F2" w:rsidP="00F124F2">
      <w:pPr>
        <w:numPr>
          <w:ilvl w:val="0"/>
          <w:numId w:val="6"/>
        </w:numPr>
        <w:spacing w:before="100" w:beforeAutospacing="1" w:after="100" w:afterAutospacing="1"/>
        <w:ind w:left="0"/>
        <w:rPr>
          <w:rFonts w:asciiTheme="minorHAnsi" w:hAnsiTheme="minorHAnsi"/>
          <w:sz w:val="24"/>
        </w:rPr>
      </w:pPr>
      <w:r w:rsidRPr="009B5E0F">
        <w:rPr>
          <w:rFonts w:asciiTheme="minorHAnsi" w:hAnsiTheme="minorHAnsi"/>
          <w:sz w:val="24"/>
        </w:rPr>
        <w:t xml:space="preserve">If the individual accused of the misconduct, or his representatives, raise issues which need to be put to the witness, an adjournment may be desirable so that the chairman can make those enquiries. </w:t>
      </w:r>
    </w:p>
    <w:p w:rsidR="00F124F2" w:rsidRPr="009B5E0F" w:rsidRDefault="00F124F2" w:rsidP="00F124F2">
      <w:pPr>
        <w:numPr>
          <w:ilvl w:val="0"/>
          <w:numId w:val="6"/>
        </w:numPr>
        <w:spacing w:before="100" w:beforeAutospacing="1" w:after="100" w:afterAutospacing="1"/>
        <w:ind w:left="0"/>
        <w:rPr>
          <w:rFonts w:asciiTheme="minorHAnsi" w:hAnsiTheme="minorHAnsi"/>
          <w:sz w:val="24"/>
        </w:rPr>
      </w:pPr>
      <w:r w:rsidRPr="009B5E0F">
        <w:rPr>
          <w:rFonts w:asciiTheme="minorHAnsi" w:hAnsiTheme="minorHAnsi"/>
          <w:sz w:val="24"/>
        </w:rPr>
        <w:t>Full and careful notes should be taken at the hearing.</w:t>
      </w:r>
    </w:p>
    <w:p w:rsidR="00F124F2" w:rsidRPr="009B5E0F" w:rsidRDefault="00F124F2" w:rsidP="00F124F2">
      <w:pPr>
        <w:numPr>
          <w:ilvl w:val="0"/>
          <w:numId w:val="6"/>
        </w:numPr>
        <w:spacing w:before="100" w:beforeAutospacing="1" w:after="100" w:afterAutospacing="1"/>
        <w:ind w:left="0"/>
        <w:rPr>
          <w:rFonts w:asciiTheme="minorHAnsi" w:hAnsiTheme="minorHAnsi"/>
          <w:sz w:val="24"/>
        </w:rPr>
      </w:pPr>
      <w:r w:rsidRPr="009B5E0F">
        <w:rPr>
          <w:rFonts w:asciiTheme="minorHAnsi" w:hAnsiTheme="minorHAnsi"/>
          <w:sz w:val="24"/>
        </w:rPr>
        <w:t>If evidence is to be taken from an investigating officer at the hearing, it should be prepared in written form.</w:t>
      </w:r>
    </w:p>
    <w:p w:rsidR="00F124F2" w:rsidRPr="009B5E0F" w:rsidRDefault="00F124F2" w:rsidP="00F124F2">
      <w:pPr>
        <w:rPr>
          <w:rFonts w:asciiTheme="minorHAnsi" w:hAnsiTheme="minorHAnsi"/>
          <w:sz w:val="24"/>
        </w:rPr>
      </w:pPr>
      <w:bookmarkStart w:id="22" w:name="a50239"/>
      <w:bookmarkEnd w:id="22"/>
      <w:r w:rsidRPr="009B5E0F">
        <w:rPr>
          <w:rFonts w:asciiTheme="minorHAnsi" w:hAnsiTheme="minorHAnsi"/>
          <w:sz w:val="24"/>
        </w:rPr>
        <w:t xml:space="preserve"> </w:t>
      </w:r>
    </w:p>
    <w:p w:rsidR="00F124F2" w:rsidRPr="009B5E0F" w:rsidRDefault="00C929EC" w:rsidP="00F124F2">
      <w:pPr>
        <w:rPr>
          <w:rFonts w:asciiTheme="minorHAnsi" w:hAnsiTheme="minorHAnsi"/>
          <w:vanish/>
          <w:sz w:val="24"/>
        </w:rPr>
      </w:pPr>
      <w:hyperlink r:id="rId99" w:anchor="top" w:tooltip="Link to the top of the document" w:history="1">
        <w:r w:rsidR="00F124F2" w:rsidRPr="009B5E0F">
          <w:rPr>
            <w:rFonts w:asciiTheme="minorHAnsi" w:hAnsiTheme="minorHAnsi"/>
            <w:vanish/>
            <w:color w:val="005A84"/>
            <w:sz w:val="24"/>
          </w:rPr>
          <w:t>Top</w:t>
        </w:r>
      </w:hyperlink>
    </w:p>
    <w:p w:rsidR="00F124F2" w:rsidRPr="009B5E0F" w:rsidRDefault="00F124F2" w:rsidP="00F124F2">
      <w:pPr>
        <w:pBdr>
          <w:bottom w:val="dotted" w:sz="6" w:space="7" w:color="BABABA"/>
        </w:pBdr>
        <w:spacing w:before="100" w:beforeAutospacing="1" w:after="135"/>
        <w:outlineLvl w:val="1"/>
        <w:rPr>
          <w:rFonts w:asciiTheme="minorHAnsi" w:hAnsiTheme="minorHAnsi"/>
          <w:b/>
          <w:bCs/>
          <w:sz w:val="24"/>
        </w:rPr>
      </w:pPr>
      <w:bookmarkStart w:id="23" w:name="a881108"/>
      <w:bookmarkEnd w:id="23"/>
      <w:r w:rsidRPr="009B5E0F">
        <w:rPr>
          <w:rFonts w:asciiTheme="minorHAnsi" w:hAnsiTheme="minorHAnsi"/>
          <w:b/>
          <w:bCs/>
          <w:sz w:val="24"/>
        </w:rPr>
        <w:t>Information to be given to the employee before the disciplinary hearing</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Once the investigation is complete, if the employer decides that formal disciplinary action is required, it should write to the employee to confirm the outcome of the investigation and invite them to a disciplinary hearing. The letter should set out sufficient information about the allegations and their possible consequences to enable the employee to prepare their case for the disciplinary hearing (</w:t>
      </w:r>
      <w:r w:rsidRPr="009B5E0F">
        <w:rPr>
          <w:rFonts w:asciiTheme="minorHAnsi" w:hAnsiTheme="minorHAnsi"/>
          <w:i/>
          <w:iCs/>
          <w:sz w:val="24"/>
        </w:rPr>
        <w:t xml:space="preserve">paragraph 9, </w:t>
      </w:r>
      <w:proofErr w:type="spellStart"/>
      <w:r w:rsidRPr="009B5E0F">
        <w:rPr>
          <w:rFonts w:asciiTheme="minorHAnsi" w:hAnsiTheme="minorHAnsi"/>
          <w:i/>
          <w:iCs/>
          <w:sz w:val="24"/>
        </w:rPr>
        <w:t>Acas</w:t>
      </w:r>
      <w:proofErr w:type="spellEnd"/>
      <w:r w:rsidRPr="009B5E0F">
        <w:rPr>
          <w:rFonts w:asciiTheme="minorHAnsi" w:hAnsiTheme="minorHAnsi"/>
          <w:i/>
          <w:iCs/>
          <w:sz w:val="24"/>
        </w:rPr>
        <w:t xml:space="preserve"> Code</w:t>
      </w:r>
      <w:r w:rsidRPr="009B5E0F">
        <w:rPr>
          <w:rFonts w:asciiTheme="minorHAnsi" w:hAnsiTheme="minorHAnsi"/>
          <w:sz w:val="24"/>
        </w:rPr>
        <w:t>). Copies of any documents or evidence on which the employer intends to rely at the hearing should be provided, together with the names of any witnesses who will attend (</w:t>
      </w:r>
      <w:r w:rsidRPr="009B5E0F">
        <w:rPr>
          <w:rFonts w:asciiTheme="minorHAnsi" w:hAnsiTheme="minorHAnsi"/>
          <w:i/>
          <w:iCs/>
          <w:sz w:val="24"/>
        </w:rPr>
        <w:t xml:space="preserve">paragraph 12, </w:t>
      </w:r>
      <w:proofErr w:type="spellStart"/>
      <w:r w:rsidRPr="009B5E0F">
        <w:rPr>
          <w:rFonts w:asciiTheme="minorHAnsi" w:hAnsiTheme="minorHAnsi"/>
          <w:i/>
          <w:iCs/>
          <w:sz w:val="24"/>
        </w:rPr>
        <w:t>Acas</w:t>
      </w:r>
      <w:proofErr w:type="spellEnd"/>
      <w:r w:rsidRPr="009B5E0F">
        <w:rPr>
          <w:rFonts w:asciiTheme="minorHAnsi" w:hAnsiTheme="minorHAnsi"/>
          <w:i/>
          <w:iCs/>
          <w:sz w:val="24"/>
        </w:rPr>
        <w:t xml:space="preserve"> Code</w:t>
      </w:r>
      <w:r w:rsidRPr="009B5E0F">
        <w:rPr>
          <w:rFonts w:asciiTheme="minorHAnsi" w:hAnsiTheme="minorHAnsi"/>
          <w:sz w:val="24"/>
        </w:rPr>
        <w:t xml:space="preserve">). It is advisable to send the employee a copy of the employer's disciplinary procedure, so that the employee understands the process. Furthermore, the </w:t>
      </w:r>
      <w:proofErr w:type="spellStart"/>
      <w:r w:rsidRPr="009B5E0F">
        <w:rPr>
          <w:rFonts w:asciiTheme="minorHAnsi" w:hAnsiTheme="minorHAnsi"/>
          <w:sz w:val="24"/>
        </w:rPr>
        <w:t>Acas</w:t>
      </w:r>
      <w:proofErr w:type="spellEnd"/>
      <w:r w:rsidRPr="009B5E0F">
        <w:rPr>
          <w:rFonts w:asciiTheme="minorHAnsi" w:hAnsiTheme="minorHAnsi"/>
          <w:sz w:val="24"/>
        </w:rPr>
        <w:t xml:space="preserve"> Code advises employers to inform the employee in writing of the right to be accompanied (</w:t>
      </w:r>
      <w:r w:rsidRPr="009B5E0F">
        <w:rPr>
          <w:rFonts w:asciiTheme="minorHAnsi" w:hAnsiTheme="minorHAnsi"/>
          <w:i/>
          <w:iCs/>
          <w:sz w:val="24"/>
        </w:rPr>
        <w:t>paragraph 10</w:t>
      </w:r>
      <w:r w:rsidRPr="009B5E0F">
        <w:rPr>
          <w:rFonts w:asciiTheme="minorHAnsi" w:hAnsiTheme="minorHAnsi"/>
          <w:sz w:val="24"/>
        </w:rPr>
        <w:t xml:space="preserve">, see </w:t>
      </w:r>
      <w:hyperlink r:id="rId100" w:anchor="a1027105" w:history="1">
        <w:r w:rsidRPr="009B5E0F">
          <w:rPr>
            <w:rFonts w:asciiTheme="minorHAnsi" w:hAnsiTheme="minorHAnsi"/>
            <w:i/>
            <w:iCs/>
            <w:color w:val="005A84"/>
            <w:sz w:val="24"/>
          </w:rPr>
          <w:t>Right to be accompanied</w:t>
        </w:r>
      </w:hyperlink>
      <w:r w:rsidRPr="009B5E0F">
        <w:rPr>
          <w:rFonts w:asciiTheme="minorHAnsi" w:hAnsiTheme="minorHAnsi"/>
          <w:sz w:val="24"/>
        </w:rPr>
        <w:t>).</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The disciplinary invitation letter should also set out the arrangements for the disciplinary hearing. The disciplinary hearing should be convened at a reasonable time and place. It should certainly be conducted during normal working hours and consideration should be given to its location. If the matter is of a particularly sensitive or confidential nature it may be advisable for the meeting to be conducted away from the employee's place of work. An employee should be given sufficient time to consider the allegations and to read any witness statements and other investigation materials. The employee should also be asked if there are any witnesses they wish to call to the hearing and any documents they wish to rely on that have not already been disclosed.</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lastRenderedPageBreak/>
        <w:t xml:space="preserve">If the employee is still working, the letter, and any accompanying documents, should be given to them in person. If the employee is on suspension, the employer should consider using a courier to deliver the letter, rather than relying on the post. If not, recorded or registered mail and a copy to a private e-mail address (if known) should be used to prevent any allegation that the letter was not received by the employee. </w:t>
      </w:r>
    </w:p>
    <w:p w:rsidR="00F124F2" w:rsidRPr="009B5E0F" w:rsidRDefault="00F124F2" w:rsidP="00F124F2">
      <w:pPr>
        <w:spacing w:before="100" w:beforeAutospacing="1" w:after="100" w:afterAutospacing="1"/>
        <w:outlineLvl w:val="2"/>
        <w:rPr>
          <w:rFonts w:asciiTheme="minorHAnsi" w:hAnsiTheme="minorHAnsi"/>
          <w:b/>
          <w:bCs/>
          <w:sz w:val="24"/>
        </w:rPr>
      </w:pPr>
      <w:bookmarkStart w:id="24" w:name="a778421"/>
      <w:bookmarkEnd w:id="24"/>
      <w:r w:rsidRPr="009B5E0F">
        <w:rPr>
          <w:rFonts w:asciiTheme="minorHAnsi" w:hAnsiTheme="minorHAnsi"/>
          <w:b/>
          <w:bCs/>
          <w:sz w:val="24"/>
        </w:rPr>
        <w:t>Setting out the case against the employee</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It is a principle of natural justice that an accused person must be informed of the charges against them so that they have the opportunity to put their side of the story:</w:t>
      </w:r>
    </w:p>
    <w:p w:rsidR="00F124F2" w:rsidRPr="009B5E0F" w:rsidRDefault="00F124F2" w:rsidP="00F124F2">
      <w:pPr>
        <w:rPr>
          <w:rFonts w:asciiTheme="minorHAnsi" w:hAnsiTheme="minorHAnsi"/>
          <w:sz w:val="24"/>
        </w:rPr>
      </w:pPr>
      <w:r w:rsidRPr="009B5E0F">
        <w:rPr>
          <w:rFonts w:asciiTheme="minorHAnsi" w:hAnsiTheme="minorHAnsi"/>
          <w:sz w:val="24"/>
        </w:rPr>
        <w:t>"It is a fundamental part of a fair disciplinary procedure that an employee know the case against him. Fairness requires that someone accused should know the case to be met; should hear or be told the important parts of the evidence in support of that case; should have an opportunity to criticise or dispute that evidence and to adduce his own evidence and argue his case." (</w:t>
      </w:r>
      <w:proofErr w:type="spellStart"/>
      <w:r w:rsidR="00951A7B" w:rsidRPr="009B5E0F">
        <w:rPr>
          <w:rFonts w:asciiTheme="minorHAnsi" w:hAnsiTheme="minorHAnsi"/>
          <w:i/>
          <w:iCs/>
          <w:sz w:val="24"/>
        </w:rPr>
        <w:fldChar w:fldCharType="begin"/>
      </w:r>
      <w:r w:rsidRPr="009B5E0F">
        <w:rPr>
          <w:rFonts w:asciiTheme="minorHAnsi" w:hAnsiTheme="minorHAnsi"/>
          <w:i/>
          <w:iCs/>
          <w:sz w:val="24"/>
        </w:rPr>
        <w:instrText xml:space="preserve"> HYPERLINK "http://uk.practicallaw.com/D-015-4667" </w:instrText>
      </w:r>
      <w:r w:rsidR="00951A7B" w:rsidRPr="009B5E0F">
        <w:rPr>
          <w:rFonts w:asciiTheme="minorHAnsi" w:hAnsiTheme="minorHAnsi"/>
          <w:i/>
          <w:iCs/>
          <w:sz w:val="24"/>
        </w:rPr>
        <w:fldChar w:fldCharType="separate"/>
      </w:r>
      <w:r w:rsidRPr="009B5E0F">
        <w:rPr>
          <w:rFonts w:asciiTheme="minorHAnsi" w:hAnsiTheme="minorHAnsi"/>
          <w:i/>
          <w:iCs/>
          <w:color w:val="005A84"/>
          <w:sz w:val="24"/>
        </w:rPr>
        <w:t>Spink</w:t>
      </w:r>
      <w:proofErr w:type="spellEnd"/>
      <w:r w:rsidRPr="009B5E0F">
        <w:rPr>
          <w:rFonts w:asciiTheme="minorHAnsi" w:hAnsiTheme="minorHAnsi"/>
          <w:i/>
          <w:iCs/>
          <w:color w:val="005A84"/>
          <w:sz w:val="24"/>
        </w:rPr>
        <w:t xml:space="preserve"> v Express Foods Ltd [1990] IRLR 320 (EAT)</w:t>
      </w:r>
      <w:r w:rsidR="00951A7B" w:rsidRPr="009B5E0F">
        <w:rPr>
          <w:rFonts w:asciiTheme="minorHAnsi" w:hAnsiTheme="minorHAnsi"/>
          <w:i/>
          <w:iCs/>
          <w:sz w:val="24"/>
        </w:rPr>
        <w:fldChar w:fldCharType="end"/>
      </w:r>
      <w:r w:rsidRPr="009B5E0F">
        <w:rPr>
          <w:rFonts w:asciiTheme="minorHAnsi" w:hAnsiTheme="minorHAnsi"/>
          <w:sz w:val="24"/>
        </w:rPr>
        <w:t>).</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It may be helpful if the investigating officer prepares a report summarising the steps taken in the investigation, the allegations, and the evidence available in respect of them which may assist with the conduct of the disciplinary hearing.</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Precision is another key principle: "the charge against... the employee facing dismissal should be precisely framed", and the employee "should be found guilty, if he is found guilty at all, only of a charge which is put to him" (</w:t>
      </w:r>
      <w:proofErr w:type="spellStart"/>
      <w:r w:rsidR="00951A7B" w:rsidRPr="009B5E0F">
        <w:rPr>
          <w:rFonts w:asciiTheme="minorHAnsi" w:hAnsiTheme="minorHAnsi"/>
          <w:i/>
          <w:iCs/>
          <w:sz w:val="24"/>
        </w:rPr>
        <w:fldChar w:fldCharType="begin"/>
      </w:r>
      <w:r w:rsidRPr="009B5E0F">
        <w:rPr>
          <w:rFonts w:asciiTheme="minorHAnsi" w:hAnsiTheme="minorHAnsi"/>
          <w:i/>
          <w:iCs/>
          <w:sz w:val="24"/>
        </w:rPr>
        <w:instrText xml:space="preserve"> HYPERLINK "http://uk.practicallaw.com/D-000-2847" </w:instrText>
      </w:r>
      <w:r w:rsidR="00951A7B" w:rsidRPr="009B5E0F">
        <w:rPr>
          <w:rFonts w:asciiTheme="minorHAnsi" w:hAnsiTheme="minorHAnsi"/>
          <w:i/>
          <w:iCs/>
          <w:sz w:val="24"/>
        </w:rPr>
        <w:fldChar w:fldCharType="separate"/>
      </w:r>
      <w:r w:rsidRPr="009B5E0F">
        <w:rPr>
          <w:rFonts w:asciiTheme="minorHAnsi" w:hAnsiTheme="minorHAnsi"/>
          <w:i/>
          <w:iCs/>
          <w:color w:val="005A84"/>
          <w:sz w:val="24"/>
        </w:rPr>
        <w:t>Strouthos</w:t>
      </w:r>
      <w:proofErr w:type="spellEnd"/>
      <w:r w:rsidRPr="009B5E0F">
        <w:rPr>
          <w:rFonts w:asciiTheme="minorHAnsi" w:hAnsiTheme="minorHAnsi"/>
          <w:i/>
          <w:iCs/>
          <w:color w:val="005A84"/>
          <w:sz w:val="24"/>
        </w:rPr>
        <w:t xml:space="preserve"> v London Underground [2004] IRLR 636 (CA)</w:t>
      </w:r>
      <w:r w:rsidR="00951A7B" w:rsidRPr="009B5E0F">
        <w:rPr>
          <w:rFonts w:asciiTheme="minorHAnsi" w:hAnsiTheme="minorHAnsi"/>
          <w:i/>
          <w:iCs/>
          <w:sz w:val="24"/>
        </w:rPr>
        <w:fldChar w:fldCharType="end"/>
      </w:r>
      <w:r w:rsidRPr="009B5E0F">
        <w:rPr>
          <w:rFonts w:asciiTheme="minorHAnsi" w:hAnsiTheme="minorHAnsi"/>
          <w:sz w:val="24"/>
        </w:rPr>
        <w:t xml:space="preserve">). In other words, employers should not accuse an employee of one thing and dismiss for another reason, or frame the accusation in such broad terms as to mask its potential seriousness. This is illustrated by </w:t>
      </w:r>
      <w:hyperlink r:id="rId101" w:history="1">
        <w:proofErr w:type="spellStart"/>
        <w:r w:rsidRPr="009B5E0F">
          <w:rPr>
            <w:rFonts w:asciiTheme="minorHAnsi" w:hAnsiTheme="minorHAnsi"/>
            <w:i/>
            <w:iCs/>
            <w:color w:val="005A84"/>
            <w:sz w:val="24"/>
          </w:rPr>
          <w:t>Celebi</w:t>
        </w:r>
        <w:proofErr w:type="spellEnd"/>
        <w:r w:rsidRPr="009B5E0F">
          <w:rPr>
            <w:rFonts w:asciiTheme="minorHAnsi" w:hAnsiTheme="minorHAnsi"/>
            <w:i/>
            <w:iCs/>
            <w:color w:val="005A84"/>
            <w:sz w:val="24"/>
          </w:rPr>
          <w:t xml:space="preserve"> v </w:t>
        </w:r>
        <w:proofErr w:type="spellStart"/>
        <w:r w:rsidRPr="009B5E0F">
          <w:rPr>
            <w:rFonts w:asciiTheme="minorHAnsi" w:hAnsiTheme="minorHAnsi"/>
            <w:i/>
            <w:iCs/>
            <w:color w:val="005A84"/>
            <w:sz w:val="24"/>
          </w:rPr>
          <w:t>Scolarest</w:t>
        </w:r>
        <w:proofErr w:type="spellEnd"/>
        <w:r w:rsidRPr="009B5E0F">
          <w:rPr>
            <w:rFonts w:asciiTheme="minorHAnsi" w:hAnsiTheme="minorHAnsi"/>
            <w:i/>
            <w:iCs/>
            <w:color w:val="005A84"/>
            <w:sz w:val="24"/>
          </w:rPr>
          <w:t xml:space="preserve"> Compass Group UK &amp; Ireland Ltd UKEAT/2010/0032</w:t>
        </w:r>
      </w:hyperlink>
      <w:r w:rsidRPr="009B5E0F">
        <w:rPr>
          <w:rFonts w:asciiTheme="minorHAnsi" w:hAnsiTheme="minorHAnsi"/>
          <w:sz w:val="24"/>
        </w:rPr>
        <w:t xml:space="preserve">, in which the employer informed Ms </w:t>
      </w:r>
      <w:proofErr w:type="spellStart"/>
      <w:r w:rsidRPr="009B5E0F">
        <w:rPr>
          <w:rFonts w:asciiTheme="minorHAnsi" w:hAnsiTheme="minorHAnsi"/>
          <w:sz w:val="24"/>
        </w:rPr>
        <w:t>Celebi</w:t>
      </w:r>
      <w:proofErr w:type="spellEnd"/>
      <w:r w:rsidRPr="009B5E0F">
        <w:rPr>
          <w:rFonts w:asciiTheme="minorHAnsi" w:hAnsiTheme="minorHAnsi"/>
          <w:sz w:val="24"/>
        </w:rPr>
        <w:t xml:space="preserve"> by letter that it was investigating the "loss of £3,000 cash". A further letter requested her attendance at a disciplinary hearing concerning incorrect "reporting of stock figures" and "following of financial procedures" and "discrepancies in banking". After the hearing, the employer dismissed her by letter stating the same three reasons. Ms </w:t>
      </w:r>
      <w:proofErr w:type="spellStart"/>
      <w:r w:rsidRPr="009B5E0F">
        <w:rPr>
          <w:rFonts w:asciiTheme="minorHAnsi" w:hAnsiTheme="minorHAnsi"/>
          <w:sz w:val="24"/>
        </w:rPr>
        <w:t>Celebi</w:t>
      </w:r>
      <w:proofErr w:type="spellEnd"/>
      <w:r w:rsidRPr="009B5E0F">
        <w:rPr>
          <w:rFonts w:asciiTheme="minorHAnsi" w:hAnsiTheme="minorHAnsi"/>
          <w:sz w:val="24"/>
        </w:rPr>
        <w:t xml:space="preserve"> brought a claim for unfair dismissal, and the employer's chief witness gave evidence that the reason for dismissal was a "reasonable belief that the Claimant had stolen the £3,000". Since the accusation of dishonesty had not previously been put to the employee, the EAT held that the dismissal was unfair.</w:t>
      </w:r>
    </w:p>
    <w:p w:rsidR="008906AD"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Although the factual allegations must be precisely framed, the label attached to the conduct is of less importance. The Court of Appeal in </w:t>
      </w:r>
      <w:r w:rsidRPr="009B5E0F">
        <w:rPr>
          <w:rFonts w:asciiTheme="minorHAnsi" w:hAnsiTheme="minorHAnsi"/>
          <w:i/>
          <w:iCs/>
          <w:sz w:val="24"/>
        </w:rPr>
        <w:t>Brito-</w:t>
      </w:r>
      <w:proofErr w:type="spellStart"/>
      <w:r w:rsidRPr="009B5E0F">
        <w:rPr>
          <w:rFonts w:asciiTheme="minorHAnsi" w:hAnsiTheme="minorHAnsi"/>
          <w:i/>
          <w:iCs/>
          <w:sz w:val="24"/>
        </w:rPr>
        <w:t>Babapulle</w:t>
      </w:r>
      <w:proofErr w:type="spellEnd"/>
      <w:r w:rsidRPr="009B5E0F">
        <w:rPr>
          <w:rFonts w:asciiTheme="minorHAnsi" w:hAnsiTheme="minorHAnsi"/>
          <w:i/>
          <w:iCs/>
          <w:sz w:val="24"/>
        </w:rPr>
        <w:t xml:space="preserve"> v Ealing Hospital NHS Trust [2014] EWCA </w:t>
      </w:r>
      <w:proofErr w:type="spellStart"/>
      <w:r w:rsidRPr="009B5E0F">
        <w:rPr>
          <w:rFonts w:asciiTheme="minorHAnsi" w:hAnsiTheme="minorHAnsi"/>
          <w:i/>
          <w:iCs/>
          <w:sz w:val="24"/>
        </w:rPr>
        <w:t>Civ</w:t>
      </w:r>
      <w:proofErr w:type="spellEnd"/>
      <w:r w:rsidRPr="009B5E0F">
        <w:rPr>
          <w:rFonts w:asciiTheme="minorHAnsi" w:hAnsiTheme="minorHAnsi"/>
          <w:i/>
          <w:iCs/>
          <w:sz w:val="24"/>
        </w:rPr>
        <w:t xml:space="preserve"> 1626</w:t>
      </w:r>
      <w:r w:rsidRPr="009B5E0F">
        <w:rPr>
          <w:rFonts w:asciiTheme="minorHAnsi" w:hAnsiTheme="minorHAnsi"/>
          <w:sz w:val="24"/>
        </w:rPr>
        <w:t xml:space="preserve"> held that the label attached to conduct will be immaterial when the nature of the allegation has been made clear to the employee. Ms Brito-</w:t>
      </w:r>
      <w:proofErr w:type="spellStart"/>
      <w:r w:rsidRPr="009B5E0F">
        <w:rPr>
          <w:rFonts w:asciiTheme="minorHAnsi" w:hAnsiTheme="minorHAnsi"/>
          <w:sz w:val="24"/>
        </w:rPr>
        <w:t>Babapulle</w:t>
      </w:r>
      <w:proofErr w:type="spellEnd"/>
      <w:r w:rsidRPr="009B5E0F">
        <w:rPr>
          <w:rFonts w:asciiTheme="minorHAnsi" w:hAnsiTheme="minorHAnsi"/>
          <w:sz w:val="24"/>
        </w:rPr>
        <w:t xml:space="preserve">, a consultant haematologist, was accused of continuing to see private patients during sickness absence, despite having been told not to do so. She was told that the allegation was potentially one of gross misconduct which could, if substantiated, lead to dismissal. The disciplinary panel </w:t>
      </w:r>
      <w:r w:rsidRPr="009B5E0F">
        <w:rPr>
          <w:rFonts w:asciiTheme="minorHAnsi" w:hAnsiTheme="minorHAnsi"/>
          <w:sz w:val="24"/>
        </w:rPr>
        <w:lastRenderedPageBreak/>
        <w:t xml:space="preserve">upheld the allegation and, in dismissing her, said that this "constituted fraud which could be considered as gross misconduct". Relying on the need for precision, as identified in </w:t>
      </w:r>
      <w:proofErr w:type="spellStart"/>
      <w:r w:rsidRPr="009B5E0F">
        <w:rPr>
          <w:rFonts w:asciiTheme="minorHAnsi" w:hAnsiTheme="minorHAnsi"/>
          <w:i/>
          <w:iCs/>
          <w:sz w:val="24"/>
        </w:rPr>
        <w:t>Strouthos</w:t>
      </w:r>
      <w:proofErr w:type="spellEnd"/>
      <w:r w:rsidRPr="009B5E0F">
        <w:rPr>
          <w:rFonts w:asciiTheme="minorHAnsi" w:hAnsiTheme="minorHAnsi"/>
          <w:sz w:val="24"/>
        </w:rPr>
        <w:t xml:space="preserve"> (see above), Ms Brito-</w:t>
      </w:r>
      <w:proofErr w:type="spellStart"/>
      <w:r w:rsidRPr="009B5E0F">
        <w:rPr>
          <w:rFonts w:asciiTheme="minorHAnsi" w:hAnsiTheme="minorHAnsi"/>
          <w:sz w:val="24"/>
        </w:rPr>
        <w:t>Babapulle</w:t>
      </w:r>
      <w:proofErr w:type="spellEnd"/>
      <w:r w:rsidRPr="009B5E0F">
        <w:rPr>
          <w:rFonts w:asciiTheme="minorHAnsi" w:hAnsiTheme="minorHAnsi"/>
          <w:sz w:val="24"/>
        </w:rPr>
        <w:t xml:space="preserve"> argued that the tribunal had erred in considering the reason for her dismissal, because it had failed to identify whether her conduct amounted to fraud and, if it did, to say why it did so. The Court of Appeal rejected this argument. While there was a danger in using emotive words as a label rather than a description of alleged conduct, in this case the nature of the charge and a full account of the evidence had been made clear to Ms Brito-</w:t>
      </w:r>
      <w:proofErr w:type="spellStart"/>
      <w:r w:rsidRPr="009B5E0F">
        <w:rPr>
          <w:rFonts w:asciiTheme="minorHAnsi" w:hAnsiTheme="minorHAnsi"/>
          <w:sz w:val="24"/>
        </w:rPr>
        <w:t>Babapulle</w:t>
      </w:r>
      <w:proofErr w:type="spellEnd"/>
      <w:r w:rsidRPr="009B5E0F">
        <w:rPr>
          <w:rFonts w:asciiTheme="minorHAnsi" w:hAnsiTheme="minorHAnsi"/>
          <w:sz w:val="24"/>
        </w:rPr>
        <w:t xml:space="preserve"> before the disciplinary hearing. </w:t>
      </w:r>
    </w:p>
    <w:p w:rsidR="00F124F2" w:rsidRPr="009B5E0F" w:rsidRDefault="00F124F2" w:rsidP="00F124F2">
      <w:pPr>
        <w:spacing w:before="100" w:beforeAutospacing="1" w:after="100" w:afterAutospacing="1"/>
        <w:outlineLvl w:val="2"/>
        <w:rPr>
          <w:rFonts w:asciiTheme="minorHAnsi" w:hAnsiTheme="minorHAnsi"/>
          <w:b/>
          <w:bCs/>
          <w:sz w:val="24"/>
        </w:rPr>
      </w:pPr>
      <w:bookmarkStart w:id="25" w:name="a197892"/>
      <w:bookmarkStart w:id="26" w:name="sect2pos15res1"/>
      <w:bookmarkEnd w:id="25"/>
      <w:bookmarkEnd w:id="26"/>
      <w:r w:rsidRPr="009B5E0F">
        <w:rPr>
          <w:rFonts w:asciiTheme="minorHAnsi" w:hAnsiTheme="minorHAnsi"/>
          <w:b/>
          <w:bCs/>
          <w:sz w:val="24"/>
        </w:rPr>
        <w:t>Employee should be aware of possible consequences</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It is important to make sure the employee appreciates the severity of the allegations and the possible consequences. They should not be expected to work this out for themselves from the disciplinary policy. In particular, an employee who is at risk of dismissal must be told of this in advance of the hearing, otherwise the dismissal may be unfair. The employee needs to know that they are "fighting for their job".</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This principle, and the reasons for it, are illustrated by </w:t>
      </w:r>
      <w:hyperlink r:id="rId102" w:history="1">
        <w:r w:rsidRPr="009B5E0F">
          <w:rPr>
            <w:rFonts w:asciiTheme="minorHAnsi" w:hAnsiTheme="minorHAnsi"/>
            <w:i/>
            <w:iCs/>
            <w:color w:val="005A84"/>
            <w:sz w:val="24"/>
          </w:rPr>
          <w:t>Boyd v Renfrewshire Council [2008] CSIH 36</w:t>
        </w:r>
      </w:hyperlink>
      <w:r w:rsidRPr="009B5E0F">
        <w:rPr>
          <w:rFonts w:asciiTheme="minorHAnsi" w:hAnsiTheme="minorHAnsi"/>
          <w:sz w:val="24"/>
        </w:rPr>
        <w:t xml:space="preserve">. In that case Mr Boyd, a refuse collection driver, was summarily dismissed for gross misconduct in "deliberately and wilfully" taking an unauthorised break and failing to complete his work, with a view to causing disruption. This was against a background in which other employees had been </w:t>
      </w:r>
      <w:hyperlink r:id="rId103" w:history="1">
        <w:r w:rsidRPr="009B5E0F">
          <w:rPr>
            <w:rFonts w:asciiTheme="minorHAnsi" w:hAnsiTheme="minorHAnsi"/>
            <w:b/>
            <w:bCs/>
            <w:i/>
            <w:iCs/>
            <w:color w:val="005A84"/>
            <w:sz w:val="24"/>
          </w:rPr>
          <w:t>working to rule</w:t>
        </w:r>
        <w:r w:rsidRPr="009B5E0F">
          <w:rPr>
            <w:rFonts w:asciiTheme="minorHAnsi" w:hAnsiTheme="minorHAnsi"/>
            <w:b/>
            <w:bCs/>
            <w:i/>
            <w:iCs/>
            <w:vanish/>
            <w:color w:val="005A84"/>
            <w:sz w:val="24"/>
          </w:rPr>
          <w:t xml:space="preserve"> ( www.practicallaw.com/3-107-7520) </w:t>
        </w:r>
      </w:hyperlink>
      <w:r w:rsidRPr="009B5E0F">
        <w:rPr>
          <w:rFonts w:asciiTheme="minorHAnsi" w:hAnsiTheme="minorHAnsi"/>
          <w:sz w:val="24"/>
        </w:rPr>
        <w:t xml:space="preserve">as a protest against changes to patterns of work. Mr Boyd's crew had threatened him and demanded that he drop them off at a pub. They warned him to stay away from the depot for the rest of the day. Further threats and criminal damage to Mr Boyd's car occurred later in the day. The tribunal found that the dismissal was unfair because it had not been alleged until after the disciplinary hearing that Mr Boyd's actions were "wilful" or that he intended to cause disruption; nor had there previously been any mention of gross misconduct or the possibility of dismissal. This was a first offence and Mr Boyd had been under the impression from his union representative that the worst he could expect was a written warning. On that basis, he had decided it was not worth risking further intimidation by mentioning the real reason for his actions. The tribunal's decision was upheld by the Court of Session. </w:t>
      </w:r>
    </w:p>
    <w:p w:rsidR="00F124F2" w:rsidRPr="009B5E0F" w:rsidRDefault="00F124F2" w:rsidP="00F124F2">
      <w:pPr>
        <w:spacing w:before="100" w:beforeAutospacing="1" w:after="100" w:afterAutospacing="1"/>
        <w:outlineLvl w:val="2"/>
        <w:rPr>
          <w:rFonts w:asciiTheme="minorHAnsi" w:hAnsiTheme="minorHAnsi"/>
          <w:b/>
          <w:bCs/>
          <w:sz w:val="24"/>
        </w:rPr>
      </w:pPr>
      <w:bookmarkStart w:id="27" w:name="a470856"/>
      <w:bookmarkEnd w:id="27"/>
      <w:r w:rsidRPr="009B5E0F">
        <w:rPr>
          <w:rFonts w:asciiTheme="minorHAnsi" w:hAnsiTheme="minorHAnsi"/>
          <w:b/>
          <w:bCs/>
          <w:sz w:val="24"/>
        </w:rPr>
        <w:t>Disclosing the evidence</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Ideally all witness statements and other documents to be relied on should be made available to the employee before the hearing. This helps to give the employee a full picture of the nature of the allegations and the case they have to meet. Obviously if the employer has given a promise of anonymity to any witnesses, steps will have to be taken to amend the witness statements for this purpose (see </w:t>
      </w:r>
      <w:hyperlink r:id="rId104" w:anchor="a628857" w:history="1">
        <w:proofErr w:type="gramStart"/>
        <w:r w:rsidRPr="009B5E0F">
          <w:rPr>
            <w:rFonts w:asciiTheme="minorHAnsi" w:hAnsiTheme="minorHAnsi"/>
            <w:i/>
            <w:iCs/>
            <w:color w:val="005A84"/>
            <w:sz w:val="24"/>
          </w:rPr>
          <w:t>Reluctant</w:t>
        </w:r>
        <w:proofErr w:type="gramEnd"/>
        <w:r w:rsidRPr="009B5E0F">
          <w:rPr>
            <w:rFonts w:asciiTheme="minorHAnsi" w:hAnsiTheme="minorHAnsi"/>
            <w:i/>
            <w:iCs/>
            <w:color w:val="005A84"/>
            <w:sz w:val="24"/>
          </w:rPr>
          <w:t xml:space="preserve"> witnesses</w:t>
        </w:r>
      </w:hyperlink>
      <w:r w:rsidRPr="009B5E0F">
        <w:rPr>
          <w:rFonts w:asciiTheme="minorHAnsi" w:hAnsiTheme="minorHAnsi"/>
          <w:sz w:val="24"/>
        </w:rPr>
        <w:t>).</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However, it is worth nothing </w:t>
      </w:r>
      <w:proofErr w:type="gramStart"/>
      <w:r w:rsidRPr="009B5E0F">
        <w:rPr>
          <w:rFonts w:asciiTheme="minorHAnsi" w:hAnsiTheme="minorHAnsi"/>
          <w:sz w:val="24"/>
        </w:rPr>
        <w:t>that ,</w:t>
      </w:r>
      <w:proofErr w:type="gramEnd"/>
      <w:r w:rsidRPr="009B5E0F">
        <w:rPr>
          <w:rFonts w:asciiTheme="minorHAnsi" w:hAnsiTheme="minorHAnsi"/>
          <w:sz w:val="24"/>
        </w:rPr>
        <w:t xml:space="preserve"> provided an employee is fully aware of the case against them, a tribunal may find that the lack of disclosure of the actual witness </w:t>
      </w:r>
      <w:r w:rsidRPr="009B5E0F">
        <w:rPr>
          <w:rFonts w:asciiTheme="minorHAnsi" w:hAnsiTheme="minorHAnsi"/>
          <w:sz w:val="24"/>
        </w:rPr>
        <w:lastRenderedPageBreak/>
        <w:t>statements does not render a dismissal intrinsically unfair (</w:t>
      </w:r>
      <w:hyperlink r:id="rId105" w:history="1">
        <w:r w:rsidRPr="009B5E0F">
          <w:rPr>
            <w:rFonts w:asciiTheme="minorHAnsi" w:hAnsiTheme="minorHAnsi"/>
            <w:i/>
            <w:iCs/>
            <w:color w:val="005A84"/>
            <w:sz w:val="24"/>
          </w:rPr>
          <w:t>Hussain v Elonex plc [1999] IRLR 420 (CA)</w:t>
        </w:r>
      </w:hyperlink>
      <w:r w:rsidRPr="009B5E0F">
        <w:rPr>
          <w:rFonts w:asciiTheme="minorHAnsi" w:hAnsiTheme="minorHAnsi"/>
          <w:i/>
          <w:iCs/>
          <w:sz w:val="24"/>
        </w:rPr>
        <w:t>,</w:t>
      </w:r>
      <w:r w:rsidRPr="009B5E0F">
        <w:rPr>
          <w:rFonts w:asciiTheme="minorHAnsi" w:hAnsiTheme="minorHAnsi"/>
          <w:sz w:val="24"/>
        </w:rPr>
        <w:t xml:space="preserve"> </w:t>
      </w:r>
      <w:hyperlink r:id="rId106" w:history="1">
        <w:r w:rsidRPr="009B5E0F">
          <w:rPr>
            <w:rFonts w:asciiTheme="minorHAnsi" w:hAnsiTheme="minorHAnsi"/>
            <w:i/>
            <w:iCs/>
            <w:color w:val="005A84"/>
            <w:sz w:val="24"/>
          </w:rPr>
          <w:t>Fuller v Lloyds Bank plc [1991] IRLR 336 (EAT)</w:t>
        </w:r>
      </w:hyperlink>
      <w:r w:rsidRPr="009B5E0F">
        <w:rPr>
          <w:rFonts w:asciiTheme="minorHAnsi" w:hAnsiTheme="minorHAnsi"/>
          <w:sz w:val="24"/>
        </w:rPr>
        <w:t xml:space="preserve">). </w:t>
      </w:r>
    </w:p>
    <w:p w:rsidR="00F124F2" w:rsidRPr="009B5E0F" w:rsidRDefault="00F124F2" w:rsidP="00F124F2">
      <w:pPr>
        <w:rPr>
          <w:rFonts w:asciiTheme="minorHAnsi" w:hAnsiTheme="minorHAnsi"/>
          <w:sz w:val="24"/>
        </w:rPr>
      </w:pPr>
      <w:bookmarkStart w:id="28" w:name="a880814"/>
      <w:bookmarkEnd w:id="28"/>
      <w:r w:rsidRPr="009B5E0F">
        <w:rPr>
          <w:rFonts w:asciiTheme="minorHAnsi" w:hAnsiTheme="minorHAnsi"/>
          <w:sz w:val="24"/>
        </w:rPr>
        <w:t xml:space="preserve"> </w:t>
      </w:r>
    </w:p>
    <w:p w:rsidR="00F124F2" w:rsidRPr="009B5E0F" w:rsidRDefault="00C929EC" w:rsidP="00F124F2">
      <w:pPr>
        <w:rPr>
          <w:rFonts w:asciiTheme="minorHAnsi" w:hAnsiTheme="minorHAnsi"/>
          <w:vanish/>
          <w:sz w:val="24"/>
        </w:rPr>
      </w:pPr>
      <w:hyperlink r:id="rId107" w:anchor="top" w:tooltip="Link to the top of the document" w:history="1">
        <w:r w:rsidR="00F124F2" w:rsidRPr="009B5E0F">
          <w:rPr>
            <w:rFonts w:asciiTheme="minorHAnsi" w:hAnsiTheme="minorHAnsi"/>
            <w:vanish/>
            <w:color w:val="005A84"/>
            <w:sz w:val="24"/>
          </w:rPr>
          <w:t>Top</w:t>
        </w:r>
      </w:hyperlink>
    </w:p>
    <w:p w:rsidR="00F124F2" w:rsidRPr="009B5E0F" w:rsidRDefault="00F124F2" w:rsidP="00F124F2">
      <w:pPr>
        <w:pBdr>
          <w:bottom w:val="dotted" w:sz="6" w:space="7" w:color="BABABA"/>
        </w:pBdr>
        <w:spacing w:before="100" w:beforeAutospacing="1" w:after="135"/>
        <w:outlineLvl w:val="1"/>
        <w:rPr>
          <w:rFonts w:asciiTheme="minorHAnsi" w:hAnsiTheme="minorHAnsi"/>
          <w:b/>
          <w:bCs/>
          <w:sz w:val="24"/>
        </w:rPr>
      </w:pPr>
      <w:bookmarkStart w:id="29" w:name="a256681"/>
      <w:bookmarkEnd w:id="29"/>
      <w:r w:rsidRPr="009B5E0F">
        <w:rPr>
          <w:rFonts w:asciiTheme="minorHAnsi" w:hAnsiTheme="minorHAnsi"/>
          <w:b/>
          <w:bCs/>
          <w:sz w:val="24"/>
        </w:rPr>
        <w:t>Disciplinary hearings</w:t>
      </w:r>
    </w:p>
    <w:p w:rsidR="00F124F2" w:rsidRPr="009B5E0F" w:rsidRDefault="00F124F2" w:rsidP="00F124F2">
      <w:pPr>
        <w:spacing w:before="100" w:beforeAutospacing="1" w:after="100" w:afterAutospacing="1"/>
        <w:outlineLvl w:val="2"/>
        <w:rPr>
          <w:rFonts w:asciiTheme="minorHAnsi" w:hAnsiTheme="minorHAnsi"/>
          <w:b/>
          <w:bCs/>
          <w:sz w:val="24"/>
        </w:rPr>
      </w:pPr>
      <w:bookmarkStart w:id="30" w:name="a330228"/>
      <w:bookmarkEnd w:id="30"/>
      <w:r w:rsidRPr="009B5E0F">
        <w:rPr>
          <w:rFonts w:asciiTheme="minorHAnsi" w:hAnsiTheme="minorHAnsi"/>
          <w:b/>
          <w:bCs/>
          <w:sz w:val="24"/>
        </w:rPr>
        <w:t>Non-attendance and requests to postpone</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Employers and employees (and their companions) should make every effort to attend a disciplinary hearing (</w:t>
      </w:r>
      <w:r w:rsidRPr="009B5E0F">
        <w:rPr>
          <w:rFonts w:asciiTheme="minorHAnsi" w:hAnsiTheme="minorHAnsi"/>
          <w:i/>
          <w:iCs/>
          <w:sz w:val="24"/>
        </w:rPr>
        <w:t xml:space="preserve">paragraph 12, </w:t>
      </w:r>
      <w:proofErr w:type="spellStart"/>
      <w:r w:rsidRPr="009B5E0F">
        <w:rPr>
          <w:rFonts w:asciiTheme="minorHAnsi" w:hAnsiTheme="minorHAnsi"/>
          <w:i/>
          <w:iCs/>
          <w:sz w:val="24"/>
        </w:rPr>
        <w:t>Acas</w:t>
      </w:r>
      <w:proofErr w:type="spellEnd"/>
      <w:r w:rsidRPr="009B5E0F">
        <w:rPr>
          <w:rFonts w:asciiTheme="minorHAnsi" w:hAnsiTheme="minorHAnsi"/>
          <w:i/>
          <w:iCs/>
          <w:sz w:val="24"/>
        </w:rPr>
        <w:t xml:space="preserve"> Code</w:t>
      </w:r>
      <w:r w:rsidRPr="009B5E0F">
        <w:rPr>
          <w:rFonts w:asciiTheme="minorHAnsi" w:hAnsiTheme="minorHAnsi"/>
          <w:sz w:val="24"/>
        </w:rPr>
        <w:t xml:space="preserve">). However, employees often seek to postpone disciplinary hearings, either through their desire to have more time to consider their position or as a result of illness or non-availability of themselves or their chosen companion. . </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If an employee fails to attend the first meeting arranged, it will usually be good practice for the employer to re-arrange the meeting to an alternative date in order to give the employee a further chance to attend (see </w:t>
      </w:r>
      <w:r w:rsidRPr="009B5E0F">
        <w:rPr>
          <w:rFonts w:asciiTheme="minorHAnsi" w:hAnsiTheme="minorHAnsi"/>
          <w:i/>
          <w:iCs/>
          <w:sz w:val="24"/>
        </w:rPr>
        <w:t xml:space="preserve">page 19, the non-statutory </w:t>
      </w:r>
      <w:proofErr w:type="spellStart"/>
      <w:r w:rsidRPr="009B5E0F">
        <w:rPr>
          <w:rFonts w:asciiTheme="minorHAnsi" w:hAnsiTheme="minorHAnsi"/>
          <w:i/>
          <w:iCs/>
          <w:sz w:val="24"/>
        </w:rPr>
        <w:t>Acas</w:t>
      </w:r>
      <w:proofErr w:type="spellEnd"/>
      <w:r w:rsidRPr="009B5E0F">
        <w:rPr>
          <w:rFonts w:asciiTheme="minorHAnsi" w:hAnsiTheme="minorHAnsi"/>
          <w:i/>
          <w:iCs/>
          <w:sz w:val="24"/>
        </w:rPr>
        <w:t xml:space="preserve"> guide</w:t>
      </w:r>
      <w:r w:rsidRPr="009B5E0F">
        <w:rPr>
          <w:rFonts w:asciiTheme="minorHAnsi" w:hAnsiTheme="minorHAnsi"/>
          <w:sz w:val="24"/>
        </w:rPr>
        <w:t xml:space="preserve">). Where an employee is persistently unable or unwilling to attend without good cause, the </w:t>
      </w:r>
      <w:proofErr w:type="spellStart"/>
      <w:r w:rsidRPr="009B5E0F">
        <w:rPr>
          <w:rFonts w:asciiTheme="minorHAnsi" w:hAnsiTheme="minorHAnsi"/>
          <w:sz w:val="24"/>
        </w:rPr>
        <w:t>Acas</w:t>
      </w:r>
      <w:proofErr w:type="spellEnd"/>
      <w:r w:rsidRPr="009B5E0F">
        <w:rPr>
          <w:rFonts w:asciiTheme="minorHAnsi" w:hAnsiTheme="minorHAnsi"/>
          <w:sz w:val="24"/>
        </w:rPr>
        <w:t xml:space="preserve"> Code states that the "employer should make a decision on the evidence available" (</w:t>
      </w:r>
      <w:r w:rsidRPr="009B5E0F">
        <w:rPr>
          <w:rFonts w:asciiTheme="minorHAnsi" w:hAnsiTheme="minorHAnsi"/>
          <w:i/>
          <w:iCs/>
          <w:sz w:val="24"/>
        </w:rPr>
        <w:t xml:space="preserve">paragraph 25, </w:t>
      </w:r>
      <w:proofErr w:type="spellStart"/>
      <w:r w:rsidRPr="009B5E0F">
        <w:rPr>
          <w:rFonts w:asciiTheme="minorHAnsi" w:hAnsiTheme="minorHAnsi"/>
          <w:i/>
          <w:iCs/>
          <w:sz w:val="24"/>
        </w:rPr>
        <w:t>Acas</w:t>
      </w:r>
      <w:proofErr w:type="spellEnd"/>
      <w:r w:rsidRPr="009B5E0F">
        <w:rPr>
          <w:rFonts w:asciiTheme="minorHAnsi" w:hAnsiTheme="minorHAnsi"/>
          <w:i/>
          <w:iCs/>
          <w:sz w:val="24"/>
        </w:rPr>
        <w:t xml:space="preserve"> Code</w:t>
      </w:r>
      <w:r w:rsidRPr="009B5E0F">
        <w:rPr>
          <w:rFonts w:asciiTheme="minorHAnsi" w:hAnsiTheme="minorHAnsi"/>
          <w:sz w:val="24"/>
        </w:rPr>
        <w:t xml:space="preserve">). The non-statutory </w:t>
      </w:r>
      <w:proofErr w:type="spellStart"/>
      <w:r w:rsidRPr="009B5E0F">
        <w:rPr>
          <w:rFonts w:asciiTheme="minorHAnsi" w:hAnsiTheme="minorHAnsi"/>
          <w:sz w:val="24"/>
        </w:rPr>
        <w:t>Acas</w:t>
      </w:r>
      <w:proofErr w:type="spellEnd"/>
      <w:r w:rsidRPr="009B5E0F">
        <w:rPr>
          <w:rFonts w:asciiTheme="minorHAnsi" w:hAnsiTheme="minorHAnsi"/>
          <w:sz w:val="24"/>
        </w:rPr>
        <w:t xml:space="preserve"> guide lists a number of considerations for employers to weigh up, prior to taking this step:</w:t>
      </w:r>
    </w:p>
    <w:p w:rsidR="00F124F2" w:rsidRPr="009B5E0F" w:rsidRDefault="00F124F2" w:rsidP="00F124F2">
      <w:pPr>
        <w:numPr>
          <w:ilvl w:val="0"/>
          <w:numId w:val="7"/>
        </w:numPr>
        <w:spacing w:before="100" w:beforeAutospacing="1" w:after="100" w:afterAutospacing="1"/>
        <w:ind w:left="0"/>
        <w:rPr>
          <w:rFonts w:asciiTheme="minorHAnsi" w:hAnsiTheme="minorHAnsi"/>
          <w:sz w:val="24"/>
        </w:rPr>
      </w:pPr>
      <w:r w:rsidRPr="009B5E0F">
        <w:rPr>
          <w:rFonts w:asciiTheme="minorHAnsi" w:hAnsiTheme="minorHAnsi"/>
          <w:sz w:val="24"/>
        </w:rPr>
        <w:t>any rules the organisation has for dealing with failure to attend disciplinary meetings</w:t>
      </w:r>
    </w:p>
    <w:p w:rsidR="00F124F2" w:rsidRPr="009B5E0F" w:rsidRDefault="00F124F2" w:rsidP="00F124F2">
      <w:pPr>
        <w:numPr>
          <w:ilvl w:val="0"/>
          <w:numId w:val="7"/>
        </w:numPr>
        <w:spacing w:before="100" w:beforeAutospacing="1" w:after="100" w:afterAutospacing="1"/>
        <w:ind w:left="0"/>
        <w:rPr>
          <w:rFonts w:asciiTheme="minorHAnsi" w:hAnsiTheme="minorHAnsi"/>
          <w:sz w:val="24"/>
        </w:rPr>
      </w:pPr>
      <w:r w:rsidRPr="009B5E0F">
        <w:rPr>
          <w:rFonts w:asciiTheme="minorHAnsi" w:hAnsiTheme="minorHAnsi"/>
          <w:sz w:val="24"/>
        </w:rPr>
        <w:t>the seriousness of the disciplinary issue under consideration</w:t>
      </w:r>
    </w:p>
    <w:p w:rsidR="00F124F2" w:rsidRPr="009B5E0F" w:rsidRDefault="00F124F2" w:rsidP="00F124F2">
      <w:pPr>
        <w:numPr>
          <w:ilvl w:val="0"/>
          <w:numId w:val="7"/>
        </w:numPr>
        <w:spacing w:before="100" w:beforeAutospacing="1" w:after="100" w:afterAutospacing="1"/>
        <w:ind w:left="0"/>
        <w:rPr>
          <w:rFonts w:asciiTheme="minorHAnsi" w:hAnsiTheme="minorHAnsi"/>
          <w:sz w:val="24"/>
        </w:rPr>
      </w:pPr>
      <w:r w:rsidRPr="009B5E0F">
        <w:rPr>
          <w:rFonts w:asciiTheme="minorHAnsi" w:hAnsiTheme="minorHAnsi"/>
          <w:sz w:val="24"/>
        </w:rPr>
        <w:t>the employee's disciplinary record (including current warnings), general work record, work experience, position and length of service</w:t>
      </w:r>
    </w:p>
    <w:p w:rsidR="00F124F2" w:rsidRPr="009B5E0F" w:rsidRDefault="00F124F2" w:rsidP="00F124F2">
      <w:pPr>
        <w:numPr>
          <w:ilvl w:val="0"/>
          <w:numId w:val="7"/>
        </w:numPr>
        <w:spacing w:before="100" w:beforeAutospacing="1" w:after="100" w:afterAutospacing="1"/>
        <w:ind w:left="0"/>
        <w:rPr>
          <w:rFonts w:asciiTheme="minorHAnsi" w:hAnsiTheme="minorHAnsi"/>
          <w:sz w:val="24"/>
        </w:rPr>
      </w:pPr>
      <w:r w:rsidRPr="009B5E0F">
        <w:rPr>
          <w:rFonts w:asciiTheme="minorHAnsi" w:hAnsiTheme="minorHAnsi"/>
          <w:sz w:val="24"/>
        </w:rPr>
        <w:t>medical opinion on whether the employee is fit to attend the meeting</w:t>
      </w:r>
    </w:p>
    <w:p w:rsidR="00F124F2" w:rsidRPr="009B5E0F" w:rsidRDefault="00F124F2" w:rsidP="00F124F2">
      <w:pPr>
        <w:numPr>
          <w:ilvl w:val="0"/>
          <w:numId w:val="7"/>
        </w:numPr>
        <w:spacing w:before="100" w:beforeAutospacing="1" w:after="100" w:afterAutospacing="1"/>
        <w:ind w:left="0"/>
        <w:rPr>
          <w:rFonts w:asciiTheme="minorHAnsi" w:hAnsiTheme="minorHAnsi"/>
          <w:sz w:val="24"/>
        </w:rPr>
      </w:pPr>
      <w:r w:rsidRPr="009B5E0F">
        <w:rPr>
          <w:rFonts w:asciiTheme="minorHAnsi" w:hAnsiTheme="minorHAnsi"/>
          <w:sz w:val="24"/>
        </w:rPr>
        <w:t>how similar cases in the past have been dealt with</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w:t>
      </w:r>
      <w:proofErr w:type="gramStart"/>
      <w:r w:rsidRPr="009B5E0F">
        <w:rPr>
          <w:rFonts w:asciiTheme="minorHAnsi" w:hAnsiTheme="minorHAnsi"/>
          <w:i/>
          <w:iCs/>
          <w:sz w:val="24"/>
        </w:rPr>
        <w:t>page</w:t>
      </w:r>
      <w:proofErr w:type="gramEnd"/>
      <w:r w:rsidRPr="009B5E0F">
        <w:rPr>
          <w:rFonts w:asciiTheme="minorHAnsi" w:hAnsiTheme="minorHAnsi"/>
          <w:i/>
          <w:iCs/>
          <w:sz w:val="24"/>
        </w:rPr>
        <w:t xml:space="preserve"> 20, non-statutory </w:t>
      </w:r>
      <w:proofErr w:type="spellStart"/>
      <w:r w:rsidRPr="009B5E0F">
        <w:rPr>
          <w:rFonts w:asciiTheme="minorHAnsi" w:hAnsiTheme="minorHAnsi"/>
          <w:i/>
          <w:iCs/>
          <w:sz w:val="24"/>
        </w:rPr>
        <w:t>Acas</w:t>
      </w:r>
      <w:proofErr w:type="spellEnd"/>
      <w:r w:rsidRPr="009B5E0F">
        <w:rPr>
          <w:rFonts w:asciiTheme="minorHAnsi" w:hAnsiTheme="minorHAnsi"/>
          <w:i/>
          <w:iCs/>
          <w:sz w:val="24"/>
        </w:rPr>
        <w:t xml:space="preserve"> guide</w:t>
      </w:r>
      <w:r w:rsidRPr="009B5E0F">
        <w:rPr>
          <w:rFonts w:asciiTheme="minorHAnsi" w:hAnsiTheme="minorHAnsi"/>
          <w:sz w:val="24"/>
        </w:rPr>
        <w:t>).</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Employers should be wary of proceeding with the meeting in the employee's absence, unless there is a compelling reason to do so (see, for example, </w:t>
      </w:r>
      <w:hyperlink r:id="rId108" w:history="1">
        <w:r w:rsidRPr="009B5E0F">
          <w:rPr>
            <w:rFonts w:asciiTheme="minorHAnsi" w:hAnsiTheme="minorHAnsi"/>
            <w:i/>
            <w:iCs/>
            <w:color w:val="005A84"/>
            <w:sz w:val="24"/>
          </w:rPr>
          <w:t>Bridgeman v Family Mosaic Housing Association ET/2201804/11</w:t>
        </w:r>
      </w:hyperlink>
      <w:r w:rsidRPr="009B5E0F">
        <w:rPr>
          <w:rFonts w:asciiTheme="minorHAnsi" w:hAnsiTheme="minorHAnsi"/>
          <w:sz w:val="24"/>
        </w:rPr>
        <w:t xml:space="preserve">). However, if the employee persistently seeks to postpone the rearranged meeting or simply fails to attend without good reason, a decision can in some cases be taken in the employee's absence (see, for example, </w:t>
      </w:r>
      <w:hyperlink r:id="rId109" w:history="1">
        <w:r w:rsidRPr="009B5E0F">
          <w:rPr>
            <w:rFonts w:asciiTheme="minorHAnsi" w:hAnsiTheme="minorHAnsi"/>
            <w:i/>
            <w:iCs/>
            <w:color w:val="005A84"/>
            <w:sz w:val="24"/>
          </w:rPr>
          <w:t>Bashir &amp; another v Sheffield Teaching Hospital NHS Foundation Trust UKEAT 0448/09/2705</w:t>
        </w:r>
      </w:hyperlink>
      <w:r w:rsidRPr="009B5E0F">
        <w:rPr>
          <w:rFonts w:asciiTheme="minorHAnsi" w:hAnsiTheme="minorHAnsi"/>
          <w:sz w:val="24"/>
        </w:rPr>
        <w:t xml:space="preserve">). However, this may not always be sufficient to ensure a fair dismissal, particularly if a tribunal considers that a hearing with the employee present may have resulted in a different decision. </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The statutory rules with regard to re-arranging hearings where a companion is unable to attend are slightly different (see </w:t>
      </w:r>
      <w:hyperlink r:id="rId110" w:anchor="a1027105" w:history="1">
        <w:r w:rsidRPr="009B5E0F">
          <w:rPr>
            <w:rFonts w:asciiTheme="minorHAnsi" w:hAnsiTheme="minorHAnsi"/>
            <w:i/>
            <w:iCs/>
            <w:color w:val="005A84"/>
            <w:sz w:val="24"/>
          </w:rPr>
          <w:t>Right to be accompanied</w:t>
        </w:r>
      </w:hyperlink>
      <w:r w:rsidRPr="009B5E0F">
        <w:rPr>
          <w:rFonts w:asciiTheme="minorHAnsi" w:hAnsiTheme="minorHAnsi"/>
          <w:sz w:val="24"/>
        </w:rPr>
        <w:t xml:space="preserve"> below). </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However, in practice, many employers would make no distinction as to whether the reason for postponement was the unavailability of the employee or the companion, </w:t>
      </w:r>
      <w:r w:rsidRPr="009B5E0F">
        <w:rPr>
          <w:rFonts w:asciiTheme="minorHAnsi" w:hAnsiTheme="minorHAnsi"/>
          <w:sz w:val="24"/>
        </w:rPr>
        <w:lastRenderedPageBreak/>
        <w:t xml:space="preserve">and would simply agree an alternative time with the employee unless it becomes apparent, after the first occasion, that the employee is simply stalling. </w:t>
      </w:r>
    </w:p>
    <w:p w:rsidR="00F124F2" w:rsidRPr="009B5E0F" w:rsidRDefault="00F124F2" w:rsidP="00F124F2">
      <w:pPr>
        <w:spacing w:before="100" w:beforeAutospacing="1" w:after="100" w:afterAutospacing="1"/>
        <w:outlineLvl w:val="2"/>
        <w:rPr>
          <w:rFonts w:asciiTheme="minorHAnsi" w:hAnsiTheme="minorHAnsi"/>
          <w:b/>
          <w:bCs/>
          <w:sz w:val="24"/>
        </w:rPr>
      </w:pPr>
      <w:bookmarkStart w:id="31" w:name="a614578"/>
      <w:bookmarkEnd w:id="31"/>
      <w:r w:rsidRPr="009B5E0F">
        <w:rPr>
          <w:rFonts w:asciiTheme="minorHAnsi" w:hAnsiTheme="minorHAnsi"/>
          <w:b/>
          <w:bCs/>
          <w:sz w:val="24"/>
        </w:rPr>
        <w:t>Ill-health and stress</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A common problem for employers is that of the employee who, on being told to attend a disciplinary hearing, absents themselves by reason of ill health, frequently citing stress as the cause. The employer then has two conflicting priorities. On the one hand, there is a need to ensure that matters are dealt with speedily, particularly if it is a serious case in which other employees' interests are involved. On the other hand, the employee may genuinely not be well enough to attend a hearing (see </w:t>
      </w:r>
      <w:hyperlink r:id="rId111" w:anchor="a426676" w:history="1">
        <w:r w:rsidRPr="009B5E0F">
          <w:rPr>
            <w:rFonts w:asciiTheme="minorHAnsi" w:hAnsiTheme="minorHAnsi"/>
            <w:i/>
            <w:iCs/>
            <w:color w:val="005A84"/>
            <w:sz w:val="24"/>
          </w:rPr>
          <w:t>Fit to attend? The role of occupational health</w:t>
        </w:r>
      </w:hyperlink>
      <w:r w:rsidRPr="009B5E0F">
        <w:rPr>
          <w:rFonts w:asciiTheme="minorHAnsi" w:hAnsiTheme="minorHAnsi"/>
          <w:sz w:val="24"/>
        </w:rPr>
        <w:t xml:space="preserve">). </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One issue that should be considered at this stage is could stress, anxiety or depression actually have caused or contributed to the misconduct? This may be more likely where it is capability rather than misconduct which is the subject matter of the hearing. If this seems a possibility, employers may consider dropping or at least suspending any disciplinary proceedings and assessing the situation using the </w:t>
      </w:r>
      <w:hyperlink r:id="rId112" w:history="1">
        <w:r w:rsidRPr="009B5E0F">
          <w:rPr>
            <w:rFonts w:asciiTheme="minorHAnsi" w:hAnsiTheme="minorHAnsi"/>
            <w:i/>
            <w:iCs/>
            <w:color w:val="005A84"/>
            <w:sz w:val="24"/>
          </w:rPr>
          <w:t>HSE's Stress Management Standards</w:t>
        </w:r>
      </w:hyperlink>
      <w:r w:rsidRPr="009B5E0F">
        <w:rPr>
          <w:rFonts w:asciiTheme="minorHAnsi" w:hAnsiTheme="minorHAnsi"/>
          <w:sz w:val="24"/>
        </w:rPr>
        <w:t>.</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If the employee is still absent after a period of time the employer may, subject to the employee's consent, obtain medical advice as to whether the employee is fit to attend a disciplinary hearing and, if not, when they are likely to be. This may be obtained from either the employee's own GP or an independent doctor such as an occupational health physician (OHP). In the case of a GP, the </w:t>
      </w:r>
      <w:hyperlink r:id="rId113" w:history="1">
        <w:r w:rsidRPr="009B5E0F">
          <w:rPr>
            <w:rFonts w:asciiTheme="minorHAnsi" w:hAnsiTheme="minorHAnsi"/>
            <w:i/>
            <w:iCs/>
            <w:color w:val="005A84"/>
            <w:sz w:val="24"/>
          </w:rPr>
          <w:t>Access to Medical Reports Act 1988</w:t>
        </w:r>
      </w:hyperlink>
      <w:r w:rsidRPr="009B5E0F">
        <w:rPr>
          <w:rFonts w:asciiTheme="minorHAnsi" w:hAnsiTheme="minorHAnsi"/>
          <w:sz w:val="24"/>
        </w:rPr>
        <w:t xml:space="preserve"> will need to be complied with. This may also apply to an OHP who has previously treated the employee (see</w:t>
      </w:r>
      <w:hyperlink r:id="rId114" w:history="1">
        <w:r w:rsidRPr="009B5E0F">
          <w:rPr>
            <w:rFonts w:asciiTheme="minorHAnsi" w:hAnsiTheme="minorHAnsi"/>
            <w:i/>
            <w:iCs/>
            <w:color w:val="005A84"/>
            <w:sz w:val="24"/>
          </w:rPr>
          <w:t xml:space="preserve"> Practice note, Obtaining a medical report on an employee</w:t>
        </w:r>
        <w:r w:rsidRPr="009B5E0F">
          <w:rPr>
            <w:rFonts w:asciiTheme="minorHAnsi" w:hAnsiTheme="minorHAnsi"/>
            <w:i/>
            <w:iCs/>
            <w:vanish/>
            <w:color w:val="005A84"/>
            <w:sz w:val="24"/>
          </w:rPr>
          <w:t xml:space="preserve"> ( www.practicallaw.com/1-200-4010) </w:t>
        </w:r>
      </w:hyperlink>
      <w:r w:rsidRPr="009B5E0F">
        <w:rPr>
          <w:rFonts w:asciiTheme="minorHAnsi" w:hAnsiTheme="minorHAnsi"/>
          <w:sz w:val="24"/>
        </w:rPr>
        <w:t xml:space="preserve">). </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Sometimes the employment contract may contain a clause requiring the employee to submit to a medical examination. This does not override the need for explicit consent. Failure to consent on the part of the employee may be misconduct, but this is unlikely on its own to give the employer grounds for dismissal.</w:t>
      </w:r>
    </w:p>
    <w:p w:rsidR="00F124F2" w:rsidRPr="009B5E0F" w:rsidRDefault="00F124F2" w:rsidP="00F124F2">
      <w:pPr>
        <w:spacing w:before="100" w:beforeAutospacing="1" w:after="100" w:afterAutospacing="1"/>
        <w:outlineLvl w:val="3"/>
        <w:rPr>
          <w:rFonts w:asciiTheme="minorHAnsi" w:hAnsiTheme="minorHAnsi"/>
          <w:b/>
          <w:bCs/>
          <w:sz w:val="24"/>
        </w:rPr>
      </w:pPr>
      <w:bookmarkStart w:id="32" w:name="a426676"/>
      <w:bookmarkStart w:id="33" w:name="a511158"/>
      <w:bookmarkEnd w:id="32"/>
      <w:bookmarkEnd w:id="33"/>
      <w:r w:rsidRPr="009B5E0F">
        <w:rPr>
          <w:rFonts w:asciiTheme="minorHAnsi" w:hAnsiTheme="minorHAnsi"/>
          <w:b/>
          <w:bCs/>
          <w:sz w:val="24"/>
        </w:rPr>
        <w:t>Holding a hearing in the employee's absence</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The employer may decide that the matter can wait, but should ensure that matters are not allowed to drag on if the predicted return date is constantly being extended. Sometimes, in stress-related cases, employees or their GPs will assert that no return to the workplace is possible while disciplinary proceedings are "hanging over their head". In this case it is worth emphasising that fitness to work and fitness to attend disciplinary hearings are not the same thing, and to seek the involvement of an OHP if this has not been done already (see </w:t>
      </w:r>
      <w:hyperlink r:id="rId115" w:anchor="a426676" w:history="1">
        <w:r w:rsidRPr="009B5E0F">
          <w:rPr>
            <w:rFonts w:asciiTheme="minorHAnsi" w:hAnsiTheme="minorHAnsi"/>
            <w:i/>
            <w:iCs/>
            <w:color w:val="005A84"/>
            <w:sz w:val="24"/>
          </w:rPr>
          <w:t>Fit to attend? The role of occupational health</w:t>
        </w:r>
      </w:hyperlink>
      <w:r w:rsidRPr="009B5E0F">
        <w:rPr>
          <w:rFonts w:asciiTheme="minorHAnsi" w:hAnsiTheme="minorHAnsi"/>
          <w:sz w:val="24"/>
        </w:rPr>
        <w:t>).</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Things may easily reach the point at which no further delay can be withstood, bearing in mind that the ill employee may not be the only individual with an interest in the matter being resolved, and that the memories of witnesses may fade with </w:t>
      </w:r>
      <w:r w:rsidRPr="009B5E0F">
        <w:rPr>
          <w:rFonts w:asciiTheme="minorHAnsi" w:hAnsiTheme="minorHAnsi"/>
          <w:sz w:val="24"/>
        </w:rPr>
        <w:lastRenderedPageBreak/>
        <w:t xml:space="preserve">time. In these situations, the employer must take a decision. In a minor case, it may decide simply to let matters drop in the interests of rehabilitating the employee as soon as possible. However, if the matter is more serious, the employer may simply have to find alternative means of proceeding. </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Consideration can be given to alternative ways of conducting the disciplinary hearing, such as by telephone, at a neutral place or location nearer the employee's home address, or even inviting the employee to submit written submissions and holding a hearing in their absence. They would still have the right to appeal the decision and a full rehearing could be held at that stage if requested and appropriate. The employer may also agree to the employee bringing a friend or family member, rather than restricting them to a colleague or trade union representative (see </w:t>
      </w:r>
      <w:hyperlink r:id="rId116" w:anchor="a1027105" w:history="1">
        <w:r w:rsidRPr="009B5E0F">
          <w:rPr>
            <w:rFonts w:asciiTheme="minorHAnsi" w:hAnsiTheme="minorHAnsi"/>
            <w:i/>
            <w:iCs/>
            <w:color w:val="005A84"/>
            <w:sz w:val="24"/>
          </w:rPr>
          <w:t>Right to be accompanied</w:t>
        </w:r>
      </w:hyperlink>
      <w:r w:rsidRPr="009B5E0F">
        <w:rPr>
          <w:rFonts w:asciiTheme="minorHAnsi" w:hAnsiTheme="minorHAnsi"/>
          <w:sz w:val="24"/>
        </w:rPr>
        <w:t>).</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Ultimately, unless alternative arrangements can be reached, the need for a timely resolution may compel the employer to hold a disciplinary hearing in the employee's absence and make a decision on the basis of all the evidence available.</w:t>
      </w:r>
    </w:p>
    <w:p w:rsidR="00F124F2" w:rsidRPr="009B5E0F" w:rsidRDefault="00F124F2" w:rsidP="00F124F2">
      <w:pPr>
        <w:spacing w:before="100" w:beforeAutospacing="1" w:after="100" w:afterAutospacing="1"/>
        <w:outlineLvl w:val="2"/>
        <w:rPr>
          <w:rFonts w:asciiTheme="minorHAnsi" w:hAnsiTheme="minorHAnsi"/>
          <w:b/>
          <w:bCs/>
          <w:sz w:val="24"/>
        </w:rPr>
      </w:pPr>
      <w:bookmarkStart w:id="34" w:name="a994558"/>
      <w:bookmarkStart w:id="35" w:name="a106740"/>
      <w:bookmarkEnd w:id="34"/>
      <w:bookmarkEnd w:id="35"/>
      <w:r w:rsidRPr="009B5E0F">
        <w:rPr>
          <w:rFonts w:asciiTheme="minorHAnsi" w:hAnsiTheme="minorHAnsi"/>
          <w:b/>
          <w:bCs/>
          <w:sz w:val="24"/>
        </w:rPr>
        <w:t>How to conduct the hearing</w:t>
      </w:r>
    </w:p>
    <w:p w:rsidR="00F124F2" w:rsidRPr="009B5E0F" w:rsidRDefault="00F124F2" w:rsidP="00F124F2">
      <w:pPr>
        <w:numPr>
          <w:ilvl w:val="0"/>
          <w:numId w:val="9"/>
        </w:numPr>
        <w:spacing w:before="100" w:beforeAutospacing="1" w:after="100" w:afterAutospacing="1"/>
        <w:ind w:left="0"/>
        <w:rPr>
          <w:rFonts w:asciiTheme="minorHAnsi" w:hAnsiTheme="minorHAnsi"/>
          <w:sz w:val="24"/>
        </w:rPr>
      </w:pPr>
      <w:r w:rsidRPr="009B5E0F">
        <w:rPr>
          <w:rFonts w:asciiTheme="minorHAnsi" w:hAnsiTheme="minorHAnsi"/>
          <w:sz w:val="24"/>
        </w:rPr>
        <w:t>At the start of the hearing, the chair should introduce those present and, if the employee is unaccompanied, remind the employee again of their right to be accompanied.</w:t>
      </w:r>
    </w:p>
    <w:p w:rsidR="00F124F2" w:rsidRPr="009B5E0F" w:rsidRDefault="00F124F2" w:rsidP="00F124F2">
      <w:pPr>
        <w:numPr>
          <w:ilvl w:val="0"/>
          <w:numId w:val="9"/>
        </w:numPr>
        <w:spacing w:before="100" w:beforeAutospacing="1" w:after="100" w:afterAutospacing="1"/>
        <w:ind w:left="0"/>
        <w:rPr>
          <w:rFonts w:asciiTheme="minorHAnsi" w:hAnsiTheme="minorHAnsi"/>
          <w:sz w:val="24"/>
        </w:rPr>
      </w:pPr>
      <w:r w:rsidRPr="009B5E0F">
        <w:rPr>
          <w:rFonts w:asciiTheme="minorHAnsi" w:hAnsiTheme="minorHAnsi"/>
          <w:sz w:val="24"/>
        </w:rPr>
        <w:t>The manager should ensure that the employee is comfortable, has read the applicable disciplinary procedure and has received copies of any documentation that may have been sent to them. Any minute or note-taking arrangements should be discussed and confirmed.</w:t>
      </w:r>
    </w:p>
    <w:p w:rsidR="00F124F2" w:rsidRPr="009B5E0F" w:rsidRDefault="00F124F2" w:rsidP="00F124F2">
      <w:pPr>
        <w:numPr>
          <w:ilvl w:val="0"/>
          <w:numId w:val="9"/>
        </w:numPr>
        <w:spacing w:before="100" w:beforeAutospacing="1" w:after="100" w:afterAutospacing="1"/>
        <w:ind w:left="0"/>
        <w:rPr>
          <w:rFonts w:asciiTheme="minorHAnsi" w:hAnsiTheme="minorHAnsi"/>
          <w:sz w:val="24"/>
        </w:rPr>
      </w:pPr>
      <w:r w:rsidRPr="009B5E0F">
        <w:rPr>
          <w:rFonts w:asciiTheme="minorHAnsi" w:hAnsiTheme="minorHAnsi"/>
          <w:sz w:val="24"/>
        </w:rPr>
        <w:t>A final check could be made as to whether any reasonable adjustments need to be made if the employee is disabled, although this should ideally have been addressed at the time the employer first contemplated arranging a hearing.</w:t>
      </w:r>
    </w:p>
    <w:p w:rsidR="00F124F2" w:rsidRPr="009B5E0F" w:rsidRDefault="00F124F2" w:rsidP="00F124F2">
      <w:pPr>
        <w:numPr>
          <w:ilvl w:val="0"/>
          <w:numId w:val="9"/>
        </w:numPr>
        <w:spacing w:before="100" w:beforeAutospacing="1" w:after="100" w:afterAutospacing="1"/>
        <w:ind w:left="0"/>
        <w:rPr>
          <w:rFonts w:asciiTheme="minorHAnsi" w:hAnsiTheme="minorHAnsi"/>
          <w:sz w:val="24"/>
        </w:rPr>
      </w:pPr>
      <w:r w:rsidRPr="009B5E0F">
        <w:rPr>
          <w:rFonts w:asciiTheme="minorHAnsi" w:hAnsiTheme="minorHAnsi"/>
          <w:sz w:val="24"/>
        </w:rPr>
        <w:t xml:space="preserve">The manager should lead the meeting and explain in some detail the allegations that have been made against the employee and what evidence the employer is relying on in support of those allegations. </w:t>
      </w:r>
    </w:p>
    <w:p w:rsidR="00F124F2" w:rsidRPr="009B5E0F" w:rsidRDefault="00F124F2" w:rsidP="00F124F2">
      <w:pPr>
        <w:numPr>
          <w:ilvl w:val="0"/>
          <w:numId w:val="9"/>
        </w:numPr>
        <w:spacing w:before="100" w:beforeAutospacing="1" w:after="100" w:afterAutospacing="1"/>
        <w:ind w:left="0"/>
        <w:rPr>
          <w:rFonts w:asciiTheme="minorHAnsi" w:hAnsiTheme="minorHAnsi"/>
          <w:sz w:val="24"/>
        </w:rPr>
      </w:pPr>
      <w:r w:rsidRPr="009B5E0F">
        <w:rPr>
          <w:rFonts w:asciiTheme="minorHAnsi" w:hAnsiTheme="minorHAnsi"/>
          <w:sz w:val="24"/>
        </w:rPr>
        <w:t xml:space="preserve">The employee, and their companion, if any (see </w:t>
      </w:r>
      <w:hyperlink r:id="rId117" w:anchor="a1027105" w:history="1">
        <w:r w:rsidRPr="009B5E0F">
          <w:rPr>
            <w:rFonts w:asciiTheme="minorHAnsi" w:hAnsiTheme="minorHAnsi"/>
            <w:i/>
            <w:iCs/>
            <w:color w:val="005A84"/>
            <w:sz w:val="24"/>
          </w:rPr>
          <w:t>Right to be accompanied</w:t>
        </w:r>
      </w:hyperlink>
      <w:r w:rsidRPr="009B5E0F">
        <w:rPr>
          <w:rFonts w:asciiTheme="minorHAnsi" w:hAnsiTheme="minorHAnsi"/>
          <w:sz w:val="24"/>
        </w:rPr>
        <w:t>) should be invited to ask questions as necessary.</w:t>
      </w:r>
    </w:p>
    <w:p w:rsidR="00F124F2" w:rsidRPr="009B5E0F" w:rsidRDefault="00F124F2" w:rsidP="00F124F2">
      <w:pPr>
        <w:numPr>
          <w:ilvl w:val="0"/>
          <w:numId w:val="9"/>
        </w:numPr>
        <w:spacing w:before="100" w:beforeAutospacing="1" w:after="100" w:afterAutospacing="1"/>
        <w:ind w:left="0"/>
        <w:rPr>
          <w:rFonts w:asciiTheme="minorHAnsi" w:hAnsiTheme="minorHAnsi"/>
          <w:sz w:val="24"/>
        </w:rPr>
      </w:pPr>
      <w:r w:rsidRPr="009B5E0F">
        <w:rPr>
          <w:rFonts w:asciiTheme="minorHAnsi" w:hAnsiTheme="minorHAnsi"/>
          <w:sz w:val="24"/>
        </w:rPr>
        <w:t xml:space="preserve">The employee should then be given a reasonable opportunity (with the assistance of their companion) to present their version of events and produce any evidence in support, including calling any relevant witnesses if they have given advance notice of their intention to do so. They should be allowed to "raise points about" information given by a witness. (See </w:t>
      </w:r>
      <w:hyperlink r:id="rId118" w:anchor="a331048" w:history="1">
        <w:r w:rsidRPr="009B5E0F">
          <w:rPr>
            <w:rFonts w:asciiTheme="minorHAnsi" w:hAnsiTheme="minorHAnsi"/>
            <w:i/>
            <w:iCs/>
            <w:color w:val="005A84"/>
            <w:sz w:val="24"/>
          </w:rPr>
          <w:t>Should cross-examination of witnesses be allowed</w:t>
        </w:r>
        <w:proofErr w:type="gramStart"/>
        <w:r w:rsidRPr="009B5E0F">
          <w:rPr>
            <w:rFonts w:asciiTheme="minorHAnsi" w:hAnsiTheme="minorHAnsi"/>
            <w:i/>
            <w:iCs/>
            <w:color w:val="005A84"/>
            <w:sz w:val="24"/>
          </w:rPr>
          <w:t>?</w:t>
        </w:r>
      </w:hyperlink>
      <w:r w:rsidRPr="009B5E0F">
        <w:rPr>
          <w:rFonts w:asciiTheme="minorHAnsi" w:hAnsiTheme="minorHAnsi"/>
          <w:sz w:val="24"/>
        </w:rPr>
        <w:t>,</w:t>
      </w:r>
      <w:proofErr w:type="gramEnd"/>
      <w:r w:rsidRPr="009B5E0F">
        <w:rPr>
          <w:rFonts w:asciiTheme="minorHAnsi" w:hAnsiTheme="minorHAnsi"/>
          <w:sz w:val="24"/>
        </w:rPr>
        <w:t xml:space="preserve"> below).</w:t>
      </w:r>
    </w:p>
    <w:p w:rsidR="00F124F2" w:rsidRPr="009B5E0F" w:rsidRDefault="00F124F2" w:rsidP="00F124F2">
      <w:pPr>
        <w:numPr>
          <w:ilvl w:val="0"/>
          <w:numId w:val="9"/>
        </w:numPr>
        <w:spacing w:before="100" w:beforeAutospacing="1" w:after="100" w:afterAutospacing="1"/>
        <w:ind w:left="0"/>
        <w:rPr>
          <w:rFonts w:asciiTheme="minorHAnsi" w:hAnsiTheme="minorHAnsi"/>
          <w:sz w:val="24"/>
        </w:rPr>
      </w:pPr>
      <w:r w:rsidRPr="009B5E0F">
        <w:rPr>
          <w:rFonts w:asciiTheme="minorHAnsi" w:hAnsiTheme="minorHAnsi"/>
          <w:sz w:val="24"/>
        </w:rPr>
        <w:t>Once the employee has presented their case, the employer should summarise the information put forward by both parties and any clarification from the employee should be requested at this point.</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Employers should be mindful throughout the process to remain polite and calm, which is sometimes easier said than done. The employee, who will inevitably be under stress, may react in a way not anticipated by the employer and be bad </w:t>
      </w:r>
      <w:r w:rsidRPr="009B5E0F">
        <w:rPr>
          <w:rFonts w:asciiTheme="minorHAnsi" w:hAnsiTheme="minorHAnsi"/>
          <w:sz w:val="24"/>
        </w:rPr>
        <w:lastRenderedPageBreak/>
        <w:t xml:space="preserve">tempered, angry, abusive or visibly distressed. An employer should be sensitive to this, and if necessary make sensible use of adjournments for time out and to allow employees (and in some cases witnesses) to regain their composure before continuing. </w:t>
      </w:r>
    </w:p>
    <w:p w:rsidR="00F124F2" w:rsidRPr="009B5E0F" w:rsidRDefault="00F124F2" w:rsidP="00F124F2">
      <w:pPr>
        <w:spacing w:before="100" w:beforeAutospacing="1" w:after="100" w:afterAutospacing="1"/>
        <w:outlineLvl w:val="2"/>
        <w:rPr>
          <w:rFonts w:asciiTheme="minorHAnsi" w:hAnsiTheme="minorHAnsi"/>
          <w:b/>
          <w:bCs/>
          <w:sz w:val="24"/>
        </w:rPr>
      </w:pPr>
      <w:bookmarkStart w:id="36" w:name="a75116"/>
      <w:bookmarkEnd w:id="36"/>
      <w:r w:rsidRPr="009B5E0F">
        <w:rPr>
          <w:rFonts w:asciiTheme="minorHAnsi" w:hAnsiTheme="minorHAnsi"/>
          <w:b/>
          <w:bCs/>
          <w:sz w:val="24"/>
        </w:rPr>
        <w:t>Adjourning for further investigation or decision</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Once both sides of the case have been presented and there are no further questions, the hearing should ideally be adjourned. Issues that have been raised by the employee may require further investigation and witnesses may need to be re-interviewed if they have not been present to give evidence at the hearing. If new information has come to light then this should be given to the employee in writing, with sufficient time to consider it before giving the employee the opportunity to respond at a reconvened hearing.</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Even if there is no need for further investigation and the employer has an idea as to the sanction it wishes to impose, it is always good practice to adjourn the meeting to consider the decision. This ensures that proper consideration is given to what has been discussed at the meeting and that the employee can see that they have been treated fairly and reasonably. Announcing the decision immediately after the employee has finished speaking would suggest a predetermined outcome.</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The length of the adjournment will depend on the complexity of the issues to be considered and whether further investigation is needed. The employee should be given an indication of how long it is likely to be before the meeting is reconvened to communicate the decision.</w:t>
      </w:r>
    </w:p>
    <w:p w:rsidR="00F124F2" w:rsidRPr="009B5E0F" w:rsidRDefault="00F124F2" w:rsidP="00F124F2">
      <w:pPr>
        <w:spacing w:before="100" w:beforeAutospacing="1" w:after="100" w:afterAutospacing="1"/>
        <w:outlineLvl w:val="2"/>
        <w:rPr>
          <w:rFonts w:asciiTheme="minorHAnsi" w:hAnsiTheme="minorHAnsi"/>
          <w:b/>
          <w:bCs/>
          <w:sz w:val="24"/>
        </w:rPr>
      </w:pPr>
      <w:bookmarkStart w:id="37" w:name="a331048"/>
      <w:bookmarkEnd w:id="37"/>
      <w:r w:rsidRPr="009B5E0F">
        <w:rPr>
          <w:rFonts w:asciiTheme="minorHAnsi" w:hAnsiTheme="minorHAnsi"/>
          <w:b/>
          <w:bCs/>
          <w:sz w:val="24"/>
        </w:rPr>
        <w:t>Should cross-examination of witnesses be allowed?</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One issue that often arises is whether witnesses should attend disciplinary hearings and, if so, whether the employer should allow the employee or his companion to cross-examine the witness on points where evidence conflicts. The </w:t>
      </w:r>
      <w:proofErr w:type="spellStart"/>
      <w:r w:rsidRPr="009B5E0F">
        <w:rPr>
          <w:rFonts w:asciiTheme="minorHAnsi" w:hAnsiTheme="minorHAnsi"/>
          <w:sz w:val="24"/>
        </w:rPr>
        <w:t>Acas</w:t>
      </w:r>
      <w:proofErr w:type="spellEnd"/>
      <w:r w:rsidRPr="009B5E0F">
        <w:rPr>
          <w:rFonts w:asciiTheme="minorHAnsi" w:hAnsiTheme="minorHAnsi"/>
          <w:sz w:val="24"/>
        </w:rPr>
        <w:t xml:space="preserve"> Code states that:</w:t>
      </w:r>
    </w:p>
    <w:p w:rsidR="00F124F2" w:rsidRPr="009B5E0F" w:rsidRDefault="00F124F2" w:rsidP="00F124F2">
      <w:pPr>
        <w:rPr>
          <w:rFonts w:asciiTheme="minorHAnsi" w:hAnsiTheme="minorHAnsi"/>
          <w:sz w:val="24"/>
        </w:rPr>
      </w:pPr>
      <w:r w:rsidRPr="009B5E0F">
        <w:rPr>
          <w:rFonts w:asciiTheme="minorHAnsi" w:hAnsiTheme="minorHAnsi"/>
          <w:sz w:val="24"/>
        </w:rPr>
        <w:t>"</w:t>
      </w:r>
      <w:proofErr w:type="gramStart"/>
      <w:r w:rsidRPr="009B5E0F">
        <w:rPr>
          <w:rFonts w:asciiTheme="minorHAnsi" w:hAnsiTheme="minorHAnsi"/>
          <w:sz w:val="24"/>
        </w:rPr>
        <w:t>the</w:t>
      </w:r>
      <w:proofErr w:type="gramEnd"/>
      <w:r w:rsidRPr="009B5E0F">
        <w:rPr>
          <w:rFonts w:asciiTheme="minorHAnsi" w:hAnsiTheme="minorHAnsi"/>
          <w:sz w:val="24"/>
        </w:rPr>
        <w:t xml:space="preserve"> employee should be given a reasonable opportunity to... call relevant witnesses. They should also be given an opportunity to raise points about any information provided by witnesses. Where an employer or employee intends to call relevant witnesses they should give advance notice that they intend to do this" (</w:t>
      </w:r>
      <w:r w:rsidRPr="009B5E0F">
        <w:rPr>
          <w:rFonts w:asciiTheme="minorHAnsi" w:hAnsiTheme="minorHAnsi"/>
          <w:i/>
          <w:iCs/>
          <w:sz w:val="24"/>
        </w:rPr>
        <w:t>paragraph 12</w:t>
      </w:r>
      <w:r w:rsidRPr="009B5E0F">
        <w:rPr>
          <w:rFonts w:asciiTheme="minorHAnsi" w:hAnsiTheme="minorHAnsi"/>
          <w:sz w:val="24"/>
        </w:rPr>
        <w:t>).</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The employment tribunals and the appeal courts have been at great pains over the years to emphasise that a disciplinary hearing is not a quasi-judicial hearing. However, there is some debate as to whether refusing to allow the employee to cross examine witnesses could be considered unreasonable and therefore potentially lead to successful claims of unfair dismissal.</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In </w:t>
      </w:r>
      <w:hyperlink r:id="rId119" w:history="1">
        <w:proofErr w:type="spellStart"/>
        <w:r w:rsidRPr="009B5E0F">
          <w:rPr>
            <w:rFonts w:asciiTheme="minorHAnsi" w:hAnsiTheme="minorHAnsi"/>
            <w:i/>
            <w:iCs/>
            <w:color w:val="005A84"/>
            <w:sz w:val="24"/>
          </w:rPr>
          <w:t>Ulsterbus</w:t>
        </w:r>
        <w:proofErr w:type="spellEnd"/>
        <w:r w:rsidRPr="009B5E0F">
          <w:rPr>
            <w:rFonts w:asciiTheme="minorHAnsi" w:hAnsiTheme="minorHAnsi"/>
            <w:i/>
            <w:iCs/>
            <w:color w:val="005A84"/>
            <w:sz w:val="24"/>
          </w:rPr>
          <w:t xml:space="preserve"> Limited v Henderson [1989] IRLR 251</w:t>
        </w:r>
      </w:hyperlink>
      <w:r w:rsidRPr="009B5E0F">
        <w:rPr>
          <w:rFonts w:asciiTheme="minorHAnsi" w:hAnsiTheme="minorHAnsi"/>
          <w:sz w:val="24"/>
        </w:rPr>
        <w:t>, the Northern Ireland Court of Appeal held that an employment tribunal had erred in holding that cross-</w:t>
      </w:r>
      <w:r w:rsidRPr="009B5E0F">
        <w:rPr>
          <w:rFonts w:asciiTheme="minorHAnsi" w:hAnsiTheme="minorHAnsi"/>
          <w:sz w:val="24"/>
        </w:rPr>
        <w:lastRenderedPageBreak/>
        <w:t xml:space="preserve">examination of witnesses was necessary as an element of fairness. </w:t>
      </w:r>
      <w:proofErr w:type="spellStart"/>
      <w:r w:rsidRPr="009B5E0F">
        <w:rPr>
          <w:rFonts w:asciiTheme="minorHAnsi" w:hAnsiTheme="minorHAnsi"/>
          <w:i/>
          <w:iCs/>
          <w:sz w:val="24"/>
        </w:rPr>
        <w:t>Ulsterbus</w:t>
      </w:r>
      <w:proofErr w:type="spellEnd"/>
      <w:r w:rsidRPr="009B5E0F">
        <w:rPr>
          <w:rFonts w:asciiTheme="minorHAnsi" w:hAnsiTheme="minorHAnsi"/>
          <w:sz w:val="24"/>
        </w:rPr>
        <w:t xml:space="preserve"> involved witnesses who were members of the public, not fellow employees, and so it has been argued that the same principle might not apply where the witness is an employee. The EAT has more recently confirmed that, while allowing the cross-examination of employees is not always a necessary element of a fair disciplinary procedure, there is no absolute rule that an employer would never have to allow cross-examination; each case must be examined on its facts (</w:t>
      </w:r>
      <w:proofErr w:type="spellStart"/>
      <w:r w:rsidR="00951A7B" w:rsidRPr="009B5E0F">
        <w:rPr>
          <w:rFonts w:asciiTheme="minorHAnsi" w:hAnsiTheme="minorHAnsi"/>
          <w:i/>
          <w:iCs/>
          <w:sz w:val="24"/>
        </w:rPr>
        <w:fldChar w:fldCharType="begin"/>
      </w:r>
      <w:r w:rsidRPr="009B5E0F">
        <w:rPr>
          <w:rFonts w:asciiTheme="minorHAnsi" w:hAnsiTheme="minorHAnsi"/>
          <w:i/>
          <w:iCs/>
          <w:sz w:val="24"/>
        </w:rPr>
        <w:instrText xml:space="preserve"> HYPERLINK "http://uk.practicallaw.com/D-005-3961" </w:instrText>
      </w:r>
      <w:r w:rsidR="00951A7B" w:rsidRPr="009B5E0F">
        <w:rPr>
          <w:rFonts w:asciiTheme="minorHAnsi" w:hAnsiTheme="minorHAnsi"/>
          <w:i/>
          <w:iCs/>
          <w:sz w:val="24"/>
        </w:rPr>
        <w:fldChar w:fldCharType="separate"/>
      </w:r>
      <w:r w:rsidRPr="009B5E0F">
        <w:rPr>
          <w:rFonts w:asciiTheme="minorHAnsi" w:hAnsiTheme="minorHAnsi"/>
          <w:i/>
          <w:iCs/>
          <w:color w:val="005A84"/>
          <w:sz w:val="24"/>
        </w:rPr>
        <w:t>Santamera</w:t>
      </w:r>
      <w:proofErr w:type="spellEnd"/>
      <w:r w:rsidRPr="009B5E0F">
        <w:rPr>
          <w:rFonts w:asciiTheme="minorHAnsi" w:hAnsiTheme="minorHAnsi"/>
          <w:i/>
          <w:iCs/>
          <w:color w:val="005A84"/>
          <w:sz w:val="24"/>
        </w:rPr>
        <w:t xml:space="preserve"> v IEC Ltd t/a Express Cargo Forwarding [2003] IRLR 273</w:t>
      </w:r>
      <w:r w:rsidR="00951A7B" w:rsidRPr="009B5E0F">
        <w:rPr>
          <w:rFonts w:asciiTheme="minorHAnsi" w:hAnsiTheme="minorHAnsi"/>
          <w:i/>
          <w:iCs/>
          <w:sz w:val="24"/>
        </w:rPr>
        <w:fldChar w:fldCharType="end"/>
      </w:r>
      <w:r w:rsidRPr="009B5E0F">
        <w:rPr>
          <w:rFonts w:asciiTheme="minorHAnsi" w:hAnsiTheme="minorHAnsi"/>
          <w:sz w:val="24"/>
        </w:rPr>
        <w:t>).</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The test to be considered is one of reasonableness under </w:t>
      </w:r>
      <w:hyperlink r:id="rId120" w:history="1">
        <w:r w:rsidRPr="009B5E0F">
          <w:rPr>
            <w:rFonts w:asciiTheme="minorHAnsi" w:hAnsiTheme="minorHAnsi"/>
            <w:i/>
            <w:iCs/>
            <w:color w:val="005A84"/>
            <w:sz w:val="24"/>
          </w:rPr>
          <w:t>section 98(4)</w:t>
        </w:r>
      </w:hyperlink>
      <w:r w:rsidRPr="009B5E0F">
        <w:rPr>
          <w:rFonts w:asciiTheme="minorHAnsi" w:hAnsiTheme="minorHAnsi"/>
          <w:sz w:val="24"/>
        </w:rPr>
        <w:t xml:space="preserve"> of the ERA 1996. The conduct of the investigation must have been within the "band of reasonable responses" available to the employer (</w:t>
      </w:r>
      <w:hyperlink r:id="rId121" w:history="1">
        <w:r w:rsidRPr="009B5E0F">
          <w:rPr>
            <w:rFonts w:asciiTheme="minorHAnsi" w:hAnsiTheme="minorHAnsi"/>
            <w:i/>
            <w:iCs/>
            <w:color w:val="005A84"/>
            <w:sz w:val="24"/>
          </w:rPr>
          <w:t>Sainsbury's Supermarkets v Hitt [2003] IRLR 23</w:t>
        </w:r>
      </w:hyperlink>
      <w:r w:rsidRPr="009B5E0F">
        <w:rPr>
          <w:rFonts w:asciiTheme="minorHAnsi" w:hAnsiTheme="minorHAnsi"/>
          <w:i/>
          <w:iCs/>
          <w:sz w:val="24"/>
        </w:rPr>
        <w:t xml:space="preserve">, </w:t>
      </w:r>
      <w:hyperlink r:id="rId122" w:history="1">
        <w:r w:rsidRPr="009B5E0F">
          <w:rPr>
            <w:rFonts w:asciiTheme="minorHAnsi" w:hAnsiTheme="minorHAnsi"/>
            <w:i/>
            <w:iCs/>
            <w:color w:val="005A84"/>
            <w:sz w:val="24"/>
          </w:rPr>
          <w:t>Bulletin, PLC Magazine, December 2002</w:t>
        </w:r>
        <w:r w:rsidRPr="009B5E0F">
          <w:rPr>
            <w:rFonts w:asciiTheme="minorHAnsi" w:hAnsiTheme="minorHAnsi"/>
            <w:i/>
            <w:iCs/>
            <w:vanish/>
            <w:color w:val="005A84"/>
            <w:sz w:val="24"/>
          </w:rPr>
          <w:t xml:space="preserve"> ( www.practicallaw.com/5-101-8290) </w:t>
        </w:r>
      </w:hyperlink>
      <w:r w:rsidRPr="009B5E0F">
        <w:rPr>
          <w:rFonts w:asciiTheme="minorHAnsi" w:hAnsiTheme="minorHAnsi"/>
          <w:i/>
          <w:iCs/>
          <w:sz w:val="24"/>
        </w:rPr>
        <w:t>)</w:t>
      </w:r>
      <w:r w:rsidRPr="009B5E0F">
        <w:rPr>
          <w:rFonts w:asciiTheme="minorHAnsi" w:hAnsiTheme="minorHAnsi"/>
          <w:sz w:val="24"/>
        </w:rPr>
        <w:t xml:space="preserve">). There may well be cases in which it would be impossible for an employer to be deemed to have acted fairly and reasonably unless cross-examination of a particular witness was permitted: for example, where the decision to dismiss turns on a crucial issue of fact which is the subject of conflicting evidence. However, the EAT in </w:t>
      </w:r>
      <w:hyperlink r:id="rId123" w:history="1">
        <w:r w:rsidRPr="009B5E0F">
          <w:rPr>
            <w:rFonts w:asciiTheme="minorHAnsi" w:hAnsiTheme="minorHAnsi"/>
            <w:i/>
            <w:iCs/>
            <w:color w:val="005A84"/>
            <w:sz w:val="24"/>
          </w:rPr>
          <w:t>Gillen v Taunton &amp; Somerset NHS Trust UKEAT/0788/04</w:t>
        </w:r>
      </w:hyperlink>
      <w:r w:rsidRPr="009B5E0F">
        <w:rPr>
          <w:rFonts w:asciiTheme="minorHAnsi" w:hAnsiTheme="minorHAnsi"/>
          <w:sz w:val="24"/>
        </w:rPr>
        <w:t xml:space="preserve"> upheld a tribunal's decision that a doctor had not been unfairly dismissed despite not being allowed to cross-examine a patient who had made allegations of serious sexual misconduct. The case for dismissal turned on whether the doctor had in fact had sexual relations with the patient (and others who had made similar allegations), which he denied. The EAT noted that this was a case at the "higher end of the scale" in terms of the seriousness of the allegations and the likely damage to the doctor's career if he were dismissed. Nevertheless, it upheld the tribunal's decision that the investigation had been reasonable, and that the doctor had been given the opportunity to present his case.</w:t>
      </w:r>
    </w:p>
    <w:p w:rsidR="00F124F2" w:rsidRPr="009B5E0F" w:rsidRDefault="00F124F2" w:rsidP="00F124F2">
      <w:pPr>
        <w:spacing w:before="100" w:beforeAutospacing="1" w:after="100" w:afterAutospacing="1"/>
        <w:outlineLvl w:val="2"/>
        <w:rPr>
          <w:rFonts w:asciiTheme="minorHAnsi" w:hAnsiTheme="minorHAnsi"/>
          <w:b/>
          <w:bCs/>
          <w:sz w:val="24"/>
        </w:rPr>
      </w:pPr>
      <w:bookmarkStart w:id="38" w:name="a254609"/>
      <w:bookmarkStart w:id="39" w:name="a1027105"/>
      <w:bookmarkEnd w:id="38"/>
      <w:bookmarkEnd w:id="39"/>
      <w:r w:rsidRPr="009B5E0F">
        <w:rPr>
          <w:rFonts w:asciiTheme="minorHAnsi" w:hAnsiTheme="minorHAnsi"/>
          <w:b/>
          <w:bCs/>
          <w:sz w:val="24"/>
        </w:rPr>
        <w:t>Right to be accompanied</w:t>
      </w:r>
    </w:p>
    <w:p w:rsidR="00F124F2" w:rsidRPr="009B5E0F" w:rsidRDefault="00C929EC" w:rsidP="00F124F2">
      <w:pPr>
        <w:spacing w:before="100" w:beforeAutospacing="1" w:after="100" w:afterAutospacing="1"/>
        <w:rPr>
          <w:rFonts w:asciiTheme="minorHAnsi" w:hAnsiTheme="minorHAnsi"/>
          <w:sz w:val="24"/>
        </w:rPr>
      </w:pPr>
      <w:hyperlink r:id="rId124" w:history="1">
        <w:r w:rsidR="00F124F2" w:rsidRPr="009B5E0F">
          <w:rPr>
            <w:rFonts w:asciiTheme="minorHAnsi" w:hAnsiTheme="minorHAnsi"/>
            <w:i/>
            <w:iCs/>
            <w:color w:val="005A84"/>
            <w:sz w:val="24"/>
          </w:rPr>
          <w:t>Sections 10 to 15</w:t>
        </w:r>
      </w:hyperlink>
      <w:r w:rsidR="00F124F2" w:rsidRPr="009B5E0F">
        <w:rPr>
          <w:rFonts w:asciiTheme="minorHAnsi" w:hAnsiTheme="minorHAnsi"/>
          <w:sz w:val="24"/>
        </w:rPr>
        <w:t xml:space="preserve"> of </w:t>
      </w:r>
      <w:proofErr w:type="spellStart"/>
      <w:r w:rsidR="00F124F2" w:rsidRPr="009B5E0F">
        <w:rPr>
          <w:rFonts w:asciiTheme="minorHAnsi" w:hAnsiTheme="minorHAnsi"/>
          <w:sz w:val="24"/>
        </w:rPr>
        <w:t>ERelA</w:t>
      </w:r>
      <w:proofErr w:type="spellEnd"/>
      <w:r w:rsidR="00F124F2" w:rsidRPr="009B5E0F">
        <w:rPr>
          <w:rFonts w:asciiTheme="minorHAnsi" w:hAnsiTheme="minorHAnsi"/>
          <w:sz w:val="24"/>
        </w:rPr>
        <w:t xml:space="preserve"> 1999 set out the right for workers and employees to be accompanied by a trade union representative or a fellow worker at a disciplinary hearing and the protections afforded to those who exercise, or attempt to exercise, that right. In addition to being entitled to bring a tribunal claim if their employer fails, or threatens to fail, to comply with the worker's right to be accompanied (see </w:t>
      </w:r>
      <w:hyperlink r:id="rId125" w:anchor="a152357" w:history="1">
        <w:r w:rsidR="00F124F2" w:rsidRPr="009B5E0F">
          <w:rPr>
            <w:rFonts w:asciiTheme="minorHAnsi" w:hAnsiTheme="minorHAnsi"/>
            <w:i/>
            <w:iCs/>
            <w:color w:val="005A84"/>
            <w:sz w:val="24"/>
          </w:rPr>
          <w:t>Remedies for breach of the right to be accompanied</w:t>
        </w:r>
      </w:hyperlink>
      <w:r w:rsidR="00F124F2" w:rsidRPr="009B5E0F">
        <w:rPr>
          <w:rFonts w:asciiTheme="minorHAnsi" w:hAnsiTheme="minorHAnsi"/>
          <w:sz w:val="24"/>
        </w:rPr>
        <w:t>), workers are protected from being subjected to a detriment or being dismissed because they have exercised or sought to exercise this right (</w:t>
      </w:r>
      <w:hyperlink r:id="rId126" w:history="1">
        <w:r w:rsidR="00F124F2" w:rsidRPr="009B5E0F">
          <w:rPr>
            <w:rFonts w:asciiTheme="minorHAnsi" w:hAnsiTheme="minorHAnsi"/>
            <w:i/>
            <w:iCs/>
            <w:color w:val="005A84"/>
            <w:sz w:val="24"/>
          </w:rPr>
          <w:t xml:space="preserve">section 12, </w:t>
        </w:r>
        <w:proofErr w:type="spellStart"/>
        <w:r w:rsidR="00F124F2" w:rsidRPr="009B5E0F">
          <w:rPr>
            <w:rFonts w:asciiTheme="minorHAnsi" w:hAnsiTheme="minorHAnsi"/>
            <w:i/>
            <w:iCs/>
            <w:color w:val="005A84"/>
            <w:sz w:val="24"/>
          </w:rPr>
          <w:t>ERelA</w:t>
        </w:r>
        <w:proofErr w:type="spellEnd"/>
        <w:r w:rsidR="00F124F2" w:rsidRPr="009B5E0F">
          <w:rPr>
            <w:rFonts w:asciiTheme="minorHAnsi" w:hAnsiTheme="minorHAnsi"/>
            <w:i/>
            <w:iCs/>
            <w:color w:val="005A84"/>
            <w:sz w:val="24"/>
          </w:rPr>
          <w:t xml:space="preserve"> 1999</w:t>
        </w:r>
      </w:hyperlink>
      <w:r w:rsidR="00F124F2" w:rsidRPr="009B5E0F">
        <w:rPr>
          <w:rFonts w:asciiTheme="minorHAnsi" w:hAnsiTheme="minorHAnsi"/>
          <w:sz w:val="24"/>
        </w:rPr>
        <w:t>).</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Exercise of the right is considered in paragraphs 13 to 16 of the </w:t>
      </w:r>
      <w:proofErr w:type="spellStart"/>
      <w:r w:rsidRPr="009B5E0F">
        <w:rPr>
          <w:rFonts w:asciiTheme="minorHAnsi" w:hAnsiTheme="minorHAnsi"/>
          <w:sz w:val="24"/>
        </w:rPr>
        <w:t>Acas</w:t>
      </w:r>
      <w:proofErr w:type="spellEnd"/>
      <w:r w:rsidRPr="009B5E0F">
        <w:rPr>
          <w:rFonts w:asciiTheme="minorHAnsi" w:hAnsiTheme="minorHAnsi"/>
          <w:sz w:val="24"/>
        </w:rPr>
        <w:t xml:space="preserve"> Code.</w:t>
      </w:r>
    </w:p>
    <w:p w:rsidR="00F124F2" w:rsidRPr="009B5E0F" w:rsidRDefault="00F124F2" w:rsidP="00F124F2">
      <w:pPr>
        <w:spacing w:before="100" w:beforeAutospacing="1" w:after="100" w:afterAutospacing="1"/>
        <w:outlineLvl w:val="3"/>
        <w:rPr>
          <w:rFonts w:asciiTheme="minorHAnsi" w:hAnsiTheme="minorHAnsi"/>
          <w:b/>
          <w:bCs/>
          <w:sz w:val="24"/>
        </w:rPr>
      </w:pPr>
      <w:bookmarkStart w:id="40" w:name="a680804"/>
      <w:bookmarkEnd w:id="40"/>
      <w:r w:rsidRPr="009B5E0F">
        <w:rPr>
          <w:rFonts w:asciiTheme="minorHAnsi" w:hAnsiTheme="minorHAnsi"/>
          <w:b/>
          <w:bCs/>
          <w:sz w:val="24"/>
        </w:rPr>
        <w:t>When the right applies</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The right to be accompanied applies if a worker:</w:t>
      </w:r>
    </w:p>
    <w:p w:rsidR="00F124F2" w:rsidRPr="009B5E0F" w:rsidRDefault="00F124F2" w:rsidP="00F124F2">
      <w:pPr>
        <w:numPr>
          <w:ilvl w:val="0"/>
          <w:numId w:val="10"/>
        </w:numPr>
        <w:spacing w:before="100" w:beforeAutospacing="1" w:after="100" w:afterAutospacing="1"/>
        <w:ind w:left="0"/>
        <w:rPr>
          <w:rFonts w:asciiTheme="minorHAnsi" w:hAnsiTheme="minorHAnsi"/>
          <w:sz w:val="24"/>
        </w:rPr>
      </w:pPr>
      <w:r w:rsidRPr="009B5E0F">
        <w:rPr>
          <w:rFonts w:asciiTheme="minorHAnsi" w:hAnsiTheme="minorHAnsi"/>
          <w:sz w:val="24"/>
        </w:rPr>
        <w:t>Is required or invited to attend a disciplinary hearing by their employer; and</w:t>
      </w:r>
    </w:p>
    <w:p w:rsidR="00F124F2" w:rsidRPr="009B5E0F" w:rsidRDefault="00F124F2" w:rsidP="00F124F2">
      <w:pPr>
        <w:numPr>
          <w:ilvl w:val="0"/>
          <w:numId w:val="10"/>
        </w:numPr>
        <w:spacing w:before="100" w:beforeAutospacing="1" w:after="100" w:afterAutospacing="1"/>
        <w:ind w:left="0"/>
        <w:rPr>
          <w:rFonts w:asciiTheme="minorHAnsi" w:hAnsiTheme="minorHAnsi"/>
          <w:sz w:val="24"/>
        </w:rPr>
      </w:pPr>
      <w:r w:rsidRPr="009B5E0F">
        <w:rPr>
          <w:rFonts w:asciiTheme="minorHAnsi" w:hAnsiTheme="minorHAnsi"/>
          <w:sz w:val="24"/>
        </w:rPr>
        <w:t>Reasonably requests to be accompanied at the hearing.</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lastRenderedPageBreak/>
        <w:t>(</w:t>
      </w:r>
      <w:r w:rsidRPr="009B5E0F">
        <w:rPr>
          <w:rFonts w:asciiTheme="minorHAnsi" w:hAnsiTheme="minorHAnsi"/>
          <w:i/>
          <w:iCs/>
          <w:sz w:val="24"/>
        </w:rPr>
        <w:t xml:space="preserve">Section 10(1), </w:t>
      </w:r>
      <w:proofErr w:type="spellStart"/>
      <w:r w:rsidRPr="009B5E0F">
        <w:rPr>
          <w:rFonts w:asciiTheme="minorHAnsi" w:hAnsiTheme="minorHAnsi"/>
          <w:i/>
          <w:iCs/>
          <w:sz w:val="24"/>
        </w:rPr>
        <w:t>ERelA</w:t>
      </w:r>
      <w:proofErr w:type="spellEnd"/>
      <w:r w:rsidRPr="009B5E0F">
        <w:rPr>
          <w:rFonts w:asciiTheme="minorHAnsi" w:hAnsiTheme="minorHAnsi"/>
          <w:i/>
          <w:iCs/>
          <w:sz w:val="24"/>
        </w:rPr>
        <w:t xml:space="preserve"> 1999</w:t>
      </w:r>
      <w:r w:rsidRPr="009B5E0F">
        <w:rPr>
          <w:rFonts w:asciiTheme="minorHAnsi" w:hAnsiTheme="minorHAnsi"/>
          <w:sz w:val="24"/>
        </w:rPr>
        <w:t>.)</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When the right applies, the employer must permit the worker to be accompanied at the hearing by one companion who has been chosen by the worker from within the categories specified in the legislation, see </w:t>
      </w:r>
      <w:hyperlink r:id="rId127" w:anchor="a922172" w:history="1">
        <w:r w:rsidRPr="009B5E0F">
          <w:rPr>
            <w:rFonts w:asciiTheme="minorHAnsi" w:hAnsiTheme="minorHAnsi"/>
            <w:i/>
            <w:iCs/>
            <w:color w:val="005A84"/>
            <w:sz w:val="24"/>
          </w:rPr>
          <w:t>Choice of companion</w:t>
        </w:r>
      </w:hyperlink>
      <w:r w:rsidRPr="009B5E0F">
        <w:rPr>
          <w:rFonts w:asciiTheme="minorHAnsi" w:hAnsiTheme="minorHAnsi"/>
          <w:sz w:val="24"/>
        </w:rPr>
        <w:t xml:space="preserve"> (</w:t>
      </w:r>
      <w:r w:rsidRPr="009B5E0F">
        <w:rPr>
          <w:rFonts w:asciiTheme="minorHAnsi" w:hAnsiTheme="minorHAnsi"/>
          <w:i/>
          <w:iCs/>
          <w:sz w:val="24"/>
        </w:rPr>
        <w:t xml:space="preserve">section 10(2A), </w:t>
      </w:r>
      <w:proofErr w:type="spellStart"/>
      <w:r w:rsidRPr="009B5E0F">
        <w:rPr>
          <w:rFonts w:asciiTheme="minorHAnsi" w:hAnsiTheme="minorHAnsi"/>
          <w:i/>
          <w:iCs/>
          <w:sz w:val="24"/>
        </w:rPr>
        <w:t>ERelA</w:t>
      </w:r>
      <w:proofErr w:type="spellEnd"/>
      <w:r w:rsidRPr="009B5E0F">
        <w:rPr>
          <w:rFonts w:asciiTheme="minorHAnsi" w:hAnsiTheme="minorHAnsi"/>
          <w:i/>
          <w:iCs/>
          <w:sz w:val="24"/>
        </w:rPr>
        <w:t xml:space="preserve"> 1999</w:t>
      </w:r>
      <w:r w:rsidRPr="009B5E0F">
        <w:rPr>
          <w:rFonts w:asciiTheme="minorHAnsi" w:hAnsiTheme="minorHAnsi"/>
          <w:sz w:val="24"/>
        </w:rPr>
        <w:t>).</w:t>
      </w:r>
    </w:p>
    <w:p w:rsidR="00F124F2" w:rsidRPr="009B5E0F" w:rsidRDefault="00F124F2" w:rsidP="00F124F2">
      <w:pPr>
        <w:spacing w:before="100" w:beforeAutospacing="1" w:after="100" w:afterAutospacing="1"/>
        <w:outlineLvl w:val="3"/>
        <w:rPr>
          <w:rFonts w:asciiTheme="minorHAnsi" w:hAnsiTheme="minorHAnsi"/>
          <w:b/>
          <w:bCs/>
          <w:sz w:val="24"/>
        </w:rPr>
      </w:pPr>
      <w:bookmarkStart w:id="41" w:name="a740590"/>
      <w:bookmarkEnd w:id="41"/>
      <w:r w:rsidRPr="009B5E0F">
        <w:rPr>
          <w:rFonts w:asciiTheme="minorHAnsi" w:hAnsiTheme="minorHAnsi"/>
          <w:b/>
          <w:bCs/>
          <w:sz w:val="24"/>
        </w:rPr>
        <w:t>Disciplinary hearings</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Disciplinary hearings for the purposes of this right are hearings that could result in:</w:t>
      </w:r>
    </w:p>
    <w:p w:rsidR="00F124F2" w:rsidRPr="009B5E0F" w:rsidRDefault="00F124F2" w:rsidP="00F124F2">
      <w:pPr>
        <w:numPr>
          <w:ilvl w:val="0"/>
          <w:numId w:val="11"/>
        </w:numPr>
        <w:spacing w:before="100" w:beforeAutospacing="1" w:after="100" w:afterAutospacing="1"/>
        <w:ind w:left="0"/>
        <w:rPr>
          <w:rFonts w:asciiTheme="minorHAnsi" w:hAnsiTheme="minorHAnsi"/>
          <w:sz w:val="24"/>
        </w:rPr>
      </w:pPr>
      <w:r w:rsidRPr="009B5E0F">
        <w:rPr>
          <w:rFonts w:asciiTheme="minorHAnsi" w:hAnsiTheme="minorHAnsi"/>
          <w:sz w:val="24"/>
        </w:rPr>
        <w:t>A formal warning being issued to a worker;</w:t>
      </w:r>
    </w:p>
    <w:p w:rsidR="00F124F2" w:rsidRPr="009B5E0F" w:rsidRDefault="00F124F2" w:rsidP="00F124F2">
      <w:pPr>
        <w:numPr>
          <w:ilvl w:val="0"/>
          <w:numId w:val="11"/>
        </w:numPr>
        <w:spacing w:before="100" w:beforeAutospacing="1" w:after="100" w:afterAutospacing="1"/>
        <w:ind w:left="0"/>
        <w:rPr>
          <w:rFonts w:asciiTheme="minorHAnsi" w:hAnsiTheme="minorHAnsi"/>
          <w:sz w:val="24"/>
        </w:rPr>
      </w:pPr>
      <w:r w:rsidRPr="009B5E0F">
        <w:rPr>
          <w:rFonts w:asciiTheme="minorHAnsi" w:hAnsiTheme="minorHAnsi"/>
          <w:sz w:val="24"/>
        </w:rPr>
        <w:t>The taking of some other disciplinary action, such as suspension without pay, demotion or dismissal; or</w:t>
      </w:r>
    </w:p>
    <w:p w:rsidR="00F124F2" w:rsidRPr="009B5E0F" w:rsidRDefault="00F124F2" w:rsidP="00F124F2">
      <w:pPr>
        <w:numPr>
          <w:ilvl w:val="0"/>
          <w:numId w:val="11"/>
        </w:numPr>
        <w:spacing w:before="100" w:beforeAutospacing="1" w:after="100" w:afterAutospacing="1"/>
        <w:ind w:left="0"/>
        <w:rPr>
          <w:rFonts w:asciiTheme="minorHAnsi" w:hAnsiTheme="minorHAnsi"/>
          <w:sz w:val="24"/>
        </w:rPr>
      </w:pPr>
      <w:r w:rsidRPr="009B5E0F">
        <w:rPr>
          <w:rFonts w:asciiTheme="minorHAnsi" w:hAnsiTheme="minorHAnsi"/>
          <w:sz w:val="24"/>
        </w:rPr>
        <w:t xml:space="preserve">The confirmation of a warning or some other disciplinary action, (as would be the case with an appeal hearing). </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w:t>
      </w:r>
      <w:hyperlink r:id="rId128" w:history="1">
        <w:r w:rsidRPr="009B5E0F">
          <w:rPr>
            <w:rFonts w:asciiTheme="minorHAnsi" w:hAnsiTheme="minorHAnsi"/>
            <w:i/>
            <w:iCs/>
            <w:color w:val="005A84"/>
            <w:sz w:val="24"/>
          </w:rPr>
          <w:t>Section 13(4)</w:t>
        </w:r>
      </w:hyperlink>
      <w:r w:rsidRPr="009B5E0F">
        <w:rPr>
          <w:rFonts w:asciiTheme="minorHAnsi" w:hAnsiTheme="minorHAnsi"/>
          <w:i/>
          <w:iCs/>
          <w:sz w:val="24"/>
        </w:rPr>
        <w:t xml:space="preserve">, </w:t>
      </w:r>
      <w:proofErr w:type="spellStart"/>
      <w:r w:rsidRPr="009B5E0F">
        <w:rPr>
          <w:rFonts w:asciiTheme="minorHAnsi" w:hAnsiTheme="minorHAnsi"/>
          <w:i/>
          <w:iCs/>
          <w:sz w:val="24"/>
        </w:rPr>
        <w:t>ERelA</w:t>
      </w:r>
      <w:proofErr w:type="spellEnd"/>
      <w:r w:rsidRPr="009B5E0F">
        <w:rPr>
          <w:rFonts w:asciiTheme="minorHAnsi" w:hAnsiTheme="minorHAnsi"/>
          <w:i/>
          <w:iCs/>
          <w:sz w:val="24"/>
        </w:rPr>
        <w:t xml:space="preserve"> 1999</w:t>
      </w:r>
      <w:r w:rsidRPr="009B5E0F">
        <w:rPr>
          <w:rFonts w:asciiTheme="minorHAnsi" w:hAnsiTheme="minorHAnsi"/>
          <w:sz w:val="24"/>
        </w:rPr>
        <w:t>.)</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The right to be accompanied applies to capability as well as misconduct hearings. However, meetings merely to investigate allegations are not "disciplinary hearings" because they should not themselves result in disciplinary action. </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A meeting as part of a redundancy exercise has been held not to be disciplinary in nature and so no right to be accompanied applied (</w:t>
      </w:r>
      <w:hyperlink r:id="rId129" w:history="1">
        <w:r w:rsidRPr="009B5E0F">
          <w:rPr>
            <w:rFonts w:asciiTheme="minorHAnsi" w:hAnsiTheme="minorHAnsi"/>
            <w:i/>
            <w:iCs/>
            <w:color w:val="005A84"/>
            <w:sz w:val="24"/>
          </w:rPr>
          <w:t>Taskforce (Finishing &amp; Handling) Ltd v Love EATS/0001/05</w:t>
        </w:r>
      </w:hyperlink>
      <w:r w:rsidRPr="009B5E0F">
        <w:rPr>
          <w:rFonts w:asciiTheme="minorHAnsi" w:hAnsiTheme="minorHAnsi"/>
          <w:sz w:val="24"/>
        </w:rPr>
        <w:t>,</w:t>
      </w:r>
    </w:p>
    <w:p w:rsidR="00F124F2" w:rsidRPr="009B5E0F" w:rsidRDefault="00F124F2" w:rsidP="00F124F2">
      <w:pPr>
        <w:spacing w:before="100" w:beforeAutospacing="1" w:after="100" w:afterAutospacing="1"/>
        <w:outlineLvl w:val="3"/>
        <w:rPr>
          <w:rFonts w:asciiTheme="minorHAnsi" w:hAnsiTheme="minorHAnsi"/>
          <w:b/>
          <w:bCs/>
          <w:sz w:val="24"/>
        </w:rPr>
      </w:pPr>
      <w:bookmarkStart w:id="42" w:name="a49529"/>
      <w:bookmarkEnd w:id="42"/>
      <w:r w:rsidRPr="009B5E0F">
        <w:rPr>
          <w:rFonts w:asciiTheme="minorHAnsi" w:hAnsiTheme="minorHAnsi"/>
          <w:b/>
          <w:bCs/>
          <w:sz w:val="24"/>
        </w:rPr>
        <w:t>Reasonable requests to be accompanied</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The right to be accompanied only applies if a worker </w:t>
      </w:r>
      <w:r w:rsidRPr="009B5E0F">
        <w:rPr>
          <w:rFonts w:asciiTheme="minorHAnsi" w:hAnsiTheme="minorHAnsi"/>
          <w:i/>
          <w:iCs/>
          <w:sz w:val="24"/>
        </w:rPr>
        <w:t>reasonably</w:t>
      </w:r>
      <w:r w:rsidRPr="009B5E0F">
        <w:rPr>
          <w:rFonts w:asciiTheme="minorHAnsi" w:hAnsiTheme="minorHAnsi"/>
          <w:sz w:val="24"/>
        </w:rPr>
        <w:t xml:space="preserve"> requests to be accompanied at the hearing. The legislation does not address the question of when such a request would not be reasonable, but suggests that an employer need only accept "reasonable" requests for a companion (</w:t>
      </w:r>
      <w:hyperlink r:id="rId130" w:history="1">
        <w:r w:rsidRPr="009B5E0F">
          <w:rPr>
            <w:rFonts w:asciiTheme="minorHAnsi" w:hAnsiTheme="minorHAnsi"/>
            <w:i/>
            <w:iCs/>
            <w:color w:val="005A84"/>
            <w:sz w:val="24"/>
          </w:rPr>
          <w:t>section 10(1)(a)</w:t>
        </w:r>
      </w:hyperlink>
      <w:r w:rsidRPr="009B5E0F">
        <w:rPr>
          <w:rFonts w:asciiTheme="minorHAnsi" w:hAnsiTheme="minorHAnsi"/>
          <w:i/>
          <w:iCs/>
          <w:sz w:val="24"/>
        </w:rPr>
        <w:t xml:space="preserve">, </w:t>
      </w:r>
      <w:proofErr w:type="spellStart"/>
      <w:r w:rsidRPr="009B5E0F">
        <w:rPr>
          <w:rFonts w:asciiTheme="minorHAnsi" w:hAnsiTheme="minorHAnsi"/>
          <w:i/>
          <w:iCs/>
          <w:sz w:val="24"/>
        </w:rPr>
        <w:t>ERelA</w:t>
      </w:r>
      <w:proofErr w:type="spellEnd"/>
      <w:r w:rsidRPr="009B5E0F">
        <w:rPr>
          <w:rFonts w:asciiTheme="minorHAnsi" w:hAnsiTheme="minorHAnsi"/>
          <w:i/>
          <w:iCs/>
          <w:sz w:val="24"/>
        </w:rPr>
        <w:t xml:space="preserve"> 1999</w:t>
      </w:r>
      <w:r w:rsidRPr="009B5E0F">
        <w:rPr>
          <w:rFonts w:asciiTheme="minorHAnsi" w:hAnsiTheme="minorHAnsi"/>
          <w:sz w:val="24"/>
        </w:rPr>
        <w:t xml:space="preserve">). It was thought at one time that a request would not be reasonable if the choice of companion was unreasonable. However, in </w:t>
      </w:r>
      <w:hyperlink r:id="rId131" w:history="1">
        <w:r w:rsidRPr="009B5E0F">
          <w:rPr>
            <w:rFonts w:asciiTheme="minorHAnsi" w:hAnsiTheme="minorHAnsi"/>
            <w:i/>
            <w:iCs/>
            <w:color w:val="005A84"/>
            <w:sz w:val="24"/>
          </w:rPr>
          <w:t>Toal and another v GB Oils Ltd [2013] IRLR 696</w:t>
        </w:r>
      </w:hyperlink>
      <w:r w:rsidRPr="009B5E0F">
        <w:rPr>
          <w:rFonts w:asciiTheme="minorHAnsi" w:hAnsiTheme="minorHAnsi"/>
          <w:sz w:val="24"/>
        </w:rPr>
        <w:t xml:space="preserve"> the EAT held that a worker has an absolute right to choose a companion, provided that they are a fellow worker, trade union representative or official (see </w:t>
      </w:r>
      <w:hyperlink r:id="rId132" w:history="1">
        <w:r w:rsidRPr="009B5E0F">
          <w:rPr>
            <w:rFonts w:asciiTheme="minorHAnsi" w:hAnsiTheme="minorHAnsi"/>
            <w:i/>
            <w:iCs/>
            <w:color w:val="005A84"/>
            <w:sz w:val="24"/>
          </w:rPr>
          <w:t>Legal update, Right to be accompanied is absolute but compensation for breach may be nominal</w:t>
        </w:r>
        <w:r w:rsidRPr="009B5E0F">
          <w:rPr>
            <w:rFonts w:asciiTheme="minorHAnsi" w:hAnsiTheme="minorHAnsi"/>
            <w:i/>
            <w:iCs/>
            <w:vanish/>
            <w:color w:val="005A84"/>
            <w:sz w:val="24"/>
          </w:rPr>
          <w:t xml:space="preserve"> ( www.practicallaw.com/8-537-3590) </w:t>
        </w:r>
      </w:hyperlink>
      <w:r w:rsidRPr="009B5E0F">
        <w:rPr>
          <w:rFonts w:asciiTheme="minorHAnsi" w:hAnsiTheme="minorHAnsi"/>
          <w:sz w:val="24"/>
        </w:rPr>
        <w:t xml:space="preserve">. The </w:t>
      </w:r>
      <w:proofErr w:type="spellStart"/>
      <w:r w:rsidRPr="009B5E0F">
        <w:rPr>
          <w:rFonts w:asciiTheme="minorHAnsi" w:hAnsiTheme="minorHAnsi"/>
          <w:sz w:val="24"/>
        </w:rPr>
        <w:t>Acas</w:t>
      </w:r>
      <w:proofErr w:type="spellEnd"/>
      <w:r w:rsidRPr="009B5E0F">
        <w:rPr>
          <w:rFonts w:asciiTheme="minorHAnsi" w:hAnsiTheme="minorHAnsi"/>
          <w:sz w:val="24"/>
        </w:rPr>
        <w:t xml:space="preserve"> Code has been updated to reflect the decision in </w:t>
      </w:r>
      <w:proofErr w:type="spellStart"/>
      <w:r w:rsidRPr="009B5E0F">
        <w:rPr>
          <w:rFonts w:asciiTheme="minorHAnsi" w:hAnsiTheme="minorHAnsi"/>
          <w:i/>
          <w:iCs/>
          <w:sz w:val="24"/>
        </w:rPr>
        <w:t>Toal</w:t>
      </w:r>
      <w:proofErr w:type="spellEnd"/>
      <w:r w:rsidRPr="009B5E0F">
        <w:rPr>
          <w:rFonts w:asciiTheme="minorHAnsi" w:hAnsiTheme="minorHAnsi"/>
          <w:sz w:val="24"/>
        </w:rPr>
        <w:t xml:space="preserve"> (see </w:t>
      </w:r>
      <w:r w:rsidRPr="009B5E0F">
        <w:rPr>
          <w:rFonts w:asciiTheme="minorHAnsi" w:hAnsiTheme="minorHAnsi"/>
          <w:i/>
          <w:iCs/>
          <w:sz w:val="24"/>
        </w:rPr>
        <w:t xml:space="preserve">paragraph 14, </w:t>
      </w:r>
      <w:proofErr w:type="spellStart"/>
      <w:r w:rsidRPr="009B5E0F">
        <w:rPr>
          <w:rFonts w:asciiTheme="minorHAnsi" w:hAnsiTheme="minorHAnsi"/>
          <w:i/>
          <w:iCs/>
          <w:sz w:val="24"/>
        </w:rPr>
        <w:t>Acas</w:t>
      </w:r>
      <w:proofErr w:type="spellEnd"/>
      <w:r w:rsidRPr="009B5E0F">
        <w:rPr>
          <w:rFonts w:asciiTheme="minorHAnsi" w:hAnsiTheme="minorHAnsi"/>
          <w:i/>
          <w:iCs/>
          <w:sz w:val="24"/>
        </w:rPr>
        <w:t xml:space="preserve"> Code</w:t>
      </w:r>
      <w:r w:rsidRPr="009B5E0F">
        <w:rPr>
          <w:rFonts w:asciiTheme="minorHAnsi" w:hAnsiTheme="minorHAnsi"/>
          <w:sz w:val="24"/>
        </w:rPr>
        <w:t xml:space="preserve"> and </w:t>
      </w:r>
      <w:hyperlink r:id="rId133" w:history="1">
        <w:r w:rsidRPr="009B5E0F">
          <w:rPr>
            <w:rFonts w:asciiTheme="minorHAnsi" w:hAnsiTheme="minorHAnsi"/>
            <w:i/>
            <w:iCs/>
            <w:color w:val="005A84"/>
            <w:sz w:val="24"/>
          </w:rPr>
          <w:t>Legal update, Revised Acas Code of Practice on Disciplinary and Grievance Procedures and non-statutory guidance</w:t>
        </w:r>
        <w:r w:rsidRPr="009B5E0F">
          <w:rPr>
            <w:rFonts w:asciiTheme="minorHAnsi" w:hAnsiTheme="minorHAnsi"/>
            <w:i/>
            <w:iCs/>
            <w:vanish/>
            <w:color w:val="005A84"/>
            <w:sz w:val="24"/>
          </w:rPr>
          <w:t xml:space="preserve"> ( www.practicallaw.com/1-603-8690) </w:t>
        </w:r>
      </w:hyperlink>
      <w:r w:rsidRPr="009B5E0F">
        <w:rPr>
          <w:rFonts w:asciiTheme="minorHAnsi" w:hAnsiTheme="minorHAnsi"/>
          <w:sz w:val="24"/>
        </w:rPr>
        <w:t xml:space="preserve">). The </w:t>
      </w:r>
      <w:proofErr w:type="spellStart"/>
      <w:r w:rsidRPr="009B5E0F">
        <w:rPr>
          <w:rFonts w:asciiTheme="minorHAnsi" w:hAnsiTheme="minorHAnsi"/>
          <w:sz w:val="24"/>
        </w:rPr>
        <w:t>Acas</w:t>
      </w:r>
      <w:proofErr w:type="spellEnd"/>
      <w:r w:rsidRPr="009B5E0F">
        <w:rPr>
          <w:rFonts w:asciiTheme="minorHAnsi" w:hAnsiTheme="minorHAnsi"/>
          <w:sz w:val="24"/>
        </w:rPr>
        <w:t xml:space="preserve"> Code also indicates that, as a matter of good practice, employees should bear in mind the practicalities of the arrangement, by choosing a companion who is suitable, willing and available on site.</w:t>
      </w:r>
    </w:p>
    <w:p w:rsidR="00F124F2" w:rsidRPr="009B5E0F" w:rsidRDefault="00F124F2" w:rsidP="00F124F2">
      <w:pPr>
        <w:spacing w:before="100" w:beforeAutospacing="1" w:after="100" w:afterAutospacing="1"/>
        <w:outlineLvl w:val="3"/>
        <w:rPr>
          <w:rFonts w:asciiTheme="minorHAnsi" w:hAnsiTheme="minorHAnsi"/>
          <w:b/>
          <w:bCs/>
          <w:sz w:val="24"/>
        </w:rPr>
      </w:pPr>
      <w:bookmarkStart w:id="43" w:name="a922172"/>
      <w:bookmarkEnd w:id="43"/>
      <w:r w:rsidRPr="009B5E0F">
        <w:rPr>
          <w:rFonts w:asciiTheme="minorHAnsi" w:hAnsiTheme="minorHAnsi"/>
          <w:b/>
          <w:bCs/>
          <w:sz w:val="24"/>
        </w:rPr>
        <w:t>Choice of companion</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The companion should be someone who is either:</w:t>
      </w:r>
    </w:p>
    <w:p w:rsidR="00F124F2" w:rsidRPr="009B5E0F" w:rsidRDefault="00F124F2" w:rsidP="00F124F2">
      <w:pPr>
        <w:numPr>
          <w:ilvl w:val="0"/>
          <w:numId w:val="12"/>
        </w:numPr>
        <w:spacing w:before="100" w:beforeAutospacing="1" w:after="100" w:afterAutospacing="1"/>
        <w:ind w:left="0"/>
        <w:rPr>
          <w:rFonts w:asciiTheme="minorHAnsi" w:hAnsiTheme="minorHAnsi"/>
          <w:sz w:val="24"/>
        </w:rPr>
      </w:pPr>
      <w:r w:rsidRPr="009B5E0F">
        <w:rPr>
          <w:rFonts w:asciiTheme="minorHAnsi" w:hAnsiTheme="minorHAnsi"/>
          <w:sz w:val="24"/>
        </w:rPr>
        <w:lastRenderedPageBreak/>
        <w:t>Employed by the trade union of which they are an official;</w:t>
      </w:r>
    </w:p>
    <w:p w:rsidR="00F124F2" w:rsidRPr="009B5E0F" w:rsidRDefault="00F124F2" w:rsidP="00F124F2">
      <w:pPr>
        <w:numPr>
          <w:ilvl w:val="0"/>
          <w:numId w:val="12"/>
        </w:numPr>
        <w:spacing w:before="100" w:beforeAutospacing="1" w:after="100" w:afterAutospacing="1"/>
        <w:ind w:left="0"/>
        <w:rPr>
          <w:rFonts w:asciiTheme="minorHAnsi" w:hAnsiTheme="minorHAnsi"/>
          <w:sz w:val="24"/>
        </w:rPr>
      </w:pPr>
      <w:r w:rsidRPr="009B5E0F">
        <w:rPr>
          <w:rFonts w:asciiTheme="minorHAnsi" w:hAnsiTheme="minorHAnsi"/>
          <w:sz w:val="24"/>
        </w:rPr>
        <w:t>Any other official of a trade union whom the union has reasonably certified in writing as having appropriate experience of, or as having received training in, acting as a worker's companion at such hearings; or</w:t>
      </w:r>
    </w:p>
    <w:p w:rsidR="00F124F2" w:rsidRPr="009B5E0F" w:rsidRDefault="00F124F2" w:rsidP="00F124F2">
      <w:pPr>
        <w:numPr>
          <w:ilvl w:val="0"/>
          <w:numId w:val="12"/>
        </w:numPr>
        <w:spacing w:before="100" w:beforeAutospacing="1" w:after="100" w:afterAutospacing="1"/>
        <w:ind w:left="0"/>
        <w:rPr>
          <w:rFonts w:asciiTheme="minorHAnsi" w:hAnsiTheme="minorHAnsi"/>
          <w:sz w:val="24"/>
        </w:rPr>
      </w:pPr>
      <w:r w:rsidRPr="009B5E0F">
        <w:rPr>
          <w:rFonts w:asciiTheme="minorHAnsi" w:hAnsiTheme="minorHAnsi"/>
          <w:sz w:val="24"/>
        </w:rPr>
        <w:t>Another of the employer's workers.</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w:t>
      </w:r>
      <w:hyperlink r:id="rId134" w:history="1">
        <w:r w:rsidRPr="009B5E0F">
          <w:rPr>
            <w:rFonts w:asciiTheme="minorHAnsi" w:hAnsiTheme="minorHAnsi"/>
            <w:i/>
            <w:iCs/>
            <w:color w:val="005A84"/>
            <w:sz w:val="24"/>
          </w:rPr>
          <w:t>Section 10(3)</w:t>
        </w:r>
      </w:hyperlink>
      <w:r w:rsidRPr="009B5E0F">
        <w:rPr>
          <w:rFonts w:asciiTheme="minorHAnsi" w:hAnsiTheme="minorHAnsi"/>
          <w:i/>
          <w:iCs/>
          <w:sz w:val="24"/>
        </w:rPr>
        <w:t xml:space="preserve">, </w:t>
      </w:r>
      <w:proofErr w:type="spellStart"/>
      <w:r w:rsidRPr="009B5E0F">
        <w:rPr>
          <w:rFonts w:asciiTheme="minorHAnsi" w:hAnsiTheme="minorHAnsi"/>
          <w:i/>
          <w:iCs/>
          <w:sz w:val="24"/>
        </w:rPr>
        <w:t>ERelA</w:t>
      </w:r>
      <w:proofErr w:type="spellEnd"/>
      <w:r w:rsidRPr="009B5E0F">
        <w:rPr>
          <w:rFonts w:asciiTheme="minorHAnsi" w:hAnsiTheme="minorHAnsi"/>
          <w:i/>
          <w:iCs/>
          <w:sz w:val="24"/>
        </w:rPr>
        <w:t xml:space="preserve"> 1999</w:t>
      </w:r>
      <w:r w:rsidRPr="009B5E0F">
        <w:rPr>
          <w:rFonts w:asciiTheme="minorHAnsi" w:hAnsiTheme="minorHAnsi"/>
          <w:sz w:val="24"/>
        </w:rPr>
        <w:t>.)</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The worker who is subject to the disciplinary hearing does not have to be a member of the trade union to which the official belongs and the trade union in question does not need to be one that is recognised by the employer.</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An employer cannot deny the worker their choice of companion as long as the companion falls within the three categories above (see </w:t>
      </w:r>
      <w:hyperlink r:id="rId135" w:anchor="a49529" w:history="1">
        <w:r w:rsidRPr="009B5E0F">
          <w:rPr>
            <w:rFonts w:asciiTheme="minorHAnsi" w:hAnsiTheme="minorHAnsi"/>
            <w:i/>
            <w:iCs/>
            <w:color w:val="005A84"/>
            <w:sz w:val="24"/>
          </w:rPr>
          <w:t>Reasonable requests to be accompanied</w:t>
        </w:r>
      </w:hyperlink>
      <w:r w:rsidRPr="009B5E0F">
        <w:rPr>
          <w:rFonts w:asciiTheme="minorHAnsi" w:hAnsiTheme="minorHAnsi"/>
          <w:sz w:val="24"/>
        </w:rPr>
        <w:t xml:space="preserve"> above). </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There has been some, albeit limited, support for the idea that an employee should be allowed to be accompanied by a person who does not fall under the statutory definition, if the employee would otherwise not have a companion at all. In </w:t>
      </w:r>
      <w:hyperlink r:id="rId136" w:history="1">
        <w:r w:rsidRPr="009B5E0F">
          <w:rPr>
            <w:rFonts w:asciiTheme="minorHAnsi" w:hAnsiTheme="minorHAnsi"/>
            <w:i/>
            <w:iCs/>
            <w:color w:val="005A84"/>
            <w:sz w:val="24"/>
          </w:rPr>
          <w:t>The Leeds Dental Team Ltd v Rose UKEAT/0016/13</w:t>
        </w:r>
      </w:hyperlink>
      <w:r w:rsidRPr="009B5E0F">
        <w:rPr>
          <w:rFonts w:asciiTheme="minorHAnsi" w:hAnsiTheme="minorHAnsi"/>
          <w:sz w:val="24"/>
        </w:rPr>
        <w:t xml:space="preserve"> the employer refused an employee's request to be accompanied by someone who did not satisfy the statutory criteria. With all the other circumstances of the case taken into account, this was held to be unreasonable and contributed to (but was by no means the sole factor in) a finding that the employer had breached the implied duty of trust and confidence. As a result of </w:t>
      </w:r>
      <w:proofErr w:type="spellStart"/>
      <w:r w:rsidRPr="009B5E0F">
        <w:rPr>
          <w:rFonts w:asciiTheme="minorHAnsi" w:hAnsiTheme="minorHAnsi"/>
          <w:sz w:val="24"/>
        </w:rPr>
        <w:t>Acas'</w:t>
      </w:r>
      <w:proofErr w:type="spellEnd"/>
      <w:r w:rsidRPr="009B5E0F">
        <w:rPr>
          <w:rFonts w:asciiTheme="minorHAnsi" w:hAnsiTheme="minorHAnsi"/>
          <w:sz w:val="24"/>
        </w:rPr>
        <w:t xml:space="preserve"> consultation on amendments to the Code, page 24 of the non-statutory </w:t>
      </w:r>
      <w:proofErr w:type="spellStart"/>
      <w:r w:rsidRPr="009B5E0F">
        <w:rPr>
          <w:rFonts w:asciiTheme="minorHAnsi" w:hAnsiTheme="minorHAnsi"/>
          <w:sz w:val="24"/>
        </w:rPr>
        <w:t>Acas</w:t>
      </w:r>
      <w:proofErr w:type="spellEnd"/>
      <w:r w:rsidRPr="009B5E0F">
        <w:rPr>
          <w:rFonts w:asciiTheme="minorHAnsi" w:hAnsiTheme="minorHAnsi"/>
          <w:sz w:val="24"/>
        </w:rPr>
        <w:t xml:space="preserve"> guide has been amended to make it clear that employers can allow workers to be accompanied by companions that are not a fellow worker, trade union representative or official. </w:t>
      </w:r>
      <w:proofErr w:type="spellStart"/>
      <w:r w:rsidRPr="009B5E0F">
        <w:rPr>
          <w:rFonts w:asciiTheme="minorHAnsi" w:hAnsiTheme="minorHAnsi"/>
          <w:sz w:val="24"/>
        </w:rPr>
        <w:t>Acas</w:t>
      </w:r>
      <w:proofErr w:type="spellEnd"/>
      <w:r w:rsidRPr="009B5E0F">
        <w:rPr>
          <w:rFonts w:asciiTheme="minorHAnsi" w:hAnsiTheme="minorHAnsi"/>
          <w:sz w:val="24"/>
        </w:rPr>
        <w:t xml:space="preserve"> made this amendment to the non statutory guide rather than the Code because it considered that an amendment to the Code could encourage workers to request other companions, such as close relatives or </w:t>
      </w:r>
      <w:proofErr w:type="gramStart"/>
      <w:r w:rsidRPr="009B5E0F">
        <w:rPr>
          <w:rFonts w:asciiTheme="minorHAnsi" w:hAnsiTheme="minorHAnsi"/>
          <w:sz w:val="24"/>
        </w:rPr>
        <w:t>lawyers, that</w:t>
      </w:r>
      <w:proofErr w:type="gramEnd"/>
      <w:r w:rsidRPr="009B5E0F">
        <w:rPr>
          <w:rFonts w:asciiTheme="minorHAnsi" w:hAnsiTheme="minorHAnsi"/>
          <w:sz w:val="24"/>
        </w:rPr>
        <w:t xml:space="preserve"> may be refused legitimately, creating a burden on employers. It is not clear how this accords with the decision in </w:t>
      </w:r>
      <w:r w:rsidRPr="009B5E0F">
        <w:rPr>
          <w:rFonts w:asciiTheme="minorHAnsi" w:hAnsiTheme="minorHAnsi"/>
          <w:i/>
          <w:iCs/>
          <w:sz w:val="24"/>
        </w:rPr>
        <w:t>Rose</w:t>
      </w:r>
      <w:r w:rsidRPr="009B5E0F">
        <w:rPr>
          <w:rFonts w:asciiTheme="minorHAnsi" w:hAnsiTheme="minorHAnsi"/>
          <w:sz w:val="24"/>
        </w:rPr>
        <w:t>. The reasonableness of an employer's decision to refuse a request to be accompanied by a person who falls outside of the statutory definition will ultimately be a fact-sensitive question.</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There is no general right to bring a lawyer to a disciplinary or grievance hearing. However, there may be circumstances in which this is appropriate (see </w:t>
      </w:r>
      <w:hyperlink r:id="rId137" w:anchor="a843340" w:history="1">
        <w:r w:rsidRPr="009B5E0F">
          <w:rPr>
            <w:rFonts w:asciiTheme="minorHAnsi" w:hAnsiTheme="minorHAnsi"/>
            <w:i/>
            <w:iCs/>
            <w:color w:val="005A84"/>
            <w:sz w:val="24"/>
          </w:rPr>
          <w:t>Legal representation</w:t>
        </w:r>
      </w:hyperlink>
      <w:r w:rsidRPr="009B5E0F">
        <w:rPr>
          <w:rFonts w:asciiTheme="minorHAnsi" w:hAnsiTheme="minorHAnsi"/>
          <w:sz w:val="24"/>
        </w:rPr>
        <w:t xml:space="preserve">, below). </w:t>
      </w:r>
    </w:p>
    <w:p w:rsidR="00F124F2" w:rsidRPr="009B5E0F" w:rsidRDefault="00F124F2" w:rsidP="00F124F2">
      <w:pPr>
        <w:spacing w:before="100" w:beforeAutospacing="1" w:after="100" w:afterAutospacing="1"/>
        <w:outlineLvl w:val="3"/>
        <w:rPr>
          <w:rFonts w:asciiTheme="minorHAnsi" w:hAnsiTheme="minorHAnsi"/>
          <w:b/>
          <w:bCs/>
          <w:sz w:val="24"/>
        </w:rPr>
      </w:pPr>
      <w:bookmarkStart w:id="44" w:name="a607999"/>
      <w:bookmarkEnd w:id="44"/>
      <w:r w:rsidRPr="009B5E0F">
        <w:rPr>
          <w:rFonts w:asciiTheme="minorHAnsi" w:hAnsiTheme="minorHAnsi"/>
          <w:b/>
          <w:bCs/>
          <w:sz w:val="24"/>
        </w:rPr>
        <w:t>Rights of the companion</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A worker who is attending a disciplinary hearing as a companion (whether or not they are also a trade union official) has a right to paid time off during working hours to act as a companion to another worker (</w:t>
      </w:r>
      <w:r w:rsidRPr="009B5E0F">
        <w:rPr>
          <w:rFonts w:asciiTheme="minorHAnsi" w:hAnsiTheme="minorHAnsi"/>
          <w:i/>
          <w:iCs/>
          <w:sz w:val="24"/>
        </w:rPr>
        <w:t xml:space="preserve">section 10(6)-(7), </w:t>
      </w:r>
      <w:proofErr w:type="spellStart"/>
      <w:r w:rsidRPr="009B5E0F">
        <w:rPr>
          <w:rFonts w:asciiTheme="minorHAnsi" w:hAnsiTheme="minorHAnsi"/>
          <w:i/>
          <w:iCs/>
          <w:sz w:val="24"/>
        </w:rPr>
        <w:t>ERelA</w:t>
      </w:r>
      <w:proofErr w:type="spellEnd"/>
      <w:r w:rsidRPr="009B5E0F">
        <w:rPr>
          <w:rFonts w:asciiTheme="minorHAnsi" w:hAnsiTheme="minorHAnsi"/>
          <w:i/>
          <w:iCs/>
          <w:sz w:val="24"/>
        </w:rPr>
        <w:t xml:space="preserve"> 1999</w:t>
      </w:r>
      <w:r w:rsidRPr="009B5E0F">
        <w:rPr>
          <w:rFonts w:asciiTheme="minorHAnsi" w:hAnsiTheme="minorHAnsi"/>
          <w:sz w:val="24"/>
        </w:rPr>
        <w:t>). They must not be subject to any detriment or dismissed because they have acted (or sought to act) as a companion (</w:t>
      </w:r>
      <w:hyperlink r:id="rId138" w:history="1">
        <w:r w:rsidRPr="009B5E0F">
          <w:rPr>
            <w:rFonts w:asciiTheme="minorHAnsi" w:hAnsiTheme="minorHAnsi"/>
            <w:i/>
            <w:iCs/>
            <w:color w:val="005A84"/>
            <w:sz w:val="24"/>
          </w:rPr>
          <w:t>section 12(1</w:t>
        </w:r>
        <w:proofErr w:type="gramStart"/>
        <w:r w:rsidRPr="009B5E0F">
          <w:rPr>
            <w:rFonts w:asciiTheme="minorHAnsi" w:hAnsiTheme="minorHAnsi"/>
            <w:i/>
            <w:iCs/>
            <w:color w:val="005A84"/>
            <w:sz w:val="24"/>
          </w:rPr>
          <w:t>)(</w:t>
        </w:r>
        <w:proofErr w:type="gramEnd"/>
        <w:r w:rsidRPr="009B5E0F">
          <w:rPr>
            <w:rFonts w:asciiTheme="minorHAnsi" w:hAnsiTheme="minorHAnsi"/>
            <w:i/>
            <w:iCs/>
            <w:color w:val="005A84"/>
            <w:sz w:val="24"/>
          </w:rPr>
          <w:t>b),</w:t>
        </w:r>
      </w:hyperlink>
      <w:r w:rsidRPr="009B5E0F">
        <w:rPr>
          <w:rFonts w:asciiTheme="minorHAnsi" w:hAnsiTheme="minorHAnsi"/>
          <w:i/>
          <w:iCs/>
          <w:sz w:val="24"/>
        </w:rPr>
        <w:t xml:space="preserve"> </w:t>
      </w:r>
      <w:proofErr w:type="spellStart"/>
      <w:r w:rsidRPr="009B5E0F">
        <w:rPr>
          <w:rFonts w:asciiTheme="minorHAnsi" w:hAnsiTheme="minorHAnsi"/>
          <w:i/>
          <w:iCs/>
          <w:sz w:val="24"/>
        </w:rPr>
        <w:t>ERelA</w:t>
      </w:r>
      <w:proofErr w:type="spellEnd"/>
      <w:r w:rsidRPr="009B5E0F">
        <w:rPr>
          <w:rFonts w:asciiTheme="minorHAnsi" w:hAnsiTheme="minorHAnsi"/>
          <w:i/>
          <w:iCs/>
          <w:sz w:val="24"/>
        </w:rPr>
        <w:t xml:space="preserve"> 1999</w:t>
      </w:r>
      <w:r w:rsidRPr="009B5E0F">
        <w:rPr>
          <w:rFonts w:asciiTheme="minorHAnsi" w:hAnsiTheme="minorHAnsi"/>
          <w:sz w:val="24"/>
        </w:rPr>
        <w:t xml:space="preserve">). For further information, see </w:t>
      </w:r>
    </w:p>
    <w:p w:rsidR="00F124F2" w:rsidRPr="009B5E0F" w:rsidRDefault="00F124F2" w:rsidP="00F124F2">
      <w:pPr>
        <w:spacing w:before="100" w:beforeAutospacing="1" w:after="100" w:afterAutospacing="1"/>
        <w:outlineLvl w:val="3"/>
        <w:rPr>
          <w:rFonts w:asciiTheme="minorHAnsi" w:hAnsiTheme="minorHAnsi"/>
          <w:b/>
          <w:bCs/>
          <w:sz w:val="24"/>
        </w:rPr>
      </w:pPr>
      <w:bookmarkStart w:id="45" w:name="a285296"/>
      <w:bookmarkEnd w:id="45"/>
      <w:r w:rsidRPr="009B5E0F">
        <w:rPr>
          <w:rFonts w:asciiTheme="minorHAnsi" w:hAnsiTheme="minorHAnsi"/>
          <w:b/>
          <w:bCs/>
          <w:sz w:val="24"/>
        </w:rPr>
        <w:lastRenderedPageBreak/>
        <w:t>Unavailability of companion</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Where an employee's chosen companion is unavailable at the time proposed for the hearing by the employer, the employee has the right to suggest an alternative time which is not more than five working days later. If that time is reasonable the employer must rearrange the hearing for that time. (</w:t>
      </w:r>
      <w:hyperlink r:id="rId139" w:history="1">
        <w:r w:rsidRPr="009B5E0F">
          <w:rPr>
            <w:rFonts w:asciiTheme="minorHAnsi" w:hAnsiTheme="minorHAnsi"/>
            <w:i/>
            <w:iCs/>
            <w:color w:val="005A84"/>
            <w:sz w:val="24"/>
          </w:rPr>
          <w:t>Section 10(4)-(5)</w:t>
        </w:r>
      </w:hyperlink>
      <w:r w:rsidRPr="009B5E0F">
        <w:rPr>
          <w:rFonts w:asciiTheme="minorHAnsi" w:hAnsiTheme="minorHAnsi"/>
          <w:i/>
          <w:iCs/>
          <w:sz w:val="24"/>
        </w:rPr>
        <w:t xml:space="preserve">, </w:t>
      </w:r>
      <w:proofErr w:type="spellStart"/>
      <w:r w:rsidRPr="009B5E0F">
        <w:rPr>
          <w:rFonts w:asciiTheme="minorHAnsi" w:hAnsiTheme="minorHAnsi"/>
          <w:i/>
          <w:iCs/>
          <w:sz w:val="24"/>
        </w:rPr>
        <w:t>ERelA</w:t>
      </w:r>
      <w:proofErr w:type="spellEnd"/>
      <w:r w:rsidRPr="009B5E0F">
        <w:rPr>
          <w:rFonts w:asciiTheme="minorHAnsi" w:hAnsiTheme="minorHAnsi"/>
          <w:i/>
          <w:iCs/>
          <w:sz w:val="24"/>
        </w:rPr>
        <w:t xml:space="preserve"> 1999</w:t>
      </w:r>
      <w:r w:rsidRPr="009B5E0F">
        <w:rPr>
          <w:rFonts w:asciiTheme="minorHAnsi" w:hAnsiTheme="minorHAnsi"/>
          <w:sz w:val="24"/>
        </w:rPr>
        <w:t xml:space="preserve">.) There is no guidance on what would be "reasonable" in this context, but it would presumably not be reasonable if the employer's key personnel are unavailable at that time. In practice it would be advisable for an employee (or their companion) to give a range of available times, or for the parties to seek to agree a time. </w:t>
      </w:r>
    </w:p>
    <w:p w:rsidR="00F124F2" w:rsidRPr="009B5E0F" w:rsidRDefault="00F124F2" w:rsidP="00F124F2">
      <w:pPr>
        <w:spacing w:before="100" w:beforeAutospacing="1" w:after="100" w:afterAutospacing="1"/>
        <w:outlineLvl w:val="3"/>
        <w:rPr>
          <w:rFonts w:asciiTheme="minorHAnsi" w:hAnsiTheme="minorHAnsi"/>
          <w:b/>
          <w:bCs/>
          <w:sz w:val="24"/>
        </w:rPr>
      </w:pPr>
      <w:bookmarkStart w:id="46" w:name="a136302"/>
      <w:bookmarkEnd w:id="46"/>
      <w:r w:rsidRPr="009B5E0F">
        <w:rPr>
          <w:rFonts w:asciiTheme="minorHAnsi" w:hAnsiTheme="minorHAnsi"/>
          <w:b/>
          <w:bCs/>
          <w:sz w:val="24"/>
        </w:rPr>
        <w:t>Role of companion</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The role of the companion is limited. The companion is permitted to address the disciplinary hearing (including putting the worker's case, summing up, and responding on the worker's behalf to any view expressed at the hearing) and to confer with the worker during the hearing (</w:t>
      </w:r>
      <w:hyperlink r:id="rId140" w:history="1">
        <w:r w:rsidRPr="009B5E0F">
          <w:rPr>
            <w:rFonts w:asciiTheme="minorHAnsi" w:hAnsiTheme="minorHAnsi"/>
            <w:i/>
            <w:iCs/>
            <w:color w:val="005A84"/>
            <w:sz w:val="24"/>
          </w:rPr>
          <w:t>section 10(2B)</w:t>
        </w:r>
      </w:hyperlink>
      <w:r w:rsidRPr="009B5E0F">
        <w:rPr>
          <w:rFonts w:asciiTheme="minorHAnsi" w:hAnsiTheme="minorHAnsi"/>
          <w:i/>
          <w:iCs/>
          <w:sz w:val="24"/>
        </w:rPr>
        <w:t xml:space="preserve">, </w:t>
      </w:r>
      <w:proofErr w:type="spellStart"/>
      <w:r w:rsidRPr="009B5E0F">
        <w:rPr>
          <w:rFonts w:asciiTheme="minorHAnsi" w:hAnsiTheme="minorHAnsi"/>
          <w:i/>
          <w:iCs/>
          <w:sz w:val="24"/>
        </w:rPr>
        <w:t>ERelA</w:t>
      </w:r>
      <w:proofErr w:type="spellEnd"/>
      <w:r w:rsidRPr="009B5E0F">
        <w:rPr>
          <w:rFonts w:asciiTheme="minorHAnsi" w:hAnsiTheme="minorHAnsi"/>
          <w:i/>
          <w:iCs/>
          <w:sz w:val="24"/>
        </w:rPr>
        <w:t xml:space="preserve"> 1999</w:t>
      </w:r>
      <w:r w:rsidRPr="009B5E0F">
        <w:rPr>
          <w:rFonts w:asciiTheme="minorHAnsi" w:hAnsiTheme="minorHAnsi"/>
          <w:sz w:val="24"/>
        </w:rPr>
        <w:t>). There is no right to answer questions on behalf of the worker, address the hearing contrary to the worker's express wishes, or act in a way that prevents the employer explaining its case or prevents any other person making a contribution to it (</w:t>
      </w:r>
      <w:hyperlink r:id="rId141" w:history="1">
        <w:r w:rsidRPr="009B5E0F">
          <w:rPr>
            <w:rFonts w:asciiTheme="minorHAnsi" w:hAnsiTheme="minorHAnsi"/>
            <w:i/>
            <w:iCs/>
            <w:color w:val="005A84"/>
            <w:sz w:val="24"/>
          </w:rPr>
          <w:t>section 10(2C)</w:t>
        </w:r>
      </w:hyperlink>
      <w:r w:rsidRPr="009B5E0F">
        <w:rPr>
          <w:rFonts w:asciiTheme="minorHAnsi" w:hAnsiTheme="minorHAnsi"/>
          <w:i/>
          <w:iCs/>
          <w:sz w:val="24"/>
        </w:rPr>
        <w:t xml:space="preserve">, </w:t>
      </w:r>
      <w:proofErr w:type="spellStart"/>
      <w:r w:rsidRPr="009B5E0F">
        <w:rPr>
          <w:rFonts w:asciiTheme="minorHAnsi" w:hAnsiTheme="minorHAnsi"/>
          <w:i/>
          <w:iCs/>
          <w:sz w:val="24"/>
        </w:rPr>
        <w:t>ERelA</w:t>
      </w:r>
      <w:proofErr w:type="spellEnd"/>
      <w:r w:rsidRPr="009B5E0F">
        <w:rPr>
          <w:rFonts w:asciiTheme="minorHAnsi" w:hAnsiTheme="minorHAnsi"/>
          <w:i/>
          <w:iCs/>
          <w:sz w:val="24"/>
        </w:rPr>
        <w:t xml:space="preserve"> 1999</w:t>
      </w:r>
      <w:r w:rsidRPr="009B5E0F">
        <w:rPr>
          <w:rFonts w:asciiTheme="minorHAnsi" w:hAnsiTheme="minorHAnsi"/>
          <w:sz w:val="24"/>
        </w:rPr>
        <w:t xml:space="preserve">). The non-statutory </w:t>
      </w:r>
      <w:proofErr w:type="spellStart"/>
      <w:r w:rsidRPr="009B5E0F">
        <w:rPr>
          <w:rFonts w:asciiTheme="minorHAnsi" w:hAnsiTheme="minorHAnsi"/>
          <w:sz w:val="24"/>
        </w:rPr>
        <w:t>Acas</w:t>
      </w:r>
      <w:proofErr w:type="spellEnd"/>
      <w:r w:rsidRPr="009B5E0F">
        <w:rPr>
          <w:rFonts w:asciiTheme="minorHAnsi" w:hAnsiTheme="minorHAnsi"/>
          <w:sz w:val="24"/>
        </w:rPr>
        <w:t xml:space="preserve"> guide does say, however, that it is good practice to allow the companion to participate as fully as possible in the hearing, including asking witnesses questions (</w:t>
      </w:r>
      <w:r w:rsidRPr="009B5E0F">
        <w:rPr>
          <w:rFonts w:asciiTheme="minorHAnsi" w:hAnsiTheme="minorHAnsi"/>
          <w:i/>
          <w:iCs/>
          <w:sz w:val="24"/>
        </w:rPr>
        <w:t>page 26</w:t>
      </w:r>
      <w:r w:rsidRPr="009B5E0F">
        <w:rPr>
          <w:rFonts w:asciiTheme="minorHAnsi" w:hAnsiTheme="minorHAnsi"/>
          <w:sz w:val="24"/>
        </w:rPr>
        <w:t>).</w:t>
      </w:r>
    </w:p>
    <w:p w:rsidR="00F124F2" w:rsidRPr="009B5E0F" w:rsidRDefault="00F124F2" w:rsidP="00F124F2">
      <w:pPr>
        <w:spacing w:before="100" w:beforeAutospacing="1" w:after="100" w:afterAutospacing="1"/>
        <w:outlineLvl w:val="3"/>
        <w:rPr>
          <w:rFonts w:asciiTheme="minorHAnsi" w:hAnsiTheme="minorHAnsi"/>
          <w:b/>
          <w:bCs/>
          <w:sz w:val="24"/>
        </w:rPr>
      </w:pPr>
      <w:bookmarkStart w:id="47" w:name="a152357"/>
      <w:bookmarkEnd w:id="47"/>
      <w:r w:rsidRPr="009B5E0F">
        <w:rPr>
          <w:rFonts w:asciiTheme="minorHAnsi" w:hAnsiTheme="minorHAnsi"/>
          <w:b/>
          <w:bCs/>
          <w:sz w:val="24"/>
        </w:rPr>
        <w:t>Remedies for breach of the right to be accompanied</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A worker is entitled to bring a tribunal claim if their employer fails, or threatens to fail, to comply with their right to be accompanied (</w:t>
      </w:r>
      <w:hyperlink r:id="rId142" w:history="1">
        <w:r w:rsidRPr="009B5E0F">
          <w:rPr>
            <w:rFonts w:asciiTheme="minorHAnsi" w:hAnsiTheme="minorHAnsi"/>
            <w:i/>
            <w:iCs/>
            <w:color w:val="005A84"/>
            <w:sz w:val="24"/>
          </w:rPr>
          <w:t>section 11(1)</w:t>
        </w:r>
      </w:hyperlink>
      <w:r w:rsidRPr="009B5E0F">
        <w:rPr>
          <w:rFonts w:asciiTheme="minorHAnsi" w:hAnsiTheme="minorHAnsi"/>
          <w:i/>
          <w:iCs/>
          <w:sz w:val="24"/>
        </w:rPr>
        <w:t xml:space="preserve">, </w:t>
      </w:r>
      <w:proofErr w:type="spellStart"/>
      <w:r w:rsidRPr="009B5E0F">
        <w:rPr>
          <w:rFonts w:asciiTheme="minorHAnsi" w:hAnsiTheme="minorHAnsi"/>
          <w:i/>
          <w:iCs/>
          <w:sz w:val="24"/>
        </w:rPr>
        <w:t>ERelA</w:t>
      </w:r>
      <w:proofErr w:type="spellEnd"/>
      <w:r w:rsidRPr="009B5E0F">
        <w:rPr>
          <w:rFonts w:asciiTheme="minorHAnsi" w:hAnsiTheme="minorHAnsi"/>
          <w:i/>
          <w:iCs/>
          <w:sz w:val="24"/>
        </w:rPr>
        <w:t xml:space="preserve"> 1999</w:t>
      </w:r>
      <w:r w:rsidRPr="009B5E0F">
        <w:rPr>
          <w:rFonts w:asciiTheme="minorHAnsi" w:hAnsiTheme="minorHAnsi"/>
          <w:sz w:val="24"/>
        </w:rPr>
        <w:t>).</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A claim must be presented within three months of the date of the failure or threat, subject to any extension following participation in </w:t>
      </w:r>
      <w:proofErr w:type="spellStart"/>
      <w:r w:rsidRPr="009B5E0F">
        <w:rPr>
          <w:rFonts w:asciiTheme="minorHAnsi" w:hAnsiTheme="minorHAnsi"/>
          <w:sz w:val="24"/>
        </w:rPr>
        <w:t>Acas</w:t>
      </w:r>
      <w:proofErr w:type="spellEnd"/>
      <w:r w:rsidRPr="009B5E0F">
        <w:rPr>
          <w:rFonts w:asciiTheme="minorHAnsi" w:hAnsiTheme="minorHAnsi"/>
          <w:sz w:val="24"/>
        </w:rPr>
        <w:t xml:space="preserve"> early </w:t>
      </w:r>
      <w:proofErr w:type="spellStart"/>
      <w:r w:rsidRPr="009B5E0F">
        <w:rPr>
          <w:rFonts w:asciiTheme="minorHAnsi" w:hAnsiTheme="minorHAnsi"/>
          <w:sz w:val="24"/>
        </w:rPr>
        <w:t>conciliation</w:t>
      </w:r>
      <w:r w:rsidR="008906AD" w:rsidRPr="009B5E0F">
        <w:rPr>
          <w:rFonts w:asciiTheme="minorHAnsi" w:hAnsiTheme="minorHAnsi"/>
          <w:sz w:val="24"/>
        </w:rPr>
        <w:t>.</w:t>
      </w:r>
      <w:r w:rsidRPr="009B5E0F">
        <w:rPr>
          <w:rFonts w:asciiTheme="minorHAnsi" w:hAnsiTheme="minorHAnsi"/>
          <w:sz w:val="24"/>
        </w:rPr>
        <w:t>Otherwise</w:t>
      </w:r>
      <w:proofErr w:type="spellEnd"/>
      <w:r w:rsidRPr="009B5E0F">
        <w:rPr>
          <w:rFonts w:asciiTheme="minorHAnsi" w:hAnsiTheme="minorHAnsi"/>
          <w:sz w:val="24"/>
        </w:rPr>
        <w:t>, the tribunal may extend time if it is satisfied that it was not reasonably practicable for the claim to have been presented within the limitation period (</w:t>
      </w:r>
      <w:r w:rsidRPr="009B5E0F">
        <w:rPr>
          <w:rFonts w:asciiTheme="minorHAnsi" w:hAnsiTheme="minorHAnsi"/>
          <w:i/>
          <w:iCs/>
          <w:sz w:val="24"/>
        </w:rPr>
        <w:t xml:space="preserve">section 11(2), </w:t>
      </w:r>
      <w:proofErr w:type="spellStart"/>
      <w:r w:rsidRPr="009B5E0F">
        <w:rPr>
          <w:rFonts w:asciiTheme="minorHAnsi" w:hAnsiTheme="minorHAnsi"/>
          <w:i/>
          <w:iCs/>
          <w:sz w:val="24"/>
        </w:rPr>
        <w:t>ERelA</w:t>
      </w:r>
      <w:proofErr w:type="spellEnd"/>
      <w:r w:rsidRPr="009B5E0F">
        <w:rPr>
          <w:rFonts w:asciiTheme="minorHAnsi" w:hAnsiTheme="minorHAnsi"/>
          <w:i/>
          <w:iCs/>
          <w:sz w:val="24"/>
        </w:rPr>
        <w:t xml:space="preserve"> 1999</w:t>
      </w:r>
      <w:r w:rsidRPr="009B5E0F">
        <w:rPr>
          <w:rFonts w:asciiTheme="minorHAnsi" w:hAnsiTheme="minorHAnsi"/>
          <w:sz w:val="24"/>
        </w:rPr>
        <w:t>).</w:t>
      </w:r>
    </w:p>
    <w:p w:rsidR="008906AD"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Where a tribunal upholds a claim it must order the employer to pay compensation to the worker of up to two weeks' pay (</w:t>
      </w:r>
      <w:r w:rsidRPr="009B5E0F">
        <w:rPr>
          <w:rFonts w:asciiTheme="minorHAnsi" w:hAnsiTheme="minorHAnsi"/>
          <w:i/>
          <w:iCs/>
          <w:sz w:val="24"/>
        </w:rPr>
        <w:t xml:space="preserve">section 11(3), </w:t>
      </w:r>
      <w:proofErr w:type="spellStart"/>
      <w:r w:rsidRPr="009B5E0F">
        <w:rPr>
          <w:rFonts w:asciiTheme="minorHAnsi" w:hAnsiTheme="minorHAnsi"/>
          <w:i/>
          <w:iCs/>
          <w:sz w:val="24"/>
        </w:rPr>
        <w:t>ERelA</w:t>
      </w:r>
      <w:proofErr w:type="spellEnd"/>
      <w:r w:rsidRPr="009B5E0F">
        <w:rPr>
          <w:rFonts w:asciiTheme="minorHAnsi" w:hAnsiTheme="minorHAnsi"/>
          <w:i/>
          <w:iCs/>
          <w:sz w:val="24"/>
        </w:rPr>
        <w:t xml:space="preserve"> 1999</w:t>
      </w:r>
      <w:r w:rsidRPr="009B5E0F">
        <w:rPr>
          <w:rFonts w:asciiTheme="minorHAnsi" w:hAnsiTheme="minorHAnsi"/>
          <w:sz w:val="24"/>
        </w:rPr>
        <w:t>). The statutory maximum on a week's pay applies (</w:t>
      </w:r>
      <w:r w:rsidRPr="009B5E0F">
        <w:rPr>
          <w:rFonts w:asciiTheme="minorHAnsi" w:hAnsiTheme="minorHAnsi"/>
          <w:i/>
          <w:iCs/>
          <w:sz w:val="24"/>
        </w:rPr>
        <w:t xml:space="preserve">section 11(5), </w:t>
      </w:r>
      <w:proofErr w:type="spellStart"/>
      <w:r w:rsidRPr="009B5E0F">
        <w:rPr>
          <w:rFonts w:asciiTheme="minorHAnsi" w:hAnsiTheme="minorHAnsi"/>
          <w:i/>
          <w:iCs/>
          <w:sz w:val="24"/>
        </w:rPr>
        <w:t>ERelA</w:t>
      </w:r>
      <w:proofErr w:type="spellEnd"/>
      <w:r w:rsidRPr="009B5E0F">
        <w:rPr>
          <w:rFonts w:asciiTheme="minorHAnsi" w:hAnsiTheme="minorHAnsi"/>
          <w:i/>
          <w:iCs/>
          <w:sz w:val="24"/>
        </w:rPr>
        <w:t xml:space="preserve"> 1999</w:t>
      </w:r>
      <w:r w:rsidRPr="009B5E0F">
        <w:rPr>
          <w:rFonts w:asciiTheme="minorHAnsi" w:hAnsiTheme="minorHAnsi"/>
          <w:sz w:val="24"/>
        </w:rPr>
        <w:t xml:space="preserve">), for further information see </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In </w:t>
      </w:r>
      <w:proofErr w:type="spellStart"/>
      <w:r w:rsidRPr="009B5E0F">
        <w:rPr>
          <w:rFonts w:asciiTheme="minorHAnsi" w:hAnsiTheme="minorHAnsi"/>
          <w:i/>
          <w:iCs/>
          <w:sz w:val="24"/>
        </w:rPr>
        <w:t>Toal</w:t>
      </w:r>
      <w:proofErr w:type="spellEnd"/>
      <w:r w:rsidRPr="009B5E0F">
        <w:rPr>
          <w:rFonts w:asciiTheme="minorHAnsi" w:hAnsiTheme="minorHAnsi"/>
          <w:sz w:val="24"/>
        </w:rPr>
        <w:t xml:space="preserve">, the EAT suggested that the employee's remedy for breach of the right to choose their companion in cases where they have suffered no loss or detriment should be limited to an award of nominal compensation only. However, given that the </w:t>
      </w:r>
      <w:proofErr w:type="spellStart"/>
      <w:r w:rsidRPr="009B5E0F">
        <w:rPr>
          <w:rFonts w:asciiTheme="minorHAnsi" w:hAnsiTheme="minorHAnsi"/>
          <w:sz w:val="24"/>
        </w:rPr>
        <w:t>Acas</w:t>
      </w:r>
      <w:proofErr w:type="spellEnd"/>
      <w:r w:rsidRPr="009B5E0F">
        <w:rPr>
          <w:rFonts w:asciiTheme="minorHAnsi" w:hAnsiTheme="minorHAnsi"/>
          <w:sz w:val="24"/>
        </w:rPr>
        <w:t xml:space="preserve"> Code reflects the EAT's decision in </w:t>
      </w:r>
      <w:proofErr w:type="spellStart"/>
      <w:r w:rsidRPr="009B5E0F">
        <w:rPr>
          <w:rFonts w:asciiTheme="minorHAnsi" w:hAnsiTheme="minorHAnsi"/>
          <w:i/>
          <w:iCs/>
          <w:sz w:val="24"/>
        </w:rPr>
        <w:t>Toal</w:t>
      </w:r>
      <w:proofErr w:type="spellEnd"/>
      <w:r w:rsidRPr="009B5E0F">
        <w:rPr>
          <w:rFonts w:asciiTheme="minorHAnsi" w:hAnsiTheme="minorHAnsi"/>
          <w:sz w:val="24"/>
        </w:rPr>
        <w:t>, the tribunal could potentially increase the compensation awarded to the employee by up to 25% if it considers the employer has unreasonably failed to follow that part of the Code (</w:t>
      </w:r>
      <w:hyperlink r:id="rId143" w:history="1">
        <w:r w:rsidRPr="009B5E0F">
          <w:rPr>
            <w:rFonts w:asciiTheme="minorHAnsi" w:hAnsiTheme="minorHAnsi"/>
            <w:i/>
            <w:iCs/>
            <w:color w:val="005A84"/>
            <w:sz w:val="24"/>
          </w:rPr>
          <w:t>Section 207A, Trade Union and Labour Relations (Consolidation) Act 1992</w:t>
        </w:r>
      </w:hyperlink>
      <w:r w:rsidRPr="009B5E0F">
        <w:rPr>
          <w:rFonts w:asciiTheme="minorHAnsi" w:hAnsiTheme="minorHAnsi"/>
          <w:sz w:val="24"/>
        </w:rPr>
        <w:t>).</w:t>
      </w:r>
    </w:p>
    <w:p w:rsidR="00F124F2" w:rsidRPr="009B5E0F" w:rsidRDefault="00F124F2" w:rsidP="00F124F2">
      <w:pPr>
        <w:spacing w:before="100" w:beforeAutospacing="1" w:after="100" w:afterAutospacing="1"/>
        <w:outlineLvl w:val="2"/>
        <w:rPr>
          <w:rFonts w:asciiTheme="minorHAnsi" w:hAnsiTheme="minorHAnsi"/>
          <w:b/>
          <w:bCs/>
          <w:sz w:val="24"/>
        </w:rPr>
      </w:pPr>
      <w:bookmarkStart w:id="48" w:name="a843340"/>
      <w:bookmarkEnd w:id="48"/>
      <w:r w:rsidRPr="009B5E0F">
        <w:rPr>
          <w:rFonts w:asciiTheme="minorHAnsi" w:hAnsiTheme="minorHAnsi"/>
          <w:b/>
          <w:bCs/>
          <w:sz w:val="24"/>
        </w:rPr>
        <w:lastRenderedPageBreak/>
        <w:t>Legal representation</w:t>
      </w:r>
    </w:p>
    <w:p w:rsidR="00F124F2" w:rsidRPr="009B5E0F" w:rsidRDefault="00F124F2" w:rsidP="00F124F2">
      <w:pPr>
        <w:spacing w:before="100" w:beforeAutospacing="1" w:after="100" w:afterAutospacing="1"/>
        <w:rPr>
          <w:rFonts w:asciiTheme="minorHAnsi" w:hAnsiTheme="minorHAnsi"/>
          <w:sz w:val="24"/>
        </w:rPr>
      </w:pPr>
      <w:bookmarkStart w:id="49" w:name="a703432"/>
      <w:bookmarkEnd w:id="49"/>
      <w:r w:rsidRPr="009B5E0F">
        <w:rPr>
          <w:rFonts w:asciiTheme="minorHAnsi" w:hAnsiTheme="minorHAnsi"/>
          <w:sz w:val="24"/>
        </w:rPr>
        <w:t xml:space="preserve">There is no general right under UK law for an employee to have a qualified legal representative at a disciplinary hearing; only a colleague or union representative (see </w:t>
      </w:r>
      <w:hyperlink r:id="rId144" w:anchor="a1027105" w:history="1">
        <w:r w:rsidRPr="009B5E0F">
          <w:rPr>
            <w:rFonts w:asciiTheme="minorHAnsi" w:hAnsiTheme="minorHAnsi"/>
            <w:i/>
            <w:iCs/>
            <w:color w:val="005A84"/>
            <w:sz w:val="24"/>
          </w:rPr>
          <w:t>Right to be accompanied</w:t>
        </w:r>
      </w:hyperlink>
      <w:r w:rsidRPr="009B5E0F">
        <w:rPr>
          <w:rFonts w:asciiTheme="minorHAnsi" w:hAnsiTheme="minorHAnsi"/>
          <w:sz w:val="24"/>
        </w:rPr>
        <w:t>). However:</w:t>
      </w:r>
    </w:p>
    <w:p w:rsidR="008906AD" w:rsidRPr="009B5E0F" w:rsidRDefault="00F124F2" w:rsidP="00F124F2">
      <w:pPr>
        <w:numPr>
          <w:ilvl w:val="0"/>
          <w:numId w:val="13"/>
        </w:numPr>
        <w:spacing w:before="100" w:beforeAutospacing="1" w:after="100" w:afterAutospacing="1"/>
        <w:ind w:left="0"/>
        <w:rPr>
          <w:rFonts w:asciiTheme="minorHAnsi" w:hAnsiTheme="minorHAnsi"/>
          <w:sz w:val="24"/>
        </w:rPr>
      </w:pPr>
      <w:r w:rsidRPr="009B5E0F">
        <w:rPr>
          <w:rFonts w:asciiTheme="minorHAnsi" w:hAnsiTheme="minorHAnsi"/>
          <w:sz w:val="24"/>
        </w:rPr>
        <w:t xml:space="preserve">Some employees (for example, NHS hospital doctors) may have a right under their contracts of employment (see </w:t>
      </w:r>
      <w:hyperlink r:id="rId145" w:history="1">
        <w:r w:rsidRPr="009B5E0F">
          <w:rPr>
            <w:rFonts w:asciiTheme="minorHAnsi" w:hAnsiTheme="minorHAnsi"/>
            <w:i/>
            <w:iCs/>
            <w:color w:val="005A84"/>
            <w:sz w:val="24"/>
          </w:rPr>
          <w:t>Kulkarni v Milton Keynes Hospital Foundation NHS Trust [2009] IRLR 829 (CA)</w:t>
        </w:r>
      </w:hyperlink>
      <w:r w:rsidRPr="009B5E0F">
        <w:rPr>
          <w:rFonts w:asciiTheme="minorHAnsi" w:hAnsiTheme="minorHAnsi"/>
          <w:sz w:val="24"/>
        </w:rPr>
        <w:t xml:space="preserve">; </w:t>
      </w:r>
    </w:p>
    <w:p w:rsidR="00F124F2" w:rsidRPr="009B5E0F" w:rsidRDefault="00F124F2" w:rsidP="00F124F2">
      <w:pPr>
        <w:numPr>
          <w:ilvl w:val="0"/>
          <w:numId w:val="13"/>
        </w:numPr>
        <w:spacing w:before="100" w:beforeAutospacing="1" w:after="100" w:afterAutospacing="1"/>
        <w:ind w:left="0"/>
        <w:rPr>
          <w:rFonts w:asciiTheme="minorHAnsi" w:hAnsiTheme="minorHAnsi"/>
          <w:sz w:val="24"/>
        </w:rPr>
      </w:pPr>
      <w:r w:rsidRPr="009B5E0F">
        <w:rPr>
          <w:rFonts w:asciiTheme="minorHAnsi" w:hAnsiTheme="minorHAnsi"/>
          <w:sz w:val="24"/>
        </w:rPr>
        <w:t xml:space="preserve">If the employee is disabled it </w:t>
      </w:r>
      <w:r w:rsidRPr="009B5E0F">
        <w:rPr>
          <w:rFonts w:asciiTheme="minorHAnsi" w:hAnsiTheme="minorHAnsi"/>
          <w:b/>
          <w:bCs/>
          <w:sz w:val="24"/>
        </w:rPr>
        <w:t>may</w:t>
      </w:r>
      <w:r w:rsidRPr="009B5E0F">
        <w:rPr>
          <w:rFonts w:asciiTheme="minorHAnsi" w:hAnsiTheme="minorHAnsi"/>
          <w:sz w:val="24"/>
        </w:rPr>
        <w:t xml:space="preserve"> be a reasonable adjustment to allow them to be accompanied by someone other than a colleague or union representative (see, for example, </w:t>
      </w:r>
      <w:hyperlink r:id="rId146" w:history="1">
        <w:r w:rsidRPr="009B5E0F">
          <w:rPr>
            <w:rFonts w:asciiTheme="minorHAnsi" w:hAnsiTheme="minorHAnsi"/>
            <w:i/>
            <w:iCs/>
            <w:color w:val="005A84"/>
            <w:sz w:val="24"/>
          </w:rPr>
          <w:t xml:space="preserve">Cave v Goodwin [2001] EWCA </w:t>
        </w:r>
        <w:proofErr w:type="spellStart"/>
        <w:r w:rsidRPr="009B5E0F">
          <w:rPr>
            <w:rFonts w:asciiTheme="minorHAnsi" w:hAnsiTheme="minorHAnsi"/>
            <w:i/>
            <w:iCs/>
            <w:color w:val="005A84"/>
            <w:sz w:val="24"/>
          </w:rPr>
          <w:t>Civ</w:t>
        </w:r>
        <w:proofErr w:type="spellEnd"/>
        <w:r w:rsidRPr="009B5E0F">
          <w:rPr>
            <w:rFonts w:asciiTheme="minorHAnsi" w:hAnsiTheme="minorHAnsi"/>
            <w:i/>
            <w:iCs/>
            <w:color w:val="005A84"/>
            <w:sz w:val="24"/>
          </w:rPr>
          <w:t xml:space="preserve"> 391</w:t>
        </w:r>
      </w:hyperlink>
      <w:r w:rsidRPr="009B5E0F">
        <w:rPr>
          <w:rFonts w:asciiTheme="minorHAnsi" w:hAnsiTheme="minorHAnsi"/>
          <w:sz w:val="24"/>
        </w:rPr>
        <w:t xml:space="preserve"> and </w:t>
      </w:r>
      <w:hyperlink r:id="rId147" w:history="1">
        <w:r w:rsidRPr="009B5E0F">
          <w:rPr>
            <w:rFonts w:asciiTheme="minorHAnsi" w:hAnsiTheme="minorHAnsi"/>
            <w:i/>
            <w:iCs/>
            <w:color w:val="005A84"/>
            <w:sz w:val="24"/>
          </w:rPr>
          <w:t xml:space="preserve">Yorkshire Housing Ltd v </w:t>
        </w:r>
        <w:proofErr w:type="spellStart"/>
        <w:r w:rsidRPr="009B5E0F">
          <w:rPr>
            <w:rFonts w:asciiTheme="minorHAnsi" w:hAnsiTheme="minorHAnsi"/>
            <w:i/>
            <w:iCs/>
            <w:color w:val="005A84"/>
            <w:sz w:val="24"/>
          </w:rPr>
          <w:t>Cuerden</w:t>
        </w:r>
        <w:proofErr w:type="spellEnd"/>
        <w:r w:rsidRPr="009B5E0F">
          <w:rPr>
            <w:rFonts w:asciiTheme="minorHAnsi" w:hAnsiTheme="minorHAnsi"/>
            <w:i/>
            <w:iCs/>
            <w:color w:val="005A84"/>
            <w:sz w:val="24"/>
          </w:rPr>
          <w:t xml:space="preserve"> UKEAT/0397/09.</w:t>
        </w:r>
      </w:hyperlink>
      <w:r w:rsidRPr="009B5E0F">
        <w:rPr>
          <w:rFonts w:asciiTheme="minorHAnsi" w:hAnsiTheme="minorHAnsi"/>
          <w:sz w:val="24"/>
        </w:rPr>
        <w:t>) In theory this could include a lawyer.</w:t>
      </w:r>
    </w:p>
    <w:p w:rsidR="00F124F2" w:rsidRPr="009B5E0F" w:rsidRDefault="00F124F2" w:rsidP="00F124F2">
      <w:pPr>
        <w:numPr>
          <w:ilvl w:val="0"/>
          <w:numId w:val="13"/>
        </w:numPr>
        <w:spacing w:before="100" w:beforeAutospacing="1" w:after="100" w:afterAutospacing="1"/>
        <w:ind w:left="0"/>
        <w:rPr>
          <w:rFonts w:asciiTheme="minorHAnsi" w:hAnsiTheme="minorHAnsi"/>
          <w:sz w:val="24"/>
        </w:rPr>
      </w:pPr>
      <w:r w:rsidRPr="009B5E0F">
        <w:rPr>
          <w:rFonts w:asciiTheme="minorHAnsi" w:hAnsiTheme="minorHAnsi"/>
          <w:sz w:val="24"/>
        </w:rPr>
        <w:t xml:space="preserve">Employees may be able to establish a right to legal representation as a result of the </w:t>
      </w:r>
      <w:hyperlink r:id="rId148" w:history="1">
        <w:r w:rsidRPr="009B5E0F">
          <w:rPr>
            <w:rFonts w:asciiTheme="minorHAnsi" w:hAnsiTheme="minorHAnsi"/>
            <w:i/>
            <w:iCs/>
            <w:color w:val="005A84"/>
            <w:sz w:val="24"/>
          </w:rPr>
          <w:t>Human Rights Act 1998</w:t>
        </w:r>
      </w:hyperlink>
      <w:r w:rsidRPr="009B5E0F">
        <w:rPr>
          <w:rFonts w:asciiTheme="minorHAnsi" w:hAnsiTheme="minorHAnsi"/>
          <w:sz w:val="24"/>
        </w:rPr>
        <w:t xml:space="preserve"> (HRA) which enshrines Article 6 of the European Convention on Human Rights (the right to a fair trial) into UK law. This would in practice only apply where the outcome of the disciplinary proceedings would have a "substantial influence" on a decision of a regulatory body (or similar) that has the power to bar someone from their profession. No such case has yet been successful (see </w:t>
      </w:r>
      <w:hyperlink r:id="rId149" w:anchor="a259055" w:history="1">
        <w:r w:rsidRPr="009B5E0F">
          <w:rPr>
            <w:rFonts w:asciiTheme="minorHAnsi" w:hAnsiTheme="minorHAnsi"/>
            <w:i/>
            <w:iCs/>
            <w:color w:val="005A84"/>
            <w:sz w:val="24"/>
          </w:rPr>
          <w:t>box, Human Rights Act 1998: right to a fair hearing</w:t>
        </w:r>
      </w:hyperlink>
      <w:r w:rsidRPr="009B5E0F">
        <w:rPr>
          <w:rFonts w:asciiTheme="minorHAnsi" w:hAnsiTheme="minorHAnsi"/>
          <w:sz w:val="24"/>
        </w:rPr>
        <w:t xml:space="preserve">). </w:t>
      </w:r>
    </w:p>
    <w:p w:rsidR="00F124F2" w:rsidRPr="009B5E0F" w:rsidRDefault="00F124F2" w:rsidP="00F124F2">
      <w:pPr>
        <w:rPr>
          <w:rFonts w:asciiTheme="minorHAnsi" w:hAnsiTheme="minorHAnsi"/>
          <w:sz w:val="24"/>
        </w:rPr>
      </w:pPr>
      <w:r w:rsidRPr="009B5E0F">
        <w:rPr>
          <w:rFonts w:asciiTheme="minorHAnsi" w:hAnsiTheme="minorHAnsi"/>
          <w:sz w:val="24"/>
        </w:rPr>
        <w:t xml:space="preserve">  </w:t>
      </w:r>
    </w:p>
    <w:p w:rsidR="00F124F2" w:rsidRPr="009B5E0F" w:rsidRDefault="00C929EC" w:rsidP="00F124F2">
      <w:pPr>
        <w:rPr>
          <w:rFonts w:asciiTheme="minorHAnsi" w:hAnsiTheme="minorHAnsi"/>
          <w:vanish/>
          <w:sz w:val="24"/>
        </w:rPr>
      </w:pPr>
      <w:hyperlink r:id="rId150" w:anchor="top" w:tooltip="Link to the top of the document" w:history="1">
        <w:r w:rsidR="00F124F2" w:rsidRPr="009B5E0F">
          <w:rPr>
            <w:rFonts w:asciiTheme="minorHAnsi" w:hAnsiTheme="minorHAnsi"/>
            <w:vanish/>
            <w:color w:val="005A84"/>
            <w:sz w:val="24"/>
          </w:rPr>
          <w:t>Top</w:t>
        </w:r>
      </w:hyperlink>
    </w:p>
    <w:p w:rsidR="00F124F2" w:rsidRPr="009B5E0F" w:rsidRDefault="00F124F2" w:rsidP="00F124F2">
      <w:pPr>
        <w:pBdr>
          <w:bottom w:val="dotted" w:sz="6" w:space="7" w:color="BABABA"/>
        </w:pBdr>
        <w:spacing w:before="100" w:beforeAutospacing="1" w:after="135"/>
        <w:outlineLvl w:val="1"/>
        <w:rPr>
          <w:rFonts w:asciiTheme="minorHAnsi" w:hAnsiTheme="minorHAnsi"/>
          <w:b/>
          <w:bCs/>
          <w:sz w:val="24"/>
        </w:rPr>
      </w:pPr>
      <w:bookmarkStart w:id="50" w:name="a887621"/>
      <w:bookmarkEnd w:id="50"/>
      <w:r w:rsidRPr="009B5E0F">
        <w:rPr>
          <w:rFonts w:asciiTheme="minorHAnsi" w:hAnsiTheme="minorHAnsi"/>
          <w:b/>
          <w:bCs/>
          <w:sz w:val="24"/>
        </w:rPr>
        <w:t>Matters involving the police and criminal proceedings</w:t>
      </w:r>
    </w:p>
    <w:p w:rsidR="008906AD"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A police investigation, criminal charge or conviction related to off-duty conduct is not necessarily a reason for disciplinary action in itself, if the matter has no bearing on the employee's suitability for the job or their relationship with their colleagues, the employer or its customers (see </w:t>
      </w:r>
      <w:r w:rsidRPr="009B5E0F">
        <w:rPr>
          <w:rFonts w:asciiTheme="minorHAnsi" w:hAnsiTheme="minorHAnsi"/>
          <w:i/>
          <w:iCs/>
          <w:sz w:val="24"/>
        </w:rPr>
        <w:t xml:space="preserve">paragraph 30, </w:t>
      </w:r>
      <w:proofErr w:type="spellStart"/>
      <w:r w:rsidRPr="009B5E0F">
        <w:rPr>
          <w:rFonts w:asciiTheme="minorHAnsi" w:hAnsiTheme="minorHAnsi"/>
          <w:i/>
          <w:iCs/>
          <w:sz w:val="24"/>
        </w:rPr>
        <w:t>Acas</w:t>
      </w:r>
      <w:proofErr w:type="spellEnd"/>
      <w:r w:rsidRPr="009B5E0F">
        <w:rPr>
          <w:rFonts w:asciiTheme="minorHAnsi" w:hAnsiTheme="minorHAnsi"/>
          <w:i/>
          <w:iCs/>
          <w:sz w:val="24"/>
        </w:rPr>
        <w:t xml:space="preserve"> Code; pages 35-36 non-statutory </w:t>
      </w:r>
      <w:proofErr w:type="spellStart"/>
      <w:r w:rsidRPr="009B5E0F">
        <w:rPr>
          <w:rFonts w:asciiTheme="minorHAnsi" w:hAnsiTheme="minorHAnsi"/>
          <w:i/>
          <w:iCs/>
          <w:sz w:val="24"/>
        </w:rPr>
        <w:t>Acas</w:t>
      </w:r>
      <w:proofErr w:type="spellEnd"/>
      <w:r w:rsidRPr="009B5E0F">
        <w:rPr>
          <w:rFonts w:asciiTheme="minorHAnsi" w:hAnsiTheme="minorHAnsi"/>
          <w:i/>
          <w:iCs/>
          <w:sz w:val="24"/>
        </w:rPr>
        <w:t xml:space="preserve"> guide</w:t>
      </w:r>
      <w:r w:rsidRPr="009B5E0F">
        <w:rPr>
          <w:rFonts w:asciiTheme="minorHAnsi" w:hAnsiTheme="minorHAnsi"/>
          <w:sz w:val="24"/>
        </w:rPr>
        <w:t xml:space="preserve">). </w:t>
      </w:r>
    </w:p>
    <w:p w:rsidR="00F124F2" w:rsidRPr="009B5E0F" w:rsidRDefault="00F124F2" w:rsidP="00F124F2">
      <w:pPr>
        <w:spacing w:before="100" w:beforeAutospacing="1" w:after="100" w:afterAutospacing="1"/>
        <w:outlineLvl w:val="2"/>
        <w:rPr>
          <w:rFonts w:asciiTheme="minorHAnsi" w:hAnsiTheme="minorHAnsi"/>
          <w:b/>
          <w:bCs/>
          <w:sz w:val="24"/>
        </w:rPr>
      </w:pPr>
      <w:bookmarkStart w:id="51" w:name="a368891"/>
      <w:bookmarkEnd w:id="51"/>
      <w:r w:rsidRPr="009B5E0F">
        <w:rPr>
          <w:rFonts w:asciiTheme="minorHAnsi" w:hAnsiTheme="minorHAnsi"/>
          <w:b/>
          <w:bCs/>
          <w:sz w:val="24"/>
        </w:rPr>
        <w:t>Should disciplinary action be put on hold pending the outcome of criminal proceedings?</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Where the matter has a bearing on employment (particularly where it relates to conduct at work), the employer may wish to question the employee as part of an investigation or disciplinary hearing. The employee may refuse to respond to questions, often on legal advice, on the basis that questions could prejudice a pending trial or interview. The employer should permit the employee to have an opportunity to make any statement he may wish to volunteer and this should ideally be when he has had time to consider his position. What an employer should not do is interrogate the employee or seek to pressurise the employee into making any admissions of guilt. </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Employers will not usually wish to wait for the outcome of criminal proceedings before conducting the disciplinary hearing, particularly when the employee has been suspended on full pay, as this will usually take several months. Furthermore, the </w:t>
      </w:r>
      <w:proofErr w:type="spellStart"/>
      <w:r w:rsidRPr="009B5E0F">
        <w:rPr>
          <w:rFonts w:asciiTheme="minorHAnsi" w:hAnsiTheme="minorHAnsi"/>
          <w:sz w:val="24"/>
        </w:rPr>
        <w:lastRenderedPageBreak/>
        <w:t>Acas</w:t>
      </w:r>
      <w:proofErr w:type="spellEnd"/>
      <w:r w:rsidRPr="009B5E0F">
        <w:rPr>
          <w:rFonts w:asciiTheme="minorHAnsi" w:hAnsiTheme="minorHAnsi"/>
          <w:sz w:val="24"/>
        </w:rPr>
        <w:t xml:space="preserve"> Code requires the employer to hold any disciplinary hearing without unreasonable delay, which would suggest that it should not wait for the conclusion of court proceedings (</w:t>
      </w:r>
      <w:r w:rsidRPr="009B5E0F">
        <w:rPr>
          <w:rFonts w:asciiTheme="minorHAnsi" w:hAnsiTheme="minorHAnsi"/>
          <w:i/>
          <w:iCs/>
          <w:sz w:val="24"/>
        </w:rPr>
        <w:t xml:space="preserve">paragraph 11, </w:t>
      </w:r>
      <w:proofErr w:type="spellStart"/>
      <w:r w:rsidRPr="009B5E0F">
        <w:rPr>
          <w:rFonts w:asciiTheme="minorHAnsi" w:hAnsiTheme="minorHAnsi"/>
          <w:i/>
          <w:iCs/>
          <w:sz w:val="24"/>
        </w:rPr>
        <w:t>Acas</w:t>
      </w:r>
      <w:proofErr w:type="spellEnd"/>
      <w:r w:rsidRPr="009B5E0F">
        <w:rPr>
          <w:rFonts w:asciiTheme="minorHAnsi" w:hAnsiTheme="minorHAnsi"/>
          <w:i/>
          <w:iCs/>
          <w:sz w:val="24"/>
        </w:rPr>
        <w:t xml:space="preserve"> Code</w:t>
      </w:r>
      <w:r w:rsidRPr="009B5E0F">
        <w:rPr>
          <w:rFonts w:asciiTheme="minorHAnsi" w:hAnsiTheme="minorHAnsi"/>
          <w:sz w:val="24"/>
        </w:rPr>
        <w:t xml:space="preserve">). The non-statutory </w:t>
      </w:r>
      <w:proofErr w:type="spellStart"/>
      <w:r w:rsidRPr="009B5E0F">
        <w:rPr>
          <w:rFonts w:asciiTheme="minorHAnsi" w:hAnsiTheme="minorHAnsi"/>
          <w:sz w:val="24"/>
        </w:rPr>
        <w:t>Acas</w:t>
      </w:r>
      <w:proofErr w:type="spellEnd"/>
      <w:r w:rsidRPr="009B5E0F">
        <w:rPr>
          <w:rFonts w:asciiTheme="minorHAnsi" w:hAnsiTheme="minorHAnsi"/>
          <w:sz w:val="24"/>
        </w:rPr>
        <w:t xml:space="preserve"> guide states that "where the matter requires prompt attention the employer need not await the outcome of the prosecution before taking fair and reasonable action" (</w:t>
      </w:r>
      <w:r w:rsidRPr="009B5E0F">
        <w:rPr>
          <w:rFonts w:asciiTheme="minorHAnsi" w:hAnsiTheme="minorHAnsi"/>
          <w:i/>
          <w:iCs/>
          <w:sz w:val="24"/>
        </w:rPr>
        <w:t>page 36</w:t>
      </w:r>
      <w:r w:rsidRPr="009B5E0F">
        <w:rPr>
          <w:rFonts w:asciiTheme="minorHAnsi" w:hAnsiTheme="minorHAnsi"/>
          <w:sz w:val="24"/>
        </w:rPr>
        <w:t xml:space="preserve">). </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The EAT considered the previous authorities and gave guidance on the issue in </w:t>
      </w:r>
      <w:hyperlink r:id="rId151" w:history="1">
        <w:r w:rsidRPr="009B5E0F">
          <w:rPr>
            <w:rFonts w:asciiTheme="minorHAnsi" w:hAnsiTheme="minorHAnsi"/>
            <w:i/>
            <w:iCs/>
            <w:color w:val="005A84"/>
            <w:sz w:val="24"/>
          </w:rPr>
          <w:t>Ali v Sovereign Buses (London) Ltd UKEAT/0274/06</w:t>
        </w:r>
      </w:hyperlink>
      <w:r w:rsidRPr="009B5E0F">
        <w:rPr>
          <w:rFonts w:asciiTheme="minorHAnsi" w:hAnsiTheme="minorHAnsi"/>
          <w:i/>
          <w:iCs/>
          <w:sz w:val="24"/>
        </w:rPr>
        <w:t xml:space="preserve"> </w:t>
      </w:r>
      <w:r w:rsidRPr="009B5E0F">
        <w:rPr>
          <w:rFonts w:asciiTheme="minorHAnsi" w:hAnsiTheme="minorHAnsi"/>
          <w:sz w:val="24"/>
        </w:rPr>
        <w:t>and indicated that the following factors may be relevant when there are concurrent disciplinary and criminal charges:</w:t>
      </w:r>
    </w:p>
    <w:p w:rsidR="00F124F2" w:rsidRPr="009B5E0F" w:rsidRDefault="00F124F2" w:rsidP="00F124F2">
      <w:pPr>
        <w:numPr>
          <w:ilvl w:val="0"/>
          <w:numId w:val="14"/>
        </w:numPr>
        <w:spacing w:before="100" w:beforeAutospacing="1" w:after="100" w:afterAutospacing="1"/>
        <w:ind w:left="0"/>
        <w:rPr>
          <w:rFonts w:asciiTheme="minorHAnsi" w:hAnsiTheme="minorHAnsi"/>
          <w:sz w:val="24"/>
        </w:rPr>
      </w:pPr>
      <w:r w:rsidRPr="009B5E0F">
        <w:rPr>
          <w:rFonts w:asciiTheme="minorHAnsi" w:hAnsiTheme="minorHAnsi"/>
          <w:sz w:val="24"/>
        </w:rPr>
        <w:t xml:space="preserve">It might be impractical for an employer to wait, if a criminal case takes many months to come to court, before making a decision as to the future of the employee so far as their employment is concerned. </w:t>
      </w:r>
    </w:p>
    <w:p w:rsidR="00F124F2" w:rsidRPr="009B5E0F" w:rsidRDefault="00F124F2" w:rsidP="00F124F2">
      <w:pPr>
        <w:numPr>
          <w:ilvl w:val="0"/>
          <w:numId w:val="14"/>
        </w:numPr>
        <w:spacing w:before="100" w:beforeAutospacing="1" w:after="100" w:afterAutospacing="1"/>
        <w:ind w:left="0"/>
        <w:rPr>
          <w:rFonts w:asciiTheme="minorHAnsi" w:hAnsiTheme="minorHAnsi"/>
          <w:sz w:val="24"/>
        </w:rPr>
      </w:pPr>
      <w:r w:rsidRPr="009B5E0F">
        <w:rPr>
          <w:rFonts w:asciiTheme="minorHAnsi" w:hAnsiTheme="minorHAnsi"/>
          <w:sz w:val="24"/>
        </w:rPr>
        <w:t xml:space="preserve">The size of the employer's business, the nature of the business and the number of employees. Tribunals recognise that employers, particularly small employers, may be placed in a dilemma when criminal charges are brought against an employee in circumstances relating to his employment. </w:t>
      </w:r>
    </w:p>
    <w:p w:rsidR="00F124F2" w:rsidRPr="009B5E0F" w:rsidRDefault="00F124F2" w:rsidP="00F124F2">
      <w:pPr>
        <w:numPr>
          <w:ilvl w:val="0"/>
          <w:numId w:val="14"/>
        </w:numPr>
        <w:spacing w:before="100" w:beforeAutospacing="1" w:after="100" w:afterAutospacing="1"/>
        <w:ind w:left="0"/>
        <w:rPr>
          <w:rFonts w:asciiTheme="minorHAnsi" w:hAnsiTheme="minorHAnsi"/>
          <w:sz w:val="24"/>
        </w:rPr>
      </w:pPr>
      <w:r w:rsidRPr="009B5E0F">
        <w:rPr>
          <w:rFonts w:asciiTheme="minorHAnsi" w:hAnsiTheme="minorHAnsi"/>
          <w:sz w:val="24"/>
        </w:rPr>
        <w:t xml:space="preserve">Any provision made in the terms of the employee's employment, including the employer's disciplinary code. </w:t>
      </w:r>
    </w:p>
    <w:p w:rsidR="00F124F2" w:rsidRPr="009B5E0F" w:rsidRDefault="00F124F2" w:rsidP="00F124F2">
      <w:pPr>
        <w:numPr>
          <w:ilvl w:val="0"/>
          <w:numId w:val="14"/>
        </w:numPr>
        <w:spacing w:before="100" w:beforeAutospacing="1" w:after="100" w:afterAutospacing="1"/>
        <w:ind w:left="0"/>
        <w:rPr>
          <w:rFonts w:asciiTheme="minorHAnsi" w:hAnsiTheme="minorHAnsi"/>
          <w:sz w:val="24"/>
        </w:rPr>
      </w:pPr>
      <w:r w:rsidRPr="009B5E0F">
        <w:rPr>
          <w:rFonts w:asciiTheme="minorHAnsi" w:hAnsiTheme="minorHAnsi"/>
          <w:sz w:val="24"/>
        </w:rPr>
        <w:t xml:space="preserve">There is no rule that, once an employee has been charged with a criminal offence, an employer cannot dismiss him if the employee is advised to say nothing until the trial. </w:t>
      </w:r>
    </w:p>
    <w:p w:rsidR="00F124F2" w:rsidRPr="009B5E0F" w:rsidRDefault="00F124F2" w:rsidP="00F124F2">
      <w:pPr>
        <w:numPr>
          <w:ilvl w:val="0"/>
          <w:numId w:val="14"/>
        </w:numPr>
        <w:spacing w:before="100" w:beforeAutospacing="1" w:after="100" w:afterAutospacing="1"/>
        <w:ind w:left="0"/>
        <w:rPr>
          <w:rFonts w:asciiTheme="minorHAnsi" w:hAnsiTheme="minorHAnsi"/>
          <w:sz w:val="24"/>
        </w:rPr>
      </w:pPr>
      <w:r w:rsidRPr="009B5E0F">
        <w:rPr>
          <w:rFonts w:asciiTheme="minorHAnsi" w:hAnsiTheme="minorHAnsi"/>
          <w:sz w:val="24"/>
        </w:rPr>
        <w:t xml:space="preserve">An employer must offer the employee the opportunity to give an explanation and, if the employer is contemplating dismissal, this must be made clear to the employee. </w:t>
      </w:r>
    </w:p>
    <w:p w:rsidR="00F124F2" w:rsidRPr="009B5E0F" w:rsidRDefault="00F124F2" w:rsidP="00F124F2">
      <w:pPr>
        <w:numPr>
          <w:ilvl w:val="0"/>
          <w:numId w:val="14"/>
        </w:numPr>
        <w:spacing w:before="100" w:beforeAutospacing="1" w:after="100" w:afterAutospacing="1"/>
        <w:ind w:left="0"/>
        <w:rPr>
          <w:rFonts w:asciiTheme="minorHAnsi" w:hAnsiTheme="minorHAnsi"/>
          <w:sz w:val="24"/>
        </w:rPr>
      </w:pPr>
      <w:r w:rsidRPr="009B5E0F">
        <w:rPr>
          <w:rFonts w:asciiTheme="minorHAnsi" w:hAnsiTheme="minorHAnsi"/>
          <w:sz w:val="24"/>
        </w:rPr>
        <w:t xml:space="preserve">Where the employer only learns of a problem when the police </w:t>
      </w:r>
      <w:proofErr w:type="gramStart"/>
      <w:r w:rsidRPr="009B5E0F">
        <w:rPr>
          <w:rFonts w:asciiTheme="minorHAnsi" w:hAnsiTheme="minorHAnsi"/>
          <w:sz w:val="24"/>
        </w:rPr>
        <w:t>advise</w:t>
      </w:r>
      <w:proofErr w:type="gramEnd"/>
      <w:r w:rsidRPr="009B5E0F">
        <w:rPr>
          <w:rFonts w:asciiTheme="minorHAnsi" w:hAnsiTheme="minorHAnsi"/>
          <w:sz w:val="24"/>
        </w:rPr>
        <w:t xml:space="preserve"> that they are bringing charges against an employee, the employer should still undertake an investigation. The employee should be given the opportunity to state their position, even if they don't take that opportunity and the investigation and interview are fruitless. </w:t>
      </w:r>
    </w:p>
    <w:p w:rsidR="00F124F2" w:rsidRPr="009B5E0F" w:rsidRDefault="00F124F2" w:rsidP="00F124F2">
      <w:pPr>
        <w:numPr>
          <w:ilvl w:val="0"/>
          <w:numId w:val="14"/>
        </w:numPr>
        <w:spacing w:before="100" w:beforeAutospacing="1" w:after="100" w:afterAutospacing="1"/>
        <w:ind w:left="0"/>
        <w:rPr>
          <w:rFonts w:asciiTheme="minorHAnsi" w:hAnsiTheme="minorHAnsi"/>
          <w:sz w:val="24"/>
        </w:rPr>
      </w:pPr>
      <w:r w:rsidRPr="009B5E0F">
        <w:rPr>
          <w:rFonts w:asciiTheme="minorHAnsi" w:hAnsiTheme="minorHAnsi"/>
          <w:sz w:val="24"/>
        </w:rPr>
        <w:t xml:space="preserve">In extreme cases, the circumstances may be so blatant (for example, where an employee has been caught "red-handed", arrested and charged) and sufficiently brought to the attention of the employer without the need for further investigation. </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(However, in </w:t>
      </w:r>
      <w:hyperlink r:id="rId152" w:history="1">
        <w:r w:rsidRPr="009B5E0F">
          <w:rPr>
            <w:rFonts w:asciiTheme="minorHAnsi" w:hAnsiTheme="minorHAnsi"/>
            <w:i/>
            <w:iCs/>
            <w:color w:val="005A84"/>
            <w:sz w:val="24"/>
          </w:rPr>
          <w:t xml:space="preserve">Secretary of State for Justice </w:t>
        </w:r>
        <w:proofErr w:type="gramStart"/>
        <w:r w:rsidRPr="009B5E0F">
          <w:rPr>
            <w:rFonts w:asciiTheme="minorHAnsi" w:hAnsiTheme="minorHAnsi"/>
            <w:i/>
            <w:iCs/>
            <w:color w:val="005A84"/>
            <w:sz w:val="24"/>
          </w:rPr>
          <w:t>v</w:t>
        </w:r>
        <w:proofErr w:type="gramEnd"/>
        <w:r w:rsidRPr="009B5E0F">
          <w:rPr>
            <w:rFonts w:asciiTheme="minorHAnsi" w:hAnsiTheme="minorHAnsi"/>
            <w:i/>
            <w:iCs/>
            <w:color w:val="005A84"/>
            <w:sz w:val="24"/>
          </w:rPr>
          <w:t xml:space="preserve"> Mansfield UKEAT 0539/09/2403</w:t>
        </w:r>
      </w:hyperlink>
      <w:r w:rsidRPr="009B5E0F">
        <w:rPr>
          <w:rFonts w:asciiTheme="minorHAnsi" w:hAnsiTheme="minorHAnsi"/>
          <w:sz w:val="24"/>
        </w:rPr>
        <w:t xml:space="preserve"> the EAT held that it may be appropriate to adjourn a disciplinary investigation while the Police investigate and prosecute the employee for the same offence.</w:t>
      </w:r>
    </w:p>
    <w:p w:rsidR="00F124F2" w:rsidRPr="009B5E0F" w:rsidRDefault="00F124F2" w:rsidP="00F124F2">
      <w:pPr>
        <w:spacing w:before="100" w:beforeAutospacing="1" w:after="100" w:afterAutospacing="1"/>
        <w:outlineLvl w:val="2"/>
        <w:rPr>
          <w:rFonts w:asciiTheme="minorHAnsi" w:hAnsiTheme="minorHAnsi"/>
          <w:b/>
          <w:bCs/>
          <w:sz w:val="24"/>
        </w:rPr>
      </w:pPr>
      <w:bookmarkStart w:id="52" w:name="a1045454"/>
      <w:bookmarkEnd w:id="52"/>
      <w:r w:rsidRPr="009B5E0F">
        <w:rPr>
          <w:rFonts w:asciiTheme="minorHAnsi" w:hAnsiTheme="minorHAnsi"/>
          <w:b/>
          <w:bCs/>
          <w:sz w:val="24"/>
        </w:rPr>
        <w:t>Level of investigation into criminal allegations</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There is authority from the Court of Session in Scotland (although it has not been followed in England) suggesting that it would be improper for the employer to hold an internal inquiry where a future criminal trial might be prejudiced by any admission the employee may make, and that it would therefore not be unfair in such cases to dismiss without a hearing (</w:t>
      </w:r>
      <w:hyperlink r:id="rId153" w:history="1">
        <w:r w:rsidRPr="009B5E0F">
          <w:rPr>
            <w:rFonts w:asciiTheme="minorHAnsi" w:hAnsiTheme="minorHAnsi"/>
            <w:i/>
            <w:iCs/>
            <w:color w:val="005A84"/>
            <w:sz w:val="24"/>
          </w:rPr>
          <w:t>Carr v Alexander Russell Ltd [1976] IRLR 220</w:t>
        </w:r>
      </w:hyperlink>
      <w:r w:rsidRPr="009B5E0F">
        <w:rPr>
          <w:rFonts w:asciiTheme="minorHAnsi" w:hAnsiTheme="minorHAnsi"/>
          <w:sz w:val="24"/>
        </w:rPr>
        <w:t xml:space="preserve">). However, it would be wrong to rely on this case as setting down any general principle that employers can dismiss without a hearing where there is a pending criminal trial. In </w:t>
      </w:r>
      <w:hyperlink r:id="rId154" w:history="1">
        <w:r w:rsidRPr="009B5E0F">
          <w:rPr>
            <w:rFonts w:asciiTheme="minorHAnsi" w:hAnsiTheme="minorHAnsi"/>
            <w:i/>
            <w:iCs/>
            <w:color w:val="005A84"/>
            <w:sz w:val="24"/>
          </w:rPr>
          <w:t>Lovie Ltd v Anderson [1999] IRLR 164</w:t>
        </w:r>
      </w:hyperlink>
      <w:r w:rsidRPr="009B5E0F">
        <w:rPr>
          <w:rFonts w:asciiTheme="minorHAnsi" w:hAnsiTheme="minorHAnsi"/>
          <w:sz w:val="24"/>
        </w:rPr>
        <w:t xml:space="preserve"> the EAT held that it was insufficient for the employer to simply interview the employee as part of a </w:t>
      </w:r>
      <w:r w:rsidRPr="009B5E0F">
        <w:rPr>
          <w:rFonts w:asciiTheme="minorHAnsi" w:hAnsiTheme="minorHAnsi"/>
          <w:sz w:val="24"/>
        </w:rPr>
        <w:lastRenderedPageBreak/>
        <w:t>preliminary investigation and then dismiss him on the basis that he has been charged by the police. Once the charges had crystallised, it was necessary that he be given the opportunity to attend a disciplinary interview and reply to those allegations, before the employers decided whether or not to dismiss him. Therefore, only if the employee refuses to cooperate should the employer proceed to take a decision on the available evidence, having first warned the employee in writing that this is what they intend to do (</w:t>
      </w:r>
      <w:r w:rsidRPr="009B5E0F">
        <w:rPr>
          <w:rFonts w:asciiTheme="minorHAnsi" w:hAnsiTheme="minorHAnsi"/>
          <w:i/>
          <w:iCs/>
          <w:sz w:val="24"/>
        </w:rPr>
        <w:t xml:space="preserve">page 36, non-statutory </w:t>
      </w:r>
      <w:proofErr w:type="spellStart"/>
      <w:r w:rsidRPr="009B5E0F">
        <w:rPr>
          <w:rFonts w:asciiTheme="minorHAnsi" w:hAnsiTheme="minorHAnsi"/>
          <w:i/>
          <w:iCs/>
          <w:sz w:val="24"/>
        </w:rPr>
        <w:t>Acas</w:t>
      </w:r>
      <w:proofErr w:type="spellEnd"/>
      <w:r w:rsidRPr="009B5E0F">
        <w:rPr>
          <w:rFonts w:asciiTheme="minorHAnsi" w:hAnsiTheme="minorHAnsi"/>
          <w:i/>
          <w:iCs/>
          <w:sz w:val="24"/>
        </w:rPr>
        <w:t xml:space="preserve"> guide</w:t>
      </w:r>
      <w:r w:rsidRPr="009B5E0F">
        <w:rPr>
          <w:rFonts w:asciiTheme="minorHAnsi" w:hAnsiTheme="minorHAnsi"/>
          <w:sz w:val="24"/>
        </w:rPr>
        <w:t>).</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The test as to whether the employer has adequately investigated before dismissing an employee is the same whether or not the police are involved. The employer must have a reasonable belief in the employee's guilt, based on a reasonable investigation (</w:t>
      </w:r>
      <w:hyperlink r:id="rId155" w:history="1">
        <w:r w:rsidRPr="009B5E0F">
          <w:rPr>
            <w:rFonts w:asciiTheme="minorHAnsi" w:hAnsiTheme="minorHAnsi"/>
            <w:i/>
            <w:iCs/>
            <w:color w:val="005A84"/>
            <w:sz w:val="24"/>
          </w:rPr>
          <w:t xml:space="preserve">British Home Stores Ltd v </w:t>
        </w:r>
        <w:proofErr w:type="spellStart"/>
        <w:r w:rsidRPr="009B5E0F">
          <w:rPr>
            <w:rFonts w:asciiTheme="minorHAnsi" w:hAnsiTheme="minorHAnsi"/>
            <w:i/>
            <w:iCs/>
            <w:color w:val="005A84"/>
            <w:sz w:val="24"/>
          </w:rPr>
          <w:t>Burchell</w:t>
        </w:r>
        <w:proofErr w:type="spellEnd"/>
        <w:r w:rsidRPr="009B5E0F">
          <w:rPr>
            <w:rFonts w:asciiTheme="minorHAnsi" w:hAnsiTheme="minorHAnsi"/>
            <w:i/>
            <w:iCs/>
            <w:color w:val="005A84"/>
            <w:sz w:val="24"/>
          </w:rPr>
          <w:t xml:space="preserve"> [1978] IRLR 379</w:t>
        </w:r>
      </w:hyperlink>
      <w:r w:rsidRPr="009B5E0F">
        <w:rPr>
          <w:rFonts w:asciiTheme="minorHAnsi" w:hAnsiTheme="minorHAnsi"/>
          <w:sz w:val="24"/>
        </w:rPr>
        <w:t>), and the level of investigation carried out must have been within the "band of reasonable responses" (</w:t>
      </w:r>
      <w:hyperlink r:id="rId156" w:history="1">
        <w:r w:rsidRPr="009B5E0F">
          <w:rPr>
            <w:rFonts w:asciiTheme="minorHAnsi" w:hAnsiTheme="minorHAnsi"/>
            <w:i/>
            <w:iCs/>
            <w:color w:val="005A84"/>
            <w:sz w:val="24"/>
          </w:rPr>
          <w:t xml:space="preserve">Sainsbury's Supermarkets Ltd v </w:t>
        </w:r>
        <w:proofErr w:type="spellStart"/>
        <w:r w:rsidRPr="009B5E0F">
          <w:rPr>
            <w:rFonts w:asciiTheme="minorHAnsi" w:hAnsiTheme="minorHAnsi"/>
            <w:i/>
            <w:iCs/>
            <w:color w:val="005A84"/>
            <w:sz w:val="24"/>
          </w:rPr>
          <w:t>Hitt</w:t>
        </w:r>
        <w:proofErr w:type="spellEnd"/>
      </w:hyperlink>
      <w:r w:rsidRPr="009B5E0F">
        <w:rPr>
          <w:rFonts w:asciiTheme="minorHAnsi" w:hAnsiTheme="minorHAnsi"/>
          <w:sz w:val="24"/>
        </w:rPr>
        <w:t xml:space="preserve">; see </w:t>
      </w:r>
      <w:hyperlink r:id="rId157" w:anchor="a730805" w:history="1">
        <w:r w:rsidRPr="009B5E0F">
          <w:rPr>
            <w:rFonts w:asciiTheme="minorHAnsi" w:hAnsiTheme="minorHAnsi"/>
            <w:i/>
            <w:iCs/>
            <w:color w:val="005A84"/>
            <w:sz w:val="24"/>
          </w:rPr>
          <w:t>The investigation</w:t>
        </w:r>
      </w:hyperlink>
      <w:r w:rsidRPr="009B5E0F">
        <w:rPr>
          <w:rFonts w:asciiTheme="minorHAnsi" w:hAnsiTheme="minorHAnsi"/>
          <w:sz w:val="24"/>
        </w:rPr>
        <w:t>, above). Where the charges against the employee are of a criminal nature and the potential effects of a finding of guilt are potentially grave (such as an effective end to the employee's chosen career), the investigation must be "careful and conscientious" and must also be balanced, meaning that the investigator should look for (and put before the disciplinary panel) evidence which may point towards the employee's innocence as well as guilt (</w:t>
      </w:r>
      <w:hyperlink r:id="rId158" w:history="1">
        <w:r w:rsidRPr="009B5E0F">
          <w:rPr>
            <w:rFonts w:asciiTheme="minorHAnsi" w:hAnsiTheme="minorHAnsi"/>
            <w:i/>
            <w:iCs/>
            <w:color w:val="005A84"/>
            <w:sz w:val="24"/>
          </w:rPr>
          <w:t>A v B [2003] IRLR 405</w:t>
        </w:r>
      </w:hyperlink>
      <w:r w:rsidRPr="009B5E0F">
        <w:rPr>
          <w:rFonts w:asciiTheme="minorHAnsi" w:hAnsiTheme="minorHAnsi"/>
          <w:sz w:val="24"/>
        </w:rPr>
        <w:t>).</w:t>
      </w:r>
    </w:p>
    <w:bookmarkStart w:id="53" w:name="a880949"/>
    <w:bookmarkEnd w:id="53"/>
    <w:p w:rsidR="00F124F2" w:rsidRPr="009B5E0F" w:rsidRDefault="00951A7B" w:rsidP="00F124F2">
      <w:pPr>
        <w:rPr>
          <w:rFonts w:asciiTheme="minorHAnsi" w:hAnsiTheme="minorHAnsi"/>
          <w:vanish/>
          <w:sz w:val="24"/>
        </w:rPr>
      </w:pPr>
      <w:r>
        <w:fldChar w:fldCharType="begin"/>
      </w:r>
      <w:r>
        <w:instrText>HYPERLINK "http://uk.practicallaw.com/8-200-2423?q=&amp;qp=&amp;qo=&amp;qe=" \l "top" \o "Link to the top of the document"</w:instrText>
      </w:r>
      <w:r>
        <w:fldChar w:fldCharType="separate"/>
      </w:r>
      <w:r w:rsidR="00F124F2" w:rsidRPr="009B5E0F">
        <w:rPr>
          <w:rFonts w:asciiTheme="minorHAnsi" w:hAnsiTheme="minorHAnsi"/>
          <w:vanish/>
          <w:color w:val="005A84"/>
          <w:sz w:val="24"/>
        </w:rPr>
        <w:t>Top</w:t>
      </w:r>
      <w:r>
        <w:fldChar w:fldCharType="end"/>
      </w:r>
    </w:p>
    <w:p w:rsidR="00F124F2" w:rsidRPr="009B5E0F" w:rsidRDefault="00F124F2" w:rsidP="00F124F2">
      <w:pPr>
        <w:pBdr>
          <w:bottom w:val="dotted" w:sz="6" w:space="7" w:color="BABABA"/>
        </w:pBdr>
        <w:spacing w:before="100" w:beforeAutospacing="1" w:after="135"/>
        <w:outlineLvl w:val="1"/>
        <w:rPr>
          <w:rFonts w:asciiTheme="minorHAnsi" w:hAnsiTheme="minorHAnsi"/>
          <w:b/>
          <w:bCs/>
          <w:sz w:val="24"/>
        </w:rPr>
      </w:pPr>
      <w:bookmarkStart w:id="54" w:name="a302339"/>
      <w:bookmarkEnd w:id="54"/>
      <w:r w:rsidRPr="009B5E0F">
        <w:rPr>
          <w:rFonts w:asciiTheme="minorHAnsi" w:hAnsiTheme="minorHAnsi"/>
          <w:b/>
          <w:bCs/>
          <w:sz w:val="24"/>
        </w:rPr>
        <w:t>The decision</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Up to this point the employer may well have conducted the disciplinary procedure fairly and reasonably. However, if it is considering dismissal it must also ensure that it has a genuine belief, based on reasonable grounds, that the employee is guilty of misconduct, and that any decision to dismiss is fair and reasonable in all the circumstances. </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When the employer has to make a decision on conflicting evidence, it may be tempting to conclude that a witness has no reason to lie, and therefore must be telling the truth. An employer may therefore be inclined to find against the accused employee, because a finding in their favour could suggest that they think the witness is lying and therefore send "the wrong message". The Court of Appeal cautioned against this in </w:t>
      </w:r>
      <w:hyperlink r:id="rId159" w:history="1">
        <w:r w:rsidRPr="009B5E0F">
          <w:rPr>
            <w:rFonts w:asciiTheme="minorHAnsi" w:hAnsiTheme="minorHAnsi"/>
            <w:i/>
            <w:iCs/>
            <w:color w:val="005A84"/>
            <w:sz w:val="24"/>
          </w:rPr>
          <w:t>Salford Royal NHS Foundation Trust v Roldan [2010] EWCA Civ 522</w:t>
        </w:r>
      </w:hyperlink>
      <w:r w:rsidRPr="009B5E0F">
        <w:rPr>
          <w:rFonts w:asciiTheme="minorHAnsi" w:hAnsiTheme="minorHAnsi"/>
          <w:sz w:val="24"/>
        </w:rPr>
        <w:t xml:space="preserve">. Elias LJ commented that an employer, faced with a conflict of evidence, does not always have to decide whether it "believes" or "disbelieves" one person over another. It could reach a decision that this is merely a difference of perception, and that both parties are telling the truth as they see it. Or it could find that the conflict is such that it cannot be resolved. In the latter case, the allegations will not be proved and the accused employee will have the benefit of the doubt, without the employer necessarily having to imply that the other witnesses were lying. </w:t>
      </w:r>
    </w:p>
    <w:p w:rsidR="00F124F2" w:rsidRPr="009B5E0F" w:rsidRDefault="00F124F2" w:rsidP="00F124F2">
      <w:pPr>
        <w:spacing w:before="100" w:beforeAutospacing="1" w:after="100" w:afterAutospacing="1"/>
        <w:outlineLvl w:val="2"/>
        <w:rPr>
          <w:rFonts w:asciiTheme="minorHAnsi" w:hAnsiTheme="minorHAnsi"/>
          <w:b/>
          <w:bCs/>
          <w:sz w:val="24"/>
        </w:rPr>
      </w:pPr>
      <w:bookmarkStart w:id="55" w:name="a748022"/>
      <w:bookmarkEnd w:id="55"/>
      <w:r w:rsidRPr="009B5E0F">
        <w:rPr>
          <w:rFonts w:asciiTheme="minorHAnsi" w:hAnsiTheme="minorHAnsi"/>
          <w:b/>
          <w:bCs/>
          <w:sz w:val="24"/>
        </w:rPr>
        <w:t>Dismissal</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Employers have often lost cases where, despite having followed a fair procedure, they have not persuaded an employment tribunal that a dismissal was a fair and </w:t>
      </w:r>
      <w:r w:rsidRPr="009B5E0F">
        <w:rPr>
          <w:rFonts w:asciiTheme="minorHAnsi" w:hAnsiTheme="minorHAnsi"/>
          <w:sz w:val="24"/>
        </w:rPr>
        <w:lastRenderedPageBreak/>
        <w:t xml:space="preserve">reasonable sanction in all the circumstances. The tribunal will ask whether the employer acted within the band of reasonable responses in treating the misconduct or poor performance as a sufficient reason to dismiss </w:t>
      </w:r>
    </w:p>
    <w:p w:rsidR="00F124F2" w:rsidRPr="009B5E0F" w:rsidRDefault="00F124F2" w:rsidP="00F124F2">
      <w:pPr>
        <w:spacing w:before="100" w:beforeAutospacing="1" w:after="100" w:afterAutospacing="1"/>
        <w:outlineLvl w:val="2"/>
        <w:rPr>
          <w:rFonts w:asciiTheme="minorHAnsi" w:hAnsiTheme="minorHAnsi"/>
          <w:b/>
          <w:bCs/>
          <w:sz w:val="24"/>
        </w:rPr>
      </w:pPr>
      <w:bookmarkStart w:id="56" w:name="a701252"/>
      <w:bookmarkEnd w:id="56"/>
      <w:r w:rsidRPr="009B5E0F">
        <w:rPr>
          <w:rFonts w:asciiTheme="minorHAnsi" w:hAnsiTheme="minorHAnsi"/>
          <w:b/>
          <w:bCs/>
          <w:sz w:val="24"/>
        </w:rPr>
        <w:t>Warnings</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Giving a warning is also not without its risks. The </w:t>
      </w:r>
      <w:proofErr w:type="spellStart"/>
      <w:r w:rsidRPr="009B5E0F">
        <w:rPr>
          <w:rFonts w:asciiTheme="minorHAnsi" w:hAnsiTheme="minorHAnsi"/>
          <w:sz w:val="24"/>
        </w:rPr>
        <w:t>Acas</w:t>
      </w:r>
      <w:proofErr w:type="spellEnd"/>
      <w:r w:rsidRPr="009B5E0F">
        <w:rPr>
          <w:rFonts w:asciiTheme="minorHAnsi" w:hAnsiTheme="minorHAnsi"/>
          <w:sz w:val="24"/>
        </w:rPr>
        <w:t xml:space="preserve"> Code recommends that employees should usually be given at least one chance to improve (in other words, a warning) before a final written warning is given (</w:t>
      </w:r>
      <w:r w:rsidRPr="009B5E0F">
        <w:rPr>
          <w:rFonts w:asciiTheme="minorHAnsi" w:hAnsiTheme="minorHAnsi"/>
          <w:i/>
          <w:iCs/>
          <w:sz w:val="24"/>
        </w:rPr>
        <w:t>paragraph 18</w:t>
      </w:r>
      <w:r w:rsidRPr="009B5E0F">
        <w:rPr>
          <w:rFonts w:asciiTheme="minorHAnsi" w:hAnsiTheme="minorHAnsi"/>
          <w:sz w:val="24"/>
        </w:rPr>
        <w:t>). Employers may be in breach of the implied term of mutual trust and confidence if warnings, especially final warnings, are used oppressively for relatively minor misconduct (</w:t>
      </w:r>
      <w:hyperlink r:id="rId160" w:history="1">
        <w:r w:rsidRPr="009B5E0F">
          <w:rPr>
            <w:rFonts w:asciiTheme="minorHAnsi" w:hAnsiTheme="minorHAnsi"/>
            <w:i/>
            <w:iCs/>
            <w:color w:val="005A84"/>
            <w:sz w:val="24"/>
          </w:rPr>
          <w:t>Alexander Russell plc v Holness EAT/677/93</w:t>
        </w:r>
      </w:hyperlink>
      <w:r w:rsidRPr="009B5E0F">
        <w:rPr>
          <w:rFonts w:asciiTheme="minorHAnsi" w:hAnsiTheme="minorHAnsi"/>
          <w:sz w:val="24"/>
        </w:rPr>
        <w:t xml:space="preserve">), if the punishment given is out of proportion to the offence, or if the employer does not genuinely believe the employee to be guilty of the offence (see comments of the EAT in </w:t>
      </w:r>
      <w:hyperlink r:id="rId161" w:history="1">
        <w:r w:rsidRPr="009B5E0F">
          <w:rPr>
            <w:rFonts w:asciiTheme="minorHAnsi" w:hAnsiTheme="minorHAnsi"/>
            <w:i/>
            <w:iCs/>
            <w:color w:val="005A84"/>
            <w:sz w:val="24"/>
          </w:rPr>
          <w:t>McCabe v London Borough of Greenwich UKEAT/0608/04</w:t>
        </w:r>
      </w:hyperlink>
      <w:r w:rsidRPr="009B5E0F">
        <w:rPr>
          <w:rFonts w:asciiTheme="minorHAnsi" w:hAnsiTheme="minorHAnsi"/>
          <w:sz w:val="24"/>
        </w:rPr>
        <w:t xml:space="preserve"> at paragraph 25). </w:t>
      </w:r>
    </w:p>
    <w:p w:rsidR="00F124F2" w:rsidRPr="009B5E0F" w:rsidRDefault="00F124F2" w:rsidP="00F124F2">
      <w:pPr>
        <w:spacing w:before="100" w:beforeAutospacing="1" w:after="100" w:afterAutospacing="1"/>
        <w:outlineLvl w:val="3"/>
        <w:rPr>
          <w:rFonts w:asciiTheme="minorHAnsi" w:hAnsiTheme="minorHAnsi"/>
          <w:b/>
          <w:bCs/>
          <w:sz w:val="24"/>
        </w:rPr>
      </w:pPr>
      <w:bookmarkStart w:id="57" w:name="a871165"/>
      <w:bookmarkEnd w:id="57"/>
      <w:r w:rsidRPr="009B5E0F">
        <w:rPr>
          <w:rFonts w:asciiTheme="minorHAnsi" w:hAnsiTheme="minorHAnsi"/>
          <w:b/>
          <w:bCs/>
          <w:sz w:val="24"/>
        </w:rPr>
        <w:t>Live and expired warnings</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When deciding the appropriate penalty, employers can take into account any </w:t>
      </w:r>
      <w:r w:rsidRPr="009B5E0F">
        <w:rPr>
          <w:rFonts w:asciiTheme="minorHAnsi" w:hAnsiTheme="minorHAnsi"/>
          <w:b/>
          <w:bCs/>
          <w:sz w:val="24"/>
        </w:rPr>
        <w:t>live</w:t>
      </w:r>
      <w:r w:rsidRPr="009B5E0F">
        <w:rPr>
          <w:rFonts w:asciiTheme="minorHAnsi" w:hAnsiTheme="minorHAnsi"/>
          <w:sz w:val="24"/>
        </w:rPr>
        <w:t xml:space="preserve"> warning on the employee's personnel file, but may only take into account any </w:t>
      </w:r>
      <w:r w:rsidRPr="009B5E0F">
        <w:rPr>
          <w:rFonts w:asciiTheme="minorHAnsi" w:hAnsiTheme="minorHAnsi"/>
          <w:b/>
          <w:bCs/>
          <w:sz w:val="24"/>
        </w:rPr>
        <w:t>expired</w:t>
      </w:r>
      <w:r w:rsidRPr="009B5E0F">
        <w:rPr>
          <w:rFonts w:asciiTheme="minorHAnsi" w:hAnsiTheme="minorHAnsi"/>
          <w:sz w:val="24"/>
        </w:rPr>
        <w:t xml:space="preserve"> warning (and the underlying misconduct) where this is not the principal reason for any subsequent dismissal; in other words, where the circumstances justified dismissal anyway (</w:t>
      </w:r>
      <w:hyperlink r:id="rId162" w:history="1">
        <w:r w:rsidRPr="009B5E0F">
          <w:rPr>
            <w:rFonts w:asciiTheme="minorHAnsi" w:hAnsiTheme="minorHAnsi"/>
            <w:i/>
            <w:iCs/>
            <w:color w:val="005A84"/>
            <w:sz w:val="24"/>
          </w:rPr>
          <w:t>Diosynth Ltd v Thomson [2006] IRLR 284 (CSIH)</w:t>
        </w:r>
      </w:hyperlink>
      <w:r w:rsidRPr="009B5E0F">
        <w:rPr>
          <w:rFonts w:asciiTheme="minorHAnsi" w:hAnsiTheme="minorHAnsi"/>
          <w:i/>
          <w:iCs/>
          <w:sz w:val="24"/>
        </w:rPr>
        <w:t xml:space="preserve">; </w:t>
      </w:r>
      <w:hyperlink r:id="rId163" w:history="1">
        <w:r w:rsidRPr="009B5E0F">
          <w:rPr>
            <w:rFonts w:asciiTheme="minorHAnsi" w:hAnsiTheme="minorHAnsi"/>
            <w:i/>
            <w:iCs/>
            <w:color w:val="005A84"/>
            <w:sz w:val="24"/>
          </w:rPr>
          <w:t>Airbus Ltd v Webb [2008] IRLR 309 (CA)</w:t>
        </w:r>
      </w:hyperlink>
      <w:r w:rsidRPr="009B5E0F">
        <w:rPr>
          <w:rFonts w:asciiTheme="minorHAnsi" w:hAnsiTheme="minorHAnsi"/>
          <w:sz w:val="24"/>
        </w:rPr>
        <w:t>).</w:t>
      </w:r>
    </w:p>
    <w:p w:rsidR="00F124F2" w:rsidRPr="009B5E0F" w:rsidRDefault="00F124F2" w:rsidP="00F124F2">
      <w:pPr>
        <w:spacing w:before="100" w:beforeAutospacing="1" w:after="100" w:afterAutospacing="1"/>
        <w:outlineLvl w:val="2"/>
        <w:rPr>
          <w:rFonts w:asciiTheme="minorHAnsi" w:hAnsiTheme="minorHAnsi"/>
          <w:b/>
          <w:bCs/>
          <w:sz w:val="24"/>
        </w:rPr>
      </w:pPr>
      <w:bookmarkStart w:id="58" w:name="a138199"/>
      <w:bookmarkStart w:id="59" w:name="a399415"/>
      <w:bookmarkStart w:id="60" w:name="a271408"/>
      <w:bookmarkEnd w:id="58"/>
      <w:bookmarkEnd w:id="59"/>
      <w:bookmarkEnd w:id="60"/>
      <w:r w:rsidRPr="009B5E0F">
        <w:rPr>
          <w:rFonts w:asciiTheme="minorHAnsi" w:hAnsiTheme="minorHAnsi"/>
          <w:b/>
          <w:bCs/>
          <w:sz w:val="24"/>
        </w:rPr>
        <w:t>Demotion or other sanctions</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If considering dismissal, the employer should ensure it has given thought as to whether there are any other possible alternatives to dismissal, such as a demotion, redeployment or final written warning. The employer could provide for a number of types of sanction, including transferring the employee to another job, demoting them, fining them (for example, by not paying a bonus) or suspending them without pay. However, taking such steps without a contractual right to do so could result in claims.</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Demoting an employee without sufficient reason may constitute a breach of mutual trust and confidence but a demotion is in any event likely to be a breach of the express terms of the contract, unless it is specifically permitted in the contract or the employee gives their consent to it (see </w:t>
      </w:r>
      <w:hyperlink r:id="rId164" w:anchor="a250845#a250845" w:history="1">
        <w:r w:rsidRPr="009B5E0F">
          <w:rPr>
            <w:rFonts w:asciiTheme="minorHAnsi" w:hAnsiTheme="minorHAnsi"/>
            <w:i/>
            <w:iCs/>
            <w:color w:val="005A84"/>
            <w:sz w:val="24"/>
          </w:rPr>
          <w:t>Practice note, Implied terms in employment contracts: Discipline, suspension and demotion</w:t>
        </w:r>
        <w:r w:rsidRPr="009B5E0F">
          <w:rPr>
            <w:rFonts w:asciiTheme="minorHAnsi" w:hAnsiTheme="minorHAnsi"/>
            <w:i/>
            <w:iCs/>
            <w:vanish/>
            <w:color w:val="005A84"/>
            <w:sz w:val="24"/>
          </w:rPr>
          <w:t xml:space="preserve"> ( www.practicallaw.com/9-200-2045) </w:t>
        </w:r>
      </w:hyperlink>
      <w:r w:rsidRPr="009B5E0F">
        <w:rPr>
          <w:rFonts w:asciiTheme="minorHAnsi" w:hAnsiTheme="minorHAnsi"/>
          <w:sz w:val="24"/>
        </w:rPr>
        <w:t xml:space="preserve">). In </w:t>
      </w:r>
      <w:hyperlink r:id="rId165" w:history="1">
        <w:r w:rsidRPr="009B5E0F">
          <w:rPr>
            <w:rFonts w:asciiTheme="minorHAnsi" w:hAnsiTheme="minorHAnsi"/>
            <w:i/>
            <w:iCs/>
            <w:color w:val="005A84"/>
            <w:sz w:val="24"/>
          </w:rPr>
          <w:t>Hilton v Shiner Ltd Builders Merchants [2001] IRLR 727</w:t>
        </w:r>
      </w:hyperlink>
      <w:r w:rsidRPr="009B5E0F">
        <w:rPr>
          <w:rFonts w:asciiTheme="minorHAnsi" w:hAnsiTheme="minorHAnsi"/>
          <w:sz w:val="24"/>
        </w:rPr>
        <w:t xml:space="preserve"> an employer demoted an employee from a position of trust and responsibility. This was likely to destroy trust and confidence, said the EAT, but the employer had legitimate suspicions that the employee had been acting dishonestly, and therefore the employer had not acted without "reasonable and proper cause". However, in the EAT's view the demotion was likely to have been a fundamental breach of the express terms of the contract in any event. It remitted the case to the tribunal to determine that issue.</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lastRenderedPageBreak/>
        <w:t>It is important to check the employer's disciplinary policy for any provision on sanctions and act in accordance with the policy if an alternative sanction to dismissal is to be imposed. Where the policy provides for demotion as a possible sanction, the demotion will not be a breach of contract if the procedure itself is contractual (</w:t>
      </w:r>
      <w:hyperlink r:id="rId166" w:history="1">
        <w:r w:rsidRPr="009B5E0F">
          <w:rPr>
            <w:rFonts w:asciiTheme="minorHAnsi" w:hAnsiTheme="minorHAnsi"/>
            <w:i/>
            <w:iCs/>
            <w:color w:val="005A84"/>
            <w:sz w:val="24"/>
          </w:rPr>
          <w:t>Roberts v West Coast Trains Ltd [2004] IRLR 788</w:t>
        </w:r>
        <w:r w:rsidRPr="009B5E0F">
          <w:rPr>
            <w:rFonts w:asciiTheme="minorHAnsi" w:hAnsiTheme="minorHAnsi"/>
            <w:i/>
            <w:iCs/>
            <w:vanish/>
            <w:color w:val="005A84"/>
            <w:sz w:val="24"/>
          </w:rPr>
          <w:t xml:space="preserve"> ( www.practicallaw.com/0-505-0645) </w:t>
        </w:r>
      </w:hyperlink>
      <w:r w:rsidRPr="009B5E0F">
        <w:rPr>
          <w:rFonts w:asciiTheme="minorHAnsi" w:hAnsiTheme="minorHAnsi"/>
          <w:sz w:val="24"/>
        </w:rPr>
        <w:t>).</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However, where the procedure is not contractual and there is no contractual power to demote, the employer will need to obtain the employee's consent. Sometimes if there is no contractual power to demote, the procedure itself will refer to the need for consent before imposing a sanction other than dismissal. In </w:t>
      </w:r>
      <w:hyperlink r:id="rId167" w:history="1">
        <w:r w:rsidRPr="009B5E0F">
          <w:rPr>
            <w:rFonts w:asciiTheme="minorHAnsi" w:hAnsiTheme="minorHAnsi"/>
            <w:i/>
            <w:iCs/>
            <w:color w:val="005A84"/>
            <w:sz w:val="24"/>
          </w:rPr>
          <w:t>Saminaden v Barnet Enfield and Haringey NHS Trust UKEAT/0018/08</w:t>
        </w:r>
      </w:hyperlink>
      <w:r w:rsidRPr="009B5E0F">
        <w:rPr>
          <w:rFonts w:asciiTheme="minorHAnsi" w:hAnsiTheme="minorHAnsi"/>
          <w:sz w:val="24"/>
        </w:rPr>
        <w:t xml:space="preserve"> the employer dismissed the employee for misconduct but on appeal proposed to replace the dismissal with a demotion. The EAT held that, as the employer's disciplinary policy required the employee to consent to any proposed demotion and the employee had not done so, the original decision to dismiss the employee remained effective and could be challenged as an unfair dismissal in the tribunal.</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If the contract does not allow a sanction of this type without consent, the employer may nevertheless decide to present it to the employee as an alternative to dismissal, which the employee may accept. However, the employee could argue that the threat of "accept it or be dismissed" was itself a repudiatory breach by the employer, although whether this is successful would depend on the tribunal's view of the facts. A tribunal would be likely to award the employee contractual damages for wrongful dismissal, and may award compensation for unfair dismissal, depending on whether the employer has otherwise acted fairly and the extent to which the employee has contributed to the dismissal.</w:t>
      </w:r>
    </w:p>
    <w:p w:rsidR="00F124F2" w:rsidRPr="009B5E0F" w:rsidRDefault="00F124F2" w:rsidP="00F124F2">
      <w:pPr>
        <w:spacing w:before="100" w:beforeAutospacing="1" w:after="100" w:afterAutospacing="1"/>
        <w:outlineLvl w:val="2"/>
        <w:rPr>
          <w:rFonts w:asciiTheme="minorHAnsi" w:hAnsiTheme="minorHAnsi"/>
          <w:b/>
          <w:bCs/>
          <w:sz w:val="24"/>
        </w:rPr>
      </w:pPr>
      <w:bookmarkStart w:id="61" w:name="a95335"/>
      <w:bookmarkEnd w:id="61"/>
      <w:r w:rsidRPr="009B5E0F">
        <w:rPr>
          <w:rFonts w:asciiTheme="minorHAnsi" w:hAnsiTheme="minorHAnsi"/>
          <w:b/>
          <w:bCs/>
          <w:sz w:val="24"/>
        </w:rPr>
        <w:t>Communicating the decision</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The employee must be informed, without unreasonable delay, of the employer's decision and their right of appeal. Although the </w:t>
      </w:r>
      <w:proofErr w:type="spellStart"/>
      <w:r w:rsidRPr="009B5E0F">
        <w:rPr>
          <w:rFonts w:asciiTheme="minorHAnsi" w:hAnsiTheme="minorHAnsi"/>
          <w:sz w:val="24"/>
        </w:rPr>
        <w:t>Acas</w:t>
      </w:r>
      <w:proofErr w:type="spellEnd"/>
      <w:r w:rsidRPr="009B5E0F">
        <w:rPr>
          <w:rFonts w:asciiTheme="minorHAnsi" w:hAnsiTheme="minorHAnsi"/>
          <w:sz w:val="24"/>
        </w:rPr>
        <w:t xml:space="preserve"> Code (at paragraph 17) requires this to be in writing, it is good practice, once the employer has reached a decision, to reconvene the meeting and explain the decision to the employee face to face. If the employee is being dismissed, they would also have the right to ask for a written statement of the reasons for dismissal in any case (</w:t>
      </w:r>
      <w:hyperlink r:id="rId168" w:history="1">
        <w:r w:rsidRPr="009B5E0F">
          <w:rPr>
            <w:rFonts w:asciiTheme="minorHAnsi" w:hAnsiTheme="minorHAnsi"/>
            <w:i/>
            <w:iCs/>
            <w:color w:val="005A84"/>
            <w:sz w:val="24"/>
          </w:rPr>
          <w:t>section 92</w:t>
        </w:r>
      </w:hyperlink>
      <w:r w:rsidRPr="009B5E0F">
        <w:rPr>
          <w:rFonts w:asciiTheme="minorHAnsi" w:hAnsiTheme="minorHAnsi"/>
          <w:i/>
          <w:iCs/>
          <w:sz w:val="24"/>
        </w:rPr>
        <w:t>, ERA 1996</w:t>
      </w:r>
      <w:r w:rsidRPr="009B5E0F">
        <w:rPr>
          <w:rFonts w:asciiTheme="minorHAnsi" w:hAnsiTheme="minorHAnsi"/>
          <w:sz w:val="24"/>
        </w:rPr>
        <w:t>).</w:t>
      </w:r>
    </w:p>
    <w:p w:rsidR="00F124F2" w:rsidRPr="009B5E0F" w:rsidRDefault="00F124F2" w:rsidP="00F124F2">
      <w:pPr>
        <w:spacing w:before="100" w:beforeAutospacing="1" w:after="100" w:afterAutospacing="1"/>
        <w:outlineLvl w:val="3"/>
        <w:rPr>
          <w:rFonts w:asciiTheme="minorHAnsi" w:hAnsiTheme="minorHAnsi"/>
          <w:b/>
          <w:bCs/>
          <w:sz w:val="24"/>
        </w:rPr>
      </w:pPr>
      <w:bookmarkStart w:id="62" w:name="a86311"/>
      <w:bookmarkStart w:id="63" w:name="a229323"/>
      <w:bookmarkEnd w:id="62"/>
      <w:bookmarkEnd w:id="63"/>
      <w:r w:rsidRPr="009B5E0F">
        <w:rPr>
          <w:rFonts w:asciiTheme="minorHAnsi" w:hAnsiTheme="minorHAnsi"/>
          <w:b/>
          <w:bCs/>
          <w:sz w:val="24"/>
        </w:rPr>
        <w:t>Dismissal letters</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If the employer has decided to dismiss, the letter confirming the decision should: </w:t>
      </w:r>
    </w:p>
    <w:p w:rsidR="00F124F2" w:rsidRPr="009B5E0F" w:rsidRDefault="00F124F2" w:rsidP="00F124F2">
      <w:pPr>
        <w:numPr>
          <w:ilvl w:val="0"/>
          <w:numId w:val="19"/>
        </w:numPr>
        <w:spacing w:before="100" w:beforeAutospacing="1" w:after="100" w:afterAutospacing="1"/>
        <w:ind w:left="0"/>
        <w:rPr>
          <w:rFonts w:asciiTheme="minorHAnsi" w:hAnsiTheme="minorHAnsi"/>
          <w:sz w:val="24"/>
        </w:rPr>
      </w:pPr>
      <w:r w:rsidRPr="009B5E0F">
        <w:rPr>
          <w:rFonts w:asciiTheme="minorHAnsi" w:hAnsiTheme="minorHAnsi"/>
          <w:sz w:val="24"/>
        </w:rPr>
        <w:t>Clearly set out the allegations against the employee, the findings in relation to each allegation, the factual basis and the reason the employer has reached the decision to dismiss.</w:t>
      </w:r>
    </w:p>
    <w:p w:rsidR="00F124F2" w:rsidRPr="009B5E0F" w:rsidRDefault="00F124F2" w:rsidP="00F124F2">
      <w:pPr>
        <w:numPr>
          <w:ilvl w:val="0"/>
          <w:numId w:val="19"/>
        </w:numPr>
        <w:spacing w:before="100" w:beforeAutospacing="1" w:after="100" w:afterAutospacing="1"/>
        <w:ind w:left="0"/>
        <w:rPr>
          <w:rFonts w:asciiTheme="minorHAnsi" w:hAnsiTheme="minorHAnsi"/>
          <w:sz w:val="24"/>
        </w:rPr>
      </w:pPr>
      <w:r w:rsidRPr="009B5E0F">
        <w:rPr>
          <w:rFonts w:asciiTheme="minorHAnsi" w:hAnsiTheme="minorHAnsi"/>
          <w:sz w:val="24"/>
        </w:rPr>
        <w:t>Refer to any relevant previous warnings given.</w:t>
      </w:r>
    </w:p>
    <w:p w:rsidR="00F124F2" w:rsidRPr="009B5E0F" w:rsidRDefault="00F124F2" w:rsidP="00F124F2">
      <w:pPr>
        <w:numPr>
          <w:ilvl w:val="0"/>
          <w:numId w:val="19"/>
        </w:numPr>
        <w:spacing w:before="100" w:beforeAutospacing="1" w:after="100" w:afterAutospacing="1"/>
        <w:ind w:left="0"/>
        <w:rPr>
          <w:rFonts w:asciiTheme="minorHAnsi" w:hAnsiTheme="minorHAnsi"/>
          <w:sz w:val="24"/>
        </w:rPr>
      </w:pPr>
      <w:r w:rsidRPr="009B5E0F">
        <w:rPr>
          <w:rFonts w:asciiTheme="minorHAnsi" w:hAnsiTheme="minorHAnsi"/>
          <w:sz w:val="24"/>
        </w:rPr>
        <w:t xml:space="preserve">Confirm the employee's termination date and whether their employment is terminated with or without notice. If notice is given, the letter should confirm whether the employee is required to work their notice, or whether they will be </w:t>
      </w:r>
      <w:r w:rsidRPr="009B5E0F">
        <w:rPr>
          <w:rFonts w:asciiTheme="minorHAnsi" w:hAnsiTheme="minorHAnsi"/>
          <w:sz w:val="24"/>
        </w:rPr>
        <w:lastRenderedPageBreak/>
        <w:t>placed on garden leave for all or part of the notice period. If the employment is terminated with immediate effect, the letter should specify whether a payment in lieu of notice will be made, or whether the employer considers there is no notice entitlement because the employee has been dismissed for gross misconduct.</w:t>
      </w:r>
    </w:p>
    <w:p w:rsidR="00F124F2" w:rsidRPr="009B5E0F" w:rsidRDefault="00F124F2" w:rsidP="00F124F2">
      <w:pPr>
        <w:numPr>
          <w:ilvl w:val="0"/>
          <w:numId w:val="19"/>
        </w:numPr>
        <w:spacing w:before="100" w:beforeAutospacing="1" w:after="100" w:afterAutospacing="1"/>
        <w:ind w:left="0"/>
        <w:rPr>
          <w:rFonts w:asciiTheme="minorHAnsi" w:hAnsiTheme="minorHAnsi"/>
          <w:sz w:val="24"/>
        </w:rPr>
      </w:pPr>
      <w:r w:rsidRPr="009B5E0F">
        <w:rPr>
          <w:rFonts w:asciiTheme="minorHAnsi" w:hAnsiTheme="minorHAnsi"/>
          <w:sz w:val="24"/>
        </w:rPr>
        <w:t>Confirm the employee's pro rata holiday entitlement up to the termination date and whether the employee is entitled to a payment in lieu of accrued but untaken holiday, or whether the employee has taken holiday in excess of their pro rata entitlement to the termination date and a deduction from their final salary will be made</w:t>
      </w:r>
    </w:p>
    <w:p w:rsidR="00F124F2" w:rsidRPr="009B5E0F" w:rsidRDefault="00F124F2" w:rsidP="00F124F2">
      <w:pPr>
        <w:numPr>
          <w:ilvl w:val="0"/>
          <w:numId w:val="19"/>
        </w:numPr>
        <w:spacing w:before="100" w:beforeAutospacing="1" w:after="100" w:afterAutospacing="1"/>
        <w:ind w:left="0"/>
        <w:rPr>
          <w:rFonts w:asciiTheme="minorHAnsi" w:hAnsiTheme="minorHAnsi"/>
          <w:sz w:val="24"/>
        </w:rPr>
      </w:pPr>
      <w:r w:rsidRPr="009B5E0F">
        <w:rPr>
          <w:rFonts w:asciiTheme="minorHAnsi" w:hAnsiTheme="minorHAnsi"/>
          <w:sz w:val="24"/>
        </w:rPr>
        <w:t xml:space="preserve">Provide instructions on how to appeal, including the name of the person to whom the appeal must be submitted and the deadline by which the appeal should be received. </w:t>
      </w:r>
    </w:p>
    <w:bookmarkStart w:id="64" w:name="a380201"/>
    <w:bookmarkEnd w:id="64"/>
    <w:p w:rsidR="00F124F2" w:rsidRPr="009B5E0F" w:rsidRDefault="00951A7B" w:rsidP="00F124F2">
      <w:pPr>
        <w:rPr>
          <w:rFonts w:asciiTheme="minorHAnsi" w:hAnsiTheme="minorHAnsi"/>
          <w:vanish/>
          <w:sz w:val="24"/>
        </w:rPr>
      </w:pPr>
      <w:r>
        <w:fldChar w:fldCharType="begin"/>
      </w:r>
      <w:r>
        <w:instrText>HYPERLINK "http://uk.practicallaw.com/8-200-2423?q=&amp;qp=&amp;qo=&amp;qe=" \l "top" \o "Link to the top of the document"</w:instrText>
      </w:r>
      <w:r>
        <w:fldChar w:fldCharType="separate"/>
      </w:r>
      <w:r w:rsidR="00F124F2" w:rsidRPr="009B5E0F">
        <w:rPr>
          <w:rFonts w:asciiTheme="minorHAnsi" w:hAnsiTheme="minorHAnsi"/>
          <w:vanish/>
          <w:color w:val="005A84"/>
          <w:sz w:val="24"/>
        </w:rPr>
        <w:t>Top</w:t>
      </w:r>
      <w:r>
        <w:fldChar w:fldCharType="end"/>
      </w:r>
    </w:p>
    <w:p w:rsidR="00F124F2" w:rsidRPr="009B5E0F" w:rsidRDefault="00F124F2" w:rsidP="00F124F2">
      <w:pPr>
        <w:pBdr>
          <w:bottom w:val="dotted" w:sz="6" w:space="7" w:color="BABABA"/>
        </w:pBdr>
        <w:spacing w:before="100" w:beforeAutospacing="1" w:after="135"/>
        <w:outlineLvl w:val="1"/>
        <w:rPr>
          <w:rFonts w:asciiTheme="minorHAnsi" w:hAnsiTheme="minorHAnsi"/>
          <w:b/>
          <w:bCs/>
          <w:sz w:val="24"/>
        </w:rPr>
      </w:pPr>
      <w:bookmarkStart w:id="65" w:name="a377873"/>
      <w:bookmarkEnd w:id="65"/>
      <w:r w:rsidRPr="009B5E0F">
        <w:rPr>
          <w:rFonts w:asciiTheme="minorHAnsi" w:hAnsiTheme="minorHAnsi"/>
          <w:b/>
          <w:bCs/>
          <w:sz w:val="24"/>
        </w:rPr>
        <w:t>Appeals</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The importance of the right of appeal was set out by the House of Lords in </w:t>
      </w:r>
      <w:hyperlink r:id="rId169" w:history="1">
        <w:r w:rsidRPr="009B5E0F">
          <w:rPr>
            <w:rFonts w:asciiTheme="minorHAnsi" w:hAnsiTheme="minorHAnsi"/>
            <w:i/>
            <w:iCs/>
            <w:color w:val="005A84"/>
            <w:sz w:val="24"/>
          </w:rPr>
          <w:t>West Midlands Co-operative Society v Tipton [1986] IRLR 112</w:t>
        </w:r>
      </w:hyperlink>
      <w:r w:rsidRPr="009B5E0F">
        <w:rPr>
          <w:rFonts w:asciiTheme="minorHAnsi" w:hAnsiTheme="minorHAnsi"/>
          <w:sz w:val="24"/>
        </w:rPr>
        <w:t xml:space="preserve">, and is reflected in the </w:t>
      </w:r>
      <w:proofErr w:type="spellStart"/>
      <w:r w:rsidRPr="009B5E0F">
        <w:rPr>
          <w:rFonts w:asciiTheme="minorHAnsi" w:hAnsiTheme="minorHAnsi"/>
          <w:sz w:val="24"/>
        </w:rPr>
        <w:t>Acas</w:t>
      </w:r>
      <w:proofErr w:type="spellEnd"/>
      <w:r w:rsidRPr="009B5E0F">
        <w:rPr>
          <w:rFonts w:asciiTheme="minorHAnsi" w:hAnsiTheme="minorHAnsi"/>
          <w:sz w:val="24"/>
        </w:rPr>
        <w:t xml:space="preserve"> Code. It is good practice to advise an employee in writing of the right of appeal, when the employer's decision is communicated. Any deadline to lodge the appeal should also be stated. The non-statutory </w:t>
      </w:r>
      <w:proofErr w:type="spellStart"/>
      <w:r w:rsidRPr="009B5E0F">
        <w:rPr>
          <w:rFonts w:asciiTheme="minorHAnsi" w:hAnsiTheme="minorHAnsi"/>
          <w:sz w:val="24"/>
        </w:rPr>
        <w:t>Acas</w:t>
      </w:r>
      <w:proofErr w:type="spellEnd"/>
      <w:r w:rsidRPr="009B5E0F">
        <w:rPr>
          <w:rFonts w:asciiTheme="minorHAnsi" w:hAnsiTheme="minorHAnsi"/>
          <w:sz w:val="24"/>
        </w:rPr>
        <w:t xml:space="preserve"> guide recommends five working days as a reasonable time limit (</w:t>
      </w:r>
      <w:r w:rsidRPr="009B5E0F">
        <w:rPr>
          <w:rFonts w:asciiTheme="minorHAnsi" w:hAnsiTheme="minorHAnsi"/>
          <w:i/>
          <w:iCs/>
          <w:sz w:val="24"/>
        </w:rPr>
        <w:t>page 34</w:t>
      </w:r>
      <w:r w:rsidRPr="009B5E0F">
        <w:rPr>
          <w:rFonts w:asciiTheme="minorHAnsi" w:hAnsiTheme="minorHAnsi"/>
          <w:sz w:val="24"/>
        </w:rPr>
        <w:t xml:space="preserve">), although the </w:t>
      </w:r>
      <w:proofErr w:type="spellStart"/>
      <w:r w:rsidRPr="009B5E0F">
        <w:rPr>
          <w:rFonts w:asciiTheme="minorHAnsi" w:hAnsiTheme="minorHAnsi"/>
          <w:sz w:val="24"/>
        </w:rPr>
        <w:t>Acas</w:t>
      </w:r>
      <w:proofErr w:type="spellEnd"/>
      <w:r w:rsidRPr="009B5E0F">
        <w:rPr>
          <w:rFonts w:asciiTheme="minorHAnsi" w:hAnsiTheme="minorHAnsi"/>
          <w:sz w:val="24"/>
        </w:rPr>
        <w:t xml:space="preserve"> Code itself does not specify a time limit and employers should therefore ensure they consider all the surrounding circumstances before rejecting an appeal as out of time. </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The employer should ensure that it complies with the appeal requirements set out in any contractual procedure. Failure to do so, could be grounds for a successful constructive dismissal claim (</w:t>
      </w:r>
      <w:hyperlink r:id="rId170" w:history="1">
        <w:r w:rsidRPr="009B5E0F">
          <w:rPr>
            <w:rFonts w:asciiTheme="minorHAnsi" w:hAnsiTheme="minorHAnsi"/>
            <w:i/>
            <w:iCs/>
            <w:color w:val="005A84"/>
            <w:sz w:val="24"/>
          </w:rPr>
          <w:t>The Post Office v Strange [1982] IRLR 515</w:t>
        </w:r>
      </w:hyperlink>
      <w:r w:rsidRPr="009B5E0F">
        <w:rPr>
          <w:rFonts w:asciiTheme="minorHAnsi" w:hAnsiTheme="minorHAnsi"/>
          <w:sz w:val="24"/>
        </w:rPr>
        <w:t>).</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If an employee does not appeal, but submits an application to the employment tribunal for unfair dismissal, the employment tribunal may reduce any compensatory award by up to 25%, if it decides the failure to appeal was unreasonable and it is just and equitable in all the circumstances to make a reduction (see </w:t>
      </w:r>
      <w:hyperlink r:id="rId171" w:history="1">
        <w:r w:rsidRPr="009B5E0F">
          <w:rPr>
            <w:rFonts w:asciiTheme="minorHAnsi" w:hAnsiTheme="minorHAnsi"/>
            <w:i/>
            <w:iCs/>
            <w:color w:val="005A84"/>
            <w:sz w:val="24"/>
          </w:rPr>
          <w:t>Checklist, When can breach of the Acas Code affect compensation?</w:t>
        </w:r>
        <w:r w:rsidRPr="009B5E0F">
          <w:rPr>
            <w:rFonts w:asciiTheme="minorHAnsi" w:hAnsiTheme="minorHAnsi"/>
            <w:i/>
            <w:iCs/>
            <w:vanish/>
            <w:color w:val="005A84"/>
            <w:sz w:val="24"/>
          </w:rPr>
          <w:t xml:space="preserve"> ( www.practicallaw.com/8-385-3040) </w:t>
        </w:r>
      </w:hyperlink>
      <w:r w:rsidRPr="009B5E0F">
        <w:rPr>
          <w:rFonts w:asciiTheme="minorHAnsi" w:hAnsiTheme="minorHAnsi"/>
          <w:sz w:val="24"/>
        </w:rPr>
        <w:t>).</w:t>
      </w:r>
    </w:p>
    <w:p w:rsidR="00F124F2" w:rsidRPr="009B5E0F" w:rsidRDefault="00F124F2" w:rsidP="00F124F2">
      <w:pPr>
        <w:spacing w:before="100" w:beforeAutospacing="1" w:after="100" w:afterAutospacing="1"/>
        <w:outlineLvl w:val="2"/>
        <w:rPr>
          <w:rFonts w:asciiTheme="minorHAnsi" w:hAnsiTheme="minorHAnsi"/>
          <w:b/>
          <w:bCs/>
          <w:sz w:val="24"/>
        </w:rPr>
      </w:pPr>
      <w:bookmarkStart w:id="66" w:name="a1012475"/>
      <w:bookmarkEnd w:id="66"/>
      <w:r w:rsidRPr="009B5E0F">
        <w:rPr>
          <w:rFonts w:asciiTheme="minorHAnsi" w:hAnsiTheme="minorHAnsi"/>
          <w:b/>
          <w:bCs/>
          <w:sz w:val="24"/>
        </w:rPr>
        <w:t>Impartiality when conducting an appeal</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So far as is possible, any appeal against, or review of, the dismissal or disciplinary sanction should be dealt with impartially by someone not previously involved in the case (</w:t>
      </w:r>
      <w:r w:rsidRPr="009B5E0F">
        <w:rPr>
          <w:rFonts w:asciiTheme="minorHAnsi" w:hAnsiTheme="minorHAnsi"/>
          <w:i/>
          <w:iCs/>
          <w:sz w:val="24"/>
        </w:rPr>
        <w:t xml:space="preserve">paragraph 26, </w:t>
      </w:r>
      <w:proofErr w:type="spellStart"/>
      <w:r w:rsidRPr="009B5E0F">
        <w:rPr>
          <w:rFonts w:asciiTheme="minorHAnsi" w:hAnsiTheme="minorHAnsi"/>
          <w:i/>
          <w:iCs/>
          <w:sz w:val="24"/>
        </w:rPr>
        <w:t>Acas</w:t>
      </w:r>
      <w:proofErr w:type="spellEnd"/>
      <w:r w:rsidRPr="009B5E0F">
        <w:rPr>
          <w:rFonts w:asciiTheme="minorHAnsi" w:hAnsiTheme="minorHAnsi"/>
          <w:i/>
          <w:iCs/>
          <w:sz w:val="24"/>
        </w:rPr>
        <w:t xml:space="preserve"> Code</w:t>
      </w:r>
      <w:r w:rsidRPr="009B5E0F">
        <w:rPr>
          <w:rFonts w:asciiTheme="minorHAnsi" w:hAnsiTheme="minorHAnsi"/>
          <w:sz w:val="24"/>
        </w:rPr>
        <w:t>). Prior dealings of a general nature with the employee or witnesses should not, in themselves, give rise to a suggestion of bias (</w:t>
      </w:r>
      <w:hyperlink r:id="rId172" w:history="1">
        <w:r w:rsidRPr="009B5E0F">
          <w:rPr>
            <w:rFonts w:asciiTheme="minorHAnsi" w:hAnsiTheme="minorHAnsi"/>
            <w:i/>
            <w:iCs/>
            <w:color w:val="005A84"/>
            <w:sz w:val="24"/>
          </w:rPr>
          <w:t>Adeshina v St George's University Hospitals NHS Foundation Trust UKEAT/0293/14</w:t>
        </w:r>
      </w:hyperlink>
      <w:r w:rsidRPr="009B5E0F">
        <w:rPr>
          <w:rFonts w:asciiTheme="minorHAnsi" w:hAnsiTheme="minorHAnsi"/>
          <w:sz w:val="24"/>
        </w:rPr>
        <w:t xml:space="preserve">. </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Ideally, the person hearing the appeal should be more senior than the person responsible for making the decision to dismiss or imposing the disciplinary sanction in the first instance (</w:t>
      </w:r>
      <w:r w:rsidRPr="009B5E0F">
        <w:rPr>
          <w:rFonts w:asciiTheme="minorHAnsi" w:hAnsiTheme="minorHAnsi"/>
          <w:i/>
          <w:iCs/>
          <w:sz w:val="24"/>
        </w:rPr>
        <w:t xml:space="preserve">page 34, non-statutory </w:t>
      </w:r>
      <w:proofErr w:type="spellStart"/>
      <w:r w:rsidRPr="009B5E0F">
        <w:rPr>
          <w:rFonts w:asciiTheme="minorHAnsi" w:hAnsiTheme="minorHAnsi"/>
          <w:i/>
          <w:iCs/>
          <w:sz w:val="24"/>
        </w:rPr>
        <w:t>Acas</w:t>
      </w:r>
      <w:proofErr w:type="spellEnd"/>
      <w:r w:rsidRPr="009B5E0F">
        <w:rPr>
          <w:rFonts w:asciiTheme="minorHAnsi" w:hAnsiTheme="minorHAnsi"/>
          <w:i/>
          <w:iCs/>
          <w:sz w:val="24"/>
        </w:rPr>
        <w:t xml:space="preserve"> guide</w:t>
      </w:r>
      <w:r w:rsidRPr="009B5E0F">
        <w:rPr>
          <w:rFonts w:asciiTheme="minorHAnsi" w:hAnsiTheme="minorHAnsi"/>
          <w:sz w:val="24"/>
        </w:rPr>
        <w:t xml:space="preserve">). It should certainly not be someone less senior, who might simply defer to the decision of his superior. It is also good practice for the person hearing the appeal to be outside the reporting line of </w:t>
      </w:r>
      <w:r w:rsidRPr="009B5E0F">
        <w:rPr>
          <w:rFonts w:asciiTheme="minorHAnsi" w:hAnsiTheme="minorHAnsi"/>
          <w:sz w:val="24"/>
        </w:rPr>
        <w:lastRenderedPageBreak/>
        <w:t>the person who conducted the disciplinary hearing. This will help avoid allegations that the manager responsible for the appeal was biased, or simply supported their subordinate's decision as a matter of course, rather than considering the matter afresh or properly reviewing the decision. A more flexible approach may be adopted where an appeal is heard by a panel, rather than an individual (</w:t>
      </w:r>
      <w:proofErr w:type="spellStart"/>
      <w:r w:rsidR="00951A7B" w:rsidRPr="009B5E0F">
        <w:rPr>
          <w:rFonts w:asciiTheme="minorHAnsi" w:hAnsiTheme="minorHAnsi"/>
          <w:i/>
          <w:iCs/>
          <w:sz w:val="24"/>
        </w:rPr>
        <w:fldChar w:fldCharType="begin"/>
      </w:r>
      <w:r w:rsidRPr="009B5E0F">
        <w:rPr>
          <w:rFonts w:asciiTheme="minorHAnsi" w:hAnsiTheme="minorHAnsi"/>
          <w:i/>
          <w:iCs/>
          <w:sz w:val="24"/>
        </w:rPr>
        <w:instrText xml:space="preserve"> HYPERLINK "http://uk.practicallaw.com/D-033-4806" </w:instrText>
      </w:r>
      <w:r w:rsidR="00951A7B" w:rsidRPr="009B5E0F">
        <w:rPr>
          <w:rFonts w:asciiTheme="minorHAnsi" w:hAnsiTheme="minorHAnsi"/>
          <w:i/>
          <w:iCs/>
          <w:sz w:val="24"/>
        </w:rPr>
        <w:fldChar w:fldCharType="separate"/>
      </w:r>
      <w:r w:rsidRPr="009B5E0F">
        <w:rPr>
          <w:rFonts w:asciiTheme="minorHAnsi" w:hAnsiTheme="minorHAnsi"/>
          <w:i/>
          <w:iCs/>
          <w:color w:val="005A84"/>
          <w:sz w:val="24"/>
        </w:rPr>
        <w:t>Adeshina</w:t>
      </w:r>
      <w:proofErr w:type="spellEnd"/>
      <w:r w:rsidRPr="009B5E0F">
        <w:rPr>
          <w:rFonts w:asciiTheme="minorHAnsi" w:hAnsiTheme="minorHAnsi"/>
          <w:i/>
          <w:iCs/>
          <w:color w:val="005A84"/>
          <w:sz w:val="24"/>
        </w:rPr>
        <w:t xml:space="preserve"> v St George's University Hospitals NHS Foundation Trust UKEAT/0293/14</w:t>
      </w:r>
      <w:r w:rsidR="00951A7B" w:rsidRPr="009B5E0F">
        <w:rPr>
          <w:rFonts w:asciiTheme="minorHAnsi" w:hAnsiTheme="minorHAnsi"/>
          <w:i/>
          <w:iCs/>
          <w:sz w:val="24"/>
        </w:rPr>
        <w:fldChar w:fldCharType="end"/>
      </w:r>
      <w:r w:rsidRPr="009B5E0F">
        <w:rPr>
          <w:rFonts w:asciiTheme="minorHAnsi" w:hAnsiTheme="minorHAnsi"/>
          <w:sz w:val="24"/>
        </w:rPr>
        <w:t>).</w:t>
      </w:r>
    </w:p>
    <w:p w:rsidR="00F124F2" w:rsidRPr="009B5E0F" w:rsidRDefault="00F124F2" w:rsidP="00F124F2">
      <w:pPr>
        <w:spacing w:before="100" w:beforeAutospacing="1" w:after="100" w:afterAutospacing="1"/>
        <w:outlineLvl w:val="2"/>
        <w:rPr>
          <w:rFonts w:asciiTheme="minorHAnsi" w:hAnsiTheme="minorHAnsi"/>
          <w:b/>
          <w:bCs/>
          <w:sz w:val="24"/>
        </w:rPr>
      </w:pPr>
      <w:bookmarkStart w:id="67" w:name="a797954"/>
      <w:bookmarkEnd w:id="67"/>
      <w:r w:rsidRPr="009B5E0F">
        <w:rPr>
          <w:rFonts w:asciiTheme="minorHAnsi" w:hAnsiTheme="minorHAnsi"/>
          <w:b/>
          <w:bCs/>
          <w:sz w:val="24"/>
        </w:rPr>
        <w:t>Appeal procedure</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The employee should be asked to state their full grounds of appeal. The </w:t>
      </w:r>
      <w:proofErr w:type="spellStart"/>
      <w:r w:rsidRPr="009B5E0F">
        <w:rPr>
          <w:rFonts w:asciiTheme="minorHAnsi" w:hAnsiTheme="minorHAnsi"/>
          <w:sz w:val="24"/>
        </w:rPr>
        <w:t>Acas</w:t>
      </w:r>
      <w:proofErr w:type="spellEnd"/>
      <w:r w:rsidRPr="009B5E0F">
        <w:rPr>
          <w:rFonts w:asciiTheme="minorHAnsi" w:hAnsiTheme="minorHAnsi"/>
          <w:sz w:val="24"/>
        </w:rPr>
        <w:t xml:space="preserve"> Code requires that this be done in writing (</w:t>
      </w:r>
      <w:r w:rsidRPr="009B5E0F">
        <w:rPr>
          <w:rFonts w:asciiTheme="minorHAnsi" w:hAnsiTheme="minorHAnsi"/>
          <w:i/>
          <w:iCs/>
          <w:sz w:val="24"/>
        </w:rPr>
        <w:t>para 26</w:t>
      </w:r>
      <w:r w:rsidRPr="009B5E0F">
        <w:rPr>
          <w:rFonts w:asciiTheme="minorHAnsi" w:hAnsiTheme="minorHAnsi"/>
          <w:sz w:val="24"/>
        </w:rPr>
        <w:t xml:space="preserve">). </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One of the issues which often arises at this stage is whether the appeal will be a review of the decision and evidence available at the original hearing or whether it will be a full rehearing (see </w:t>
      </w:r>
      <w:hyperlink r:id="rId173" w:anchor="a985064" w:history="1">
        <w:r w:rsidRPr="009B5E0F">
          <w:rPr>
            <w:rFonts w:asciiTheme="minorHAnsi" w:hAnsiTheme="minorHAnsi"/>
            <w:i/>
            <w:iCs/>
            <w:color w:val="005A84"/>
            <w:sz w:val="24"/>
          </w:rPr>
          <w:t>Can procedural defects be corrected on appeal?</w:t>
        </w:r>
      </w:hyperlink>
      <w:r w:rsidRPr="009B5E0F">
        <w:rPr>
          <w:rFonts w:asciiTheme="minorHAnsi" w:hAnsiTheme="minorHAnsi"/>
          <w:i/>
          <w:iCs/>
          <w:sz w:val="24"/>
        </w:rPr>
        <w:t xml:space="preserve"> </w:t>
      </w:r>
      <w:r w:rsidRPr="009B5E0F">
        <w:rPr>
          <w:rFonts w:asciiTheme="minorHAnsi" w:hAnsiTheme="minorHAnsi"/>
          <w:sz w:val="24"/>
        </w:rPr>
        <w:t xml:space="preserve">below for the implications of the distinction). In practice, seeking to categorise appeal hearings in this way can be unhelpful. As the Court of Appeal in </w:t>
      </w:r>
      <w:hyperlink r:id="rId174" w:history="1">
        <w:r w:rsidRPr="009B5E0F">
          <w:rPr>
            <w:rFonts w:asciiTheme="minorHAnsi" w:hAnsiTheme="minorHAnsi"/>
            <w:i/>
            <w:iCs/>
            <w:color w:val="005A84"/>
            <w:sz w:val="24"/>
          </w:rPr>
          <w:t>Taylor v OCS Group Ltd [2006] IRLR 613</w:t>
        </w:r>
        <w:r w:rsidRPr="009B5E0F">
          <w:rPr>
            <w:rFonts w:asciiTheme="minorHAnsi" w:hAnsiTheme="minorHAnsi"/>
            <w:i/>
            <w:iCs/>
            <w:vanish/>
            <w:color w:val="005A84"/>
            <w:sz w:val="24"/>
          </w:rPr>
          <w:t xml:space="preserve"> ( www.practicallaw.com/4-376-0137) </w:t>
        </w:r>
      </w:hyperlink>
      <w:r w:rsidRPr="009B5E0F">
        <w:rPr>
          <w:rFonts w:asciiTheme="minorHAnsi" w:hAnsiTheme="minorHAnsi"/>
          <w:sz w:val="24"/>
        </w:rPr>
        <w:t>observed:</w:t>
      </w:r>
    </w:p>
    <w:p w:rsidR="00F124F2" w:rsidRPr="009B5E0F" w:rsidRDefault="00F124F2" w:rsidP="00F124F2">
      <w:pPr>
        <w:rPr>
          <w:rFonts w:asciiTheme="minorHAnsi" w:hAnsiTheme="minorHAnsi"/>
          <w:sz w:val="24"/>
        </w:rPr>
      </w:pPr>
      <w:r w:rsidRPr="009B5E0F">
        <w:rPr>
          <w:rFonts w:asciiTheme="minorHAnsi" w:hAnsiTheme="minorHAnsi"/>
          <w:sz w:val="24"/>
        </w:rPr>
        <w:t>"</w:t>
      </w:r>
      <w:proofErr w:type="gramStart"/>
      <w:r w:rsidRPr="009B5E0F">
        <w:rPr>
          <w:rFonts w:asciiTheme="minorHAnsi" w:hAnsiTheme="minorHAnsi"/>
          <w:sz w:val="24"/>
        </w:rPr>
        <w:t>the</w:t>
      </w:r>
      <w:proofErr w:type="gramEnd"/>
      <w:r w:rsidRPr="009B5E0F">
        <w:rPr>
          <w:rFonts w:asciiTheme="minorHAnsi" w:hAnsiTheme="minorHAnsi"/>
          <w:sz w:val="24"/>
        </w:rPr>
        <w:t xml:space="preserve"> distinction between a review and a rehearing is hard to define in the abstract and even harder to apply in practice ... What matters is not whether the internal appeal was technically a rehearing or a review but whether the disciplinary process as a whole was fair." (Smith LJ at paragraph 46) </w:t>
      </w:r>
    </w:p>
    <w:p w:rsidR="00F124F2" w:rsidRPr="009B5E0F" w:rsidRDefault="00F124F2" w:rsidP="00F124F2">
      <w:pPr>
        <w:rPr>
          <w:rFonts w:asciiTheme="minorHAnsi" w:hAnsiTheme="minorHAnsi"/>
          <w:sz w:val="24"/>
        </w:rPr>
      </w:pPr>
      <w:r w:rsidRPr="009B5E0F">
        <w:rPr>
          <w:rFonts w:asciiTheme="minorHAnsi" w:hAnsiTheme="minorHAnsi"/>
          <w:sz w:val="24"/>
        </w:rPr>
        <w:t xml:space="preserve">Nonetheless if an employer's disciplinary policy dictates that an appeal will be conducted as a rehearing, rather than a review, in certain circumstances, the employee should be told what format the hearing will take. </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The manager conducting the appeal should have access to the evidence compiled during the investigation and copies of the notes from the disciplinary meeting. However, he should not confer with the initial decision-maker prior to the appeal meeting as this may lead to a biased view being taken before the employee has presented his arguments on appeal.</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Employees have the same right to be accompanied at a disciplinary appeal as at an initial disciplinary meeting (see </w:t>
      </w:r>
      <w:hyperlink r:id="rId175" w:anchor="a1027105" w:history="1">
        <w:r w:rsidRPr="009B5E0F">
          <w:rPr>
            <w:rFonts w:asciiTheme="minorHAnsi" w:hAnsiTheme="minorHAnsi"/>
            <w:i/>
            <w:iCs/>
            <w:color w:val="005A84"/>
            <w:sz w:val="24"/>
          </w:rPr>
          <w:t>Right to be accompanied</w:t>
        </w:r>
      </w:hyperlink>
      <w:r w:rsidRPr="009B5E0F">
        <w:rPr>
          <w:rFonts w:asciiTheme="minorHAnsi" w:hAnsiTheme="minorHAnsi"/>
          <w:sz w:val="24"/>
        </w:rPr>
        <w:t xml:space="preserve">). </w:t>
      </w:r>
    </w:p>
    <w:p w:rsidR="00F124F2" w:rsidRPr="009B5E0F" w:rsidRDefault="00F124F2" w:rsidP="00F124F2">
      <w:pPr>
        <w:spacing w:before="100" w:beforeAutospacing="1" w:after="100" w:afterAutospacing="1"/>
        <w:outlineLvl w:val="3"/>
        <w:rPr>
          <w:rFonts w:asciiTheme="minorHAnsi" w:hAnsiTheme="minorHAnsi"/>
          <w:b/>
          <w:bCs/>
          <w:sz w:val="24"/>
        </w:rPr>
      </w:pPr>
      <w:bookmarkStart w:id="68" w:name="a985064"/>
      <w:bookmarkEnd w:id="68"/>
      <w:r w:rsidRPr="009B5E0F">
        <w:rPr>
          <w:rFonts w:asciiTheme="minorHAnsi" w:hAnsiTheme="minorHAnsi"/>
          <w:b/>
          <w:bCs/>
          <w:sz w:val="24"/>
        </w:rPr>
        <w:t>Can procedural defects be corrected on appeal?</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It is possible that procedural defects in an initial disciplinary hearing may be remedied on appeal, provided that the appeal is sufficiently comprehensive. Following </w:t>
      </w:r>
      <w:hyperlink r:id="rId176" w:history="1">
        <w:r w:rsidRPr="009B5E0F">
          <w:rPr>
            <w:rFonts w:asciiTheme="minorHAnsi" w:hAnsiTheme="minorHAnsi"/>
            <w:i/>
            <w:iCs/>
            <w:color w:val="005A84"/>
            <w:sz w:val="24"/>
          </w:rPr>
          <w:t>Whitbread v Mills [1988] IRLR 501</w:t>
        </w:r>
      </w:hyperlink>
      <w:r w:rsidRPr="009B5E0F">
        <w:rPr>
          <w:rFonts w:asciiTheme="minorHAnsi" w:hAnsiTheme="minorHAnsi"/>
          <w:sz w:val="24"/>
        </w:rPr>
        <w:t xml:space="preserve">, it had been understood that this could only be achieved by conducting the appeal as a rehearing rather than a review. However, the Court of Appeal in </w:t>
      </w:r>
      <w:hyperlink r:id="rId177" w:history="1">
        <w:r w:rsidRPr="009B5E0F">
          <w:rPr>
            <w:rFonts w:asciiTheme="minorHAnsi" w:hAnsiTheme="minorHAnsi"/>
            <w:i/>
            <w:iCs/>
            <w:color w:val="005A84"/>
            <w:sz w:val="24"/>
          </w:rPr>
          <w:t xml:space="preserve">Taylor v OCS Group Ltd </w:t>
        </w:r>
      </w:hyperlink>
      <w:r w:rsidRPr="009B5E0F">
        <w:rPr>
          <w:rFonts w:asciiTheme="minorHAnsi" w:hAnsiTheme="minorHAnsi"/>
          <w:sz w:val="24"/>
        </w:rPr>
        <w:t xml:space="preserve">took the view that no such rule existed, as it would place a fetter on the discretion of the tribunal when considering the test in </w:t>
      </w:r>
      <w:r w:rsidRPr="009B5E0F">
        <w:rPr>
          <w:rFonts w:asciiTheme="minorHAnsi" w:hAnsiTheme="minorHAnsi"/>
          <w:i/>
          <w:iCs/>
          <w:sz w:val="24"/>
        </w:rPr>
        <w:t>section 98(4) ERA</w:t>
      </w:r>
      <w:r w:rsidRPr="009B5E0F">
        <w:rPr>
          <w:rFonts w:asciiTheme="minorHAnsi" w:hAnsiTheme="minorHAnsi"/>
          <w:sz w:val="24"/>
        </w:rPr>
        <w:t>.</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However, defects in the appeal procedure itself will not necessarily render unfair a dismissal that had, up to that point, been fair. In </w:t>
      </w:r>
      <w:hyperlink r:id="rId178" w:history="1">
        <w:r w:rsidRPr="009B5E0F">
          <w:rPr>
            <w:rFonts w:asciiTheme="minorHAnsi" w:hAnsiTheme="minorHAnsi"/>
            <w:i/>
            <w:iCs/>
            <w:color w:val="005A84"/>
            <w:sz w:val="24"/>
          </w:rPr>
          <w:t xml:space="preserve">London Central Bus Company Ltd v </w:t>
        </w:r>
        <w:r w:rsidRPr="009B5E0F">
          <w:rPr>
            <w:rFonts w:asciiTheme="minorHAnsi" w:hAnsiTheme="minorHAnsi"/>
            <w:i/>
            <w:iCs/>
            <w:color w:val="005A84"/>
            <w:sz w:val="24"/>
          </w:rPr>
          <w:lastRenderedPageBreak/>
          <w:t>Manning [2013] UKEAT/0103/13</w:t>
        </w:r>
      </w:hyperlink>
      <w:r w:rsidRPr="009B5E0F">
        <w:rPr>
          <w:rFonts w:asciiTheme="minorHAnsi" w:hAnsiTheme="minorHAnsi"/>
          <w:sz w:val="24"/>
        </w:rPr>
        <w:t>, the EAT allowed an employer’s appeal against the tribunal’s finding of unfair dismissal. The tribunal had held that the employee had been dismissed fairly in the first instance. However, at the internal appeal hearing, the employer had failed to show him a list of alternative vacancies that it had prepared. Although the tribunal found that none of the positions would have been suitable, it held that this procedural defect rendered his dismissal unfair. The EAT disagreed, holding that this type of inconsequential procedural error could not render a previously fair dismissal unfair.</w:t>
      </w:r>
    </w:p>
    <w:p w:rsidR="00F124F2" w:rsidRPr="009B5E0F" w:rsidRDefault="00F124F2" w:rsidP="00F124F2">
      <w:pPr>
        <w:spacing w:before="100" w:beforeAutospacing="1" w:after="100" w:afterAutospacing="1"/>
        <w:outlineLvl w:val="3"/>
        <w:rPr>
          <w:rFonts w:asciiTheme="minorHAnsi" w:hAnsiTheme="minorHAnsi"/>
          <w:b/>
          <w:bCs/>
          <w:sz w:val="24"/>
        </w:rPr>
      </w:pPr>
      <w:bookmarkStart w:id="69" w:name="a764802"/>
      <w:bookmarkEnd w:id="69"/>
      <w:r w:rsidRPr="009B5E0F">
        <w:rPr>
          <w:rFonts w:asciiTheme="minorHAnsi" w:hAnsiTheme="minorHAnsi"/>
          <w:b/>
          <w:bCs/>
          <w:sz w:val="24"/>
        </w:rPr>
        <w:t>External appeal panel</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Although there is no obligation to do so under the </w:t>
      </w:r>
      <w:proofErr w:type="spellStart"/>
      <w:r w:rsidRPr="009B5E0F">
        <w:rPr>
          <w:rFonts w:asciiTheme="minorHAnsi" w:hAnsiTheme="minorHAnsi"/>
          <w:sz w:val="24"/>
        </w:rPr>
        <w:t>Acas</w:t>
      </w:r>
      <w:proofErr w:type="spellEnd"/>
      <w:r w:rsidRPr="009B5E0F">
        <w:rPr>
          <w:rFonts w:asciiTheme="minorHAnsi" w:hAnsiTheme="minorHAnsi"/>
          <w:sz w:val="24"/>
        </w:rPr>
        <w:t xml:space="preserve"> Code, occasionally some employers will refer appeals to an external independent panel. It is usually small employers who do this where there is a lack of management level employees to hear the appeal. Where an independent panel has been used, it will not necessarily be unreasonable for the employer to stick to its original decision, depending on its reasons for not implementing the panel's decision.</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In </w:t>
      </w:r>
      <w:hyperlink r:id="rId179" w:history="1">
        <w:r w:rsidRPr="009B5E0F">
          <w:rPr>
            <w:rFonts w:asciiTheme="minorHAnsi" w:hAnsiTheme="minorHAnsi"/>
            <w:i/>
            <w:iCs/>
            <w:color w:val="005A84"/>
            <w:sz w:val="24"/>
          </w:rPr>
          <w:t>Kisoka v Ratnpinyotip (t/a Rydevale Day Nursery) UKEAT 0311/13</w:t>
        </w:r>
      </w:hyperlink>
      <w:r w:rsidRPr="009B5E0F">
        <w:rPr>
          <w:rFonts w:asciiTheme="minorHAnsi" w:hAnsiTheme="minorHAnsi"/>
          <w:sz w:val="24"/>
        </w:rPr>
        <w:t xml:space="preserve">, an employer chose not to implement the decision of an independent appeal panel, but this did not make the dismissal unfair (see </w:t>
      </w:r>
      <w:hyperlink r:id="rId180" w:history="1">
        <w:r w:rsidRPr="009B5E0F">
          <w:rPr>
            <w:rFonts w:asciiTheme="minorHAnsi" w:hAnsiTheme="minorHAnsi"/>
            <w:i/>
            <w:iCs/>
            <w:color w:val="005A84"/>
            <w:sz w:val="24"/>
          </w:rPr>
          <w:t>Legal update, Fair dismissal despite employer's failure to follow independent panel's decision on appeal</w:t>
        </w:r>
        <w:r w:rsidRPr="009B5E0F">
          <w:rPr>
            <w:rFonts w:asciiTheme="minorHAnsi" w:hAnsiTheme="minorHAnsi"/>
            <w:i/>
            <w:iCs/>
            <w:vanish/>
            <w:color w:val="005A84"/>
            <w:sz w:val="24"/>
          </w:rPr>
          <w:t xml:space="preserve"> ( www.practicallaw.com/1-557-9325) </w:t>
        </w:r>
      </w:hyperlink>
      <w:r w:rsidRPr="009B5E0F">
        <w:rPr>
          <w:rFonts w:asciiTheme="minorHAnsi" w:hAnsiTheme="minorHAnsi"/>
          <w:sz w:val="24"/>
        </w:rPr>
        <w:t xml:space="preserve">). However, it is important to note that there were several factors present in that case, including the fact that the employer was a nursery and responsible for the welfare of children, which affected the findings of the tribunal and EAT. It was also relevant that the tribunal had found the employer's initial investigation reasonable. </w:t>
      </w:r>
    </w:p>
    <w:p w:rsidR="00F124F2" w:rsidRPr="009B5E0F" w:rsidRDefault="00F124F2" w:rsidP="00F124F2">
      <w:pPr>
        <w:spacing w:before="100" w:beforeAutospacing="1" w:after="100" w:afterAutospacing="1"/>
        <w:outlineLvl w:val="2"/>
        <w:rPr>
          <w:rFonts w:asciiTheme="minorHAnsi" w:hAnsiTheme="minorHAnsi"/>
          <w:b/>
          <w:bCs/>
          <w:sz w:val="24"/>
        </w:rPr>
      </w:pPr>
      <w:bookmarkStart w:id="70" w:name="a418363"/>
      <w:bookmarkEnd w:id="70"/>
      <w:r w:rsidRPr="009B5E0F">
        <w:rPr>
          <w:rFonts w:asciiTheme="minorHAnsi" w:hAnsiTheme="minorHAnsi"/>
          <w:b/>
          <w:bCs/>
          <w:sz w:val="24"/>
        </w:rPr>
        <w:t>New evidence at the appeal stage</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If new evidence arises during the course of the appeal, the employee, or their companion if they prefer, should be given the opportunity to comment on it before a decision on the appeal is taken (</w:t>
      </w:r>
      <w:r w:rsidRPr="009B5E0F">
        <w:rPr>
          <w:rFonts w:asciiTheme="minorHAnsi" w:hAnsiTheme="minorHAnsi"/>
          <w:i/>
          <w:iCs/>
          <w:sz w:val="24"/>
        </w:rPr>
        <w:t xml:space="preserve">page 34, non-statutory </w:t>
      </w:r>
      <w:proofErr w:type="spellStart"/>
      <w:r w:rsidRPr="009B5E0F">
        <w:rPr>
          <w:rFonts w:asciiTheme="minorHAnsi" w:hAnsiTheme="minorHAnsi"/>
          <w:i/>
          <w:iCs/>
          <w:sz w:val="24"/>
        </w:rPr>
        <w:t>Acas</w:t>
      </w:r>
      <w:proofErr w:type="spellEnd"/>
      <w:r w:rsidRPr="009B5E0F">
        <w:rPr>
          <w:rFonts w:asciiTheme="minorHAnsi" w:hAnsiTheme="minorHAnsi"/>
          <w:i/>
          <w:iCs/>
          <w:sz w:val="24"/>
        </w:rPr>
        <w:t xml:space="preserve"> guide</w:t>
      </w:r>
      <w:r w:rsidRPr="009B5E0F">
        <w:rPr>
          <w:rFonts w:asciiTheme="minorHAnsi" w:hAnsiTheme="minorHAnsi"/>
          <w:sz w:val="24"/>
        </w:rPr>
        <w:t xml:space="preserve">). </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New evidence arising at the appeal stage may be taken into account in justifying a dismissal, even if the evidence available at the initial disciplinary hearing would not have justified it. This is the case even if the appeal is a review and not a re-hearing (</w:t>
      </w:r>
      <w:hyperlink r:id="rId181" w:history="1">
        <w:r w:rsidRPr="009B5E0F">
          <w:rPr>
            <w:rFonts w:asciiTheme="minorHAnsi" w:hAnsiTheme="minorHAnsi"/>
            <w:i/>
            <w:iCs/>
            <w:color w:val="005A84"/>
            <w:sz w:val="24"/>
          </w:rPr>
          <w:t>Arriva North West &amp; Wales v Colebourn UKEAT/0439/05</w:t>
        </w:r>
      </w:hyperlink>
      <w:r w:rsidRPr="009B5E0F">
        <w:rPr>
          <w:rFonts w:asciiTheme="minorHAnsi" w:hAnsiTheme="minorHAnsi"/>
          <w:sz w:val="24"/>
        </w:rPr>
        <w:t xml:space="preserve">; </w:t>
      </w:r>
      <w:hyperlink r:id="rId182" w:history="1">
        <w:r w:rsidRPr="009B5E0F">
          <w:rPr>
            <w:rFonts w:asciiTheme="minorHAnsi" w:hAnsiTheme="minorHAnsi"/>
            <w:i/>
            <w:iCs/>
            <w:color w:val="005A84"/>
            <w:sz w:val="24"/>
          </w:rPr>
          <w:t>Legal update, Disciplinary hearings: evidence from a review appeal could be taken into account</w:t>
        </w:r>
        <w:r w:rsidRPr="009B5E0F">
          <w:rPr>
            <w:rFonts w:asciiTheme="minorHAnsi" w:hAnsiTheme="minorHAnsi"/>
            <w:i/>
            <w:iCs/>
            <w:vanish/>
            <w:color w:val="005A84"/>
            <w:sz w:val="24"/>
          </w:rPr>
          <w:t xml:space="preserve"> ( www.practicallaw.com/0-201-6419) </w:t>
        </w:r>
      </w:hyperlink>
      <w:r w:rsidRPr="009B5E0F">
        <w:rPr>
          <w:rFonts w:asciiTheme="minorHAnsi" w:hAnsiTheme="minorHAnsi"/>
          <w:sz w:val="24"/>
        </w:rPr>
        <w:t>). Equally, an employer may act unreasonably in maintaining a decision that was justified on the facts known at the time of dismissal but which could not be sustained in light of the facts available on appeal (</w:t>
      </w:r>
      <w:r w:rsidRPr="009B5E0F">
        <w:rPr>
          <w:rFonts w:asciiTheme="minorHAnsi" w:hAnsiTheme="minorHAnsi"/>
          <w:i/>
          <w:iCs/>
          <w:sz w:val="24"/>
        </w:rPr>
        <w:t>West Midland Co-operative Society Ltd v Tipton</w:t>
      </w:r>
      <w:r w:rsidRPr="009B5E0F">
        <w:rPr>
          <w:rFonts w:asciiTheme="minorHAnsi" w:hAnsiTheme="minorHAnsi"/>
          <w:sz w:val="24"/>
        </w:rPr>
        <w:t>).</w:t>
      </w:r>
    </w:p>
    <w:p w:rsidR="009B5E0F"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The Court of Appeal's decision in </w:t>
      </w:r>
      <w:r w:rsidRPr="009B5E0F">
        <w:rPr>
          <w:rFonts w:asciiTheme="minorHAnsi" w:hAnsiTheme="minorHAnsi"/>
          <w:i/>
          <w:iCs/>
          <w:sz w:val="24"/>
        </w:rPr>
        <w:t>Crawford</w:t>
      </w:r>
      <w:r w:rsidRPr="009B5E0F">
        <w:rPr>
          <w:rFonts w:asciiTheme="minorHAnsi" w:hAnsiTheme="minorHAnsi"/>
          <w:sz w:val="24"/>
        </w:rPr>
        <w:t xml:space="preserve"> suggests that it is not the employee's job to raise all procedural defects with the original disciplinary procedure with the appeal panel; it is for the employer to uncover them. Elias LJ commented, "</w:t>
      </w:r>
      <w:proofErr w:type="gramStart"/>
      <w:r w:rsidRPr="009B5E0F">
        <w:rPr>
          <w:rFonts w:asciiTheme="minorHAnsi" w:hAnsiTheme="minorHAnsi"/>
          <w:sz w:val="24"/>
        </w:rPr>
        <w:t>it</w:t>
      </w:r>
      <w:proofErr w:type="gramEnd"/>
      <w:r w:rsidRPr="009B5E0F">
        <w:rPr>
          <w:rFonts w:asciiTheme="minorHAnsi" w:hAnsiTheme="minorHAnsi"/>
          <w:sz w:val="24"/>
        </w:rPr>
        <w:t xml:space="preserve"> cannot be enough for an employer to say that although a fair procedure was not adopted, </w:t>
      </w:r>
      <w:r w:rsidRPr="009B5E0F">
        <w:rPr>
          <w:rFonts w:asciiTheme="minorHAnsi" w:hAnsiTheme="minorHAnsi"/>
          <w:sz w:val="24"/>
        </w:rPr>
        <w:lastRenderedPageBreak/>
        <w:t xml:space="preserve">the responsibility for failing to remedy it lies at the door of the employee for failing to alert him to the error" </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However, evidence that comes to light at the appeal stage may only be considered by a tribunal for the purpose of assessing the fairness of a dismissal, if it justifies the original reason for the dismissal relied on at the disciplinary stage. If the evidence demonstrates that a different reason would justify dismissal (and not the reason actually given at the disciplinary stage), an employer would not be able to rely on it to justify the dismissal (</w:t>
      </w:r>
      <w:hyperlink r:id="rId183" w:history="1">
        <w:r w:rsidRPr="009B5E0F">
          <w:rPr>
            <w:rFonts w:asciiTheme="minorHAnsi" w:hAnsiTheme="minorHAnsi"/>
            <w:i/>
            <w:iCs/>
            <w:color w:val="005A84"/>
            <w:sz w:val="24"/>
          </w:rPr>
          <w:t xml:space="preserve">National Heart and Chest Hospitals Board of Governors v </w:t>
        </w:r>
        <w:proofErr w:type="spellStart"/>
        <w:r w:rsidRPr="009B5E0F">
          <w:rPr>
            <w:rFonts w:asciiTheme="minorHAnsi" w:hAnsiTheme="minorHAnsi"/>
            <w:i/>
            <w:iCs/>
            <w:color w:val="005A84"/>
            <w:sz w:val="24"/>
          </w:rPr>
          <w:t>Nambiar</w:t>
        </w:r>
        <w:proofErr w:type="spellEnd"/>
        <w:r w:rsidRPr="009B5E0F">
          <w:rPr>
            <w:rFonts w:asciiTheme="minorHAnsi" w:hAnsiTheme="minorHAnsi"/>
            <w:i/>
            <w:iCs/>
            <w:color w:val="005A84"/>
            <w:sz w:val="24"/>
          </w:rPr>
          <w:t xml:space="preserve"> [1981] IRLR 196</w:t>
        </w:r>
      </w:hyperlink>
      <w:r w:rsidRPr="009B5E0F">
        <w:rPr>
          <w:rFonts w:asciiTheme="minorHAnsi" w:hAnsiTheme="minorHAnsi"/>
          <w:sz w:val="24"/>
        </w:rPr>
        <w:t xml:space="preserve">). </w:t>
      </w:r>
    </w:p>
    <w:p w:rsidR="00F124F2" w:rsidRPr="009B5E0F" w:rsidRDefault="00E24314" w:rsidP="00F124F2">
      <w:pPr>
        <w:spacing w:before="100" w:beforeAutospacing="1" w:after="100" w:afterAutospacing="1"/>
        <w:outlineLvl w:val="2"/>
        <w:rPr>
          <w:rFonts w:asciiTheme="minorHAnsi" w:hAnsiTheme="minorHAnsi"/>
          <w:b/>
          <w:bCs/>
          <w:sz w:val="24"/>
        </w:rPr>
      </w:pPr>
      <w:bookmarkStart w:id="71" w:name="a576149"/>
      <w:bookmarkEnd w:id="71"/>
      <w:r>
        <w:rPr>
          <w:rFonts w:asciiTheme="minorHAnsi" w:hAnsiTheme="minorHAnsi"/>
          <w:b/>
          <w:bCs/>
          <w:sz w:val="24"/>
        </w:rPr>
        <w:t>I</w:t>
      </w:r>
      <w:r w:rsidR="00F124F2" w:rsidRPr="009B5E0F">
        <w:rPr>
          <w:rFonts w:asciiTheme="minorHAnsi" w:hAnsiTheme="minorHAnsi"/>
          <w:b/>
          <w:bCs/>
          <w:sz w:val="24"/>
        </w:rPr>
        <w:t>ncreasing the sanction at the appeal stage</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What options are available to an employer if, after rehearing the evidence at appeal, it considers that a greater sanction should have been imposed? This issue was considered by the Court of Appeal in </w:t>
      </w:r>
      <w:hyperlink r:id="rId184" w:history="1">
        <w:r w:rsidRPr="009B5E0F">
          <w:rPr>
            <w:rFonts w:asciiTheme="minorHAnsi" w:hAnsiTheme="minorHAnsi"/>
            <w:i/>
            <w:iCs/>
            <w:color w:val="005A84"/>
            <w:sz w:val="24"/>
          </w:rPr>
          <w:t>McMillan v Airedale NHS Foundation Trust [2014] EWCA Civ 1031</w:t>
        </w:r>
      </w:hyperlink>
      <w:r w:rsidRPr="009B5E0F">
        <w:rPr>
          <w:rFonts w:asciiTheme="minorHAnsi" w:hAnsiTheme="minorHAnsi"/>
          <w:sz w:val="24"/>
        </w:rPr>
        <w:t xml:space="preserve">. The court held that it was not open to an employer to change a final written warning to a dismissal, as its contractual disciplinary procedure did not specifically allow it to increase a sanction on appeal. </w:t>
      </w:r>
      <w:r w:rsidR="009B5E0F" w:rsidRPr="009B5E0F">
        <w:rPr>
          <w:rFonts w:asciiTheme="minorHAnsi" w:hAnsiTheme="minorHAnsi"/>
          <w:sz w:val="24"/>
        </w:rPr>
        <w:t>I</w:t>
      </w:r>
      <w:r w:rsidRPr="009B5E0F">
        <w:rPr>
          <w:rFonts w:asciiTheme="minorHAnsi" w:hAnsiTheme="minorHAnsi"/>
          <w:sz w:val="24"/>
        </w:rPr>
        <w:t xml:space="preserve">t was noted that there was nothing to prevent employers providing for an express power to increase the sanction on appeal. However, the non-statutory </w:t>
      </w:r>
      <w:proofErr w:type="spellStart"/>
      <w:r w:rsidRPr="009B5E0F">
        <w:rPr>
          <w:rFonts w:asciiTheme="minorHAnsi" w:hAnsiTheme="minorHAnsi"/>
          <w:sz w:val="24"/>
        </w:rPr>
        <w:t>Acas</w:t>
      </w:r>
      <w:proofErr w:type="spellEnd"/>
      <w:r w:rsidRPr="009B5E0F">
        <w:rPr>
          <w:rFonts w:asciiTheme="minorHAnsi" w:hAnsiTheme="minorHAnsi"/>
          <w:sz w:val="24"/>
        </w:rPr>
        <w:t xml:space="preserve"> guide warns against appeals being used as an opportunity to punish employees for appealing the original decision, stating that "it should not result in any increase in penalty as this may deter individuals from appealing" (</w:t>
      </w:r>
      <w:r w:rsidRPr="009B5E0F">
        <w:rPr>
          <w:rFonts w:asciiTheme="minorHAnsi" w:hAnsiTheme="minorHAnsi"/>
          <w:i/>
          <w:iCs/>
          <w:sz w:val="24"/>
        </w:rPr>
        <w:t>page 34</w:t>
      </w:r>
      <w:r w:rsidRPr="009B5E0F">
        <w:rPr>
          <w:rFonts w:asciiTheme="minorHAnsi" w:hAnsiTheme="minorHAnsi"/>
          <w:sz w:val="24"/>
        </w:rPr>
        <w:t>).</w:t>
      </w:r>
    </w:p>
    <w:p w:rsidR="00F124F2" w:rsidRPr="009B5E0F" w:rsidRDefault="00F124F2" w:rsidP="00F124F2">
      <w:pPr>
        <w:rPr>
          <w:rFonts w:asciiTheme="minorHAnsi" w:hAnsiTheme="minorHAnsi"/>
          <w:vanish/>
          <w:sz w:val="24"/>
        </w:rPr>
      </w:pPr>
      <w:r w:rsidRPr="009B5E0F">
        <w:rPr>
          <w:rFonts w:asciiTheme="minorHAnsi" w:hAnsiTheme="minorHAnsi"/>
          <w:sz w:val="24"/>
        </w:rPr>
        <w:t> </w:t>
      </w:r>
      <w:hyperlink r:id="rId185" w:anchor="top" w:tooltip="Link to the top of the document" w:history="1">
        <w:r w:rsidRPr="009B5E0F">
          <w:rPr>
            <w:rFonts w:asciiTheme="minorHAnsi" w:hAnsiTheme="minorHAnsi"/>
            <w:vanish/>
            <w:color w:val="005A84"/>
            <w:sz w:val="24"/>
          </w:rPr>
          <w:t>Top</w:t>
        </w:r>
      </w:hyperlink>
    </w:p>
    <w:p w:rsidR="00F124F2" w:rsidRPr="009B5E0F" w:rsidRDefault="00F124F2" w:rsidP="00F124F2">
      <w:pPr>
        <w:spacing w:before="100" w:beforeAutospacing="1" w:after="100" w:afterAutospacing="1"/>
        <w:outlineLvl w:val="2"/>
        <w:rPr>
          <w:rFonts w:asciiTheme="minorHAnsi" w:hAnsiTheme="minorHAnsi"/>
          <w:b/>
          <w:bCs/>
          <w:sz w:val="24"/>
        </w:rPr>
      </w:pPr>
      <w:bookmarkStart w:id="72" w:name="a809991"/>
      <w:bookmarkStart w:id="73" w:name="a889487"/>
      <w:bookmarkEnd w:id="72"/>
      <w:bookmarkEnd w:id="73"/>
      <w:r w:rsidRPr="009B5E0F">
        <w:rPr>
          <w:rFonts w:asciiTheme="minorHAnsi" w:hAnsiTheme="minorHAnsi"/>
          <w:b/>
          <w:bCs/>
          <w:sz w:val="24"/>
        </w:rPr>
        <w:t>Minutes of hearings</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Some employers may wish to arrange for a minute taker to be present at disciplinary and appeal meetings and for minutes to be supplied to attendees following the meetings. It is not advisable to provide for these minutes to be "agreed" by the employee involved as this could lead to major delays and disputes. The employee could instead be asked to register any comments and if the comments are not agreed by the employer, a note of the points in dispute can simply be appended to the minutes. </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When deliberating in private, disciplinary or investigatory panels might consider keeping a confidential note of any reasoning if they are concerned that allegations of discrimination may be made in the future. Whilst such a note would not form part of the minutes provided to the employee, it could be produced to defend any allegations if matters proceed to litigation.</w:t>
      </w:r>
    </w:p>
    <w:p w:rsidR="00F124F2" w:rsidRPr="009B5E0F" w:rsidRDefault="00F124F2" w:rsidP="00F124F2">
      <w:pPr>
        <w:spacing w:before="100" w:beforeAutospacing="1" w:after="100" w:afterAutospacing="1"/>
        <w:outlineLvl w:val="2"/>
        <w:rPr>
          <w:rFonts w:asciiTheme="minorHAnsi" w:hAnsiTheme="minorHAnsi"/>
          <w:b/>
          <w:bCs/>
          <w:sz w:val="24"/>
        </w:rPr>
      </w:pPr>
      <w:bookmarkStart w:id="74" w:name="a443647"/>
      <w:bookmarkEnd w:id="74"/>
      <w:r w:rsidRPr="009B5E0F">
        <w:rPr>
          <w:rFonts w:asciiTheme="minorHAnsi" w:hAnsiTheme="minorHAnsi"/>
          <w:b/>
          <w:bCs/>
          <w:sz w:val="24"/>
        </w:rPr>
        <w:t>Covert recording of hearings</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When an employee secretly records an internal meeting or hearing with the employer, the general rule is that the recording of any parts of the meeting where the employee was present may be admissible before an employment tribunal if the tribunal believes it is relevant; but any covert recording of any private discussions of </w:t>
      </w:r>
      <w:r w:rsidRPr="009B5E0F">
        <w:rPr>
          <w:rFonts w:asciiTheme="minorHAnsi" w:hAnsiTheme="minorHAnsi"/>
          <w:sz w:val="24"/>
        </w:rPr>
        <w:lastRenderedPageBreak/>
        <w:t>the employer's disciplinary panel will not be admissible on the grounds of public policy (</w:t>
      </w:r>
      <w:hyperlink r:id="rId186" w:history="1">
        <w:r w:rsidRPr="009B5E0F">
          <w:rPr>
            <w:rFonts w:asciiTheme="minorHAnsi" w:hAnsiTheme="minorHAnsi"/>
            <w:i/>
            <w:iCs/>
            <w:color w:val="005A84"/>
            <w:sz w:val="24"/>
          </w:rPr>
          <w:t>Amwell View School v Dogherty [2007] IRLR 198 (EAT)</w:t>
        </w:r>
      </w:hyperlink>
      <w:r w:rsidRPr="009B5E0F">
        <w:rPr>
          <w:rFonts w:asciiTheme="minorHAnsi" w:hAnsiTheme="minorHAnsi"/>
          <w:sz w:val="24"/>
        </w:rPr>
        <w:t xml:space="preserve">). An exception to this rule was made in </w:t>
      </w:r>
      <w:hyperlink r:id="rId187" w:history="1">
        <w:r w:rsidRPr="009B5E0F">
          <w:rPr>
            <w:rFonts w:asciiTheme="minorHAnsi" w:hAnsiTheme="minorHAnsi"/>
            <w:i/>
            <w:iCs/>
            <w:color w:val="005A84"/>
            <w:sz w:val="24"/>
          </w:rPr>
          <w:t>Punjab National Bank (International) Ltd &amp; Ors v Gosain UKEAT0003/14</w:t>
        </w:r>
      </w:hyperlink>
      <w:r w:rsidRPr="009B5E0F">
        <w:rPr>
          <w:rFonts w:asciiTheme="minorHAnsi" w:hAnsiTheme="minorHAnsi"/>
          <w:sz w:val="24"/>
        </w:rPr>
        <w:t xml:space="preserve"> in which comments made during private discussions fell outside the area of legitimate consideration for the disciplinary panel.</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In practical terms, employers may wish to ensure that their disciplinary procedures or staff handbook expressly prohibit employees from recording hearings. This will undoubtedly assist with establishing clear "ground rules" for the conduct of hearings. Some employers at the start of a disciplinary or investigatory meeting will inform the employee that they must not record the meeting and ask them to confirm that they are not doing so. However, while these steps may mean that an employee who covertly records a meeting might be guilty of misconduct (for which they can be separately disciplined), it does not necessarily mean that the recording itself is inadmissible in evidence.</w:t>
      </w:r>
    </w:p>
    <w:p w:rsidR="00F124F2" w:rsidRPr="009B5E0F" w:rsidRDefault="00F124F2" w:rsidP="00F124F2">
      <w:pPr>
        <w:spacing w:before="100" w:beforeAutospacing="1" w:after="100" w:afterAutospacing="1"/>
        <w:outlineLvl w:val="2"/>
        <w:rPr>
          <w:rFonts w:asciiTheme="minorHAnsi" w:hAnsiTheme="minorHAnsi"/>
          <w:b/>
          <w:bCs/>
          <w:sz w:val="24"/>
        </w:rPr>
      </w:pPr>
      <w:bookmarkStart w:id="75" w:name="a729801"/>
      <w:bookmarkEnd w:id="75"/>
      <w:r w:rsidRPr="009B5E0F">
        <w:rPr>
          <w:rFonts w:asciiTheme="minorHAnsi" w:hAnsiTheme="minorHAnsi"/>
          <w:b/>
          <w:bCs/>
          <w:sz w:val="24"/>
        </w:rPr>
        <w:t>Should spent warnings be kept on file?</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Employers may (and often do) state in warning letters or in the disciplinary/capability procedure itself that warnings will be removed altogether from the employee's record after a certain length of time. This is not required as a matter of law and may not be in the employer's best interests. Even though the warning may be "spent" as far as future disciplinary action is concerned, there are limited circumstances in which a spent warning may be taken into account (see </w:t>
      </w:r>
      <w:hyperlink r:id="rId188" w:anchor="a701252" w:history="1">
        <w:r w:rsidRPr="009B5E0F">
          <w:rPr>
            <w:rFonts w:asciiTheme="minorHAnsi" w:hAnsiTheme="minorHAnsi"/>
            <w:i/>
            <w:iCs/>
            <w:color w:val="005A84"/>
            <w:sz w:val="24"/>
          </w:rPr>
          <w:t>Warnings</w:t>
        </w:r>
      </w:hyperlink>
      <w:r w:rsidRPr="009B5E0F">
        <w:rPr>
          <w:rFonts w:asciiTheme="minorHAnsi" w:hAnsiTheme="minorHAnsi"/>
          <w:sz w:val="24"/>
        </w:rPr>
        <w:t>, above). There are also further reasons for keeping a record of the offence and the fact that a warning was given, particularly in misconduct cases. For example:</w:t>
      </w:r>
    </w:p>
    <w:p w:rsidR="00F124F2" w:rsidRPr="009B5E0F" w:rsidRDefault="00F124F2" w:rsidP="00F124F2">
      <w:pPr>
        <w:numPr>
          <w:ilvl w:val="0"/>
          <w:numId w:val="22"/>
        </w:numPr>
        <w:spacing w:before="100" w:beforeAutospacing="1" w:after="100" w:afterAutospacing="1"/>
        <w:ind w:left="0"/>
        <w:rPr>
          <w:rFonts w:asciiTheme="minorHAnsi" w:hAnsiTheme="minorHAnsi"/>
          <w:sz w:val="24"/>
        </w:rPr>
      </w:pPr>
      <w:r w:rsidRPr="009B5E0F">
        <w:rPr>
          <w:rFonts w:asciiTheme="minorHAnsi" w:hAnsiTheme="minorHAnsi"/>
          <w:sz w:val="24"/>
        </w:rPr>
        <w:t xml:space="preserve">When deciding whom to promote the employer may wish to take account of the candidates' full disciplinary or capability records. </w:t>
      </w:r>
    </w:p>
    <w:p w:rsidR="00F124F2" w:rsidRPr="009B5E0F" w:rsidRDefault="00F124F2" w:rsidP="00F124F2">
      <w:pPr>
        <w:numPr>
          <w:ilvl w:val="0"/>
          <w:numId w:val="22"/>
        </w:numPr>
        <w:spacing w:before="100" w:beforeAutospacing="1" w:after="100" w:afterAutospacing="1"/>
        <w:ind w:left="0"/>
        <w:rPr>
          <w:rFonts w:asciiTheme="minorHAnsi" w:hAnsiTheme="minorHAnsi"/>
          <w:sz w:val="24"/>
        </w:rPr>
      </w:pPr>
      <w:r w:rsidRPr="009B5E0F">
        <w:rPr>
          <w:rFonts w:asciiTheme="minorHAnsi" w:hAnsiTheme="minorHAnsi"/>
          <w:sz w:val="24"/>
        </w:rPr>
        <w:t xml:space="preserve">It may be necessary when giving a reference to consider the employee's full disciplinary or capability record, so as not to mislead the recipient. </w:t>
      </w:r>
    </w:p>
    <w:p w:rsidR="00F124F2" w:rsidRPr="009B5E0F" w:rsidRDefault="00F124F2" w:rsidP="00F124F2">
      <w:pPr>
        <w:numPr>
          <w:ilvl w:val="0"/>
          <w:numId w:val="22"/>
        </w:numPr>
        <w:spacing w:before="100" w:beforeAutospacing="1" w:after="100" w:afterAutospacing="1"/>
        <w:ind w:left="0"/>
        <w:rPr>
          <w:rFonts w:asciiTheme="minorHAnsi" w:hAnsiTheme="minorHAnsi"/>
          <w:sz w:val="24"/>
        </w:rPr>
      </w:pPr>
      <w:r w:rsidRPr="009B5E0F">
        <w:rPr>
          <w:rFonts w:asciiTheme="minorHAnsi" w:hAnsiTheme="minorHAnsi"/>
          <w:sz w:val="24"/>
        </w:rPr>
        <w:t>In establishing a defence to a harassment claim, the employer may need to show that it has taken a consistent line in the past in dealing with complaints of harassment.</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Disciplinary records going back a lot further than the usual six (or 12) month duration of a warning will often be invaluable in such cases.</w:t>
      </w:r>
    </w:p>
    <w:p w:rsidR="00F124F2" w:rsidRPr="009B5E0F" w:rsidRDefault="00F124F2" w:rsidP="00F124F2">
      <w:pPr>
        <w:spacing w:before="100" w:beforeAutospacing="1" w:after="100" w:afterAutospacing="1"/>
        <w:rPr>
          <w:rFonts w:asciiTheme="minorHAnsi" w:hAnsiTheme="minorHAnsi"/>
          <w:sz w:val="24"/>
        </w:rPr>
      </w:pPr>
      <w:r w:rsidRPr="009B5E0F">
        <w:rPr>
          <w:rFonts w:asciiTheme="minorHAnsi" w:hAnsiTheme="minorHAnsi"/>
          <w:sz w:val="24"/>
        </w:rPr>
        <w:t xml:space="preserve">The </w:t>
      </w:r>
      <w:hyperlink r:id="rId189" w:history="1">
        <w:r w:rsidRPr="009B5E0F">
          <w:rPr>
            <w:rFonts w:asciiTheme="minorHAnsi" w:hAnsiTheme="minorHAnsi"/>
            <w:i/>
            <w:iCs/>
            <w:color w:val="005A84"/>
            <w:sz w:val="24"/>
          </w:rPr>
          <w:t>Employment Practices Code</w:t>
        </w:r>
        <w:r w:rsidRPr="009B5E0F">
          <w:rPr>
            <w:rFonts w:asciiTheme="minorHAnsi" w:hAnsiTheme="minorHAnsi"/>
            <w:i/>
            <w:iCs/>
            <w:vanish/>
            <w:color w:val="005A84"/>
            <w:sz w:val="24"/>
          </w:rPr>
          <w:t xml:space="preserve"> ( www.practicallaw.com/8-200-9113) </w:t>
        </w:r>
      </w:hyperlink>
      <w:r w:rsidRPr="009B5E0F">
        <w:rPr>
          <w:rFonts w:asciiTheme="minorHAnsi" w:hAnsiTheme="minorHAnsi"/>
          <w:i/>
          <w:iCs/>
          <w:sz w:val="24"/>
        </w:rPr>
        <w:t>,</w:t>
      </w:r>
      <w:r w:rsidRPr="009B5E0F">
        <w:rPr>
          <w:rFonts w:asciiTheme="minorHAnsi" w:hAnsiTheme="minorHAnsi"/>
          <w:sz w:val="24"/>
        </w:rPr>
        <w:t xml:space="preserve"> issued by the Information Commissioner, states that where disciplinary procedures provide for warnings to "expire" it should be made clear whether the warning is removed entirely from the record or is simply disregarded in determining a future disciplinary penalty. If the former, a diary system or other suitable arrangements should be put in place to ensure that deletion actually takes place at the appropriate time (</w:t>
      </w:r>
      <w:r w:rsidRPr="009B5E0F">
        <w:rPr>
          <w:rFonts w:asciiTheme="minorHAnsi" w:hAnsiTheme="minorHAnsi"/>
          <w:i/>
          <w:iCs/>
          <w:sz w:val="24"/>
        </w:rPr>
        <w:t>paragraph 2.13.3, Employment Practices Code</w:t>
      </w:r>
      <w:r w:rsidRPr="009B5E0F">
        <w:rPr>
          <w:rFonts w:asciiTheme="minorHAnsi" w:hAnsiTheme="minorHAnsi"/>
          <w:sz w:val="24"/>
        </w:rPr>
        <w:t>).</w:t>
      </w:r>
    </w:p>
    <w:p w:rsidR="00F124F2" w:rsidRPr="009B5E0F" w:rsidRDefault="00F124F2" w:rsidP="00F124F2">
      <w:pPr>
        <w:rPr>
          <w:rFonts w:asciiTheme="minorHAnsi" w:hAnsiTheme="minorHAnsi"/>
          <w:sz w:val="24"/>
        </w:rPr>
      </w:pPr>
      <w:r w:rsidRPr="009B5E0F">
        <w:rPr>
          <w:rFonts w:asciiTheme="minorHAnsi" w:hAnsiTheme="minorHAnsi"/>
          <w:sz w:val="24"/>
        </w:rPr>
        <w:t xml:space="preserve">  </w:t>
      </w:r>
    </w:p>
    <w:p w:rsidR="00F124F2" w:rsidRPr="009B5E0F" w:rsidRDefault="00C929EC" w:rsidP="00F124F2">
      <w:pPr>
        <w:rPr>
          <w:rFonts w:asciiTheme="minorHAnsi" w:hAnsiTheme="minorHAnsi"/>
          <w:vanish/>
          <w:sz w:val="24"/>
        </w:rPr>
      </w:pPr>
      <w:hyperlink r:id="rId190" w:anchor="top" w:tooltip="Link to the top of the document" w:history="1">
        <w:r w:rsidR="00F124F2" w:rsidRPr="009B5E0F">
          <w:rPr>
            <w:rFonts w:asciiTheme="minorHAnsi" w:hAnsiTheme="minorHAnsi"/>
            <w:vanish/>
            <w:color w:val="005A84"/>
            <w:sz w:val="24"/>
          </w:rPr>
          <w:t>Top</w:t>
        </w:r>
      </w:hyperlink>
    </w:p>
    <w:p w:rsidR="000A2C31" w:rsidRPr="009B5E0F" w:rsidRDefault="000A2C31">
      <w:pPr>
        <w:rPr>
          <w:rFonts w:asciiTheme="minorHAnsi" w:hAnsiTheme="minorHAnsi"/>
          <w:sz w:val="24"/>
        </w:rPr>
      </w:pPr>
      <w:bookmarkStart w:id="76" w:name="a259055"/>
      <w:bookmarkEnd w:id="76"/>
    </w:p>
    <w:sectPr w:rsidR="000A2C31" w:rsidRPr="009B5E0F" w:rsidSect="009B7FD2">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KnowledgeMedium">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yriad Pro">
    <w:altName w:val="Corbel"/>
    <w:panose1 w:val="00000000000000000000"/>
    <w:charset w:val="00"/>
    <w:family w:val="swiss"/>
    <w:notTrueType/>
    <w:pitch w:val="variable"/>
    <w:sig w:usb0="00000001"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B4129"/>
    <w:multiLevelType w:val="multilevel"/>
    <w:tmpl w:val="EA762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7E41A2"/>
    <w:multiLevelType w:val="multilevel"/>
    <w:tmpl w:val="4F387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FC6E3D"/>
    <w:multiLevelType w:val="multilevel"/>
    <w:tmpl w:val="EDC09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D301F7"/>
    <w:multiLevelType w:val="multilevel"/>
    <w:tmpl w:val="1F2AD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0F5214"/>
    <w:multiLevelType w:val="multilevel"/>
    <w:tmpl w:val="1F043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BC2E72"/>
    <w:multiLevelType w:val="multilevel"/>
    <w:tmpl w:val="22AEB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181868"/>
    <w:multiLevelType w:val="multilevel"/>
    <w:tmpl w:val="03308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CE5EC8"/>
    <w:multiLevelType w:val="multilevel"/>
    <w:tmpl w:val="D1C2B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DC4B14"/>
    <w:multiLevelType w:val="multilevel"/>
    <w:tmpl w:val="ED3E0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9A62DC"/>
    <w:multiLevelType w:val="multilevel"/>
    <w:tmpl w:val="C9788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7D025D"/>
    <w:multiLevelType w:val="multilevel"/>
    <w:tmpl w:val="BAD4C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B27832"/>
    <w:multiLevelType w:val="multilevel"/>
    <w:tmpl w:val="E5A6A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E74F87"/>
    <w:multiLevelType w:val="multilevel"/>
    <w:tmpl w:val="6F78E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762AA6"/>
    <w:multiLevelType w:val="multilevel"/>
    <w:tmpl w:val="B2A62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EE14D4"/>
    <w:multiLevelType w:val="multilevel"/>
    <w:tmpl w:val="97622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A44121"/>
    <w:multiLevelType w:val="multilevel"/>
    <w:tmpl w:val="7F347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C907748"/>
    <w:multiLevelType w:val="multilevel"/>
    <w:tmpl w:val="A2807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29A1733"/>
    <w:multiLevelType w:val="multilevel"/>
    <w:tmpl w:val="8B944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C071017"/>
    <w:multiLevelType w:val="multilevel"/>
    <w:tmpl w:val="02F81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2C66AFF"/>
    <w:multiLevelType w:val="multilevel"/>
    <w:tmpl w:val="AF76F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65E51D5"/>
    <w:multiLevelType w:val="multilevel"/>
    <w:tmpl w:val="51522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C1573AF"/>
    <w:multiLevelType w:val="multilevel"/>
    <w:tmpl w:val="BD10C4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E03B93"/>
    <w:multiLevelType w:val="multilevel"/>
    <w:tmpl w:val="6DE09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5"/>
  </w:num>
  <w:num w:numId="3">
    <w:abstractNumId w:val="2"/>
  </w:num>
  <w:num w:numId="4">
    <w:abstractNumId w:val="18"/>
  </w:num>
  <w:num w:numId="5">
    <w:abstractNumId w:val="9"/>
  </w:num>
  <w:num w:numId="6">
    <w:abstractNumId w:val="21"/>
  </w:num>
  <w:num w:numId="7">
    <w:abstractNumId w:val="7"/>
  </w:num>
  <w:num w:numId="8">
    <w:abstractNumId w:val="22"/>
  </w:num>
  <w:num w:numId="9">
    <w:abstractNumId w:val="12"/>
  </w:num>
  <w:num w:numId="10">
    <w:abstractNumId w:val="10"/>
  </w:num>
  <w:num w:numId="11">
    <w:abstractNumId w:val="14"/>
  </w:num>
  <w:num w:numId="12">
    <w:abstractNumId w:val="8"/>
  </w:num>
  <w:num w:numId="13">
    <w:abstractNumId w:val="13"/>
  </w:num>
  <w:num w:numId="14">
    <w:abstractNumId w:val="3"/>
  </w:num>
  <w:num w:numId="15">
    <w:abstractNumId w:val="17"/>
  </w:num>
  <w:num w:numId="16">
    <w:abstractNumId w:val="1"/>
  </w:num>
  <w:num w:numId="17">
    <w:abstractNumId w:val="4"/>
  </w:num>
  <w:num w:numId="18">
    <w:abstractNumId w:val="15"/>
  </w:num>
  <w:num w:numId="19">
    <w:abstractNumId w:val="6"/>
  </w:num>
  <w:num w:numId="20">
    <w:abstractNumId w:val="0"/>
  </w:num>
  <w:num w:numId="21">
    <w:abstractNumId w:val="11"/>
  </w:num>
  <w:num w:numId="22">
    <w:abstractNumId w:val="20"/>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ForceOverwriteVersion" w:val="False"/>
  </w:docVars>
  <w:rsids>
    <w:rsidRoot w:val="00F124F2"/>
    <w:rsid w:val="000A2C31"/>
    <w:rsid w:val="000D5D1F"/>
    <w:rsid w:val="000E4C3A"/>
    <w:rsid w:val="001776D0"/>
    <w:rsid w:val="00191321"/>
    <w:rsid w:val="001C3DD3"/>
    <w:rsid w:val="00222799"/>
    <w:rsid w:val="002474D8"/>
    <w:rsid w:val="00274DBD"/>
    <w:rsid w:val="002A143D"/>
    <w:rsid w:val="00363203"/>
    <w:rsid w:val="003744DD"/>
    <w:rsid w:val="00376472"/>
    <w:rsid w:val="006104DD"/>
    <w:rsid w:val="006654D5"/>
    <w:rsid w:val="006D69B4"/>
    <w:rsid w:val="007012EF"/>
    <w:rsid w:val="007B50D9"/>
    <w:rsid w:val="007D52E6"/>
    <w:rsid w:val="007F6D1D"/>
    <w:rsid w:val="008521F7"/>
    <w:rsid w:val="008906AD"/>
    <w:rsid w:val="00951A7B"/>
    <w:rsid w:val="009B5E0F"/>
    <w:rsid w:val="009B7FD2"/>
    <w:rsid w:val="009C06F6"/>
    <w:rsid w:val="009C627C"/>
    <w:rsid w:val="00A37342"/>
    <w:rsid w:val="00A42682"/>
    <w:rsid w:val="00A651FA"/>
    <w:rsid w:val="00BC7671"/>
    <w:rsid w:val="00C307E5"/>
    <w:rsid w:val="00C54C22"/>
    <w:rsid w:val="00C929EC"/>
    <w:rsid w:val="00CF7E95"/>
    <w:rsid w:val="00D30A28"/>
    <w:rsid w:val="00D451FE"/>
    <w:rsid w:val="00DB61BE"/>
    <w:rsid w:val="00E24314"/>
    <w:rsid w:val="00E459B1"/>
    <w:rsid w:val="00F124F2"/>
    <w:rsid w:val="00F24B45"/>
    <w:rsid w:val="00F837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E98975F-2B45-41E7-86DD-3C6985304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iPriority="99"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7FD2"/>
    <w:rPr>
      <w:rFonts w:ascii="Arial" w:hAnsi="Arial"/>
      <w:sz w:val="22"/>
      <w:szCs w:val="24"/>
    </w:rPr>
  </w:style>
  <w:style w:type="paragraph" w:styleId="Heading1">
    <w:name w:val="heading 1"/>
    <w:basedOn w:val="Normal"/>
    <w:link w:val="Heading1Char"/>
    <w:uiPriority w:val="9"/>
    <w:qFormat/>
    <w:rsid w:val="00F124F2"/>
    <w:pPr>
      <w:spacing w:before="100" w:beforeAutospacing="1" w:after="100" w:afterAutospacing="1" w:line="264" w:lineRule="atLeast"/>
      <w:outlineLvl w:val="0"/>
    </w:pPr>
    <w:rPr>
      <w:rFonts w:ascii="KnowledgeMedium" w:hAnsi="KnowledgeMedium"/>
      <w:color w:val="212121"/>
      <w:kern w:val="36"/>
      <w:sz w:val="42"/>
      <w:szCs w:val="42"/>
    </w:rPr>
  </w:style>
  <w:style w:type="paragraph" w:styleId="Heading2">
    <w:name w:val="heading 2"/>
    <w:basedOn w:val="Normal"/>
    <w:link w:val="Heading2Char"/>
    <w:uiPriority w:val="9"/>
    <w:qFormat/>
    <w:rsid w:val="00F124F2"/>
    <w:pPr>
      <w:pBdr>
        <w:bottom w:val="dotted" w:sz="6" w:space="7" w:color="BABABA"/>
      </w:pBdr>
      <w:spacing w:before="100" w:beforeAutospacing="1" w:after="135"/>
      <w:outlineLvl w:val="1"/>
    </w:pPr>
    <w:rPr>
      <w:rFonts w:ascii="Times New Roman" w:hAnsi="Times New Roman"/>
      <w:b/>
      <w:bCs/>
      <w:sz w:val="27"/>
      <w:szCs w:val="27"/>
    </w:rPr>
  </w:style>
  <w:style w:type="paragraph" w:styleId="Heading3">
    <w:name w:val="heading 3"/>
    <w:basedOn w:val="Normal"/>
    <w:link w:val="Heading3Char"/>
    <w:uiPriority w:val="9"/>
    <w:qFormat/>
    <w:rsid w:val="00F124F2"/>
    <w:pPr>
      <w:spacing w:before="100" w:beforeAutospacing="1" w:after="100" w:afterAutospacing="1"/>
      <w:outlineLvl w:val="2"/>
    </w:pPr>
    <w:rPr>
      <w:rFonts w:ascii="Times New Roman" w:hAnsi="Times New Roman"/>
      <w:b/>
      <w:bCs/>
      <w:sz w:val="21"/>
      <w:szCs w:val="21"/>
    </w:rPr>
  </w:style>
  <w:style w:type="paragraph" w:styleId="Heading4">
    <w:name w:val="heading 4"/>
    <w:basedOn w:val="Normal"/>
    <w:link w:val="Heading4Char"/>
    <w:uiPriority w:val="9"/>
    <w:qFormat/>
    <w:rsid w:val="00F124F2"/>
    <w:pPr>
      <w:spacing w:before="100" w:beforeAutospacing="1" w:after="100" w:afterAutospacing="1"/>
      <w:outlineLvl w:val="3"/>
    </w:pPr>
    <w:rPr>
      <w:rFonts w:ascii="Times New Roman" w:hAnsi="Times New Roman"/>
      <w:b/>
      <w:bCs/>
      <w:sz w:val="24"/>
    </w:rPr>
  </w:style>
  <w:style w:type="paragraph" w:styleId="Heading5">
    <w:name w:val="heading 5"/>
    <w:basedOn w:val="Normal"/>
    <w:link w:val="Heading5Char"/>
    <w:uiPriority w:val="9"/>
    <w:qFormat/>
    <w:rsid w:val="00F124F2"/>
    <w:pPr>
      <w:spacing w:before="100" w:beforeAutospacing="1" w:after="100" w:afterAutospacing="1"/>
      <w:outlineLvl w:val="4"/>
    </w:pPr>
    <w:rPr>
      <w:rFonts w:ascii="Times New Roman" w:hAnsi="Times New Roman"/>
      <w:b/>
      <w:bCs/>
      <w:sz w:val="20"/>
      <w:szCs w:val="20"/>
    </w:rPr>
  </w:style>
  <w:style w:type="paragraph" w:styleId="Heading6">
    <w:name w:val="heading 6"/>
    <w:basedOn w:val="Normal"/>
    <w:link w:val="Heading6Char"/>
    <w:uiPriority w:val="9"/>
    <w:qFormat/>
    <w:rsid w:val="00F124F2"/>
    <w:pPr>
      <w:spacing w:before="100" w:beforeAutospacing="1" w:after="100" w:afterAutospacing="1"/>
      <w:outlineLvl w:val="5"/>
    </w:pPr>
    <w:rPr>
      <w:rFonts w:ascii="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24F2"/>
    <w:rPr>
      <w:rFonts w:ascii="KnowledgeMedium" w:hAnsi="KnowledgeMedium"/>
      <w:color w:val="212121"/>
      <w:kern w:val="36"/>
      <w:sz w:val="42"/>
      <w:szCs w:val="42"/>
    </w:rPr>
  </w:style>
  <w:style w:type="character" w:customStyle="1" w:styleId="Heading2Char">
    <w:name w:val="Heading 2 Char"/>
    <w:basedOn w:val="DefaultParagraphFont"/>
    <w:link w:val="Heading2"/>
    <w:uiPriority w:val="9"/>
    <w:rsid w:val="00F124F2"/>
    <w:rPr>
      <w:b/>
      <w:bCs/>
      <w:sz w:val="27"/>
      <w:szCs w:val="27"/>
    </w:rPr>
  </w:style>
  <w:style w:type="character" w:customStyle="1" w:styleId="Heading3Char">
    <w:name w:val="Heading 3 Char"/>
    <w:basedOn w:val="DefaultParagraphFont"/>
    <w:link w:val="Heading3"/>
    <w:uiPriority w:val="9"/>
    <w:rsid w:val="00F124F2"/>
    <w:rPr>
      <w:b/>
      <w:bCs/>
      <w:sz w:val="21"/>
      <w:szCs w:val="21"/>
    </w:rPr>
  </w:style>
  <w:style w:type="character" w:customStyle="1" w:styleId="Heading4Char">
    <w:name w:val="Heading 4 Char"/>
    <w:basedOn w:val="DefaultParagraphFont"/>
    <w:link w:val="Heading4"/>
    <w:uiPriority w:val="9"/>
    <w:rsid w:val="00F124F2"/>
    <w:rPr>
      <w:b/>
      <w:bCs/>
      <w:sz w:val="24"/>
      <w:szCs w:val="24"/>
    </w:rPr>
  </w:style>
  <w:style w:type="character" w:customStyle="1" w:styleId="Heading5Char">
    <w:name w:val="Heading 5 Char"/>
    <w:basedOn w:val="DefaultParagraphFont"/>
    <w:link w:val="Heading5"/>
    <w:uiPriority w:val="9"/>
    <w:rsid w:val="00F124F2"/>
    <w:rPr>
      <w:b/>
      <w:bCs/>
    </w:rPr>
  </w:style>
  <w:style w:type="character" w:customStyle="1" w:styleId="Heading6Char">
    <w:name w:val="Heading 6 Char"/>
    <w:basedOn w:val="DefaultParagraphFont"/>
    <w:link w:val="Heading6"/>
    <w:uiPriority w:val="9"/>
    <w:rsid w:val="00F124F2"/>
    <w:rPr>
      <w:b/>
      <w:bCs/>
    </w:rPr>
  </w:style>
  <w:style w:type="character" w:styleId="Hyperlink">
    <w:name w:val="Hyperlink"/>
    <w:basedOn w:val="DefaultParagraphFont"/>
    <w:uiPriority w:val="99"/>
    <w:unhideWhenUsed/>
    <w:rsid w:val="00F124F2"/>
    <w:rPr>
      <w:strike w:val="0"/>
      <w:dstrike w:val="0"/>
      <w:color w:val="005A84"/>
      <w:u w:val="none"/>
      <w:effect w:val="none"/>
    </w:rPr>
  </w:style>
  <w:style w:type="character" w:styleId="FollowedHyperlink">
    <w:name w:val="FollowedHyperlink"/>
    <w:basedOn w:val="DefaultParagraphFont"/>
    <w:uiPriority w:val="99"/>
    <w:unhideWhenUsed/>
    <w:rsid w:val="00F124F2"/>
    <w:rPr>
      <w:strike w:val="0"/>
      <w:dstrike w:val="0"/>
      <w:color w:val="005A84"/>
      <w:u w:val="none"/>
      <w:effect w:val="none"/>
    </w:rPr>
  </w:style>
  <w:style w:type="paragraph" w:styleId="HTMLAddress">
    <w:name w:val="HTML Address"/>
    <w:basedOn w:val="Normal"/>
    <w:link w:val="HTMLAddressChar"/>
    <w:uiPriority w:val="99"/>
    <w:unhideWhenUsed/>
    <w:rsid w:val="00F124F2"/>
    <w:pPr>
      <w:spacing w:after="270"/>
    </w:pPr>
    <w:rPr>
      <w:rFonts w:ascii="Times New Roman" w:hAnsi="Times New Roman"/>
      <w:sz w:val="24"/>
    </w:rPr>
  </w:style>
  <w:style w:type="character" w:customStyle="1" w:styleId="HTMLAddressChar">
    <w:name w:val="HTML Address Char"/>
    <w:basedOn w:val="DefaultParagraphFont"/>
    <w:link w:val="HTMLAddress"/>
    <w:uiPriority w:val="99"/>
    <w:rsid w:val="00F124F2"/>
    <w:rPr>
      <w:sz w:val="24"/>
      <w:szCs w:val="24"/>
    </w:rPr>
  </w:style>
  <w:style w:type="character" w:styleId="HTMLDefinition">
    <w:name w:val="HTML Definition"/>
    <w:basedOn w:val="DefaultParagraphFont"/>
    <w:uiPriority w:val="99"/>
    <w:unhideWhenUsed/>
    <w:rsid w:val="00F124F2"/>
    <w:rPr>
      <w:b/>
      <w:bCs/>
      <w:i/>
      <w:iCs/>
    </w:rPr>
  </w:style>
  <w:style w:type="character" w:styleId="Emphasis">
    <w:name w:val="Emphasis"/>
    <w:basedOn w:val="DefaultParagraphFont"/>
    <w:uiPriority w:val="20"/>
    <w:qFormat/>
    <w:rsid w:val="00F124F2"/>
    <w:rPr>
      <w:i/>
      <w:iCs/>
    </w:rPr>
  </w:style>
  <w:style w:type="paragraph" w:styleId="HTMLPreformatted">
    <w:name w:val="HTML Preformatted"/>
    <w:basedOn w:val="Normal"/>
    <w:link w:val="HTMLPreformattedChar"/>
    <w:uiPriority w:val="99"/>
    <w:unhideWhenUsed/>
    <w:rsid w:val="00F124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70" w:after="27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F124F2"/>
    <w:rPr>
      <w:rFonts w:ascii="Courier New" w:hAnsi="Courier New" w:cs="Courier New"/>
    </w:rPr>
  </w:style>
  <w:style w:type="character" w:styleId="Strong">
    <w:name w:val="Strong"/>
    <w:basedOn w:val="DefaultParagraphFont"/>
    <w:uiPriority w:val="22"/>
    <w:qFormat/>
    <w:rsid w:val="00F124F2"/>
    <w:rPr>
      <w:b/>
      <w:bCs/>
    </w:rPr>
  </w:style>
  <w:style w:type="paragraph" w:styleId="NormalWeb">
    <w:name w:val="Normal (Web)"/>
    <w:basedOn w:val="Normal"/>
    <w:uiPriority w:val="99"/>
    <w:unhideWhenUsed/>
    <w:rsid w:val="00F124F2"/>
    <w:pPr>
      <w:spacing w:before="100" w:beforeAutospacing="1" w:after="100" w:afterAutospacing="1"/>
    </w:pPr>
    <w:rPr>
      <w:rFonts w:ascii="Times New Roman" w:hAnsi="Times New Roman"/>
      <w:sz w:val="24"/>
    </w:rPr>
  </w:style>
  <w:style w:type="paragraph" w:customStyle="1" w:styleId="nametrial">
    <w:name w:val="nametrial"/>
    <w:basedOn w:val="Normal"/>
    <w:rsid w:val="00F124F2"/>
    <w:pPr>
      <w:spacing w:before="100" w:beforeAutospacing="1" w:after="100" w:afterAutospacing="1"/>
    </w:pPr>
    <w:rPr>
      <w:rFonts w:ascii="Times New Roman" w:hAnsi="Times New Roman"/>
      <w:sz w:val="24"/>
    </w:rPr>
  </w:style>
  <w:style w:type="paragraph" w:customStyle="1" w:styleId="small">
    <w:name w:val="small"/>
    <w:basedOn w:val="Normal"/>
    <w:rsid w:val="00F124F2"/>
    <w:rPr>
      <w:rFonts w:ascii="Times New Roman" w:hAnsi="Times New Roman"/>
      <w:szCs w:val="22"/>
    </w:rPr>
  </w:style>
  <w:style w:type="paragraph" w:customStyle="1" w:styleId="button">
    <w:name w:val="button"/>
    <w:basedOn w:val="Normal"/>
    <w:rsid w:val="00F124F2"/>
    <w:pPr>
      <w:spacing w:before="100" w:beforeAutospacing="1" w:after="100" w:afterAutospacing="1" w:line="450" w:lineRule="atLeast"/>
    </w:pPr>
    <w:rPr>
      <w:rFonts w:ascii="Times New Roman" w:hAnsi="Times New Roman"/>
      <w:sz w:val="24"/>
    </w:rPr>
  </w:style>
  <w:style w:type="paragraph" w:customStyle="1" w:styleId="primary-source-help-heading">
    <w:name w:val="primary-source-help-heading"/>
    <w:basedOn w:val="Normal"/>
    <w:rsid w:val="00F124F2"/>
    <w:pPr>
      <w:spacing w:before="100" w:beforeAutospacing="1" w:after="100" w:afterAutospacing="1"/>
    </w:pPr>
    <w:rPr>
      <w:rFonts w:ascii="Times New Roman" w:hAnsi="Times New Roman"/>
      <w:sz w:val="18"/>
      <w:szCs w:val="18"/>
    </w:rPr>
  </w:style>
  <w:style w:type="paragraph" w:customStyle="1" w:styleId="standout">
    <w:name w:val="standout"/>
    <w:basedOn w:val="Normal"/>
    <w:rsid w:val="00F124F2"/>
    <w:pPr>
      <w:shd w:val="clear" w:color="auto" w:fill="F8F8F8"/>
      <w:spacing w:after="135"/>
    </w:pPr>
    <w:rPr>
      <w:rFonts w:ascii="Times New Roman" w:hAnsi="Times New Roman"/>
      <w:sz w:val="24"/>
    </w:rPr>
  </w:style>
  <w:style w:type="paragraph" w:customStyle="1" w:styleId="Strong1">
    <w:name w:val="Strong1"/>
    <w:basedOn w:val="Normal"/>
    <w:rsid w:val="00F124F2"/>
    <w:pPr>
      <w:spacing w:before="100" w:beforeAutospacing="1" w:after="100" w:afterAutospacing="1"/>
    </w:pPr>
    <w:rPr>
      <w:rFonts w:ascii="Times New Roman" w:hAnsi="Times New Roman"/>
      <w:b/>
      <w:bCs/>
      <w:sz w:val="24"/>
    </w:rPr>
  </w:style>
  <w:style w:type="paragraph" w:customStyle="1" w:styleId="image">
    <w:name w:val="image"/>
    <w:basedOn w:val="Normal"/>
    <w:rsid w:val="00F124F2"/>
    <w:pPr>
      <w:spacing w:before="100" w:beforeAutospacing="1" w:after="100" w:afterAutospacing="1"/>
    </w:pPr>
    <w:rPr>
      <w:rFonts w:ascii="Times New Roman" w:hAnsi="Times New Roman"/>
      <w:sz w:val="24"/>
    </w:rPr>
  </w:style>
  <w:style w:type="paragraph" w:customStyle="1" w:styleId="back-link">
    <w:name w:val="back-link"/>
    <w:basedOn w:val="Normal"/>
    <w:rsid w:val="00F124F2"/>
    <w:pPr>
      <w:spacing w:before="100" w:beforeAutospacing="1" w:after="100" w:afterAutospacing="1"/>
    </w:pPr>
    <w:rPr>
      <w:rFonts w:ascii="Times New Roman" w:hAnsi="Times New Roman"/>
      <w:sz w:val="24"/>
    </w:rPr>
  </w:style>
  <w:style w:type="paragraph" w:customStyle="1" w:styleId="large">
    <w:name w:val="large"/>
    <w:basedOn w:val="Normal"/>
    <w:rsid w:val="00F124F2"/>
    <w:pPr>
      <w:spacing w:before="100" w:beforeAutospacing="1" w:after="100" w:afterAutospacing="1"/>
    </w:pPr>
    <w:rPr>
      <w:rFonts w:ascii="Times New Roman" w:hAnsi="Times New Roman"/>
      <w:sz w:val="24"/>
    </w:rPr>
  </w:style>
  <w:style w:type="paragraph" w:customStyle="1" w:styleId="large-event-heading">
    <w:name w:val="large-event-heading"/>
    <w:basedOn w:val="Normal"/>
    <w:rsid w:val="00F124F2"/>
    <w:pPr>
      <w:spacing w:before="100" w:beforeAutospacing="1" w:after="100" w:afterAutospacing="1"/>
    </w:pPr>
    <w:rPr>
      <w:rFonts w:ascii="Times New Roman" w:hAnsi="Times New Roman"/>
      <w:sz w:val="24"/>
    </w:rPr>
  </w:style>
  <w:style w:type="paragraph" w:customStyle="1" w:styleId="end">
    <w:name w:val="end"/>
    <w:basedOn w:val="Normal"/>
    <w:rsid w:val="00F124F2"/>
    <w:pPr>
      <w:spacing w:before="100" w:beforeAutospacing="1" w:after="100" w:afterAutospacing="1"/>
    </w:pPr>
    <w:rPr>
      <w:rFonts w:ascii="Times New Roman" w:hAnsi="Times New Roman"/>
      <w:sz w:val="24"/>
    </w:rPr>
  </w:style>
  <w:style w:type="paragraph" w:customStyle="1" w:styleId="border">
    <w:name w:val="border"/>
    <w:basedOn w:val="Normal"/>
    <w:rsid w:val="00F124F2"/>
    <w:pPr>
      <w:spacing w:before="100" w:beforeAutospacing="1" w:after="100" w:afterAutospacing="1"/>
    </w:pPr>
    <w:rPr>
      <w:rFonts w:ascii="Times New Roman" w:hAnsi="Times New Roman"/>
      <w:sz w:val="24"/>
    </w:rPr>
  </w:style>
  <w:style w:type="paragraph" w:customStyle="1" w:styleId="Caption1">
    <w:name w:val="Caption1"/>
    <w:basedOn w:val="Normal"/>
    <w:rsid w:val="00F124F2"/>
    <w:pPr>
      <w:spacing w:before="100" w:beforeAutospacing="1" w:after="100" w:afterAutospacing="1"/>
    </w:pPr>
    <w:rPr>
      <w:rFonts w:ascii="Times New Roman" w:hAnsi="Times New Roman"/>
      <w:sz w:val="24"/>
    </w:rPr>
  </w:style>
  <w:style w:type="paragraph" w:customStyle="1" w:styleId="resource-metadata">
    <w:name w:val="resource-metadata"/>
    <w:basedOn w:val="Normal"/>
    <w:rsid w:val="00F124F2"/>
    <w:pPr>
      <w:spacing w:before="100" w:beforeAutospacing="1" w:after="100" w:afterAutospacing="1"/>
    </w:pPr>
    <w:rPr>
      <w:rFonts w:ascii="Times New Roman" w:hAnsi="Times New Roman"/>
      <w:sz w:val="24"/>
    </w:rPr>
  </w:style>
  <w:style w:type="paragraph" w:customStyle="1" w:styleId="more-link">
    <w:name w:val="more-link"/>
    <w:basedOn w:val="Normal"/>
    <w:rsid w:val="00F124F2"/>
    <w:pPr>
      <w:spacing w:before="100" w:beforeAutospacing="1" w:after="100" w:afterAutospacing="1"/>
    </w:pPr>
    <w:rPr>
      <w:rFonts w:ascii="Times New Roman" w:hAnsi="Times New Roman"/>
      <w:sz w:val="24"/>
    </w:rPr>
  </w:style>
  <w:style w:type="paragraph" w:customStyle="1" w:styleId="bold-link">
    <w:name w:val="bold-link"/>
    <w:basedOn w:val="Normal"/>
    <w:rsid w:val="00F124F2"/>
    <w:pPr>
      <w:spacing w:before="100" w:beforeAutospacing="1" w:after="100" w:afterAutospacing="1"/>
    </w:pPr>
    <w:rPr>
      <w:rFonts w:ascii="Times New Roman" w:hAnsi="Times New Roman"/>
      <w:b/>
      <w:bCs/>
      <w:sz w:val="24"/>
    </w:rPr>
  </w:style>
  <w:style w:type="paragraph" w:customStyle="1" w:styleId="testimonial">
    <w:name w:val="testimonial"/>
    <w:basedOn w:val="Normal"/>
    <w:rsid w:val="00F124F2"/>
    <w:pPr>
      <w:pBdr>
        <w:left w:val="single" w:sz="36" w:space="0" w:color="FF9100"/>
      </w:pBdr>
      <w:shd w:val="clear" w:color="auto" w:fill="F8F8F8"/>
      <w:spacing w:before="100" w:beforeAutospacing="1" w:after="270"/>
    </w:pPr>
    <w:rPr>
      <w:rFonts w:ascii="Times New Roman" w:hAnsi="Times New Roman"/>
      <w:sz w:val="24"/>
    </w:rPr>
  </w:style>
  <w:style w:type="paragraph" w:customStyle="1" w:styleId="tabs">
    <w:name w:val="tabs"/>
    <w:basedOn w:val="Normal"/>
    <w:rsid w:val="00F124F2"/>
    <w:pPr>
      <w:spacing w:before="100" w:beforeAutospacing="1" w:after="100" w:afterAutospacing="1"/>
    </w:pPr>
    <w:rPr>
      <w:rFonts w:ascii="Times New Roman" w:hAnsi="Times New Roman"/>
      <w:b/>
      <w:bCs/>
      <w:sz w:val="24"/>
    </w:rPr>
  </w:style>
  <w:style w:type="paragraph" w:customStyle="1" w:styleId="content-meta-header">
    <w:name w:val="content-meta-header"/>
    <w:basedOn w:val="Normal"/>
    <w:rsid w:val="00F124F2"/>
    <w:pPr>
      <w:shd w:val="clear" w:color="auto" w:fill="005A84"/>
      <w:spacing w:after="135"/>
    </w:pPr>
    <w:rPr>
      <w:rFonts w:ascii="Times New Roman" w:hAnsi="Times New Roman"/>
      <w:b/>
      <w:bCs/>
      <w:color w:val="FFFFFF"/>
      <w:sz w:val="23"/>
      <w:szCs w:val="23"/>
    </w:rPr>
  </w:style>
  <w:style w:type="paragraph" w:customStyle="1" w:styleId="contents-heading">
    <w:name w:val="contents-heading"/>
    <w:basedOn w:val="Normal"/>
    <w:rsid w:val="00F124F2"/>
    <w:pPr>
      <w:spacing w:before="135" w:after="100" w:afterAutospacing="1"/>
    </w:pPr>
    <w:rPr>
      <w:rFonts w:ascii="Times New Roman" w:hAnsi="Times New Roman"/>
      <w:b/>
      <w:bCs/>
      <w:color w:val="212121"/>
      <w:sz w:val="27"/>
      <w:szCs w:val="27"/>
    </w:rPr>
  </w:style>
  <w:style w:type="paragraph" w:customStyle="1" w:styleId="map-wrapper">
    <w:name w:val="map-wrapper"/>
    <w:basedOn w:val="Normal"/>
    <w:rsid w:val="00F124F2"/>
    <w:rPr>
      <w:rFonts w:ascii="Times New Roman" w:hAnsi="Times New Roman"/>
      <w:sz w:val="24"/>
    </w:rPr>
  </w:style>
  <w:style w:type="paragraph" w:customStyle="1" w:styleId="page">
    <w:name w:val="page"/>
    <w:basedOn w:val="Normal"/>
    <w:rsid w:val="00F124F2"/>
    <w:rPr>
      <w:rFonts w:ascii="Times New Roman" w:hAnsi="Times New Roman"/>
      <w:sz w:val="24"/>
    </w:rPr>
  </w:style>
  <w:style w:type="paragraph" w:customStyle="1" w:styleId="practice-area-page">
    <w:name w:val="practice-area-page"/>
    <w:basedOn w:val="Normal"/>
    <w:rsid w:val="00F124F2"/>
    <w:pPr>
      <w:pBdr>
        <w:top w:val="single" w:sz="2" w:space="12" w:color="BABABA"/>
        <w:left w:val="single" w:sz="6" w:space="12" w:color="BABABA"/>
        <w:bottom w:val="single" w:sz="6" w:space="12" w:color="BABABA"/>
        <w:right w:val="single" w:sz="6" w:space="12" w:color="BABABA"/>
      </w:pBdr>
      <w:shd w:val="clear" w:color="auto" w:fill="FFFFFF"/>
      <w:spacing w:before="100" w:beforeAutospacing="1" w:after="100" w:afterAutospacing="1"/>
    </w:pPr>
    <w:rPr>
      <w:rFonts w:ascii="Times New Roman" w:hAnsi="Times New Roman"/>
      <w:sz w:val="24"/>
    </w:rPr>
  </w:style>
  <w:style w:type="paragraph" w:customStyle="1" w:styleId="search-area-page">
    <w:name w:val="search-area-page"/>
    <w:basedOn w:val="Normal"/>
    <w:rsid w:val="00F124F2"/>
    <w:pPr>
      <w:pBdr>
        <w:top w:val="single" w:sz="2" w:space="12" w:color="BABABA"/>
        <w:left w:val="single" w:sz="6" w:space="12" w:color="BABABA"/>
        <w:bottom w:val="single" w:sz="6" w:space="12" w:color="BABABA"/>
        <w:right w:val="single" w:sz="6" w:space="12" w:color="BABABA"/>
      </w:pBdr>
      <w:shd w:val="clear" w:color="auto" w:fill="FFFFFF"/>
      <w:spacing w:before="100" w:beforeAutospacing="1" w:after="100" w:afterAutospacing="1"/>
    </w:pPr>
    <w:rPr>
      <w:rFonts w:ascii="Times New Roman" w:hAnsi="Times New Roman"/>
      <w:sz w:val="24"/>
    </w:rPr>
  </w:style>
  <w:style w:type="paragraph" w:customStyle="1" w:styleId="home-page">
    <w:name w:val="home-page"/>
    <w:basedOn w:val="Normal"/>
    <w:rsid w:val="00F124F2"/>
    <w:pPr>
      <w:pBdr>
        <w:top w:val="single" w:sz="2" w:space="12" w:color="BABABA"/>
        <w:left w:val="single" w:sz="6" w:space="12" w:color="BABABA"/>
        <w:bottom w:val="single" w:sz="6" w:space="12" w:color="BABABA"/>
        <w:right w:val="single" w:sz="6" w:space="12" w:color="BABABA"/>
      </w:pBdr>
      <w:shd w:val="clear" w:color="auto" w:fill="FFFFFF"/>
      <w:spacing w:before="100" w:beforeAutospacing="1" w:after="100" w:afterAutospacing="1"/>
    </w:pPr>
    <w:rPr>
      <w:rFonts w:ascii="Times New Roman" w:hAnsi="Times New Roman"/>
      <w:sz w:val="24"/>
    </w:rPr>
  </w:style>
  <w:style w:type="paragraph" w:customStyle="1" w:styleId="country-page">
    <w:name w:val="country-page"/>
    <w:basedOn w:val="Normal"/>
    <w:rsid w:val="00F124F2"/>
    <w:pPr>
      <w:pBdr>
        <w:top w:val="single" w:sz="2" w:space="12" w:color="BABABA"/>
        <w:left w:val="single" w:sz="6" w:space="12" w:color="BABABA"/>
        <w:bottom w:val="single" w:sz="6" w:space="12" w:color="BABABA"/>
        <w:right w:val="single" w:sz="6" w:space="12" w:color="BABABA"/>
      </w:pBdr>
      <w:shd w:val="clear" w:color="auto" w:fill="FFFFFF"/>
      <w:spacing w:before="100" w:beforeAutospacing="1" w:after="100" w:afterAutospacing="1"/>
    </w:pPr>
    <w:rPr>
      <w:rFonts w:ascii="Times New Roman" w:hAnsi="Times New Roman"/>
      <w:sz w:val="24"/>
    </w:rPr>
  </w:style>
  <w:style w:type="paragraph" w:customStyle="1" w:styleId="resource-area-page">
    <w:name w:val="resource-area-page"/>
    <w:basedOn w:val="Normal"/>
    <w:rsid w:val="00F124F2"/>
    <w:pPr>
      <w:pBdr>
        <w:top w:val="single" w:sz="2" w:space="12" w:color="BABABA"/>
        <w:left w:val="single" w:sz="6" w:space="12" w:color="BABABA"/>
        <w:bottom w:val="single" w:sz="6" w:space="12" w:color="BABABA"/>
        <w:right w:val="single" w:sz="6" w:space="12" w:color="BABABA"/>
      </w:pBdr>
      <w:shd w:val="clear" w:color="auto" w:fill="FFFFFF"/>
      <w:spacing w:before="100" w:beforeAutospacing="1" w:after="100" w:afterAutospacing="1"/>
    </w:pPr>
    <w:rPr>
      <w:rFonts w:ascii="Times New Roman" w:hAnsi="Times New Roman"/>
      <w:sz w:val="24"/>
    </w:rPr>
  </w:style>
  <w:style w:type="paragraph" w:customStyle="1" w:styleId="marketing-page">
    <w:name w:val="marketing-page"/>
    <w:basedOn w:val="Normal"/>
    <w:rsid w:val="00F124F2"/>
    <w:pPr>
      <w:pBdr>
        <w:top w:val="single" w:sz="2" w:space="12" w:color="BABABA"/>
        <w:left w:val="single" w:sz="6" w:space="12" w:color="BABABA"/>
        <w:bottom w:val="single" w:sz="6" w:space="12" w:color="BABABA"/>
        <w:right w:val="single" w:sz="6" w:space="12" w:color="BABABA"/>
      </w:pBdr>
      <w:shd w:val="clear" w:color="auto" w:fill="FFFFFF"/>
      <w:spacing w:before="100" w:beforeAutospacing="1" w:after="100" w:afterAutospacing="1"/>
    </w:pPr>
    <w:rPr>
      <w:rFonts w:ascii="Times New Roman" w:hAnsi="Times New Roman"/>
      <w:sz w:val="24"/>
    </w:rPr>
  </w:style>
  <w:style w:type="paragraph" w:customStyle="1" w:styleId="my-practical-law-page">
    <w:name w:val="my-practical-law-page"/>
    <w:basedOn w:val="Normal"/>
    <w:rsid w:val="00F124F2"/>
    <w:pPr>
      <w:pBdr>
        <w:top w:val="single" w:sz="2" w:space="12" w:color="BABABA"/>
        <w:left w:val="single" w:sz="6" w:space="12" w:color="BABABA"/>
        <w:bottom w:val="single" w:sz="6" w:space="12" w:color="BABABA"/>
        <w:right w:val="single" w:sz="6" w:space="12" w:color="BABABA"/>
      </w:pBdr>
      <w:shd w:val="clear" w:color="auto" w:fill="FFFFFF"/>
      <w:spacing w:before="100" w:beforeAutospacing="1" w:after="100" w:afterAutospacing="1"/>
    </w:pPr>
    <w:rPr>
      <w:rFonts w:ascii="Times New Roman" w:hAnsi="Times New Roman"/>
      <w:sz w:val="24"/>
    </w:rPr>
  </w:style>
  <w:style w:type="paragraph" w:customStyle="1" w:styleId="headermargin">
    <w:name w:val="header_margin"/>
    <w:basedOn w:val="Normal"/>
    <w:rsid w:val="00F124F2"/>
    <w:pPr>
      <w:shd w:val="clear" w:color="auto" w:fill="FFFFFF"/>
    </w:pPr>
    <w:rPr>
      <w:rFonts w:ascii="Times New Roman" w:hAnsi="Times New Roman"/>
      <w:sz w:val="24"/>
    </w:rPr>
  </w:style>
  <w:style w:type="paragraph" w:customStyle="1" w:styleId="ss-gac-a">
    <w:name w:val="ss-gac-a"/>
    <w:basedOn w:val="Normal"/>
    <w:rsid w:val="00F124F2"/>
    <w:pPr>
      <w:spacing w:before="100" w:beforeAutospacing="1" w:after="100" w:afterAutospacing="1"/>
    </w:pPr>
    <w:rPr>
      <w:rFonts w:ascii="Times New Roman" w:hAnsi="Times New Roman"/>
      <w:color w:val="212121"/>
      <w:sz w:val="24"/>
    </w:rPr>
  </w:style>
  <w:style w:type="paragraph" w:customStyle="1" w:styleId="ss-gac-m">
    <w:name w:val="ss-gac-m"/>
    <w:basedOn w:val="Normal"/>
    <w:rsid w:val="00F124F2"/>
    <w:pPr>
      <w:pBdr>
        <w:top w:val="single" w:sz="6" w:space="0" w:color="000000"/>
        <w:left w:val="single" w:sz="6" w:space="0" w:color="000000"/>
        <w:bottom w:val="single" w:sz="6" w:space="0" w:color="000000"/>
        <w:right w:val="single" w:sz="6" w:space="0" w:color="000000"/>
      </w:pBdr>
      <w:shd w:val="clear" w:color="auto" w:fill="FFFFFF"/>
      <w:spacing w:line="255" w:lineRule="atLeast"/>
    </w:pPr>
    <w:rPr>
      <w:rFonts w:ascii="Times New Roman" w:hAnsi="Times New Roman"/>
      <w:sz w:val="20"/>
      <w:szCs w:val="20"/>
    </w:rPr>
  </w:style>
  <w:style w:type="paragraph" w:customStyle="1" w:styleId="ss-gac-c">
    <w:name w:val="ss-gac-c"/>
    <w:basedOn w:val="Normal"/>
    <w:rsid w:val="00F124F2"/>
    <w:pPr>
      <w:spacing w:before="100" w:beforeAutospacing="1" w:after="100" w:afterAutospacing="1"/>
    </w:pPr>
    <w:rPr>
      <w:rFonts w:ascii="Times New Roman" w:hAnsi="Times New Roman"/>
      <w:sz w:val="24"/>
    </w:rPr>
  </w:style>
  <w:style w:type="paragraph" w:customStyle="1" w:styleId="ss-gac-d">
    <w:name w:val="ss-gac-d"/>
    <w:basedOn w:val="Normal"/>
    <w:rsid w:val="00F124F2"/>
    <w:pPr>
      <w:spacing w:before="100" w:beforeAutospacing="1" w:after="100" w:afterAutospacing="1"/>
      <w:jc w:val="right"/>
    </w:pPr>
    <w:rPr>
      <w:rFonts w:ascii="Times New Roman" w:hAnsi="Times New Roman"/>
      <w:color w:val="387C2B"/>
      <w:sz w:val="15"/>
      <w:szCs w:val="15"/>
    </w:rPr>
  </w:style>
  <w:style w:type="paragraph" w:customStyle="1" w:styleId="note">
    <w:name w:val="note"/>
    <w:basedOn w:val="Normal"/>
    <w:rsid w:val="00F124F2"/>
    <w:pPr>
      <w:pBdr>
        <w:top w:val="single" w:sz="12" w:space="8" w:color="448844"/>
        <w:left w:val="single" w:sz="12" w:space="8" w:color="448844"/>
        <w:bottom w:val="single" w:sz="12" w:space="8" w:color="448844"/>
        <w:right w:val="single" w:sz="12" w:space="8" w:color="448844"/>
      </w:pBdr>
      <w:shd w:val="clear" w:color="auto" w:fill="EEFFEE"/>
      <w:spacing w:before="100" w:beforeAutospacing="1" w:after="240"/>
    </w:pPr>
    <w:rPr>
      <w:rFonts w:ascii="Times New Roman" w:hAnsi="Times New Roman"/>
      <w:color w:val="004400"/>
      <w:sz w:val="24"/>
    </w:rPr>
  </w:style>
  <w:style w:type="paragraph" w:customStyle="1" w:styleId="important">
    <w:name w:val="important"/>
    <w:basedOn w:val="Normal"/>
    <w:rsid w:val="00F124F2"/>
    <w:pPr>
      <w:pBdr>
        <w:top w:val="single" w:sz="6" w:space="14" w:color="BABABA"/>
        <w:left w:val="single" w:sz="6" w:space="14" w:color="BABABA"/>
        <w:bottom w:val="single" w:sz="6" w:space="14" w:color="BABABA"/>
        <w:right w:val="single" w:sz="6" w:space="14" w:color="BABABA"/>
      </w:pBdr>
      <w:shd w:val="clear" w:color="auto" w:fill="FFFFFF"/>
      <w:spacing w:before="100" w:beforeAutospacing="1" w:after="240"/>
    </w:pPr>
    <w:rPr>
      <w:rFonts w:ascii="Times New Roman" w:hAnsi="Times New Roman"/>
      <w:color w:val="444400"/>
      <w:sz w:val="24"/>
    </w:rPr>
  </w:style>
  <w:style w:type="paragraph" w:customStyle="1" w:styleId="warning">
    <w:name w:val="warning"/>
    <w:basedOn w:val="Normal"/>
    <w:rsid w:val="00F124F2"/>
    <w:pPr>
      <w:pBdr>
        <w:top w:val="single" w:sz="12" w:space="8" w:color="884444"/>
        <w:left w:val="single" w:sz="12" w:space="8" w:color="884444"/>
        <w:bottom w:val="single" w:sz="12" w:space="8" w:color="884444"/>
        <w:right w:val="single" w:sz="12" w:space="8" w:color="884444"/>
      </w:pBdr>
      <w:shd w:val="clear" w:color="auto" w:fill="FFEEEE"/>
      <w:spacing w:before="100" w:beforeAutospacing="1" w:after="240"/>
    </w:pPr>
    <w:rPr>
      <w:rFonts w:ascii="Times New Roman" w:hAnsi="Times New Roman"/>
      <w:color w:val="440000"/>
      <w:sz w:val="24"/>
    </w:rPr>
  </w:style>
  <w:style w:type="paragraph" w:customStyle="1" w:styleId="floatleft">
    <w:name w:val="float_left"/>
    <w:basedOn w:val="Normal"/>
    <w:rsid w:val="00F124F2"/>
    <w:pPr>
      <w:spacing w:before="100" w:beforeAutospacing="1" w:after="36"/>
      <w:ind w:right="240"/>
    </w:pPr>
    <w:rPr>
      <w:rFonts w:ascii="Times New Roman" w:hAnsi="Times New Roman"/>
      <w:sz w:val="24"/>
    </w:rPr>
  </w:style>
  <w:style w:type="paragraph" w:customStyle="1" w:styleId="floatright">
    <w:name w:val="float_right"/>
    <w:basedOn w:val="Normal"/>
    <w:rsid w:val="00F124F2"/>
    <w:pPr>
      <w:spacing w:before="100" w:beforeAutospacing="1" w:after="36"/>
      <w:ind w:left="240"/>
    </w:pPr>
    <w:rPr>
      <w:rFonts w:ascii="Times New Roman" w:hAnsi="Times New Roman"/>
      <w:sz w:val="24"/>
    </w:rPr>
  </w:style>
  <w:style w:type="paragraph" w:customStyle="1" w:styleId="center">
    <w:name w:val="center"/>
    <w:basedOn w:val="Normal"/>
    <w:rsid w:val="00F124F2"/>
    <w:pPr>
      <w:spacing w:before="120" w:after="120"/>
      <w:jc w:val="center"/>
    </w:pPr>
    <w:rPr>
      <w:rFonts w:ascii="Times New Roman" w:hAnsi="Times New Roman"/>
      <w:sz w:val="24"/>
    </w:rPr>
  </w:style>
  <w:style w:type="paragraph" w:customStyle="1" w:styleId="clear">
    <w:name w:val="clear"/>
    <w:basedOn w:val="Normal"/>
    <w:rsid w:val="00F124F2"/>
    <w:pPr>
      <w:spacing w:before="100" w:beforeAutospacing="1" w:after="100" w:afterAutospacing="1"/>
    </w:pPr>
    <w:rPr>
      <w:rFonts w:ascii="Times New Roman" w:hAnsi="Times New Roman"/>
      <w:sz w:val="24"/>
    </w:rPr>
  </w:style>
  <w:style w:type="paragraph" w:customStyle="1" w:styleId="printlink">
    <w:name w:val="printlink"/>
    <w:basedOn w:val="Normal"/>
    <w:rsid w:val="00F124F2"/>
    <w:pPr>
      <w:spacing w:before="100" w:beforeAutospacing="1" w:after="100" w:afterAutospacing="1"/>
    </w:pPr>
    <w:rPr>
      <w:rFonts w:ascii="Times New Roman" w:hAnsi="Times New Roman"/>
      <w:vanish/>
      <w:sz w:val="24"/>
    </w:rPr>
  </w:style>
  <w:style w:type="paragraph" w:customStyle="1" w:styleId="pagemargins">
    <w:name w:val="page_margins"/>
    <w:basedOn w:val="Normal"/>
    <w:rsid w:val="00F124F2"/>
    <w:pPr>
      <w:ind w:left="367" w:right="367"/>
    </w:pPr>
    <w:rPr>
      <w:rFonts w:ascii="Times New Roman" w:hAnsi="Times New Roman"/>
      <w:sz w:val="24"/>
    </w:rPr>
  </w:style>
  <w:style w:type="paragraph" w:customStyle="1" w:styleId="subc">
    <w:name w:val="subc"/>
    <w:basedOn w:val="Normal"/>
    <w:rsid w:val="00F124F2"/>
    <w:pPr>
      <w:spacing w:before="100" w:beforeAutospacing="1" w:after="100" w:afterAutospacing="1"/>
    </w:pPr>
    <w:rPr>
      <w:rFonts w:ascii="Times New Roman" w:hAnsi="Times New Roman"/>
      <w:sz w:val="24"/>
    </w:rPr>
  </w:style>
  <w:style w:type="paragraph" w:customStyle="1" w:styleId="subcolumns">
    <w:name w:val="subcolumns"/>
    <w:basedOn w:val="Normal"/>
    <w:rsid w:val="00F124F2"/>
    <w:pPr>
      <w:spacing w:before="100" w:beforeAutospacing="1" w:after="100" w:afterAutospacing="1"/>
    </w:pPr>
    <w:rPr>
      <w:rFonts w:ascii="Times New Roman" w:hAnsi="Times New Roman"/>
      <w:sz w:val="24"/>
    </w:rPr>
  </w:style>
  <w:style w:type="paragraph" w:customStyle="1" w:styleId="betamessage">
    <w:name w:val="betamessage"/>
    <w:basedOn w:val="Normal"/>
    <w:rsid w:val="00F124F2"/>
    <w:pPr>
      <w:pBdr>
        <w:top w:val="single" w:sz="2" w:space="3" w:color="BABABA"/>
        <w:left w:val="single" w:sz="2" w:space="0" w:color="BABABA"/>
        <w:bottom w:val="single" w:sz="2" w:space="0" w:color="BABABA"/>
        <w:right w:val="single" w:sz="2" w:space="0" w:color="BABABA"/>
      </w:pBdr>
      <w:shd w:val="clear" w:color="auto" w:fill="78A22F"/>
      <w:spacing w:before="100" w:beforeAutospacing="1"/>
    </w:pPr>
    <w:rPr>
      <w:rFonts w:ascii="Times New Roman" w:hAnsi="Times New Roman"/>
      <w:color w:val="FFFFFF"/>
      <w:sz w:val="24"/>
    </w:rPr>
  </w:style>
  <w:style w:type="paragraph" w:customStyle="1" w:styleId="featured">
    <w:name w:val="featured"/>
    <w:basedOn w:val="Normal"/>
    <w:rsid w:val="00F124F2"/>
    <w:pPr>
      <w:pBdr>
        <w:top w:val="single" w:sz="6" w:space="7" w:color="BABABA"/>
        <w:left w:val="single" w:sz="6" w:space="0" w:color="BABABA"/>
        <w:bottom w:val="single" w:sz="6" w:space="0" w:color="BABABA"/>
        <w:right w:val="single" w:sz="6" w:space="0" w:color="BABABA"/>
      </w:pBdr>
      <w:shd w:val="clear" w:color="auto" w:fill="FFFFFF"/>
      <w:spacing w:before="100" w:beforeAutospacing="1" w:after="135"/>
    </w:pPr>
    <w:rPr>
      <w:rFonts w:ascii="Times New Roman" w:hAnsi="Times New Roman"/>
      <w:sz w:val="24"/>
    </w:rPr>
  </w:style>
  <w:style w:type="paragraph" w:customStyle="1" w:styleId="highlight">
    <w:name w:val="highlight"/>
    <w:basedOn w:val="Normal"/>
    <w:rsid w:val="00F124F2"/>
    <w:pPr>
      <w:pBdr>
        <w:top w:val="single" w:sz="6" w:space="0" w:color="BABABA"/>
        <w:left w:val="single" w:sz="6" w:space="0" w:color="BABABA"/>
        <w:bottom w:val="single" w:sz="6" w:space="0" w:color="BABABA"/>
        <w:right w:val="single" w:sz="6" w:space="0" w:color="BABABA"/>
      </w:pBdr>
      <w:spacing w:before="100" w:beforeAutospacing="1" w:after="100" w:afterAutospacing="1"/>
    </w:pPr>
    <w:rPr>
      <w:rFonts w:ascii="Times New Roman" w:hAnsi="Times New Roman"/>
      <w:sz w:val="24"/>
    </w:rPr>
  </w:style>
  <w:style w:type="paragraph" w:customStyle="1" w:styleId="hidden-slot">
    <w:name w:val="hidden-slot"/>
    <w:basedOn w:val="Normal"/>
    <w:rsid w:val="00F124F2"/>
    <w:pPr>
      <w:spacing w:before="100" w:beforeAutospacing="1" w:after="100" w:afterAutospacing="1"/>
    </w:pPr>
    <w:rPr>
      <w:rFonts w:ascii="Times New Roman" w:hAnsi="Times New Roman"/>
      <w:vanish/>
      <w:sz w:val="24"/>
    </w:rPr>
  </w:style>
  <w:style w:type="paragraph" w:customStyle="1" w:styleId="event-main-call">
    <w:name w:val="event-main-call"/>
    <w:basedOn w:val="Normal"/>
    <w:rsid w:val="00F124F2"/>
    <w:pPr>
      <w:pBdr>
        <w:top w:val="single" w:sz="6" w:space="0" w:color="BABABA"/>
        <w:left w:val="single" w:sz="6" w:space="0" w:color="BABABA"/>
        <w:bottom w:val="single" w:sz="6" w:space="0" w:color="BABABA"/>
        <w:right w:val="single" w:sz="6" w:space="0" w:color="BABABA"/>
      </w:pBdr>
      <w:spacing w:before="100" w:beforeAutospacing="1" w:after="100" w:afterAutospacing="1"/>
      <w:jc w:val="center"/>
    </w:pPr>
    <w:rPr>
      <w:rFonts w:ascii="Times New Roman" w:hAnsi="Times New Roman"/>
      <w:sz w:val="24"/>
    </w:rPr>
  </w:style>
  <w:style w:type="paragraph" w:customStyle="1" w:styleId="general-main-call">
    <w:name w:val="general-main-call"/>
    <w:basedOn w:val="Normal"/>
    <w:rsid w:val="00F124F2"/>
    <w:pPr>
      <w:pBdr>
        <w:top w:val="single" w:sz="6" w:space="0" w:color="BABABA"/>
        <w:left w:val="single" w:sz="6" w:space="0" w:color="BABABA"/>
        <w:bottom w:val="single" w:sz="6" w:space="0" w:color="BABABA"/>
        <w:right w:val="single" w:sz="6" w:space="0" w:color="BABABA"/>
      </w:pBdr>
      <w:spacing w:before="100" w:beforeAutospacing="1" w:after="100" w:afterAutospacing="1"/>
      <w:jc w:val="center"/>
    </w:pPr>
    <w:rPr>
      <w:rFonts w:ascii="Times New Roman" w:hAnsi="Times New Roman"/>
      <w:sz w:val="24"/>
    </w:rPr>
  </w:style>
  <w:style w:type="paragraph" w:customStyle="1" w:styleId="keyword-finder-alt">
    <w:name w:val="keyword-finder-alt"/>
    <w:basedOn w:val="Normal"/>
    <w:rsid w:val="00F124F2"/>
    <w:pPr>
      <w:shd w:val="clear" w:color="auto" w:fill="F2F2F2"/>
      <w:spacing w:before="100" w:beforeAutospacing="1" w:after="100" w:afterAutospacing="1"/>
    </w:pPr>
    <w:rPr>
      <w:rFonts w:ascii="Times New Roman" w:hAnsi="Times New Roman"/>
      <w:sz w:val="24"/>
    </w:rPr>
  </w:style>
  <w:style w:type="paragraph" w:customStyle="1" w:styleId="searchword">
    <w:name w:val="searchword"/>
    <w:basedOn w:val="Normal"/>
    <w:rsid w:val="00F124F2"/>
    <w:pPr>
      <w:shd w:val="clear" w:color="auto" w:fill="FFFF00"/>
      <w:spacing w:before="100" w:beforeAutospacing="1" w:after="100" w:afterAutospacing="1"/>
    </w:pPr>
    <w:rPr>
      <w:rFonts w:ascii="Times New Roman" w:hAnsi="Times New Roman"/>
      <w:sz w:val="24"/>
    </w:rPr>
  </w:style>
  <w:style w:type="paragraph" w:customStyle="1" w:styleId="meta-tool-item-content">
    <w:name w:val="meta-tool-item-content"/>
    <w:basedOn w:val="Normal"/>
    <w:rsid w:val="00F124F2"/>
    <w:pPr>
      <w:spacing w:before="100" w:beforeAutospacing="1" w:after="100" w:afterAutospacing="1"/>
    </w:pPr>
    <w:rPr>
      <w:rFonts w:ascii="Times New Roman" w:hAnsi="Times New Roman"/>
      <w:vanish/>
      <w:sz w:val="24"/>
    </w:rPr>
  </w:style>
  <w:style w:type="paragraph" w:customStyle="1" w:styleId="primary-source-container">
    <w:name w:val="primary-source-container"/>
    <w:basedOn w:val="Normal"/>
    <w:rsid w:val="00F124F2"/>
    <w:pPr>
      <w:spacing w:before="100" w:beforeAutospacing="1" w:after="100" w:afterAutospacing="1"/>
    </w:pPr>
    <w:rPr>
      <w:rFonts w:ascii="Times New Roman" w:hAnsi="Times New Roman"/>
      <w:sz w:val="24"/>
    </w:rPr>
  </w:style>
  <w:style w:type="paragraph" w:customStyle="1" w:styleId="primary-source-controls">
    <w:name w:val="primary-source-controls"/>
    <w:basedOn w:val="Normal"/>
    <w:rsid w:val="00F124F2"/>
    <w:pPr>
      <w:spacing w:after="100" w:afterAutospacing="1"/>
      <w:jc w:val="right"/>
    </w:pPr>
    <w:rPr>
      <w:rFonts w:ascii="Times New Roman" w:hAnsi="Times New Roman"/>
      <w:color w:val="666666"/>
      <w:sz w:val="18"/>
      <w:szCs w:val="18"/>
    </w:rPr>
  </w:style>
  <w:style w:type="paragraph" w:customStyle="1" w:styleId="primary-source-help">
    <w:name w:val="primary-source-help"/>
    <w:basedOn w:val="Normal"/>
    <w:rsid w:val="00F124F2"/>
    <w:pPr>
      <w:pBdr>
        <w:bottom w:val="dotted" w:sz="6" w:space="0" w:color="BABABA"/>
      </w:pBdr>
      <w:spacing w:before="100" w:beforeAutospacing="1" w:after="100" w:afterAutospacing="1"/>
    </w:pPr>
    <w:rPr>
      <w:rFonts w:ascii="Times New Roman" w:hAnsi="Times New Roman"/>
      <w:sz w:val="24"/>
    </w:rPr>
  </w:style>
  <w:style w:type="paragraph" w:customStyle="1" w:styleId="primary-source-list">
    <w:name w:val="primary-source-list"/>
    <w:basedOn w:val="Normal"/>
    <w:rsid w:val="00F124F2"/>
    <w:rPr>
      <w:rFonts w:ascii="Times New Roman" w:hAnsi="Times New Roman"/>
      <w:sz w:val="24"/>
    </w:rPr>
  </w:style>
  <w:style w:type="paragraph" w:customStyle="1" w:styleId="primary-source-heading">
    <w:name w:val="primary-source-heading"/>
    <w:basedOn w:val="Normal"/>
    <w:rsid w:val="00F124F2"/>
    <w:pPr>
      <w:spacing w:after="100" w:afterAutospacing="1"/>
    </w:pPr>
    <w:rPr>
      <w:rFonts w:cs="Arial"/>
      <w:sz w:val="23"/>
      <w:szCs w:val="23"/>
    </w:rPr>
  </w:style>
  <w:style w:type="paragraph" w:customStyle="1" w:styleId="primary-source-popup-loading">
    <w:name w:val="primary-source-popup-loading"/>
    <w:basedOn w:val="Normal"/>
    <w:rsid w:val="00F124F2"/>
    <w:pPr>
      <w:spacing w:before="100" w:beforeAutospacing="1" w:after="100" w:afterAutospacing="1"/>
    </w:pPr>
    <w:rPr>
      <w:rFonts w:ascii="Times New Roman" w:hAnsi="Times New Roman"/>
      <w:sz w:val="24"/>
    </w:rPr>
  </w:style>
  <w:style w:type="paragraph" w:customStyle="1" w:styleId="-plc-multilink">
    <w:name w:val="-plc-multilink"/>
    <w:basedOn w:val="Normal"/>
    <w:rsid w:val="00F124F2"/>
    <w:pPr>
      <w:pBdr>
        <w:bottom w:val="dotted" w:sz="6" w:space="0" w:color="auto"/>
      </w:pBdr>
      <w:spacing w:before="100" w:beforeAutospacing="1" w:after="100" w:afterAutospacing="1"/>
    </w:pPr>
    <w:rPr>
      <w:rFonts w:ascii="Times New Roman" w:hAnsi="Times New Roman"/>
      <w:sz w:val="24"/>
    </w:rPr>
  </w:style>
  <w:style w:type="paragraph" w:customStyle="1" w:styleId="primary-source-img">
    <w:name w:val="primary-source-img"/>
    <w:basedOn w:val="Normal"/>
    <w:rsid w:val="00F124F2"/>
    <w:pPr>
      <w:spacing w:before="100" w:beforeAutospacing="1" w:after="100" w:afterAutospacing="1"/>
    </w:pPr>
    <w:rPr>
      <w:rFonts w:ascii="Times New Roman" w:hAnsi="Times New Roman"/>
      <w:sz w:val="24"/>
    </w:rPr>
  </w:style>
  <w:style w:type="paragraph" w:customStyle="1" w:styleId="primary-link-help">
    <w:name w:val="primary-link-help"/>
    <w:basedOn w:val="Normal"/>
    <w:rsid w:val="00F124F2"/>
    <w:pPr>
      <w:spacing w:before="100" w:beforeAutospacing="1" w:after="100" w:afterAutospacing="1"/>
    </w:pPr>
    <w:rPr>
      <w:rFonts w:ascii="Times New Roman" w:hAnsi="Times New Roman"/>
      <w:sz w:val="17"/>
      <w:szCs w:val="17"/>
    </w:rPr>
  </w:style>
  <w:style w:type="paragraph" w:customStyle="1" w:styleId="locale-message">
    <w:name w:val="locale-message"/>
    <w:basedOn w:val="Normal"/>
    <w:rsid w:val="00F124F2"/>
    <w:pPr>
      <w:spacing w:before="100" w:beforeAutospacing="1" w:after="100" w:afterAutospacing="1"/>
    </w:pPr>
    <w:rPr>
      <w:rFonts w:ascii="Times New Roman" w:hAnsi="Times New Roman"/>
      <w:sz w:val="23"/>
      <w:szCs w:val="23"/>
    </w:rPr>
  </w:style>
  <w:style w:type="paragraph" w:customStyle="1" w:styleId="locale-message-inline">
    <w:name w:val="locale-message-inline"/>
    <w:basedOn w:val="Normal"/>
    <w:rsid w:val="00F124F2"/>
    <w:pPr>
      <w:spacing w:before="100" w:beforeAutospacing="1" w:after="225"/>
    </w:pPr>
    <w:rPr>
      <w:rFonts w:ascii="Times New Roman" w:hAnsi="Times New Roman"/>
      <w:sz w:val="24"/>
    </w:rPr>
  </w:style>
  <w:style w:type="paragraph" w:customStyle="1" w:styleId="results-section-header">
    <w:name w:val="results-section-header"/>
    <w:basedOn w:val="Normal"/>
    <w:rsid w:val="00F124F2"/>
    <w:pPr>
      <w:spacing w:before="100" w:beforeAutospacing="1" w:after="135"/>
    </w:pPr>
    <w:rPr>
      <w:rFonts w:ascii="Times New Roman" w:hAnsi="Times New Roman"/>
      <w:sz w:val="27"/>
      <w:szCs w:val="27"/>
    </w:rPr>
  </w:style>
  <w:style w:type="paragraph" w:customStyle="1" w:styleId="glossary-index">
    <w:name w:val="glossary-index"/>
    <w:basedOn w:val="Normal"/>
    <w:rsid w:val="00F124F2"/>
    <w:pPr>
      <w:pBdr>
        <w:right w:val="single" w:sz="6" w:space="7" w:color="BABABA"/>
      </w:pBdr>
      <w:spacing w:before="100" w:beforeAutospacing="1" w:after="100" w:afterAutospacing="1"/>
    </w:pPr>
    <w:rPr>
      <w:rFonts w:ascii="Times New Roman" w:hAnsi="Times New Roman"/>
      <w:b/>
      <w:bCs/>
      <w:sz w:val="24"/>
    </w:rPr>
  </w:style>
  <w:style w:type="paragraph" w:customStyle="1" w:styleId="glossary-indexes">
    <w:name w:val="glossary-indexes"/>
    <w:basedOn w:val="Normal"/>
    <w:rsid w:val="00F124F2"/>
    <w:pPr>
      <w:pBdr>
        <w:bottom w:val="single" w:sz="6" w:space="6" w:color="BABABA"/>
      </w:pBdr>
      <w:spacing w:before="100" w:beforeAutospacing="1" w:after="100" w:afterAutospacing="1"/>
    </w:pPr>
    <w:rPr>
      <w:rFonts w:ascii="Times New Roman" w:hAnsi="Times New Roman"/>
      <w:sz w:val="24"/>
    </w:rPr>
  </w:style>
  <w:style w:type="paragraph" w:customStyle="1" w:styleId="glossary-item-link">
    <w:name w:val="glossary-item-link"/>
    <w:basedOn w:val="Normal"/>
    <w:rsid w:val="00F124F2"/>
    <w:pPr>
      <w:spacing w:before="100" w:beforeAutospacing="1" w:after="100" w:afterAutospacing="1"/>
    </w:pPr>
    <w:rPr>
      <w:rFonts w:ascii="Times New Roman" w:hAnsi="Times New Roman"/>
      <w:sz w:val="24"/>
    </w:rPr>
  </w:style>
  <w:style w:type="paragraph" w:customStyle="1" w:styleId="glossary-item-abstract">
    <w:name w:val="glossary-item-abstract"/>
    <w:basedOn w:val="Normal"/>
    <w:rsid w:val="00F124F2"/>
    <w:pPr>
      <w:pBdr>
        <w:top w:val="dotted" w:sz="6" w:space="7" w:color="BABABA"/>
      </w:pBdr>
      <w:spacing w:before="60" w:after="100" w:afterAutospacing="1"/>
    </w:pPr>
    <w:rPr>
      <w:rFonts w:ascii="Times New Roman" w:hAnsi="Times New Roman"/>
      <w:vanish/>
      <w:sz w:val="24"/>
    </w:rPr>
  </w:style>
  <w:style w:type="paragraph" w:customStyle="1" w:styleId="plc-blue">
    <w:name w:val="plc-blue"/>
    <w:basedOn w:val="Normal"/>
    <w:rsid w:val="00F124F2"/>
    <w:pPr>
      <w:shd w:val="clear" w:color="auto" w:fill="212121"/>
      <w:spacing w:before="100" w:beforeAutospacing="1" w:after="100" w:afterAutospacing="1"/>
    </w:pPr>
    <w:rPr>
      <w:rFonts w:ascii="Times New Roman" w:hAnsi="Times New Roman"/>
      <w:sz w:val="24"/>
    </w:rPr>
  </w:style>
  <w:style w:type="paragraph" w:customStyle="1" w:styleId="plc-yellow">
    <w:name w:val="plc-yellow"/>
    <w:basedOn w:val="Normal"/>
    <w:rsid w:val="00F124F2"/>
    <w:pPr>
      <w:shd w:val="clear" w:color="auto" w:fill="FFD200"/>
      <w:spacing w:before="100" w:beforeAutospacing="1" w:after="100" w:afterAutospacing="1"/>
    </w:pPr>
    <w:rPr>
      <w:rFonts w:ascii="Times New Roman" w:hAnsi="Times New Roman"/>
      <w:sz w:val="24"/>
    </w:rPr>
  </w:style>
  <w:style w:type="paragraph" w:customStyle="1" w:styleId="plc-orange">
    <w:name w:val="plc-orange"/>
    <w:basedOn w:val="Normal"/>
    <w:rsid w:val="00F124F2"/>
    <w:pPr>
      <w:shd w:val="clear" w:color="auto" w:fill="FF9100"/>
      <w:spacing w:before="100" w:beforeAutospacing="1" w:after="100" w:afterAutospacing="1"/>
    </w:pPr>
    <w:rPr>
      <w:rFonts w:ascii="Times New Roman" w:hAnsi="Times New Roman"/>
      <w:sz w:val="24"/>
    </w:rPr>
  </w:style>
  <w:style w:type="paragraph" w:customStyle="1" w:styleId="plc-red">
    <w:name w:val="plc-red"/>
    <w:basedOn w:val="Normal"/>
    <w:rsid w:val="00F124F2"/>
    <w:pPr>
      <w:shd w:val="clear" w:color="auto" w:fill="A00000"/>
      <w:spacing w:before="100" w:beforeAutospacing="1" w:after="100" w:afterAutospacing="1"/>
    </w:pPr>
    <w:rPr>
      <w:rFonts w:ascii="Times New Roman" w:hAnsi="Times New Roman"/>
      <w:sz w:val="24"/>
    </w:rPr>
  </w:style>
  <w:style w:type="paragraph" w:customStyle="1" w:styleId="plc-bluetext">
    <w:name w:val="plc-bluetext"/>
    <w:basedOn w:val="Normal"/>
    <w:rsid w:val="00F124F2"/>
    <w:pPr>
      <w:spacing w:before="100" w:beforeAutospacing="1" w:after="100" w:afterAutospacing="1"/>
    </w:pPr>
    <w:rPr>
      <w:rFonts w:ascii="Times New Roman" w:hAnsi="Times New Roman"/>
      <w:color w:val="0289CB"/>
      <w:sz w:val="24"/>
    </w:rPr>
  </w:style>
  <w:style w:type="paragraph" w:customStyle="1" w:styleId="plc-orangetext">
    <w:name w:val="plc-orangetext"/>
    <w:basedOn w:val="Normal"/>
    <w:rsid w:val="00F124F2"/>
    <w:pPr>
      <w:spacing w:before="100" w:beforeAutospacing="1" w:after="100" w:afterAutospacing="1"/>
    </w:pPr>
    <w:rPr>
      <w:rFonts w:ascii="Times New Roman" w:hAnsi="Times New Roman"/>
      <w:color w:val="FF9100"/>
      <w:sz w:val="24"/>
    </w:rPr>
  </w:style>
  <w:style w:type="paragraph" w:customStyle="1" w:styleId="plc-bodytext">
    <w:name w:val="plc-bodytext"/>
    <w:basedOn w:val="Normal"/>
    <w:rsid w:val="00F124F2"/>
    <w:pPr>
      <w:spacing w:before="100" w:beforeAutospacing="1" w:after="100" w:afterAutospacing="1"/>
    </w:pPr>
    <w:rPr>
      <w:rFonts w:ascii="Times New Roman" w:hAnsi="Times New Roman"/>
      <w:color w:val="333333"/>
      <w:sz w:val="24"/>
    </w:rPr>
  </w:style>
  <w:style w:type="paragraph" w:customStyle="1" w:styleId="plc-smalltext">
    <w:name w:val="plc-smalltext"/>
    <w:basedOn w:val="Normal"/>
    <w:rsid w:val="00F124F2"/>
    <w:pPr>
      <w:spacing w:before="100" w:beforeAutospacing="1" w:after="100" w:afterAutospacing="1"/>
    </w:pPr>
    <w:rPr>
      <w:rFonts w:ascii="Times New Roman" w:hAnsi="Times New Roman"/>
      <w:color w:val="666666"/>
      <w:sz w:val="24"/>
    </w:rPr>
  </w:style>
  <w:style w:type="paragraph" w:customStyle="1" w:styleId="plc-greyborders">
    <w:name w:val="plc-greyborders"/>
    <w:basedOn w:val="Normal"/>
    <w:rsid w:val="00F124F2"/>
    <w:pPr>
      <w:shd w:val="clear" w:color="auto" w:fill="BABABA"/>
      <w:spacing w:before="100" w:beforeAutospacing="1" w:after="100" w:afterAutospacing="1"/>
    </w:pPr>
    <w:rPr>
      <w:rFonts w:ascii="Times New Roman" w:hAnsi="Times New Roman"/>
      <w:sz w:val="24"/>
    </w:rPr>
  </w:style>
  <w:style w:type="paragraph" w:customStyle="1" w:styleId="plc-lightgrey">
    <w:name w:val="plc-lightgrey"/>
    <w:basedOn w:val="Normal"/>
    <w:rsid w:val="00F124F2"/>
    <w:pPr>
      <w:shd w:val="clear" w:color="auto" w:fill="F8F8F8"/>
      <w:spacing w:before="100" w:beforeAutospacing="1" w:after="100" w:afterAutospacing="1"/>
    </w:pPr>
    <w:rPr>
      <w:rFonts w:ascii="Times New Roman" w:hAnsi="Times New Roman"/>
      <w:sz w:val="24"/>
    </w:rPr>
  </w:style>
  <w:style w:type="paragraph" w:customStyle="1" w:styleId="plc-dialog">
    <w:name w:val="plc-dialog"/>
    <w:basedOn w:val="Normal"/>
    <w:rsid w:val="00F124F2"/>
    <w:rPr>
      <w:rFonts w:ascii="Times New Roman" w:hAnsi="Times New Roman"/>
      <w:vanish/>
      <w:sz w:val="24"/>
    </w:rPr>
  </w:style>
  <w:style w:type="paragraph" w:customStyle="1" w:styleId="pagination">
    <w:name w:val="pagination"/>
    <w:basedOn w:val="Normal"/>
    <w:rsid w:val="00F124F2"/>
    <w:pPr>
      <w:spacing w:before="135" w:after="135"/>
    </w:pPr>
    <w:rPr>
      <w:rFonts w:ascii="Times New Roman" w:hAnsi="Times New Roman"/>
      <w:sz w:val="24"/>
    </w:rPr>
  </w:style>
  <w:style w:type="paragraph" w:customStyle="1" w:styleId="plc-countdown-day">
    <w:name w:val="plc-countdown-day"/>
    <w:basedOn w:val="Normal"/>
    <w:rsid w:val="00F124F2"/>
    <w:pPr>
      <w:spacing w:before="100" w:beforeAutospacing="1" w:after="100" w:afterAutospacing="1"/>
      <w:ind w:left="60"/>
    </w:pPr>
    <w:rPr>
      <w:rFonts w:ascii="Times New Roman" w:hAnsi="Times New Roman"/>
      <w:sz w:val="24"/>
    </w:rPr>
  </w:style>
  <w:style w:type="paragraph" w:customStyle="1" w:styleId="plc-countdown-sec">
    <w:name w:val="plc-countdown-sec"/>
    <w:basedOn w:val="Normal"/>
    <w:rsid w:val="00F124F2"/>
    <w:pPr>
      <w:spacing w:before="100" w:beforeAutospacing="1" w:after="100" w:afterAutospacing="1"/>
      <w:ind w:right="60"/>
    </w:pPr>
    <w:rPr>
      <w:rFonts w:ascii="Times New Roman" w:hAnsi="Times New Roman"/>
      <w:sz w:val="24"/>
    </w:rPr>
  </w:style>
  <w:style w:type="paragraph" w:customStyle="1" w:styleId="carousel">
    <w:name w:val="carousel"/>
    <w:basedOn w:val="Normal"/>
    <w:rsid w:val="00F124F2"/>
    <w:pPr>
      <w:spacing w:before="135" w:after="270"/>
    </w:pPr>
    <w:rPr>
      <w:rFonts w:ascii="Times New Roman" w:hAnsi="Times New Roman"/>
      <w:sz w:val="24"/>
    </w:rPr>
  </w:style>
  <w:style w:type="paragraph" w:customStyle="1" w:styleId="carouselbutton">
    <w:name w:val="carouselbutton"/>
    <w:basedOn w:val="Normal"/>
    <w:rsid w:val="00F124F2"/>
    <w:pPr>
      <w:spacing w:before="100" w:beforeAutospacing="1" w:after="100" w:afterAutospacing="1"/>
    </w:pPr>
    <w:rPr>
      <w:rFonts w:ascii="Times New Roman" w:hAnsi="Times New Roman"/>
      <w:sz w:val="24"/>
    </w:rPr>
  </w:style>
  <w:style w:type="paragraph" w:customStyle="1" w:styleId="cf">
    <w:name w:val="cf"/>
    <w:basedOn w:val="Normal"/>
    <w:rsid w:val="00F124F2"/>
    <w:pPr>
      <w:spacing w:before="100" w:beforeAutospacing="1" w:after="100" w:afterAutospacing="1" w:line="0" w:lineRule="auto"/>
    </w:pPr>
    <w:rPr>
      <w:rFonts w:ascii="Times New Roman" w:hAnsi="Times New Roman"/>
      <w:sz w:val="24"/>
    </w:rPr>
  </w:style>
  <w:style w:type="paragraph" w:customStyle="1" w:styleId="supermenucontainer">
    <w:name w:val="supermenucontainer"/>
    <w:basedOn w:val="Normal"/>
    <w:rsid w:val="00F124F2"/>
    <w:pPr>
      <w:spacing w:before="100" w:beforeAutospacing="1" w:after="100" w:afterAutospacing="1"/>
    </w:pPr>
    <w:rPr>
      <w:rFonts w:ascii="Times New Roman" w:hAnsi="Times New Roman"/>
      <w:sz w:val="24"/>
    </w:rPr>
  </w:style>
  <w:style w:type="paragraph" w:customStyle="1" w:styleId="menu">
    <w:name w:val="menu"/>
    <w:basedOn w:val="Normal"/>
    <w:rsid w:val="00F124F2"/>
    <w:pPr>
      <w:pBdr>
        <w:top w:val="single" w:sz="6" w:space="13" w:color="005A84"/>
        <w:left w:val="single" w:sz="6" w:space="0" w:color="005A84"/>
        <w:bottom w:val="single" w:sz="6" w:space="7" w:color="005A84"/>
        <w:right w:val="single" w:sz="6" w:space="0" w:color="005A84"/>
      </w:pBdr>
      <w:shd w:val="clear" w:color="auto" w:fill="FFFFFF"/>
    </w:pPr>
    <w:rPr>
      <w:rFonts w:ascii="Times New Roman" w:hAnsi="Times New Roman"/>
      <w:sz w:val="24"/>
    </w:rPr>
  </w:style>
  <w:style w:type="paragraph" w:customStyle="1" w:styleId="smoothmenu">
    <w:name w:val="smoothmenu"/>
    <w:basedOn w:val="Normal"/>
    <w:rsid w:val="00F124F2"/>
    <w:pPr>
      <w:pBdr>
        <w:top w:val="single" w:sz="6" w:space="0" w:color="BABABA"/>
        <w:left w:val="single" w:sz="6" w:space="0" w:color="BABABA"/>
      </w:pBdr>
      <w:spacing w:before="270"/>
    </w:pPr>
    <w:rPr>
      <w:rFonts w:ascii="Times New Roman" w:hAnsi="Times New Roman"/>
      <w:sz w:val="24"/>
    </w:rPr>
  </w:style>
  <w:style w:type="paragraph" w:customStyle="1" w:styleId="break">
    <w:name w:val="break"/>
    <w:basedOn w:val="Normal"/>
    <w:rsid w:val="00F124F2"/>
    <w:pPr>
      <w:spacing w:before="100" w:beforeAutospacing="1" w:after="100" w:afterAutospacing="1"/>
    </w:pPr>
    <w:rPr>
      <w:rFonts w:ascii="Times New Roman" w:hAnsi="Times New Roman"/>
      <w:sz w:val="24"/>
    </w:rPr>
  </w:style>
  <w:style w:type="paragraph" w:customStyle="1" w:styleId="pane">
    <w:name w:val="pane"/>
    <w:basedOn w:val="Normal"/>
    <w:rsid w:val="00F124F2"/>
    <w:pPr>
      <w:pBdr>
        <w:top w:val="single" w:sz="2" w:space="13" w:color="BABABA"/>
        <w:left w:val="single" w:sz="6" w:space="0" w:color="BABABA"/>
        <w:bottom w:val="single" w:sz="6" w:space="7" w:color="BABABA"/>
        <w:right w:val="single" w:sz="6" w:space="0" w:color="BABABA"/>
      </w:pBdr>
      <w:shd w:val="clear" w:color="auto" w:fill="FFFFFF"/>
      <w:spacing w:before="100" w:beforeAutospacing="1" w:after="270"/>
    </w:pPr>
    <w:rPr>
      <w:rFonts w:ascii="Times New Roman" w:hAnsi="Times New Roman"/>
      <w:sz w:val="24"/>
    </w:rPr>
  </w:style>
  <w:style w:type="paragraph" w:customStyle="1" w:styleId="calendar">
    <w:name w:val="calendar"/>
    <w:basedOn w:val="Normal"/>
    <w:rsid w:val="00F124F2"/>
    <w:pPr>
      <w:pBdr>
        <w:top w:val="single" w:sz="6" w:space="0" w:color="FFFFFF"/>
        <w:left w:val="single" w:sz="6" w:space="0" w:color="FFFFFF"/>
        <w:bottom w:val="single" w:sz="6" w:space="0" w:color="718BB7"/>
        <w:right w:val="single" w:sz="6" w:space="0" w:color="718BB7"/>
      </w:pBdr>
      <w:shd w:val="clear" w:color="auto" w:fill="C8D0D4"/>
      <w:spacing w:before="100" w:beforeAutospacing="1" w:after="100" w:afterAutospacing="1"/>
    </w:pPr>
    <w:rPr>
      <w:rFonts w:ascii="Tahoma" w:hAnsi="Tahoma" w:cs="Tahoma"/>
      <w:vanish/>
      <w:color w:val="212121"/>
      <w:sz w:val="18"/>
      <w:szCs w:val="18"/>
    </w:rPr>
  </w:style>
  <w:style w:type="paragraph" w:customStyle="1" w:styleId="ir">
    <w:name w:val="ir"/>
    <w:basedOn w:val="Normal"/>
    <w:rsid w:val="00F124F2"/>
    <w:pPr>
      <w:spacing w:before="100" w:beforeAutospacing="1" w:after="100" w:afterAutospacing="1"/>
    </w:pPr>
    <w:rPr>
      <w:rFonts w:ascii="Times New Roman" w:hAnsi="Times New Roman"/>
      <w:sz w:val="24"/>
    </w:rPr>
  </w:style>
  <w:style w:type="paragraph" w:customStyle="1" w:styleId="gplus-icon">
    <w:name w:val="gplus-icon"/>
    <w:basedOn w:val="Normal"/>
    <w:rsid w:val="00F124F2"/>
    <w:pPr>
      <w:spacing w:before="100" w:beforeAutospacing="1" w:after="100" w:afterAutospacing="1"/>
    </w:pPr>
    <w:rPr>
      <w:rFonts w:ascii="Times New Roman" w:hAnsi="Times New Roman"/>
      <w:sz w:val="24"/>
    </w:rPr>
  </w:style>
  <w:style w:type="paragraph" w:customStyle="1" w:styleId="linkedin-icon">
    <w:name w:val="linkedin-icon"/>
    <w:basedOn w:val="Normal"/>
    <w:rsid w:val="00F124F2"/>
    <w:pPr>
      <w:spacing w:before="100" w:beforeAutospacing="1" w:after="100" w:afterAutospacing="1"/>
    </w:pPr>
    <w:rPr>
      <w:rFonts w:ascii="Times New Roman" w:hAnsi="Times New Roman"/>
      <w:sz w:val="24"/>
    </w:rPr>
  </w:style>
  <w:style w:type="paragraph" w:customStyle="1" w:styleId="youtube-icon">
    <w:name w:val="youtube-icon"/>
    <w:basedOn w:val="Normal"/>
    <w:rsid w:val="00F124F2"/>
    <w:pPr>
      <w:spacing w:before="100" w:beforeAutospacing="1" w:after="100" w:afterAutospacing="1"/>
    </w:pPr>
    <w:rPr>
      <w:rFonts w:ascii="Times New Roman" w:hAnsi="Times New Roman"/>
      <w:sz w:val="24"/>
    </w:rPr>
  </w:style>
  <w:style w:type="paragraph" w:customStyle="1" w:styleId="facebook-icon">
    <w:name w:val="facebook-icon"/>
    <w:basedOn w:val="Normal"/>
    <w:rsid w:val="00F124F2"/>
    <w:pPr>
      <w:spacing w:before="100" w:beforeAutospacing="1" w:after="100" w:afterAutospacing="1"/>
    </w:pPr>
    <w:rPr>
      <w:rFonts w:ascii="Times New Roman" w:hAnsi="Times New Roman"/>
      <w:sz w:val="24"/>
    </w:rPr>
  </w:style>
  <w:style w:type="paragraph" w:customStyle="1" w:styleId="argentina-flag-big">
    <w:name w:val="argentina-flag-big"/>
    <w:basedOn w:val="Normal"/>
    <w:rsid w:val="00F124F2"/>
    <w:pPr>
      <w:spacing w:before="100" w:beforeAutospacing="1" w:after="100" w:afterAutospacing="1"/>
    </w:pPr>
    <w:rPr>
      <w:rFonts w:ascii="Times New Roman" w:hAnsi="Times New Roman"/>
      <w:sz w:val="24"/>
    </w:rPr>
  </w:style>
  <w:style w:type="paragraph" w:customStyle="1" w:styleId="australia-flag-big">
    <w:name w:val="australia-flag-big"/>
    <w:basedOn w:val="Normal"/>
    <w:rsid w:val="00F124F2"/>
    <w:pPr>
      <w:spacing w:before="100" w:beforeAutospacing="1" w:after="100" w:afterAutospacing="1"/>
    </w:pPr>
    <w:rPr>
      <w:rFonts w:ascii="Times New Roman" w:hAnsi="Times New Roman"/>
      <w:sz w:val="24"/>
    </w:rPr>
  </w:style>
  <w:style w:type="paragraph" w:customStyle="1" w:styleId="austria-flag-big">
    <w:name w:val="austria-flag-big"/>
    <w:basedOn w:val="Normal"/>
    <w:rsid w:val="00F124F2"/>
    <w:pPr>
      <w:spacing w:before="100" w:beforeAutospacing="1" w:after="100" w:afterAutospacing="1"/>
    </w:pPr>
    <w:rPr>
      <w:rFonts w:ascii="Times New Roman" w:hAnsi="Times New Roman"/>
      <w:sz w:val="24"/>
    </w:rPr>
  </w:style>
  <w:style w:type="paragraph" w:customStyle="1" w:styleId="bahrain-flag-big">
    <w:name w:val="bahrain-flag-big"/>
    <w:basedOn w:val="Normal"/>
    <w:rsid w:val="00F124F2"/>
    <w:pPr>
      <w:spacing w:before="100" w:beforeAutospacing="1" w:after="100" w:afterAutospacing="1"/>
    </w:pPr>
    <w:rPr>
      <w:rFonts w:ascii="Times New Roman" w:hAnsi="Times New Roman"/>
      <w:sz w:val="24"/>
    </w:rPr>
  </w:style>
  <w:style w:type="paragraph" w:customStyle="1" w:styleId="belgium-flag-big">
    <w:name w:val="belgium-flag-big"/>
    <w:basedOn w:val="Normal"/>
    <w:rsid w:val="00F124F2"/>
    <w:pPr>
      <w:spacing w:before="100" w:beforeAutospacing="1" w:after="100" w:afterAutospacing="1"/>
    </w:pPr>
    <w:rPr>
      <w:rFonts w:ascii="Times New Roman" w:hAnsi="Times New Roman"/>
      <w:sz w:val="24"/>
    </w:rPr>
  </w:style>
  <w:style w:type="paragraph" w:customStyle="1" w:styleId="bermuda-flag-big">
    <w:name w:val="bermuda-flag-big"/>
    <w:basedOn w:val="Normal"/>
    <w:rsid w:val="00F124F2"/>
    <w:pPr>
      <w:spacing w:before="100" w:beforeAutospacing="1" w:after="100" w:afterAutospacing="1"/>
    </w:pPr>
    <w:rPr>
      <w:rFonts w:ascii="Times New Roman" w:hAnsi="Times New Roman"/>
      <w:sz w:val="24"/>
    </w:rPr>
  </w:style>
  <w:style w:type="paragraph" w:customStyle="1" w:styleId="brazil-flag-big">
    <w:name w:val="brazil-flag-big"/>
    <w:basedOn w:val="Normal"/>
    <w:rsid w:val="00F124F2"/>
    <w:pPr>
      <w:spacing w:before="100" w:beforeAutospacing="1" w:after="100" w:afterAutospacing="1"/>
    </w:pPr>
    <w:rPr>
      <w:rFonts w:ascii="Times New Roman" w:hAnsi="Times New Roman"/>
      <w:sz w:val="24"/>
    </w:rPr>
  </w:style>
  <w:style w:type="paragraph" w:customStyle="1" w:styleId="britishvirginisles-flag-big">
    <w:name w:val="britishvirginisles-flag-big"/>
    <w:basedOn w:val="Normal"/>
    <w:rsid w:val="00F124F2"/>
    <w:pPr>
      <w:spacing w:before="100" w:beforeAutospacing="1" w:after="100" w:afterAutospacing="1"/>
    </w:pPr>
    <w:rPr>
      <w:rFonts w:ascii="Times New Roman" w:hAnsi="Times New Roman"/>
      <w:sz w:val="24"/>
    </w:rPr>
  </w:style>
  <w:style w:type="paragraph" w:customStyle="1" w:styleId="bulgaria-flag-big">
    <w:name w:val="bulgaria-flag-big"/>
    <w:basedOn w:val="Normal"/>
    <w:rsid w:val="00F124F2"/>
    <w:pPr>
      <w:spacing w:before="100" w:beforeAutospacing="1" w:after="100" w:afterAutospacing="1"/>
    </w:pPr>
    <w:rPr>
      <w:rFonts w:ascii="Times New Roman" w:hAnsi="Times New Roman"/>
      <w:sz w:val="24"/>
    </w:rPr>
  </w:style>
  <w:style w:type="paragraph" w:customStyle="1" w:styleId="canada-flag-big">
    <w:name w:val="canada-flag-big"/>
    <w:basedOn w:val="Normal"/>
    <w:rsid w:val="00F124F2"/>
    <w:pPr>
      <w:spacing w:before="100" w:beforeAutospacing="1" w:after="100" w:afterAutospacing="1"/>
    </w:pPr>
    <w:rPr>
      <w:rFonts w:ascii="Times New Roman" w:hAnsi="Times New Roman"/>
      <w:sz w:val="24"/>
    </w:rPr>
  </w:style>
  <w:style w:type="paragraph" w:customStyle="1" w:styleId="caymanislands-flag-big">
    <w:name w:val="caymanislands-flag-big"/>
    <w:basedOn w:val="Normal"/>
    <w:rsid w:val="00F124F2"/>
    <w:pPr>
      <w:spacing w:before="100" w:beforeAutospacing="1" w:after="100" w:afterAutospacing="1"/>
    </w:pPr>
    <w:rPr>
      <w:rFonts w:ascii="Times New Roman" w:hAnsi="Times New Roman"/>
      <w:sz w:val="24"/>
    </w:rPr>
  </w:style>
  <w:style w:type="paragraph" w:customStyle="1" w:styleId="channelislandsguernsey-flag-big">
    <w:name w:val="channelislandsguernsey-flag-big"/>
    <w:basedOn w:val="Normal"/>
    <w:rsid w:val="00F124F2"/>
    <w:pPr>
      <w:spacing w:before="100" w:beforeAutospacing="1" w:after="100" w:afterAutospacing="1"/>
    </w:pPr>
    <w:rPr>
      <w:rFonts w:ascii="Times New Roman" w:hAnsi="Times New Roman"/>
      <w:sz w:val="24"/>
    </w:rPr>
  </w:style>
  <w:style w:type="paragraph" w:customStyle="1" w:styleId="channelislandsjersey-flag-big">
    <w:name w:val="channelislandsjersey-flag-big"/>
    <w:basedOn w:val="Normal"/>
    <w:rsid w:val="00F124F2"/>
    <w:pPr>
      <w:spacing w:before="100" w:beforeAutospacing="1" w:after="100" w:afterAutospacing="1"/>
    </w:pPr>
    <w:rPr>
      <w:rFonts w:ascii="Times New Roman" w:hAnsi="Times New Roman"/>
      <w:sz w:val="24"/>
    </w:rPr>
  </w:style>
  <w:style w:type="paragraph" w:customStyle="1" w:styleId="chile-flag-big">
    <w:name w:val="chile-flag-big"/>
    <w:basedOn w:val="Normal"/>
    <w:rsid w:val="00F124F2"/>
    <w:pPr>
      <w:spacing w:before="100" w:beforeAutospacing="1" w:after="100" w:afterAutospacing="1"/>
    </w:pPr>
    <w:rPr>
      <w:rFonts w:ascii="Times New Roman" w:hAnsi="Times New Roman"/>
      <w:sz w:val="24"/>
    </w:rPr>
  </w:style>
  <w:style w:type="paragraph" w:customStyle="1" w:styleId="china-flag-big">
    <w:name w:val="china-flag-big"/>
    <w:basedOn w:val="Normal"/>
    <w:rsid w:val="00F124F2"/>
    <w:pPr>
      <w:spacing w:before="100" w:beforeAutospacing="1" w:after="100" w:afterAutospacing="1"/>
    </w:pPr>
    <w:rPr>
      <w:rFonts w:ascii="Times New Roman" w:hAnsi="Times New Roman"/>
      <w:sz w:val="24"/>
    </w:rPr>
  </w:style>
  <w:style w:type="paragraph" w:customStyle="1" w:styleId="colombia-flag-big">
    <w:name w:val="colombia-flag-big"/>
    <w:basedOn w:val="Normal"/>
    <w:rsid w:val="00F124F2"/>
    <w:pPr>
      <w:spacing w:before="100" w:beforeAutospacing="1" w:after="100" w:afterAutospacing="1"/>
    </w:pPr>
    <w:rPr>
      <w:rFonts w:ascii="Times New Roman" w:hAnsi="Times New Roman"/>
      <w:sz w:val="24"/>
    </w:rPr>
  </w:style>
  <w:style w:type="paragraph" w:customStyle="1" w:styleId="croatia-flag-big">
    <w:name w:val="croatia-flag-big"/>
    <w:basedOn w:val="Normal"/>
    <w:rsid w:val="00F124F2"/>
    <w:pPr>
      <w:spacing w:before="100" w:beforeAutospacing="1" w:after="100" w:afterAutospacing="1"/>
    </w:pPr>
    <w:rPr>
      <w:rFonts w:ascii="Times New Roman" w:hAnsi="Times New Roman"/>
      <w:sz w:val="24"/>
    </w:rPr>
  </w:style>
  <w:style w:type="paragraph" w:customStyle="1" w:styleId="cyprus-flag-big">
    <w:name w:val="cyprus-flag-big"/>
    <w:basedOn w:val="Normal"/>
    <w:rsid w:val="00F124F2"/>
    <w:pPr>
      <w:spacing w:before="100" w:beforeAutospacing="1" w:after="100" w:afterAutospacing="1"/>
    </w:pPr>
    <w:rPr>
      <w:rFonts w:ascii="Times New Roman" w:hAnsi="Times New Roman"/>
      <w:sz w:val="24"/>
    </w:rPr>
  </w:style>
  <w:style w:type="paragraph" w:customStyle="1" w:styleId="czechrepublic-flag-big">
    <w:name w:val="czechrepublic-flag-big"/>
    <w:basedOn w:val="Normal"/>
    <w:rsid w:val="00F124F2"/>
    <w:pPr>
      <w:spacing w:before="100" w:beforeAutospacing="1" w:after="100" w:afterAutospacing="1"/>
    </w:pPr>
    <w:rPr>
      <w:rFonts w:ascii="Times New Roman" w:hAnsi="Times New Roman"/>
      <w:sz w:val="24"/>
    </w:rPr>
  </w:style>
  <w:style w:type="paragraph" w:customStyle="1" w:styleId="denmark-flag-big">
    <w:name w:val="denmark-flag-big"/>
    <w:basedOn w:val="Normal"/>
    <w:rsid w:val="00F124F2"/>
    <w:pPr>
      <w:spacing w:before="100" w:beforeAutospacing="1" w:after="100" w:afterAutospacing="1"/>
    </w:pPr>
    <w:rPr>
      <w:rFonts w:ascii="Times New Roman" w:hAnsi="Times New Roman"/>
      <w:sz w:val="24"/>
    </w:rPr>
  </w:style>
  <w:style w:type="paragraph" w:customStyle="1" w:styleId="egypt-flag-big">
    <w:name w:val="egypt-flag-big"/>
    <w:basedOn w:val="Normal"/>
    <w:rsid w:val="00F124F2"/>
    <w:pPr>
      <w:spacing w:before="100" w:beforeAutospacing="1" w:after="100" w:afterAutospacing="1"/>
    </w:pPr>
    <w:rPr>
      <w:rFonts w:ascii="Times New Roman" w:hAnsi="Times New Roman"/>
      <w:sz w:val="24"/>
    </w:rPr>
  </w:style>
  <w:style w:type="paragraph" w:customStyle="1" w:styleId="estonia-flag-big">
    <w:name w:val="estonia-flag-big"/>
    <w:basedOn w:val="Normal"/>
    <w:rsid w:val="00F124F2"/>
    <w:pPr>
      <w:spacing w:before="100" w:beforeAutospacing="1" w:after="100" w:afterAutospacing="1"/>
    </w:pPr>
    <w:rPr>
      <w:rFonts w:ascii="Times New Roman" w:hAnsi="Times New Roman"/>
      <w:sz w:val="24"/>
    </w:rPr>
  </w:style>
  <w:style w:type="paragraph" w:customStyle="1" w:styleId="eu-flag-big">
    <w:name w:val="eu-flag-big"/>
    <w:basedOn w:val="Normal"/>
    <w:rsid w:val="00F124F2"/>
    <w:pPr>
      <w:spacing w:before="100" w:beforeAutospacing="1" w:after="100" w:afterAutospacing="1"/>
    </w:pPr>
    <w:rPr>
      <w:rFonts w:ascii="Times New Roman" w:hAnsi="Times New Roman"/>
      <w:sz w:val="24"/>
    </w:rPr>
  </w:style>
  <w:style w:type="paragraph" w:customStyle="1" w:styleId="finland-flag-big">
    <w:name w:val="finland-flag-big"/>
    <w:basedOn w:val="Normal"/>
    <w:rsid w:val="00F124F2"/>
    <w:pPr>
      <w:spacing w:before="100" w:beforeAutospacing="1" w:after="100" w:afterAutospacing="1"/>
    </w:pPr>
    <w:rPr>
      <w:rFonts w:ascii="Times New Roman" w:hAnsi="Times New Roman"/>
      <w:sz w:val="24"/>
    </w:rPr>
  </w:style>
  <w:style w:type="paragraph" w:customStyle="1" w:styleId="france-flag-big">
    <w:name w:val="france-flag-big"/>
    <w:basedOn w:val="Normal"/>
    <w:rsid w:val="00F124F2"/>
    <w:pPr>
      <w:spacing w:before="100" w:beforeAutospacing="1" w:after="100" w:afterAutospacing="1"/>
    </w:pPr>
    <w:rPr>
      <w:rFonts w:ascii="Times New Roman" w:hAnsi="Times New Roman"/>
      <w:sz w:val="24"/>
    </w:rPr>
  </w:style>
  <w:style w:type="paragraph" w:customStyle="1" w:styleId="germany-flag-big">
    <w:name w:val="germany-flag-big"/>
    <w:basedOn w:val="Normal"/>
    <w:rsid w:val="00F124F2"/>
    <w:pPr>
      <w:spacing w:before="100" w:beforeAutospacing="1" w:after="100" w:afterAutospacing="1"/>
    </w:pPr>
    <w:rPr>
      <w:rFonts w:ascii="Times New Roman" w:hAnsi="Times New Roman"/>
      <w:sz w:val="24"/>
    </w:rPr>
  </w:style>
  <w:style w:type="paragraph" w:customStyle="1" w:styleId="gibraltar-flag-big">
    <w:name w:val="gibraltar-flag-big"/>
    <w:basedOn w:val="Normal"/>
    <w:rsid w:val="00F124F2"/>
    <w:pPr>
      <w:spacing w:before="100" w:beforeAutospacing="1" w:after="100" w:afterAutospacing="1"/>
    </w:pPr>
    <w:rPr>
      <w:rFonts w:ascii="Times New Roman" w:hAnsi="Times New Roman"/>
      <w:sz w:val="24"/>
    </w:rPr>
  </w:style>
  <w:style w:type="paragraph" w:customStyle="1" w:styleId="greece-flag-big">
    <w:name w:val="greece-flag-big"/>
    <w:basedOn w:val="Normal"/>
    <w:rsid w:val="00F124F2"/>
    <w:pPr>
      <w:spacing w:before="100" w:beforeAutospacing="1" w:after="100" w:afterAutospacing="1"/>
    </w:pPr>
    <w:rPr>
      <w:rFonts w:ascii="Times New Roman" w:hAnsi="Times New Roman"/>
      <w:sz w:val="24"/>
    </w:rPr>
  </w:style>
  <w:style w:type="paragraph" w:customStyle="1" w:styleId="hongkong-flag-big">
    <w:name w:val="hongkong-flag-big"/>
    <w:basedOn w:val="Normal"/>
    <w:rsid w:val="00F124F2"/>
    <w:pPr>
      <w:spacing w:before="100" w:beforeAutospacing="1" w:after="100" w:afterAutospacing="1"/>
    </w:pPr>
    <w:rPr>
      <w:rFonts w:ascii="Times New Roman" w:hAnsi="Times New Roman"/>
      <w:sz w:val="24"/>
    </w:rPr>
  </w:style>
  <w:style w:type="paragraph" w:customStyle="1" w:styleId="hungary-flag-big">
    <w:name w:val="hungary-flag-big"/>
    <w:basedOn w:val="Normal"/>
    <w:rsid w:val="00F124F2"/>
    <w:pPr>
      <w:spacing w:before="100" w:beforeAutospacing="1" w:after="100" w:afterAutospacing="1"/>
    </w:pPr>
    <w:rPr>
      <w:rFonts w:ascii="Times New Roman" w:hAnsi="Times New Roman"/>
      <w:sz w:val="24"/>
    </w:rPr>
  </w:style>
  <w:style w:type="paragraph" w:customStyle="1" w:styleId="iceland-flag-big">
    <w:name w:val="iceland-flag-big"/>
    <w:basedOn w:val="Normal"/>
    <w:rsid w:val="00F124F2"/>
    <w:pPr>
      <w:spacing w:before="100" w:beforeAutospacing="1" w:after="100" w:afterAutospacing="1"/>
    </w:pPr>
    <w:rPr>
      <w:rFonts w:ascii="Times New Roman" w:hAnsi="Times New Roman"/>
      <w:sz w:val="24"/>
    </w:rPr>
  </w:style>
  <w:style w:type="paragraph" w:customStyle="1" w:styleId="india-flag-big">
    <w:name w:val="india-flag-big"/>
    <w:basedOn w:val="Normal"/>
    <w:rsid w:val="00F124F2"/>
    <w:pPr>
      <w:spacing w:before="100" w:beforeAutospacing="1" w:after="100" w:afterAutospacing="1"/>
    </w:pPr>
    <w:rPr>
      <w:rFonts w:ascii="Times New Roman" w:hAnsi="Times New Roman"/>
      <w:sz w:val="24"/>
    </w:rPr>
  </w:style>
  <w:style w:type="paragraph" w:customStyle="1" w:styleId="indonesia-flag-big">
    <w:name w:val="indonesia-flag-big"/>
    <w:basedOn w:val="Normal"/>
    <w:rsid w:val="00F124F2"/>
    <w:pPr>
      <w:spacing w:before="100" w:beforeAutospacing="1" w:after="100" w:afterAutospacing="1"/>
    </w:pPr>
    <w:rPr>
      <w:rFonts w:ascii="Times New Roman" w:hAnsi="Times New Roman"/>
      <w:sz w:val="24"/>
    </w:rPr>
  </w:style>
  <w:style w:type="paragraph" w:customStyle="1" w:styleId="international-flag-big">
    <w:name w:val="international-flag-big"/>
    <w:basedOn w:val="Normal"/>
    <w:rsid w:val="00F124F2"/>
    <w:pPr>
      <w:spacing w:before="100" w:beforeAutospacing="1" w:after="100" w:afterAutospacing="1"/>
    </w:pPr>
    <w:rPr>
      <w:rFonts w:ascii="Times New Roman" w:hAnsi="Times New Roman"/>
      <w:sz w:val="24"/>
    </w:rPr>
  </w:style>
  <w:style w:type="paragraph" w:customStyle="1" w:styleId="ireland-flag-big">
    <w:name w:val="ireland-flag-big"/>
    <w:basedOn w:val="Normal"/>
    <w:rsid w:val="00F124F2"/>
    <w:pPr>
      <w:spacing w:before="100" w:beforeAutospacing="1" w:after="100" w:afterAutospacing="1"/>
    </w:pPr>
    <w:rPr>
      <w:rFonts w:ascii="Times New Roman" w:hAnsi="Times New Roman"/>
      <w:sz w:val="24"/>
    </w:rPr>
  </w:style>
  <w:style w:type="paragraph" w:customStyle="1" w:styleId="isleofman-flag-big">
    <w:name w:val="isleofman-flag-big"/>
    <w:basedOn w:val="Normal"/>
    <w:rsid w:val="00F124F2"/>
    <w:pPr>
      <w:spacing w:before="100" w:beforeAutospacing="1" w:after="100" w:afterAutospacing="1"/>
    </w:pPr>
    <w:rPr>
      <w:rFonts w:ascii="Times New Roman" w:hAnsi="Times New Roman"/>
      <w:sz w:val="24"/>
    </w:rPr>
  </w:style>
  <w:style w:type="paragraph" w:customStyle="1" w:styleId="israel-flag-big">
    <w:name w:val="israel-flag-big"/>
    <w:basedOn w:val="Normal"/>
    <w:rsid w:val="00F124F2"/>
    <w:pPr>
      <w:spacing w:before="100" w:beforeAutospacing="1" w:after="100" w:afterAutospacing="1"/>
    </w:pPr>
    <w:rPr>
      <w:rFonts w:ascii="Times New Roman" w:hAnsi="Times New Roman"/>
      <w:sz w:val="24"/>
    </w:rPr>
  </w:style>
  <w:style w:type="paragraph" w:customStyle="1" w:styleId="italy-flag-big">
    <w:name w:val="italy-flag-big"/>
    <w:basedOn w:val="Normal"/>
    <w:rsid w:val="00F124F2"/>
    <w:pPr>
      <w:spacing w:before="100" w:beforeAutospacing="1" w:after="100" w:afterAutospacing="1"/>
    </w:pPr>
    <w:rPr>
      <w:rFonts w:ascii="Times New Roman" w:hAnsi="Times New Roman"/>
      <w:sz w:val="24"/>
    </w:rPr>
  </w:style>
  <w:style w:type="paragraph" w:customStyle="1" w:styleId="japan-flag-big">
    <w:name w:val="japan-flag-big"/>
    <w:basedOn w:val="Normal"/>
    <w:rsid w:val="00F124F2"/>
    <w:pPr>
      <w:spacing w:before="100" w:beforeAutospacing="1" w:after="100" w:afterAutospacing="1"/>
    </w:pPr>
    <w:rPr>
      <w:rFonts w:ascii="Times New Roman" w:hAnsi="Times New Roman"/>
      <w:sz w:val="24"/>
    </w:rPr>
  </w:style>
  <w:style w:type="paragraph" w:customStyle="1" w:styleId="kazakhstan-flag-big">
    <w:name w:val="kazakhstan-flag-big"/>
    <w:basedOn w:val="Normal"/>
    <w:rsid w:val="00F124F2"/>
    <w:pPr>
      <w:spacing w:before="100" w:beforeAutospacing="1" w:after="100" w:afterAutospacing="1"/>
    </w:pPr>
    <w:rPr>
      <w:rFonts w:ascii="Times New Roman" w:hAnsi="Times New Roman"/>
      <w:sz w:val="24"/>
    </w:rPr>
  </w:style>
  <w:style w:type="paragraph" w:customStyle="1" w:styleId="latvia-flag-big">
    <w:name w:val="latvia-flag-big"/>
    <w:basedOn w:val="Normal"/>
    <w:rsid w:val="00F124F2"/>
    <w:pPr>
      <w:spacing w:before="100" w:beforeAutospacing="1" w:after="100" w:afterAutospacing="1"/>
    </w:pPr>
    <w:rPr>
      <w:rFonts w:ascii="Times New Roman" w:hAnsi="Times New Roman"/>
      <w:sz w:val="24"/>
    </w:rPr>
  </w:style>
  <w:style w:type="paragraph" w:customStyle="1" w:styleId="lichenstein-flag-big">
    <w:name w:val="lichenstein-flag-big"/>
    <w:basedOn w:val="Normal"/>
    <w:rsid w:val="00F124F2"/>
    <w:pPr>
      <w:spacing w:before="100" w:beforeAutospacing="1" w:after="100" w:afterAutospacing="1"/>
    </w:pPr>
    <w:rPr>
      <w:rFonts w:ascii="Times New Roman" w:hAnsi="Times New Roman"/>
      <w:sz w:val="24"/>
    </w:rPr>
  </w:style>
  <w:style w:type="paragraph" w:customStyle="1" w:styleId="lithuania-flag-big">
    <w:name w:val="lithuania-flag-big"/>
    <w:basedOn w:val="Normal"/>
    <w:rsid w:val="00F124F2"/>
    <w:pPr>
      <w:spacing w:before="100" w:beforeAutospacing="1" w:after="100" w:afterAutospacing="1"/>
    </w:pPr>
    <w:rPr>
      <w:rFonts w:ascii="Times New Roman" w:hAnsi="Times New Roman"/>
      <w:sz w:val="24"/>
    </w:rPr>
  </w:style>
  <w:style w:type="paragraph" w:customStyle="1" w:styleId="luxembourg-flag-big">
    <w:name w:val="luxembourg-flag-big"/>
    <w:basedOn w:val="Normal"/>
    <w:rsid w:val="00F124F2"/>
    <w:pPr>
      <w:spacing w:before="100" w:beforeAutospacing="1" w:after="100" w:afterAutospacing="1"/>
    </w:pPr>
    <w:rPr>
      <w:rFonts w:ascii="Times New Roman" w:hAnsi="Times New Roman"/>
      <w:sz w:val="24"/>
    </w:rPr>
  </w:style>
  <w:style w:type="paragraph" w:customStyle="1" w:styleId="malaysia-flag-big">
    <w:name w:val="malaysia-flag-big"/>
    <w:basedOn w:val="Normal"/>
    <w:rsid w:val="00F124F2"/>
    <w:pPr>
      <w:spacing w:before="100" w:beforeAutospacing="1" w:after="100" w:afterAutospacing="1"/>
    </w:pPr>
    <w:rPr>
      <w:rFonts w:ascii="Times New Roman" w:hAnsi="Times New Roman"/>
      <w:sz w:val="24"/>
    </w:rPr>
  </w:style>
  <w:style w:type="paragraph" w:customStyle="1" w:styleId="malta-flag-big">
    <w:name w:val="malta-flag-big"/>
    <w:basedOn w:val="Normal"/>
    <w:rsid w:val="00F124F2"/>
    <w:pPr>
      <w:spacing w:before="100" w:beforeAutospacing="1" w:after="100" w:afterAutospacing="1"/>
    </w:pPr>
    <w:rPr>
      <w:rFonts w:ascii="Times New Roman" w:hAnsi="Times New Roman"/>
      <w:sz w:val="24"/>
    </w:rPr>
  </w:style>
  <w:style w:type="paragraph" w:customStyle="1" w:styleId="mexico-flag-big">
    <w:name w:val="mexico-flag-big"/>
    <w:basedOn w:val="Normal"/>
    <w:rsid w:val="00F124F2"/>
    <w:pPr>
      <w:spacing w:before="100" w:beforeAutospacing="1" w:after="100" w:afterAutospacing="1"/>
    </w:pPr>
    <w:rPr>
      <w:rFonts w:ascii="Times New Roman" w:hAnsi="Times New Roman"/>
      <w:sz w:val="24"/>
    </w:rPr>
  </w:style>
  <w:style w:type="paragraph" w:customStyle="1" w:styleId="newzealand-flag-big">
    <w:name w:val="newzealand-flag-big"/>
    <w:basedOn w:val="Normal"/>
    <w:rsid w:val="00F124F2"/>
    <w:pPr>
      <w:spacing w:before="100" w:beforeAutospacing="1" w:after="100" w:afterAutospacing="1"/>
    </w:pPr>
    <w:rPr>
      <w:rFonts w:ascii="Times New Roman" w:hAnsi="Times New Roman"/>
      <w:sz w:val="24"/>
    </w:rPr>
  </w:style>
  <w:style w:type="paragraph" w:customStyle="1" w:styleId="nigeria-flag-big">
    <w:name w:val="nigeria-flag-big"/>
    <w:basedOn w:val="Normal"/>
    <w:rsid w:val="00F124F2"/>
    <w:pPr>
      <w:spacing w:before="100" w:beforeAutospacing="1" w:after="100" w:afterAutospacing="1"/>
    </w:pPr>
    <w:rPr>
      <w:rFonts w:ascii="Times New Roman" w:hAnsi="Times New Roman"/>
      <w:sz w:val="24"/>
    </w:rPr>
  </w:style>
  <w:style w:type="paragraph" w:customStyle="1" w:styleId="norway-flag-big">
    <w:name w:val="norway-flag-big"/>
    <w:basedOn w:val="Normal"/>
    <w:rsid w:val="00F124F2"/>
    <w:pPr>
      <w:spacing w:before="100" w:beforeAutospacing="1" w:after="100" w:afterAutospacing="1"/>
    </w:pPr>
    <w:rPr>
      <w:rFonts w:ascii="Times New Roman" w:hAnsi="Times New Roman"/>
      <w:sz w:val="24"/>
    </w:rPr>
  </w:style>
  <w:style w:type="paragraph" w:customStyle="1" w:styleId="oman-flag-big">
    <w:name w:val="oman-flag-big"/>
    <w:basedOn w:val="Normal"/>
    <w:rsid w:val="00F124F2"/>
    <w:pPr>
      <w:spacing w:before="100" w:beforeAutospacing="1" w:after="100" w:afterAutospacing="1"/>
    </w:pPr>
    <w:rPr>
      <w:rFonts w:ascii="Times New Roman" w:hAnsi="Times New Roman"/>
      <w:sz w:val="24"/>
    </w:rPr>
  </w:style>
  <w:style w:type="paragraph" w:customStyle="1" w:styleId="peru-flag-big">
    <w:name w:val="peru-flag-big"/>
    <w:basedOn w:val="Normal"/>
    <w:rsid w:val="00F124F2"/>
    <w:pPr>
      <w:spacing w:before="100" w:beforeAutospacing="1" w:after="100" w:afterAutospacing="1"/>
    </w:pPr>
    <w:rPr>
      <w:rFonts w:ascii="Times New Roman" w:hAnsi="Times New Roman"/>
      <w:sz w:val="24"/>
    </w:rPr>
  </w:style>
  <w:style w:type="paragraph" w:customStyle="1" w:styleId="poland-flag-big">
    <w:name w:val="poland-flag-big"/>
    <w:basedOn w:val="Normal"/>
    <w:rsid w:val="00F124F2"/>
    <w:pPr>
      <w:spacing w:before="100" w:beforeAutospacing="1" w:after="100" w:afterAutospacing="1"/>
    </w:pPr>
    <w:rPr>
      <w:rFonts w:ascii="Times New Roman" w:hAnsi="Times New Roman"/>
      <w:sz w:val="24"/>
    </w:rPr>
  </w:style>
  <w:style w:type="paragraph" w:customStyle="1" w:styleId="portugal-flag-big">
    <w:name w:val="portugal-flag-big"/>
    <w:basedOn w:val="Normal"/>
    <w:rsid w:val="00F124F2"/>
    <w:pPr>
      <w:spacing w:before="100" w:beforeAutospacing="1" w:after="100" w:afterAutospacing="1"/>
    </w:pPr>
    <w:rPr>
      <w:rFonts w:ascii="Times New Roman" w:hAnsi="Times New Roman"/>
      <w:sz w:val="24"/>
    </w:rPr>
  </w:style>
  <w:style w:type="paragraph" w:customStyle="1" w:styleId="qatar-flag-big">
    <w:name w:val="qatar-flag-big"/>
    <w:basedOn w:val="Normal"/>
    <w:rsid w:val="00F124F2"/>
    <w:pPr>
      <w:spacing w:before="100" w:beforeAutospacing="1" w:after="100" w:afterAutospacing="1"/>
    </w:pPr>
    <w:rPr>
      <w:rFonts w:ascii="Times New Roman" w:hAnsi="Times New Roman"/>
      <w:sz w:val="24"/>
    </w:rPr>
  </w:style>
  <w:style w:type="paragraph" w:customStyle="1" w:styleId="romania-flag-big">
    <w:name w:val="romania-flag-big"/>
    <w:basedOn w:val="Normal"/>
    <w:rsid w:val="00F124F2"/>
    <w:pPr>
      <w:spacing w:before="100" w:beforeAutospacing="1" w:after="100" w:afterAutospacing="1"/>
    </w:pPr>
    <w:rPr>
      <w:rFonts w:ascii="Times New Roman" w:hAnsi="Times New Roman"/>
      <w:sz w:val="24"/>
    </w:rPr>
  </w:style>
  <w:style w:type="paragraph" w:customStyle="1" w:styleId="russianfederation-flag-big">
    <w:name w:val="russianfederation-flag-big"/>
    <w:basedOn w:val="Normal"/>
    <w:rsid w:val="00F124F2"/>
    <w:pPr>
      <w:spacing w:before="100" w:beforeAutospacing="1" w:after="100" w:afterAutospacing="1"/>
    </w:pPr>
    <w:rPr>
      <w:rFonts w:ascii="Times New Roman" w:hAnsi="Times New Roman"/>
      <w:sz w:val="24"/>
    </w:rPr>
  </w:style>
  <w:style w:type="paragraph" w:customStyle="1" w:styleId="saudiarabia-flag-big">
    <w:name w:val="saudiarabia-flag-big"/>
    <w:basedOn w:val="Normal"/>
    <w:rsid w:val="00F124F2"/>
    <w:pPr>
      <w:spacing w:before="100" w:beforeAutospacing="1" w:after="100" w:afterAutospacing="1"/>
    </w:pPr>
    <w:rPr>
      <w:rFonts w:ascii="Times New Roman" w:hAnsi="Times New Roman"/>
      <w:sz w:val="24"/>
    </w:rPr>
  </w:style>
  <w:style w:type="paragraph" w:customStyle="1" w:styleId="serbia-flag-big">
    <w:name w:val="serbia-flag-big"/>
    <w:basedOn w:val="Normal"/>
    <w:rsid w:val="00F124F2"/>
    <w:pPr>
      <w:spacing w:before="100" w:beforeAutospacing="1" w:after="100" w:afterAutospacing="1"/>
    </w:pPr>
    <w:rPr>
      <w:rFonts w:ascii="Times New Roman" w:hAnsi="Times New Roman"/>
      <w:sz w:val="24"/>
    </w:rPr>
  </w:style>
  <w:style w:type="paragraph" w:customStyle="1" w:styleId="singapore-flag-big">
    <w:name w:val="singapore-flag-big"/>
    <w:basedOn w:val="Normal"/>
    <w:rsid w:val="00F124F2"/>
    <w:pPr>
      <w:spacing w:before="100" w:beforeAutospacing="1" w:after="100" w:afterAutospacing="1"/>
    </w:pPr>
    <w:rPr>
      <w:rFonts w:ascii="Times New Roman" w:hAnsi="Times New Roman"/>
      <w:sz w:val="24"/>
    </w:rPr>
  </w:style>
  <w:style w:type="paragraph" w:customStyle="1" w:styleId="slovakia-flag-big">
    <w:name w:val="slovakia-flag-big"/>
    <w:basedOn w:val="Normal"/>
    <w:rsid w:val="00F124F2"/>
    <w:pPr>
      <w:spacing w:before="100" w:beforeAutospacing="1" w:after="100" w:afterAutospacing="1"/>
    </w:pPr>
    <w:rPr>
      <w:rFonts w:ascii="Times New Roman" w:hAnsi="Times New Roman"/>
      <w:sz w:val="24"/>
    </w:rPr>
  </w:style>
  <w:style w:type="paragraph" w:customStyle="1" w:styleId="slovenia-flag-big">
    <w:name w:val="slovenia-flag-big"/>
    <w:basedOn w:val="Normal"/>
    <w:rsid w:val="00F124F2"/>
    <w:pPr>
      <w:spacing w:before="100" w:beforeAutospacing="1" w:after="100" w:afterAutospacing="1"/>
    </w:pPr>
    <w:rPr>
      <w:rFonts w:ascii="Times New Roman" w:hAnsi="Times New Roman"/>
      <w:sz w:val="24"/>
    </w:rPr>
  </w:style>
  <w:style w:type="paragraph" w:customStyle="1" w:styleId="southafrica-flag-big">
    <w:name w:val="southafrica-flag-big"/>
    <w:basedOn w:val="Normal"/>
    <w:rsid w:val="00F124F2"/>
    <w:pPr>
      <w:spacing w:before="100" w:beforeAutospacing="1" w:after="100" w:afterAutospacing="1"/>
    </w:pPr>
    <w:rPr>
      <w:rFonts w:ascii="Times New Roman" w:hAnsi="Times New Roman"/>
      <w:sz w:val="24"/>
    </w:rPr>
  </w:style>
  <w:style w:type="paragraph" w:customStyle="1" w:styleId="southkorea-flag-big">
    <w:name w:val="southkorea-flag-big"/>
    <w:basedOn w:val="Normal"/>
    <w:rsid w:val="00F124F2"/>
    <w:pPr>
      <w:spacing w:before="100" w:beforeAutospacing="1" w:after="100" w:afterAutospacing="1"/>
    </w:pPr>
    <w:rPr>
      <w:rFonts w:ascii="Times New Roman" w:hAnsi="Times New Roman"/>
      <w:sz w:val="24"/>
    </w:rPr>
  </w:style>
  <w:style w:type="paragraph" w:customStyle="1" w:styleId="spain-flag-big">
    <w:name w:val="spain-flag-big"/>
    <w:basedOn w:val="Normal"/>
    <w:rsid w:val="00F124F2"/>
    <w:pPr>
      <w:spacing w:before="100" w:beforeAutospacing="1" w:after="100" w:afterAutospacing="1"/>
    </w:pPr>
    <w:rPr>
      <w:rFonts w:ascii="Times New Roman" w:hAnsi="Times New Roman"/>
      <w:sz w:val="24"/>
    </w:rPr>
  </w:style>
  <w:style w:type="paragraph" w:customStyle="1" w:styleId="sweden-flag-big">
    <w:name w:val="sweden-flag-big"/>
    <w:basedOn w:val="Normal"/>
    <w:rsid w:val="00F124F2"/>
    <w:pPr>
      <w:spacing w:before="100" w:beforeAutospacing="1" w:after="100" w:afterAutospacing="1"/>
    </w:pPr>
    <w:rPr>
      <w:rFonts w:ascii="Times New Roman" w:hAnsi="Times New Roman"/>
      <w:sz w:val="24"/>
    </w:rPr>
  </w:style>
  <w:style w:type="paragraph" w:customStyle="1" w:styleId="switzerland-flag-big">
    <w:name w:val="switzerland-flag-big"/>
    <w:basedOn w:val="Normal"/>
    <w:rsid w:val="00F124F2"/>
    <w:pPr>
      <w:spacing w:before="100" w:beforeAutospacing="1" w:after="100" w:afterAutospacing="1"/>
    </w:pPr>
    <w:rPr>
      <w:rFonts w:ascii="Times New Roman" w:hAnsi="Times New Roman"/>
      <w:sz w:val="24"/>
    </w:rPr>
  </w:style>
  <w:style w:type="paragraph" w:customStyle="1" w:styleId="taiwan-flag-big">
    <w:name w:val="taiwan-flag-big"/>
    <w:basedOn w:val="Normal"/>
    <w:rsid w:val="00F124F2"/>
    <w:pPr>
      <w:spacing w:before="100" w:beforeAutospacing="1" w:after="100" w:afterAutospacing="1"/>
    </w:pPr>
    <w:rPr>
      <w:rFonts w:ascii="Times New Roman" w:hAnsi="Times New Roman"/>
      <w:sz w:val="24"/>
    </w:rPr>
  </w:style>
  <w:style w:type="paragraph" w:customStyle="1" w:styleId="thailand-flag-big">
    <w:name w:val="thailand-flag-big"/>
    <w:basedOn w:val="Normal"/>
    <w:rsid w:val="00F124F2"/>
    <w:pPr>
      <w:spacing w:before="100" w:beforeAutospacing="1" w:after="100" w:afterAutospacing="1"/>
    </w:pPr>
    <w:rPr>
      <w:rFonts w:ascii="Times New Roman" w:hAnsi="Times New Roman"/>
      <w:sz w:val="24"/>
    </w:rPr>
  </w:style>
  <w:style w:type="paragraph" w:customStyle="1" w:styleId="thenetherlands-flag-big">
    <w:name w:val="thenetherlands-flag-big"/>
    <w:basedOn w:val="Normal"/>
    <w:rsid w:val="00F124F2"/>
    <w:pPr>
      <w:spacing w:before="100" w:beforeAutospacing="1" w:after="100" w:afterAutospacing="1"/>
    </w:pPr>
    <w:rPr>
      <w:rFonts w:ascii="Times New Roman" w:hAnsi="Times New Roman"/>
      <w:sz w:val="24"/>
    </w:rPr>
  </w:style>
  <w:style w:type="paragraph" w:customStyle="1" w:styleId="turkey-flag-big">
    <w:name w:val="turkey-flag-big"/>
    <w:basedOn w:val="Normal"/>
    <w:rsid w:val="00F124F2"/>
    <w:pPr>
      <w:spacing w:before="100" w:beforeAutospacing="1" w:after="100" w:afterAutospacing="1"/>
    </w:pPr>
    <w:rPr>
      <w:rFonts w:ascii="Times New Roman" w:hAnsi="Times New Roman"/>
      <w:sz w:val="24"/>
    </w:rPr>
  </w:style>
  <w:style w:type="paragraph" w:customStyle="1" w:styleId="ukraine-flag-big">
    <w:name w:val="ukraine-flag-big"/>
    <w:basedOn w:val="Normal"/>
    <w:rsid w:val="00F124F2"/>
    <w:pPr>
      <w:spacing w:before="100" w:beforeAutospacing="1" w:after="100" w:afterAutospacing="1"/>
    </w:pPr>
    <w:rPr>
      <w:rFonts w:ascii="Times New Roman" w:hAnsi="Times New Roman"/>
      <w:sz w:val="24"/>
    </w:rPr>
  </w:style>
  <w:style w:type="paragraph" w:customStyle="1" w:styleId="unitedarabemirates-flag-big">
    <w:name w:val="unitedarabemirates-flag-big"/>
    <w:basedOn w:val="Normal"/>
    <w:rsid w:val="00F124F2"/>
    <w:pPr>
      <w:spacing w:before="100" w:beforeAutospacing="1" w:after="100" w:afterAutospacing="1"/>
    </w:pPr>
    <w:rPr>
      <w:rFonts w:ascii="Times New Roman" w:hAnsi="Times New Roman"/>
      <w:sz w:val="24"/>
    </w:rPr>
  </w:style>
  <w:style w:type="paragraph" w:customStyle="1" w:styleId="unitedkingdom-flag-big">
    <w:name w:val="unitedkingdom-flag-big"/>
    <w:basedOn w:val="Normal"/>
    <w:rsid w:val="00F124F2"/>
    <w:pPr>
      <w:spacing w:before="100" w:beforeAutospacing="1" w:after="100" w:afterAutospacing="1"/>
    </w:pPr>
    <w:rPr>
      <w:rFonts w:ascii="Times New Roman" w:hAnsi="Times New Roman"/>
      <w:sz w:val="24"/>
    </w:rPr>
  </w:style>
  <w:style w:type="paragraph" w:customStyle="1" w:styleId="unitedstates-flag-big">
    <w:name w:val="unitedstates-flag-big"/>
    <w:basedOn w:val="Normal"/>
    <w:rsid w:val="00F124F2"/>
    <w:pPr>
      <w:spacing w:before="100" w:beforeAutospacing="1" w:after="100" w:afterAutospacing="1"/>
    </w:pPr>
    <w:rPr>
      <w:rFonts w:ascii="Times New Roman" w:hAnsi="Times New Roman"/>
      <w:sz w:val="24"/>
    </w:rPr>
  </w:style>
  <w:style w:type="paragraph" w:customStyle="1" w:styleId="venezuela-flag-big">
    <w:name w:val="venezuela-flag-big"/>
    <w:basedOn w:val="Normal"/>
    <w:rsid w:val="00F124F2"/>
    <w:pPr>
      <w:spacing w:before="100" w:beforeAutospacing="1" w:after="100" w:afterAutospacing="1"/>
    </w:pPr>
    <w:rPr>
      <w:rFonts w:ascii="Times New Roman" w:hAnsi="Times New Roman"/>
      <w:sz w:val="24"/>
    </w:rPr>
  </w:style>
  <w:style w:type="paragraph" w:customStyle="1" w:styleId="vietnam-flag-big">
    <w:name w:val="vietnam-flag-big"/>
    <w:basedOn w:val="Normal"/>
    <w:rsid w:val="00F124F2"/>
    <w:pPr>
      <w:spacing w:before="100" w:beforeAutospacing="1" w:after="100" w:afterAutospacing="1"/>
    </w:pPr>
    <w:rPr>
      <w:rFonts w:ascii="Times New Roman" w:hAnsi="Times New Roman"/>
      <w:sz w:val="24"/>
    </w:rPr>
  </w:style>
  <w:style w:type="paragraph" w:customStyle="1" w:styleId="guernsey-flag-big">
    <w:name w:val="guernsey-flag-big"/>
    <w:basedOn w:val="Normal"/>
    <w:rsid w:val="00F124F2"/>
    <w:pPr>
      <w:spacing w:before="100" w:beforeAutospacing="1" w:after="100" w:afterAutospacing="1"/>
    </w:pPr>
    <w:rPr>
      <w:rFonts w:ascii="Times New Roman" w:hAnsi="Times New Roman"/>
      <w:sz w:val="24"/>
    </w:rPr>
  </w:style>
  <w:style w:type="paragraph" w:customStyle="1" w:styleId="jersey-flag-big">
    <w:name w:val="jersey-flag-big"/>
    <w:basedOn w:val="Normal"/>
    <w:rsid w:val="00F124F2"/>
    <w:pPr>
      <w:spacing w:before="100" w:beforeAutospacing="1" w:after="100" w:afterAutospacing="1"/>
    </w:pPr>
    <w:rPr>
      <w:rFonts w:ascii="Times New Roman" w:hAnsi="Times New Roman"/>
      <w:sz w:val="24"/>
    </w:rPr>
  </w:style>
  <w:style w:type="paragraph" w:customStyle="1" w:styleId="liechtenstein-flag-big">
    <w:name w:val="liechtenstein-flag-big"/>
    <w:basedOn w:val="Normal"/>
    <w:rsid w:val="00F124F2"/>
    <w:pPr>
      <w:spacing w:before="100" w:beforeAutospacing="1" w:after="100" w:afterAutospacing="1"/>
    </w:pPr>
    <w:rPr>
      <w:rFonts w:ascii="Times New Roman" w:hAnsi="Times New Roman"/>
      <w:sz w:val="24"/>
    </w:rPr>
  </w:style>
  <w:style w:type="paragraph" w:customStyle="1" w:styleId="the-netherlands-flag-big">
    <w:name w:val="the-netherlands-flag-big"/>
    <w:basedOn w:val="Normal"/>
    <w:rsid w:val="00F124F2"/>
    <w:pPr>
      <w:spacing w:before="100" w:beforeAutospacing="1" w:after="100" w:afterAutospacing="1"/>
    </w:pPr>
    <w:rPr>
      <w:rFonts w:ascii="Times New Roman" w:hAnsi="Times New Roman"/>
      <w:sz w:val="24"/>
    </w:rPr>
  </w:style>
  <w:style w:type="paragraph" w:customStyle="1" w:styleId="britishvirginislands-flag-big">
    <w:name w:val="britishvirginislands-flag-big"/>
    <w:basedOn w:val="Normal"/>
    <w:rsid w:val="00F124F2"/>
    <w:pPr>
      <w:spacing w:before="100" w:beforeAutospacing="1" w:after="100" w:afterAutospacing="1"/>
    </w:pPr>
    <w:rPr>
      <w:rFonts w:ascii="Times New Roman" w:hAnsi="Times New Roman"/>
      <w:sz w:val="24"/>
    </w:rPr>
  </w:style>
  <w:style w:type="paragraph" w:customStyle="1" w:styleId="uk-small-icon">
    <w:name w:val="uk-small-icon"/>
    <w:basedOn w:val="Normal"/>
    <w:rsid w:val="00F124F2"/>
    <w:pPr>
      <w:spacing w:before="100" w:beforeAutospacing="1" w:after="100" w:afterAutospacing="1"/>
    </w:pPr>
    <w:rPr>
      <w:rFonts w:ascii="Times New Roman" w:hAnsi="Times New Roman"/>
      <w:sz w:val="24"/>
    </w:rPr>
  </w:style>
  <w:style w:type="paragraph" w:customStyle="1" w:styleId="us-small-icon">
    <w:name w:val="us-small-icon"/>
    <w:basedOn w:val="Normal"/>
    <w:rsid w:val="00F124F2"/>
    <w:pPr>
      <w:spacing w:before="100" w:beforeAutospacing="1" w:after="100" w:afterAutospacing="1"/>
    </w:pPr>
    <w:rPr>
      <w:rFonts w:ascii="Times New Roman" w:hAnsi="Times New Roman"/>
      <w:sz w:val="24"/>
    </w:rPr>
  </w:style>
  <w:style w:type="paragraph" w:customStyle="1" w:styleId="canada-small-icon">
    <w:name w:val="canada-small-icon"/>
    <w:basedOn w:val="Normal"/>
    <w:rsid w:val="00F124F2"/>
    <w:pPr>
      <w:spacing w:before="100" w:beforeAutospacing="1" w:after="100" w:afterAutospacing="1"/>
    </w:pPr>
    <w:rPr>
      <w:rFonts w:ascii="Times New Roman" w:hAnsi="Times New Roman"/>
      <w:sz w:val="24"/>
    </w:rPr>
  </w:style>
  <w:style w:type="paragraph" w:customStyle="1" w:styleId="cross-border-small-icon">
    <w:name w:val="cross-border-small-icon"/>
    <w:basedOn w:val="Normal"/>
    <w:rsid w:val="00F124F2"/>
    <w:pPr>
      <w:spacing w:before="100" w:beforeAutospacing="1" w:after="100" w:afterAutospacing="1"/>
    </w:pPr>
    <w:rPr>
      <w:rFonts w:ascii="Times New Roman" w:hAnsi="Times New Roman"/>
      <w:sz w:val="24"/>
    </w:rPr>
  </w:style>
  <w:style w:type="paragraph" w:customStyle="1" w:styleId="popup-content-arrow">
    <w:name w:val="popup-content-arrow"/>
    <w:basedOn w:val="Normal"/>
    <w:rsid w:val="00F124F2"/>
    <w:pPr>
      <w:spacing w:after="100" w:afterAutospacing="1"/>
    </w:pPr>
    <w:rPr>
      <w:rFonts w:ascii="Times New Roman" w:hAnsi="Times New Roman"/>
      <w:sz w:val="24"/>
    </w:rPr>
  </w:style>
  <w:style w:type="paragraph" w:customStyle="1" w:styleId="resourceinner">
    <w:name w:val="resource_inner"/>
    <w:basedOn w:val="Normal"/>
    <w:rsid w:val="00F124F2"/>
    <w:pPr>
      <w:spacing w:before="100" w:beforeAutospacing="1" w:after="150"/>
    </w:pPr>
    <w:rPr>
      <w:rFonts w:ascii="Times New Roman" w:hAnsi="Times New Roman"/>
      <w:sz w:val="24"/>
    </w:rPr>
  </w:style>
  <w:style w:type="paragraph" w:customStyle="1" w:styleId="resourcetitle">
    <w:name w:val="resource_title"/>
    <w:basedOn w:val="Normal"/>
    <w:rsid w:val="00F124F2"/>
    <w:pPr>
      <w:spacing w:before="100" w:beforeAutospacing="1" w:after="100" w:afterAutospacing="1"/>
    </w:pPr>
    <w:rPr>
      <w:rFonts w:ascii="Times New Roman" w:hAnsi="Times New Roman"/>
      <w:b/>
      <w:bCs/>
      <w:sz w:val="24"/>
    </w:rPr>
  </w:style>
  <w:style w:type="paragraph" w:customStyle="1" w:styleId="resoucevalue">
    <w:name w:val="resouce_value"/>
    <w:basedOn w:val="Normal"/>
    <w:rsid w:val="00F124F2"/>
    <w:pPr>
      <w:spacing w:before="100" w:beforeAutospacing="1" w:after="100" w:afterAutospacing="1"/>
    </w:pPr>
    <w:rPr>
      <w:rFonts w:ascii="Times New Roman" w:hAnsi="Times New Roman"/>
      <w:sz w:val="24"/>
    </w:rPr>
  </w:style>
  <w:style w:type="paragraph" w:customStyle="1" w:styleId="party1">
    <w:name w:val="party_1"/>
    <w:basedOn w:val="Normal"/>
    <w:rsid w:val="00F124F2"/>
    <w:pPr>
      <w:spacing w:before="100" w:beforeAutospacing="1" w:after="100" w:afterAutospacing="1"/>
      <w:textAlignment w:val="top"/>
    </w:pPr>
    <w:rPr>
      <w:rFonts w:ascii="Times New Roman" w:hAnsi="Times New Roman"/>
      <w:sz w:val="24"/>
    </w:rPr>
  </w:style>
  <w:style w:type="paragraph" w:customStyle="1" w:styleId="party2">
    <w:name w:val="party_2"/>
    <w:basedOn w:val="Normal"/>
    <w:rsid w:val="00F124F2"/>
    <w:pPr>
      <w:spacing w:before="100" w:beforeAutospacing="1" w:after="100" w:afterAutospacing="1"/>
      <w:textAlignment w:val="top"/>
    </w:pPr>
    <w:rPr>
      <w:rFonts w:ascii="Times New Roman" w:hAnsi="Times New Roman"/>
      <w:sz w:val="24"/>
    </w:rPr>
  </w:style>
  <w:style w:type="paragraph" w:customStyle="1" w:styleId="party3">
    <w:name w:val="party_3"/>
    <w:basedOn w:val="Normal"/>
    <w:rsid w:val="00F124F2"/>
    <w:pPr>
      <w:spacing w:before="100" w:beforeAutospacing="1" w:after="100" w:afterAutospacing="1"/>
      <w:textAlignment w:val="top"/>
    </w:pPr>
    <w:rPr>
      <w:rFonts w:ascii="Times New Roman" w:hAnsi="Times New Roman"/>
      <w:sz w:val="24"/>
    </w:rPr>
  </w:style>
  <w:style w:type="paragraph" w:customStyle="1" w:styleId="about-heading">
    <w:name w:val="about-heading"/>
    <w:basedOn w:val="Normal"/>
    <w:rsid w:val="00F124F2"/>
    <w:pPr>
      <w:pBdr>
        <w:left w:val="dotted" w:sz="6" w:space="13" w:color="BABABA"/>
      </w:pBdr>
      <w:spacing w:before="100" w:beforeAutospacing="1" w:after="100" w:afterAutospacing="1"/>
    </w:pPr>
    <w:rPr>
      <w:rFonts w:ascii="Times New Roman" w:hAnsi="Times New Roman"/>
      <w:sz w:val="24"/>
    </w:rPr>
  </w:style>
  <w:style w:type="paragraph" w:customStyle="1" w:styleId="speedread-link">
    <w:name w:val="speedread-link"/>
    <w:basedOn w:val="Normal"/>
    <w:rsid w:val="00F124F2"/>
    <w:pPr>
      <w:spacing w:before="100" w:beforeAutospacing="1" w:after="100" w:afterAutospacing="1"/>
    </w:pPr>
    <w:rPr>
      <w:rFonts w:ascii="Times New Roman" w:hAnsi="Times New Roman"/>
      <w:sz w:val="24"/>
    </w:rPr>
  </w:style>
  <w:style w:type="paragraph" w:customStyle="1" w:styleId="contents-node">
    <w:name w:val="contents-node"/>
    <w:basedOn w:val="Normal"/>
    <w:rsid w:val="00F124F2"/>
    <w:pPr>
      <w:spacing w:after="75"/>
    </w:pPr>
    <w:rPr>
      <w:rFonts w:ascii="Times New Roman" w:hAnsi="Times New Roman"/>
      <w:sz w:val="24"/>
    </w:rPr>
  </w:style>
  <w:style w:type="paragraph" w:customStyle="1" w:styleId="contents-node-bridge">
    <w:name w:val="contents-node-bridge"/>
    <w:basedOn w:val="Normal"/>
    <w:rsid w:val="00F124F2"/>
    <w:pPr>
      <w:spacing w:before="100" w:beforeAutospacing="1" w:after="100" w:afterAutospacing="1"/>
    </w:pPr>
    <w:rPr>
      <w:rFonts w:ascii="Times New Roman" w:hAnsi="Times New Roman"/>
      <w:sz w:val="24"/>
    </w:rPr>
  </w:style>
  <w:style w:type="paragraph" w:customStyle="1" w:styleId="sub-contents">
    <w:name w:val="sub-contents"/>
    <w:basedOn w:val="Normal"/>
    <w:rsid w:val="00F124F2"/>
    <w:pPr>
      <w:spacing w:before="100" w:beforeAutospacing="1" w:after="135"/>
      <w:ind w:left="330"/>
    </w:pPr>
    <w:rPr>
      <w:rFonts w:ascii="Times New Roman" w:hAnsi="Times New Roman"/>
      <w:sz w:val="24"/>
    </w:rPr>
  </w:style>
  <w:style w:type="paragraph" w:customStyle="1" w:styleId="contents-index">
    <w:name w:val="contents-index"/>
    <w:basedOn w:val="Normal"/>
    <w:rsid w:val="00F124F2"/>
    <w:pPr>
      <w:spacing w:before="100" w:beforeAutospacing="1" w:after="100" w:afterAutospacing="1"/>
    </w:pPr>
    <w:rPr>
      <w:rFonts w:ascii="Times New Roman" w:hAnsi="Times New Roman"/>
      <w:sz w:val="24"/>
    </w:rPr>
  </w:style>
  <w:style w:type="paragraph" w:customStyle="1" w:styleId="maintained">
    <w:name w:val="maintained"/>
    <w:basedOn w:val="Normal"/>
    <w:rsid w:val="00F124F2"/>
    <w:pPr>
      <w:spacing w:before="100" w:beforeAutospacing="1" w:after="100" w:afterAutospacing="1"/>
    </w:pPr>
    <w:rPr>
      <w:rFonts w:ascii="Times New Roman" w:hAnsi="Times New Roman"/>
      <w:color w:val="387C2B"/>
      <w:sz w:val="24"/>
    </w:rPr>
  </w:style>
  <w:style w:type="paragraph" w:customStyle="1" w:styleId="askplc-meta-display-date">
    <w:name w:val="askplc-meta-display-date"/>
    <w:basedOn w:val="Normal"/>
    <w:rsid w:val="00F124F2"/>
    <w:pPr>
      <w:spacing w:before="100" w:beforeAutospacing="1" w:after="100" w:afterAutospacing="1"/>
    </w:pPr>
    <w:rPr>
      <w:rFonts w:ascii="Times New Roman" w:hAnsi="Times New Roman"/>
      <w:color w:val="387C2B"/>
      <w:sz w:val="24"/>
    </w:rPr>
  </w:style>
  <w:style w:type="paragraph" w:customStyle="1" w:styleId="not-maintained">
    <w:name w:val="not-maintained"/>
    <w:basedOn w:val="Normal"/>
    <w:rsid w:val="00F124F2"/>
    <w:pPr>
      <w:spacing w:before="100" w:beforeAutospacing="1" w:after="100" w:afterAutospacing="1"/>
    </w:pPr>
    <w:rPr>
      <w:rFonts w:ascii="Times New Roman" w:hAnsi="Times New Roman"/>
      <w:color w:val="A00000"/>
      <w:sz w:val="24"/>
    </w:rPr>
  </w:style>
  <w:style w:type="paragraph" w:customStyle="1" w:styleId="user-feedback-link">
    <w:name w:val="user-feedback-link"/>
    <w:basedOn w:val="Normal"/>
    <w:rsid w:val="00F124F2"/>
    <w:pPr>
      <w:spacing w:before="100" w:beforeAutospacing="1" w:after="100" w:afterAutospacing="1"/>
    </w:pPr>
    <w:rPr>
      <w:rFonts w:ascii="Times New Roman" w:hAnsi="Times New Roman"/>
      <w:sz w:val="24"/>
    </w:rPr>
  </w:style>
  <w:style w:type="paragraph" w:customStyle="1" w:styleId="meta-print-link">
    <w:name w:val="meta-print-link"/>
    <w:basedOn w:val="Normal"/>
    <w:rsid w:val="00F124F2"/>
    <w:pPr>
      <w:spacing w:before="100" w:beforeAutospacing="1" w:after="100" w:afterAutospacing="1"/>
    </w:pPr>
    <w:rPr>
      <w:rFonts w:ascii="Times New Roman" w:hAnsi="Times New Roman"/>
      <w:sz w:val="24"/>
    </w:rPr>
  </w:style>
  <w:style w:type="paragraph" w:customStyle="1" w:styleId="content-meta-inner">
    <w:name w:val="content-meta-inner"/>
    <w:basedOn w:val="Normal"/>
    <w:rsid w:val="00F124F2"/>
    <w:pPr>
      <w:spacing w:before="100" w:beforeAutospacing="1" w:after="100" w:afterAutospacing="1"/>
    </w:pPr>
    <w:rPr>
      <w:rFonts w:ascii="Times New Roman" w:hAnsi="Times New Roman"/>
      <w:color w:val="212121"/>
      <w:sz w:val="24"/>
    </w:rPr>
  </w:style>
  <w:style w:type="paragraph" w:customStyle="1" w:styleId="resource-content-box">
    <w:name w:val="resource-content-box"/>
    <w:basedOn w:val="Normal"/>
    <w:rsid w:val="00F124F2"/>
    <w:pPr>
      <w:pBdr>
        <w:top w:val="single" w:sz="2" w:space="7" w:color="BABABA"/>
        <w:left w:val="single" w:sz="2" w:space="14" w:color="BABABA"/>
        <w:bottom w:val="single" w:sz="2" w:space="7" w:color="BABABA"/>
        <w:right w:val="single" w:sz="2" w:space="14" w:color="BABABA"/>
      </w:pBdr>
      <w:shd w:val="clear" w:color="auto" w:fill="F1F1F1"/>
      <w:spacing w:before="100" w:beforeAutospacing="1" w:after="100" w:afterAutospacing="1"/>
    </w:pPr>
    <w:rPr>
      <w:rFonts w:ascii="Times New Roman" w:hAnsi="Times New Roman"/>
      <w:sz w:val="24"/>
    </w:rPr>
  </w:style>
  <w:style w:type="paragraph" w:customStyle="1" w:styleId="embedded-case">
    <w:name w:val="embedded-case"/>
    <w:basedOn w:val="Normal"/>
    <w:rsid w:val="00F124F2"/>
    <w:pPr>
      <w:shd w:val="clear" w:color="auto" w:fill="F1F1F1"/>
      <w:spacing w:before="100" w:beforeAutospacing="1" w:after="270"/>
    </w:pPr>
    <w:rPr>
      <w:rFonts w:ascii="Times New Roman" w:hAnsi="Times New Roman"/>
      <w:sz w:val="24"/>
    </w:rPr>
  </w:style>
  <w:style w:type="paragraph" w:customStyle="1" w:styleId="embedded-resource-col">
    <w:name w:val="embedded-resource-col"/>
    <w:basedOn w:val="Normal"/>
    <w:rsid w:val="00F124F2"/>
    <w:rPr>
      <w:rFonts w:ascii="Times New Roman" w:hAnsi="Times New Roman"/>
      <w:sz w:val="24"/>
    </w:rPr>
  </w:style>
  <w:style w:type="paragraph" w:customStyle="1" w:styleId="embedded-resources-link">
    <w:name w:val="embedded-resources-link"/>
    <w:basedOn w:val="Normal"/>
    <w:rsid w:val="00F124F2"/>
    <w:pPr>
      <w:spacing w:after="100" w:afterAutospacing="1"/>
      <w:jc w:val="right"/>
    </w:pPr>
    <w:rPr>
      <w:rFonts w:ascii="Times New Roman" w:hAnsi="Times New Roman"/>
      <w:sz w:val="24"/>
    </w:rPr>
  </w:style>
  <w:style w:type="paragraph" w:customStyle="1" w:styleId="embedded-resource-content">
    <w:name w:val="embedded-resource-content"/>
    <w:basedOn w:val="Normal"/>
    <w:rsid w:val="00F124F2"/>
    <w:pPr>
      <w:spacing w:before="270" w:after="270"/>
      <w:ind w:left="270" w:right="270"/>
    </w:pPr>
    <w:rPr>
      <w:rFonts w:ascii="Times New Roman" w:hAnsi="Times New Roman"/>
      <w:sz w:val="24"/>
    </w:rPr>
  </w:style>
  <w:style w:type="paragraph" w:customStyle="1" w:styleId="embedded-resource-row">
    <w:name w:val="embedded-resource-row"/>
    <w:basedOn w:val="Normal"/>
    <w:rsid w:val="00F124F2"/>
    <w:pPr>
      <w:spacing w:before="100" w:beforeAutospacing="1" w:after="100" w:afterAutospacing="1"/>
    </w:pPr>
    <w:rPr>
      <w:rFonts w:ascii="Times New Roman" w:hAnsi="Times New Roman"/>
      <w:sz w:val="24"/>
    </w:rPr>
  </w:style>
  <w:style w:type="paragraph" w:customStyle="1" w:styleId="tableshade">
    <w:name w:val="tableshade"/>
    <w:basedOn w:val="Normal"/>
    <w:rsid w:val="00F124F2"/>
    <w:pPr>
      <w:shd w:val="clear" w:color="auto" w:fill="F0F0F0"/>
      <w:spacing w:before="100" w:beforeAutospacing="1" w:after="100" w:afterAutospacing="1"/>
    </w:pPr>
    <w:rPr>
      <w:rFonts w:ascii="Times New Roman" w:hAnsi="Times New Roman"/>
      <w:sz w:val="24"/>
    </w:rPr>
  </w:style>
  <w:style w:type="paragraph" w:customStyle="1" w:styleId="tableshadebox">
    <w:name w:val="tableshadebox"/>
    <w:basedOn w:val="Normal"/>
    <w:rsid w:val="00F124F2"/>
    <w:pPr>
      <w:shd w:val="clear" w:color="auto" w:fill="F0F0F0"/>
      <w:spacing w:before="100" w:beforeAutospacing="1" w:after="100" w:afterAutospacing="1"/>
    </w:pPr>
    <w:rPr>
      <w:rFonts w:ascii="Times New Roman" w:hAnsi="Times New Roman"/>
      <w:sz w:val="24"/>
    </w:rPr>
  </w:style>
  <w:style w:type="paragraph" w:customStyle="1" w:styleId="resource-author">
    <w:name w:val="resource-author"/>
    <w:basedOn w:val="Normal"/>
    <w:rsid w:val="00F124F2"/>
    <w:pPr>
      <w:spacing w:before="100" w:beforeAutospacing="1" w:after="100" w:afterAutospacing="1"/>
    </w:pPr>
    <w:rPr>
      <w:rFonts w:ascii="Times New Roman" w:hAnsi="Times New Roman"/>
      <w:i/>
      <w:iCs/>
      <w:sz w:val="24"/>
    </w:rPr>
  </w:style>
  <w:style w:type="paragraph" w:customStyle="1" w:styleId="inline-top-nav">
    <w:name w:val="inline-top-nav"/>
    <w:basedOn w:val="Normal"/>
    <w:rsid w:val="00F124F2"/>
    <w:pPr>
      <w:spacing w:before="100" w:beforeAutospacing="1" w:after="100" w:afterAutospacing="1"/>
    </w:pPr>
    <w:rPr>
      <w:rFonts w:ascii="Times New Roman" w:hAnsi="Times New Roman"/>
      <w:vanish/>
      <w:sz w:val="24"/>
    </w:rPr>
  </w:style>
  <w:style w:type="paragraph" w:customStyle="1" w:styleId="print-heading">
    <w:name w:val="print-heading"/>
    <w:basedOn w:val="Normal"/>
    <w:rsid w:val="00F124F2"/>
    <w:pPr>
      <w:spacing w:before="100" w:beforeAutospacing="1" w:after="100" w:afterAutospacing="1"/>
    </w:pPr>
    <w:rPr>
      <w:rFonts w:ascii="Times New Roman" w:hAnsi="Times New Roman"/>
      <w:vanish/>
      <w:sz w:val="24"/>
    </w:rPr>
  </w:style>
  <w:style w:type="paragraph" w:customStyle="1" w:styleId="print-related-content">
    <w:name w:val="print-related-content"/>
    <w:basedOn w:val="Normal"/>
    <w:rsid w:val="00F124F2"/>
    <w:pPr>
      <w:spacing w:before="100" w:beforeAutospacing="1" w:after="100" w:afterAutospacing="1"/>
    </w:pPr>
    <w:rPr>
      <w:rFonts w:ascii="Times New Roman" w:hAnsi="Times New Roman"/>
      <w:vanish/>
      <w:sz w:val="24"/>
    </w:rPr>
  </w:style>
  <w:style w:type="paragraph" w:customStyle="1" w:styleId="qanda-heading">
    <w:name w:val="qanda-heading"/>
    <w:basedOn w:val="Normal"/>
    <w:rsid w:val="00F124F2"/>
    <w:pPr>
      <w:spacing w:before="300" w:after="75"/>
    </w:pPr>
    <w:rPr>
      <w:rFonts w:ascii="Times New Roman" w:hAnsi="Times New Roman"/>
      <w:b/>
      <w:bCs/>
      <w:sz w:val="24"/>
    </w:rPr>
  </w:style>
  <w:style w:type="paragraph" w:customStyle="1" w:styleId="qanda-option">
    <w:name w:val="qanda-option"/>
    <w:basedOn w:val="Normal"/>
    <w:rsid w:val="00F124F2"/>
    <w:pPr>
      <w:spacing w:before="100" w:beforeAutospacing="1" w:after="100" w:afterAutospacing="1"/>
    </w:pPr>
    <w:rPr>
      <w:rFonts w:ascii="Times New Roman" w:hAnsi="Times New Roman"/>
      <w:sz w:val="24"/>
    </w:rPr>
  </w:style>
  <w:style w:type="paragraph" w:customStyle="1" w:styleId="qanda-question">
    <w:name w:val="qanda-question"/>
    <w:basedOn w:val="Normal"/>
    <w:rsid w:val="00F124F2"/>
    <w:pPr>
      <w:shd w:val="clear" w:color="auto" w:fill="E5EEF3"/>
      <w:spacing w:before="100" w:beforeAutospacing="1" w:after="100" w:afterAutospacing="1"/>
    </w:pPr>
    <w:rPr>
      <w:rFonts w:ascii="Times New Roman" w:hAnsi="Times New Roman"/>
      <w:b/>
      <w:bCs/>
      <w:color w:val="212121"/>
      <w:sz w:val="24"/>
    </w:rPr>
  </w:style>
  <w:style w:type="paragraph" w:customStyle="1" w:styleId="content-meta-inner-heading">
    <w:name w:val="content-meta-inner-heading"/>
    <w:basedOn w:val="Normal"/>
    <w:rsid w:val="00F124F2"/>
    <w:rPr>
      <w:rFonts w:ascii="Times New Roman" w:hAnsi="Times New Roman"/>
      <w:b/>
      <w:bCs/>
      <w:color w:val="212121"/>
      <w:sz w:val="24"/>
    </w:rPr>
  </w:style>
  <w:style w:type="paragraph" w:customStyle="1" w:styleId="meta-history-item">
    <w:name w:val="meta-history-item"/>
    <w:basedOn w:val="Normal"/>
    <w:rsid w:val="00F124F2"/>
    <w:pPr>
      <w:pBdr>
        <w:bottom w:val="dotted" w:sz="6" w:space="3" w:color="BABABA"/>
      </w:pBdr>
      <w:spacing w:before="60" w:after="60"/>
    </w:pPr>
    <w:rPr>
      <w:rFonts w:ascii="Times New Roman" w:hAnsi="Times New Roman"/>
      <w:sz w:val="24"/>
    </w:rPr>
  </w:style>
  <w:style w:type="paragraph" w:customStyle="1" w:styleId="meta-history-content">
    <w:name w:val="meta-history-content"/>
    <w:basedOn w:val="Normal"/>
    <w:rsid w:val="00F124F2"/>
    <w:pPr>
      <w:spacing w:before="100" w:beforeAutospacing="1" w:after="100" w:afterAutospacing="1"/>
    </w:pPr>
    <w:rPr>
      <w:rFonts w:ascii="Times New Roman" w:hAnsi="Times New Roman"/>
      <w:vanish/>
      <w:sz w:val="24"/>
    </w:rPr>
  </w:style>
  <w:style w:type="paragraph" w:customStyle="1" w:styleId="noteactionlink">
    <w:name w:val="noteactionlink"/>
    <w:basedOn w:val="Normal"/>
    <w:rsid w:val="00F124F2"/>
    <w:rPr>
      <w:rFonts w:ascii="Times New Roman" w:hAnsi="Times New Roman"/>
      <w:sz w:val="24"/>
    </w:rPr>
  </w:style>
  <w:style w:type="paragraph" w:customStyle="1" w:styleId="dnote-display-d">
    <w:name w:val="dnote-display-d"/>
    <w:basedOn w:val="Normal"/>
    <w:rsid w:val="00F124F2"/>
    <w:pPr>
      <w:spacing w:before="100" w:beforeAutospacing="1" w:after="100" w:afterAutospacing="1"/>
    </w:pPr>
    <w:rPr>
      <w:rFonts w:ascii="Times New Roman" w:hAnsi="Times New Roman"/>
      <w:sz w:val="24"/>
    </w:rPr>
  </w:style>
  <w:style w:type="paragraph" w:customStyle="1" w:styleId="dnote-display-n">
    <w:name w:val="dnote-display-n"/>
    <w:basedOn w:val="Normal"/>
    <w:rsid w:val="00F124F2"/>
    <w:pPr>
      <w:spacing w:before="100" w:beforeAutospacing="1" w:after="100" w:afterAutospacing="1"/>
    </w:pPr>
    <w:rPr>
      <w:rFonts w:ascii="Times New Roman" w:hAnsi="Times New Roman"/>
      <w:sz w:val="24"/>
    </w:rPr>
  </w:style>
  <w:style w:type="paragraph" w:customStyle="1" w:styleId="icon-dnotes-dn">
    <w:name w:val="icon-dnotes-dn"/>
    <w:basedOn w:val="Normal"/>
    <w:rsid w:val="00F124F2"/>
    <w:pPr>
      <w:spacing w:before="100" w:beforeAutospacing="1" w:after="100" w:afterAutospacing="1"/>
    </w:pPr>
    <w:rPr>
      <w:rFonts w:ascii="Times New Roman" w:hAnsi="Times New Roman"/>
      <w:sz w:val="24"/>
    </w:rPr>
  </w:style>
  <w:style w:type="paragraph" w:customStyle="1" w:styleId="icon-rss">
    <w:name w:val="icon-rss"/>
    <w:basedOn w:val="Normal"/>
    <w:rsid w:val="00F124F2"/>
    <w:pPr>
      <w:spacing w:before="100" w:beforeAutospacing="1" w:after="100" w:afterAutospacing="1"/>
    </w:pPr>
    <w:rPr>
      <w:rFonts w:ascii="Times New Roman" w:hAnsi="Times New Roman"/>
      <w:sz w:val="24"/>
    </w:rPr>
  </w:style>
  <w:style w:type="paragraph" w:customStyle="1" w:styleId="meta-tool-item">
    <w:name w:val="meta-tool-item"/>
    <w:basedOn w:val="Normal"/>
    <w:rsid w:val="00F124F2"/>
    <w:rPr>
      <w:rFonts w:ascii="Times New Roman" w:hAnsi="Times New Roman"/>
      <w:sz w:val="24"/>
    </w:rPr>
  </w:style>
  <w:style w:type="paragraph" w:customStyle="1" w:styleId="separator">
    <w:name w:val="separator"/>
    <w:basedOn w:val="Normal"/>
    <w:rsid w:val="00F124F2"/>
    <w:pPr>
      <w:pBdr>
        <w:bottom w:val="dotted" w:sz="6" w:space="0" w:color="BABABA"/>
      </w:pBdr>
      <w:spacing w:before="135" w:after="135"/>
    </w:pPr>
    <w:rPr>
      <w:rFonts w:ascii="Times New Roman" w:hAnsi="Times New Roman"/>
      <w:sz w:val="24"/>
    </w:rPr>
  </w:style>
  <w:style w:type="paragraph" w:customStyle="1" w:styleId="coversheetus">
    <w:name w:val="coversheetus"/>
    <w:basedOn w:val="Normal"/>
    <w:rsid w:val="00F124F2"/>
    <w:pPr>
      <w:spacing w:before="100" w:beforeAutospacing="1" w:after="100" w:afterAutospacing="1"/>
      <w:jc w:val="center"/>
    </w:pPr>
    <w:rPr>
      <w:rFonts w:ascii="Times New Roman" w:hAnsi="Times New Roman"/>
      <w:sz w:val="24"/>
    </w:rPr>
  </w:style>
  <w:style w:type="paragraph" w:customStyle="1" w:styleId="draftingnotetop">
    <w:name w:val="draftingnotetop"/>
    <w:basedOn w:val="Normal"/>
    <w:rsid w:val="00F124F2"/>
    <w:pPr>
      <w:shd w:val="clear" w:color="auto" w:fill="ECF4ED"/>
      <w:spacing w:before="100" w:beforeAutospacing="1" w:after="135"/>
    </w:pPr>
    <w:rPr>
      <w:rFonts w:ascii="Times New Roman" w:hAnsi="Times New Roman"/>
      <w:sz w:val="24"/>
    </w:rPr>
  </w:style>
  <w:style w:type="paragraph" w:customStyle="1" w:styleId="draftingnoteclose">
    <w:name w:val="draftingnoteclose"/>
    <w:basedOn w:val="Normal"/>
    <w:rsid w:val="00F124F2"/>
    <w:pPr>
      <w:shd w:val="clear" w:color="auto" w:fill="ECF4ED"/>
      <w:spacing w:before="100" w:beforeAutospacing="1" w:after="100" w:afterAutospacing="1"/>
    </w:pPr>
    <w:rPr>
      <w:rFonts w:ascii="Times New Roman" w:hAnsi="Times New Roman"/>
      <w:sz w:val="24"/>
    </w:rPr>
  </w:style>
  <w:style w:type="paragraph" w:customStyle="1" w:styleId="docandnotes">
    <w:name w:val="docandnotes"/>
    <w:basedOn w:val="Normal"/>
    <w:rsid w:val="00F124F2"/>
    <w:pPr>
      <w:shd w:val="clear" w:color="auto" w:fill="ECF4ED"/>
      <w:spacing w:after="135"/>
    </w:pPr>
    <w:rPr>
      <w:rFonts w:ascii="Times New Roman" w:hAnsi="Times New Roman"/>
      <w:vanish/>
      <w:sz w:val="24"/>
    </w:rPr>
  </w:style>
  <w:style w:type="paragraph" w:customStyle="1" w:styleId="hiddennotetext">
    <w:name w:val="hiddennotetext"/>
    <w:basedOn w:val="Normal"/>
    <w:rsid w:val="00F124F2"/>
    <w:pPr>
      <w:spacing w:before="100" w:beforeAutospacing="1" w:after="100" w:afterAutospacing="1"/>
    </w:pPr>
    <w:rPr>
      <w:rFonts w:ascii="Times New Roman" w:hAnsi="Times New Roman"/>
      <w:vanish/>
      <w:sz w:val="24"/>
    </w:rPr>
  </w:style>
  <w:style w:type="paragraph" w:customStyle="1" w:styleId="notetitleindex">
    <w:name w:val="notetitleindex"/>
    <w:basedOn w:val="Normal"/>
    <w:rsid w:val="00F124F2"/>
    <w:pPr>
      <w:spacing w:before="100" w:beforeAutospacing="1" w:after="100" w:afterAutospacing="1"/>
    </w:pPr>
    <w:rPr>
      <w:rFonts w:ascii="Times New Roman" w:hAnsi="Times New Roman"/>
      <w:vanish/>
      <w:sz w:val="24"/>
    </w:rPr>
  </w:style>
  <w:style w:type="paragraph" w:customStyle="1" w:styleId="notetitleprint">
    <w:name w:val="notetitleprint"/>
    <w:basedOn w:val="Normal"/>
    <w:rsid w:val="00F124F2"/>
    <w:pPr>
      <w:spacing w:before="100" w:beforeAutospacing="1" w:after="100" w:afterAutospacing="1"/>
    </w:pPr>
    <w:rPr>
      <w:rFonts w:ascii="Times New Roman" w:hAnsi="Times New Roman"/>
      <w:vanish/>
      <w:sz w:val="24"/>
    </w:rPr>
  </w:style>
  <w:style w:type="paragraph" w:customStyle="1" w:styleId="draftingnote">
    <w:name w:val="draftingnote"/>
    <w:basedOn w:val="Normal"/>
    <w:rsid w:val="00F124F2"/>
    <w:rPr>
      <w:rFonts w:ascii="Times New Roman" w:hAnsi="Times New Roman"/>
      <w:sz w:val="24"/>
    </w:rPr>
  </w:style>
  <w:style w:type="paragraph" w:customStyle="1" w:styleId="notetitle">
    <w:name w:val="notetitle"/>
    <w:basedOn w:val="Normal"/>
    <w:rsid w:val="00F124F2"/>
    <w:pPr>
      <w:spacing w:after="135"/>
    </w:pPr>
    <w:rPr>
      <w:rFonts w:ascii="Times New Roman" w:hAnsi="Times New Roman"/>
      <w:b/>
      <w:bCs/>
      <w:sz w:val="30"/>
      <w:szCs w:val="30"/>
    </w:rPr>
  </w:style>
  <w:style w:type="paragraph" w:customStyle="1" w:styleId="sectiontitle">
    <w:name w:val="sectiontitle"/>
    <w:basedOn w:val="Normal"/>
    <w:rsid w:val="00F124F2"/>
    <w:pPr>
      <w:spacing w:before="100" w:beforeAutospacing="1" w:after="100" w:afterAutospacing="1"/>
    </w:pPr>
    <w:rPr>
      <w:rFonts w:ascii="Times New Roman" w:hAnsi="Times New Roman"/>
      <w:sz w:val="24"/>
    </w:rPr>
  </w:style>
  <w:style w:type="paragraph" w:customStyle="1" w:styleId="clausetitleus">
    <w:name w:val="clausetitleus"/>
    <w:basedOn w:val="Normal"/>
    <w:rsid w:val="00F124F2"/>
    <w:pPr>
      <w:spacing w:before="100" w:beforeAutospacing="1" w:after="100" w:afterAutospacing="1"/>
      <w:jc w:val="center"/>
    </w:pPr>
    <w:rPr>
      <w:rFonts w:ascii="Times New Roman" w:hAnsi="Times New Roman"/>
      <w:sz w:val="24"/>
    </w:rPr>
  </w:style>
  <w:style w:type="paragraph" w:customStyle="1" w:styleId="precedenttitleus">
    <w:name w:val="precedenttitleus"/>
    <w:basedOn w:val="Normal"/>
    <w:rsid w:val="00F124F2"/>
    <w:pPr>
      <w:spacing w:before="100" w:beforeAutospacing="1" w:after="100" w:afterAutospacing="1"/>
      <w:jc w:val="center"/>
    </w:pPr>
    <w:rPr>
      <w:rFonts w:ascii="Times New Roman" w:hAnsi="Times New Roman"/>
      <w:sz w:val="24"/>
    </w:rPr>
  </w:style>
  <w:style w:type="paragraph" w:customStyle="1" w:styleId="fastdraftforme">
    <w:name w:val="fastdraft_forme"/>
    <w:basedOn w:val="Normal"/>
    <w:rsid w:val="00F124F2"/>
    <w:pPr>
      <w:spacing w:before="100" w:beforeAutospacing="1" w:after="100" w:afterAutospacing="1"/>
    </w:pPr>
    <w:rPr>
      <w:rFonts w:ascii="Times New Roman" w:hAnsi="Times New Roman"/>
      <w:sz w:val="24"/>
    </w:rPr>
  </w:style>
  <w:style w:type="paragraph" w:customStyle="1" w:styleId="resource-message">
    <w:name w:val="resource-message"/>
    <w:basedOn w:val="Normal"/>
    <w:rsid w:val="00F124F2"/>
    <w:pPr>
      <w:spacing w:before="150" w:after="150"/>
    </w:pPr>
    <w:rPr>
      <w:rFonts w:ascii="Times New Roman" w:hAnsi="Times New Roman"/>
      <w:sz w:val="24"/>
    </w:rPr>
  </w:style>
  <w:style w:type="paragraph" w:customStyle="1" w:styleId="resource-message-top">
    <w:name w:val="resource-message-top"/>
    <w:basedOn w:val="Normal"/>
    <w:rsid w:val="00F124F2"/>
    <w:pPr>
      <w:spacing w:before="100" w:beforeAutospacing="1"/>
    </w:pPr>
    <w:rPr>
      <w:rFonts w:ascii="Times New Roman" w:hAnsi="Times New Roman"/>
      <w:sz w:val="24"/>
    </w:rPr>
  </w:style>
  <w:style w:type="paragraph" w:customStyle="1" w:styleId="resource-message-bottom">
    <w:name w:val="resource-message-bottom"/>
    <w:basedOn w:val="Normal"/>
    <w:rsid w:val="00F124F2"/>
    <w:pPr>
      <w:spacing w:before="100" w:beforeAutospacing="1" w:after="100" w:afterAutospacing="1"/>
    </w:pPr>
    <w:rPr>
      <w:rFonts w:ascii="Times New Roman" w:hAnsi="Times New Roman"/>
      <w:sz w:val="24"/>
    </w:rPr>
  </w:style>
  <w:style w:type="paragraph" w:customStyle="1" w:styleId="related-content-fastdraft">
    <w:name w:val="related-content-fastdraft"/>
    <w:basedOn w:val="Normal"/>
    <w:rsid w:val="00F124F2"/>
    <w:pPr>
      <w:spacing w:before="100" w:beforeAutospacing="1" w:after="100" w:afterAutospacing="1"/>
      <w:ind w:left="150"/>
    </w:pPr>
    <w:rPr>
      <w:rFonts w:ascii="Times New Roman" w:hAnsi="Times New Roman"/>
      <w:sz w:val="24"/>
    </w:rPr>
  </w:style>
  <w:style w:type="paragraph" w:customStyle="1" w:styleId="primary-source-popup">
    <w:name w:val="primary-source-popup"/>
    <w:basedOn w:val="Normal"/>
    <w:rsid w:val="00F124F2"/>
    <w:pPr>
      <w:pBdr>
        <w:top w:val="single" w:sz="6" w:space="0" w:color="005A84"/>
        <w:left w:val="single" w:sz="6" w:space="7" w:color="005A84"/>
        <w:bottom w:val="single" w:sz="6" w:space="7" w:color="005A84"/>
        <w:right w:val="single" w:sz="6" w:space="7" w:color="005A84"/>
      </w:pBdr>
      <w:shd w:val="clear" w:color="auto" w:fill="FFFFFF"/>
      <w:spacing w:before="100" w:beforeAutospacing="1" w:after="100" w:afterAutospacing="1"/>
    </w:pPr>
    <w:rPr>
      <w:rFonts w:cs="Arial"/>
      <w:sz w:val="24"/>
    </w:rPr>
  </w:style>
  <w:style w:type="paragraph" w:customStyle="1" w:styleId="primary-source-subheading">
    <w:name w:val="primary-source-subheading"/>
    <w:basedOn w:val="Normal"/>
    <w:rsid w:val="00F124F2"/>
    <w:pPr>
      <w:pBdr>
        <w:top w:val="dotted" w:sz="6" w:space="7" w:color="C0C0C0"/>
      </w:pBdr>
      <w:spacing w:before="135" w:after="100" w:afterAutospacing="1"/>
    </w:pPr>
    <w:rPr>
      <w:rFonts w:ascii="Times New Roman" w:hAnsi="Times New Roman"/>
      <w:sz w:val="23"/>
      <w:szCs w:val="23"/>
    </w:rPr>
  </w:style>
  <w:style w:type="paragraph" w:customStyle="1" w:styleId="inline-related-link">
    <w:name w:val="inline-related-link"/>
    <w:basedOn w:val="Normal"/>
    <w:rsid w:val="00F124F2"/>
    <w:pPr>
      <w:shd w:val="clear" w:color="auto" w:fill="E9F2FF"/>
      <w:spacing w:before="100" w:beforeAutospacing="1" w:after="75"/>
    </w:pPr>
    <w:rPr>
      <w:rFonts w:ascii="Times New Roman" w:hAnsi="Times New Roman"/>
      <w:color w:val="212121"/>
      <w:sz w:val="24"/>
    </w:rPr>
  </w:style>
  <w:style w:type="paragraph" w:customStyle="1" w:styleId="commentbodycontent">
    <w:name w:val="commentbodycontent"/>
    <w:basedOn w:val="Normal"/>
    <w:rsid w:val="00F124F2"/>
    <w:pPr>
      <w:pBdr>
        <w:top w:val="dotted" w:sz="2" w:space="7" w:color="CACACA"/>
        <w:left w:val="dotted" w:sz="2" w:space="7" w:color="CACACA"/>
        <w:bottom w:val="dotted" w:sz="2" w:space="7" w:color="CACACA"/>
        <w:right w:val="dotted" w:sz="2" w:space="0" w:color="CACACA"/>
      </w:pBdr>
      <w:shd w:val="clear" w:color="auto" w:fill="FFFFFF"/>
    </w:pPr>
    <w:rPr>
      <w:rFonts w:ascii="Times New Roman" w:hAnsi="Times New Roman"/>
      <w:sz w:val="24"/>
    </w:rPr>
  </w:style>
  <w:style w:type="paragraph" w:customStyle="1" w:styleId="commentmain">
    <w:name w:val="commentmain"/>
    <w:basedOn w:val="Normal"/>
    <w:rsid w:val="00F124F2"/>
    <w:pPr>
      <w:pBdr>
        <w:top w:val="single" w:sz="6" w:space="0" w:color="9BBD95"/>
        <w:left w:val="single" w:sz="6" w:space="0" w:color="9BBD95"/>
        <w:bottom w:val="single" w:sz="6" w:space="0" w:color="9BBD95"/>
        <w:right w:val="single" w:sz="6" w:space="0" w:color="9BBD95"/>
      </w:pBdr>
      <w:shd w:val="clear" w:color="auto" w:fill="D7E5D5"/>
      <w:spacing w:before="100" w:beforeAutospacing="1" w:after="100" w:afterAutospacing="1"/>
    </w:pPr>
    <w:rPr>
      <w:rFonts w:ascii="Times New Roman" w:hAnsi="Times New Roman"/>
      <w:sz w:val="24"/>
    </w:rPr>
  </w:style>
  <w:style w:type="paragraph" w:customStyle="1" w:styleId="askplc-join-discussion">
    <w:name w:val="askplc-join-discussion"/>
    <w:basedOn w:val="Normal"/>
    <w:rsid w:val="00F124F2"/>
    <w:pPr>
      <w:pBdr>
        <w:top w:val="single" w:sz="6" w:space="0" w:color="BABABA"/>
        <w:left w:val="single" w:sz="6" w:space="0" w:color="BABABA"/>
        <w:bottom w:val="single" w:sz="18" w:space="0" w:color="FF9100"/>
        <w:right w:val="single" w:sz="6" w:space="0" w:color="BABABA"/>
      </w:pBdr>
      <w:shd w:val="clear" w:color="auto" w:fill="FFFFFF"/>
      <w:spacing w:before="100" w:beforeAutospacing="1" w:after="100" w:afterAutospacing="1"/>
    </w:pPr>
    <w:rPr>
      <w:rFonts w:ascii="Times New Roman" w:hAnsi="Times New Roman"/>
      <w:color w:val="000000"/>
      <w:sz w:val="24"/>
    </w:rPr>
  </w:style>
  <w:style w:type="paragraph" w:customStyle="1" w:styleId="askplc-disclaimer">
    <w:name w:val="askplc-disclaimer"/>
    <w:basedOn w:val="Normal"/>
    <w:rsid w:val="00F124F2"/>
    <w:pPr>
      <w:pBdr>
        <w:top w:val="single" w:sz="2" w:space="0" w:color="BABABA"/>
        <w:left w:val="single" w:sz="2" w:space="0" w:color="BABABA"/>
        <w:bottom w:val="single" w:sz="6" w:space="7" w:color="BABABA"/>
        <w:right w:val="single" w:sz="2" w:space="0" w:color="BABABA"/>
      </w:pBdr>
      <w:shd w:val="clear" w:color="auto" w:fill="FFFFFF"/>
      <w:spacing w:after="255"/>
    </w:pPr>
    <w:rPr>
      <w:rFonts w:ascii="Times New Roman" w:hAnsi="Times New Roman"/>
      <w:color w:val="000000"/>
      <w:sz w:val="17"/>
      <w:szCs w:val="17"/>
    </w:rPr>
  </w:style>
  <w:style w:type="paragraph" w:customStyle="1" w:styleId="commentactionpanel">
    <w:name w:val="commentactionpanel"/>
    <w:basedOn w:val="Normal"/>
    <w:rsid w:val="00F124F2"/>
    <w:pPr>
      <w:spacing w:before="100" w:beforeAutospacing="1" w:after="100" w:afterAutospacing="1"/>
    </w:pPr>
    <w:rPr>
      <w:rFonts w:ascii="Times New Roman" w:hAnsi="Times New Roman"/>
      <w:color w:val="666666"/>
      <w:sz w:val="18"/>
      <w:szCs w:val="18"/>
    </w:rPr>
  </w:style>
  <w:style w:type="paragraph" w:customStyle="1" w:styleId="commentactioncontainer">
    <w:name w:val="commentactioncontainer"/>
    <w:basedOn w:val="Normal"/>
    <w:rsid w:val="00F124F2"/>
    <w:pPr>
      <w:pBdr>
        <w:top w:val="single" w:sz="6" w:space="7" w:color="BABABA"/>
        <w:left w:val="single" w:sz="6" w:space="14" w:color="BABABA"/>
        <w:bottom w:val="single" w:sz="18" w:space="7" w:color="FF9100"/>
        <w:right w:val="single" w:sz="6" w:space="14" w:color="BABABA"/>
      </w:pBdr>
      <w:shd w:val="clear" w:color="auto" w:fill="FFFFFF"/>
      <w:spacing w:before="270" w:after="100" w:afterAutospacing="1"/>
    </w:pPr>
    <w:rPr>
      <w:rFonts w:ascii="Times New Roman" w:hAnsi="Times New Roman"/>
      <w:color w:val="666666"/>
      <w:sz w:val="24"/>
    </w:rPr>
  </w:style>
  <w:style w:type="paragraph" w:customStyle="1" w:styleId="commentdate">
    <w:name w:val="commentdate"/>
    <w:basedOn w:val="Normal"/>
    <w:rsid w:val="00F124F2"/>
    <w:pPr>
      <w:spacing w:before="100" w:beforeAutospacing="1" w:after="100" w:afterAutospacing="1"/>
    </w:pPr>
    <w:rPr>
      <w:rFonts w:ascii="Times New Roman" w:hAnsi="Times New Roman"/>
      <w:color w:val="387C2B"/>
      <w:sz w:val="18"/>
      <w:szCs w:val="18"/>
    </w:rPr>
  </w:style>
  <w:style w:type="paragraph" w:customStyle="1" w:styleId="commentdatelabel">
    <w:name w:val="commentdatelabel"/>
    <w:basedOn w:val="Normal"/>
    <w:rsid w:val="00F124F2"/>
    <w:pPr>
      <w:spacing w:before="100" w:beforeAutospacing="1" w:after="100" w:afterAutospacing="1"/>
    </w:pPr>
    <w:rPr>
      <w:rFonts w:ascii="Times New Roman" w:hAnsi="Times New Roman"/>
      <w:color w:val="666666"/>
      <w:sz w:val="24"/>
    </w:rPr>
  </w:style>
  <w:style w:type="paragraph" w:customStyle="1" w:styleId="commentauthorname">
    <w:name w:val="commentauthorname"/>
    <w:basedOn w:val="Normal"/>
    <w:rsid w:val="00F124F2"/>
    <w:pPr>
      <w:spacing w:before="100" w:beforeAutospacing="1" w:after="100" w:afterAutospacing="1"/>
    </w:pPr>
    <w:rPr>
      <w:rFonts w:ascii="Times New Roman" w:hAnsi="Times New Roman"/>
      <w:b/>
      <w:bCs/>
      <w:sz w:val="24"/>
    </w:rPr>
  </w:style>
  <w:style w:type="paragraph" w:customStyle="1" w:styleId="registerbutton">
    <w:name w:val="register_button"/>
    <w:basedOn w:val="Normal"/>
    <w:rsid w:val="00F124F2"/>
    <w:pPr>
      <w:shd w:val="clear" w:color="auto" w:fill="FF9100"/>
      <w:spacing w:before="100" w:beforeAutospacing="1" w:after="100" w:afterAutospacing="1" w:line="525" w:lineRule="atLeast"/>
    </w:pPr>
    <w:rPr>
      <w:rFonts w:ascii="Times New Roman" w:hAnsi="Times New Roman"/>
      <w:color w:val="FFFFFF"/>
      <w:sz w:val="23"/>
      <w:szCs w:val="23"/>
    </w:rPr>
  </w:style>
  <w:style w:type="paragraph" w:customStyle="1" w:styleId="plc-validation-error">
    <w:name w:val="plc-validation-error"/>
    <w:basedOn w:val="Normal"/>
    <w:rsid w:val="00F124F2"/>
    <w:pPr>
      <w:shd w:val="clear" w:color="auto" w:fill="FBC2C4"/>
      <w:spacing w:before="100" w:beforeAutospacing="1" w:after="135"/>
    </w:pPr>
    <w:rPr>
      <w:rFonts w:ascii="Times New Roman" w:hAnsi="Times New Roman"/>
      <w:sz w:val="24"/>
    </w:rPr>
  </w:style>
  <w:style w:type="paragraph" w:customStyle="1" w:styleId="tooltip">
    <w:name w:val="tooltip"/>
    <w:basedOn w:val="Normal"/>
    <w:rsid w:val="00F124F2"/>
    <w:pPr>
      <w:spacing w:before="100" w:beforeAutospacing="1" w:after="100" w:afterAutospacing="1"/>
    </w:pPr>
    <w:rPr>
      <w:rFonts w:ascii="Times New Roman" w:hAnsi="Times New Roman"/>
      <w:color w:val="FFFFFF"/>
      <w:sz w:val="24"/>
    </w:rPr>
  </w:style>
  <w:style w:type="paragraph" w:customStyle="1" w:styleId="plc-meta-display">
    <w:name w:val="plc-meta-display"/>
    <w:basedOn w:val="Normal"/>
    <w:rsid w:val="00F124F2"/>
    <w:pPr>
      <w:spacing w:before="100" w:beforeAutospacing="1" w:after="100" w:afterAutospacing="1"/>
    </w:pPr>
    <w:rPr>
      <w:rFonts w:ascii="Times New Roman" w:hAnsi="Times New Roman"/>
      <w:color w:val="666666"/>
      <w:sz w:val="18"/>
      <w:szCs w:val="18"/>
    </w:rPr>
  </w:style>
  <w:style w:type="paragraph" w:customStyle="1" w:styleId="plc-meta-display-maintained">
    <w:name w:val="plc-meta-display-maintained"/>
    <w:basedOn w:val="Normal"/>
    <w:rsid w:val="00F124F2"/>
    <w:pPr>
      <w:spacing w:before="100" w:beforeAutospacing="1" w:after="100" w:afterAutospacing="1"/>
    </w:pPr>
    <w:rPr>
      <w:rFonts w:ascii="Times New Roman" w:hAnsi="Times New Roman"/>
      <w:b/>
      <w:bCs/>
      <w:color w:val="387C2B"/>
      <w:szCs w:val="22"/>
    </w:rPr>
  </w:style>
  <w:style w:type="paragraph" w:customStyle="1" w:styleId="plc-meta-display-date">
    <w:name w:val="plc-meta-display-date"/>
    <w:basedOn w:val="Normal"/>
    <w:rsid w:val="00F124F2"/>
    <w:pPr>
      <w:spacing w:before="100" w:beforeAutospacing="1" w:after="100" w:afterAutospacing="1"/>
    </w:pPr>
    <w:rPr>
      <w:rFonts w:ascii="Times New Roman" w:hAnsi="Times New Roman"/>
      <w:szCs w:val="22"/>
    </w:rPr>
  </w:style>
  <w:style w:type="paragraph" w:customStyle="1" w:styleId="moregooglefilters">
    <w:name w:val="moregooglefilters"/>
    <w:basedOn w:val="Normal"/>
    <w:rsid w:val="00F124F2"/>
    <w:pPr>
      <w:spacing w:before="100" w:beforeAutospacing="1" w:after="100" w:afterAutospacing="1"/>
      <w:jc w:val="right"/>
    </w:pPr>
    <w:rPr>
      <w:rFonts w:ascii="Times New Roman" w:hAnsi="Times New Roman"/>
      <w:sz w:val="24"/>
    </w:rPr>
  </w:style>
  <w:style w:type="paragraph" w:customStyle="1" w:styleId="lessgooglefilters">
    <w:name w:val="lessgooglefilters"/>
    <w:basedOn w:val="Normal"/>
    <w:rsid w:val="00F124F2"/>
    <w:pPr>
      <w:spacing w:before="100" w:beforeAutospacing="1" w:after="100" w:afterAutospacing="1"/>
      <w:jc w:val="right"/>
    </w:pPr>
    <w:rPr>
      <w:rFonts w:ascii="Times New Roman" w:hAnsi="Times New Roman"/>
      <w:sz w:val="24"/>
    </w:rPr>
  </w:style>
  <w:style w:type="paragraph" w:customStyle="1" w:styleId="categorylistcontainer">
    <w:name w:val="categorylistcontainer"/>
    <w:basedOn w:val="Normal"/>
    <w:rsid w:val="00F124F2"/>
    <w:pPr>
      <w:pBdr>
        <w:bottom w:val="single" w:sz="6" w:space="7" w:color="BABABA"/>
      </w:pBdr>
      <w:spacing w:before="100" w:beforeAutospacing="1" w:after="100" w:afterAutospacing="1"/>
    </w:pPr>
    <w:rPr>
      <w:rFonts w:ascii="Times New Roman" w:hAnsi="Times New Roman"/>
      <w:sz w:val="24"/>
    </w:rPr>
  </w:style>
  <w:style w:type="paragraph" w:customStyle="1" w:styleId="categorycontainer">
    <w:name w:val="categorycontainer"/>
    <w:basedOn w:val="Normal"/>
    <w:rsid w:val="00F124F2"/>
    <w:pPr>
      <w:spacing w:before="100" w:beforeAutospacing="1" w:after="100" w:afterAutospacing="1"/>
    </w:pPr>
    <w:rPr>
      <w:rFonts w:ascii="Times New Roman" w:hAnsi="Times New Roman"/>
      <w:sz w:val="24"/>
    </w:rPr>
  </w:style>
  <w:style w:type="paragraph" w:customStyle="1" w:styleId="main-resultsinput">
    <w:name w:val="main-results&gt;input"/>
    <w:basedOn w:val="Normal"/>
    <w:rsid w:val="00F124F2"/>
    <w:pPr>
      <w:ind w:right="75"/>
    </w:pPr>
    <w:rPr>
      <w:rFonts w:ascii="Times New Roman" w:hAnsi="Times New Roman"/>
      <w:sz w:val="24"/>
    </w:rPr>
  </w:style>
  <w:style w:type="paragraph" w:customStyle="1" w:styleId="emailpreferencesheadertext">
    <w:name w:val="emailpreferencesheadertext"/>
    <w:basedOn w:val="Normal"/>
    <w:rsid w:val="00F124F2"/>
    <w:pPr>
      <w:spacing w:before="100" w:beforeAutospacing="1" w:after="100" w:afterAutospacing="1"/>
    </w:pPr>
    <w:rPr>
      <w:rFonts w:ascii="Times New Roman" w:hAnsi="Times New Roman"/>
      <w:sz w:val="24"/>
    </w:rPr>
  </w:style>
  <w:style w:type="paragraph" w:customStyle="1" w:styleId="saveconfirmationbox">
    <w:name w:val="saveconfirmationbox"/>
    <w:basedOn w:val="Normal"/>
    <w:rsid w:val="00F124F2"/>
    <w:pPr>
      <w:shd w:val="clear" w:color="auto" w:fill="E6EFC2"/>
      <w:spacing w:before="100" w:beforeAutospacing="1" w:after="135"/>
    </w:pPr>
    <w:rPr>
      <w:rFonts w:ascii="Times New Roman" w:hAnsi="Times New Roman"/>
      <w:color w:val="264409"/>
      <w:sz w:val="23"/>
      <w:szCs w:val="23"/>
    </w:rPr>
  </w:style>
  <w:style w:type="paragraph" w:customStyle="1" w:styleId="emailpreferencespanel">
    <w:name w:val="emailpreferencespanel"/>
    <w:basedOn w:val="Normal"/>
    <w:rsid w:val="00F124F2"/>
    <w:pPr>
      <w:pBdr>
        <w:top w:val="single" w:sz="2" w:space="0" w:color="BABABA"/>
        <w:left w:val="single" w:sz="2" w:space="0" w:color="BABABA"/>
        <w:bottom w:val="single" w:sz="2" w:space="0" w:color="BABABA"/>
        <w:right w:val="single" w:sz="2" w:space="0" w:color="BABABA"/>
      </w:pBdr>
      <w:spacing w:before="100" w:beforeAutospacing="1" w:after="100" w:afterAutospacing="1"/>
    </w:pPr>
    <w:rPr>
      <w:rFonts w:ascii="Times New Roman" w:hAnsi="Times New Roman"/>
      <w:sz w:val="24"/>
    </w:rPr>
  </w:style>
  <w:style w:type="paragraph" w:customStyle="1" w:styleId="submitreply">
    <w:name w:val="submitreply"/>
    <w:basedOn w:val="Normal"/>
    <w:rsid w:val="00F124F2"/>
    <w:pPr>
      <w:pBdr>
        <w:top w:val="single" w:sz="6" w:space="7" w:color="005A84"/>
        <w:left w:val="single" w:sz="6" w:space="7" w:color="005A84"/>
        <w:bottom w:val="single" w:sz="6" w:space="7" w:color="005A84"/>
        <w:right w:val="single" w:sz="6" w:space="7" w:color="005A84"/>
      </w:pBdr>
      <w:shd w:val="clear" w:color="auto" w:fill="005A84"/>
      <w:spacing w:before="135"/>
      <w:jc w:val="center"/>
    </w:pPr>
    <w:rPr>
      <w:rFonts w:ascii="Times New Roman" w:hAnsi="Times New Roman"/>
      <w:color w:val="FFFFFF"/>
      <w:sz w:val="21"/>
      <w:szCs w:val="21"/>
    </w:rPr>
  </w:style>
  <w:style w:type="paragraph" w:customStyle="1" w:styleId="practice-updates-qbb">
    <w:name w:val="practice-updates-qbb"/>
    <w:basedOn w:val="Normal"/>
    <w:rsid w:val="00F124F2"/>
    <w:pPr>
      <w:shd w:val="clear" w:color="auto" w:fill="F8F8F8"/>
      <w:spacing w:after="270"/>
    </w:pPr>
    <w:rPr>
      <w:rFonts w:ascii="Times New Roman" w:hAnsi="Times New Roman"/>
      <w:sz w:val="24"/>
    </w:rPr>
  </w:style>
  <w:style w:type="paragraph" w:customStyle="1" w:styleId="profile-summary">
    <w:name w:val="profile-summary"/>
    <w:basedOn w:val="Normal"/>
    <w:rsid w:val="00F124F2"/>
    <w:pPr>
      <w:shd w:val="clear" w:color="auto" w:fill="F8F8F8"/>
      <w:spacing w:after="100" w:afterAutospacing="1"/>
    </w:pPr>
    <w:rPr>
      <w:rFonts w:ascii="Times New Roman" w:hAnsi="Times New Roman"/>
      <w:sz w:val="24"/>
    </w:rPr>
  </w:style>
  <w:style w:type="paragraph" w:customStyle="1" w:styleId="generic-dynamic-listing-meta-display">
    <w:name w:val="generic-dynamic-listing-meta-display"/>
    <w:basedOn w:val="Normal"/>
    <w:rsid w:val="00F124F2"/>
    <w:pPr>
      <w:spacing w:before="100" w:beforeAutospacing="1" w:after="100" w:afterAutospacing="1"/>
    </w:pPr>
    <w:rPr>
      <w:rFonts w:ascii="Times New Roman" w:hAnsi="Times New Roman"/>
      <w:color w:val="666666"/>
      <w:szCs w:val="22"/>
    </w:rPr>
  </w:style>
  <w:style w:type="paragraph" w:customStyle="1" w:styleId="generic-dynamic-listing-meta-display-date">
    <w:name w:val="generic-dynamic-listing-meta-display-date"/>
    <w:basedOn w:val="Normal"/>
    <w:rsid w:val="00F124F2"/>
    <w:pPr>
      <w:spacing w:before="100" w:beforeAutospacing="1" w:after="100" w:afterAutospacing="1"/>
    </w:pPr>
    <w:rPr>
      <w:rFonts w:ascii="Times New Roman" w:hAnsi="Times New Roman"/>
      <w:color w:val="387C2B"/>
      <w:sz w:val="24"/>
    </w:rPr>
  </w:style>
  <w:style w:type="paragraph" w:customStyle="1" w:styleId="page-heading">
    <w:name w:val="page-heading"/>
    <w:basedOn w:val="Normal"/>
    <w:rsid w:val="00F124F2"/>
    <w:pPr>
      <w:pBdr>
        <w:bottom w:val="single" w:sz="6" w:space="0" w:color="BABABA"/>
      </w:pBdr>
      <w:spacing w:before="100" w:beforeAutospacing="1" w:after="135"/>
    </w:pPr>
    <w:rPr>
      <w:rFonts w:ascii="Times New Roman" w:hAnsi="Times New Roman"/>
      <w:sz w:val="24"/>
    </w:rPr>
  </w:style>
  <w:style w:type="paragraph" w:customStyle="1" w:styleId="profile-heading">
    <w:name w:val="profile-heading"/>
    <w:basedOn w:val="Normal"/>
    <w:rsid w:val="00F124F2"/>
    <w:pPr>
      <w:pBdr>
        <w:bottom w:val="single" w:sz="6" w:space="0" w:color="BABABA"/>
      </w:pBdr>
      <w:spacing w:before="100" w:beforeAutospacing="1" w:after="135"/>
    </w:pPr>
    <w:rPr>
      <w:rFonts w:ascii="Times New Roman" w:hAnsi="Times New Roman"/>
      <w:sz w:val="24"/>
    </w:rPr>
  </w:style>
  <w:style w:type="paragraph" w:customStyle="1" w:styleId="resource-heading">
    <w:name w:val="resource-heading"/>
    <w:basedOn w:val="Normal"/>
    <w:rsid w:val="00F124F2"/>
    <w:pPr>
      <w:pBdr>
        <w:bottom w:val="single" w:sz="6" w:space="0" w:color="BABABA"/>
      </w:pBdr>
      <w:spacing w:before="100" w:beforeAutospacing="1" w:after="135"/>
    </w:pPr>
    <w:rPr>
      <w:rFonts w:ascii="Times New Roman" w:hAnsi="Times New Roman"/>
      <w:sz w:val="24"/>
    </w:rPr>
  </w:style>
  <w:style w:type="paragraph" w:customStyle="1" w:styleId="country-page-heading">
    <w:name w:val="country-page-heading"/>
    <w:basedOn w:val="Normal"/>
    <w:rsid w:val="00F124F2"/>
    <w:pPr>
      <w:pBdr>
        <w:bottom w:val="single" w:sz="6" w:space="0" w:color="BABABA"/>
      </w:pBdr>
      <w:spacing w:before="100" w:beforeAutospacing="1" w:after="135"/>
    </w:pPr>
    <w:rPr>
      <w:rFonts w:ascii="Times New Roman" w:hAnsi="Times New Roman"/>
      <w:sz w:val="24"/>
    </w:rPr>
  </w:style>
  <w:style w:type="paragraph" w:customStyle="1" w:styleId="my-practical-law-page-heading">
    <w:name w:val="my-practical-law-page-heading"/>
    <w:basedOn w:val="Normal"/>
    <w:rsid w:val="00F124F2"/>
    <w:pPr>
      <w:pBdr>
        <w:bottom w:val="single" w:sz="6" w:space="0" w:color="BABABA"/>
      </w:pBdr>
      <w:spacing w:before="100" w:beforeAutospacing="1" w:after="135"/>
    </w:pPr>
    <w:rPr>
      <w:rFonts w:ascii="Times New Roman" w:hAnsi="Times New Roman"/>
      <w:sz w:val="24"/>
    </w:rPr>
  </w:style>
  <w:style w:type="paragraph" w:customStyle="1" w:styleId="network-partner">
    <w:name w:val="network-partner"/>
    <w:basedOn w:val="Normal"/>
    <w:rsid w:val="00F124F2"/>
    <w:pPr>
      <w:pBdr>
        <w:bottom w:val="dotted" w:sz="2" w:space="7" w:color="BABABA"/>
      </w:pBdr>
      <w:spacing w:before="100" w:beforeAutospacing="1" w:after="135"/>
    </w:pPr>
    <w:rPr>
      <w:rFonts w:ascii="Times New Roman" w:hAnsi="Times New Roman"/>
      <w:sz w:val="24"/>
    </w:rPr>
  </w:style>
  <w:style w:type="paragraph" w:customStyle="1" w:styleId="partnerimg">
    <w:name w:val="partnerimg"/>
    <w:basedOn w:val="Normal"/>
    <w:rsid w:val="00F124F2"/>
    <w:pPr>
      <w:pBdr>
        <w:top w:val="single" w:sz="6" w:space="0" w:color="BABABA"/>
        <w:left w:val="single" w:sz="6" w:space="0" w:color="BABABA"/>
        <w:bottom w:val="single" w:sz="6" w:space="0" w:color="BABABA"/>
        <w:right w:val="single" w:sz="6" w:space="0" w:color="BABABA"/>
      </w:pBdr>
      <w:jc w:val="center"/>
    </w:pPr>
    <w:rPr>
      <w:rFonts w:ascii="Times New Roman" w:hAnsi="Times New Roman"/>
      <w:sz w:val="24"/>
    </w:rPr>
  </w:style>
  <w:style w:type="paragraph" w:customStyle="1" w:styleId="marketing-page-heading">
    <w:name w:val="marketing-page-heading"/>
    <w:basedOn w:val="Normal"/>
    <w:rsid w:val="00F124F2"/>
    <w:pPr>
      <w:pBdr>
        <w:bottom w:val="single" w:sz="6" w:space="0" w:color="BABABA"/>
      </w:pBdr>
      <w:spacing w:before="100" w:beforeAutospacing="1" w:after="135"/>
    </w:pPr>
    <w:rPr>
      <w:rFonts w:ascii="Times New Roman" w:hAnsi="Times New Roman"/>
      <w:sz w:val="24"/>
    </w:rPr>
  </w:style>
  <w:style w:type="paragraph" w:customStyle="1" w:styleId="events-large-event-col">
    <w:name w:val="events-large-event-col"/>
    <w:basedOn w:val="Normal"/>
    <w:rsid w:val="00F124F2"/>
    <w:pPr>
      <w:spacing w:before="100" w:beforeAutospacing="1" w:after="100" w:afterAutospacing="1"/>
    </w:pPr>
    <w:rPr>
      <w:rFonts w:ascii="Times New Roman" w:hAnsi="Times New Roman"/>
      <w:sz w:val="24"/>
    </w:rPr>
  </w:style>
  <w:style w:type="paragraph" w:customStyle="1" w:styleId="plctooltip">
    <w:name w:val="plc_tooltip"/>
    <w:basedOn w:val="Normal"/>
    <w:rsid w:val="00F124F2"/>
    <w:pPr>
      <w:spacing w:before="100" w:beforeAutospacing="1" w:after="100" w:afterAutospacing="1"/>
    </w:pPr>
    <w:rPr>
      <w:rFonts w:ascii="Times New Roman" w:hAnsi="Times New Roman"/>
      <w:vanish/>
      <w:color w:val="FFFFFF"/>
      <w:sz w:val="24"/>
    </w:rPr>
  </w:style>
  <w:style w:type="paragraph" w:customStyle="1" w:styleId="result-row-alt">
    <w:name w:val="result-row-alt"/>
    <w:basedOn w:val="Normal"/>
    <w:rsid w:val="00F124F2"/>
    <w:pPr>
      <w:shd w:val="clear" w:color="auto" w:fill="F8F8F8"/>
      <w:spacing w:before="100" w:beforeAutospacing="1" w:after="100" w:afterAutospacing="1"/>
    </w:pPr>
    <w:rPr>
      <w:rFonts w:ascii="Times New Roman" w:hAnsi="Times New Roman"/>
      <w:sz w:val="24"/>
    </w:rPr>
  </w:style>
  <w:style w:type="paragraph" w:customStyle="1" w:styleId="result-col-resource">
    <w:name w:val="result-col-resource"/>
    <w:basedOn w:val="Normal"/>
    <w:rsid w:val="00F124F2"/>
    <w:pPr>
      <w:spacing w:before="100" w:beforeAutospacing="1" w:after="100" w:afterAutospacing="1"/>
    </w:pPr>
    <w:rPr>
      <w:rFonts w:ascii="Times New Roman" w:hAnsi="Times New Roman"/>
      <w:sz w:val="20"/>
      <w:szCs w:val="20"/>
    </w:rPr>
  </w:style>
  <w:style w:type="paragraph" w:customStyle="1" w:styleId="result-col-date">
    <w:name w:val="result-col-date"/>
    <w:basedOn w:val="Normal"/>
    <w:rsid w:val="00F124F2"/>
    <w:pPr>
      <w:spacing w:before="100" w:beforeAutospacing="1" w:after="100" w:afterAutospacing="1"/>
    </w:pPr>
    <w:rPr>
      <w:rFonts w:ascii="Times New Roman" w:hAnsi="Times New Roman"/>
      <w:sz w:val="24"/>
    </w:rPr>
  </w:style>
  <w:style w:type="paragraph" w:customStyle="1" w:styleId="results-sorted-asc">
    <w:name w:val="results-sorted-asc"/>
    <w:basedOn w:val="Normal"/>
    <w:rsid w:val="00F124F2"/>
    <w:pPr>
      <w:spacing w:before="100" w:beforeAutospacing="1" w:after="100" w:afterAutospacing="1"/>
    </w:pPr>
    <w:rPr>
      <w:rFonts w:ascii="Times New Roman" w:hAnsi="Times New Roman"/>
      <w:sz w:val="24"/>
    </w:rPr>
  </w:style>
  <w:style w:type="paragraph" w:customStyle="1" w:styleId="askplc-meta-display">
    <w:name w:val="askplc-meta-display"/>
    <w:basedOn w:val="Normal"/>
    <w:rsid w:val="00F124F2"/>
    <w:pPr>
      <w:spacing w:before="100" w:beforeAutospacing="1" w:after="100" w:afterAutospacing="1"/>
    </w:pPr>
    <w:rPr>
      <w:rFonts w:ascii="Times New Roman" w:hAnsi="Times New Roman"/>
      <w:color w:val="666666"/>
      <w:sz w:val="18"/>
      <w:szCs w:val="18"/>
    </w:rPr>
  </w:style>
  <w:style w:type="paragraph" w:customStyle="1" w:styleId="sponsors">
    <w:name w:val="sponsors"/>
    <w:basedOn w:val="Normal"/>
    <w:rsid w:val="00F124F2"/>
    <w:pPr>
      <w:shd w:val="clear" w:color="auto" w:fill="F8F8F8"/>
      <w:spacing w:before="100" w:beforeAutospacing="1" w:after="100" w:afterAutospacing="1"/>
    </w:pPr>
    <w:rPr>
      <w:rFonts w:ascii="Times New Roman" w:hAnsi="Times New Roman"/>
      <w:sz w:val="24"/>
    </w:rPr>
  </w:style>
  <w:style w:type="paragraph" w:customStyle="1" w:styleId="our-team">
    <w:name w:val="our-team"/>
    <w:basedOn w:val="Normal"/>
    <w:rsid w:val="00F124F2"/>
    <w:pPr>
      <w:pBdr>
        <w:bottom w:val="dotted" w:sz="6" w:space="0" w:color="BABABA"/>
      </w:pBdr>
      <w:spacing w:before="100" w:beforeAutospacing="1" w:after="135"/>
    </w:pPr>
    <w:rPr>
      <w:rFonts w:ascii="Times New Roman" w:hAnsi="Times New Roman"/>
      <w:sz w:val="24"/>
    </w:rPr>
  </w:style>
  <w:style w:type="paragraph" w:customStyle="1" w:styleId="book-single">
    <w:name w:val="book-single"/>
    <w:basedOn w:val="Normal"/>
    <w:rsid w:val="00F124F2"/>
    <w:pPr>
      <w:pBdr>
        <w:bottom w:val="dotted" w:sz="6" w:space="0" w:color="BABABA"/>
      </w:pBdr>
      <w:spacing w:before="100" w:beforeAutospacing="1" w:after="135"/>
    </w:pPr>
    <w:rPr>
      <w:rFonts w:ascii="Times New Roman" w:hAnsi="Times New Roman"/>
      <w:sz w:val="24"/>
    </w:rPr>
  </w:style>
  <w:style w:type="paragraph" w:customStyle="1" w:styleId="marketing-small-promo">
    <w:name w:val="marketing-small-promo"/>
    <w:basedOn w:val="Normal"/>
    <w:rsid w:val="00F124F2"/>
    <w:pPr>
      <w:spacing w:before="100" w:beforeAutospacing="1" w:after="135"/>
    </w:pPr>
    <w:rPr>
      <w:rFonts w:ascii="Times New Roman" w:hAnsi="Times New Roman"/>
      <w:sz w:val="24"/>
    </w:rPr>
  </w:style>
  <w:style w:type="paragraph" w:customStyle="1" w:styleId="wide-promo">
    <w:name w:val="wide-promo"/>
    <w:basedOn w:val="Normal"/>
    <w:rsid w:val="00F124F2"/>
    <w:pPr>
      <w:pBdr>
        <w:bottom w:val="dotted" w:sz="6" w:space="0" w:color="BABABA"/>
      </w:pBdr>
      <w:spacing w:before="100" w:beforeAutospacing="1" w:after="135"/>
    </w:pPr>
    <w:rPr>
      <w:rFonts w:ascii="Times New Roman" w:hAnsi="Times New Roman"/>
      <w:sz w:val="24"/>
    </w:rPr>
  </w:style>
  <w:style w:type="paragraph" w:customStyle="1" w:styleId="our-sponsors">
    <w:name w:val="our-sponsors"/>
    <w:basedOn w:val="Normal"/>
    <w:rsid w:val="00F124F2"/>
    <w:pPr>
      <w:pBdr>
        <w:bottom w:val="dotted" w:sz="6" w:space="0" w:color="BABABA"/>
      </w:pBdr>
      <w:spacing w:before="100" w:beforeAutospacing="1" w:after="135"/>
    </w:pPr>
    <w:rPr>
      <w:rFonts w:ascii="Times New Roman" w:hAnsi="Times New Roman"/>
      <w:sz w:val="24"/>
    </w:rPr>
  </w:style>
  <w:style w:type="paragraph" w:customStyle="1" w:styleId="blog">
    <w:name w:val="blog"/>
    <w:basedOn w:val="Normal"/>
    <w:rsid w:val="00F124F2"/>
    <w:pPr>
      <w:pBdr>
        <w:top w:val="dotted" w:sz="6" w:space="14" w:color="BABABA"/>
      </w:pBdr>
      <w:spacing w:before="100" w:beforeAutospacing="1"/>
    </w:pPr>
    <w:rPr>
      <w:rFonts w:ascii="Times New Roman" w:hAnsi="Times New Roman"/>
      <w:sz w:val="24"/>
    </w:rPr>
  </w:style>
  <w:style w:type="paragraph" w:customStyle="1" w:styleId="marketing-extra-small-promo">
    <w:name w:val="marketing-extra-small-promo"/>
    <w:basedOn w:val="Normal"/>
    <w:rsid w:val="00F124F2"/>
    <w:pPr>
      <w:spacing w:before="100" w:beforeAutospacing="1" w:after="135"/>
    </w:pPr>
    <w:rPr>
      <w:rFonts w:ascii="Times New Roman" w:hAnsi="Times New Roman"/>
      <w:sz w:val="24"/>
    </w:rPr>
  </w:style>
  <w:style w:type="paragraph" w:customStyle="1" w:styleId="plcwm-back">
    <w:name w:val="plcwm-back"/>
    <w:basedOn w:val="Normal"/>
    <w:rsid w:val="00F124F2"/>
    <w:pPr>
      <w:spacing w:before="150" w:after="150"/>
    </w:pPr>
    <w:rPr>
      <w:rFonts w:ascii="Times New Roman" w:hAnsi="Times New Roman"/>
      <w:sz w:val="24"/>
    </w:rPr>
  </w:style>
  <w:style w:type="paragraph" w:customStyle="1" w:styleId="plcwm-navlinks">
    <w:name w:val="plcwm-navlinks"/>
    <w:basedOn w:val="Normal"/>
    <w:rsid w:val="00F124F2"/>
    <w:pPr>
      <w:spacing w:after="270"/>
    </w:pPr>
    <w:rPr>
      <w:rFonts w:ascii="Times New Roman" w:hAnsi="Times New Roman"/>
      <w:szCs w:val="22"/>
    </w:rPr>
  </w:style>
  <w:style w:type="paragraph" w:customStyle="1" w:styleId="plcwm-issuename">
    <w:name w:val="plcwm-issuename"/>
    <w:basedOn w:val="Normal"/>
    <w:rsid w:val="00F124F2"/>
    <w:pPr>
      <w:spacing w:before="100" w:beforeAutospacing="1" w:after="100" w:afterAutospacing="1"/>
    </w:pPr>
    <w:rPr>
      <w:rFonts w:ascii="Times New Roman" w:hAnsi="Times New Roman"/>
      <w:b/>
      <w:bCs/>
      <w:sz w:val="24"/>
    </w:rPr>
  </w:style>
  <w:style w:type="paragraph" w:customStyle="1" w:styleId="gsa-src-wrapper">
    <w:name w:val="gsa-src-wrapper"/>
    <w:basedOn w:val="Normal"/>
    <w:rsid w:val="00F124F2"/>
    <w:pPr>
      <w:pBdr>
        <w:top w:val="single" w:sz="6" w:space="0" w:color="BABABA"/>
        <w:bottom w:val="single" w:sz="6" w:space="0" w:color="BABABA"/>
      </w:pBdr>
      <w:spacing w:before="255" w:after="255"/>
    </w:pPr>
    <w:rPr>
      <w:rFonts w:ascii="Times New Roman" w:hAnsi="Times New Roman"/>
      <w:sz w:val="24"/>
    </w:rPr>
  </w:style>
  <w:style w:type="paragraph" w:customStyle="1" w:styleId="gsa-src">
    <w:name w:val="gsa-src"/>
    <w:basedOn w:val="Normal"/>
    <w:rsid w:val="00F124F2"/>
    <w:pPr>
      <w:pBdr>
        <w:top w:val="single" w:sz="6" w:space="11" w:color="BABABA"/>
        <w:left w:val="single" w:sz="6" w:space="11" w:color="BABABA"/>
        <w:bottom w:val="single" w:sz="6" w:space="11" w:color="BABABA"/>
        <w:right w:val="single" w:sz="6" w:space="11" w:color="BABABA"/>
      </w:pBdr>
      <w:spacing w:before="150" w:after="150"/>
    </w:pPr>
    <w:rPr>
      <w:rFonts w:ascii="Times New Roman" w:hAnsi="Times New Roman"/>
      <w:sz w:val="24"/>
    </w:rPr>
  </w:style>
  <w:style w:type="paragraph" w:customStyle="1" w:styleId="askplc-topics">
    <w:name w:val="askplc-topics"/>
    <w:basedOn w:val="Normal"/>
    <w:rsid w:val="00F124F2"/>
    <w:pPr>
      <w:spacing w:before="100" w:beforeAutospacing="1" w:after="270"/>
    </w:pPr>
    <w:rPr>
      <w:rFonts w:ascii="Times New Roman" w:hAnsi="Times New Roman"/>
      <w:sz w:val="24"/>
    </w:rPr>
  </w:style>
  <w:style w:type="paragraph" w:customStyle="1" w:styleId="resource-page">
    <w:name w:val="resource-page"/>
    <w:basedOn w:val="Normal"/>
    <w:rsid w:val="00F124F2"/>
    <w:pPr>
      <w:pBdr>
        <w:top w:val="single" w:sz="2" w:space="12" w:color="BABABA"/>
        <w:left w:val="single" w:sz="6" w:space="12" w:color="BABABA"/>
        <w:bottom w:val="single" w:sz="6" w:space="12" w:color="BABABA"/>
        <w:right w:val="single" w:sz="6" w:space="12" w:color="BABABA"/>
      </w:pBdr>
      <w:shd w:val="clear" w:color="auto" w:fill="FFFFFF"/>
      <w:spacing w:before="100" w:beforeAutospacing="1" w:after="100" w:afterAutospacing="1"/>
    </w:pPr>
    <w:rPr>
      <w:rFonts w:ascii="Times New Roman" w:hAnsi="Times New Roman"/>
      <w:sz w:val="24"/>
    </w:rPr>
  </w:style>
  <w:style w:type="paragraph" w:customStyle="1" w:styleId="jurisdictionscomplex">
    <w:name w:val="jurisdictionscomplex"/>
    <w:basedOn w:val="Normal"/>
    <w:rsid w:val="00F124F2"/>
    <w:pPr>
      <w:spacing w:before="100" w:beforeAutospacing="1" w:after="100" w:afterAutospacing="1"/>
    </w:pPr>
    <w:rPr>
      <w:rFonts w:ascii="Times New Roman" w:hAnsi="Times New Roman"/>
      <w:vanish/>
      <w:sz w:val="24"/>
    </w:rPr>
  </w:style>
  <w:style w:type="paragraph" w:customStyle="1" w:styleId="video-container">
    <w:name w:val="video-container"/>
    <w:basedOn w:val="Normal"/>
    <w:rsid w:val="00F124F2"/>
    <w:pPr>
      <w:spacing w:before="100" w:beforeAutospacing="1" w:after="240"/>
    </w:pPr>
    <w:rPr>
      <w:rFonts w:ascii="Times New Roman" w:hAnsi="Times New Roman"/>
      <w:sz w:val="24"/>
    </w:rPr>
  </w:style>
  <w:style w:type="paragraph" w:customStyle="1" w:styleId="multi-show-hide-item">
    <w:name w:val="multi-show-hide-item"/>
    <w:basedOn w:val="Normal"/>
    <w:rsid w:val="00F124F2"/>
    <w:pPr>
      <w:pBdr>
        <w:bottom w:val="dotted" w:sz="6" w:space="7" w:color="BABABA"/>
      </w:pBdr>
      <w:spacing w:before="100" w:beforeAutospacing="1" w:after="100" w:afterAutospacing="1"/>
    </w:pPr>
    <w:rPr>
      <w:rFonts w:ascii="Times New Roman" w:hAnsi="Times New Roman"/>
      <w:sz w:val="24"/>
    </w:rPr>
  </w:style>
  <w:style w:type="paragraph" w:customStyle="1" w:styleId="multi-show-hide-content">
    <w:name w:val="multi-show-hide-content"/>
    <w:basedOn w:val="Normal"/>
    <w:rsid w:val="00F124F2"/>
    <w:pPr>
      <w:pBdr>
        <w:top w:val="dotted" w:sz="6" w:space="0" w:color="BABABA"/>
      </w:pBdr>
      <w:spacing w:before="150" w:after="100" w:afterAutospacing="1"/>
    </w:pPr>
    <w:rPr>
      <w:rFonts w:ascii="Times New Roman" w:hAnsi="Times New Roman"/>
      <w:sz w:val="24"/>
    </w:rPr>
  </w:style>
  <w:style w:type="paragraph" w:customStyle="1" w:styleId="flag-heading">
    <w:name w:val="flag-heading"/>
    <w:basedOn w:val="Normal"/>
    <w:rsid w:val="00F124F2"/>
    <w:pPr>
      <w:spacing w:before="100" w:beforeAutospacing="1" w:after="100" w:afterAutospacing="1"/>
    </w:pPr>
    <w:rPr>
      <w:rFonts w:ascii="Times New Roman" w:hAnsi="Times New Roman"/>
      <w:sz w:val="24"/>
    </w:rPr>
  </w:style>
  <w:style w:type="paragraph" w:customStyle="1" w:styleId="rp-border">
    <w:name w:val="rp-border"/>
    <w:basedOn w:val="Normal"/>
    <w:rsid w:val="00F124F2"/>
    <w:pPr>
      <w:pBdr>
        <w:top w:val="single" w:sz="2" w:space="8" w:color="BABABA"/>
        <w:left w:val="single" w:sz="6" w:space="8" w:color="BABABA"/>
        <w:bottom w:val="single" w:sz="6" w:space="15" w:color="BABABA"/>
        <w:right w:val="single" w:sz="6" w:space="8" w:color="BABABA"/>
      </w:pBdr>
      <w:spacing w:before="100" w:beforeAutospacing="1" w:after="300"/>
    </w:pPr>
    <w:rPr>
      <w:rFonts w:ascii="Times New Roman" w:hAnsi="Times New Roman"/>
      <w:sz w:val="24"/>
    </w:rPr>
  </w:style>
  <w:style w:type="paragraph" w:customStyle="1" w:styleId="beta-small">
    <w:name w:val="beta-small"/>
    <w:basedOn w:val="Normal"/>
    <w:rsid w:val="00F124F2"/>
    <w:pPr>
      <w:shd w:val="clear" w:color="auto" w:fill="FFA300"/>
      <w:spacing w:before="100" w:beforeAutospacing="1" w:after="100" w:afterAutospacing="1"/>
    </w:pPr>
    <w:rPr>
      <w:rFonts w:ascii="Times New Roman" w:hAnsi="Times New Roman"/>
      <w:color w:val="FFFFFF"/>
      <w:sz w:val="17"/>
      <w:szCs w:val="17"/>
    </w:rPr>
  </w:style>
  <w:style w:type="paragraph" w:customStyle="1" w:styleId="beta-box">
    <w:name w:val="beta-box"/>
    <w:basedOn w:val="Normal"/>
    <w:rsid w:val="00F124F2"/>
    <w:pPr>
      <w:pBdr>
        <w:bottom w:val="dotted" w:sz="6" w:space="4" w:color="BABABA"/>
      </w:pBdr>
      <w:spacing w:before="100" w:beforeAutospacing="1" w:after="150"/>
    </w:pPr>
    <w:rPr>
      <w:rFonts w:ascii="Times New Roman" w:hAnsi="Times New Roman"/>
      <w:sz w:val="24"/>
    </w:rPr>
  </w:style>
  <w:style w:type="paragraph" w:customStyle="1" w:styleId="pl-strap">
    <w:name w:val="pl-strap"/>
    <w:basedOn w:val="Normal"/>
    <w:rsid w:val="00F124F2"/>
    <w:pPr>
      <w:pBdr>
        <w:left w:val="single" w:sz="6" w:space="0" w:color="BABABA"/>
        <w:right w:val="single" w:sz="6" w:space="0" w:color="BABABA"/>
      </w:pBdr>
      <w:spacing w:after="100" w:afterAutospacing="1"/>
    </w:pPr>
    <w:rPr>
      <w:rFonts w:ascii="Times New Roman" w:hAnsi="Times New Roman"/>
      <w:sz w:val="24"/>
    </w:rPr>
  </w:style>
  <w:style w:type="paragraph" w:customStyle="1" w:styleId="dialogshade">
    <w:name w:val="dialogshade"/>
    <w:basedOn w:val="Normal"/>
    <w:rsid w:val="00F124F2"/>
    <w:pPr>
      <w:spacing w:before="100" w:beforeAutospacing="1" w:after="100" w:afterAutospacing="1"/>
    </w:pPr>
    <w:rPr>
      <w:rFonts w:ascii="Times New Roman" w:hAnsi="Times New Roman"/>
      <w:sz w:val="24"/>
    </w:rPr>
  </w:style>
  <w:style w:type="paragraph" w:customStyle="1" w:styleId="dialogtitlebar">
    <w:name w:val="dialogtitlebar"/>
    <w:basedOn w:val="Normal"/>
    <w:rsid w:val="00F124F2"/>
    <w:pPr>
      <w:spacing w:before="100" w:beforeAutospacing="1" w:after="100" w:afterAutospacing="1"/>
    </w:pPr>
    <w:rPr>
      <w:rFonts w:ascii="Times New Roman" w:hAnsi="Times New Roman"/>
      <w:sz w:val="24"/>
    </w:rPr>
  </w:style>
  <w:style w:type="paragraph" w:customStyle="1" w:styleId="dialogbtnclose">
    <w:name w:val="dialogbtnclose"/>
    <w:basedOn w:val="Normal"/>
    <w:rsid w:val="00F124F2"/>
    <w:pPr>
      <w:spacing w:before="100" w:beforeAutospacing="1" w:after="100" w:afterAutospacing="1"/>
    </w:pPr>
    <w:rPr>
      <w:rFonts w:ascii="Times New Roman" w:hAnsi="Times New Roman"/>
      <w:sz w:val="24"/>
    </w:rPr>
  </w:style>
  <w:style w:type="paragraph" w:customStyle="1" w:styleId="dialogcontent">
    <w:name w:val="dialogcontent"/>
    <w:basedOn w:val="Normal"/>
    <w:rsid w:val="00F124F2"/>
    <w:pPr>
      <w:spacing w:before="100" w:beforeAutospacing="1" w:after="100" w:afterAutospacing="1"/>
    </w:pPr>
    <w:rPr>
      <w:rFonts w:ascii="Times New Roman" w:hAnsi="Times New Roman"/>
      <w:sz w:val="24"/>
    </w:rPr>
  </w:style>
  <w:style w:type="paragraph" w:customStyle="1" w:styleId="dialoginnercontent">
    <w:name w:val="dialoginnercontent"/>
    <w:basedOn w:val="Normal"/>
    <w:rsid w:val="00F124F2"/>
    <w:pPr>
      <w:spacing w:before="100" w:beforeAutospacing="1" w:after="100" w:afterAutospacing="1"/>
    </w:pPr>
    <w:rPr>
      <w:rFonts w:ascii="Times New Roman" w:hAnsi="Times New Roman"/>
      <w:sz w:val="24"/>
    </w:rPr>
  </w:style>
  <w:style w:type="paragraph" w:customStyle="1" w:styleId="popup-header">
    <w:name w:val="popup-header"/>
    <w:basedOn w:val="Normal"/>
    <w:rsid w:val="00F124F2"/>
    <w:pPr>
      <w:spacing w:before="100" w:beforeAutospacing="1" w:after="100" w:afterAutospacing="1"/>
    </w:pPr>
    <w:rPr>
      <w:rFonts w:ascii="Times New Roman" w:hAnsi="Times New Roman"/>
      <w:sz w:val="24"/>
    </w:rPr>
  </w:style>
  <w:style w:type="paragraph" w:customStyle="1" w:styleId="popup-header-logo">
    <w:name w:val="popup-header-logo"/>
    <w:basedOn w:val="Normal"/>
    <w:rsid w:val="00F124F2"/>
    <w:pPr>
      <w:spacing w:before="100" w:beforeAutospacing="1" w:after="100" w:afterAutospacing="1"/>
    </w:pPr>
    <w:rPr>
      <w:rFonts w:ascii="Times New Roman" w:hAnsi="Times New Roman"/>
      <w:sz w:val="24"/>
    </w:rPr>
  </w:style>
  <w:style w:type="paragraph" w:customStyle="1" w:styleId="popup-window-close">
    <w:name w:val="popup-window-close"/>
    <w:basedOn w:val="Normal"/>
    <w:rsid w:val="00F124F2"/>
    <w:pPr>
      <w:spacing w:before="100" w:beforeAutospacing="1" w:after="100" w:afterAutospacing="1"/>
    </w:pPr>
    <w:rPr>
      <w:rFonts w:ascii="Times New Roman" w:hAnsi="Times New Roman"/>
      <w:sz w:val="24"/>
    </w:rPr>
  </w:style>
  <w:style w:type="paragraph" w:customStyle="1" w:styleId="statusbar">
    <w:name w:val="statusbar"/>
    <w:basedOn w:val="Normal"/>
    <w:rsid w:val="00F124F2"/>
    <w:pPr>
      <w:spacing w:before="100" w:beforeAutospacing="1" w:after="100" w:afterAutospacing="1"/>
    </w:pPr>
    <w:rPr>
      <w:rFonts w:ascii="Times New Roman" w:hAnsi="Times New Roman"/>
      <w:sz w:val="24"/>
    </w:rPr>
  </w:style>
  <w:style w:type="paragraph" w:customStyle="1" w:styleId="login">
    <w:name w:val="login"/>
    <w:basedOn w:val="Normal"/>
    <w:rsid w:val="00F124F2"/>
    <w:pPr>
      <w:spacing w:before="100" w:beforeAutospacing="1" w:after="100" w:afterAutospacing="1"/>
    </w:pPr>
    <w:rPr>
      <w:rFonts w:ascii="Times New Roman" w:hAnsi="Times New Roman"/>
      <w:sz w:val="24"/>
    </w:rPr>
  </w:style>
  <w:style w:type="paragraph" w:customStyle="1" w:styleId="accordion">
    <w:name w:val="accordion"/>
    <w:basedOn w:val="Normal"/>
    <w:rsid w:val="00F124F2"/>
    <w:pPr>
      <w:spacing w:before="100" w:beforeAutospacing="1" w:after="100" w:afterAutospacing="1"/>
    </w:pPr>
    <w:rPr>
      <w:rFonts w:ascii="Times New Roman" w:hAnsi="Times New Roman"/>
      <w:sz w:val="24"/>
    </w:rPr>
  </w:style>
  <w:style w:type="paragraph" w:customStyle="1" w:styleId="accordion-pane">
    <w:name w:val="accordion-pane"/>
    <w:basedOn w:val="Normal"/>
    <w:rsid w:val="00F124F2"/>
    <w:pPr>
      <w:spacing w:before="100" w:beforeAutospacing="1" w:after="100" w:afterAutospacing="1"/>
    </w:pPr>
    <w:rPr>
      <w:rFonts w:ascii="Times New Roman" w:hAnsi="Times New Roman"/>
      <w:sz w:val="24"/>
    </w:rPr>
  </w:style>
  <w:style w:type="paragraph" w:customStyle="1" w:styleId="combo">
    <w:name w:val="combo"/>
    <w:basedOn w:val="Normal"/>
    <w:rsid w:val="00F124F2"/>
    <w:pPr>
      <w:spacing w:before="100" w:beforeAutospacing="1" w:after="100" w:afterAutospacing="1"/>
    </w:pPr>
    <w:rPr>
      <w:rFonts w:ascii="Times New Roman" w:hAnsi="Times New Roman"/>
      <w:sz w:val="24"/>
    </w:rPr>
  </w:style>
  <w:style w:type="paragraph" w:customStyle="1" w:styleId="meta-display-link">
    <w:name w:val="meta-display-link"/>
    <w:basedOn w:val="Normal"/>
    <w:rsid w:val="00F124F2"/>
    <w:pPr>
      <w:spacing w:before="100" w:beforeAutospacing="1" w:after="100" w:afterAutospacing="1"/>
    </w:pPr>
    <w:rPr>
      <w:rFonts w:ascii="Times New Roman" w:hAnsi="Times New Roman"/>
      <w:sz w:val="24"/>
    </w:rPr>
  </w:style>
  <w:style w:type="paragraph" w:customStyle="1" w:styleId="dnote-display-dn">
    <w:name w:val="dnote-display-dn"/>
    <w:basedOn w:val="Normal"/>
    <w:rsid w:val="00F124F2"/>
    <w:pPr>
      <w:spacing w:before="100" w:beforeAutospacing="1" w:after="100" w:afterAutospacing="1"/>
    </w:pPr>
    <w:rPr>
      <w:rFonts w:ascii="Times New Roman" w:hAnsi="Times New Roman"/>
      <w:sz w:val="24"/>
    </w:rPr>
  </w:style>
  <w:style w:type="paragraph" w:customStyle="1" w:styleId="resource-message-right">
    <w:name w:val="resource-message-right"/>
    <w:basedOn w:val="Normal"/>
    <w:rsid w:val="00F124F2"/>
    <w:pPr>
      <w:spacing w:before="100" w:beforeAutospacing="1" w:after="100" w:afterAutospacing="1"/>
    </w:pPr>
    <w:rPr>
      <w:rFonts w:ascii="Times New Roman" w:hAnsi="Times New Roman"/>
      <w:sz w:val="24"/>
    </w:rPr>
  </w:style>
  <w:style w:type="paragraph" w:customStyle="1" w:styleId="commentauthor">
    <w:name w:val="commentauthor"/>
    <w:basedOn w:val="Normal"/>
    <w:rsid w:val="00F124F2"/>
    <w:pPr>
      <w:spacing w:before="100" w:beforeAutospacing="1" w:after="100" w:afterAutospacing="1"/>
    </w:pPr>
    <w:rPr>
      <w:rFonts w:ascii="Times New Roman" w:hAnsi="Times New Roman"/>
      <w:sz w:val="24"/>
    </w:rPr>
  </w:style>
  <w:style w:type="paragraph" w:customStyle="1" w:styleId="commentauthorspeecharrow">
    <w:name w:val="commentauthorspeecharrow"/>
    <w:basedOn w:val="Normal"/>
    <w:rsid w:val="00F124F2"/>
    <w:pPr>
      <w:spacing w:before="100" w:beforeAutospacing="1" w:after="100" w:afterAutospacing="1"/>
    </w:pPr>
    <w:rPr>
      <w:rFonts w:ascii="Times New Roman" w:hAnsi="Times New Roman"/>
      <w:sz w:val="24"/>
    </w:rPr>
  </w:style>
  <w:style w:type="paragraph" w:customStyle="1" w:styleId="smalltext">
    <w:name w:val="smalltext"/>
    <w:basedOn w:val="Normal"/>
    <w:rsid w:val="00F124F2"/>
    <w:pPr>
      <w:spacing w:before="100" w:beforeAutospacing="1" w:after="100" w:afterAutospacing="1"/>
    </w:pPr>
    <w:rPr>
      <w:rFonts w:ascii="Times New Roman" w:hAnsi="Times New Roman"/>
      <w:sz w:val="24"/>
    </w:rPr>
  </w:style>
  <w:style w:type="paragraph" w:customStyle="1" w:styleId="cstext">
    <w:name w:val="cs_text"/>
    <w:basedOn w:val="Normal"/>
    <w:rsid w:val="00F124F2"/>
    <w:pPr>
      <w:spacing w:before="100" w:beforeAutospacing="1" w:after="100" w:afterAutospacing="1"/>
    </w:pPr>
    <w:rPr>
      <w:rFonts w:ascii="Times New Roman" w:hAnsi="Times New Roman"/>
      <w:sz w:val="24"/>
    </w:rPr>
  </w:style>
  <w:style w:type="paragraph" w:customStyle="1" w:styleId="panes">
    <w:name w:val="panes"/>
    <w:basedOn w:val="Normal"/>
    <w:rsid w:val="00F124F2"/>
    <w:pPr>
      <w:spacing w:before="100" w:beforeAutospacing="1" w:after="100" w:afterAutospacing="1"/>
    </w:pPr>
    <w:rPr>
      <w:rFonts w:ascii="Times New Roman" w:hAnsi="Times New Roman"/>
      <w:sz w:val="24"/>
    </w:rPr>
  </w:style>
  <w:style w:type="paragraph" w:customStyle="1" w:styleId="emailpreferencesproducttext">
    <w:name w:val="emailpreferencesproducttext"/>
    <w:basedOn w:val="Normal"/>
    <w:rsid w:val="00F124F2"/>
    <w:pPr>
      <w:spacing w:before="100" w:beforeAutospacing="1" w:after="100" w:afterAutospacing="1"/>
    </w:pPr>
    <w:rPr>
      <w:rFonts w:ascii="Times New Roman" w:hAnsi="Times New Roman"/>
      <w:sz w:val="24"/>
    </w:rPr>
  </w:style>
  <w:style w:type="paragraph" w:customStyle="1" w:styleId="unsubscribeoption">
    <w:name w:val="unsubscribeoption"/>
    <w:basedOn w:val="Normal"/>
    <w:rsid w:val="00F124F2"/>
    <w:pPr>
      <w:spacing w:before="100" w:beforeAutospacing="1" w:after="100" w:afterAutospacing="1"/>
    </w:pPr>
    <w:rPr>
      <w:rFonts w:ascii="Times New Roman" w:hAnsi="Times New Roman"/>
      <w:sz w:val="24"/>
    </w:rPr>
  </w:style>
  <w:style w:type="paragraph" w:customStyle="1" w:styleId="emailpreferencestext">
    <w:name w:val="emailpreferencestext"/>
    <w:basedOn w:val="Normal"/>
    <w:rsid w:val="00F124F2"/>
    <w:pPr>
      <w:spacing w:before="100" w:beforeAutospacing="1" w:after="100" w:afterAutospacing="1"/>
    </w:pPr>
    <w:rPr>
      <w:rFonts w:ascii="Times New Roman" w:hAnsi="Times New Roman"/>
      <w:sz w:val="24"/>
    </w:rPr>
  </w:style>
  <w:style w:type="paragraph" w:customStyle="1" w:styleId="standard-col">
    <w:name w:val="standard-col"/>
    <w:basedOn w:val="Normal"/>
    <w:rsid w:val="00F124F2"/>
    <w:pPr>
      <w:spacing w:before="100" w:beforeAutospacing="1" w:after="100" w:afterAutospacing="1"/>
    </w:pPr>
    <w:rPr>
      <w:rFonts w:ascii="Times New Roman" w:hAnsi="Times New Roman"/>
      <w:sz w:val="24"/>
    </w:rPr>
  </w:style>
  <w:style w:type="paragraph" w:customStyle="1" w:styleId="content-results">
    <w:name w:val="content-results"/>
    <w:basedOn w:val="Normal"/>
    <w:rsid w:val="00F124F2"/>
    <w:pPr>
      <w:spacing w:before="100" w:beforeAutospacing="1" w:after="100" w:afterAutospacing="1"/>
    </w:pPr>
    <w:rPr>
      <w:rFonts w:ascii="Times New Roman" w:hAnsi="Times New Roman"/>
      <w:sz w:val="24"/>
    </w:rPr>
  </w:style>
  <w:style w:type="paragraph" w:customStyle="1" w:styleId="row-even">
    <w:name w:val="row-even"/>
    <w:basedOn w:val="Normal"/>
    <w:rsid w:val="00F124F2"/>
    <w:pPr>
      <w:spacing w:before="100" w:beforeAutospacing="1" w:after="100" w:afterAutospacing="1"/>
    </w:pPr>
    <w:rPr>
      <w:rFonts w:ascii="Times New Roman" w:hAnsi="Times New Roman"/>
      <w:sz w:val="24"/>
    </w:rPr>
  </w:style>
  <w:style w:type="paragraph" w:customStyle="1" w:styleId="country-nav">
    <w:name w:val="country-nav"/>
    <w:basedOn w:val="Normal"/>
    <w:rsid w:val="00F124F2"/>
    <w:pPr>
      <w:spacing w:before="100" w:beforeAutospacing="1" w:after="100" w:afterAutospacing="1"/>
    </w:pPr>
    <w:rPr>
      <w:rFonts w:ascii="Times New Roman" w:hAnsi="Times New Roman"/>
      <w:sz w:val="24"/>
    </w:rPr>
  </w:style>
  <w:style w:type="paragraph" w:customStyle="1" w:styleId="services-nav">
    <w:name w:val="services-nav"/>
    <w:basedOn w:val="Normal"/>
    <w:rsid w:val="00F124F2"/>
    <w:pPr>
      <w:spacing w:before="100" w:beforeAutospacing="1" w:after="100" w:afterAutospacing="1"/>
    </w:pPr>
    <w:rPr>
      <w:rFonts w:ascii="Times New Roman" w:hAnsi="Times New Roman"/>
      <w:sz w:val="24"/>
    </w:rPr>
  </w:style>
  <w:style w:type="paragraph" w:customStyle="1" w:styleId="available">
    <w:name w:val="available"/>
    <w:basedOn w:val="Normal"/>
    <w:rsid w:val="00F124F2"/>
    <w:pPr>
      <w:spacing w:before="100" w:beforeAutospacing="1" w:after="100" w:afterAutospacing="1"/>
    </w:pPr>
    <w:rPr>
      <w:rFonts w:ascii="Times New Roman" w:hAnsi="Times New Roman"/>
      <w:sz w:val="24"/>
    </w:rPr>
  </w:style>
  <w:style w:type="paragraph" w:customStyle="1" w:styleId="coming-soon">
    <w:name w:val="coming-soon"/>
    <w:basedOn w:val="Normal"/>
    <w:rsid w:val="00F124F2"/>
    <w:pPr>
      <w:spacing w:before="100" w:beforeAutospacing="1" w:after="100" w:afterAutospacing="1"/>
    </w:pPr>
    <w:rPr>
      <w:rFonts w:ascii="Times New Roman" w:hAnsi="Times New Roman"/>
      <w:sz w:val="24"/>
    </w:rPr>
  </w:style>
  <w:style w:type="paragraph" w:customStyle="1" w:styleId="inline-image">
    <w:name w:val="inline-image"/>
    <w:basedOn w:val="Normal"/>
    <w:rsid w:val="00F124F2"/>
    <w:pPr>
      <w:spacing w:before="100" w:beforeAutospacing="1" w:after="100" w:afterAutospacing="1"/>
    </w:pPr>
    <w:rPr>
      <w:rFonts w:ascii="Times New Roman" w:hAnsi="Times New Roman"/>
      <w:sz w:val="24"/>
    </w:rPr>
  </w:style>
  <w:style w:type="paragraph" w:customStyle="1" w:styleId="Title1">
    <w:name w:val="Title1"/>
    <w:basedOn w:val="Normal"/>
    <w:rsid w:val="00F124F2"/>
    <w:pPr>
      <w:spacing w:before="100" w:beforeAutospacing="1" w:after="100" w:afterAutospacing="1"/>
    </w:pPr>
    <w:rPr>
      <w:rFonts w:ascii="Times New Roman" w:hAnsi="Times New Roman"/>
      <w:sz w:val="24"/>
    </w:rPr>
  </w:style>
  <w:style w:type="paragraph" w:customStyle="1" w:styleId="headrow">
    <w:name w:val="headrow"/>
    <w:basedOn w:val="Normal"/>
    <w:rsid w:val="00F124F2"/>
    <w:pPr>
      <w:spacing w:before="100" w:beforeAutospacing="1" w:after="100" w:afterAutospacing="1"/>
    </w:pPr>
    <w:rPr>
      <w:rFonts w:ascii="Times New Roman" w:hAnsi="Times New Roman"/>
      <w:sz w:val="24"/>
    </w:rPr>
  </w:style>
  <w:style w:type="paragraph" w:customStyle="1" w:styleId="daynames">
    <w:name w:val="daynames"/>
    <w:basedOn w:val="Normal"/>
    <w:rsid w:val="00F124F2"/>
    <w:pPr>
      <w:spacing w:before="100" w:beforeAutospacing="1" w:after="100" w:afterAutospacing="1"/>
    </w:pPr>
    <w:rPr>
      <w:rFonts w:ascii="Times New Roman" w:hAnsi="Times New Roman"/>
      <w:sz w:val="24"/>
    </w:rPr>
  </w:style>
  <w:style w:type="paragraph" w:customStyle="1" w:styleId="name">
    <w:name w:val="name"/>
    <w:basedOn w:val="Normal"/>
    <w:rsid w:val="00F124F2"/>
    <w:pPr>
      <w:spacing w:before="100" w:beforeAutospacing="1" w:after="100" w:afterAutospacing="1"/>
    </w:pPr>
    <w:rPr>
      <w:rFonts w:ascii="Times New Roman" w:hAnsi="Times New Roman"/>
      <w:sz w:val="24"/>
    </w:rPr>
  </w:style>
  <w:style w:type="paragraph" w:customStyle="1" w:styleId="hilite">
    <w:name w:val="hilite"/>
    <w:basedOn w:val="Normal"/>
    <w:rsid w:val="00F124F2"/>
    <w:pPr>
      <w:spacing w:before="100" w:beforeAutospacing="1" w:after="100" w:afterAutospacing="1"/>
    </w:pPr>
    <w:rPr>
      <w:rFonts w:ascii="Times New Roman" w:hAnsi="Times New Roman"/>
      <w:sz w:val="24"/>
    </w:rPr>
  </w:style>
  <w:style w:type="paragraph" w:customStyle="1" w:styleId="active">
    <w:name w:val="active"/>
    <w:basedOn w:val="Normal"/>
    <w:rsid w:val="00F124F2"/>
    <w:pPr>
      <w:spacing w:before="100" w:beforeAutospacing="1" w:after="100" w:afterAutospacing="1"/>
    </w:pPr>
    <w:rPr>
      <w:rFonts w:ascii="Times New Roman" w:hAnsi="Times New Roman"/>
      <w:sz w:val="24"/>
    </w:rPr>
  </w:style>
  <w:style w:type="paragraph" w:customStyle="1" w:styleId="day">
    <w:name w:val="day"/>
    <w:basedOn w:val="Normal"/>
    <w:rsid w:val="00F124F2"/>
    <w:pPr>
      <w:spacing w:before="100" w:beforeAutospacing="1" w:after="100" w:afterAutospacing="1"/>
    </w:pPr>
    <w:rPr>
      <w:rFonts w:ascii="Times New Roman" w:hAnsi="Times New Roman"/>
      <w:sz w:val="24"/>
    </w:rPr>
  </w:style>
  <w:style w:type="paragraph" w:customStyle="1" w:styleId="wn">
    <w:name w:val="wn"/>
    <w:basedOn w:val="Normal"/>
    <w:rsid w:val="00F124F2"/>
    <w:pPr>
      <w:spacing w:before="100" w:beforeAutospacing="1" w:after="100" w:afterAutospacing="1"/>
    </w:pPr>
    <w:rPr>
      <w:rFonts w:ascii="Times New Roman" w:hAnsi="Times New Roman"/>
      <w:sz w:val="24"/>
    </w:rPr>
  </w:style>
  <w:style w:type="paragraph" w:customStyle="1" w:styleId="disabled">
    <w:name w:val="disabled"/>
    <w:basedOn w:val="Normal"/>
    <w:rsid w:val="00F124F2"/>
    <w:pPr>
      <w:spacing w:before="100" w:beforeAutospacing="1" w:after="100" w:afterAutospacing="1"/>
    </w:pPr>
    <w:rPr>
      <w:rFonts w:ascii="Times New Roman" w:hAnsi="Times New Roman"/>
      <w:sz w:val="24"/>
    </w:rPr>
  </w:style>
  <w:style w:type="paragraph" w:customStyle="1" w:styleId="emptyrow">
    <w:name w:val="emptyrow"/>
    <w:basedOn w:val="Normal"/>
    <w:rsid w:val="00F124F2"/>
    <w:pPr>
      <w:spacing w:before="100" w:beforeAutospacing="1" w:after="100" w:afterAutospacing="1"/>
    </w:pPr>
    <w:rPr>
      <w:rFonts w:ascii="Times New Roman" w:hAnsi="Times New Roman"/>
      <w:sz w:val="24"/>
    </w:rPr>
  </w:style>
  <w:style w:type="paragraph" w:customStyle="1" w:styleId="ttip">
    <w:name w:val="ttip"/>
    <w:basedOn w:val="Normal"/>
    <w:rsid w:val="00F124F2"/>
    <w:pPr>
      <w:spacing w:before="100" w:beforeAutospacing="1" w:after="100" w:afterAutospacing="1"/>
    </w:pPr>
    <w:rPr>
      <w:rFonts w:ascii="Times New Roman" w:hAnsi="Times New Roman"/>
      <w:sz w:val="24"/>
    </w:rPr>
  </w:style>
  <w:style w:type="paragraph" w:customStyle="1" w:styleId="tab-right">
    <w:name w:val="tab-right"/>
    <w:basedOn w:val="Normal"/>
    <w:rsid w:val="00F124F2"/>
    <w:pPr>
      <w:spacing w:before="100" w:beforeAutospacing="1" w:after="100" w:afterAutospacing="1"/>
    </w:pPr>
    <w:rPr>
      <w:rFonts w:ascii="Times New Roman" w:hAnsi="Times New Roman"/>
      <w:sz w:val="24"/>
    </w:rPr>
  </w:style>
  <w:style w:type="paragraph" w:customStyle="1" w:styleId="statuses">
    <w:name w:val="statuses"/>
    <w:basedOn w:val="Normal"/>
    <w:rsid w:val="00F124F2"/>
    <w:pPr>
      <w:spacing w:before="100" w:beforeAutospacing="1" w:after="100" w:afterAutospacing="1"/>
    </w:pPr>
    <w:rPr>
      <w:rFonts w:ascii="Times New Roman" w:hAnsi="Times New Roman"/>
      <w:sz w:val="24"/>
    </w:rPr>
  </w:style>
  <w:style w:type="paragraph" w:customStyle="1" w:styleId="carouselstatus">
    <w:name w:val="carouselstatus"/>
    <w:basedOn w:val="Normal"/>
    <w:rsid w:val="00F124F2"/>
    <w:pPr>
      <w:spacing w:before="100" w:beforeAutospacing="1" w:after="100" w:afterAutospacing="1"/>
    </w:pPr>
    <w:rPr>
      <w:rFonts w:ascii="Times New Roman" w:hAnsi="Times New Roman"/>
      <w:sz w:val="24"/>
    </w:rPr>
  </w:style>
  <w:style w:type="paragraph" w:customStyle="1" w:styleId="carouselcurrent">
    <w:name w:val="carouselcurrent"/>
    <w:basedOn w:val="Normal"/>
    <w:rsid w:val="00F124F2"/>
    <w:pPr>
      <w:spacing w:before="100" w:beforeAutospacing="1" w:after="100" w:afterAutospacing="1"/>
    </w:pPr>
    <w:rPr>
      <w:rFonts w:ascii="Times New Roman" w:hAnsi="Times New Roman"/>
      <w:sz w:val="24"/>
    </w:rPr>
  </w:style>
  <w:style w:type="paragraph" w:customStyle="1" w:styleId="label">
    <w:name w:val="label"/>
    <w:basedOn w:val="Normal"/>
    <w:rsid w:val="00F124F2"/>
    <w:pPr>
      <w:spacing w:before="100" w:beforeAutospacing="1" w:after="100" w:afterAutospacing="1"/>
    </w:pPr>
    <w:rPr>
      <w:rFonts w:ascii="Times New Roman" w:hAnsi="Times New Roman"/>
      <w:sz w:val="24"/>
    </w:rPr>
  </w:style>
  <w:style w:type="paragraph" w:customStyle="1" w:styleId="label-iefix">
    <w:name w:val="label-iefix"/>
    <w:basedOn w:val="Normal"/>
    <w:rsid w:val="00F124F2"/>
    <w:pPr>
      <w:spacing w:before="100" w:beforeAutospacing="1" w:after="100" w:afterAutospacing="1"/>
    </w:pPr>
    <w:rPr>
      <w:rFonts w:ascii="Times New Roman" w:hAnsi="Times New Roman"/>
      <w:sz w:val="24"/>
    </w:rPr>
  </w:style>
  <w:style w:type="paragraph" w:customStyle="1" w:styleId="hour">
    <w:name w:val="hour"/>
    <w:basedOn w:val="Normal"/>
    <w:rsid w:val="00F124F2"/>
    <w:pPr>
      <w:spacing w:before="100" w:beforeAutospacing="1" w:after="100" w:afterAutospacing="1"/>
    </w:pPr>
    <w:rPr>
      <w:rFonts w:ascii="Times New Roman" w:hAnsi="Times New Roman"/>
      <w:sz w:val="24"/>
    </w:rPr>
  </w:style>
  <w:style w:type="paragraph" w:customStyle="1" w:styleId="minute">
    <w:name w:val="minute"/>
    <w:basedOn w:val="Normal"/>
    <w:rsid w:val="00F124F2"/>
    <w:pPr>
      <w:spacing w:before="100" w:beforeAutospacing="1" w:after="100" w:afterAutospacing="1"/>
    </w:pPr>
    <w:rPr>
      <w:rFonts w:ascii="Times New Roman" w:hAnsi="Times New Roman"/>
      <w:sz w:val="24"/>
    </w:rPr>
  </w:style>
  <w:style w:type="paragraph" w:customStyle="1" w:styleId="ampm">
    <w:name w:val="ampm"/>
    <w:basedOn w:val="Normal"/>
    <w:rsid w:val="00F124F2"/>
    <w:pPr>
      <w:spacing w:before="100" w:beforeAutospacing="1" w:after="100" w:afterAutospacing="1"/>
    </w:pPr>
    <w:rPr>
      <w:rFonts w:ascii="Times New Roman" w:hAnsi="Times New Roman"/>
      <w:sz w:val="24"/>
    </w:rPr>
  </w:style>
  <w:style w:type="paragraph" w:customStyle="1" w:styleId="colon">
    <w:name w:val="colon"/>
    <w:basedOn w:val="Normal"/>
    <w:rsid w:val="00F124F2"/>
    <w:pPr>
      <w:spacing w:before="100" w:beforeAutospacing="1" w:after="100" w:afterAutospacing="1"/>
    </w:pPr>
    <w:rPr>
      <w:rFonts w:ascii="Times New Roman" w:hAnsi="Times New Roman"/>
      <w:sz w:val="24"/>
    </w:rPr>
  </w:style>
  <w:style w:type="paragraph" w:customStyle="1" w:styleId="radio-checkbox">
    <w:name w:val="radio-checkbox"/>
    <w:basedOn w:val="Normal"/>
    <w:rsid w:val="00F124F2"/>
    <w:pPr>
      <w:spacing w:before="100" w:beforeAutospacing="1" w:after="100" w:afterAutospacing="1"/>
    </w:pPr>
    <w:rPr>
      <w:rFonts w:ascii="Times New Roman" w:hAnsi="Times New Roman"/>
      <w:sz w:val="24"/>
    </w:rPr>
  </w:style>
  <w:style w:type="paragraph" w:customStyle="1" w:styleId="x-btn-wrap">
    <w:name w:val="x-btn-wrap"/>
    <w:basedOn w:val="Normal"/>
    <w:rsid w:val="00F124F2"/>
    <w:pPr>
      <w:spacing w:before="100" w:beforeAutospacing="1" w:after="100" w:afterAutospacing="1"/>
    </w:pPr>
    <w:rPr>
      <w:rFonts w:ascii="Times New Roman" w:hAnsi="Times New Roman"/>
      <w:sz w:val="24"/>
    </w:rPr>
  </w:style>
  <w:style w:type="paragraph" w:customStyle="1" w:styleId="x-btn-text">
    <w:name w:val="x-btn-text"/>
    <w:basedOn w:val="Normal"/>
    <w:rsid w:val="00F124F2"/>
    <w:pPr>
      <w:spacing w:before="100" w:beforeAutospacing="1" w:after="100" w:afterAutospacing="1"/>
    </w:pPr>
    <w:rPr>
      <w:rFonts w:ascii="Times New Roman" w:hAnsi="Times New Roman"/>
      <w:sz w:val="24"/>
    </w:rPr>
  </w:style>
  <w:style w:type="paragraph" w:customStyle="1" w:styleId="advanced-search-input">
    <w:name w:val="advanced-search-input"/>
    <w:basedOn w:val="Normal"/>
    <w:rsid w:val="00F124F2"/>
    <w:pPr>
      <w:spacing w:before="100" w:beforeAutospacing="1" w:after="100" w:afterAutospacing="1"/>
    </w:pPr>
    <w:rPr>
      <w:rFonts w:ascii="Times New Roman" w:hAnsi="Times New Roman"/>
      <w:sz w:val="24"/>
    </w:rPr>
  </w:style>
  <w:style w:type="paragraph" w:customStyle="1" w:styleId="content-inner">
    <w:name w:val="content-inner"/>
    <w:basedOn w:val="Normal"/>
    <w:rsid w:val="00F124F2"/>
    <w:pPr>
      <w:spacing w:before="100" w:beforeAutospacing="1" w:after="100" w:afterAutospacing="1"/>
    </w:pPr>
    <w:rPr>
      <w:rFonts w:ascii="Times New Roman" w:hAnsi="Times New Roman"/>
      <w:sz w:val="24"/>
    </w:rPr>
  </w:style>
  <w:style w:type="paragraph" w:customStyle="1" w:styleId="indented">
    <w:name w:val="indented"/>
    <w:basedOn w:val="Normal"/>
    <w:rsid w:val="00F124F2"/>
    <w:pPr>
      <w:spacing w:before="100" w:beforeAutospacing="1" w:after="100" w:afterAutospacing="1"/>
    </w:pPr>
    <w:rPr>
      <w:rFonts w:ascii="Times New Roman" w:hAnsi="Times New Roman"/>
      <w:sz w:val="24"/>
    </w:rPr>
  </w:style>
  <w:style w:type="paragraph" w:customStyle="1" w:styleId="tablewrapper">
    <w:name w:val="tablewrapper"/>
    <w:basedOn w:val="Normal"/>
    <w:rsid w:val="00F124F2"/>
    <w:pPr>
      <w:spacing w:before="100" w:beforeAutospacing="1" w:after="100" w:afterAutospacing="1"/>
    </w:pPr>
    <w:rPr>
      <w:rFonts w:ascii="Times New Roman" w:hAnsi="Times New Roman"/>
      <w:sz w:val="24"/>
    </w:rPr>
  </w:style>
  <w:style w:type="paragraph" w:customStyle="1" w:styleId="category">
    <w:name w:val="category"/>
    <w:basedOn w:val="Normal"/>
    <w:rsid w:val="00F124F2"/>
    <w:pPr>
      <w:spacing w:before="100" w:beforeAutospacing="1" w:after="100" w:afterAutospacing="1"/>
    </w:pPr>
    <w:rPr>
      <w:rFonts w:ascii="Times New Roman" w:hAnsi="Times New Roman"/>
      <w:sz w:val="24"/>
    </w:rPr>
  </w:style>
  <w:style w:type="paragraph" w:customStyle="1" w:styleId="alllabel">
    <w:name w:val="alllabel"/>
    <w:basedOn w:val="Normal"/>
    <w:rsid w:val="00F124F2"/>
    <w:pPr>
      <w:spacing w:before="100" w:beforeAutospacing="1" w:after="100" w:afterAutospacing="1"/>
    </w:pPr>
    <w:rPr>
      <w:rFonts w:ascii="Times New Roman" w:hAnsi="Times New Roman"/>
      <w:sz w:val="24"/>
    </w:rPr>
  </w:style>
  <w:style w:type="paragraph" w:customStyle="1" w:styleId="resultcount">
    <w:name w:val="resultcount"/>
    <w:basedOn w:val="Normal"/>
    <w:rsid w:val="00F124F2"/>
    <w:pPr>
      <w:spacing w:before="100" w:beforeAutospacing="1" w:after="100" w:afterAutospacing="1"/>
    </w:pPr>
    <w:rPr>
      <w:rFonts w:ascii="Times New Roman" w:hAnsi="Times New Roman"/>
      <w:sz w:val="24"/>
    </w:rPr>
  </w:style>
  <w:style w:type="paragraph" w:customStyle="1" w:styleId="plcwm-header">
    <w:name w:val="plcwm-header"/>
    <w:basedOn w:val="Normal"/>
    <w:rsid w:val="00F124F2"/>
    <w:pPr>
      <w:spacing w:before="100" w:beforeAutospacing="1" w:after="100" w:afterAutospacing="1"/>
    </w:pPr>
    <w:rPr>
      <w:rFonts w:ascii="Times New Roman" w:hAnsi="Times New Roman"/>
      <w:sz w:val="24"/>
    </w:rPr>
  </w:style>
  <w:style w:type="paragraph" w:customStyle="1" w:styleId="closedaccordianlink">
    <w:name w:val="closedaccordianlink"/>
    <w:basedOn w:val="Normal"/>
    <w:rsid w:val="00F124F2"/>
    <w:pPr>
      <w:spacing w:before="100" w:beforeAutospacing="1" w:after="100" w:afterAutospacing="1"/>
    </w:pPr>
    <w:rPr>
      <w:rFonts w:ascii="Times New Roman" w:hAnsi="Times New Roman"/>
      <w:sz w:val="24"/>
    </w:rPr>
  </w:style>
  <w:style w:type="paragraph" w:customStyle="1" w:styleId="openaccordianlink">
    <w:name w:val="openaccordianlink"/>
    <w:basedOn w:val="Normal"/>
    <w:rsid w:val="00F124F2"/>
    <w:pPr>
      <w:spacing w:before="100" w:beforeAutospacing="1" w:after="100" w:afterAutospacing="1"/>
    </w:pPr>
    <w:rPr>
      <w:rFonts w:ascii="Times New Roman" w:hAnsi="Times New Roman"/>
      <w:sz w:val="24"/>
    </w:rPr>
  </w:style>
  <w:style w:type="paragraph" w:customStyle="1" w:styleId="productlist">
    <w:name w:val="productlist"/>
    <w:basedOn w:val="Normal"/>
    <w:rsid w:val="00F124F2"/>
    <w:pPr>
      <w:spacing w:before="100" w:beforeAutospacing="1" w:after="100" w:afterAutospacing="1"/>
    </w:pPr>
    <w:rPr>
      <w:rFonts w:ascii="Times New Roman" w:hAnsi="Times New Roman"/>
      <w:sz w:val="24"/>
    </w:rPr>
  </w:style>
  <w:style w:type="paragraph" w:customStyle="1" w:styleId="productlistitem">
    <w:name w:val="productlistitem"/>
    <w:basedOn w:val="Normal"/>
    <w:rsid w:val="00F124F2"/>
    <w:pPr>
      <w:spacing w:before="100" w:beforeAutospacing="1" w:after="100" w:afterAutospacing="1"/>
    </w:pPr>
    <w:rPr>
      <w:rFonts w:ascii="Times New Roman" w:hAnsi="Times New Roman"/>
      <w:sz w:val="24"/>
    </w:rPr>
  </w:style>
  <w:style w:type="paragraph" w:customStyle="1" w:styleId="updateproductlistitem">
    <w:name w:val="updateproductlistitem"/>
    <w:basedOn w:val="Normal"/>
    <w:rsid w:val="00F124F2"/>
    <w:pPr>
      <w:spacing w:before="100" w:beforeAutospacing="1" w:after="100" w:afterAutospacing="1"/>
    </w:pPr>
    <w:rPr>
      <w:rFonts w:ascii="Times New Roman" w:hAnsi="Times New Roman"/>
      <w:sz w:val="24"/>
    </w:rPr>
  </w:style>
  <w:style w:type="paragraph" w:customStyle="1" w:styleId="emailservicename">
    <w:name w:val="emailservicename"/>
    <w:basedOn w:val="Normal"/>
    <w:rsid w:val="00F124F2"/>
    <w:pPr>
      <w:spacing w:before="100" w:beforeAutospacing="1" w:after="100" w:afterAutospacing="1"/>
    </w:pPr>
    <w:rPr>
      <w:rFonts w:ascii="Times New Roman" w:hAnsi="Times New Roman"/>
      <w:sz w:val="24"/>
    </w:rPr>
  </w:style>
  <w:style w:type="paragraph" w:customStyle="1" w:styleId="updatefeedservicename">
    <w:name w:val="updatefeedservicename"/>
    <w:basedOn w:val="Normal"/>
    <w:rsid w:val="00F124F2"/>
    <w:pPr>
      <w:spacing w:before="100" w:beforeAutospacing="1" w:after="100" w:afterAutospacing="1"/>
    </w:pPr>
    <w:rPr>
      <w:rFonts w:ascii="Times New Roman" w:hAnsi="Times New Roman"/>
      <w:sz w:val="24"/>
    </w:rPr>
  </w:style>
  <w:style w:type="paragraph" w:customStyle="1" w:styleId="updatefeedfield">
    <w:name w:val="updatefeedfield"/>
    <w:basedOn w:val="Normal"/>
    <w:rsid w:val="00F124F2"/>
    <w:pPr>
      <w:spacing w:before="100" w:beforeAutospacing="1" w:after="100" w:afterAutospacing="1"/>
    </w:pPr>
    <w:rPr>
      <w:rFonts w:ascii="Times New Roman" w:hAnsi="Times New Roman"/>
      <w:sz w:val="24"/>
    </w:rPr>
  </w:style>
  <w:style w:type="paragraph" w:customStyle="1" w:styleId="emailservicefrequency">
    <w:name w:val="emailservicefrequency"/>
    <w:basedOn w:val="Normal"/>
    <w:rsid w:val="00F124F2"/>
    <w:pPr>
      <w:spacing w:before="100" w:beforeAutospacing="1" w:after="100" w:afterAutospacing="1"/>
    </w:pPr>
    <w:rPr>
      <w:rFonts w:ascii="Times New Roman" w:hAnsi="Times New Roman"/>
      <w:sz w:val="24"/>
    </w:rPr>
  </w:style>
  <w:style w:type="paragraph" w:customStyle="1" w:styleId="legendlabel">
    <w:name w:val="legendlabel"/>
    <w:basedOn w:val="Normal"/>
    <w:rsid w:val="00F124F2"/>
    <w:pPr>
      <w:spacing w:before="100" w:beforeAutospacing="1" w:after="100" w:afterAutospacing="1"/>
    </w:pPr>
    <w:rPr>
      <w:rFonts w:ascii="Times New Roman" w:hAnsi="Times New Roman"/>
      <w:sz w:val="24"/>
    </w:rPr>
  </w:style>
  <w:style w:type="paragraph" w:customStyle="1" w:styleId="emailserviceaction">
    <w:name w:val="emailserviceaction"/>
    <w:basedOn w:val="Normal"/>
    <w:rsid w:val="00F124F2"/>
    <w:pPr>
      <w:spacing w:before="100" w:beforeAutospacing="1" w:after="100" w:afterAutospacing="1"/>
    </w:pPr>
    <w:rPr>
      <w:rFonts w:ascii="Times New Roman" w:hAnsi="Times New Roman"/>
      <w:sz w:val="24"/>
    </w:rPr>
  </w:style>
  <w:style w:type="paragraph" w:customStyle="1" w:styleId="requesttriallink">
    <w:name w:val="requesttriallink"/>
    <w:basedOn w:val="Normal"/>
    <w:rsid w:val="00F124F2"/>
    <w:pPr>
      <w:spacing w:before="100" w:beforeAutospacing="1" w:after="100" w:afterAutospacing="1"/>
    </w:pPr>
    <w:rPr>
      <w:rFonts w:ascii="Times New Roman" w:hAnsi="Times New Roman"/>
      <w:sz w:val="24"/>
    </w:rPr>
  </w:style>
  <w:style w:type="paragraph" w:customStyle="1" w:styleId="nosubscription">
    <w:name w:val="nosubscription"/>
    <w:basedOn w:val="Normal"/>
    <w:rsid w:val="00F124F2"/>
    <w:pPr>
      <w:spacing w:before="100" w:beforeAutospacing="1" w:after="100" w:afterAutospacing="1"/>
    </w:pPr>
    <w:rPr>
      <w:rFonts w:ascii="Times New Roman" w:hAnsi="Times New Roman"/>
      <w:sz w:val="24"/>
    </w:rPr>
  </w:style>
  <w:style w:type="paragraph" w:customStyle="1" w:styleId="highlightsubscription">
    <w:name w:val="highlightsubscription"/>
    <w:basedOn w:val="Normal"/>
    <w:rsid w:val="00F124F2"/>
    <w:pPr>
      <w:spacing w:before="100" w:beforeAutospacing="1" w:after="100" w:afterAutospacing="1"/>
    </w:pPr>
    <w:rPr>
      <w:rFonts w:ascii="Times New Roman" w:hAnsi="Times New Roman"/>
      <w:sz w:val="24"/>
    </w:rPr>
  </w:style>
  <w:style w:type="paragraph" w:customStyle="1" w:styleId="search-feedback-maintained">
    <w:name w:val="search-feedback-maintained"/>
    <w:basedOn w:val="Normal"/>
    <w:rsid w:val="00F124F2"/>
    <w:pPr>
      <w:spacing w:before="100" w:beforeAutospacing="1" w:after="100" w:afterAutospacing="1"/>
    </w:pPr>
    <w:rPr>
      <w:rFonts w:ascii="Times New Roman" w:hAnsi="Times New Roman"/>
      <w:sz w:val="24"/>
    </w:rPr>
  </w:style>
  <w:style w:type="paragraph" w:customStyle="1" w:styleId="x-grid3-cell-inner">
    <w:name w:val="x-grid3-cell-inner"/>
    <w:basedOn w:val="Normal"/>
    <w:rsid w:val="00F124F2"/>
    <w:pPr>
      <w:spacing w:before="100" w:beforeAutospacing="1" w:after="100" w:afterAutospacing="1"/>
    </w:pPr>
    <w:rPr>
      <w:rFonts w:ascii="Times New Roman" w:hAnsi="Times New Roman"/>
      <w:sz w:val="24"/>
    </w:rPr>
  </w:style>
  <w:style w:type="paragraph" w:customStyle="1" w:styleId="x-panel-body">
    <w:name w:val="x-panel-body"/>
    <w:basedOn w:val="Normal"/>
    <w:rsid w:val="00F124F2"/>
    <w:pPr>
      <w:spacing w:before="100" w:beforeAutospacing="1" w:after="100" w:afterAutospacing="1"/>
    </w:pPr>
    <w:rPr>
      <w:rFonts w:ascii="Times New Roman" w:hAnsi="Times New Roman"/>
      <w:sz w:val="24"/>
    </w:rPr>
  </w:style>
  <w:style w:type="paragraph" w:customStyle="1" w:styleId="x-toolbar">
    <w:name w:val="x-toolbar"/>
    <w:basedOn w:val="Normal"/>
    <w:rsid w:val="00F124F2"/>
    <w:pPr>
      <w:spacing w:before="100" w:beforeAutospacing="1" w:after="100" w:afterAutospacing="1"/>
    </w:pPr>
    <w:rPr>
      <w:rFonts w:ascii="Times New Roman" w:hAnsi="Times New Roman"/>
      <w:sz w:val="24"/>
    </w:rPr>
  </w:style>
  <w:style w:type="paragraph" w:customStyle="1" w:styleId="x-grid3-header">
    <w:name w:val="x-grid3-header"/>
    <w:basedOn w:val="Normal"/>
    <w:rsid w:val="00F124F2"/>
    <w:pPr>
      <w:spacing w:before="100" w:beforeAutospacing="1" w:after="100" w:afterAutospacing="1"/>
    </w:pPr>
    <w:rPr>
      <w:rFonts w:ascii="Times New Roman" w:hAnsi="Times New Roman"/>
      <w:sz w:val="24"/>
    </w:rPr>
  </w:style>
  <w:style w:type="paragraph" w:customStyle="1" w:styleId="x-grid3-hd-inner">
    <w:name w:val="x-grid3-hd-inner"/>
    <w:basedOn w:val="Normal"/>
    <w:rsid w:val="00F124F2"/>
    <w:pPr>
      <w:spacing w:before="100" w:beforeAutospacing="1" w:after="100" w:afterAutospacing="1"/>
    </w:pPr>
    <w:rPr>
      <w:rFonts w:ascii="Times New Roman" w:hAnsi="Times New Roman"/>
      <w:sz w:val="24"/>
    </w:rPr>
  </w:style>
  <w:style w:type="paragraph" w:customStyle="1" w:styleId="x-grid3-row">
    <w:name w:val="x-grid3-row"/>
    <w:basedOn w:val="Normal"/>
    <w:rsid w:val="00F124F2"/>
    <w:pPr>
      <w:spacing w:before="100" w:beforeAutospacing="1" w:after="100" w:afterAutospacing="1"/>
    </w:pPr>
    <w:rPr>
      <w:rFonts w:ascii="Times New Roman" w:hAnsi="Times New Roman"/>
      <w:sz w:val="24"/>
    </w:rPr>
  </w:style>
  <w:style w:type="paragraph" w:customStyle="1" w:styleId="x-window-bwrap">
    <w:name w:val="x-window-bwrap"/>
    <w:basedOn w:val="Normal"/>
    <w:rsid w:val="00F124F2"/>
    <w:pPr>
      <w:spacing w:before="100" w:beforeAutospacing="1" w:after="100" w:afterAutospacing="1"/>
    </w:pPr>
    <w:rPr>
      <w:rFonts w:ascii="Times New Roman" w:hAnsi="Times New Roman"/>
      <w:sz w:val="24"/>
    </w:rPr>
  </w:style>
  <w:style w:type="paragraph" w:customStyle="1" w:styleId="x-window-ml">
    <w:name w:val="x-window-ml"/>
    <w:basedOn w:val="Normal"/>
    <w:rsid w:val="00F124F2"/>
    <w:pPr>
      <w:spacing w:before="100" w:beforeAutospacing="1" w:after="100" w:afterAutospacing="1"/>
    </w:pPr>
    <w:rPr>
      <w:rFonts w:ascii="Times New Roman" w:hAnsi="Times New Roman"/>
      <w:sz w:val="24"/>
    </w:rPr>
  </w:style>
  <w:style w:type="paragraph" w:customStyle="1" w:styleId="x-window-mr">
    <w:name w:val="x-window-mr"/>
    <w:basedOn w:val="Normal"/>
    <w:rsid w:val="00F124F2"/>
    <w:pPr>
      <w:spacing w:before="100" w:beforeAutospacing="1" w:after="100" w:afterAutospacing="1"/>
    </w:pPr>
    <w:rPr>
      <w:rFonts w:ascii="Times New Roman" w:hAnsi="Times New Roman"/>
      <w:sz w:val="24"/>
    </w:rPr>
  </w:style>
  <w:style w:type="paragraph" w:customStyle="1" w:styleId="x-window-mc">
    <w:name w:val="x-window-mc"/>
    <w:basedOn w:val="Normal"/>
    <w:rsid w:val="00F124F2"/>
    <w:pPr>
      <w:spacing w:before="100" w:beforeAutospacing="1" w:after="100" w:afterAutospacing="1"/>
    </w:pPr>
    <w:rPr>
      <w:rFonts w:ascii="Times New Roman" w:hAnsi="Times New Roman"/>
      <w:sz w:val="24"/>
    </w:rPr>
  </w:style>
  <w:style w:type="paragraph" w:customStyle="1" w:styleId="x-window-tl">
    <w:name w:val="x-window-tl"/>
    <w:basedOn w:val="Normal"/>
    <w:rsid w:val="00F124F2"/>
    <w:pPr>
      <w:spacing w:before="100" w:beforeAutospacing="1" w:after="100" w:afterAutospacing="1"/>
    </w:pPr>
    <w:rPr>
      <w:rFonts w:ascii="Times New Roman" w:hAnsi="Times New Roman"/>
      <w:sz w:val="24"/>
    </w:rPr>
  </w:style>
  <w:style w:type="paragraph" w:customStyle="1" w:styleId="x-window-tr">
    <w:name w:val="x-window-tr"/>
    <w:basedOn w:val="Normal"/>
    <w:rsid w:val="00F124F2"/>
    <w:pPr>
      <w:spacing w:before="100" w:beforeAutospacing="1" w:after="100" w:afterAutospacing="1"/>
    </w:pPr>
    <w:rPr>
      <w:rFonts w:ascii="Times New Roman" w:hAnsi="Times New Roman"/>
      <w:sz w:val="24"/>
    </w:rPr>
  </w:style>
  <w:style w:type="paragraph" w:customStyle="1" w:styleId="x-window-tc">
    <w:name w:val="x-window-tc"/>
    <w:basedOn w:val="Normal"/>
    <w:rsid w:val="00F124F2"/>
    <w:pPr>
      <w:spacing w:before="100" w:beforeAutospacing="1" w:after="100" w:afterAutospacing="1"/>
    </w:pPr>
    <w:rPr>
      <w:rFonts w:ascii="Times New Roman" w:hAnsi="Times New Roman"/>
      <w:sz w:val="24"/>
    </w:rPr>
  </w:style>
  <w:style w:type="paragraph" w:customStyle="1" w:styleId="x-window-header">
    <w:name w:val="x-window-header"/>
    <w:basedOn w:val="Normal"/>
    <w:rsid w:val="00F124F2"/>
    <w:pPr>
      <w:spacing w:before="100" w:beforeAutospacing="1" w:after="100" w:afterAutospacing="1"/>
    </w:pPr>
    <w:rPr>
      <w:rFonts w:ascii="Times New Roman" w:hAnsi="Times New Roman"/>
      <w:sz w:val="24"/>
    </w:rPr>
  </w:style>
  <w:style w:type="paragraph" w:customStyle="1" w:styleId="x-tool-close">
    <w:name w:val="x-tool-close"/>
    <w:basedOn w:val="Normal"/>
    <w:rsid w:val="00F124F2"/>
    <w:pPr>
      <w:spacing w:before="100" w:beforeAutospacing="1" w:after="100" w:afterAutospacing="1"/>
    </w:pPr>
    <w:rPr>
      <w:rFonts w:ascii="Times New Roman" w:hAnsi="Times New Roman"/>
      <w:sz w:val="24"/>
    </w:rPr>
  </w:style>
  <w:style w:type="paragraph" w:customStyle="1" w:styleId="x-window-header-text">
    <w:name w:val="x-window-header-text"/>
    <w:basedOn w:val="Normal"/>
    <w:rsid w:val="00F124F2"/>
    <w:pPr>
      <w:spacing w:before="100" w:beforeAutospacing="1" w:after="100" w:afterAutospacing="1"/>
    </w:pPr>
    <w:rPr>
      <w:rFonts w:ascii="Times New Roman" w:hAnsi="Times New Roman"/>
      <w:sz w:val="24"/>
    </w:rPr>
  </w:style>
  <w:style w:type="paragraph" w:customStyle="1" w:styleId="x-panel-nofooter">
    <w:name w:val="x-panel-nofooter"/>
    <w:basedOn w:val="Normal"/>
    <w:rsid w:val="00F124F2"/>
    <w:pPr>
      <w:spacing w:before="100" w:beforeAutospacing="1" w:after="100" w:afterAutospacing="1"/>
    </w:pPr>
    <w:rPr>
      <w:rFonts w:ascii="Times New Roman" w:hAnsi="Times New Roman"/>
      <w:sz w:val="24"/>
    </w:rPr>
  </w:style>
  <w:style w:type="paragraph" w:customStyle="1" w:styleId="x-grid3">
    <w:name w:val="x-grid3"/>
    <w:basedOn w:val="Normal"/>
    <w:rsid w:val="00F124F2"/>
    <w:pPr>
      <w:spacing w:before="100" w:beforeAutospacing="1" w:after="100" w:afterAutospacing="1"/>
    </w:pPr>
    <w:rPr>
      <w:rFonts w:ascii="Times New Roman" w:hAnsi="Times New Roman"/>
      <w:sz w:val="24"/>
    </w:rPr>
  </w:style>
  <w:style w:type="paragraph" w:customStyle="1" w:styleId="x-panel-tbar">
    <w:name w:val="x-panel-tbar"/>
    <w:basedOn w:val="Normal"/>
    <w:rsid w:val="00F124F2"/>
    <w:pPr>
      <w:spacing w:before="100" w:beforeAutospacing="1" w:after="100" w:afterAutospacing="1"/>
    </w:pPr>
    <w:rPr>
      <w:rFonts w:ascii="Times New Roman" w:hAnsi="Times New Roman"/>
      <w:sz w:val="24"/>
    </w:rPr>
  </w:style>
  <w:style w:type="paragraph" w:customStyle="1" w:styleId="x-panel-bbar">
    <w:name w:val="x-panel-bbar"/>
    <w:basedOn w:val="Normal"/>
    <w:rsid w:val="00F124F2"/>
    <w:pPr>
      <w:spacing w:before="100" w:beforeAutospacing="1" w:after="100" w:afterAutospacing="1"/>
    </w:pPr>
    <w:rPr>
      <w:rFonts w:ascii="Times New Roman" w:hAnsi="Times New Roman"/>
      <w:sz w:val="24"/>
    </w:rPr>
  </w:style>
  <w:style w:type="paragraph" w:customStyle="1" w:styleId="x-window-body">
    <w:name w:val="x-window-body"/>
    <w:basedOn w:val="Normal"/>
    <w:rsid w:val="00F124F2"/>
    <w:pPr>
      <w:spacing w:before="100" w:beforeAutospacing="1" w:after="100" w:afterAutospacing="1"/>
    </w:pPr>
    <w:rPr>
      <w:rFonts w:ascii="Times New Roman" w:hAnsi="Times New Roman"/>
      <w:sz w:val="24"/>
    </w:rPr>
  </w:style>
  <w:style w:type="paragraph" w:customStyle="1" w:styleId="x-window-bl">
    <w:name w:val="x-window-bl"/>
    <w:basedOn w:val="Normal"/>
    <w:rsid w:val="00F124F2"/>
    <w:pPr>
      <w:spacing w:before="100" w:beforeAutospacing="1" w:after="100" w:afterAutospacing="1"/>
    </w:pPr>
    <w:rPr>
      <w:rFonts w:ascii="Times New Roman" w:hAnsi="Times New Roman"/>
      <w:sz w:val="24"/>
    </w:rPr>
  </w:style>
  <w:style w:type="paragraph" w:customStyle="1" w:styleId="plcwm-inner">
    <w:name w:val="plcwm-inner"/>
    <w:basedOn w:val="Normal"/>
    <w:rsid w:val="00F124F2"/>
    <w:rPr>
      <w:rFonts w:ascii="Times New Roman" w:hAnsi="Times New Roman"/>
      <w:sz w:val="24"/>
    </w:rPr>
  </w:style>
  <w:style w:type="paragraph" w:customStyle="1" w:styleId="advanced-search-input-label">
    <w:name w:val="advanced-search-input-label"/>
    <w:basedOn w:val="Normal"/>
    <w:rsid w:val="00F124F2"/>
    <w:pPr>
      <w:spacing w:before="100" w:beforeAutospacing="1" w:after="100" w:afterAutospacing="1"/>
    </w:pPr>
    <w:rPr>
      <w:rFonts w:ascii="Times New Roman" w:hAnsi="Times New Roman"/>
      <w:sz w:val="24"/>
    </w:rPr>
  </w:style>
  <w:style w:type="paragraph" w:customStyle="1" w:styleId="accordianlink">
    <w:name w:val="accordianlink"/>
    <w:basedOn w:val="Normal"/>
    <w:rsid w:val="00F124F2"/>
    <w:pPr>
      <w:spacing w:before="100" w:beforeAutospacing="1" w:after="100" w:afterAutospacing="1"/>
    </w:pPr>
    <w:rPr>
      <w:rFonts w:ascii="Times New Roman" w:hAnsi="Times New Roman"/>
      <w:sz w:val="24"/>
    </w:rPr>
  </w:style>
  <w:style w:type="paragraph" w:customStyle="1" w:styleId="ytb-sep">
    <w:name w:val="ytb-sep"/>
    <w:basedOn w:val="Normal"/>
    <w:rsid w:val="00F124F2"/>
    <w:pPr>
      <w:spacing w:before="100" w:beforeAutospacing="1" w:after="100" w:afterAutospacing="1"/>
    </w:pPr>
    <w:rPr>
      <w:rFonts w:ascii="Times New Roman" w:hAnsi="Times New Roman"/>
      <w:sz w:val="24"/>
    </w:rPr>
  </w:style>
  <w:style w:type="paragraph" w:customStyle="1" w:styleId="cookie-policy">
    <w:name w:val="cookie-policy"/>
    <w:basedOn w:val="Normal"/>
    <w:rsid w:val="00F124F2"/>
    <w:pPr>
      <w:pBdr>
        <w:top w:val="dotted" w:sz="6" w:space="7" w:color="BABABA"/>
        <w:left w:val="dotted" w:sz="6" w:space="7" w:color="BABABA"/>
        <w:bottom w:val="dotted" w:sz="6" w:space="7" w:color="BABABA"/>
        <w:right w:val="dotted" w:sz="6" w:space="7" w:color="BABABA"/>
      </w:pBdr>
      <w:shd w:val="clear" w:color="auto" w:fill="FFF7E5"/>
      <w:spacing w:before="100" w:beforeAutospacing="1" w:after="100" w:afterAutospacing="1"/>
    </w:pPr>
    <w:rPr>
      <w:rFonts w:ascii="Times New Roman" w:hAnsi="Times New Roman"/>
      <w:sz w:val="24"/>
    </w:rPr>
  </w:style>
  <w:style w:type="paragraph" w:customStyle="1" w:styleId="icon-newnote">
    <w:name w:val="icon-newnote"/>
    <w:basedOn w:val="Normal"/>
    <w:rsid w:val="00F124F2"/>
    <w:pPr>
      <w:spacing w:before="100" w:beforeAutospacing="1" w:after="100" w:afterAutospacing="1"/>
    </w:pPr>
    <w:rPr>
      <w:rFonts w:ascii="Times New Roman" w:hAnsi="Times New Roman"/>
      <w:sz w:val="24"/>
    </w:rPr>
  </w:style>
  <w:style w:type="paragraph" w:customStyle="1" w:styleId="icon-editnote">
    <w:name w:val="icon-editnote"/>
    <w:basedOn w:val="Normal"/>
    <w:rsid w:val="00F124F2"/>
    <w:pPr>
      <w:spacing w:before="100" w:beforeAutospacing="1" w:after="100" w:afterAutospacing="1"/>
    </w:pPr>
    <w:rPr>
      <w:rFonts w:ascii="Times New Roman" w:hAnsi="Times New Roman"/>
      <w:sz w:val="24"/>
    </w:rPr>
  </w:style>
  <w:style w:type="paragraph" w:customStyle="1" w:styleId="icon-notehistory">
    <w:name w:val="icon-notehistory"/>
    <w:basedOn w:val="Normal"/>
    <w:rsid w:val="00F124F2"/>
    <w:pPr>
      <w:spacing w:before="100" w:beforeAutospacing="1" w:after="100" w:afterAutospacing="1"/>
    </w:pPr>
    <w:rPr>
      <w:rFonts w:ascii="Times New Roman" w:hAnsi="Times New Roman"/>
      <w:sz w:val="24"/>
    </w:rPr>
  </w:style>
  <w:style w:type="paragraph" w:customStyle="1" w:styleId="icon-deletenote">
    <w:name w:val="icon-deletenote"/>
    <w:basedOn w:val="Normal"/>
    <w:rsid w:val="00F124F2"/>
    <w:pPr>
      <w:spacing w:before="100" w:beforeAutospacing="1" w:after="100" w:afterAutospacing="1"/>
    </w:pPr>
    <w:rPr>
      <w:rFonts w:ascii="Times New Roman" w:hAnsi="Times New Roman"/>
      <w:sz w:val="24"/>
    </w:rPr>
  </w:style>
  <w:style w:type="paragraph" w:customStyle="1" w:styleId="print-link">
    <w:name w:val="print-link"/>
    <w:basedOn w:val="Normal"/>
    <w:rsid w:val="00F124F2"/>
    <w:pPr>
      <w:spacing w:before="100" w:beforeAutospacing="1" w:after="100" w:afterAutospacing="1"/>
    </w:pPr>
    <w:rPr>
      <w:rFonts w:ascii="Times New Roman" w:hAnsi="Times New Roman"/>
      <w:vanish/>
      <w:sz w:val="24"/>
    </w:rPr>
  </w:style>
  <w:style w:type="paragraph" w:customStyle="1" w:styleId="commenthistprev">
    <w:name w:val="commenthistprev"/>
    <w:basedOn w:val="Normal"/>
    <w:rsid w:val="00F124F2"/>
    <w:pPr>
      <w:spacing w:before="100" w:beforeAutospacing="1"/>
    </w:pPr>
    <w:rPr>
      <w:rFonts w:ascii="Times New Roman" w:hAnsi="Times New Roman"/>
      <w:sz w:val="24"/>
    </w:rPr>
  </w:style>
  <w:style w:type="paragraph" w:customStyle="1" w:styleId="commenttitletimer">
    <w:name w:val="commenttitletimer"/>
    <w:basedOn w:val="Normal"/>
    <w:rsid w:val="00F124F2"/>
    <w:pPr>
      <w:ind w:left="135"/>
    </w:pPr>
    <w:rPr>
      <w:rFonts w:ascii="Times New Roman" w:hAnsi="Times New Roman"/>
      <w:sz w:val="24"/>
    </w:rPr>
  </w:style>
  <w:style w:type="paragraph" w:customStyle="1" w:styleId="commenteditorwrapper">
    <w:name w:val="commenteditorwrapper"/>
    <w:basedOn w:val="Normal"/>
    <w:rsid w:val="00F124F2"/>
    <w:pPr>
      <w:shd w:val="clear" w:color="auto" w:fill="D7E5D5"/>
      <w:spacing w:before="100" w:beforeAutospacing="1" w:after="100" w:afterAutospacing="1"/>
    </w:pPr>
    <w:rPr>
      <w:rFonts w:ascii="Times New Roman" w:hAnsi="Times New Roman"/>
      <w:sz w:val="24"/>
    </w:rPr>
  </w:style>
  <w:style w:type="paragraph" w:customStyle="1" w:styleId="commentbodywrapper">
    <w:name w:val="commentbodywrapper"/>
    <w:basedOn w:val="Normal"/>
    <w:rsid w:val="00F124F2"/>
    <w:pPr>
      <w:shd w:val="clear" w:color="auto" w:fill="D7E5D5"/>
      <w:spacing w:before="100" w:beforeAutospacing="1" w:after="100" w:afterAutospacing="1"/>
    </w:pPr>
    <w:rPr>
      <w:rFonts w:ascii="Times New Roman" w:hAnsi="Times New Roman"/>
      <w:sz w:val="24"/>
    </w:rPr>
  </w:style>
  <w:style w:type="paragraph" w:customStyle="1" w:styleId="commenttitle">
    <w:name w:val="commenttitle"/>
    <w:basedOn w:val="Normal"/>
    <w:rsid w:val="00F124F2"/>
    <w:pPr>
      <w:shd w:val="clear" w:color="auto" w:fill="D7E5D5"/>
      <w:spacing w:before="100" w:beforeAutospacing="1" w:after="100" w:afterAutospacing="1"/>
    </w:pPr>
    <w:rPr>
      <w:rFonts w:ascii="Times New Roman" w:hAnsi="Times New Roman"/>
      <w:sz w:val="24"/>
    </w:rPr>
  </w:style>
  <w:style w:type="paragraph" w:customStyle="1" w:styleId="commenttitlelogo">
    <w:name w:val="commenttitlelogo"/>
    <w:basedOn w:val="Normal"/>
    <w:rsid w:val="00F124F2"/>
    <w:pPr>
      <w:spacing w:before="100" w:beforeAutospacing="1" w:after="100" w:afterAutospacing="1"/>
    </w:pPr>
    <w:rPr>
      <w:rFonts w:ascii="Times New Roman" w:hAnsi="Times New Roman"/>
      <w:sz w:val="24"/>
    </w:rPr>
  </w:style>
  <w:style w:type="paragraph" w:customStyle="1" w:styleId="commenttitlelastedit">
    <w:name w:val="commenttitlelastedit"/>
    <w:basedOn w:val="Normal"/>
    <w:rsid w:val="00F124F2"/>
    <w:pPr>
      <w:spacing w:before="100" w:beforeAutospacing="1" w:after="100" w:afterAutospacing="1"/>
      <w:ind w:left="135"/>
    </w:pPr>
    <w:rPr>
      <w:rFonts w:ascii="Times New Roman" w:hAnsi="Times New Roman"/>
      <w:sz w:val="24"/>
    </w:rPr>
  </w:style>
  <w:style w:type="paragraph" w:customStyle="1" w:styleId="commentfooter">
    <w:name w:val="commentfooter"/>
    <w:basedOn w:val="Normal"/>
    <w:rsid w:val="00F124F2"/>
    <w:pPr>
      <w:spacing w:before="100" w:beforeAutospacing="1" w:after="100" w:afterAutospacing="1"/>
      <w:ind w:left="135"/>
    </w:pPr>
    <w:rPr>
      <w:rFonts w:ascii="Times New Roman" w:hAnsi="Times New Roman"/>
      <w:sz w:val="24"/>
    </w:rPr>
  </w:style>
  <w:style w:type="paragraph" w:customStyle="1" w:styleId="askplc-join-discussion-contact">
    <w:name w:val="askplc-join-discussion-contact"/>
    <w:basedOn w:val="Normal"/>
    <w:rsid w:val="00F124F2"/>
    <w:pPr>
      <w:pBdr>
        <w:top w:val="dotted" w:sz="6" w:space="0" w:color="BABABA"/>
        <w:left w:val="dotted" w:sz="6" w:space="0" w:color="BABABA"/>
        <w:bottom w:val="dotted" w:sz="6" w:space="0" w:color="BABABA"/>
        <w:right w:val="dotted" w:sz="6" w:space="0" w:color="BABABA"/>
      </w:pBdr>
      <w:shd w:val="clear" w:color="auto" w:fill="F8F8F8"/>
      <w:spacing w:before="100" w:beforeAutospacing="1" w:after="100" w:afterAutospacing="1"/>
    </w:pPr>
    <w:rPr>
      <w:rFonts w:ascii="Times New Roman" w:hAnsi="Times New Roman"/>
      <w:sz w:val="24"/>
    </w:rPr>
  </w:style>
  <w:style w:type="paragraph" w:customStyle="1" w:styleId="mceeditor">
    <w:name w:val="mceeditor"/>
    <w:basedOn w:val="Normal"/>
    <w:rsid w:val="00F124F2"/>
    <w:pPr>
      <w:spacing w:before="100" w:beforeAutospacing="1" w:after="100" w:afterAutospacing="1"/>
    </w:pPr>
    <w:rPr>
      <w:rFonts w:ascii="Times New Roman" w:hAnsi="Times New Roman"/>
      <w:sz w:val="24"/>
    </w:rPr>
  </w:style>
  <w:style w:type="paragraph" w:customStyle="1" w:styleId="mceeditoriframe">
    <w:name w:val="mceeditoriframe"/>
    <w:basedOn w:val="Normal"/>
    <w:rsid w:val="00F124F2"/>
    <w:pPr>
      <w:spacing w:before="100" w:beforeAutospacing="1" w:after="100" w:afterAutospacing="1"/>
    </w:pPr>
    <w:rPr>
      <w:rFonts w:ascii="Times New Roman" w:hAnsi="Times New Roman"/>
      <w:sz w:val="24"/>
    </w:rPr>
  </w:style>
  <w:style w:type="paragraph" w:customStyle="1" w:styleId="csrightalignedcontent">
    <w:name w:val="cs_rightalignedcontent"/>
    <w:basedOn w:val="Normal"/>
    <w:rsid w:val="00F124F2"/>
    <w:pPr>
      <w:pBdr>
        <w:top w:val="single" w:sz="6" w:space="0" w:color="BABABA"/>
        <w:left w:val="single" w:sz="6" w:space="0" w:color="BABABA"/>
        <w:bottom w:val="single" w:sz="6" w:space="0" w:color="BABABA"/>
        <w:right w:val="single" w:sz="6" w:space="0" w:color="BABABA"/>
      </w:pBdr>
      <w:shd w:val="clear" w:color="auto" w:fill="F8F8F8"/>
      <w:spacing w:before="100" w:beforeAutospacing="1" w:after="100" w:afterAutospacing="1"/>
    </w:pPr>
    <w:rPr>
      <w:rFonts w:ascii="Times New Roman" w:hAnsi="Times New Roman"/>
      <w:sz w:val="24"/>
    </w:rPr>
  </w:style>
  <w:style w:type="paragraph" w:customStyle="1" w:styleId="csleftalignedcontent">
    <w:name w:val="cs_leftalignedcontent"/>
    <w:basedOn w:val="Normal"/>
    <w:rsid w:val="00F124F2"/>
    <w:pPr>
      <w:spacing w:before="100" w:beforeAutospacing="1" w:after="100" w:afterAutospacing="1"/>
    </w:pPr>
    <w:rPr>
      <w:rFonts w:ascii="Times New Roman" w:hAnsi="Times New Roman"/>
      <w:sz w:val="24"/>
    </w:rPr>
  </w:style>
  <w:style w:type="paragraph" w:customStyle="1" w:styleId="ext-el-mask">
    <w:name w:val="ext-el-mask"/>
    <w:basedOn w:val="Normal"/>
    <w:rsid w:val="00F124F2"/>
    <w:pPr>
      <w:spacing w:before="100" w:beforeAutospacing="1" w:after="100" w:afterAutospacing="1"/>
    </w:pPr>
    <w:rPr>
      <w:rFonts w:ascii="Times New Roman" w:hAnsi="Times New Roman"/>
      <w:sz w:val="24"/>
    </w:rPr>
  </w:style>
  <w:style w:type="paragraph" w:customStyle="1" w:styleId="boxintro">
    <w:name w:val="boxintro"/>
    <w:basedOn w:val="Normal"/>
    <w:rsid w:val="00F124F2"/>
    <w:pPr>
      <w:spacing w:before="100" w:beforeAutospacing="1" w:after="100" w:afterAutospacing="1"/>
    </w:pPr>
    <w:rPr>
      <w:rFonts w:ascii="Times New Roman" w:hAnsi="Times New Roman"/>
      <w:sz w:val="24"/>
    </w:rPr>
  </w:style>
  <w:style w:type="paragraph" w:customStyle="1" w:styleId="x-grid3-hd-over">
    <w:name w:val="x-grid3-hd-over"/>
    <w:basedOn w:val="Normal"/>
    <w:rsid w:val="00F124F2"/>
    <w:pPr>
      <w:spacing w:before="100" w:beforeAutospacing="1" w:after="100" w:afterAutospacing="1"/>
    </w:pPr>
    <w:rPr>
      <w:rFonts w:ascii="Times New Roman" w:hAnsi="Times New Roman"/>
      <w:sz w:val="24"/>
    </w:rPr>
  </w:style>
  <w:style w:type="paragraph" w:customStyle="1" w:styleId="x-panel-icon">
    <w:name w:val="x-panel-icon"/>
    <w:basedOn w:val="Normal"/>
    <w:rsid w:val="00F124F2"/>
    <w:pPr>
      <w:spacing w:before="100" w:beforeAutospacing="1" w:after="100" w:afterAutospacing="1"/>
    </w:pPr>
    <w:rPr>
      <w:rFonts w:ascii="Times New Roman" w:hAnsi="Times New Roman"/>
      <w:sz w:val="24"/>
    </w:rPr>
  </w:style>
  <w:style w:type="character" w:customStyle="1" w:styleId="glossary-index1">
    <w:name w:val="glossary-index1"/>
    <w:basedOn w:val="DefaultParagraphFont"/>
    <w:rsid w:val="00F124F2"/>
    <w:rPr>
      <w:b/>
      <w:bCs/>
      <w:color w:val="FFFFFF"/>
      <w:shd w:val="clear" w:color="auto" w:fill="FF9100"/>
    </w:rPr>
  </w:style>
  <w:style w:type="character" w:customStyle="1" w:styleId="new-small">
    <w:name w:val="new-small"/>
    <w:basedOn w:val="DefaultParagraphFont"/>
    <w:rsid w:val="00F124F2"/>
    <w:rPr>
      <w:color w:val="FFFFFF"/>
      <w:sz w:val="17"/>
      <w:szCs w:val="17"/>
      <w:shd w:val="clear" w:color="auto" w:fill="78A22F"/>
    </w:rPr>
  </w:style>
  <w:style w:type="character" w:customStyle="1" w:styleId="dnote-display-show">
    <w:name w:val="dnote-display-show"/>
    <w:basedOn w:val="DefaultParagraphFont"/>
    <w:rsid w:val="00F124F2"/>
    <w:rPr>
      <w:vanish/>
      <w:webHidden w:val="0"/>
      <w:specVanish w:val="0"/>
    </w:rPr>
  </w:style>
  <w:style w:type="character" w:customStyle="1" w:styleId="indentspacer">
    <w:name w:val="indentspacer"/>
    <w:basedOn w:val="DefaultParagraphFont"/>
    <w:rsid w:val="00F124F2"/>
  </w:style>
  <w:style w:type="character" w:customStyle="1" w:styleId="value">
    <w:name w:val="value"/>
    <w:basedOn w:val="DefaultParagraphFont"/>
    <w:rsid w:val="00F124F2"/>
    <w:rPr>
      <w:b/>
      <w:bCs/>
      <w:color w:val="387C2B"/>
      <w:sz w:val="18"/>
      <w:szCs w:val="18"/>
    </w:rPr>
  </w:style>
  <w:style w:type="character" w:customStyle="1" w:styleId="Date1">
    <w:name w:val="Date1"/>
    <w:basedOn w:val="DefaultParagraphFont"/>
    <w:rsid w:val="00F124F2"/>
    <w:rPr>
      <w:color w:val="666666"/>
      <w:sz w:val="18"/>
      <w:szCs w:val="18"/>
    </w:rPr>
  </w:style>
  <w:style w:type="character" w:customStyle="1" w:styleId="msg-error">
    <w:name w:val="msg-error"/>
    <w:basedOn w:val="DefaultParagraphFont"/>
    <w:rsid w:val="00F124F2"/>
    <w:rPr>
      <w:b/>
      <w:bCs/>
      <w:color w:val="FFFFFF"/>
      <w:shd w:val="clear" w:color="auto" w:fill="A00000"/>
    </w:rPr>
  </w:style>
  <w:style w:type="character" w:customStyle="1" w:styleId="login-msg-error">
    <w:name w:val="login-msg-error"/>
    <w:basedOn w:val="DefaultParagraphFont"/>
    <w:rsid w:val="00F124F2"/>
    <w:rPr>
      <w:color w:val="FFFFFF"/>
      <w:shd w:val="clear" w:color="auto" w:fill="A00000"/>
    </w:rPr>
  </w:style>
  <w:style w:type="character" w:customStyle="1" w:styleId="msg-success">
    <w:name w:val="msg-success"/>
    <w:basedOn w:val="DefaultParagraphFont"/>
    <w:rsid w:val="00F124F2"/>
    <w:rPr>
      <w:b/>
      <w:bCs/>
      <w:color w:val="264409"/>
      <w:shd w:val="clear" w:color="auto" w:fill="E6EFC2"/>
    </w:rPr>
  </w:style>
  <w:style w:type="character" w:customStyle="1" w:styleId="maintained1">
    <w:name w:val="maintained1"/>
    <w:basedOn w:val="DefaultParagraphFont"/>
    <w:rsid w:val="00F124F2"/>
    <w:rPr>
      <w:color w:val="387C2B"/>
    </w:rPr>
  </w:style>
  <w:style w:type="character" w:customStyle="1" w:styleId="top-of-page">
    <w:name w:val="top-of-page"/>
    <w:basedOn w:val="DefaultParagraphFont"/>
    <w:rsid w:val="00F124F2"/>
    <w:rPr>
      <w:vanish w:val="0"/>
      <w:webHidden w:val="0"/>
      <w:sz w:val="18"/>
      <w:szCs w:val="18"/>
      <w:specVanish w:val="0"/>
    </w:rPr>
  </w:style>
  <w:style w:type="character" w:customStyle="1" w:styleId="eu-flag">
    <w:name w:val="eu-flag"/>
    <w:basedOn w:val="DefaultParagraphFont"/>
    <w:rsid w:val="00F124F2"/>
  </w:style>
  <w:style w:type="character" w:customStyle="1" w:styleId="uk-flag">
    <w:name w:val="uk-flag"/>
    <w:basedOn w:val="DefaultParagraphFont"/>
    <w:rsid w:val="00F124F2"/>
  </w:style>
  <w:style w:type="character" w:customStyle="1" w:styleId="mjg-flag">
    <w:name w:val="mjg-flag"/>
    <w:basedOn w:val="DefaultParagraphFont"/>
    <w:rsid w:val="00F124F2"/>
  </w:style>
  <w:style w:type="character" w:customStyle="1" w:styleId="new-big">
    <w:name w:val="new-big"/>
    <w:basedOn w:val="DefaultParagraphFont"/>
    <w:rsid w:val="00F124F2"/>
  </w:style>
  <w:style w:type="character" w:customStyle="1" w:styleId="pg-selected">
    <w:name w:val="pg-selected"/>
    <w:basedOn w:val="DefaultParagraphFont"/>
    <w:rsid w:val="00F124F2"/>
  </w:style>
  <w:style w:type="character" w:customStyle="1" w:styleId="fullnotetitle">
    <w:name w:val="fullnotetitle"/>
    <w:basedOn w:val="DefaultParagraphFont"/>
    <w:rsid w:val="00F124F2"/>
  </w:style>
  <w:style w:type="character" w:customStyle="1" w:styleId="hiddennotetext1">
    <w:name w:val="hiddennotetext1"/>
    <w:basedOn w:val="DefaultParagraphFont"/>
    <w:rsid w:val="00F124F2"/>
    <w:rPr>
      <w:vanish/>
      <w:webHidden w:val="0"/>
      <w:specVanish w:val="0"/>
    </w:rPr>
  </w:style>
  <w:style w:type="character" w:customStyle="1" w:styleId="generic-dynamic-listing-meta-display1">
    <w:name w:val="generic-dynamic-listing-meta-display1"/>
    <w:basedOn w:val="DefaultParagraphFont"/>
    <w:rsid w:val="00F124F2"/>
    <w:rPr>
      <w:color w:val="666666"/>
      <w:sz w:val="22"/>
      <w:szCs w:val="22"/>
    </w:rPr>
  </w:style>
  <w:style w:type="character" w:customStyle="1" w:styleId="meta-tool-item-hidden">
    <w:name w:val="meta-tool-item-hidden"/>
    <w:basedOn w:val="DefaultParagraphFont"/>
    <w:rsid w:val="00F124F2"/>
  </w:style>
  <w:style w:type="character" w:customStyle="1" w:styleId="hilite1">
    <w:name w:val="hilite1"/>
    <w:basedOn w:val="DefaultParagraphFont"/>
    <w:rsid w:val="00F124F2"/>
  </w:style>
  <w:style w:type="character" w:customStyle="1" w:styleId="active1">
    <w:name w:val="active1"/>
    <w:basedOn w:val="DefaultParagraphFont"/>
    <w:rsid w:val="00F124F2"/>
  </w:style>
  <w:style w:type="character" w:customStyle="1" w:styleId="plc-orangetext1">
    <w:name w:val="plc-orangetext1"/>
    <w:basedOn w:val="DefaultParagraphFont"/>
    <w:rsid w:val="00F124F2"/>
    <w:rPr>
      <w:color w:val="FF9100"/>
    </w:rPr>
  </w:style>
  <w:style w:type="character" w:customStyle="1" w:styleId="selected">
    <w:name w:val="selected"/>
    <w:basedOn w:val="DefaultParagraphFont"/>
    <w:rsid w:val="00F124F2"/>
  </w:style>
  <w:style w:type="character" w:customStyle="1" w:styleId="i">
    <w:name w:val="i"/>
    <w:basedOn w:val="DefaultParagraphFont"/>
    <w:rsid w:val="00F124F2"/>
  </w:style>
  <w:style w:type="character" w:customStyle="1" w:styleId="not-maintained1">
    <w:name w:val="not-maintained1"/>
    <w:basedOn w:val="DefaultParagraphFont"/>
    <w:rsid w:val="00F124F2"/>
    <w:rPr>
      <w:color w:val="A00000"/>
    </w:rPr>
  </w:style>
  <w:style w:type="paragraph" w:customStyle="1" w:styleId="strong10">
    <w:name w:val="strong1"/>
    <w:basedOn w:val="Normal"/>
    <w:rsid w:val="00F124F2"/>
    <w:pPr>
      <w:spacing w:before="100" w:beforeAutospacing="1" w:after="100" w:afterAutospacing="1"/>
    </w:pPr>
    <w:rPr>
      <w:rFonts w:ascii="Times New Roman" w:hAnsi="Times New Roman"/>
      <w:b/>
      <w:bCs/>
      <w:color w:val="212121"/>
      <w:sz w:val="24"/>
    </w:rPr>
  </w:style>
  <w:style w:type="paragraph" w:customStyle="1" w:styleId="strong2">
    <w:name w:val="strong2"/>
    <w:basedOn w:val="Normal"/>
    <w:rsid w:val="00F124F2"/>
    <w:pPr>
      <w:spacing w:before="100" w:beforeAutospacing="1" w:after="100" w:afterAutospacing="1"/>
    </w:pPr>
    <w:rPr>
      <w:rFonts w:ascii="Times New Roman" w:hAnsi="Times New Roman"/>
      <w:b/>
      <w:bCs/>
      <w:color w:val="212121"/>
      <w:sz w:val="24"/>
    </w:rPr>
  </w:style>
  <w:style w:type="paragraph" w:customStyle="1" w:styleId="nametrial1">
    <w:name w:val="nametrial1"/>
    <w:basedOn w:val="Normal"/>
    <w:rsid w:val="00F124F2"/>
    <w:pPr>
      <w:spacing w:before="100" w:beforeAutospacing="1" w:after="100" w:afterAutospacing="1"/>
    </w:pPr>
    <w:rPr>
      <w:rFonts w:ascii="Times New Roman" w:hAnsi="Times New Roman"/>
      <w:sz w:val="24"/>
    </w:rPr>
  </w:style>
  <w:style w:type="character" w:customStyle="1" w:styleId="generic-dynamic-listing-meta-display2">
    <w:name w:val="generic-dynamic-listing-meta-display2"/>
    <w:basedOn w:val="DefaultParagraphFont"/>
    <w:rsid w:val="00F124F2"/>
    <w:rPr>
      <w:b w:val="0"/>
      <w:bCs w:val="0"/>
      <w:vanish/>
      <w:webHidden w:val="0"/>
      <w:color w:val="FFFFFF"/>
      <w:sz w:val="23"/>
      <w:szCs w:val="23"/>
      <w:shd w:val="clear" w:color="auto" w:fill="005A84"/>
      <w:specVanish w:val="0"/>
    </w:rPr>
  </w:style>
  <w:style w:type="paragraph" w:customStyle="1" w:styleId="page1">
    <w:name w:val="page1"/>
    <w:basedOn w:val="Normal"/>
    <w:rsid w:val="00F124F2"/>
    <w:rPr>
      <w:rFonts w:ascii="Times New Roman" w:hAnsi="Times New Roman"/>
      <w:sz w:val="24"/>
    </w:rPr>
  </w:style>
  <w:style w:type="paragraph" w:customStyle="1" w:styleId="headermargin1">
    <w:name w:val="header_margin1"/>
    <w:basedOn w:val="Normal"/>
    <w:rsid w:val="00F124F2"/>
    <w:pPr>
      <w:shd w:val="clear" w:color="auto" w:fill="FFFFFF"/>
    </w:pPr>
    <w:rPr>
      <w:rFonts w:ascii="Times New Roman" w:hAnsi="Times New Roman"/>
      <w:sz w:val="24"/>
    </w:rPr>
  </w:style>
  <w:style w:type="paragraph" w:customStyle="1" w:styleId="event-main-call1">
    <w:name w:val="event-main-call1"/>
    <w:basedOn w:val="Normal"/>
    <w:rsid w:val="00F124F2"/>
    <w:pPr>
      <w:pBdr>
        <w:top w:val="single" w:sz="2" w:space="0" w:color="BABABA"/>
        <w:left w:val="single" w:sz="2" w:space="0" w:color="BABABA"/>
        <w:bottom w:val="single" w:sz="2" w:space="0" w:color="BABABA"/>
        <w:right w:val="single" w:sz="2" w:space="0" w:color="BABABA"/>
      </w:pBdr>
      <w:spacing w:before="100" w:beforeAutospacing="1" w:after="100" w:afterAutospacing="1"/>
      <w:jc w:val="center"/>
    </w:pPr>
    <w:rPr>
      <w:rFonts w:ascii="Times New Roman" w:hAnsi="Times New Roman"/>
      <w:sz w:val="24"/>
    </w:rPr>
  </w:style>
  <w:style w:type="paragraph" w:customStyle="1" w:styleId="x-btn-wrap1">
    <w:name w:val="x-btn-wrap1"/>
    <w:basedOn w:val="Normal"/>
    <w:rsid w:val="00F124F2"/>
    <w:pPr>
      <w:spacing w:before="75"/>
      <w:ind w:left="75"/>
    </w:pPr>
    <w:rPr>
      <w:rFonts w:ascii="Times New Roman" w:hAnsi="Times New Roman"/>
      <w:sz w:val="24"/>
    </w:rPr>
  </w:style>
  <w:style w:type="paragraph" w:customStyle="1" w:styleId="x-btn-text1">
    <w:name w:val="x-btn-text1"/>
    <w:basedOn w:val="Normal"/>
    <w:rsid w:val="00F124F2"/>
    <w:pPr>
      <w:spacing w:before="100" w:beforeAutospacing="1" w:after="100" w:afterAutospacing="1"/>
    </w:pPr>
    <w:rPr>
      <w:rFonts w:ascii="Times New Roman" w:hAnsi="Times New Roman"/>
      <w:b/>
      <w:bCs/>
      <w:color w:val="333366"/>
      <w:sz w:val="18"/>
      <w:szCs w:val="18"/>
    </w:rPr>
  </w:style>
  <w:style w:type="paragraph" w:customStyle="1" w:styleId="meta-tool-item-content1">
    <w:name w:val="meta-tool-item-content1"/>
    <w:basedOn w:val="Normal"/>
    <w:rsid w:val="00F124F2"/>
    <w:pPr>
      <w:spacing w:before="100" w:beforeAutospacing="1" w:after="100" w:afterAutospacing="1"/>
    </w:pPr>
    <w:rPr>
      <w:rFonts w:ascii="Times New Roman" w:hAnsi="Times New Roman"/>
      <w:sz w:val="24"/>
    </w:rPr>
  </w:style>
  <w:style w:type="character" w:customStyle="1" w:styleId="meta-tool-item-hidden1">
    <w:name w:val="meta-tool-item-hidden1"/>
    <w:basedOn w:val="DefaultParagraphFont"/>
    <w:rsid w:val="00F124F2"/>
    <w:rPr>
      <w:vanish/>
      <w:webHidden w:val="0"/>
      <w:specVanish w:val="0"/>
    </w:rPr>
  </w:style>
  <w:style w:type="character" w:customStyle="1" w:styleId="meta-tool-item-hidden2">
    <w:name w:val="meta-tool-item-hidden2"/>
    <w:basedOn w:val="DefaultParagraphFont"/>
    <w:rsid w:val="00F124F2"/>
    <w:rPr>
      <w:vanish w:val="0"/>
      <w:webHidden w:val="0"/>
      <w:specVanish w:val="0"/>
    </w:rPr>
  </w:style>
  <w:style w:type="paragraph" w:customStyle="1" w:styleId="resource-metadata1">
    <w:name w:val="resource-metadata1"/>
    <w:basedOn w:val="Normal"/>
    <w:rsid w:val="00F124F2"/>
    <w:pPr>
      <w:pBdr>
        <w:right w:val="single" w:sz="2" w:space="0" w:color="BABABA"/>
      </w:pBdr>
      <w:spacing w:before="100" w:beforeAutospacing="1" w:after="100" w:afterAutospacing="1"/>
      <w:ind w:right="135"/>
    </w:pPr>
    <w:rPr>
      <w:rFonts w:ascii="Times New Roman" w:hAnsi="Times New Roman"/>
      <w:b/>
      <w:bCs/>
      <w:color w:val="666666"/>
      <w:sz w:val="20"/>
      <w:szCs w:val="20"/>
    </w:rPr>
  </w:style>
  <w:style w:type="paragraph" w:customStyle="1" w:styleId="button1">
    <w:name w:val="button1"/>
    <w:basedOn w:val="Normal"/>
    <w:rsid w:val="00F124F2"/>
    <w:pPr>
      <w:spacing w:before="100" w:beforeAutospacing="1" w:after="100" w:afterAutospacing="1" w:line="450" w:lineRule="atLeast"/>
      <w:jc w:val="center"/>
    </w:pPr>
    <w:rPr>
      <w:rFonts w:ascii="Times New Roman" w:hAnsi="Times New Roman"/>
      <w:sz w:val="24"/>
    </w:rPr>
  </w:style>
  <w:style w:type="paragraph" w:customStyle="1" w:styleId="results-section-header1">
    <w:name w:val="results-section-header1"/>
    <w:basedOn w:val="Normal"/>
    <w:rsid w:val="00F124F2"/>
    <w:pPr>
      <w:spacing w:before="100" w:beforeAutospacing="1" w:after="135"/>
    </w:pPr>
    <w:rPr>
      <w:rFonts w:ascii="Times New Roman" w:hAnsi="Times New Roman"/>
      <w:sz w:val="21"/>
      <w:szCs w:val="21"/>
    </w:rPr>
  </w:style>
  <w:style w:type="paragraph" w:customStyle="1" w:styleId="advanced-search-input1">
    <w:name w:val="advanced-search-input1"/>
    <w:basedOn w:val="Normal"/>
    <w:rsid w:val="00F124F2"/>
    <w:pPr>
      <w:spacing w:before="100" w:beforeAutospacing="1" w:after="135"/>
    </w:pPr>
    <w:rPr>
      <w:rFonts w:ascii="Times New Roman" w:hAnsi="Times New Roman"/>
      <w:sz w:val="24"/>
    </w:rPr>
  </w:style>
  <w:style w:type="paragraph" w:customStyle="1" w:styleId="advanced-search-input-label1">
    <w:name w:val="advanced-search-input-label1"/>
    <w:basedOn w:val="Normal"/>
    <w:rsid w:val="00F124F2"/>
    <w:pPr>
      <w:spacing w:before="100" w:beforeAutospacing="1" w:after="100" w:afterAutospacing="1"/>
    </w:pPr>
    <w:rPr>
      <w:rFonts w:ascii="Times New Roman" w:hAnsi="Times New Roman"/>
      <w:sz w:val="24"/>
    </w:rPr>
  </w:style>
  <w:style w:type="paragraph" w:customStyle="1" w:styleId="glossary-item-link1">
    <w:name w:val="glossary-item-link1"/>
    <w:basedOn w:val="Normal"/>
    <w:rsid w:val="00F124F2"/>
    <w:pPr>
      <w:spacing w:before="100" w:beforeAutospacing="1" w:after="100" w:afterAutospacing="1"/>
    </w:pPr>
    <w:rPr>
      <w:rFonts w:ascii="Times New Roman" w:hAnsi="Times New Roman"/>
      <w:sz w:val="24"/>
    </w:rPr>
  </w:style>
  <w:style w:type="paragraph" w:customStyle="1" w:styleId="glossary-item-abstract1">
    <w:name w:val="glossary-item-abstract1"/>
    <w:basedOn w:val="Normal"/>
    <w:rsid w:val="00F124F2"/>
    <w:pPr>
      <w:pBdr>
        <w:top w:val="dotted" w:sz="6" w:space="7" w:color="BABABA"/>
      </w:pBdr>
      <w:spacing w:before="60" w:after="100" w:afterAutospacing="1"/>
    </w:pPr>
    <w:rPr>
      <w:rFonts w:ascii="Times New Roman" w:hAnsi="Times New Roman"/>
      <w:sz w:val="24"/>
    </w:rPr>
  </w:style>
  <w:style w:type="paragraph" w:customStyle="1" w:styleId="page2">
    <w:name w:val="page2"/>
    <w:basedOn w:val="Normal"/>
    <w:rsid w:val="00F124F2"/>
    <w:rPr>
      <w:rFonts w:ascii="Times New Roman" w:hAnsi="Times New Roman"/>
      <w:sz w:val="24"/>
    </w:rPr>
  </w:style>
  <w:style w:type="paragraph" w:customStyle="1" w:styleId="dialogshade1">
    <w:name w:val="dialogshade1"/>
    <w:basedOn w:val="Normal"/>
    <w:rsid w:val="00F124F2"/>
    <w:pPr>
      <w:shd w:val="clear" w:color="auto" w:fill="F8F8F8"/>
      <w:spacing w:before="100" w:beforeAutospacing="1" w:after="100" w:afterAutospacing="1"/>
    </w:pPr>
    <w:rPr>
      <w:rFonts w:ascii="Times New Roman" w:hAnsi="Times New Roman"/>
      <w:sz w:val="24"/>
    </w:rPr>
  </w:style>
  <w:style w:type="paragraph" w:customStyle="1" w:styleId="dialogtitlebar1">
    <w:name w:val="dialogtitlebar1"/>
    <w:basedOn w:val="Normal"/>
    <w:rsid w:val="00F124F2"/>
    <w:pPr>
      <w:spacing w:before="100" w:beforeAutospacing="1" w:after="100" w:afterAutospacing="1"/>
    </w:pPr>
    <w:rPr>
      <w:rFonts w:ascii="Times New Roman" w:hAnsi="Times New Roman"/>
      <w:color w:val="FFFFFF"/>
      <w:sz w:val="15"/>
      <w:szCs w:val="15"/>
    </w:rPr>
  </w:style>
  <w:style w:type="paragraph" w:customStyle="1" w:styleId="dialogbtnclose1">
    <w:name w:val="dialogbtnclose1"/>
    <w:basedOn w:val="Normal"/>
    <w:rsid w:val="00F124F2"/>
    <w:pPr>
      <w:pBdr>
        <w:top w:val="single" w:sz="2" w:space="0" w:color="auto"/>
        <w:left w:val="single" w:sz="2" w:space="0" w:color="auto"/>
        <w:bottom w:val="single" w:sz="2" w:space="0" w:color="auto"/>
        <w:right w:val="single" w:sz="2" w:space="0" w:color="auto"/>
      </w:pBdr>
      <w:shd w:val="clear" w:color="auto" w:fill="006699"/>
      <w:spacing w:line="480" w:lineRule="auto"/>
      <w:jc w:val="center"/>
    </w:pPr>
    <w:rPr>
      <w:rFonts w:ascii="Times New Roman" w:hAnsi="Times New Roman"/>
      <w:b/>
      <w:bCs/>
      <w:color w:val="FFFFFF"/>
      <w:sz w:val="18"/>
      <w:szCs w:val="18"/>
    </w:rPr>
  </w:style>
  <w:style w:type="paragraph" w:customStyle="1" w:styleId="dialogcontent1">
    <w:name w:val="dialogcontent1"/>
    <w:basedOn w:val="Normal"/>
    <w:rsid w:val="00F124F2"/>
    <w:pPr>
      <w:pBdr>
        <w:top w:val="single" w:sz="6" w:space="12" w:color="BABABA"/>
        <w:left w:val="single" w:sz="6" w:space="12" w:color="BABABA"/>
        <w:bottom w:val="single" w:sz="6" w:space="12" w:color="BABABA"/>
        <w:right w:val="single" w:sz="6" w:space="12" w:color="BABABA"/>
      </w:pBdr>
      <w:shd w:val="clear" w:color="auto" w:fill="FFFFFF"/>
      <w:spacing w:before="150" w:after="150"/>
      <w:ind w:left="150" w:right="150"/>
    </w:pPr>
    <w:rPr>
      <w:rFonts w:ascii="Times New Roman" w:hAnsi="Times New Roman"/>
      <w:color w:val="212121"/>
      <w:sz w:val="24"/>
    </w:rPr>
  </w:style>
  <w:style w:type="paragraph" w:customStyle="1" w:styleId="dialoginnercontent1">
    <w:name w:val="dialoginnercontent1"/>
    <w:basedOn w:val="Normal"/>
    <w:rsid w:val="00F124F2"/>
    <w:pPr>
      <w:spacing w:before="100" w:beforeAutospacing="1" w:after="100" w:afterAutospacing="1"/>
    </w:pPr>
    <w:rPr>
      <w:rFonts w:ascii="Times New Roman" w:hAnsi="Times New Roman"/>
      <w:sz w:val="24"/>
    </w:rPr>
  </w:style>
  <w:style w:type="paragraph" w:customStyle="1" w:styleId="popup-header1">
    <w:name w:val="popup-header1"/>
    <w:basedOn w:val="Normal"/>
    <w:rsid w:val="00F124F2"/>
    <w:pPr>
      <w:shd w:val="clear" w:color="auto" w:fill="005A84"/>
      <w:spacing w:before="100" w:beforeAutospacing="1" w:after="100" w:afterAutospacing="1"/>
    </w:pPr>
    <w:rPr>
      <w:rFonts w:ascii="Times New Roman" w:hAnsi="Times New Roman"/>
      <w:sz w:val="24"/>
    </w:rPr>
  </w:style>
  <w:style w:type="paragraph" w:customStyle="1" w:styleId="popup-header-logo1">
    <w:name w:val="popup-header-logo1"/>
    <w:basedOn w:val="Normal"/>
    <w:rsid w:val="00F124F2"/>
    <w:pPr>
      <w:ind w:left="270"/>
    </w:pPr>
    <w:rPr>
      <w:rFonts w:ascii="Times New Roman" w:hAnsi="Times New Roman"/>
      <w:sz w:val="24"/>
    </w:rPr>
  </w:style>
  <w:style w:type="paragraph" w:customStyle="1" w:styleId="popup-window-close1">
    <w:name w:val="popup-window-close1"/>
    <w:basedOn w:val="Normal"/>
    <w:rsid w:val="00F124F2"/>
    <w:pPr>
      <w:pBdr>
        <w:top w:val="single" w:sz="2" w:space="0" w:color="auto"/>
        <w:left w:val="single" w:sz="2" w:space="0" w:color="auto"/>
        <w:bottom w:val="single" w:sz="2" w:space="0" w:color="auto"/>
        <w:right w:val="single" w:sz="2" w:space="0" w:color="auto"/>
      </w:pBdr>
      <w:shd w:val="clear" w:color="auto" w:fill="006699"/>
      <w:spacing w:line="480" w:lineRule="auto"/>
      <w:jc w:val="center"/>
    </w:pPr>
    <w:rPr>
      <w:rFonts w:ascii="Times New Roman" w:hAnsi="Times New Roman"/>
      <w:b/>
      <w:bCs/>
      <w:color w:val="FFFFFF"/>
      <w:sz w:val="18"/>
      <w:szCs w:val="18"/>
    </w:rPr>
  </w:style>
  <w:style w:type="paragraph" w:customStyle="1" w:styleId="button2">
    <w:name w:val="button2"/>
    <w:basedOn w:val="Normal"/>
    <w:rsid w:val="00F124F2"/>
    <w:pPr>
      <w:spacing w:before="100" w:beforeAutospacing="1" w:after="100" w:afterAutospacing="1"/>
      <w:ind w:right="90"/>
    </w:pPr>
    <w:rPr>
      <w:rFonts w:ascii="Times New Roman" w:hAnsi="Times New Roman"/>
      <w:b/>
      <w:bCs/>
      <w:color w:val="FFFFFF"/>
      <w:sz w:val="24"/>
    </w:rPr>
  </w:style>
  <w:style w:type="character" w:customStyle="1" w:styleId="pg-selected1">
    <w:name w:val="pg-selected1"/>
    <w:basedOn w:val="DefaultParagraphFont"/>
    <w:rsid w:val="00F124F2"/>
    <w:rPr>
      <w:b/>
      <w:bCs/>
      <w:strike w:val="0"/>
      <w:dstrike w:val="0"/>
      <w:color w:val="FFFFFF"/>
      <w:u w:val="none"/>
      <w:effect w:val="none"/>
      <w:bdr w:val="single" w:sz="6" w:space="4" w:color="005A84" w:frame="1"/>
      <w:shd w:val="clear" w:color="auto" w:fill="005A84"/>
    </w:rPr>
  </w:style>
  <w:style w:type="paragraph" w:customStyle="1" w:styleId="statusbar1">
    <w:name w:val="statusbar1"/>
    <w:basedOn w:val="Normal"/>
    <w:rsid w:val="00F124F2"/>
    <w:pPr>
      <w:spacing w:before="100" w:beforeAutospacing="1" w:after="100" w:afterAutospacing="1"/>
      <w:jc w:val="center"/>
    </w:pPr>
    <w:rPr>
      <w:rFonts w:ascii="Times New Roman" w:hAnsi="Times New Roman"/>
      <w:sz w:val="24"/>
    </w:rPr>
  </w:style>
  <w:style w:type="paragraph" w:customStyle="1" w:styleId="statuses1">
    <w:name w:val="statuses1"/>
    <w:basedOn w:val="Normal"/>
    <w:rsid w:val="00F124F2"/>
    <w:pPr>
      <w:spacing w:before="100" w:beforeAutospacing="1" w:after="100" w:afterAutospacing="1"/>
    </w:pPr>
    <w:rPr>
      <w:rFonts w:ascii="Times New Roman" w:hAnsi="Times New Roman"/>
      <w:sz w:val="24"/>
    </w:rPr>
  </w:style>
  <w:style w:type="paragraph" w:customStyle="1" w:styleId="carouselstatus1">
    <w:name w:val="carouselstatus1"/>
    <w:basedOn w:val="Normal"/>
    <w:rsid w:val="00F124F2"/>
    <w:pPr>
      <w:shd w:val="clear" w:color="auto" w:fill="BABABA"/>
      <w:spacing w:before="135" w:after="60"/>
      <w:ind w:left="60" w:right="60"/>
    </w:pPr>
    <w:rPr>
      <w:rFonts w:ascii="Times New Roman" w:hAnsi="Times New Roman"/>
      <w:sz w:val="2"/>
      <w:szCs w:val="2"/>
    </w:rPr>
  </w:style>
  <w:style w:type="paragraph" w:customStyle="1" w:styleId="carouselcurrent1">
    <w:name w:val="carouselcurrent1"/>
    <w:basedOn w:val="Normal"/>
    <w:rsid w:val="00F124F2"/>
    <w:pPr>
      <w:shd w:val="clear" w:color="auto" w:fill="FF9100"/>
      <w:spacing w:before="100" w:beforeAutospacing="1" w:after="100" w:afterAutospacing="1"/>
    </w:pPr>
    <w:rPr>
      <w:rFonts w:ascii="Times New Roman" w:hAnsi="Times New Roman"/>
      <w:sz w:val="24"/>
    </w:rPr>
  </w:style>
  <w:style w:type="paragraph" w:customStyle="1" w:styleId="more-link1">
    <w:name w:val="more-link1"/>
    <w:basedOn w:val="Normal"/>
    <w:rsid w:val="00F124F2"/>
    <w:pPr>
      <w:pBdr>
        <w:top w:val="single" w:sz="6" w:space="7" w:color="BABABA"/>
        <w:left w:val="single" w:sz="6" w:space="7" w:color="BABABA"/>
        <w:bottom w:val="single" w:sz="6" w:space="7" w:color="BABABA"/>
        <w:right w:val="single" w:sz="6" w:space="7" w:color="BABABA"/>
      </w:pBdr>
      <w:ind w:left="135"/>
    </w:pPr>
    <w:rPr>
      <w:rFonts w:ascii="Times New Roman" w:hAnsi="Times New Roman"/>
      <w:color w:val="005A84"/>
      <w:sz w:val="20"/>
      <w:szCs w:val="20"/>
    </w:rPr>
  </w:style>
  <w:style w:type="paragraph" w:customStyle="1" w:styleId="more-link2">
    <w:name w:val="more-link2"/>
    <w:basedOn w:val="Normal"/>
    <w:rsid w:val="00F124F2"/>
    <w:pPr>
      <w:pBdr>
        <w:top w:val="single" w:sz="6" w:space="7" w:color="999999"/>
        <w:left w:val="single" w:sz="6" w:space="7" w:color="999999"/>
        <w:bottom w:val="single" w:sz="6" w:space="7" w:color="999999"/>
        <w:right w:val="single" w:sz="6" w:space="7" w:color="999999"/>
      </w:pBdr>
      <w:ind w:left="135"/>
    </w:pPr>
    <w:rPr>
      <w:rFonts w:ascii="Times New Roman" w:hAnsi="Times New Roman"/>
      <w:color w:val="005A84"/>
      <w:sz w:val="20"/>
      <w:szCs w:val="20"/>
    </w:rPr>
  </w:style>
  <w:style w:type="character" w:customStyle="1" w:styleId="plc-orangetext2">
    <w:name w:val="plc-orangetext2"/>
    <w:basedOn w:val="DefaultParagraphFont"/>
    <w:rsid w:val="00F124F2"/>
    <w:rPr>
      <w:rFonts w:ascii="Arial" w:hAnsi="Arial" w:cs="Arial" w:hint="default"/>
      <w:b w:val="0"/>
      <w:bCs w:val="0"/>
      <w:color w:val="FF9100"/>
      <w:sz w:val="42"/>
      <w:szCs w:val="42"/>
    </w:rPr>
  </w:style>
  <w:style w:type="paragraph" w:customStyle="1" w:styleId="caption10">
    <w:name w:val="caption1"/>
    <w:basedOn w:val="Normal"/>
    <w:rsid w:val="00F124F2"/>
    <w:pPr>
      <w:spacing w:before="100" w:beforeAutospacing="1" w:after="135" w:line="288" w:lineRule="atLeast"/>
    </w:pPr>
    <w:rPr>
      <w:rFonts w:ascii="Times New Roman" w:hAnsi="Times New Roman"/>
      <w:color w:val="212121"/>
      <w:sz w:val="21"/>
      <w:szCs w:val="21"/>
    </w:rPr>
  </w:style>
  <w:style w:type="character" w:customStyle="1" w:styleId="plc-orangetext3">
    <w:name w:val="plc-orangetext3"/>
    <w:basedOn w:val="DefaultParagraphFont"/>
    <w:rsid w:val="00F124F2"/>
    <w:rPr>
      <w:rFonts w:ascii="Arial" w:hAnsi="Arial" w:cs="Arial" w:hint="default"/>
      <w:b w:val="0"/>
      <w:bCs w:val="0"/>
      <w:color w:val="FF9100"/>
      <w:sz w:val="21"/>
      <w:szCs w:val="21"/>
    </w:rPr>
  </w:style>
  <w:style w:type="paragraph" w:customStyle="1" w:styleId="statusbar2">
    <w:name w:val="statusbar2"/>
    <w:basedOn w:val="Normal"/>
    <w:rsid w:val="00F124F2"/>
    <w:pPr>
      <w:spacing w:before="100" w:beforeAutospacing="1" w:after="100" w:afterAutospacing="1"/>
      <w:jc w:val="center"/>
    </w:pPr>
    <w:rPr>
      <w:rFonts w:ascii="Times New Roman" w:hAnsi="Times New Roman"/>
      <w:sz w:val="24"/>
    </w:rPr>
  </w:style>
  <w:style w:type="paragraph" w:customStyle="1" w:styleId="login1">
    <w:name w:val="login1"/>
    <w:basedOn w:val="Normal"/>
    <w:rsid w:val="00F124F2"/>
    <w:pPr>
      <w:spacing w:before="100" w:beforeAutospacing="1" w:after="100" w:afterAutospacing="1"/>
    </w:pPr>
    <w:rPr>
      <w:rFonts w:ascii="Times New Roman" w:hAnsi="Times New Roman"/>
      <w:sz w:val="24"/>
    </w:rPr>
  </w:style>
  <w:style w:type="paragraph" w:customStyle="1" w:styleId="image1">
    <w:name w:val="image1"/>
    <w:basedOn w:val="Normal"/>
    <w:rsid w:val="00F124F2"/>
    <w:pPr>
      <w:spacing w:before="100" w:beforeAutospacing="1" w:after="100" w:afterAutospacing="1"/>
    </w:pPr>
    <w:rPr>
      <w:rFonts w:ascii="Times New Roman" w:hAnsi="Times New Roman"/>
      <w:sz w:val="24"/>
    </w:rPr>
  </w:style>
  <w:style w:type="paragraph" w:customStyle="1" w:styleId="featured1">
    <w:name w:val="featured1"/>
    <w:basedOn w:val="Normal"/>
    <w:rsid w:val="00F124F2"/>
    <w:pPr>
      <w:pBdr>
        <w:top w:val="single" w:sz="6" w:space="7" w:color="BABABA"/>
        <w:left w:val="single" w:sz="6" w:space="0" w:color="BABABA"/>
        <w:bottom w:val="single" w:sz="6" w:space="0" w:color="BABABA"/>
        <w:right w:val="single" w:sz="6" w:space="0" w:color="BABABA"/>
      </w:pBdr>
      <w:shd w:val="clear" w:color="auto" w:fill="FFFFFF"/>
      <w:spacing w:before="100" w:beforeAutospacing="1" w:after="135"/>
    </w:pPr>
    <w:rPr>
      <w:rFonts w:ascii="Times New Roman" w:hAnsi="Times New Roman"/>
      <w:sz w:val="24"/>
    </w:rPr>
  </w:style>
  <w:style w:type="paragraph" w:customStyle="1" w:styleId="image2">
    <w:name w:val="image2"/>
    <w:basedOn w:val="Normal"/>
    <w:rsid w:val="00F124F2"/>
    <w:pPr>
      <w:spacing w:before="100" w:beforeAutospacing="1" w:after="100" w:afterAutospacing="1"/>
    </w:pPr>
    <w:rPr>
      <w:rFonts w:ascii="Times New Roman" w:hAnsi="Times New Roman"/>
      <w:sz w:val="24"/>
    </w:rPr>
  </w:style>
  <w:style w:type="paragraph" w:customStyle="1" w:styleId="featured2">
    <w:name w:val="featured2"/>
    <w:basedOn w:val="Normal"/>
    <w:rsid w:val="00F124F2"/>
    <w:pPr>
      <w:pBdr>
        <w:top w:val="single" w:sz="6" w:space="7" w:color="BABABA"/>
        <w:left w:val="single" w:sz="6" w:space="0" w:color="BABABA"/>
        <w:bottom w:val="single" w:sz="6" w:space="0" w:color="BABABA"/>
        <w:right w:val="single" w:sz="6" w:space="0" w:color="BABABA"/>
      </w:pBdr>
      <w:shd w:val="clear" w:color="auto" w:fill="FFFFFF"/>
      <w:spacing w:before="100" w:beforeAutospacing="1" w:after="135"/>
      <w:ind w:left="135" w:right="135"/>
    </w:pPr>
    <w:rPr>
      <w:rFonts w:ascii="Times New Roman" w:hAnsi="Times New Roman"/>
      <w:sz w:val="24"/>
    </w:rPr>
  </w:style>
  <w:style w:type="paragraph" w:customStyle="1" w:styleId="pagination1">
    <w:name w:val="pagination1"/>
    <w:basedOn w:val="Normal"/>
    <w:rsid w:val="00F124F2"/>
    <w:pPr>
      <w:spacing w:before="135" w:after="135"/>
    </w:pPr>
    <w:rPr>
      <w:rFonts w:ascii="Times New Roman" w:hAnsi="Times New Roman"/>
      <w:vanish/>
      <w:sz w:val="24"/>
    </w:rPr>
  </w:style>
  <w:style w:type="paragraph" w:customStyle="1" w:styleId="accordion1">
    <w:name w:val="accordion1"/>
    <w:basedOn w:val="Normal"/>
    <w:rsid w:val="00F124F2"/>
    <w:pPr>
      <w:spacing w:after="100" w:afterAutospacing="1"/>
    </w:pPr>
    <w:rPr>
      <w:rFonts w:ascii="Times New Roman" w:hAnsi="Times New Roman"/>
      <w:sz w:val="24"/>
    </w:rPr>
  </w:style>
  <w:style w:type="paragraph" w:customStyle="1" w:styleId="accordion-pane1">
    <w:name w:val="accordion-pane1"/>
    <w:basedOn w:val="Normal"/>
    <w:rsid w:val="00F124F2"/>
    <w:pPr>
      <w:spacing w:before="100" w:beforeAutospacing="1" w:after="100" w:afterAutospacing="1"/>
    </w:pPr>
    <w:rPr>
      <w:rFonts w:ascii="Times New Roman" w:hAnsi="Times New Roman"/>
      <w:vanish/>
      <w:sz w:val="24"/>
    </w:rPr>
  </w:style>
  <w:style w:type="paragraph" w:customStyle="1" w:styleId="accordion-pane2">
    <w:name w:val="accordion-pane2"/>
    <w:basedOn w:val="Normal"/>
    <w:rsid w:val="00F124F2"/>
    <w:pPr>
      <w:spacing w:before="100" w:beforeAutospacing="1" w:after="100" w:afterAutospacing="1"/>
    </w:pPr>
    <w:rPr>
      <w:rFonts w:ascii="Times New Roman" w:hAnsi="Times New Roman"/>
      <w:vanish/>
      <w:sz w:val="24"/>
    </w:rPr>
  </w:style>
  <w:style w:type="paragraph" w:customStyle="1" w:styleId="button3">
    <w:name w:val="button3"/>
    <w:basedOn w:val="Normal"/>
    <w:rsid w:val="00F124F2"/>
    <w:pPr>
      <w:pBdr>
        <w:top w:val="single" w:sz="6" w:space="1" w:color="FFFFFF"/>
        <w:left w:val="single" w:sz="6" w:space="1" w:color="FFFFFF"/>
        <w:bottom w:val="single" w:sz="6" w:space="1" w:color="718BB7"/>
        <w:right w:val="single" w:sz="6" w:space="1" w:color="718BB7"/>
      </w:pBdr>
      <w:spacing w:before="100" w:beforeAutospacing="1" w:after="100" w:afterAutospacing="1" w:line="450" w:lineRule="atLeast"/>
      <w:jc w:val="center"/>
    </w:pPr>
    <w:rPr>
      <w:rFonts w:ascii="Times New Roman" w:hAnsi="Times New Roman"/>
      <w:sz w:val="24"/>
    </w:rPr>
  </w:style>
  <w:style w:type="paragraph" w:customStyle="1" w:styleId="title10">
    <w:name w:val="title1"/>
    <w:basedOn w:val="Normal"/>
    <w:rsid w:val="00F124F2"/>
    <w:pPr>
      <w:pBdr>
        <w:top w:val="single" w:sz="6" w:space="1" w:color="718BB7"/>
        <w:left w:val="single" w:sz="6" w:space="1" w:color="718BB7"/>
        <w:bottom w:val="single" w:sz="6" w:space="1" w:color="718BB7"/>
        <w:right w:val="single" w:sz="6" w:space="1" w:color="718BB7"/>
      </w:pBdr>
      <w:shd w:val="clear" w:color="auto" w:fill="233D6D"/>
      <w:spacing w:before="100" w:beforeAutospacing="1" w:after="100" w:afterAutospacing="1"/>
      <w:jc w:val="center"/>
    </w:pPr>
    <w:rPr>
      <w:rFonts w:ascii="Times New Roman" w:hAnsi="Times New Roman"/>
      <w:b/>
      <w:bCs/>
      <w:color w:val="FFFFFF"/>
      <w:sz w:val="24"/>
    </w:rPr>
  </w:style>
  <w:style w:type="paragraph" w:customStyle="1" w:styleId="headrow1">
    <w:name w:val="headrow1"/>
    <w:basedOn w:val="Normal"/>
    <w:rsid w:val="00F124F2"/>
    <w:pPr>
      <w:shd w:val="clear" w:color="auto" w:fill="DDECFE"/>
      <w:spacing w:before="100" w:beforeAutospacing="1" w:after="100" w:afterAutospacing="1"/>
    </w:pPr>
    <w:rPr>
      <w:rFonts w:ascii="Times New Roman" w:hAnsi="Times New Roman"/>
      <w:sz w:val="24"/>
    </w:rPr>
  </w:style>
  <w:style w:type="paragraph" w:customStyle="1" w:styleId="daynames1">
    <w:name w:val="daynames1"/>
    <w:basedOn w:val="Normal"/>
    <w:rsid w:val="00F124F2"/>
    <w:pPr>
      <w:shd w:val="clear" w:color="auto" w:fill="4370A7"/>
      <w:spacing w:before="100" w:beforeAutospacing="1" w:after="100" w:afterAutospacing="1"/>
    </w:pPr>
    <w:rPr>
      <w:rFonts w:ascii="Times New Roman" w:hAnsi="Times New Roman"/>
      <w:sz w:val="24"/>
    </w:rPr>
  </w:style>
  <w:style w:type="paragraph" w:customStyle="1" w:styleId="name1">
    <w:name w:val="name1"/>
    <w:basedOn w:val="Normal"/>
    <w:rsid w:val="00F124F2"/>
    <w:pPr>
      <w:pBdr>
        <w:bottom w:val="single" w:sz="6" w:space="2" w:color="718BB7"/>
      </w:pBdr>
      <w:spacing w:before="100" w:beforeAutospacing="1" w:after="100" w:afterAutospacing="1"/>
      <w:jc w:val="center"/>
    </w:pPr>
    <w:rPr>
      <w:rFonts w:ascii="Times New Roman" w:hAnsi="Times New Roman"/>
      <w:sz w:val="24"/>
    </w:rPr>
  </w:style>
  <w:style w:type="paragraph" w:customStyle="1" w:styleId="hilite2">
    <w:name w:val="hilite2"/>
    <w:basedOn w:val="Normal"/>
    <w:rsid w:val="00F124F2"/>
    <w:pPr>
      <w:pBdr>
        <w:top w:val="single" w:sz="6" w:space="0" w:color="FFFFFF"/>
        <w:left w:val="single" w:sz="6" w:space="0" w:color="FFFFFF"/>
        <w:bottom w:val="single" w:sz="6" w:space="0" w:color="718BB7"/>
        <w:right w:val="single" w:sz="6" w:space="0" w:color="718BB7"/>
      </w:pBdr>
      <w:shd w:val="clear" w:color="auto" w:fill="D8E0E4"/>
      <w:spacing w:before="100" w:beforeAutospacing="1" w:after="100" w:afterAutospacing="1"/>
    </w:pPr>
    <w:rPr>
      <w:rFonts w:ascii="Times New Roman" w:hAnsi="Times New Roman"/>
      <w:sz w:val="24"/>
    </w:rPr>
  </w:style>
  <w:style w:type="paragraph" w:customStyle="1" w:styleId="active2">
    <w:name w:val="active2"/>
    <w:basedOn w:val="Normal"/>
    <w:rsid w:val="00F124F2"/>
    <w:pPr>
      <w:pBdr>
        <w:top w:val="single" w:sz="6" w:space="2" w:color="718BB7"/>
        <w:left w:val="single" w:sz="6" w:space="2" w:color="718BB7"/>
        <w:bottom w:val="single" w:sz="6" w:space="0" w:color="FFFFFF"/>
        <w:right w:val="single" w:sz="6" w:space="0" w:color="FFFFFF"/>
      </w:pBdr>
      <w:shd w:val="clear" w:color="auto" w:fill="ABC3E1"/>
      <w:spacing w:before="100" w:beforeAutospacing="1" w:after="100" w:afterAutospacing="1"/>
    </w:pPr>
    <w:rPr>
      <w:rFonts w:ascii="Times New Roman" w:hAnsi="Times New Roman"/>
      <w:sz w:val="24"/>
    </w:rPr>
  </w:style>
  <w:style w:type="paragraph" w:customStyle="1" w:styleId="day1">
    <w:name w:val="day1"/>
    <w:basedOn w:val="Normal"/>
    <w:rsid w:val="00F124F2"/>
    <w:pPr>
      <w:spacing w:before="100" w:beforeAutospacing="1" w:after="100" w:afterAutospacing="1"/>
      <w:jc w:val="right"/>
    </w:pPr>
    <w:rPr>
      <w:rFonts w:ascii="Times New Roman" w:hAnsi="Times New Roman"/>
      <w:sz w:val="24"/>
    </w:rPr>
  </w:style>
  <w:style w:type="paragraph" w:customStyle="1" w:styleId="wn1">
    <w:name w:val="wn1"/>
    <w:basedOn w:val="Normal"/>
    <w:rsid w:val="00F124F2"/>
    <w:pPr>
      <w:pBdr>
        <w:right w:val="single" w:sz="6" w:space="2" w:color="718BB7"/>
      </w:pBdr>
      <w:shd w:val="clear" w:color="auto" w:fill="E8F4F0"/>
      <w:spacing w:before="100" w:beforeAutospacing="1" w:after="100" w:afterAutospacing="1"/>
    </w:pPr>
    <w:rPr>
      <w:rFonts w:ascii="Times New Roman" w:hAnsi="Times New Roman"/>
      <w:sz w:val="24"/>
    </w:rPr>
  </w:style>
  <w:style w:type="paragraph" w:customStyle="1" w:styleId="disabled1">
    <w:name w:val="disabled1"/>
    <w:basedOn w:val="Normal"/>
    <w:rsid w:val="00F124F2"/>
    <w:pPr>
      <w:spacing w:before="100" w:beforeAutospacing="1" w:after="100" w:afterAutospacing="1"/>
    </w:pPr>
    <w:rPr>
      <w:rFonts w:ascii="Times New Roman" w:hAnsi="Times New Roman"/>
      <w:color w:val="999999"/>
      <w:sz w:val="24"/>
    </w:rPr>
  </w:style>
  <w:style w:type="paragraph" w:customStyle="1" w:styleId="emptyrow1">
    <w:name w:val="emptyrow1"/>
    <w:basedOn w:val="Normal"/>
    <w:rsid w:val="00F124F2"/>
    <w:pPr>
      <w:spacing w:before="100" w:beforeAutospacing="1" w:after="100" w:afterAutospacing="1"/>
    </w:pPr>
    <w:rPr>
      <w:rFonts w:ascii="Times New Roman" w:hAnsi="Times New Roman"/>
      <w:vanish/>
      <w:sz w:val="24"/>
    </w:rPr>
  </w:style>
  <w:style w:type="paragraph" w:customStyle="1" w:styleId="ttip1">
    <w:name w:val="ttip1"/>
    <w:basedOn w:val="Normal"/>
    <w:rsid w:val="00F124F2"/>
    <w:pPr>
      <w:pBdr>
        <w:top w:val="single" w:sz="6" w:space="1" w:color="718BB7"/>
        <w:left w:val="single" w:sz="6" w:space="1" w:color="718BB7"/>
        <w:bottom w:val="single" w:sz="6" w:space="1" w:color="718BB7"/>
        <w:right w:val="single" w:sz="6" w:space="1" w:color="718BB7"/>
      </w:pBdr>
      <w:shd w:val="clear" w:color="auto" w:fill="233D6D"/>
      <w:spacing w:before="100" w:beforeAutospacing="1" w:after="100" w:afterAutospacing="1"/>
      <w:jc w:val="center"/>
    </w:pPr>
    <w:rPr>
      <w:rFonts w:ascii="Times New Roman" w:hAnsi="Times New Roman"/>
      <w:color w:val="FFFFFF"/>
      <w:sz w:val="24"/>
    </w:rPr>
  </w:style>
  <w:style w:type="paragraph" w:customStyle="1" w:styleId="hilite3">
    <w:name w:val="hilite3"/>
    <w:basedOn w:val="Normal"/>
    <w:rsid w:val="00F124F2"/>
    <w:pPr>
      <w:pBdr>
        <w:top w:val="single" w:sz="6" w:space="1" w:color="FFFFFF"/>
        <w:left w:val="single" w:sz="6" w:space="1" w:color="FFFFFF"/>
        <w:bottom w:val="single" w:sz="6" w:space="1" w:color="718BB7"/>
        <w:right w:val="single" w:sz="6" w:space="1" w:color="718BB7"/>
      </w:pBdr>
      <w:shd w:val="clear" w:color="auto" w:fill="ABC3E1"/>
      <w:spacing w:before="100" w:beforeAutospacing="1" w:after="100" w:afterAutospacing="1"/>
    </w:pPr>
    <w:rPr>
      <w:rFonts w:ascii="Times New Roman" w:hAnsi="Times New Roman"/>
      <w:sz w:val="24"/>
    </w:rPr>
  </w:style>
  <w:style w:type="paragraph" w:customStyle="1" w:styleId="active3">
    <w:name w:val="active3"/>
    <w:basedOn w:val="Normal"/>
    <w:rsid w:val="00F124F2"/>
    <w:pPr>
      <w:pBdr>
        <w:top w:val="single" w:sz="6" w:space="2" w:color="718BB7"/>
        <w:left w:val="single" w:sz="6" w:space="2" w:color="718BB7"/>
        <w:bottom w:val="single" w:sz="6" w:space="0" w:color="FFFFFF"/>
        <w:right w:val="single" w:sz="6" w:space="0" w:color="FFFFFF"/>
      </w:pBdr>
      <w:spacing w:before="100" w:beforeAutospacing="1" w:after="100" w:afterAutospacing="1"/>
    </w:pPr>
    <w:rPr>
      <w:rFonts w:ascii="Times New Roman" w:hAnsi="Times New Roman"/>
      <w:sz w:val="24"/>
    </w:rPr>
  </w:style>
  <w:style w:type="paragraph" w:customStyle="1" w:styleId="combo1">
    <w:name w:val="combo1"/>
    <w:basedOn w:val="Normal"/>
    <w:rsid w:val="00F124F2"/>
    <w:pPr>
      <w:pBdr>
        <w:top w:val="single" w:sz="6" w:space="1" w:color="FFFFFF"/>
        <w:left w:val="single" w:sz="6" w:space="1" w:color="FFFFFF"/>
        <w:bottom w:val="single" w:sz="6" w:space="1" w:color="718BB7"/>
        <w:right w:val="single" w:sz="6" w:space="1" w:color="718BB7"/>
      </w:pBdr>
      <w:shd w:val="clear" w:color="auto" w:fill="ABC3E1"/>
      <w:spacing w:before="100" w:beforeAutospacing="1" w:after="100" w:afterAutospacing="1"/>
    </w:pPr>
    <w:rPr>
      <w:rFonts w:ascii="Times New Roman" w:hAnsi="Times New Roman"/>
      <w:vanish/>
      <w:szCs w:val="22"/>
    </w:rPr>
  </w:style>
  <w:style w:type="paragraph" w:customStyle="1" w:styleId="label1">
    <w:name w:val="label1"/>
    <w:basedOn w:val="Normal"/>
    <w:rsid w:val="00F124F2"/>
    <w:pPr>
      <w:spacing w:before="100" w:beforeAutospacing="1" w:after="100" w:afterAutospacing="1"/>
      <w:jc w:val="center"/>
    </w:pPr>
    <w:rPr>
      <w:rFonts w:ascii="Times New Roman" w:hAnsi="Times New Roman"/>
      <w:sz w:val="24"/>
    </w:rPr>
  </w:style>
  <w:style w:type="paragraph" w:customStyle="1" w:styleId="label-iefix1">
    <w:name w:val="label-iefix1"/>
    <w:basedOn w:val="Normal"/>
    <w:rsid w:val="00F124F2"/>
    <w:pPr>
      <w:spacing w:before="100" w:beforeAutospacing="1" w:after="100" w:afterAutospacing="1"/>
      <w:jc w:val="center"/>
    </w:pPr>
    <w:rPr>
      <w:rFonts w:ascii="Times New Roman" w:hAnsi="Times New Roman"/>
      <w:sz w:val="24"/>
    </w:rPr>
  </w:style>
  <w:style w:type="paragraph" w:customStyle="1" w:styleId="active4">
    <w:name w:val="active4"/>
    <w:basedOn w:val="Normal"/>
    <w:rsid w:val="00F124F2"/>
    <w:pPr>
      <w:pBdr>
        <w:top w:val="single" w:sz="6" w:space="0" w:color="718BB7"/>
        <w:left w:val="single" w:sz="6" w:space="0" w:color="718BB7"/>
        <w:bottom w:val="single" w:sz="6" w:space="0" w:color="FFFFFF"/>
        <w:right w:val="single" w:sz="6" w:space="0" w:color="FFFFFF"/>
      </w:pBdr>
      <w:shd w:val="clear" w:color="auto" w:fill="C8D0D4"/>
      <w:spacing w:before="100" w:beforeAutospacing="1" w:after="100" w:afterAutospacing="1"/>
    </w:pPr>
    <w:rPr>
      <w:rFonts w:ascii="Times New Roman" w:hAnsi="Times New Roman"/>
      <w:sz w:val="24"/>
    </w:rPr>
  </w:style>
  <w:style w:type="paragraph" w:customStyle="1" w:styleId="hilite4">
    <w:name w:val="hilite4"/>
    <w:basedOn w:val="Normal"/>
    <w:rsid w:val="00F124F2"/>
    <w:pPr>
      <w:shd w:val="clear" w:color="auto" w:fill="004488"/>
      <w:spacing w:before="100" w:beforeAutospacing="1" w:after="100" w:afterAutospacing="1"/>
    </w:pPr>
    <w:rPr>
      <w:rFonts w:ascii="Times New Roman" w:hAnsi="Times New Roman"/>
      <w:color w:val="AAEEFF"/>
      <w:sz w:val="24"/>
    </w:rPr>
  </w:style>
  <w:style w:type="paragraph" w:customStyle="1" w:styleId="hour1">
    <w:name w:val="hour1"/>
    <w:basedOn w:val="Normal"/>
    <w:rsid w:val="00F124F2"/>
    <w:pPr>
      <w:pBdr>
        <w:top w:val="single" w:sz="6" w:space="0" w:color="888899"/>
        <w:left w:val="single" w:sz="6" w:space="3" w:color="888899"/>
        <w:bottom w:val="single" w:sz="6" w:space="0" w:color="888899"/>
        <w:right w:val="single" w:sz="6" w:space="2" w:color="888899"/>
      </w:pBdr>
      <w:shd w:val="clear" w:color="auto" w:fill="FFFFFF"/>
      <w:spacing w:before="100" w:beforeAutospacing="1" w:after="100" w:afterAutospacing="1"/>
    </w:pPr>
    <w:rPr>
      <w:rFonts w:ascii="Times New Roman" w:hAnsi="Times New Roman"/>
      <w:b/>
      <w:bCs/>
      <w:sz w:val="24"/>
    </w:rPr>
  </w:style>
  <w:style w:type="paragraph" w:customStyle="1" w:styleId="minute1">
    <w:name w:val="minute1"/>
    <w:basedOn w:val="Normal"/>
    <w:rsid w:val="00F124F2"/>
    <w:pPr>
      <w:pBdr>
        <w:top w:val="single" w:sz="6" w:space="0" w:color="888899"/>
        <w:left w:val="single" w:sz="6" w:space="3" w:color="888899"/>
        <w:bottom w:val="single" w:sz="6" w:space="0" w:color="888899"/>
        <w:right w:val="single" w:sz="6" w:space="2" w:color="888899"/>
      </w:pBdr>
      <w:shd w:val="clear" w:color="auto" w:fill="FFFFFF"/>
      <w:spacing w:before="100" w:beforeAutospacing="1" w:after="100" w:afterAutospacing="1"/>
    </w:pPr>
    <w:rPr>
      <w:rFonts w:ascii="Times New Roman" w:hAnsi="Times New Roman"/>
      <w:b/>
      <w:bCs/>
      <w:sz w:val="24"/>
    </w:rPr>
  </w:style>
  <w:style w:type="paragraph" w:customStyle="1" w:styleId="ampm1">
    <w:name w:val="ampm1"/>
    <w:basedOn w:val="Normal"/>
    <w:rsid w:val="00F124F2"/>
    <w:pPr>
      <w:pBdr>
        <w:top w:val="single" w:sz="6" w:space="0" w:color="888899"/>
        <w:left w:val="single" w:sz="6" w:space="3" w:color="888899"/>
        <w:bottom w:val="single" w:sz="6" w:space="0" w:color="888899"/>
        <w:right w:val="single" w:sz="6" w:space="2" w:color="888899"/>
      </w:pBdr>
      <w:shd w:val="clear" w:color="auto" w:fill="FFFFFF"/>
      <w:spacing w:before="100" w:beforeAutospacing="1" w:after="100" w:afterAutospacing="1"/>
      <w:jc w:val="center"/>
    </w:pPr>
    <w:rPr>
      <w:rFonts w:ascii="Times New Roman" w:hAnsi="Times New Roman"/>
      <w:b/>
      <w:bCs/>
      <w:sz w:val="24"/>
    </w:rPr>
  </w:style>
  <w:style w:type="paragraph" w:customStyle="1" w:styleId="colon1">
    <w:name w:val="colon1"/>
    <w:basedOn w:val="Normal"/>
    <w:rsid w:val="00F124F2"/>
    <w:pPr>
      <w:spacing w:before="100" w:beforeAutospacing="1" w:after="100" w:afterAutospacing="1"/>
    </w:pPr>
    <w:rPr>
      <w:rFonts w:ascii="Times New Roman" w:hAnsi="Times New Roman"/>
      <w:b/>
      <w:bCs/>
      <w:sz w:val="24"/>
    </w:rPr>
  </w:style>
  <w:style w:type="character" w:customStyle="1" w:styleId="hilite5">
    <w:name w:val="hilite5"/>
    <w:basedOn w:val="DefaultParagraphFont"/>
    <w:rsid w:val="00F124F2"/>
    <w:rPr>
      <w:color w:val="FFFFFF"/>
      <w:bdr w:val="none" w:sz="0" w:space="0" w:color="auto" w:frame="1"/>
      <w:shd w:val="clear" w:color="auto" w:fill="666677"/>
    </w:rPr>
  </w:style>
  <w:style w:type="character" w:customStyle="1" w:styleId="active5">
    <w:name w:val="active5"/>
    <w:basedOn w:val="DefaultParagraphFont"/>
    <w:rsid w:val="00F124F2"/>
    <w:rPr>
      <w:color w:val="00FF00"/>
      <w:bdr w:val="none" w:sz="0" w:space="0" w:color="auto" w:frame="1"/>
      <w:shd w:val="clear" w:color="auto" w:fill="212121"/>
    </w:rPr>
  </w:style>
  <w:style w:type="character" w:customStyle="1" w:styleId="eu-flag1">
    <w:name w:val="eu-flag1"/>
    <w:basedOn w:val="DefaultParagraphFont"/>
    <w:rsid w:val="00F124F2"/>
  </w:style>
  <w:style w:type="character" w:customStyle="1" w:styleId="uk-flag1">
    <w:name w:val="uk-flag1"/>
    <w:basedOn w:val="DefaultParagraphFont"/>
    <w:rsid w:val="00F124F2"/>
  </w:style>
  <w:style w:type="character" w:customStyle="1" w:styleId="mjg-flag1">
    <w:name w:val="mjg-flag1"/>
    <w:basedOn w:val="DefaultParagraphFont"/>
    <w:rsid w:val="00F124F2"/>
  </w:style>
  <w:style w:type="character" w:customStyle="1" w:styleId="new-big1">
    <w:name w:val="new-big1"/>
    <w:basedOn w:val="DefaultParagraphFont"/>
    <w:rsid w:val="00F124F2"/>
    <w:rPr>
      <w:color w:val="FFFFFF"/>
      <w:sz w:val="20"/>
      <w:szCs w:val="20"/>
      <w:shd w:val="clear" w:color="auto" w:fill="78A22F"/>
    </w:rPr>
  </w:style>
  <w:style w:type="paragraph" w:customStyle="1" w:styleId="contents-node1">
    <w:name w:val="contents-node1"/>
    <w:basedOn w:val="Normal"/>
    <w:rsid w:val="00F124F2"/>
    <w:pPr>
      <w:spacing w:after="75"/>
    </w:pPr>
    <w:rPr>
      <w:rFonts w:ascii="Times New Roman" w:hAnsi="Times New Roman"/>
      <w:sz w:val="24"/>
    </w:rPr>
  </w:style>
  <w:style w:type="character" w:customStyle="1" w:styleId="maintained2">
    <w:name w:val="maintained2"/>
    <w:basedOn w:val="DefaultParagraphFont"/>
    <w:rsid w:val="00F124F2"/>
    <w:rPr>
      <w:color w:val="387C2B"/>
    </w:rPr>
  </w:style>
  <w:style w:type="character" w:customStyle="1" w:styleId="not-maintained2">
    <w:name w:val="not-maintained2"/>
    <w:basedOn w:val="DefaultParagraphFont"/>
    <w:rsid w:val="00F124F2"/>
    <w:rPr>
      <w:color w:val="A00000"/>
    </w:rPr>
  </w:style>
  <w:style w:type="paragraph" w:customStyle="1" w:styleId="meta-display-link1">
    <w:name w:val="meta-display-link1"/>
    <w:basedOn w:val="Normal"/>
    <w:rsid w:val="00F124F2"/>
    <w:pPr>
      <w:spacing w:before="100" w:beforeAutospacing="1" w:after="100" w:afterAutospacing="1"/>
    </w:pPr>
    <w:rPr>
      <w:rFonts w:ascii="Times New Roman" w:hAnsi="Times New Roman"/>
      <w:sz w:val="24"/>
    </w:rPr>
  </w:style>
  <w:style w:type="paragraph" w:customStyle="1" w:styleId="meta-display-link2">
    <w:name w:val="meta-display-link2"/>
    <w:basedOn w:val="Normal"/>
    <w:rsid w:val="00F124F2"/>
    <w:pPr>
      <w:spacing w:before="100" w:beforeAutospacing="1" w:after="100" w:afterAutospacing="1"/>
    </w:pPr>
    <w:rPr>
      <w:rFonts w:ascii="Times New Roman" w:hAnsi="Times New Roman"/>
      <w:sz w:val="24"/>
    </w:rPr>
  </w:style>
  <w:style w:type="paragraph" w:customStyle="1" w:styleId="content-inner1">
    <w:name w:val="content-inner1"/>
    <w:basedOn w:val="Normal"/>
    <w:rsid w:val="00F124F2"/>
    <w:pPr>
      <w:pBdr>
        <w:top w:val="single" w:sz="6" w:space="0" w:color="BABABA"/>
        <w:left w:val="single" w:sz="6" w:space="0" w:color="BABABA"/>
        <w:bottom w:val="single" w:sz="6" w:space="0" w:color="BABABA"/>
        <w:right w:val="single" w:sz="6" w:space="0" w:color="BABABA"/>
      </w:pBdr>
      <w:shd w:val="clear" w:color="auto" w:fill="FFFFFF"/>
      <w:spacing w:before="100" w:beforeAutospacing="1" w:after="270"/>
    </w:pPr>
    <w:rPr>
      <w:rFonts w:ascii="Times New Roman" w:hAnsi="Times New Roman"/>
      <w:sz w:val="24"/>
    </w:rPr>
  </w:style>
  <w:style w:type="paragraph" w:customStyle="1" w:styleId="content-inner2">
    <w:name w:val="content-inner2"/>
    <w:basedOn w:val="Normal"/>
    <w:rsid w:val="00F124F2"/>
    <w:pPr>
      <w:pBdr>
        <w:top w:val="single" w:sz="2" w:space="0" w:color="BABABA"/>
        <w:left w:val="single" w:sz="2" w:space="0" w:color="BABABA"/>
        <w:bottom w:val="single" w:sz="2" w:space="0" w:color="BABABA"/>
        <w:right w:val="single" w:sz="2" w:space="0" w:color="BABABA"/>
      </w:pBdr>
      <w:shd w:val="clear" w:color="auto" w:fill="FFFFFF"/>
      <w:spacing w:before="100" w:beforeAutospacing="1" w:after="100" w:afterAutospacing="1"/>
    </w:pPr>
    <w:rPr>
      <w:rFonts w:ascii="Times New Roman" w:hAnsi="Times New Roman"/>
      <w:sz w:val="24"/>
    </w:rPr>
  </w:style>
  <w:style w:type="paragraph" w:customStyle="1" w:styleId="content-meta-inner1">
    <w:name w:val="content-meta-inner1"/>
    <w:basedOn w:val="Normal"/>
    <w:rsid w:val="00F124F2"/>
    <w:pPr>
      <w:spacing w:before="100" w:beforeAutospacing="1" w:after="100" w:afterAutospacing="1"/>
    </w:pPr>
    <w:rPr>
      <w:rFonts w:ascii="Times New Roman" w:hAnsi="Times New Roman"/>
      <w:color w:val="212121"/>
      <w:sz w:val="24"/>
    </w:rPr>
  </w:style>
  <w:style w:type="paragraph" w:customStyle="1" w:styleId="resource-metadata2">
    <w:name w:val="resource-metadata2"/>
    <w:basedOn w:val="Normal"/>
    <w:rsid w:val="00F124F2"/>
    <w:pPr>
      <w:pBdr>
        <w:right w:val="single" w:sz="2" w:space="0" w:color="BABABA"/>
      </w:pBdr>
      <w:spacing w:before="100" w:beforeAutospacing="1" w:after="100" w:afterAutospacing="1"/>
      <w:ind w:right="135"/>
    </w:pPr>
    <w:rPr>
      <w:rFonts w:ascii="Times New Roman" w:hAnsi="Times New Roman"/>
      <w:b/>
      <w:bCs/>
      <w:color w:val="666666"/>
      <w:sz w:val="20"/>
      <w:szCs w:val="20"/>
    </w:rPr>
  </w:style>
  <w:style w:type="paragraph" w:customStyle="1" w:styleId="resource-metadata3">
    <w:name w:val="resource-metadata3"/>
    <w:basedOn w:val="Normal"/>
    <w:rsid w:val="00F124F2"/>
    <w:pPr>
      <w:pBdr>
        <w:right w:val="single" w:sz="2" w:space="0" w:color="BABABA"/>
      </w:pBdr>
      <w:spacing w:before="100" w:beforeAutospacing="1" w:after="100" w:afterAutospacing="1"/>
      <w:ind w:right="135"/>
    </w:pPr>
    <w:rPr>
      <w:rFonts w:ascii="Times New Roman" w:hAnsi="Times New Roman"/>
      <w:b/>
      <w:bCs/>
      <w:color w:val="666666"/>
      <w:sz w:val="20"/>
      <w:szCs w:val="20"/>
    </w:rPr>
  </w:style>
  <w:style w:type="paragraph" w:customStyle="1" w:styleId="indented1">
    <w:name w:val="indented1"/>
    <w:basedOn w:val="Normal"/>
    <w:rsid w:val="00F124F2"/>
    <w:pPr>
      <w:spacing w:before="100" w:beforeAutospacing="1" w:after="100" w:afterAutospacing="1"/>
      <w:ind w:left="405"/>
    </w:pPr>
    <w:rPr>
      <w:rFonts w:ascii="Times New Roman" w:hAnsi="Times New Roman"/>
      <w:sz w:val="24"/>
    </w:rPr>
  </w:style>
  <w:style w:type="paragraph" w:customStyle="1" w:styleId="tablewrapper1">
    <w:name w:val="tablewrapper1"/>
    <w:basedOn w:val="Normal"/>
    <w:rsid w:val="00F124F2"/>
    <w:pPr>
      <w:spacing w:before="100" w:beforeAutospacing="1" w:after="135"/>
    </w:pPr>
    <w:rPr>
      <w:rFonts w:ascii="Times New Roman" w:hAnsi="Times New Roman"/>
      <w:sz w:val="24"/>
    </w:rPr>
  </w:style>
  <w:style w:type="paragraph" w:customStyle="1" w:styleId="button4">
    <w:name w:val="button4"/>
    <w:basedOn w:val="Normal"/>
    <w:rsid w:val="00F124F2"/>
    <w:pPr>
      <w:spacing w:before="300" w:after="100" w:afterAutospacing="1" w:line="450" w:lineRule="atLeast"/>
    </w:pPr>
    <w:rPr>
      <w:rFonts w:ascii="Times New Roman" w:hAnsi="Times New Roman"/>
      <w:sz w:val="24"/>
    </w:rPr>
  </w:style>
  <w:style w:type="paragraph" w:customStyle="1" w:styleId="meta-history-content1">
    <w:name w:val="meta-history-content1"/>
    <w:basedOn w:val="Normal"/>
    <w:rsid w:val="00F124F2"/>
    <w:pPr>
      <w:spacing w:before="100" w:beforeAutospacing="1" w:after="100" w:afterAutospacing="1"/>
    </w:pPr>
    <w:rPr>
      <w:rFonts w:ascii="Times New Roman" w:hAnsi="Times New Roman"/>
      <w:vanish/>
      <w:sz w:val="24"/>
    </w:rPr>
  </w:style>
  <w:style w:type="paragraph" w:customStyle="1" w:styleId="meta-history-content2">
    <w:name w:val="meta-history-content2"/>
    <w:basedOn w:val="Normal"/>
    <w:rsid w:val="00F124F2"/>
    <w:pPr>
      <w:spacing w:before="60" w:after="100" w:afterAutospacing="1"/>
    </w:pPr>
    <w:rPr>
      <w:rFonts w:ascii="Times New Roman" w:hAnsi="Times New Roman"/>
      <w:sz w:val="24"/>
    </w:rPr>
  </w:style>
  <w:style w:type="paragraph" w:customStyle="1" w:styleId="contents-heading1">
    <w:name w:val="contents-heading1"/>
    <w:basedOn w:val="Normal"/>
    <w:rsid w:val="00F124F2"/>
    <w:pPr>
      <w:spacing w:before="135" w:after="100" w:afterAutospacing="1"/>
    </w:pPr>
    <w:rPr>
      <w:rFonts w:ascii="Times New Roman" w:hAnsi="Times New Roman"/>
      <w:b/>
      <w:bCs/>
      <w:color w:val="212121"/>
      <w:sz w:val="27"/>
      <w:szCs w:val="27"/>
    </w:rPr>
  </w:style>
  <w:style w:type="paragraph" w:customStyle="1" w:styleId="docandnotes1">
    <w:name w:val="docandnotes1"/>
    <w:basedOn w:val="Normal"/>
    <w:rsid w:val="00F124F2"/>
    <w:pPr>
      <w:shd w:val="clear" w:color="auto" w:fill="ECF4ED"/>
      <w:spacing w:after="135"/>
    </w:pPr>
    <w:rPr>
      <w:rFonts w:ascii="Times New Roman" w:hAnsi="Times New Roman"/>
      <w:sz w:val="24"/>
    </w:rPr>
  </w:style>
  <w:style w:type="character" w:customStyle="1" w:styleId="fullnotetitle1">
    <w:name w:val="fullnotetitle1"/>
    <w:basedOn w:val="DefaultParagraphFont"/>
    <w:rsid w:val="00F124F2"/>
    <w:rPr>
      <w:vanish/>
      <w:webHidden w:val="0"/>
      <w:specVanish w:val="0"/>
    </w:rPr>
  </w:style>
  <w:style w:type="character" w:customStyle="1" w:styleId="hiddennotetext2">
    <w:name w:val="hiddennotetext2"/>
    <w:basedOn w:val="DefaultParagraphFont"/>
    <w:rsid w:val="00F124F2"/>
    <w:rPr>
      <w:vanish w:val="0"/>
      <w:webHidden w:val="0"/>
      <w:specVanish w:val="0"/>
    </w:rPr>
  </w:style>
  <w:style w:type="paragraph" w:customStyle="1" w:styleId="dnote-display-d1">
    <w:name w:val="dnote-display-d1"/>
    <w:basedOn w:val="Normal"/>
    <w:rsid w:val="00F124F2"/>
    <w:pPr>
      <w:spacing w:before="100" w:beforeAutospacing="1" w:after="100" w:afterAutospacing="1"/>
    </w:pPr>
    <w:rPr>
      <w:rFonts w:ascii="Times New Roman" w:hAnsi="Times New Roman"/>
      <w:vanish/>
      <w:sz w:val="24"/>
    </w:rPr>
  </w:style>
  <w:style w:type="paragraph" w:customStyle="1" w:styleId="dnote-display-n1">
    <w:name w:val="dnote-display-n1"/>
    <w:basedOn w:val="Normal"/>
    <w:rsid w:val="00F124F2"/>
    <w:pPr>
      <w:spacing w:before="100" w:beforeAutospacing="1" w:after="100" w:afterAutospacing="1"/>
    </w:pPr>
    <w:rPr>
      <w:rFonts w:ascii="Times New Roman" w:hAnsi="Times New Roman"/>
      <w:vanish/>
      <w:sz w:val="24"/>
    </w:rPr>
  </w:style>
  <w:style w:type="paragraph" w:customStyle="1" w:styleId="dnote-display-dn1">
    <w:name w:val="dnote-display-dn1"/>
    <w:basedOn w:val="Normal"/>
    <w:rsid w:val="00F124F2"/>
    <w:pPr>
      <w:spacing w:before="100" w:beforeAutospacing="1" w:after="100" w:afterAutospacing="1"/>
    </w:pPr>
    <w:rPr>
      <w:rFonts w:ascii="Times New Roman" w:hAnsi="Times New Roman"/>
      <w:vanish/>
      <w:sz w:val="24"/>
    </w:rPr>
  </w:style>
  <w:style w:type="paragraph" w:customStyle="1" w:styleId="dnote-display-n2">
    <w:name w:val="dnote-display-n2"/>
    <w:basedOn w:val="Normal"/>
    <w:rsid w:val="00F124F2"/>
    <w:pPr>
      <w:spacing w:before="100" w:beforeAutospacing="1" w:after="100" w:afterAutospacing="1"/>
    </w:pPr>
    <w:rPr>
      <w:rFonts w:ascii="Times New Roman" w:hAnsi="Times New Roman"/>
      <w:vanish/>
      <w:sz w:val="24"/>
    </w:rPr>
  </w:style>
  <w:style w:type="character" w:customStyle="1" w:styleId="dnote-display-show1">
    <w:name w:val="dnote-display-show1"/>
    <w:basedOn w:val="DefaultParagraphFont"/>
    <w:rsid w:val="00F124F2"/>
    <w:rPr>
      <w:vanish w:val="0"/>
      <w:webHidden w:val="0"/>
      <w:specVanish w:val="0"/>
    </w:rPr>
  </w:style>
  <w:style w:type="paragraph" w:customStyle="1" w:styleId="boxintro1">
    <w:name w:val="boxintro1"/>
    <w:basedOn w:val="Normal"/>
    <w:rsid w:val="00F124F2"/>
    <w:pPr>
      <w:spacing w:before="100" w:beforeAutospacing="1" w:after="100" w:afterAutospacing="1"/>
    </w:pPr>
    <w:rPr>
      <w:rFonts w:ascii="Times New Roman" w:hAnsi="Times New Roman"/>
      <w:vanish/>
      <w:sz w:val="24"/>
    </w:rPr>
  </w:style>
  <w:style w:type="paragraph" w:customStyle="1" w:styleId="draftingnotetop1">
    <w:name w:val="draftingnotetop1"/>
    <w:basedOn w:val="Normal"/>
    <w:rsid w:val="00F124F2"/>
    <w:pPr>
      <w:shd w:val="clear" w:color="auto" w:fill="ECF4ED"/>
      <w:spacing w:before="100" w:beforeAutospacing="1" w:after="135"/>
    </w:pPr>
    <w:rPr>
      <w:rFonts w:ascii="Times New Roman" w:hAnsi="Times New Roman"/>
      <w:vanish/>
      <w:sz w:val="24"/>
    </w:rPr>
  </w:style>
  <w:style w:type="paragraph" w:customStyle="1" w:styleId="draftingnoteclose1">
    <w:name w:val="draftingnoteclose1"/>
    <w:basedOn w:val="Normal"/>
    <w:rsid w:val="00F124F2"/>
    <w:pPr>
      <w:shd w:val="clear" w:color="auto" w:fill="ECF4ED"/>
      <w:spacing w:before="100" w:beforeAutospacing="1" w:after="100" w:afterAutospacing="1"/>
    </w:pPr>
    <w:rPr>
      <w:rFonts w:ascii="Times New Roman" w:hAnsi="Times New Roman"/>
      <w:vanish/>
      <w:sz w:val="24"/>
    </w:rPr>
  </w:style>
  <w:style w:type="paragraph" w:customStyle="1" w:styleId="draftingnotetop2">
    <w:name w:val="draftingnotetop2"/>
    <w:basedOn w:val="Normal"/>
    <w:rsid w:val="00F124F2"/>
    <w:pPr>
      <w:shd w:val="clear" w:color="auto" w:fill="ECF4ED"/>
      <w:spacing w:before="100" w:beforeAutospacing="1" w:after="135"/>
    </w:pPr>
    <w:rPr>
      <w:rFonts w:ascii="Times New Roman" w:hAnsi="Times New Roman"/>
      <w:vanish/>
      <w:sz w:val="24"/>
    </w:rPr>
  </w:style>
  <w:style w:type="paragraph" w:customStyle="1" w:styleId="draftingnoteclose2">
    <w:name w:val="draftingnoteclose2"/>
    <w:basedOn w:val="Normal"/>
    <w:rsid w:val="00F124F2"/>
    <w:pPr>
      <w:shd w:val="clear" w:color="auto" w:fill="ECF4ED"/>
      <w:spacing w:before="100" w:beforeAutospacing="1" w:after="100" w:afterAutospacing="1"/>
    </w:pPr>
    <w:rPr>
      <w:rFonts w:ascii="Times New Roman" w:hAnsi="Times New Roman"/>
      <w:vanish/>
      <w:sz w:val="24"/>
    </w:rPr>
  </w:style>
  <w:style w:type="paragraph" w:customStyle="1" w:styleId="draftingnote1">
    <w:name w:val="draftingnote1"/>
    <w:basedOn w:val="Normal"/>
    <w:rsid w:val="00F124F2"/>
    <w:rPr>
      <w:rFonts w:ascii="Times New Roman" w:hAnsi="Times New Roman"/>
      <w:vanish/>
      <w:sz w:val="24"/>
    </w:rPr>
  </w:style>
  <w:style w:type="paragraph" w:customStyle="1" w:styleId="dnote-display-d2">
    <w:name w:val="dnote-display-d2"/>
    <w:basedOn w:val="Normal"/>
    <w:rsid w:val="00F124F2"/>
    <w:pPr>
      <w:spacing w:before="100" w:beforeAutospacing="1" w:after="100" w:afterAutospacing="1"/>
    </w:pPr>
    <w:rPr>
      <w:rFonts w:ascii="Times New Roman" w:hAnsi="Times New Roman"/>
      <w:vanish/>
      <w:sz w:val="24"/>
    </w:rPr>
  </w:style>
  <w:style w:type="paragraph" w:customStyle="1" w:styleId="dnote-display-dn2">
    <w:name w:val="dnote-display-dn2"/>
    <w:basedOn w:val="Normal"/>
    <w:rsid w:val="00F124F2"/>
    <w:pPr>
      <w:spacing w:before="100" w:beforeAutospacing="1" w:after="100" w:afterAutospacing="1"/>
    </w:pPr>
    <w:rPr>
      <w:rFonts w:ascii="Times New Roman" w:hAnsi="Times New Roman"/>
      <w:vanish/>
      <w:sz w:val="24"/>
    </w:rPr>
  </w:style>
  <w:style w:type="paragraph" w:customStyle="1" w:styleId="draftingnote2">
    <w:name w:val="draftingnote2"/>
    <w:basedOn w:val="Normal"/>
    <w:rsid w:val="00F124F2"/>
    <w:pPr>
      <w:spacing w:before="270"/>
    </w:pPr>
    <w:rPr>
      <w:rFonts w:ascii="Times New Roman" w:hAnsi="Times New Roman"/>
      <w:sz w:val="24"/>
    </w:rPr>
  </w:style>
  <w:style w:type="paragraph" w:customStyle="1" w:styleId="docandnotes2">
    <w:name w:val="docandnotes2"/>
    <w:basedOn w:val="Normal"/>
    <w:rsid w:val="00F124F2"/>
    <w:pPr>
      <w:shd w:val="clear" w:color="auto" w:fill="ECF4ED"/>
    </w:pPr>
    <w:rPr>
      <w:rFonts w:ascii="Times New Roman" w:hAnsi="Times New Roman"/>
      <w:vanish/>
      <w:sz w:val="24"/>
    </w:rPr>
  </w:style>
  <w:style w:type="paragraph" w:customStyle="1" w:styleId="resource-message-right1">
    <w:name w:val="resource-message-right1"/>
    <w:basedOn w:val="Normal"/>
    <w:rsid w:val="00F124F2"/>
    <w:pPr>
      <w:spacing w:before="100" w:beforeAutospacing="1" w:after="100" w:afterAutospacing="1"/>
    </w:pPr>
    <w:rPr>
      <w:rFonts w:ascii="Times New Roman" w:hAnsi="Times New Roman"/>
      <w:sz w:val="24"/>
    </w:rPr>
  </w:style>
  <w:style w:type="paragraph" w:customStyle="1" w:styleId="commentauthor1">
    <w:name w:val="commentauthor1"/>
    <w:basedOn w:val="Normal"/>
    <w:rsid w:val="00F124F2"/>
    <w:pPr>
      <w:pBdr>
        <w:top w:val="single" w:sz="6" w:space="7" w:color="BABABA"/>
        <w:left w:val="single" w:sz="6" w:space="7" w:color="BABABA"/>
        <w:bottom w:val="single" w:sz="18" w:space="7" w:color="FF9100"/>
        <w:right w:val="single" w:sz="6" w:space="7" w:color="BABABA"/>
      </w:pBdr>
      <w:shd w:val="clear" w:color="auto" w:fill="FFFFFF"/>
      <w:spacing w:before="135" w:after="100" w:afterAutospacing="1"/>
    </w:pPr>
    <w:rPr>
      <w:rFonts w:ascii="Times New Roman" w:hAnsi="Times New Roman"/>
      <w:sz w:val="24"/>
    </w:rPr>
  </w:style>
  <w:style w:type="paragraph" w:customStyle="1" w:styleId="commentauthorspeecharrow1">
    <w:name w:val="commentauthorspeecharrow1"/>
    <w:basedOn w:val="Normal"/>
    <w:rsid w:val="00F124F2"/>
    <w:pPr>
      <w:spacing w:after="100" w:afterAutospacing="1"/>
      <w:ind w:left="300"/>
    </w:pPr>
    <w:rPr>
      <w:rFonts w:ascii="Times New Roman" w:hAnsi="Times New Roman"/>
      <w:sz w:val="24"/>
    </w:rPr>
  </w:style>
  <w:style w:type="paragraph" w:customStyle="1" w:styleId="smalltext1">
    <w:name w:val="smalltext1"/>
    <w:basedOn w:val="Normal"/>
    <w:rsid w:val="00F124F2"/>
    <w:pPr>
      <w:spacing w:before="100" w:beforeAutospacing="1" w:after="100" w:afterAutospacing="1"/>
    </w:pPr>
    <w:rPr>
      <w:rFonts w:ascii="Times New Roman" w:hAnsi="Times New Roman"/>
      <w:color w:val="666666"/>
      <w:sz w:val="17"/>
      <w:szCs w:val="17"/>
    </w:rPr>
  </w:style>
  <w:style w:type="paragraph" w:customStyle="1" w:styleId="back-link1">
    <w:name w:val="back-link1"/>
    <w:basedOn w:val="Normal"/>
    <w:rsid w:val="00F124F2"/>
    <w:pPr>
      <w:spacing w:before="100" w:beforeAutospacing="1" w:after="100" w:afterAutospacing="1"/>
    </w:pPr>
    <w:rPr>
      <w:rFonts w:ascii="Times New Roman" w:hAnsi="Times New Roman"/>
      <w:vanish/>
      <w:sz w:val="24"/>
    </w:rPr>
  </w:style>
  <w:style w:type="paragraph" w:customStyle="1" w:styleId="cstext1">
    <w:name w:val="cs_text1"/>
    <w:basedOn w:val="Normal"/>
    <w:rsid w:val="00F124F2"/>
    <w:pPr>
      <w:spacing w:before="100" w:beforeAutospacing="1" w:after="100" w:afterAutospacing="1"/>
    </w:pPr>
    <w:rPr>
      <w:rFonts w:ascii="Times New Roman" w:hAnsi="Times New Roman"/>
      <w:sz w:val="20"/>
      <w:szCs w:val="20"/>
    </w:rPr>
  </w:style>
  <w:style w:type="paragraph" w:customStyle="1" w:styleId="categorycontainer1">
    <w:name w:val="categorycontainer1"/>
    <w:basedOn w:val="Normal"/>
    <w:rsid w:val="00F124F2"/>
    <w:rPr>
      <w:rFonts w:ascii="Times New Roman" w:hAnsi="Times New Roman"/>
      <w:sz w:val="24"/>
    </w:rPr>
  </w:style>
  <w:style w:type="paragraph" w:customStyle="1" w:styleId="category1">
    <w:name w:val="category1"/>
    <w:basedOn w:val="Normal"/>
    <w:rsid w:val="00F124F2"/>
    <w:pPr>
      <w:pBdr>
        <w:top w:val="single" w:sz="6" w:space="0" w:color="BABABA"/>
        <w:bottom w:val="single" w:sz="6" w:space="0" w:color="BABABA"/>
      </w:pBdr>
      <w:spacing w:before="100" w:beforeAutospacing="1" w:after="100" w:afterAutospacing="1"/>
    </w:pPr>
    <w:rPr>
      <w:rFonts w:ascii="Times New Roman" w:hAnsi="Times New Roman"/>
      <w:sz w:val="24"/>
    </w:rPr>
  </w:style>
  <w:style w:type="paragraph" w:customStyle="1" w:styleId="alllabel1">
    <w:name w:val="alllabel1"/>
    <w:basedOn w:val="Normal"/>
    <w:rsid w:val="00F124F2"/>
    <w:pPr>
      <w:spacing w:before="100" w:beforeAutospacing="1" w:after="100" w:afterAutospacing="1"/>
    </w:pPr>
    <w:rPr>
      <w:rFonts w:ascii="Times New Roman" w:hAnsi="Times New Roman"/>
      <w:sz w:val="24"/>
    </w:rPr>
  </w:style>
  <w:style w:type="character" w:customStyle="1" w:styleId="selected1">
    <w:name w:val="selected1"/>
    <w:basedOn w:val="DefaultParagraphFont"/>
    <w:rsid w:val="00F124F2"/>
    <w:rPr>
      <w:b/>
      <w:bCs/>
    </w:rPr>
  </w:style>
  <w:style w:type="paragraph" w:customStyle="1" w:styleId="resultcount1">
    <w:name w:val="resultcount1"/>
    <w:basedOn w:val="Normal"/>
    <w:rsid w:val="00F124F2"/>
    <w:pPr>
      <w:spacing w:before="100" w:beforeAutospacing="1" w:after="100" w:afterAutospacing="1"/>
    </w:pPr>
    <w:rPr>
      <w:rFonts w:ascii="Times New Roman" w:hAnsi="Times New Roman"/>
      <w:color w:val="666666"/>
      <w:sz w:val="24"/>
    </w:rPr>
  </w:style>
  <w:style w:type="paragraph" w:customStyle="1" w:styleId="resultcount2">
    <w:name w:val="resultcount2"/>
    <w:basedOn w:val="Normal"/>
    <w:rsid w:val="00F124F2"/>
    <w:pPr>
      <w:spacing w:before="100" w:beforeAutospacing="1" w:after="100" w:afterAutospacing="1"/>
    </w:pPr>
    <w:rPr>
      <w:rFonts w:ascii="Times New Roman" w:hAnsi="Times New Roman"/>
      <w:vanish/>
      <w:color w:val="666666"/>
      <w:sz w:val="24"/>
    </w:rPr>
  </w:style>
  <w:style w:type="character" w:customStyle="1" w:styleId="i1">
    <w:name w:val="i1"/>
    <w:basedOn w:val="DefaultParagraphFont"/>
    <w:rsid w:val="00F124F2"/>
    <w:rPr>
      <w:color w:val="FFFFFF"/>
      <w:bdr w:val="single" w:sz="6" w:space="4" w:color="005A84" w:frame="1"/>
      <w:shd w:val="clear" w:color="auto" w:fill="005A84"/>
    </w:rPr>
  </w:style>
  <w:style w:type="paragraph" w:customStyle="1" w:styleId="plcwm-header1">
    <w:name w:val="plcwm-header1"/>
    <w:basedOn w:val="Normal"/>
    <w:rsid w:val="00F124F2"/>
    <w:pPr>
      <w:shd w:val="clear" w:color="auto" w:fill="005A84"/>
      <w:spacing w:before="100" w:beforeAutospacing="1" w:after="100" w:afterAutospacing="1"/>
    </w:pPr>
    <w:rPr>
      <w:rFonts w:ascii="Times New Roman" w:hAnsi="Times New Roman"/>
      <w:color w:val="FFFFFF"/>
      <w:sz w:val="27"/>
      <w:szCs w:val="27"/>
    </w:rPr>
  </w:style>
  <w:style w:type="paragraph" w:customStyle="1" w:styleId="accordianlink1">
    <w:name w:val="accordianlink1"/>
    <w:basedOn w:val="Normal"/>
    <w:rsid w:val="00F124F2"/>
    <w:pPr>
      <w:pBdr>
        <w:top w:val="single" w:sz="6" w:space="7" w:color="BABABA"/>
        <w:left w:val="single" w:sz="6" w:space="20" w:color="BABABA"/>
        <w:bottom w:val="single" w:sz="6" w:space="7" w:color="BABABA"/>
        <w:right w:val="single" w:sz="6" w:space="14" w:color="BABABA"/>
      </w:pBdr>
      <w:shd w:val="clear" w:color="auto" w:fill="F8F8F8"/>
      <w:spacing w:before="135" w:after="100" w:afterAutospacing="1"/>
    </w:pPr>
    <w:rPr>
      <w:rFonts w:ascii="Times New Roman" w:hAnsi="Times New Roman"/>
      <w:color w:val="005A84"/>
      <w:sz w:val="23"/>
      <w:szCs w:val="23"/>
    </w:rPr>
  </w:style>
  <w:style w:type="paragraph" w:customStyle="1" w:styleId="accordianlink2">
    <w:name w:val="accordianlink2"/>
    <w:basedOn w:val="Normal"/>
    <w:rsid w:val="00F124F2"/>
    <w:pPr>
      <w:pBdr>
        <w:top w:val="single" w:sz="6" w:space="7" w:color="BABABA"/>
        <w:left w:val="single" w:sz="6" w:space="20" w:color="BABABA"/>
        <w:bottom w:val="single" w:sz="6" w:space="7" w:color="BABABA"/>
        <w:right w:val="single" w:sz="6" w:space="14" w:color="BABABA"/>
      </w:pBdr>
      <w:shd w:val="clear" w:color="auto" w:fill="F8F8F8"/>
      <w:spacing w:before="135" w:after="100" w:afterAutospacing="1"/>
    </w:pPr>
    <w:rPr>
      <w:rFonts w:ascii="Times New Roman" w:hAnsi="Times New Roman"/>
      <w:vanish/>
      <w:color w:val="005A84"/>
      <w:sz w:val="23"/>
      <w:szCs w:val="23"/>
    </w:rPr>
  </w:style>
  <w:style w:type="paragraph" w:customStyle="1" w:styleId="panes1">
    <w:name w:val="panes1"/>
    <w:basedOn w:val="Normal"/>
    <w:rsid w:val="00F124F2"/>
    <w:pPr>
      <w:pBdr>
        <w:top w:val="single" w:sz="6" w:space="0" w:color="BABABA"/>
        <w:left w:val="single" w:sz="6" w:space="0" w:color="BABABA"/>
        <w:bottom w:val="single" w:sz="6" w:space="0" w:color="BABABA"/>
        <w:right w:val="single" w:sz="6" w:space="0" w:color="BABABA"/>
      </w:pBdr>
      <w:spacing w:after="255"/>
    </w:pPr>
    <w:rPr>
      <w:rFonts w:ascii="Times New Roman" w:hAnsi="Times New Roman"/>
      <w:sz w:val="24"/>
    </w:rPr>
  </w:style>
  <w:style w:type="paragraph" w:customStyle="1" w:styleId="emailpreferencesproducttext1">
    <w:name w:val="emailpreferencesproducttext1"/>
    <w:basedOn w:val="Normal"/>
    <w:rsid w:val="00F124F2"/>
    <w:pPr>
      <w:spacing w:before="100" w:beforeAutospacing="1" w:after="100" w:afterAutospacing="1"/>
    </w:pPr>
    <w:rPr>
      <w:rFonts w:ascii="Times New Roman" w:hAnsi="Times New Roman"/>
      <w:color w:val="666666"/>
      <w:sz w:val="20"/>
      <w:szCs w:val="20"/>
    </w:rPr>
  </w:style>
  <w:style w:type="paragraph" w:customStyle="1" w:styleId="closedaccordianlink1">
    <w:name w:val="closedaccordianlink1"/>
    <w:basedOn w:val="Normal"/>
    <w:rsid w:val="00F124F2"/>
    <w:pPr>
      <w:spacing w:before="100" w:beforeAutospacing="1" w:after="100" w:afterAutospacing="1"/>
    </w:pPr>
    <w:rPr>
      <w:rFonts w:ascii="Times New Roman" w:hAnsi="Times New Roman"/>
      <w:sz w:val="24"/>
    </w:rPr>
  </w:style>
  <w:style w:type="paragraph" w:customStyle="1" w:styleId="openaccordianlink1">
    <w:name w:val="openaccordianlink1"/>
    <w:basedOn w:val="Normal"/>
    <w:rsid w:val="00F124F2"/>
    <w:pPr>
      <w:spacing w:before="100" w:beforeAutospacing="1" w:after="100" w:afterAutospacing="1"/>
    </w:pPr>
    <w:rPr>
      <w:rFonts w:ascii="Times New Roman" w:hAnsi="Times New Roman"/>
      <w:sz w:val="24"/>
    </w:rPr>
  </w:style>
  <w:style w:type="paragraph" w:customStyle="1" w:styleId="productlist1">
    <w:name w:val="productlist1"/>
    <w:basedOn w:val="Normal"/>
    <w:rsid w:val="00F124F2"/>
    <w:pPr>
      <w:spacing w:before="100" w:beforeAutospacing="1"/>
    </w:pPr>
    <w:rPr>
      <w:rFonts w:ascii="Times New Roman" w:hAnsi="Times New Roman"/>
      <w:sz w:val="24"/>
    </w:rPr>
  </w:style>
  <w:style w:type="paragraph" w:customStyle="1" w:styleId="productlist2">
    <w:name w:val="productlist2"/>
    <w:basedOn w:val="Normal"/>
    <w:rsid w:val="00F124F2"/>
    <w:pPr>
      <w:pBdr>
        <w:top w:val="single" w:sz="2" w:space="7" w:color="BABABA"/>
        <w:left w:val="single" w:sz="6" w:space="14" w:color="BABABA"/>
        <w:bottom w:val="single" w:sz="6" w:space="13" w:color="BABABA"/>
        <w:right w:val="single" w:sz="6" w:space="14" w:color="BABABA"/>
      </w:pBdr>
      <w:spacing w:before="100" w:beforeAutospacing="1"/>
    </w:pPr>
    <w:rPr>
      <w:rFonts w:ascii="Times New Roman" w:hAnsi="Times New Roman"/>
      <w:sz w:val="24"/>
    </w:rPr>
  </w:style>
  <w:style w:type="paragraph" w:customStyle="1" w:styleId="productlistitem1">
    <w:name w:val="productlistitem1"/>
    <w:basedOn w:val="Normal"/>
    <w:rsid w:val="00F124F2"/>
    <w:pPr>
      <w:pBdr>
        <w:bottom w:val="dotted" w:sz="6" w:space="4" w:color="BABABA"/>
      </w:pBdr>
    </w:pPr>
    <w:rPr>
      <w:rFonts w:ascii="Times New Roman" w:hAnsi="Times New Roman"/>
      <w:sz w:val="24"/>
    </w:rPr>
  </w:style>
  <w:style w:type="paragraph" w:customStyle="1" w:styleId="updateproductlistitem1">
    <w:name w:val="updateproductlistitem1"/>
    <w:basedOn w:val="Normal"/>
    <w:rsid w:val="00F124F2"/>
    <w:pPr>
      <w:pBdr>
        <w:bottom w:val="dotted" w:sz="6" w:space="0" w:color="BABABA"/>
      </w:pBdr>
    </w:pPr>
    <w:rPr>
      <w:rFonts w:ascii="Times New Roman" w:hAnsi="Times New Roman"/>
      <w:sz w:val="24"/>
    </w:rPr>
  </w:style>
  <w:style w:type="paragraph" w:customStyle="1" w:styleId="emailservicename1">
    <w:name w:val="emailservicename1"/>
    <w:basedOn w:val="Normal"/>
    <w:rsid w:val="00F124F2"/>
    <w:pPr>
      <w:spacing w:before="100" w:beforeAutospacing="1" w:after="100" w:afterAutospacing="1"/>
    </w:pPr>
    <w:rPr>
      <w:rFonts w:ascii="Times New Roman" w:hAnsi="Times New Roman"/>
      <w:sz w:val="24"/>
    </w:rPr>
  </w:style>
  <w:style w:type="paragraph" w:customStyle="1" w:styleId="updatefeedservicename1">
    <w:name w:val="updatefeedservicename1"/>
    <w:basedOn w:val="Normal"/>
    <w:rsid w:val="00F124F2"/>
    <w:pPr>
      <w:spacing w:before="75" w:after="100" w:afterAutospacing="1"/>
    </w:pPr>
    <w:rPr>
      <w:rFonts w:ascii="Times New Roman" w:hAnsi="Times New Roman"/>
      <w:sz w:val="24"/>
    </w:rPr>
  </w:style>
  <w:style w:type="paragraph" w:customStyle="1" w:styleId="updatefeedfield1">
    <w:name w:val="updatefeedfield1"/>
    <w:basedOn w:val="Normal"/>
    <w:rsid w:val="00F124F2"/>
    <w:pPr>
      <w:spacing w:before="105" w:after="100" w:afterAutospacing="1"/>
    </w:pPr>
    <w:rPr>
      <w:rFonts w:ascii="Times New Roman" w:hAnsi="Times New Roman"/>
      <w:sz w:val="24"/>
    </w:rPr>
  </w:style>
  <w:style w:type="paragraph" w:customStyle="1" w:styleId="emailservicefrequency1">
    <w:name w:val="emailservicefrequency1"/>
    <w:basedOn w:val="Normal"/>
    <w:rsid w:val="00F124F2"/>
    <w:pPr>
      <w:spacing w:before="100" w:beforeAutospacing="1" w:after="100" w:afterAutospacing="1"/>
      <w:ind w:left="150"/>
      <w:jc w:val="center"/>
    </w:pPr>
    <w:rPr>
      <w:rFonts w:ascii="Times New Roman" w:hAnsi="Times New Roman"/>
      <w:color w:val="212121"/>
      <w:sz w:val="24"/>
    </w:rPr>
  </w:style>
  <w:style w:type="paragraph" w:customStyle="1" w:styleId="legendlabel1">
    <w:name w:val="legendlabel1"/>
    <w:basedOn w:val="Normal"/>
    <w:rsid w:val="00F124F2"/>
    <w:pPr>
      <w:spacing w:after="100" w:afterAutospacing="1"/>
    </w:pPr>
    <w:rPr>
      <w:rFonts w:ascii="Times New Roman" w:hAnsi="Times New Roman"/>
      <w:sz w:val="24"/>
    </w:rPr>
  </w:style>
  <w:style w:type="paragraph" w:customStyle="1" w:styleId="emailserviceaction1">
    <w:name w:val="emailserviceaction1"/>
    <w:basedOn w:val="Normal"/>
    <w:rsid w:val="00F124F2"/>
    <w:pPr>
      <w:spacing w:before="100" w:beforeAutospacing="1" w:after="100" w:afterAutospacing="1"/>
      <w:ind w:left="150"/>
    </w:pPr>
    <w:rPr>
      <w:rFonts w:ascii="Times New Roman" w:hAnsi="Times New Roman"/>
      <w:sz w:val="24"/>
    </w:rPr>
  </w:style>
  <w:style w:type="paragraph" w:customStyle="1" w:styleId="requesttriallink1">
    <w:name w:val="requesttriallink1"/>
    <w:basedOn w:val="Normal"/>
    <w:rsid w:val="00F124F2"/>
    <w:pPr>
      <w:spacing w:before="100" w:beforeAutospacing="1" w:after="100" w:afterAutospacing="1"/>
    </w:pPr>
    <w:rPr>
      <w:rFonts w:ascii="Times New Roman" w:hAnsi="Times New Roman"/>
      <w:color w:val="0F75BC"/>
      <w:sz w:val="24"/>
    </w:rPr>
  </w:style>
  <w:style w:type="paragraph" w:customStyle="1" w:styleId="clear1">
    <w:name w:val="clear1"/>
    <w:basedOn w:val="Normal"/>
    <w:rsid w:val="00F124F2"/>
    <w:pPr>
      <w:spacing w:before="100" w:beforeAutospacing="1" w:after="100" w:afterAutospacing="1"/>
    </w:pPr>
    <w:rPr>
      <w:rFonts w:ascii="Times New Roman" w:hAnsi="Times New Roman"/>
      <w:sz w:val="24"/>
    </w:rPr>
  </w:style>
  <w:style w:type="paragraph" w:customStyle="1" w:styleId="nosubscription1">
    <w:name w:val="nosubscription1"/>
    <w:basedOn w:val="Normal"/>
    <w:rsid w:val="00F124F2"/>
    <w:pPr>
      <w:shd w:val="clear" w:color="auto" w:fill="EDF6FC"/>
      <w:spacing w:before="100" w:beforeAutospacing="1" w:after="100" w:afterAutospacing="1"/>
    </w:pPr>
    <w:rPr>
      <w:rFonts w:ascii="Times New Roman" w:hAnsi="Times New Roman"/>
      <w:sz w:val="24"/>
    </w:rPr>
  </w:style>
  <w:style w:type="paragraph" w:customStyle="1" w:styleId="highlightsubscription1">
    <w:name w:val="highlightsubscription1"/>
    <w:basedOn w:val="Normal"/>
    <w:rsid w:val="00F124F2"/>
    <w:pPr>
      <w:shd w:val="clear" w:color="auto" w:fill="FFFF99"/>
      <w:spacing w:before="100" w:beforeAutospacing="1" w:after="100" w:afterAutospacing="1"/>
    </w:pPr>
    <w:rPr>
      <w:rFonts w:ascii="Times New Roman" w:hAnsi="Times New Roman"/>
      <w:sz w:val="24"/>
    </w:rPr>
  </w:style>
  <w:style w:type="paragraph" w:customStyle="1" w:styleId="unsubscribeoption1">
    <w:name w:val="unsubscribeoption1"/>
    <w:basedOn w:val="Normal"/>
    <w:rsid w:val="00F124F2"/>
    <w:pPr>
      <w:spacing w:before="100" w:beforeAutospacing="1" w:after="135"/>
      <w:ind w:left="135"/>
    </w:pPr>
    <w:rPr>
      <w:rFonts w:ascii="Times New Roman" w:hAnsi="Times New Roman"/>
      <w:sz w:val="24"/>
    </w:rPr>
  </w:style>
  <w:style w:type="paragraph" w:customStyle="1" w:styleId="emailpreferencestext1">
    <w:name w:val="emailpreferencestext1"/>
    <w:basedOn w:val="Normal"/>
    <w:rsid w:val="00F124F2"/>
    <w:pPr>
      <w:spacing w:before="100" w:beforeAutospacing="1" w:after="100" w:afterAutospacing="1" w:line="312" w:lineRule="atLeast"/>
    </w:pPr>
    <w:rPr>
      <w:rFonts w:ascii="Times New Roman" w:hAnsi="Times New Roman"/>
      <w:color w:val="666666"/>
      <w:sz w:val="18"/>
      <w:szCs w:val="18"/>
    </w:rPr>
  </w:style>
  <w:style w:type="paragraph" w:customStyle="1" w:styleId="emailpreferencestext2">
    <w:name w:val="emailpreferencestext2"/>
    <w:basedOn w:val="Normal"/>
    <w:rsid w:val="00F124F2"/>
    <w:pPr>
      <w:spacing w:before="100" w:beforeAutospacing="1" w:after="100" w:afterAutospacing="1" w:line="312" w:lineRule="atLeast"/>
    </w:pPr>
    <w:rPr>
      <w:rFonts w:ascii="Times New Roman" w:hAnsi="Times New Roman"/>
      <w:color w:val="666666"/>
      <w:sz w:val="18"/>
      <w:szCs w:val="18"/>
    </w:rPr>
  </w:style>
  <w:style w:type="paragraph" w:customStyle="1" w:styleId="generic-dynamic-listing-meta-display-date1">
    <w:name w:val="generic-dynamic-listing-meta-display-date1"/>
    <w:basedOn w:val="Normal"/>
    <w:rsid w:val="00F124F2"/>
    <w:pPr>
      <w:spacing w:before="100" w:beforeAutospacing="1" w:after="100" w:afterAutospacing="1"/>
    </w:pPr>
    <w:rPr>
      <w:rFonts w:ascii="Times New Roman" w:hAnsi="Times New Roman"/>
      <w:color w:val="387C2B"/>
      <w:sz w:val="18"/>
      <w:szCs w:val="18"/>
    </w:rPr>
  </w:style>
  <w:style w:type="paragraph" w:customStyle="1" w:styleId="generic-dynamic-listing-meta-display3">
    <w:name w:val="generic-dynamic-listing-meta-display3"/>
    <w:basedOn w:val="Normal"/>
    <w:rsid w:val="00F124F2"/>
    <w:pPr>
      <w:spacing w:before="100" w:beforeAutospacing="1" w:after="60"/>
    </w:pPr>
    <w:rPr>
      <w:rFonts w:ascii="Times New Roman" w:hAnsi="Times New Roman"/>
      <w:color w:val="000000"/>
      <w:sz w:val="20"/>
      <w:szCs w:val="20"/>
    </w:rPr>
  </w:style>
  <w:style w:type="paragraph" w:customStyle="1" w:styleId="generic-dynamic-listing-meta-display-date2">
    <w:name w:val="generic-dynamic-listing-meta-display-date2"/>
    <w:basedOn w:val="Normal"/>
    <w:rsid w:val="00F124F2"/>
    <w:pPr>
      <w:pBdr>
        <w:right w:val="single" w:sz="6" w:space="3" w:color="666666"/>
      </w:pBdr>
      <w:spacing w:before="100" w:beforeAutospacing="1" w:after="100" w:afterAutospacing="1"/>
      <w:ind w:right="60"/>
    </w:pPr>
    <w:rPr>
      <w:rFonts w:ascii="Times New Roman" w:hAnsi="Times New Roman"/>
      <w:b/>
      <w:bCs/>
      <w:color w:val="387C2B"/>
      <w:szCs w:val="22"/>
    </w:rPr>
  </w:style>
  <w:style w:type="paragraph" w:customStyle="1" w:styleId="generic-dynamic-listing-meta-display4">
    <w:name w:val="generic-dynamic-listing-meta-display4"/>
    <w:basedOn w:val="Normal"/>
    <w:rsid w:val="00F124F2"/>
    <w:pPr>
      <w:spacing w:before="100" w:beforeAutospacing="1" w:after="100" w:afterAutospacing="1" w:line="312" w:lineRule="atLeast"/>
    </w:pPr>
    <w:rPr>
      <w:rFonts w:ascii="Times New Roman" w:hAnsi="Times New Roman"/>
      <w:vanish/>
      <w:color w:val="666666"/>
      <w:szCs w:val="22"/>
    </w:rPr>
  </w:style>
  <w:style w:type="paragraph" w:customStyle="1" w:styleId="generic-dynamic-listing-meta-display-date3">
    <w:name w:val="generic-dynamic-listing-meta-display-date3"/>
    <w:basedOn w:val="Normal"/>
    <w:rsid w:val="00F124F2"/>
    <w:pPr>
      <w:spacing w:before="100" w:beforeAutospacing="1" w:after="100" w:afterAutospacing="1" w:line="312" w:lineRule="atLeast"/>
    </w:pPr>
    <w:rPr>
      <w:rFonts w:ascii="Times New Roman" w:hAnsi="Times New Roman"/>
      <w:color w:val="387C2B"/>
      <w:sz w:val="18"/>
      <w:szCs w:val="18"/>
    </w:rPr>
  </w:style>
  <w:style w:type="paragraph" w:customStyle="1" w:styleId="partnerimg1">
    <w:name w:val="partnerimg1"/>
    <w:basedOn w:val="Normal"/>
    <w:rsid w:val="00F124F2"/>
    <w:pPr>
      <w:pBdr>
        <w:top w:val="single" w:sz="6" w:space="0" w:color="BABABA"/>
        <w:left w:val="single" w:sz="6" w:space="0" w:color="BABABA"/>
        <w:bottom w:val="single" w:sz="6" w:space="0" w:color="BABABA"/>
        <w:right w:val="single" w:sz="6" w:space="0" w:color="BABABA"/>
      </w:pBdr>
      <w:jc w:val="center"/>
    </w:pPr>
    <w:rPr>
      <w:rFonts w:ascii="Times New Roman" w:hAnsi="Times New Roman"/>
      <w:sz w:val="24"/>
    </w:rPr>
  </w:style>
  <w:style w:type="paragraph" w:customStyle="1" w:styleId="image3">
    <w:name w:val="image3"/>
    <w:basedOn w:val="Normal"/>
    <w:rsid w:val="00F124F2"/>
    <w:pPr>
      <w:spacing w:before="100" w:beforeAutospacing="1" w:after="100" w:afterAutospacing="1"/>
    </w:pPr>
    <w:rPr>
      <w:rFonts w:ascii="Times New Roman" w:hAnsi="Times New Roman"/>
      <w:sz w:val="24"/>
    </w:rPr>
  </w:style>
  <w:style w:type="paragraph" w:customStyle="1" w:styleId="pane1">
    <w:name w:val="pane1"/>
    <w:basedOn w:val="Normal"/>
    <w:rsid w:val="00F124F2"/>
    <w:pPr>
      <w:shd w:val="clear" w:color="auto" w:fill="FFFFFF"/>
      <w:spacing w:before="100" w:beforeAutospacing="1" w:after="270"/>
    </w:pPr>
    <w:rPr>
      <w:rFonts w:ascii="Times New Roman" w:hAnsi="Times New Roman"/>
      <w:sz w:val="24"/>
    </w:rPr>
  </w:style>
  <w:style w:type="paragraph" w:customStyle="1" w:styleId="pane2">
    <w:name w:val="pane2"/>
    <w:basedOn w:val="Normal"/>
    <w:rsid w:val="00F124F2"/>
    <w:pPr>
      <w:shd w:val="clear" w:color="auto" w:fill="FFFFFF"/>
      <w:spacing w:before="100" w:beforeAutospacing="1" w:after="270"/>
    </w:pPr>
    <w:rPr>
      <w:rFonts w:ascii="Times New Roman" w:hAnsi="Times New Roman"/>
      <w:sz w:val="24"/>
    </w:rPr>
  </w:style>
  <w:style w:type="paragraph" w:customStyle="1" w:styleId="page-heading1">
    <w:name w:val="page-heading1"/>
    <w:basedOn w:val="Normal"/>
    <w:rsid w:val="00F124F2"/>
    <w:pPr>
      <w:pBdr>
        <w:bottom w:val="single" w:sz="6" w:space="0" w:color="BABABA"/>
      </w:pBdr>
      <w:spacing w:before="100" w:beforeAutospacing="1" w:after="135"/>
    </w:pPr>
    <w:rPr>
      <w:rFonts w:ascii="Times New Roman" w:hAnsi="Times New Roman"/>
      <w:sz w:val="24"/>
    </w:rPr>
  </w:style>
  <w:style w:type="paragraph" w:customStyle="1" w:styleId="draftingnotetop3">
    <w:name w:val="draftingnotetop3"/>
    <w:basedOn w:val="Normal"/>
    <w:rsid w:val="00F124F2"/>
    <w:pPr>
      <w:shd w:val="clear" w:color="auto" w:fill="F8F8F8"/>
      <w:spacing w:before="100" w:beforeAutospacing="1" w:after="135"/>
    </w:pPr>
    <w:rPr>
      <w:rFonts w:ascii="Times New Roman" w:hAnsi="Times New Roman"/>
      <w:sz w:val="24"/>
    </w:rPr>
  </w:style>
  <w:style w:type="paragraph" w:customStyle="1" w:styleId="docandnotes3">
    <w:name w:val="docandnotes3"/>
    <w:basedOn w:val="Normal"/>
    <w:rsid w:val="00F124F2"/>
    <w:pPr>
      <w:shd w:val="clear" w:color="auto" w:fill="F8F8F8"/>
      <w:spacing w:after="135"/>
    </w:pPr>
    <w:rPr>
      <w:rFonts w:ascii="Times New Roman" w:hAnsi="Times New Roman"/>
      <w:vanish/>
      <w:sz w:val="24"/>
    </w:rPr>
  </w:style>
  <w:style w:type="paragraph" w:customStyle="1" w:styleId="draftingnoteclose3">
    <w:name w:val="draftingnoteclose3"/>
    <w:basedOn w:val="Normal"/>
    <w:rsid w:val="00F124F2"/>
    <w:pPr>
      <w:shd w:val="clear" w:color="auto" w:fill="F8F8F8"/>
      <w:spacing w:before="100" w:beforeAutospacing="1" w:after="100" w:afterAutospacing="1"/>
    </w:pPr>
    <w:rPr>
      <w:rFonts w:ascii="Times New Roman" w:hAnsi="Times New Roman"/>
      <w:sz w:val="24"/>
    </w:rPr>
  </w:style>
  <w:style w:type="paragraph" w:customStyle="1" w:styleId="large1">
    <w:name w:val="large1"/>
    <w:basedOn w:val="Normal"/>
    <w:rsid w:val="00F124F2"/>
    <w:pPr>
      <w:spacing w:before="100" w:beforeAutospacing="1" w:after="100" w:afterAutospacing="1"/>
    </w:pPr>
    <w:rPr>
      <w:rFonts w:ascii="Times New Roman" w:hAnsi="Times New Roman"/>
      <w:sz w:val="30"/>
      <w:szCs w:val="30"/>
    </w:rPr>
  </w:style>
  <w:style w:type="paragraph" w:customStyle="1" w:styleId="image4">
    <w:name w:val="image4"/>
    <w:basedOn w:val="Normal"/>
    <w:rsid w:val="00F124F2"/>
    <w:pPr>
      <w:spacing w:before="100" w:beforeAutospacing="1" w:after="100" w:afterAutospacing="1"/>
    </w:pPr>
    <w:rPr>
      <w:rFonts w:ascii="Times New Roman" w:hAnsi="Times New Roman"/>
      <w:sz w:val="24"/>
    </w:rPr>
  </w:style>
  <w:style w:type="paragraph" w:customStyle="1" w:styleId="image5">
    <w:name w:val="image5"/>
    <w:basedOn w:val="Normal"/>
    <w:rsid w:val="00F124F2"/>
    <w:pPr>
      <w:spacing w:before="100" w:beforeAutospacing="1" w:after="100" w:afterAutospacing="1"/>
    </w:pPr>
    <w:rPr>
      <w:rFonts w:ascii="Times New Roman" w:hAnsi="Times New Roman"/>
      <w:sz w:val="24"/>
    </w:rPr>
  </w:style>
  <w:style w:type="paragraph" w:customStyle="1" w:styleId="marketing-small-promo1">
    <w:name w:val="marketing-small-promo1"/>
    <w:basedOn w:val="Normal"/>
    <w:rsid w:val="00F124F2"/>
    <w:pPr>
      <w:spacing w:before="100" w:beforeAutospacing="1" w:after="135"/>
    </w:pPr>
    <w:rPr>
      <w:rFonts w:ascii="Times New Roman" w:hAnsi="Times New Roman"/>
      <w:sz w:val="24"/>
    </w:rPr>
  </w:style>
  <w:style w:type="paragraph" w:customStyle="1" w:styleId="large2">
    <w:name w:val="large2"/>
    <w:basedOn w:val="Normal"/>
    <w:rsid w:val="00F124F2"/>
    <w:pPr>
      <w:spacing w:before="100" w:beforeAutospacing="1" w:after="100" w:afterAutospacing="1"/>
      <w:ind w:left="1350"/>
    </w:pPr>
    <w:rPr>
      <w:rFonts w:ascii="Times New Roman" w:hAnsi="Times New Roman"/>
      <w:sz w:val="30"/>
      <w:szCs w:val="30"/>
    </w:rPr>
  </w:style>
  <w:style w:type="paragraph" w:customStyle="1" w:styleId="button5">
    <w:name w:val="button5"/>
    <w:basedOn w:val="Normal"/>
    <w:rsid w:val="00F124F2"/>
    <w:pPr>
      <w:spacing w:before="100" w:beforeAutospacing="1" w:after="100" w:afterAutospacing="1" w:line="450" w:lineRule="atLeast"/>
    </w:pPr>
    <w:rPr>
      <w:rFonts w:ascii="Times New Roman" w:hAnsi="Times New Roman"/>
      <w:sz w:val="30"/>
      <w:szCs w:val="30"/>
    </w:rPr>
  </w:style>
  <w:style w:type="paragraph" w:customStyle="1" w:styleId="large-event-heading1">
    <w:name w:val="large-event-heading1"/>
    <w:basedOn w:val="Normal"/>
    <w:rsid w:val="00F124F2"/>
    <w:pPr>
      <w:spacing w:before="100" w:beforeAutospacing="1" w:after="100" w:afterAutospacing="1"/>
    </w:pPr>
    <w:rPr>
      <w:rFonts w:ascii="Times New Roman" w:hAnsi="Times New Roman"/>
      <w:sz w:val="30"/>
      <w:szCs w:val="30"/>
    </w:rPr>
  </w:style>
  <w:style w:type="paragraph" w:customStyle="1" w:styleId="testimonial1">
    <w:name w:val="testimonial1"/>
    <w:basedOn w:val="Normal"/>
    <w:rsid w:val="00F124F2"/>
    <w:pPr>
      <w:shd w:val="clear" w:color="auto" w:fill="F8F8F8"/>
      <w:spacing w:before="100" w:beforeAutospacing="1" w:after="270"/>
    </w:pPr>
    <w:rPr>
      <w:rFonts w:ascii="Times New Roman" w:hAnsi="Times New Roman"/>
      <w:sz w:val="24"/>
    </w:rPr>
  </w:style>
  <w:style w:type="paragraph" w:customStyle="1" w:styleId="strong3">
    <w:name w:val="strong3"/>
    <w:basedOn w:val="Normal"/>
    <w:rsid w:val="00F124F2"/>
    <w:pPr>
      <w:pBdr>
        <w:left w:val="single" w:sz="36" w:space="0" w:color="FF9100"/>
      </w:pBdr>
      <w:shd w:val="clear" w:color="auto" w:fill="F8F8F8"/>
      <w:ind w:left="270" w:right="270"/>
    </w:pPr>
    <w:rPr>
      <w:rFonts w:ascii="Times New Roman" w:hAnsi="Times New Roman"/>
      <w:b/>
      <w:bCs/>
      <w:color w:val="212121"/>
      <w:sz w:val="24"/>
    </w:rPr>
  </w:style>
  <w:style w:type="character" w:customStyle="1" w:styleId="plc-orangetext4">
    <w:name w:val="plc-orangetext4"/>
    <w:basedOn w:val="DefaultParagraphFont"/>
    <w:rsid w:val="00F124F2"/>
    <w:rPr>
      <w:b w:val="0"/>
      <w:bCs w:val="0"/>
      <w:color w:val="FF9100"/>
    </w:rPr>
  </w:style>
  <w:style w:type="paragraph" w:customStyle="1" w:styleId="caption2">
    <w:name w:val="caption2"/>
    <w:basedOn w:val="Normal"/>
    <w:rsid w:val="00F124F2"/>
    <w:pPr>
      <w:spacing w:before="100" w:beforeAutospacing="1" w:after="100" w:afterAutospacing="1" w:line="336" w:lineRule="atLeast"/>
    </w:pPr>
    <w:rPr>
      <w:rFonts w:ascii="Times New Roman" w:hAnsi="Times New Roman"/>
      <w:color w:val="212121"/>
      <w:sz w:val="21"/>
      <w:szCs w:val="21"/>
    </w:rPr>
  </w:style>
  <w:style w:type="paragraph" w:customStyle="1" w:styleId="caption3">
    <w:name w:val="caption3"/>
    <w:basedOn w:val="Normal"/>
    <w:rsid w:val="00F124F2"/>
    <w:pPr>
      <w:spacing w:before="100" w:beforeAutospacing="1" w:after="100" w:afterAutospacing="1" w:line="336" w:lineRule="atLeast"/>
    </w:pPr>
    <w:rPr>
      <w:rFonts w:ascii="Times New Roman" w:hAnsi="Times New Roman"/>
      <w:color w:val="212121"/>
      <w:sz w:val="27"/>
      <w:szCs w:val="27"/>
    </w:rPr>
  </w:style>
  <w:style w:type="paragraph" w:customStyle="1" w:styleId="standard-col1">
    <w:name w:val="standard-col1"/>
    <w:basedOn w:val="Normal"/>
    <w:rsid w:val="00F124F2"/>
    <w:pPr>
      <w:spacing w:before="100" w:beforeAutospacing="1" w:after="100" w:afterAutospacing="1"/>
    </w:pPr>
    <w:rPr>
      <w:rFonts w:ascii="Times New Roman" w:hAnsi="Times New Roman"/>
      <w:sz w:val="24"/>
    </w:rPr>
  </w:style>
  <w:style w:type="paragraph" w:customStyle="1" w:styleId="radio-checkbox1">
    <w:name w:val="radio-checkbox1"/>
    <w:basedOn w:val="Normal"/>
    <w:rsid w:val="00F124F2"/>
    <w:pPr>
      <w:spacing w:before="100" w:beforeAutospacing="1" w:after="100" w:afterAutospacing="1"/>
    </w:pPr>
    <w:rPr>
      <w:rFonts w:ascii="Times New Roman" w:hAnsi="Times New Roman"/>
      <w:sz w:val="24"/>
    </w:rPr>
  </w:style>
  <w:style w:type="paragraph" w:customStyle="1" w:styleId="content-results1">
    <w:name w:val="content-results1"/>
    <w:basedOn w:val="Normal"/>
    <w:rsid w:val="00F124F2"/>
    <w:pPr>
      <w:spacing w:after="100" w:afterAutospacing="1"/>
    </w:pPr>
    <w:rPr>
      <w:rFonts w:ascii="Times New Roman" w:hAnsi="Times New Roman"/>
      <w:sz w:val="24"/>
    </w:rPr>
  </w:style>
  <w:style w:type="paragraph" w:customStyle="1" w:styleId="content-results2">
    <w:name w:val="content-results2"/>
    <w:basedOn w:val="Normal"/>
    <w:rsid w:val="00F124F2"/>
    <w:pPr>
      <w:spacing w:after="100" w:afterAutospacing="1"/>
    </w:pPr>
    <w:rPr>
      <w:rFonts w:ascii="Times New Roman" w:hAnsi="Times New Roman"/>
      <w:sz w:val="24"/>
    </w:rPr>
  </w:style>
  <w:style w:type="paragraph" w:customStyle="1" w:styleId="row-even1">
    <w:name w:val="row-even1"/>
    <w:basedOn w:val="Normal"/>
    <w:rsid w:val="00F124F2"/>
    <w:pPr>
      <w:shd w:val="clear" w:color="auto" w:fill="F8F8F8"/>
      <w:spacing w:before="100" w:beforeAutospacing="1" w:after="100" w:afterAutospacing="1"/>
    </w:pPr>
    <w:rPr>
      <w:rFonts w:ascii="Times New Roman" w:hAnsi="Times New Roman"/>
      <w:sz w:val="24"/>
    </w:rPr>
  </w:style>
  <w:style w:type="paragraph" w:customStyle="1" w:styleId="tab-right1">
    <w:name w:val="tab-right1"/>
    <w:basedOn w:val="Normal"/>
    <w:rsid w:val="00F124F2"/>
    <w:pPr>
      <w:spacing w:before="100" w:beforeAutospacing="1" w:after="100" w:afterAutospacing="1"/>
    </w:pPr>
    <w:rPr>
      <w:rFonts w:ascii="Times New Roman" w:hAnsi="Times New Roman"/>
      <w:sz w:val="24"/>
    </w:rPr>
  </w:style>
  <w:style w:type="paragraph" w:customStyle="1" w:styleId="search-feedback-maintained1">
    <w:name w:val="search-feedback-maintained1"/>
    <w:basedOn w:val="Normal"/>
    <w:rsid w:val="00F124F2"/>
    <w:pPr>
      <w:spacing w:before="100" w:beforeAutospacing="1" w:after="100" w:afterAutospacing="1"/>
    </w:pPr>
    <w:rPr>
      <w:rFonts w:ascii="Times New Roman" w:hAnsi="Times New Roman"/>
      <w:sz w:val="24"/>
    </w:rPr>
  </w:style>
  <w:style w:type="paragraph" w:customStyle="1" w:styleId="separator1">
    <w:name w:val="separator1"/>
    <w:basedOn w:val="Normal"/>
    <w:rsid w:val="00F124F2"/>
    <w:pPr>
      <w:pBdr>
        <w:bottom w:val="dotted" w:sz="2" w:space="0" w:color="BABABA"/>
      </w:pBdr>
      <w:spacing w:after="135"/>
    </w:pPr>
    <w:rPr>
      <w:rFonts w:ascii="Times New Roman" w:hAnsi="Times New Roman"/>
      <w:sz w:val="24"/>
    </w:rPr>
  </w:style>
  <w:style w:type="paragraph" w:customStyle="1" w:styleId="country-nav1">
    <w:name w:val="country-nav1"/>
    <w:basedOn w:val="Normal"/>
    <w:rsid w:val="00F124F2"/>
    <w:pPr>
      <w:pBdr>
        <w:top w:val="single" w:sz="6" w:space="0" w:color="BABABA"/>
        <w:left w:val="single" w:sz="6" w:space="0" w:color="BABABA"/>
        <w:bottom w:val="single" w:sz="6" w:space="0" w:color="BABABA"/>
        <w:right w:val="single" w:sz="6" w:space="0" w:color="BABABA"/>
      </w:pBdr>
      <w:shd w:val="clear" w:color="auto" w:fill="FFFFFF"/>
      <w:spacing w:before="100" w:beforeAutospacing="1" w:after="100" w:afterAutospacing="1"/>
    </w:pPr>
    <w:rPr>
      <w:rFonts w:ascii="Times New Roman" w:hAnsi="Times New Roman"/>
      <w:sz w:val="24"/>
    </w:rPr>
  </w:style>
  <w:style w:type="paragraph" w:customStyle="1" w:styleId="services-nav1">
    <w:name w:val="services-nav1"/>
    <w:basedOn w:val="Normal"/>
    <w:rsid w:val="00F124F2"/>
    <w:pPr>
      <w:pBdr>
        <w:top w:val="single" w:sz="6" w:space="0" w:color="BABABA"/>
        <w:left w:val="single" w:sz="6" w:space="0" w:color="BABABA"/>
        <w:bottom w:val="single" w:sz="6" w:space="0" w:color="BABABA"/>
        <w:right w:val="single" w:sz="6" w:space="0" w:color="BABABA"/>
      </w:pBdr>
      <w:shd w:val="clear" w:color="auto" w:fill="FFFFFF"/>
      <w:spacing w:before="100" w:beforeAutospacing="1" w:after="100" w:afterAutospacing="1"/>
    </w:pPr>
    <w:rPr>
      <w:rFonts w:ascii="Times New Roman" w:hAnsi="Times New Roman"/>
      <w:sz w:val="24"/>
    </w:rPr>
  </w:style>
  <w:style w:type="paragraph" w:customStyle="1" w:styleId="featured3">
    <w:name w:val="featured3"/>
    <w:basedOn w:val="Normal"/>
    <w:rsid w:val="00F124F2"/>
    <w:pPr>
      <w:pBdr>
        <w:top w:val="single" w:sz="6" w:space="7" w:color="BABABA"/>
        <w:left w:val="single" w:sz="6" w:space="0" w:color="BABABA"/>
        <w:bottom w:val="single" w:sz="6" w:space="0" w:color="BABABA"/>
        <w:right w:val="single" w:sz="6" w:space="0" w:color="BABABA"/>
      </w:pBdr>
      <w:shd w:val="clear" w:color="auto" w:fill="FFFFFF"/>
      <w:spacing w:before="100" w:beforeAutospacing="1" w:after="135"/>
    </w:pPr>
    <w:rPr>
      <w:rFonts w:ascii="Times New Roman" w:hAnsi="Times New Roman"/>
      <w:sz w:val="24"/>
    </w:rPr>
  </w:style>
  <w:style w:type="paragraph" w:customStyle="1" w:styleId="featured4">
    <w:name w:val="featured4"/>
    <w:basedOn w:val="Normal"/>
    <w:rsid w:val="00F124F2"/>
    <w:pPr>
      <w:pBdr>
        <w:top w:val="single" w:sz="6" w:space="7" w:color="BABABA"/>
        <w:left w:val="single" w:sz="6" w:space="0" w:color="BABABA"/>
        <w:bottom w:val="single" w:sz="6" w:space="0" w:color="BABABA"/>
        <w:right w:val="single" w:sz="6" w:space="0" w:color="BABABA"/>
      </w:pBdr>
      <w:shd w:val="clear" w:color="auto" w:fill="FFFFFF"/>
      <w:spacing w:before="100" w:beforeAutospacing="1" w:after="135"/>
    </w:pPr>
    <w:rPr>
      <w:rFonts w:ascii="Times New Roman" w:hAnsi="Times New Roman"/>
      <w:sz w:val="24"/>
    </w:rPr>
  </w:style>
  <w:style w:type="paragraph" w:customStyle="1" w:styleId="image6">
    <w:name w:val="image6"/>
    <w:basedOn w:val="Normal"/>
    <w:rsid w:val="00F124F2"/>
    <w:pPr>
      <w:spacing w:before="100" w:beforeAutospacing="1"/>
    </w:pPr>
    <w:rPr>
      <w:rFonts w:ascii="Times New Roman" w:hAnsi="Times New Roman"/>
      <w:sz w:val="24"/>
    </w:rPr>
  </w:style>
  <w:style w:type="paragraph" w:customStyle="1" w:styleId="image7">
    <w:name w:val="image7"/>
    <w:basedOn w:val="Normal"/>
    <w:rsid w:val="00F124F2"/>
    <w:pPr>
      <w:spacing w:before="100" w:beforeAutospacing="1" w:after="100" w:afterAutospacing="1"/>
      <w:ind w:left="5140"/>
    </w:pPr>
    <w:rPr>
      <w:rFonts w:ascii="Times New Roman" w:hAnsi="Times New Roman"/>
      <w:sz w:val="24"/>
    </w:rPr>
  </w:style>
  <w:style w:type="paragraph" w:customStyle="1" w:styleId="image8">
    <w:name w:val="image8"/>
    <w:basedOn w:val="Normal"/>
    <w:rsid w:val="00F124F2"/>
    <w:pPr>
      <w:spacing w:before="100" w:beforeAutospacing="1"/>
    </w:pPr>
    <w:rPr>
      <w:rFonts w:ascii="Times New Roman" w:hAnsi="Times New Roman"/>
      <w:sz w:val="24"/>
    </w:rPr>
  </w:style>
  <w:style w:type="paragraph" w:customStyle="1" w:styleId="image9">
    <w:name w:val="image9"/>
    <w:basedOn w:val="Normal"/>
    <w:rsid w:val="00F124F2"/>
    <w:pPr>
      <w:spacing w:before="100" w:beforeAutospacing="1"/>
    </w:pPr>
    <w:rPr>
      <w:rFonts w:ascii="Times New Roman" w:hAnsi="Times New Roman"/>
      <w:sz w:val="24"/>
    </w:rPr>
  </w:style>
  <w:style w:type="paragraph" w:customStyle="1" w:styleId="image10">
    <w:name w:val="image10"/>
    <w:basedOn w:val="Normal"/>
    <w:rsid w:val="00F124F2"/>
    <w:pPr>
      <w:spacing w:before="100" w:beforeAutospacing="1"/>
    </w:pPr>
    <w:rPr>
      <w:rFonts w:ascii="Times New Roman" w:hAnsi="Times New Roman"/>
      <w:sz w:val="24"/>
    </w:rPr>
  </w:style>
  <w:style w:type="paragraph" w:customStyle="1" w:styleId="image11">
    <w:name w:val="image11"/>
    <w:basedOn w:val="Normal"/>
    <w:rsid w:val="00F124F2"/>
    <w:pPr>
      <w:pBdr>
        <w:top w:val="single" w:sz="6" w:space="0" w:color="BABABA"/>
        <w:left w:val="single" w:sz="6" w:space="0" w:color="BABABA"/>
        <w:bottom w:val="single" w:sz="6" w:space="0" w:color="BABABA"/>
        <w:right w:val="single" w:sz="6" w:space="0" w:color="BABABA"/>
      </w:pBdr>
      <w:spacing w:before="100" w:beforeAutospacing="1" w:after="270"/>
      <w:jc w:val="center"/>
    </w:pPr>
    <w:rPr>
      <w:rFonts w:ascii="Times New Roman" w:hAnsi="Times New Roman"/>
      <w:sz w:val="24"/>
    </w:rPr>
  </w:style>
  <w:style w:type="paragraph" w:customStyle="1" w:styleId="image12">
    <w:name w:val="image12"/>
    <w:basedOn w:val="Normal"/>
    <w:rsid w:val="00F124F2"/>
    <w:pPr>
      <w:spacing w:before="100" w:beforeAutospacing="1"/>
    </w:pPr>
    <w:rPr>
      <w:rFonts w:ascii="Times New Roman" w:hAnsi="Times New Roman"/>
      <w:vanish/>
      <w:sz w:val="24"/>
    </w:rPr>
  </w:style>
  <w:style w:type="paragraph" w:customStyle="1" w:styleId="end1">
    <w:name w:val="end1"/>
    <w:basedOn w:val="Normal"/>
    <w:rsid w:val="00F124F2"/>
    <w:pPr>
      <w:spacing w:before="100" w:beforeAutospacing="1" w:after="100" w:afterAutospacing="1"/>
      <w:ind w:left="1350"/>
    </w:pPr>
    <w:rPr>
      <w:rFonts w:ascii="Times New Roman" w:hAnsi="Times New Roman"/>
      <w:sz w:val="24"/>
    </w:rPr>
  </w:style>
  <w:style w:type="paragraph" w:customStyle="1" w:styleId="available1">
    <w:name w:val="available1"/>
    <w:basedOn w:val="Normal"/>
    <w:rsid w:val="00F124F2"/>
    <w:pPr>
      <w:spacing w:before="100" w:beforeAutospacing="1" w:after="100" w:afterAutospacing="1"/>
      <w:ind w:left="1350"/>
    </w:pPr>
    <w:rPr>
      <w:rFonts w:ascii="Times New Roman" w:hAnsi="Times New Roman"/>
      <w:color w:val="387C2B"/>
      <w:sz w:val="18"/>
      <w:szCs w:val="18"/>
    </w:rPr>
  </w:style>
  <w:style w:type="paragraph" w:customStyle="1" w:styleId="coming-soon1">
    <w:name w:val="coming-soon1"/>
    <w:basedOn w:val="Normal"/>
    <w:rsid w:val="00F124F2"/>
    <w:pPr>
      <w:spacing w:before="100" w:beforeAutospacing="1" w:after="100" w:afterAutospacing="1"/>
      <w:ind w:left="1350"/>
    </w:pPr>
    <w:rPr>
      <w:rFonts w:ascii="Times New Roman" w:hAnsi="Times New Roman"/>
      <w:color w:val="666666"/>
      <w:sz w:val="18"/>
      <w:szCs w:val="18"/>
    </w:rPr>
  </w:style>
  <w:style w:type="paragraph" w:customStyle="1" w:styleId="image13">
    <w:name w:val="image13"/>
    <w:basedOn w:val="Normal"/>
    <w:rsid w:val="00F124F2"/>
    <w:pPr>
      <w:spacing w:after="135"/>
    </w:pPr>
    <w:rPr>
      <w:rFonts w:ascii="Times New Roman" w:hAnsi="Times New Roman"/>
      <w:sz w:val="24"/>
    </w:rPr>
  </w:style>
  <w:style w:type="paragraph" w:customStyle="1" w:styleId="border1">
    <w:name w:val="border1"/>
    <w:basedOn w:val="Normal"/>
    <w:rsid w:val="00F124F2"/>
    <w:pPr>
      <w:spacing w:before="100" w:beforeAutospacing="1" w:after="100" w:afterAutospacing="1"/>
    </w:pPr>
    <w:rPr>
      <w:rFonts w:ascii="Times New Roman" w:hAnsi="Times New Roman"/>
      <w:sz w:val="24"/>
    </w:rPr>
  </w:style>
  <w:style w:type="paragraph" w:customStyle="1" w:styleId="small1">
    <w:name w:val="small1"/>
    <w:basedOn w:val="Normal"/>
    <w:rsid w:val="00F124F2"/>
    <w:rPr>
      <w:rFonts w:ascii="Times New Roman" w:hAnsi="Times New Roman"/>
      <w:sz w:val="20"/>
      <w:szCs w:val="20"/>
    </w:rPr>
  </w:style>
  <w:style w:type="paragraph" w:customStyle="1" w:styleId="x-grid3-cell-inner1">
    <w:name w:val="x-grid3-cell-inner1"/>
    <w:basedOn w:val="Normal"/>
    <w:rsid w:val="00F124F2"/>
    <w:pPr>
      <w:spacing w:before="100" w:beforeAutospacing="1" w:after="100" w:afterAutospacing="1"/>
    </w:pPr>
    <w:rPr>
      <w:rFonts w:ascii="Times New Roman" w:hAnsi="Times New Roman"/>
      <w:sz w:val="24"/>
    </w:rPr>
  </w:style>
  <w:style w:type="paragraph" w:customStyle="1" w:styleId="x-panel-body1">
    <w:name w:val="x-panel-body1"/>
    <w:basedOn w:val="Normal"/>
    <w:rsid w:val="00F124F2"/>
    <w:pPr>
      <w:pBdr>
        <w:top w:val="single" w:sz="2" w:space="0" w:color="auto"/>
        <w:left w:val="single" w:sz="2" w:space="0" w:color="auto"/>
        <w:bottom w:val="single" w:sz="2" w:space="0" w:color="auto"/>
        <w:right w:val="single" w:sz="2" w:space="0" w:color="auto"/>
      </w:pBdr>
      <w:spacing w:before="100" w:beforeAutospacing="1" w:after="100" w:afterAutospacing="1"/>
    </w:pPr>
    <w:rPr>
      <w:rFonts w:ascii="Times New Roman" w:hAnsi="Times New Roman"/>
      <w:sz w:val="24"/>
    </w:rPr>
  </w:style>
  <w:style w:type="paragraph" w:customStyle="1" w:styleId="x-toolbar1">
    <w:name w:val="x-toolbar1"/>
    <w:basedOn w:val="Normal"/>
    <w:rsid w:val="00F124F2"/>
    <w:pPr>
      <w:pBdr>
        <w:top w:val="single" w:sz="2" w:space="4" w:color="auto"/>
        <w:left w:val="single" w:sz="2" w:space="0" w:color="auto"/>
        <w:bottom w:val="single" w:sz="2" w:space="4" w:color="auto"/>
        <w:right w:val="single" w:sz="2" w:space="0" w:color="auto"/>
      </w:pBdr>
      <w:shd w:val="clear" w:color="auto" w:fill="FFFFFF"/>
      <w:spacing w:before="100" w:beforeAutospacing="1" w:after="100" w:afterAutospacing="1"/>
    </w:pPr>
    <w:rPr>
      <w:rFonts w:ascii="Times New Roman" w:hAnsi="Times New Roman"/>
      <w:sz w:val="24"/>
    </w:rPr>
  </w:style>
  <w:style w:type="paragraph" w:customStyle="1" w:styleId="x-grid3-header1">
    <w:name w:val="x-grid3-header1"/>
    <w:basedOn w:val="Normal"/>
    <w:rsid w:val="00F124F2"/>
    <w:pPr>
      <w:pBdr>
        <w:top w:val="single" w:sz="6" w:space="0" w:color="BABABA"/>
        <w:bottom w:val="single" w:sz="6" w:space="0" w:color="BABABA"/>
      </w:pBdr>
      <w:shd w:val="clear" w:color="auto" w:fill="F8F8F8"/>
      <w:spacing w:before="100" w:beforeAutospacing="1" w:after="100" w:afterAutospacing="1"/>
    </w:pPr>
    <w:rPr>
      <w:rFonts w:ascii="Times New Roman" w:hAnsi="Times New Roman"/>
      <w:sz w:val="24"/>
    </w:rPr>
  </w:style>
  <w:style w:type="paragraph" w:customStyle="1" w:styleId="x-grid3-hd-inner1">
    <w:name w:val="x-grid3-hd-inner1"/>
    <w:basedOn w:val="Normal"/>
    <w:rsid w:val="00F124F2"/>
    <w:pPr>
      <w:spacing w:before="100" w:beforeAutospacing="1" w:after="100" w:afterAutospacing="1"/>
    </w:pPr>
    <w:rPr>
      <w:rFonts w:ascii="Times New Roman" w:hAnsi="Times New Roman"/>
      <w:b/>
      <w:bCs/>
      <w:sz w:val="24"/>
    </w:rPr>
  </w:style>
  <w:style w:type="paragraph" w:customStyle="1" w:styleId="x-grid3-row1">
    <w:name w:val="x-grid3-row1"/>
    <w:basedOn w:val="Normal"/>
    <w:rsid w:val="00F124F2"/>
    <w:pPr>
      <w:pBdr>
        <w:top w:val="single" w:sz="2" w:space="0" w:color="auto"/>
        <w:left w:val="single" w:sz="2" w:space="0" w:color="auto"/>
        <w:bottom w:val="single" w:sz="6" w:space="0" w:color="BABABA"/>
        <w:right w:val="single" w:sz="2" w:space="0" w:color="auto"/>
      </w:pBdr>
      <w:spacing w:before="100" w:beforeAutospacing="1" w:after="100" w:afterAutospacing="1"/>
    </w:pPr>
    <w:rPr>
      <w:rFonts w:ascii="Times New Roman" w:hAnsi="Times New Roman"/>
      <w:sz w:val="24"/>
    </w:rPr>
  </w:style>
  <w:style w:type="paragraph" w:customStyle="1" w:styleId="x-grid3-hd-over1">
    <w:name w:val="x-grid3-hd-over1"/>
    <w:basedOn w:val="Normal"/>
    <w:rsid w:val="00F124F2"/>
    <w:pPr>
      <w:spacing w:before="100" w:beforeAutospacing="1" w:after="100" w:afterAutospacing="1"/>
    </w:pPr>
    <w:rPr>
      <w:rFonts w:ascii="Times New Roman" w:hAnsi="Times New Roman"/>
      <w:color w:val="005A84"/>
      <w:sz w:val="24"/>
    </w:rPr>
  </w:style>
  <w:style w:type="paragraph" w:customStyle="1" w:styleId="x-window-bwrap1">
    <w:name w:val="x-window-bwrap1"/>
    <w:basedOn w:val="Normal"/>
    <w:rsid w:val="00F124F2"/>
    <w:pPr>
      <w:spacing w:before="100" w:beforeAutospacing="1" w:after="100" w:afterAutospacing="1"/>
    </w:pPr>
    <w:rPr>
      <w:rFonts w:ascii="Times New Roman" w:hAnsi="Times New Roman"/>
      <w:sz w:val="24"/>
    </w:rPr>
  </w:style>
  <w:style w:type="paragraph" w:customStyle="1" w:styleId="x-panel-body2">
    <w:name w:val="x-panel-body2"/>
    <w:basedOn w:val="Normal"/>
    <w:rsid w:val="00F124F2"/>
    <w:pPr>
      <w:spacing w:before="100" w:beforeAutospacing="1" w:after="100" w:afterAutospacing="1"/>
    </w:pPr>
    <w:rPr>
      <w:rFonts w:ascii="Times New Roman" w:hAnsi="Times New Roman"/>
      <w:sz w:val="24"/>
    </w:rPr>
  </w:style>
  <w:style w:type="paragraph" w:customStyle="1" w:styleId="x-window-ml1">
    <w:name w:val="x-window-ml1"/>
    <w:basedOn w:val="Normal"/>
    <w:rsid w:val="00F124F2"/>
    <w:pPr>
      <w:shd w:val="clear" w:color="auto" w:fill="FFFFFF"/>
      <w:spacing w:before="100" w:beforeAutospacing="1" w:after="100" w:afterAutospacing="1"/>
    </w:pPr>
    <w:rPr>
      <w:rFonts w:ascii="Times New Roman" w:hAnsi="Times New Roman"/>
      <w:sz w:val="24"/>
    </w:rPr>
  </w:style>
  <w:style w:type="paragraph" w:customStyle="1" w:styleId="x-window-mr1">
    <w:name w:val="x-window-mr1"/>
    <w:basedOn w:val="Normal"/>
    <w:rsid w:val="00F124F2"/>
    <w:pPr>
      <w:shd w:val="clear" w:color="auto" w:fill="FFFFFF"/>
      <w:spacing w:before="100" w:beforeAutospacing="1" w:after="100" w:afterAutospacing="1"/>
    </w:pPr>
    <w:rPr>
      <w:rFonts w:ascii="Times New Roman" w:hAnsi="Times New Roman"/>
      <w:sz w:val="24"/>
    </w:rPr>
  </w:style>
  <w:style w:type="paragraph" w:customStyle="1" w:styleId="x-window-mc1">
    <w:name w:val="x-window-mc1"/>
    <w:basedOn w:val="Normal"/>
    <w:rsid w:val="00F124F2"/>
    <w:pPr>
      <w:shd w:val="clear" w:color="auto" w:fill="FFFFFF"/>
      <w:spacing w:before="100" w:beforeAutospacing="1" w:after="100" w:afterAutospacing="1"/>
    </w:pPr>
    <w:rPr>
      <w:rFonts w:ascii="Times New Roman" w:hAnsi="Times New Roman"/>
      <w:sz w:val="24"/>
    </w:rPr>
  </w:style>
  <w:style w:type="paragraph" w:customStyle="1" w:styleId="x-window-tl1">
    <w:name w:val="x-window-tl1"/>
    <w:basedOn w:val="Normal"/>
    <w:rsid w:val="00F124F2"/>
    <w:pPr>
      <w:shd w:val="clear" w:color="auto" w:fill="FFFFFF"/>
      <w:spacing w:before="100" w:beforeAutospacing="1" w:after="100" w:afterAutospacing="1"/>
    </w:pPr>
    <w:rPr>
      <w:rFonts w:ascii="Times New Roman" w:hAnsi="Times New Roman"/>
      <w:sz w:val="24"/>
    </w:rPr>
  </w:style>
  <w:style w:type="paragraph" w:customStyle="1" w:styleId="x-window-tr1">
    <w:name w:val="x-window-tr1"/>
    <w:basedOn w:val="Normal"/>
    <w:rsid w:val="00F124F2"/>
    <w:pPr>
      <w:shd w:val="clear" w:color="auto" w:fill="FFFFFF"/>
      <w:spacing w:before="100" w:beforeAutospacing="1" w:after="100" w:afterAutospacing="1"/>
    </w:pPr>
    <w:rPr>
      <w:rFonts w:ascii="Times New Roman" w:hAnsi="Times New Roman"/>
      <w:sz w:val="24"/>
    </w:rPr>
  </w:style>
  <w:style w:type="paragraph" w:customStyle="1" w:styleId="x-window-tc1">
    <w:name w:val="x-window-tc1"/>
    <w:basedOn w:val="Normal"/>
    <w:rsid w:val="00F124F2"/>
    <w:pPr>
      <w:shd w:val="clear" w:color="auto" w:fill="FFFFFF"/>
      <w:spacing w:before="100" w:beforeAutospacing="1" w:after="100" w:afterAutospacing="1"/>
    </w:pPr>
    <w:rPr>
      <w:rFonts w:ascii="Times New Roman" w:hAnsi="Times New Roman"/>
      <w:sz w:val="24"/>
    </w:rPr>
  </w:style>
  <w:style w:type="paragraph" w:customStyle="1" w:styleId="x-window-ml2">
    <w:name w:val="x-window-ml2"/>
    <w:basedOn w:val="Normal"/>
    <w:rsid w:val="00F124F2"/>
    <w:pPr>
      <w:shd w:val="clear" w:color="auto" w:fill="FFFFFF"/>
      <w:spacing w:before="100" w:beforeAutospacing="1" w:after="100" w:afterAutospacing="1"/>
    </w:pPr>
    <w:rPr>
      <w:rFonts w:ascii="Times New Roman" w:hAnsi="Times New Roman"/>
      <w:sz w:val="24"/>
    </w:rPr>
  </w:style>
  <w:style w:type="paragraph" w:customStyle="1" w:styleId="x-window-mr2">
    <w:name w:val="x-window-mr2"/>
    <w:basedOn w:val="Normal"/>
    <w:rsid w:val="00F124F2"/>
    <w:pPr>
      <w:shd w:val="clear" w:color="auto" w:fill="FFFFFF"/>
      <w:spacing w:before="100" w:beforeAutospacing="1" w:after="100" w:afterAutospacing="1"/>
    </w:pPr>
    <w:rPr>
      <w:rFonts w:ascii="Times New Roman" w:hAnsi="Times New Roman"/>
      <w:sz w:val="24"/>
    </w:rPr>
  </w:style>
  <w:style w:type="paragraph" w:customStyle="1" w:styleId="x-window-mc2">
    <w:name w:val="x-window-mc2"/>
    <w:basedOn w:val="Normal"/>
    <w:rsid w:val="00F124F2"/>
    <w:pPr>
      <w:shd w:val="clear" w:color="auto" w:fill="FFFFFF"/>
      <w:spacing w:before="100" w:beforeAutospacing="1" w:after="100" w:afterAutospacing="1"/>
    </w:pPr>
    <w:rPr>
      <w:rFonts w:ascii="Times New Roman" w:hAnsi="Times New Roman"/>
      <w:sz w:val="24"/>
    </w:rPr>
  </w:style>
  <w:style w:type="paragraph" w:customStyle="1" w:styleId="x-window-tl2">
    <w:name w:val="x-window-tl2"/>
    <w:basedOn w:val="Normal"/>
    <w:rsid w:val="00F124F2"/>
    <w:pPr>
      <w:pBdr>
        <w:top w:val="single" w:sz="6" w:space="0" w:color="BABABA"/>
        <w:left w:val="single" w:sz="6" w:space="0" w:color="BABABA"/>
        <w:bottom w:val="single" w:sz="2" w:space="0" w:color="BABABA"/>
        <w:right w:val="single" w:sz="6" w:space="4" w:color="BABABA"/>
      </w:pBdr>
      <w:shd w:val="clear" w:color="auto" w:fill="FFFFFF"/>
      <w:spacing w:before="100" w:beforeAutospacing="1" w:after="100" w:afterAutospacing="1"/>
    </w:pPr>
    <w:rPr>
      <w:rFonts w:ascii="Times New Roman" w:hAnsi="Times New Roman"/>
      <w:sz w:val="24"/>
    </w:rPr>
  </w:style>
  <w:style w:type="paragraph" w:customStyle="1" w:styleId="x-window-tr2">
    <w:name w:val="x-window-tr2"/>
    <w:basedOn w:val="Normal"/>
    <w:rsid w:val="00F124F2"/>
    <w:pPr>
      <w:shd w:val="clear" w:color="auto" w:fill="FFFFFF"/>
      <w:spacing w:before="100" w:beforeAutospacing="1" w:after="100" w:afterAutospacing="1"/>
    </w:pPr>
    <w:rPr>
      <w:rFonts w:ascii="Times New Roman" w:hAnsi="Times New Roman"/>
      <w:sz w:val="24"/>
    </w:rPr>
  </w:style>
  <w:style w:type="paragraph" w:customStyle="1" w:styleId="x-window-tc2">
    <w:name w:val="x-window-tc2"/>
    <w:basedOn w:val="Normal"/>
    <w:rsid w:val="00F124F2"/>
    <w:pPr>
      <w:shd w:val="clear" w:color="auto" w:fill="FFFFFF"/>
      <w:spacing w:before="100" w:beforeAutospacing="1" w:after="100" w:afterAutospacing="1"/>
    </w:pPr>
    <w:rPr>
      <w:rFonts w:ascii="Times New Roman" w:hAnsi="Times New Roman"/>
      <w:sz w:val="24"/>
    </w:rPr>
  </w:style>
  <w:style w:type="paragraph" w:customStyle="1" w:styleId="x-window-header1">
    <w:name w:val="x-window-header1"/>
    <w:basedOn w:val="Normal"/>
    <w:rsid w:val="00F124F2"/>
    <w:pPr>
      <w:pBdr>
        <w:bottom w:val="single" w:sz="6" w:space="8" w:color="BABABA"/>
      </w:pBdr>
      <w:spacing w:before="75" w:after="75"/>
      <w:ind w:left="75" w:right="75"/>
    </w:pPr>
    <w:rPr>
      <w:rFonts w:ascii="Times New Roman" w:hAnsi="Times New Roman"/>
      <w:sz w:val="24"/>
    </w:rPr>
  </w:style>
  <w:style w:type="paragraph" w:customStyle="1" w:styleId="x-panel-icon1">
    <w:name w:val="x-panel-icon1"/>
    <w:basedOn w:val="Normal"/>
    <w:rsid w:val="00F124F2"/>
    <w:pPr>
      <w:spacing w:before="100" w:beforeAutospacing="1" w:after="100" w:afterAutospacing="1"/>
    </w:pPr>
    <w:rPr>
      <w:rFonts w:ascii="Times New Roman" w:hAnsi="Times New Roman"/>
      <w:sz w:val="24"/>
    </w:rPr>
  </w:style>
  <w:style w:type="paragraph" w:customStyle="1" w:styleId="x-tool-close1">
    <w:name w:val="x-tool-close1"/>
    <w:basedOn w:val="Normal"/>
    <w:rsid w:val="00F124F2"/>
    <w:pPr>
      <w:spacing w:after="100" w:afterAutospacing="1"/>
    </w:pPr>
    <w:rPr>
      <w:rFonts w:ascii="Times New Roman" w:hAnsi="Times New Roman"/>
      <w:sz w:val="24"/>
    </w:rPr>
  </w:style>
  <w:style w:type="paragraph" w:customStyle="1" w:styleId="x-window-header-text1">
    <w:name w:val="x-window-header-text1"/>
    <w:basedOn w:val="Normal"/>
    <w:rsid w:val="00F124F2"/>
    <w:pPr>
      <w:spacing w:before="100" w:beforeAutospacing="1" w:after="100" w:afterAutospacing="1"/>
    </w:pPr>
    <w:rPr>
      <w:rFonts w:ascii="Times New Roman" w:hAnsi="Times New Roman"/>
      <w:color w:val="333366"/>
      <w:sz w:val="18"/>
      <w:szCs w:val="18"/>
    </w:rPr>
  </w:style>
  <w:style w:type="paragraph" w:customStyle="1" w:styleId="x-panel-nofooter1">
    <w:name w:val="x-panel-nofooter1"/>
    <w:basedOn w:val="Normal"/>
    <w:rsid w:val="00F124F2"/>
    <w:pPr>
      <w:spacing w:before="100" w:beforeAutospacing="1" w:after="100" w:afterAutospacing="1"/>
    </w:pPr>
    <w:rPr>
      <w:rFonts w:ascii="Times New Roman" w:hAnsi="Times New Roman"/>
      <w:vanish/>
      <w:sz w:val="24"/>
    </w:rPr>
  </w:style>
  <w:style w:type="paragraph" w:customStyle="1" w:styleId="x-grid31">
    <w:name w:val="x-grid31"/>
    <w:basedOn w:val="Normal"/>
    <w:rsid w:val="00F124F2"/>
    <w:pPr>
      <w:pBdr>
        <w:top w:val="single" w:sz="2" w:space="0" w:color="auto"/>
        <w:left w:val="single" w:sz="2" w:space="0" w:color="auto"/>
        <w:bottom w:val="single" w:sz="2" w:space="0" w:color="auto"/>
        <w:right w:val="single" w:sz="2" w:space="0" w:color="auto"/>
      </w:pBdr>
      <w:spacing w:before="100" w:beforeAutospacing="1" w:after="100" w:afterAutospacing="1"/>
    </w:pPr>
    <w:rPr>
      <w:rFonts w:ascii="Times New Roman" w:hAnsi="Times New Roman"/>
      <w:sz w:val="24"/>
    </w:rPr>
  </w:style>
  <w:style w:type="paragraph" w:customStyle="1" w:styleId="x-grid3-row2">
    <w:name w:val="x-grid3-row2"/>
    <w:basedOn w:val="Normal"/>
    <w:rsid w:val="00F124F2"/>
    <w:pPr>
      <w:spacing w:before="100" w:beforeAutospacing="1" w:after="100" w:afterAutospacing="1"/>
    </w:pPr>
    <w:rPr>
      <w:rFonts w:ascii="Times New Roman" w:hAnsi="Times New Roman"/>
      <w:color w:val="005A84"/>
      <w:sz w:val="24"/>
    </w:rPr>
  </w:style>
  <w:style w:type="paragraph" w:customStyle="1" w:styleId="x-panel-tbar1">
    <w:name w:val="x-panel-tbar1"/>
    <w:basedOn w:val="Normal"/>
    <w:rsid w:val="00F124F2"/>
    <w:pPr>
      <w:pBdr>
        <w:top w:val="single" w:sz="24" w:space="0" w:color="EAEAEA"/>
        <w:left w:val="single" w:sz="24" w:space="0" w:color="EAEAEA"/>
        <w:bottom w:val="single" w:sz="24" w:space="0" w:color="EAEAEA"/>
        <w:right w:val="single" w:sz="24" w:space="0" w:color="EAEAEA"/>
      </w:pBdr>
      <w:shd w:val="clear" w:color="auto" w:fill="FFFFFF"/>
      <w:spacing w:before="100" w:beforeAutospacing="1" w:after="100" w:afterAutospacing="1"/>
    </w:pPr>
    <w:rPr>
      <w:rFonts w:ascii="Times New Roman" w:hAnsi="Times New Roman"/>
      <w:sz w:val="24"/>
    </w:rPr>
  </w:style>
  <w:style w:type="paragraph" w:customStyle="1" w:styleId="x-panel-bbar1">
    <w:name w:val="x-panel-bbar1"/>
    <w:basedOn w:val="Normal"/>
    <w:rsid w:val="00F124F2"/>
    <w:pPr>
      <w:pBdr>
        <w:top w:val="single" w:sz="24" w:space="0" w:color="EAEAEA"/>
        <w:left w:val="single" w:sz="24" w:space="0" w:color="EAEAEA"/>
        <w:bottom w:val="single" w:sz="24" w:space="0" w:color="EAEAEA"/>
        <w:right w:val="single" w:sz="24" w:space="0" w:color="EAEAEA"/>
      </w:pBdr>
      <w:shd w:val="clear" w:color="auto" w:fill="FFFFFF"/>
      <w:spacing w:before="100" w:beforeAutospacing="1" w:after="100" w:afterAutospacing="1"/>
    </w:pPr>
    <w:rPr>
      <w:rFonts w:ascii="Times New Roman" w:hAnsi="Times New Roman"/>
      <w:sz w:val="24"/>
    </w:rPr>
  </w:style>
  <w:style w:type="paragraph" w:customStyle="1" w:styleId="x-toolbar2">
    <w:name w:val="x-toolbar2"/>
    <w:basedOn w:val="Normal"/>
    <w:rsid w:val="00F124F2"/>
    <w:pPr>
      <w:pBdr>
        <w:top w:val="single" w:sz="6" w:space="4" w:color="BABABA"/>
        <w:left w:val="single" w:sz="6" w:space="4" w:color="BABABA"/>
        <w:bottom w:val="single" w:sz="6" w:space="4" w:color="BABABA"/>
        <w:right w:val="single" w:sz="6" w:space="4" w:color="BABABA"/>
      </w:pBdr>
      <w:shd w:val="clear" w:color="auto" w:fill="FFFFFF"/>
      <w:spacing w:before="100" w:beforeAutospacing="1" w:after="100" w:afterAutospacing="1"/>
    </w:pPr>
    <w:rPr>
      <w:rFonts w:ascii="Times New Roman" w:hAnsi="Times New Roman"/>
      <w:color w:val="666666"/>
      <w:sz w:val="24"/>
    </w:rPr>
  </w:style>
  <w:style w:type="paragraph" w:customStyle="1" w:styleId="x-window-body1">
    <w:name w:val="x-window-body1"/>
    <w:basedOn w:val="Normal"/>
    <w:rsid w:val="00F124F2"/>
    <w:pPr>
      <w:spacing w:before="100" w:beforeAutospacing="1" w:after="100" w:afterAutospacing="1"/>
    </w:pPr>
    <w:rPr>
      <w:rFonts w:ascii="Times New Roman" w:hAnsi="Times New Roman"/>
      <w:sz w:val="24"/>
    </w:rPr>
  </w:style>
  <w:style w:type="paragraph" w:customStyle="1" w:styleId="x-window-body2">
    <w:name w:val="x-window-body2"/>
    <w:basedOn w:val="Normal"/>
    <w:rsid w:val="00F124F2"/>
    <w:pPr>
      <w:pBdr>
        <w:top w:val="single" w:sz="2" w:space="8" w:color="BABABA"/>
        <w:left w:val="single" w:sz="6" w:space="8" w:color="BABABA"/>
        <w:bottom w:val="single" w:sz="6" w:space="8" w:color="BABABA"/>
        <w:right w:val="single" w:sz="6" w:space="8" w:color="BABABA"/>
      </w:pBdr>
      <w:spacing w:before="100" w:beforeAutospacing="1" w:after="100" w:afterAutospacing="1"/>
    </w:pPr>
    <w:rPr>
      <w:rFonts w:ascii="Times New Roman" w:hAnsi="Times New Roman"/>
      <w:sz w:val="24"/>
    </w:rPr>
  </w:style>
  <w:style w:type="paragraph" w:customStyle="1" w:styleId="x-window-bl1">
    <w:name w:val="x-window-bl1"/>
    <w:basedOn w:val="Normal"/>
    <w:rsid w:val="00F124F2"/>
    <w:pPr>
      <w:spacing w:before="100" w:beforeAutospacing="1" w:after="100" w:afterAutospacing="1"/>
    </w:pPr>
    <w:rPr>
      <w:rFonts w:ascii="Times New Roman" w:hAnsi="Times New Roman"/>
      <w:vanish/>
      <w:sz w:val="24"/>
    </w:rPr>
  </w:style>
  <w:style w:type="paragraph" w:customStyle="1" w:styleId="ytb-sep1">
    <w:name w:val="ytb-sep1"/>
    <w:basedOn w:val="Normal"/>
    <w:rsid w:val="00F124F2"/>
    <w:pPr>
      <w:spacing w:before="100" w:beforeAutospacing="1" w:after="100" w:afterAutospacing="1"/>
    </w:pPr>
    <w:rPr>
      <w:rFonts w:ascii="Times New Roman" w:hAnsi="Times New Roman"/>
      <w:sz w:val="24"/>
    </w:rPr>
  </w:style>
  <w:style w:type="paragraph" w:customStyle="1" w:styleId="plcwm-inner1">
    <w:name w:val="plcwm-inner1"/>
    <w:basedOn w:val="Normal"/>
    <w:rsid w:val="00F124F2"/>
    <w:pPr>
      <w:pBdr>
        <w:top w:val="single" w:sz="6" w:space="0" w:color="BABABA"/>
        <w:left w:val="single" w:sz="6" w:space="0" w:color="BABABA"/>
        <w:bottom w:val="single" w:sz="6" w:space="0" w:color="BABABA"/>
        <w:right w:val="single" w:sz="6" w:space="0" w:color="BABABA"/>
      </w:pBdr>
      <w:shd w:val="clear" w:color="auto" w:fill="FFFFFF"/>
    </w:pPr>
    <w:rPr>
      <w:rFonts w:ascii="Times New Roman" w:hAnsi="Times New Roman"/>
      <w:sz w:val="24"/>
    </w:rPr>
  </w:style>
  <w:style w:type="paragraph" w:customStyle="1" w:styleId="inline-image1">
    <w:name w:val="inline-image1"/>
    <w:basedOn w:val="Normal"/>
    <w:rsid w:val="00F124F2"/>
    <w:pPr>
      <w:spacing w:before="100" w:beforeAutospacing="1" w:after="100" w:afterAutospacing="1"/>
    </w:pPr>
    <w:rPr>
      <w:rFonts w:ascii="Times New Roman" w:hAnsi="Times New Roman"/>
      <w:sz w:val="24"/>
    </w:rPr>
  </w:style>
  <w:style w:type="paragraph" w:customStyle="1" w:styleId="statusbar3">
    <w:name w:val="statusbar3"/>
    <w:basedOn w:val="Normal"/>
    <w:rsid w:val="00F124F2"/>
    <w:pPr>
      <w:spacing w:before="100" w:beforeAutospacing="1" w:after="100" w:afterAutospacing="1"/>
    </w:pPr>
    <w:rPr>
      <w:rFonts w:ascii="Times New Roman" w:hAnsi="Times New Roman"/>
      <w:vanish/>
      <w:sz w:val="24"/>
    </w:rPr>
  </w:style>
  <w:style w:type="paragraph" w:customStyle="1" w:styleId="statusbar4">
    <w:name w:val="statusbar4"/>
    <w:basedOn w:val="Normal"/>
    <w:rsid w:val="00F124F2"/>
    <w:pPr>
      <w:spacing w:before="100" w:beforeAutospacing="1" w:after="100" w:afterAutospacing="1"/>
    </w:pPr>
    <w:rPr>
      <w:rFonts w:ascii="Times New Roman" w:hAnsi="Times New Roman"/>
      <w:vanish/>
      <w:sz w:val="24"/>
    </w:rPr>
  </w:style>
  <w:style w:type="paragraph" w:customStyle="1" w:styleId="featured5">
    <w:name w:val="featured5"/>
    <w:basedOn w:val="Normal"/>
    <w:rsid w:val="00F124F2"/>
    <w:pPr>
      <w:shd w:val="clear" w:color="auto" w:fill="FFFFFF"/>
      <w:spacing w:before="100" w:beforeAutospacing="1"/>
    </w:pPr>
    <w:rPr>
      <w:rFonts w:ascii="Times New Roman" w:hAnsi="Times New Roman"/>
      <w:sz w:val="24"/>
    </w:rPr>
  </w:style>
  <w:style w:type="paragraph" w:customStyle="1" w:styleId="more-link3">
    <w:name w:val="more-link3"/>
    <w:basedOn w:val="Normal"/>
    <w:rsid w:val="00F124F2"/>
    <w:pPr>
      <w:pBdr>
        <w:top w:val="single" w:sz="6" w:space="7" w:color="BABABA"/>
        <w:left w:val="single" w:sz="6" w:space="7" w:color="BABABA"/>
        <w:bottom w:val="single" w:sz="6" w:space="7" w:color="BABABA"/>
        <w:right w:val="single" w:sz="6" w:space="7" w:color="BABABA"/>
      </w:pBdr>
      <w:ind w:left="135"/>
    </w:pPr>
    <w:rPr>
      <w:rFonts w:ascii="Times New Roman" w:hAnsi="Times New Roman"/>
      <w:color w:val="005A84"/>
      <w:sz w:val="20"/>
      <w:szCs w:val="20"/>
    </w:rPr>
  </w:style>
  <w:style w:type="paragraph" w:customStyle="1" w:styleId="more-link4">
    <w:name w:val="more-link4"/>
    <w:basedOn w:val="Normal"/>
    <w:rsid w:val="00F124F2"/>
    <w:pPr>
      <w:pBdr>
        <w:top w:val="single" w:sz="6" w:space="7" w:color="999999"/>
        <w:left w:val="single" w:sz="6" w:space="7" w:color="999999"/>
        <w:bottom w:val="single" w:sz="6" w:space="7" w:color="999999"/>
        <w:right w:val="single" w:sz="6" w:space="7" w:color="999999"/>
      </w:pBdr>
      <w:ind w:left="135"/>
    </w:pPr>
    <w:rPr>
      <w:rFonts w:ascii="Times New Roman" w:hAnsi="Times New Roman"/>
      <w:color w:val="005A84"/>
      <w:sz w:val="20"/>
      <w:szCs w:val="20"/>
    </w:rPr>
  </w:style>
  <w:style w:type="character" w:customStyle="1" w:styleId="plc-orangetext5">
    <w:name w:val="plc-orangetext5"/>
    <w:basedOn w:val="DefaultParagraphFont"/>
    <w:rsid w:val="00F124F2"/>
    <w:rPr>
      <w:rFonts w:ascii="Arial" w:hAnsi="Arial" w:cs="Arial" w:hint="default"/>
      <w:b w:val="0"/>
      <w:bCs w:val="0"/>
      <w:color w:val="FF9100"/>
      <w:sz w:val="42"/>
      <w:szCs w:val="42"/>
    </w:rPr>
  </w:style>
  <w:style w:type="paragraph" w:customStyle="1" w:styleId="caption4">
    <w:name w:val="caption4"/>
    <w:basedOn w:val="Normal"/>
    <w:rsid w:val="00F124F2"/>
    <w:pPr>
      <w:spacing w:before="100" w:beforeAutospacing="1" w:after="135" w:line="288" w:lineRule="atLeast"/>
    </w:pPr>
    <w:rPr>
      <w:rFonts w:ascii="Times New Roman" w:hAnsi="Times New Roman"/>
      <w:color w:val="212121"/>
      <w:sz w:val="21"/>
      <w:szCs w:val="21"/>
    </w:rPr>
  </w:style>
  <w:style w:type="character" w:customStyle="1" w:styleId="plc-orangetext6">
    <w:name w:val="plc-orangetext6"/>
    <w:basedOn w:val="DefaultParagraphFont"/>
    <w:rsid w:val="00F124F2"/>
    <w:rPr>
      <w:rFonts w:ascii="Arial" w:hAnsi="Arial" w:cs="Arial" w:hint="default"/>
      <w:b w:val="0"/>
      <w:bCs w:val="0"/>
      <w:color w:val="FF9100"/>
      <w:sz w:val="21"/>
      <w:szCs w:val="21"/>
    </w:rPr>
  </w:style>
  <w:style w:type="paragraph" w:customStyle="1" w:styleId="image14">
    <w:name w:val="image14"/>
    <w:basedOn w:val="Normal"/>
    <w:rsid w:val="00F124F2"/>
    <w:pPr>
      <w:spacing w:before="100" w:beforeAutospacing="1" w:after="100" w:afterAutospacing="1"/>
    </w:pPr>
    <w:rPr>
      <w:rFonts w:ascii="Times New Roman" w:hAnsi="Times New Roman"/>
      <w:sz w:val="24"/>
    </w:rPr>
  </w:style>
  <w:style w:type="paragraph" w:customStyle="1" w:styleId="button6">
    <w:name w:val="button6"/>
    <w:basedOn w:val="Normal"/>
    <w:rsid w:val="00F124F2"/>
    <w:pPr>
      <w:spacing w:before="100" w:beforeAutospacing="1" w:after="100" w:afterAutospacing="1" w:line="450" w:lineRule="atLeast"/>
    </w:pPr>
    <w:rPr>
      <w:rFonts w:ascii="Times New Roman" w:hAnsi="Times New Roman"/>
      <w:sz w:val="30"/>
      <w:szCs w:val="30"/>
    </w:rPr>
  </w:style>
  <w:style w:type="paragraph" w:customStyle="1" w:styleId="pane3">
    <w:name w:val="pane3"/>
    <w:basedOn w:val="Normal"/>
    <w:rsid w:val="00F124F2"/>
    <w:pPr>
      <w:pBdr>
        <w:top w:val="single" w:sz="2" w:space="13" w:color="BABABA"/>
        <w:left w:val="single" w:sz="6" w:space="0" w:color="BABABA"/>
        <w:bottom w:val="single" w:sz="6" w:space="7" w:color="BABABA"/>
        <w:right w:val="single" w:sz="6" w:space="0" w:color="BABABA"/>
      </w:pBdr>
      <w:shd w:val="clear" w:color="auto" w:fill="FFFFFF"/>
      <w:spacing w:before="100" w:beforeAutospacing="1" w:after="270"/>
    </w:pPr>
    <w:rPr>
      <w:rFonts w:ascii="Times New Roman" w:hAnsi="Times New Roman"/>
      <w:sz w:val="24"/>
    </w:rPr>
  </w:style>
  <w:style w:type="paragraph" w:customStyle="1" w:styleId="glossary-indexes1">
    <w:name w:val="glossary-indexes1"/>
    <w:basedOn w:val="Normal"/>
    <w:rsid w:val="00F124F2"/>
    <w:pPr>
      <w:pBdr>
        <w:top w:val="single" w:sz="2" w:space="0" w:color="BABABA"/>
        <w:left w:val="single" w:sz="6" w:space="0" w:color="BABABA"/>
        <w:bottom w:val="single" w:sz="6" w:space="6" w:color="BABABA"/>
        <w:right w:val="single" w:sz="6" w:space="0" w:color="BABABA"/>
      </w:pBdr>
      <w:spacing w:after="135"/>
    </w:pPr>
    <w:rPr>
      <w:rFonts w:ascii="Times New Roman" w:hAnsi="Times New Roman"/>
      <w:sz w:val="24"/>
    </w:rPr>
  </w:style>
  <w:style w:type="character" w:customStyle="1" w:styleId="glossary-index2">
    <w:name w:val="glossary-index2"/>
    <w:basedOn w:val="DefaultParagraphFont"/>
    <w:rsid w:val="00F124F2"/>
    <w:rPr>
      <w:b/>
      <w:bCs/>
      <w:color w:val="828282"/>
      <w:shd w:val="clear" w:color="auto" w:fill="FFFFFF"/>
    </w:rPr>
  </w:style>
  <w:style w:type="character" w:customStyle="1" w:styleId="maintained3">
    <w:name w:val="maintained3"/>
    <w:basedOn w:val="DefaultParagraphFont"/>
    <w:rsid w:val="00F124F2"/>
    <w:rPr>
      <w:color w:val="387C2B"/>
    </w:rPr>
  </w:style>
  <w:style w:type="character" w:customStyle="1" w:styleId="not-maintained3">
    <w:name w:val="not-maintained3"/>
    <w:basedOn w:val="DefaultParagraphFont"/>
    <w:rsid w:val="00F124F2"/>
    <w:rPr>
      <w:color w:val="A00000"/>
    </w:rPr>
  </w:style>
  <w:style w:type="character" w:customStyle="1" w:styleId="printlink1">
    <w:name w:val="printlink1"/>
    <w:basedOn w:val="DefaultParagraphFont"/>
    <w:rsid w:val="00F124F2"/>
    <w:rPr>
      <w:vanish/>
      <w:webHidden w:val="0"/>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397731">
      <w:marLeft w:val="0"/>
      <w:marRight w:val="0"/>
      <w:marTop w:val="0"/>
      <w:marBottom w:val="0"/>
      <w:divBdr>
        <w:top w:val="single" w:sz="2" w:space="7" w:color="BABABA"/>
        <w:left w:val="single" w:sz="2" w:space="14" w:color="BABABA"/>
        <w:bottom w:val="single" w:sz="2" w:space="7" w:color="BABABA"/>
        <w:right w:val="single" w:sz="2" w:space="14" w:color="BABABA"/>
      </w:divBdr>
    </w:div>
    <w:div w:id="137646776">
      <w:marLeft w:val="0"/>
      <w:marRight w:val="0"/>
      <w:marTop w:val="135"/>
      <w:marBottom w:val="0"/>
      <w:divBdr>
        <w:top w:val="none" w:sz="0" w:space="0" w:color="auto"/>
        <w:left w:val="none" w:sz="0" w:space="0" w:color="auto"/>
        <w:bottom w:val="none" w:sz="0" w:space="0" w:color="auto"/>
        <w:right w:val="none" w:sz="0" w:space="0" w:color="auto"/>
      </w:divBdr>
    </w:div>
    <w:div w:id="184949664">
      <w:marLeft w:val="0"/>
      <w:marRight w:val="0"/>
      <w:marTop w:val="0"/>
      <w:marBottom w:val="0"/>
      <w:divBdr>
        <w:top w:val="none" w:sz="0" w:space="0" w:color="auto"/>
        <w:left w:val="none" w:sz="0" w:space="0" w:color="auto"/>
        <w:bottom w:val="none" w:sz="0" w:space="0" w:color="auto"/>
        <w:right w:val="none" w:sz="0" w:space="0" w:color="auto"/>
      </w:divBdr>
    </w:div>
    <w:div w:id="195310435">
      <w:marLeft w:val="0"/>
      <w:marRight w:val="0"/>
      <w:marTop w:val="0"/>
      <w:marBottom w:val="0"/>
      <w:divBdr>
        <w:top w:val="none" w:sz="0" w:space="0" w:color="auto"/>
        <w:left w:val="none" w:sz="0" w:space="0" w:color="auto"/>
        <w:bottom w:val="none" w:sz="0" w:space="0" w:color="auto"/>
        <w:right w:val="none" w:sz="0" w:space="0" w:color="auto"/>
      </w:divBdr>
      <w:divsChild>
        <w:div w:id="15864556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9896872">
      <w:marLeft w:val="0"/>
      <w:marRight w:val="0"/>
      <w:marTop w:val="0"/>
      <w:marBottom w:val="0"/>
      <w:divBdr>
        <w:top w:val="none" w:sz="0" w:space="0" w:color="auto"/>
        <w:left w:val="none" w:sz="0" w:space="0" w:color="auto"/>
        <w:bottom w:val="none" w:sz="0" w:space="0" w:color="auto"/>
        <w:right w:val="none" w:sz="0" w:space="0" w:color="auto"/>
      </w:divBdr>
    </w:div>
    <w:div w:id="554656277">
      <w:marLeft w:val="0"/>
      <w:marRight w:val="0"/>
      <w:marTop w:val="0"/>
      <w:marBottom w:val="0"/>
      <w:divBdr>
        <w:top w:val="none" w:sz="0" w:space="0" w:color="auto"/>
        <w:left w:val="none" w:sz="0" w:space="0" w:color="auto"/>
        <w:bottom w:val="none" w:sz="0" w:space="0" w:color="auto"/>
        <w:right w:val="none" w:sz="0" w:space="0" w:color="auto"/>
      </w:divBdr>
    </w:div>
    <w:div w:id="557516035">
      <w:marLeft w:val="0"/>
      <w:marRight w:val="0"/>
      <w:marTop w:val="0"/>
      <w:marBottom w:val="0"/>
      <w:divBdr>
        <w:top w:val="single" w:sz="2" w:space="7" w:color="BABABA"/>
        <w:left w:val="single" w:sz="2" w:space="14" w:color="BABABA"/>
        <w:bottom w:val="single" w:sz="2" w:space="7" w:color="BABABA"/>
        <w:right w:val="single" w:sz="2" w:space="14" w:color="BABABA"/>
      </w:divBdr>
      <w:divsChild>
        <w:div w:id="1323310897">
          <w:marLeft w:val="0"/>
          <w:marRight w:val="0"/>
          <w:marTop w:val="0"/>
          <w:marBottom w:val="0"/>
          <w:divBdr>
            <w:top w:val="none" w:sz="0" w:space="0" w:color="auto"/>
            <w:left w:val="none" w:sz="0" w:space="0" w:color="auto"/>
            <w:bottom w:val="none" w:sz="0" w:space="0" w:color="auto"/>
            <w:right w:val="none" w:sz="0" w:space="0" w:color="auto"/>
          </w:divBdr>
        </w:div>
      </w:divsChild>
    </w:div>
    <w:div w:id="582564801">
      <w:blockQuote w:val="1"/>
      <w:marLeft w:val="720"/>
      <w:marRight w:val="720"/>
      <w:marTop w:val="100"/>
      <w:marBottom w:val="100"/>
      <w:divBdr>
        <w:top w:val="none" w:sz="0" w:space="0" w:color="auto"/>
        <w:left w:val="none" w:sz="0" w:space="0" w:color="auto"/>
        <w:bottom w:val="none" w:sz="0" w:space="0" w:color="auto"/>
        <w:right w:val="none" w:sz="0" w:space="0" w:color="auto"/>
      </w:divBdr>
    </w:div>
    <w:div w:id="621421716">
      <w:marLeft w:val="0"/>
      <w:marRight w:val="0"/>
      <w:marTop w:val="0"/>
      <w:marBottom w:val="0"/>
      <w:divBdr>
        <w:top w:val="none" w:sz="0" w:space="0" w:color="auto"/>
        <w:left w:val="none" w:sz="0" w:space="0" w:color="auto"/>
        <w:bottom w:val="none" w:sz="0" w:space="0" w:color="auto"/>
        <w:right w:val="none" w:sz="0" w:space="0" w:color="auto"/>
      </w:divBdr>
      <w:divsChild>
        <w:div w:id="70845828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240558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697660766">
      <w:marLeft w:val="0"/>
      <w:marRight w:val="0"/>
      <w:marTop w:val="0"/>
      <w:marBottom w:val="0"/>
      <w:divBdr>
        <w:top w:val="none" w:sz="0" w:space="0" w:color="auto"/>
        <w:left w:val="none" w:sz="0" w:space="0" w:color="auto"/>
        <w:bottom w:val="none" w:sz="0" w:space="0" w:color="auto"/>
        <w:right w:val="none" w:sz="0" w:space="0" w:color="auto"/>
      </w:divBdr>
      <w:divsChild>
        <w:div w:id="66803205">
          <w:marLeft w:val="0"/>
          <w:marRight w:val="0"/>
          <w:marTop w:val="0"/>
          <w:marBottom w:val="75"/>
          <w:divBdr>
            <w:top w:val="none" w:sz="0" w:space="0" w:color="auto"/>
            <w:left w:val="none" w:sz="0" w:space="0" w:color="auto"/>
            <w:bottom w:val="none" w:sz="0" w:space="0" w:color="auto"/>
            <w:right w:val="none" w:sz="0" w:space="0" w:color="auto"/>
          </w:divBdr>
        </w:div>
        <w:div w:id="226114530">
          <w:marLeft w:val="0"/>
          <w:marRight w:val="0"/>
          <w:marTop w:val="0"/>
          <w:marBottom w:val="75"/>
          <w:divBdr>
            <w:top w:val="none" w:sz="0" w:space="0" w:color="auto"/>
            <w:left w:val="none" w:sz="0" w:space="0" w:color="auto"/>
            <w:bottom w:val="none" w:sz="0" w:space="0" w:color="auto"/>
            <w:right w:val="none" w:sz="0" w:space="0" w:color="auto"/>
          </w:divBdr>
        </w:div>
        <w:div w:id="860315865">
          <w:marLeft w:val="330"/>
          <w:marRight w:val="0"/>
          <w:marTop w:val="0"/>
          <w:marBottom w:val="135"/>
          <w:divBdr>
            <w:top w:val="none" w:sz="0" w:space="0" w:color="auto"/>
            <w:left w:val="none" w:sz="0" w:space="0" w:color="auto"/>
            <w:bottom w:val="none" w:sz="0" w:space="0" w:color="auto"/>
            <w:right w:val="none" w:sz="0" w:space="0" w:color="auto"/>
          </w:divBdr>
          <w:divsChild>
            <w:div w:id="1472211870">
              <w:marLeft w:val="0"/>
              <w:marRight w:val="0"/>
              <w:marTop w:val="0"/>
              <w:marBottom w:val="75"/>
              <w:divBdr>
                <w:top w:val="none" w:sz="0" w:space="0" w:color="auto"/>
                <w:left w:val="none" w:sz="0" w:space="0" w:color="auto"/>
                <w:bottom w:val="none" w:sz="0" w:space="0" w:color="auto"/>
                <w:right w:val="none" w:sz="0" w:space="0" w:color="auto"/>
              </w:divBdr>
            </w:div>
            <w:div w:id="1761901414">
              <w:marLeft w:val="0"/>
              <w:marRight w:val="0"/>
              <w:marTop w:val="0"/>
              <w:marBottom w:val="75"/>
              <w:divBdr>
                <w:top w:val="none" w:sz="0" w:space="0" w:color="auto"/>
                <w:left w:val="none" w:sz="0" w:space="0" w:color="auto"/>
                <w:bottom w:val="none" w:sz="0" w:space="0" w:color="auto"/>
                <w:right w:val="none" w:sz="0" w:space="0" w:color="auto"/>
              </w:divBdr>
            </w:div>
          </w:divsChild>
        </w:div>
        <w:div w:id="465246318">
          <w:marLeft w:val="0"/>
          <w:marRight w:val="0"/>
          <w:marTop w:val="0"/>
          <w:marBottom w:val="75"/>
          <w:divBdr>
            <w:top w:val="none" w:sz="0" w:space="0" w:color="auto"/>
            <w:left w:val="none" w:sz="0" w:space="0" w:color="auto"/>
            <w:bottom w:val="none" w:sz="0" w:space="0" w:color="auto"/>
            <w:right w:val="none" w:sz="0" w:space="0" w:color="auto"/>
          </w:divBdr>
        </w:div>
        <w:div w:id="105083683">
          <w:marLeft w:val="330"/>
          <w:marRight w:val="0"/>
          <w:marTop w:val="0"/>
          <w:marBottom w:val="135"/>
          <w:divBdr>
            <w:top w:val="none" w:sz="0" w:space="0" w:color="auto"/>
            <w:left w:val="none" w:sz="0" w:space="0" w:color="auto"/>
            <w:bottom w:val="none" w:sz="0" w:space="0" w:color="auto"/>
            <w:right w:val="none" w:sz="0" w:space="0" w:color="auto"/>
          </w:divBdr>
          <w:divsChild>
            <w:div w:id="873543213">
              <w:marLeft w:val="0"/>
              <w:marRight w:val="0"/>
              <w:marTop w:val="0"/>
              <w:marBottom w:val="75"/>
              <w:divBdr>
                <w:top w:val="none" w:sz="0" w:space="0" w:color="auto"/>
                <w:left w:val="none" w:sz="0" w:space="0" w:color="auto"/>
                <w:bottom w:val="none" w:sz="0" w:space="0" w:color="auto"/>
                <w:right w:val="none" w:sz="0" w:space="0" w:color="auto"/>
              </w:divBdr>
            </w:div>
            <w:div w:id="1662851299">
              <w:marLeft w:val="0"/>
              <w:marRight w:val="0"/>
              <w:marTop w:val="0"/>
              <w:marBottom w:val="75"/>
              <w:divBdr>
                <w:top w:val="none" w:sz="0" w:space="0" w:color="auto"/>
                <w:left w:val="none" w:sz="0" w:space="0" w:color="auto"/>
                <w:bottom w:val="none" w:sz="0" w:space="0" w:color="auto"/>
                <w:right w:val="none" w:sz="0" w:space="0" w:color="auto"/>
              </w:divBdr>
            </w:div>
            <w:div w:id="984554948">
              <w:marLeft w:val="0"/>
              <w:marRight w:val="0"/>
              <w:marTop w:val="0"/>
              <w:marBottom w:val="75"/>
              <w:divBdr>
                <w:top w:val="none" w:sz="0" w:space="0" w:color="auto"/>
                <w:left w:val="none" w:sz="0" w:space="0" w:color="auto"/>
                <w:bottom w:val="none" w:sz="0" w:space="0" w:color="auto"/>
                <w:right w:val="none" w:sz="0" w:space="0" w:color="auto"/>
              </w:divBdr>
            </w:div>
          </w:divsChild>
        </w:div>
        <w:div w:id="738333067">
          <w:marLeft w:val="0"/>
          <w:marRight w:val="0"/>
          <w:marTop w:val="0"/>
          <w:marBottom w:val="75"/>
          <w:divBdr>
            <w:top w:val="none" w:sz="0" w:space="0" w:color="auto"/>
            <w:left w:val="none" w:sz="0" w:space="0" w:color="auto"/>
            <w:bottom w:val="none" w:sz="0" w:space="0" w:color="auto"/>
            <w:right w:val="none" w:sz="0" w:space="0" w:color="auto"/>
          </w:divBdr>
        </w:div>
        <w:div w:id="316424575">
          <w:marLeft w:val="330"/>
          <w:marRight w:val="0"/>
          <w:marTop w:val="0"/>
          <w:marBottom w:val="135"/>
          <w:divBdr>
            <w:top w:val="none" w:sz="0" w:space="0" w:color="auto"/>
            <w:left w:val="none" w:sz="0" w:space="0" w:color="auto"/>
            <w:bottom w:val="none" w:sz="0" w:space="0" w:color="auto"/>
            <w:right w:val="none" w:sz="0" w:space="0" w:color="auto"/>
          </w:divBdr>
          <w:divsChild>
            <w:div w:id="488135807">
              <w:marLeft w:val="0"/>
              <w:marRight w:val="0"/>
              <w:marTop w:val="0"/>
              <w:marBottom w:val="75"/>
              <w:divBdr>
                <w:top w:val="none" w:sz="0" w:space="0" w:color="auto"/>
                <w:left w:val="none" w:sz="0" w:space="0" w:color="auto"/>
                <w:bottom w:val="none" w:sz="0" w:space="0" w:color="auto"/>
                <w:right w:val="none" w:sz="0" w:space="0" w:color="auto"/>
              </w:divBdr>
            </w:div>
            <w:div w:id="364910150">
              <w:marLeft w:val="0"/>
              <w:marRight w:val="0"/>
              <w:marTop w:val="0"/>
              <w:marBottom w:val="75"/>
              <w:divBdr>
                <w:top w:val="none" w:sz="0" w:space="0" w:color="auto"/>
                <w:left w:val="none" w:sz="0" w:space="0" w:color="auto"/>
                <w:bottom w:val="none" w:sz="0" w:space="0" w:color="auto"/>
                <w:right w:val="none" w:sz="0" w:space="0" w:color="auto"/>
              </w:divBdr>
            </w:div>
            <w:div w:id="2135052462">
              <w:marLeft w:val="0"/>
              <w:marRight w:val="0"/>
              <w:marTop w:val="0"/>
              <w:marBottom w:val="75"/>
              <w:divBdr>
                <w:top w:val="none" w:sz="0" w:space="0" w:color="auto"/>
                <w:left w:val="none" w:sz="0" w:space="0" w:color="auto"/>
                <w:bottom w:val="none" w:sz="0" w:space="0" w:color="auto"/>
                <w:right w:val="none" w:sz="0" w:space="0" w:color="auto"/>
              </w:divBdr>
            </w:div>
            <w:div w:id="839348801">
              <w:marLeft w:val="0"/>
              <w:marRight w:val="0"/>
              <w:marTop w:val="0"/>
              <w:marBottom w:val="75"/>
              <w:divBdr>
                <w:top w:val="none" w:sz="0" w:space="0" w:color="auto"/>
                <w:left w:val="none" w:sz="0" w:space="0" w:color="auto"/>
                <w:bottom w:val="none" w:sz="0" w:space="0" w:color="auto"/>
                <w:right w:val="none" w:sz="0" w:space="0" w:color="auto"/>
              </w:divBdr>
            </w:div>
            <w:div w:id="1575748495">
              <w:marLeft w:val="0"/>
              <w:marRight w:val="0"/>
              <w:marTop w:val="0"/>
              <w:marBottom w:val="75"/>
              <w:divBdr>
                <w:top w:val="none" w:sz="0" w:space="0" w:color="auto"/>
                <w:left w:val="none" w:sz="0" w:space="0" w:color="auto"/>
                <w:bottom w:val="none" w:sz="0" w:space="0" w:color="auto"/>
                <w:right w:val="none" w:sz="0" w:space="0" w:color="auto"/>
              </w:divBdr>
            </w:div>
            <w:div w:id="2142845596">
              <w:marLeft w:val="0"/>
              <w:marRight w:val="0"/>
              <w:marTop w:val="0"/>
              <w:marBottom w:val="75"/>
              <w:divBdr>
                <w:top w:val="none" w:sz="0" w:space="0" w:color="auto"/>
                <w:left w:val="none" w:sz="0" w:space="0" w:color="auto"/>
                <w:bottom w:val="none" w:sz="0" w:space="0" w:color="auto"/>
                <w:right w:val="none" w:sz="0" w:space="0" w:color="auto"/>
              </w:divBdr>
            </w:div>
            <w:div w:id="299072631">
              <w:marLeft w:val="0"/>
              <w:marRight w:val="0"/>
              <w:marTop w:val="0"/>
              <w:marBottom w:val="75"/>
              <w:divBdr>
                <w:top w:val="none" w:sz="0" w:space="0" w:color="auto"/>
                <w:left w:val="none" w:sz="0" w:space="0" w:color="auto"/>
                <w:bottom w:val="none" w:sz="0" w:space="0" w:color="auto"/>
                <w:right w:val="none" w:sz="0" w:space="0" w:color="auto"/>
              </w:divBdr>
            </w:div>
          </w:divsChild>
        </w:div>
        <w:div w:id="894774742">
          <w:marLeft w:val="0"/>
          <w:marRight w:val="0"/>
          <w:marTop w:val="0"/>
          <w:marBottom w:val="75"/>
          <w:divBdr>
            <w:top w:val="none" w:sz="0" w:space="0" w:color="auto"/>
            <w:left w:val="none" w:sz="0" w:space="0" w:color="auto"/>
            <w:bottom w:val="none" w:sz="0" w:space="0" w:color="auto"/>
            <w:right w:val="none" w:sz="0" w:space="0" w:color="auto"/>
          </w:divBdr>
        </w:div>
        <w:div w:id="521551235">
          <w:marLeft w:val="330"/>
          <w:marRight w:val="0"/>
          <w:marTop w:val="0"/>
          <w:marBottom w:val="135"/>
          <w:divBdr>
            <w:top w:val="none" w:sz="0" w:space="0" w:color="auto"/>
            <w:left w:val="none" w:sz="0" w:space="0" w:color="auto"/>
            <w:bottom w:val="none" w:sz="0" w:space="0" w:color="auto"/>
            <w:right w:val="none" w:sz="0" w:space="0" w:color="auto"/>
          </w:divBdr>
          <w:divsChild>
            <w:div w:id="314843420">
              <w:marLeft w:val="0"/>
              <w:marRight w:val="0"/>
              <w:marTop w:val="0"/>
              <w:marBottom w:val="75"/>
              <w:divBdr>
                <w:top w:val="none" w:sz="0" w:space="0" w:color="auto"/>
                <w:left w:val="none" w:sz="0" w:space="0" w:color="auto"/>
                <w:bottom w:val="none" w:sz="0" w:space="0" w:color="auto"/>
                <w:right w:val="none" w:sz="0" w:space="0" w:color="auto"/>
              </w:divBdr>
            </w:div>
            <w:div w:id="1347637587">
              <w:marLeft w:val="0"/>
              <w:marRight w:val="0"/>
              <w:marTop w:val="0"/>
              <w:marBottom w:val="75"/>
              <w:divBdr>
                <w:top w:val="none" w:sz="0" w:space="0" w:color="auto"/>
                <w:left w:val="none" w:sz="0" w:space="0" w:color="auto"/>
                <w:bottom w:val="none" w:sz="0" w:space="0" w:color="auto"/>
                <w:right w:val="none" w:sz="0" w:space="0" w:color="auto"/>
              </w:divBdr>
            </w:div>
            <w:div w:id="1886790155">
              <w:marLeft w:val="0"/>
              <w:marRight w:val="0"/>
              <w:marTop w:val="0"/>
              <w:marBottom w:val="75"/>
              <w:divBdr>
                <w:top w:val="none" w:sz="0" w:space="0" w:color="auto"/>
                <w:left w:val="none" w:sz="0" w:space="0" w:color="auto"/>
                <w:bottom w:val="none" w:sz="0" w:space="0" w:color="auto"/>
                <w:right w:val="none" w:sz="0" w:space="0" w:color="auto"/>
              </w:divBdr>
            </w:div>
          </w:divsChild>
        </w:div>
        <w:div w:id="1742370159">
          <w:marLeft w:val="0"/>
          <w:marRight w:val="0"/>
          <w:marTop w:val="0"/>
          <w:marBottom w:val="75"/>
          <w:divBdr>
            <w:top w:val="none" w:sz="0" w:space="0" w:color="auto"/>
            <w:left w:val="none" w:sz="0" w:space="0" w:color="auto"/>
            <w:bottom w:val="none" w:sz="0" w:space="0" w:color="auto"/>
            <w:right w:val="none" w:sz="0" w:space="0" w:color="auto"/>
          </w:divBdr>
        </w:div>
        <w:div w:id="473647126">
          <w:marLeft w:val="330"/>
          <w:marRight w:val="0"/>
          <w:marTop w:val="0"/>
          <w:marBottom w:val="135"/>
          <w:divBdr>
            <w:top w:val="none" w:sz="0" w:space="0" w:color="auto"/>
            <w:left w:val="none" w:sz="0" w:space="0" w:color="auto"/>
            <w:bottom w:val="none" w:sz="0" w:space="0" w:color="auto"/>
            <w:right w:val="none" w:sz="0" w:space="0" w:color="auto"/>
          </w:divBdr>
          <w:divsChild>
            <w:div w:id="1292057375">
              <w:marLeft w:val="0"/>
              <w:marRight w:val="0"/>
              <w:marTop w:val="0"/>
              <w:marBottom w:val="75"/>
              <w:divBdr>
                <w:top w:val="none" w:sz="0" w:space="0" w:color="auto"/>
                <w:left w:val="none" w:sz="0" w:space="0" w:color="auto"/>
                <w:bottom w:val="none" w:sz="0" w:space="0" w:color="auto"/>
                <w:right w:val="none" w:sz="0" w:space="0" w:color="auto"/>
              </w:divBdr>
            </w:div>
            <w:div w:id="452750271">
              <w:marLeft w:val="0"/>
              <w:marRight w:val="0"/>
              <w:marTop w:val="0"/>
              <w:marBottom w:val="75"/>
              <w:divBdr>
                <w:top w:val="none" w:sz="0" w:space="0" w:color="auto"/>
                <w:left w:val="none" w:sz="0" w:space="0" w:color="auto"/>
                <w:bottom w:val="none" w:sz="0" w:space="0" w:color="auto"/>
                <w:right w:val="none" w:sz="0" w:space="0" w:color="auto"/>
              </w:divBdr>
            </w:div>
            <w:div w:id="488594849">
              <w:marLeft w:val="0"/>
              <w:marRight w:val="0"/>
              <w:marTop w:val="0"/>
              <w:marBottom w:val="75"/>
              <w:divBdr>
                <w:top w:val="none" w:sz="0" w:space="0" w:color="auto"/>
                <w:left w:val="none" w:sz="0" w:space="0" w:color="auto"/>
                <w:bottom w:val="none" w:sz="0" w:space="0" w:color="auto"/>
                <w:right w:val="none" w:sz="0" w:space="0" w:color="auto"/>
              </w:divBdr>
            </w:div>
            <w:div w:id="372310234">
              <w:marLeft w:val="0"/>
              <w:marRight w:val="0"/>
              <w:marTop w:val="0"/>
              <w:marBottom w:val="75"/>
              <w:divBdr>
                <w:top w:val="none" w:sz="0" w:space="0" w:color="auto"/>
                <w:left w:val="none" w:sz="0" w:space="0" w:color="auto"/>
                <w:bottom w:val="none" w:sz="0" w:space="0" w:color="auto"/>
                <w:right w:val="none" w:sz="0" w:space="0" w:color="auto"/>
              </w:divBdr>
            </w:div>
            <w:div w:id="692801547">
              <w:marLeft w:val="0"/>
              <w:marRight w:val="0"/>
              <w:marTop w:val="0"/>
              <w:marBottom w:val="75"/>
              <w:divBdr>
                <w:top w:val="none" w:sz="0" w:space="0" w:color="auto"/>
                <w:left w:val="none" w:sz="0" w:space="0" w:color="auto"/>
                <w:bottom w:val="none" w:sz="0" w:space="0" w:color="auto"/>
                <w:right w:val="none" w:sz="0" w:space="0" w:color="auto"/>
              </w:divBdr>
            </w:div>
            <w:div w:id="1180659517">
              <w:marLeft w:val="0"/>
              <w:marRight w:val="0"/>
              <w:marTop w:val="0"/>
              <w:marBottom w:val="75"/>
              <w:divBdr>
                <w:top w:val="none" w:sz="0" w:space="0" w:color="auto"/>
                <w:left w:val="none" w:sz="0" w:space="0" w:color="auto"/>
                <w:bottom w:val="none" w:sz="0" w:space="0" w:color="auto"/>
                <w:right w:val="none" w:sz="0" w:space="0" w:color="auto"/>
              </w:divBdr>
            </w:div>
            <w:div w:id="833452160">
              <w:marLeft w:val="0"/>
              <w:marRight w:val="0"/>
              <w:marTop w:val="0"/>
              <w:marBottom w:val="75"/>
              <w:divBdr>
                <w:top w:val="none" w:sz="0" w:space="0" w:color="auto"/>
                <w:left w:val="none" w:sz="0" w:space="0" w:color="auto"/>
                <w:bottom w:val="none" w:sz="0" w:space="0" w:color="auto"/>
                <w:right w:val="none" w:sz="0" w:space="0" w:color="auto"/>
              </w:divBdr>
            </w:div>
            <w:div w:id="2034963261">
              <w:marLeft w:val="0"/>
              <w:marRight w:val="0"/>
              <w:marTop w:val="0"/>
              <w:marBottom w:val="75"/>
              <w:divBdr>
                <w:top w:val="none" w:sz="0" w:space="0" w:color="auto"/>
                <w:left w:val="none" w:sz="0" w:space="0" w:color="auto"/>
                <w:bottom w:val="none" w:sz="0" w:space="0" w:color="auto"/>
                <w:right w:val="none" w:sz="0" w:space="0" w:color="auto"/>
              </w:divBdr>
            </w:div>
            <w:div w:id="314266370">
              <w:marLeft w:val="0"/>
              <w:marRight w:val="0"/>
              <w:marTop w:val="0"/>
              <w:marBottom w:val="75"/>
              <w:divBdr>
                <w:top w:val="none" w:sz="0" w:space="0" w:color="auto"/>
                <w:left w:val="none" w:sz="0" w:space="0" w:color="auto"/>
                <w:bottom w:val="none" w:sz="0" w:space="0" w:color="auto"/>
                <w:right w:val="none" w:sz="0" w:space="0" w:color="auto"/>
              </w:divBdr>
            </w:div>
          </w:divsChild>
        </w:div>
        <w:div w:id="357436729">
          <w:marLeft w:val="0"/>
          <w:marRight w:val="0"/>
          <w:marTop w:val="0"/>
          <w:marBottom w:val="75"/>
          <w:divBdr>
            <w:top w:val="none" w:sz="0" w:space="0" w:color="auto"/>
            <w:left w:val="none" w:sz="0" w:space="0" w:color="auto"/>
            <w:bottom w:val="none" w:sz="0" w:space="0" w:color="auto"/>
            <w:right w:val="none" w:sz="0" w:space="0" w:color="auto"/>
          </w:divBdr>
        </w:div>
        <w:div w:id="2000301146">
          <w:marLeft w:val="330"/>
          <w:marRight w:val="0"/>
          <w:marTop w:val="0"/>
          <w:marBottom w:val="135"/>
          <w:divBdr>
            <w:top w:val="none" w:sz="0" w:space="0" w:color="auto"/>
            <w:left w:val="none" w:sz="0" w:space="0" w:color="auto"/>
            <w:bottom w:val="none" w:sz="0" w:space="0" w:color="auto"/>
            <w:right w:val="none" w:sz="0" w:space="0" w:color="auto"/>
          </w:divBdr>
          <w:divsChild>
            <w:div w:id="1502891501">
              <w:marLeft w:val="0"/>
              <w:marRight w:val="0"/>
              <w:marTop w:val="0"/>
              <w:marBottom w:val="75"/>
              <w:divBdr>
                <w:top w:val="none" w:sz="0" w:space="0" w:color="auto"/>
                <w:left w:val="none" w:sz="0" w:space="0" w:color="auto"/>
                <w:bottom w:val="none" w:sz="0" w:space="0" w:color="auto"/>
                <w:right w:val="none" w:sz="0" w:space="0" w:color="auto"/>
              </w:divBdr>
            </w:div>
            <w:div w:id="642077459">
              <w:marLeft w:val="0"/>
              <w:marRight w:val="0"/>
              <w:marTop w:val="0"/>
              <w:marBottom w:val="75"/>
              <w:divBdr>
                <w:top w:val="none" w:sz="0" w:space="0" w:color="auto"/>
                <w:left w:val="none" w:sz="0" w:space="0" w:color="auto"/>
                <w:bottom w:val="none" w:sz="0" w:space="0" w:color="auto"/>
                <w:right w:val="none" w:sz="0" w:space="0" w:color="auto"/>
              </w:divBdr>
            </w:div>
            <w:div w:id="636835265">
              <w:marLeft w:val="0"/>
              <w:marRight w:val="0"/>
              <w:marTop w:val="0"/>
              <w:marBottom w:val="75"/>
              <w:divBdr>
                <w:top w:val="none" w:sz="0" w:space="0" w:color="auto"/>
                <w:left w:val="none" w:sz="0" w:space="0" w:color="auto"/>
                <w:bottom w:val="none" w:sz="0" w:space="0" w:color="auto"/>
                <w:right w:val="none" w:sz="0" w:space="0" w:color="auto"/>
              </w:divBdr>
            </w:div>
          </w:divsChild>
        </w:div>
        <w:div w:id="331220406">
          <w:marLeft w:val="0"/>
          <w:marRight w:val="0"/>
          <w:marTop w:val="0"/>
          <w:marBottom w:val="75"/>
          <w:divBdr>
            <w:top w:val="none" w:sz="0" w:space="0" w:color="auto"/>
            <w:left w:val="none" w:sz="0" w:space="0" w:color="auto"/>
            <w:bottom w:val="none" w:sz="0" w:space="0" w:color="auto"/>
            <w:right w:val="none" w:sz="0" w:space="0" w:color="auto"/>
          </w:divBdr>
        </w:div>
        <w:div w:id="626813904">
          <w:marLeft w:val="330"/>
          <w:marRight w:val="0"/>
          <w:marTop w:val="0"/>
          <w:marBottom w:val="135"/>
          <w:divBdr>
            <w:top w:val="none" w:sz="0" w:space="0" w:color="auto"/>
            <w:left w:val="none" w:sz="0" w:space="0" w:color="auto"/>
            <w:bottom w:val="none" w:sz="0" w:space="0" w:color="auto"/>
            <w:right w:val="none" w:sz="0" w:space="0" w:color="auto"/>
          </w:divBdr>
          <w:divsChild>
            <w:div w:id="751776519">
              <w:marLeft w:val="0"/>
              <w:marRight w:val="0"/>
              <w:marTop w:val="0"/>
              <w:marBottom w:val="75"/>
              <w:divBdr>
                <w:top w:val="none" w:sz="0" w:space="0" w:color="auto"/>
                <w:left w:val="none" w:sz="0" w:space="0" w:color="auto"/>
                <w:bottom w:val="none" w:sz="0" w:space="0" w:color="auto"/>
                <w:right w:val="none" w:sz="0" w:space="0" w:color="auto"/>
              </w:divBdr>
            </w:div>
            <w:div w:id="397944119">
              <w:marLeft w:val="0"/>
              <w:marRight w:val="0"/>
              <w:marTop w:val="0"/>
              <w:marBottom w:val="75"/>
              <w:divBdr>
                <w:top w:val="none" w:sz="0" w:space="0" w:color="auto"/>
                <w:left w:val="none" w:sz="0" w:space="0" w:color="auto"/>
                <w:bottom w:val="none" w:sz="0" w:space="0" w:color="auto"/>
                <w:right w:val="none" w:sz="0" w:space="0" w:color="auto"/>
              </w:divBdr>
            </w:div>
            <w:div w:id="1414006862">
              <w:marLeft w:val="0"/>
              <w:marRight w:val="0"/>
              <w:marTop w:val="0"/>
              <w:marBottom w:val="75"/>
              <w:divBdr>
                <w:top w:val="none" w:sz="0" w:space="0" w:color="auto"/>
                <w:left w:val="none" w:sz="0" w:space="0" w:color="auto"/>
                <w:bottom w:val="none" w:sz="0" w:space="0" w:color="auto"/>
                <w:right w:val="none" w:sz="0" w:space="0" w:color="auto"/>
              </w:divBdr>
            </w:div>
            <w:div w:id="509490510">
              <w:marLeft w:val="0"/>
              <w:marRight w:val="0"/>
              <w:marTop w:val="0"/>
              <w:marBottom w:val="75"/>
              <w:divBdr>
                <w:top w:val="none" w:sz="0" w:space="0" w:color="auto"/>
                <w:left w:val="none" w:sz="0" w:space="0" w:color="auto"/>
                <w:bottom w:val="none" w:sz="0" w:space="0" w:color="auto"/>
                <w:right w:val="none" w:sz="0" w:space="0" w:color="auto"/>
              </w:divBdr>
            </w:div>
            <w:div w:id="104347579">
              <w:marLeft w:val="0"/>
              <w:marRight w:val="0"/>
              <w:marTop w:val="0"/>
              <w:marBottom w:val="75"/>
              <w:divBdr>
                <w:top w:val="none" w:sz="0" w:space="0" w:color="auto"/>
                <w:left w:val="none" w:sz="0" w:space="0" w:color="auto"/>
                <w:bottom w:val="none" w:sz="0" w:space="0" w:color="auto"/>
                <w:right w:val="none" w:sz="0" w:space="0" w:color="auto"/>
              </w:divBdr>
            </w:div>
          </w:divsChild>
        </w:div>
        <w:div w:id="1093739566">
          <w:marLeft w:val="0"/>
          <w:marRight w:val="0"/>
          <w:marTop w:val="0"/>
          <w:marBottom w:val="75"/>
          <w:divBdr>
            <w:top w:val="none" w:sz="0" w:space="0" w:color="auto"/>
            <w:left w:val="none" w:sz="0" w:space="0" w:color="auto"/>
            <w:bottom w:val="none" w:sz="0" w:space="0" w:color="auto"/>
            <w:right w:val="none" w:sz="0" w:space="0" w:color="auto"/>
          </w:divBdr>
        </w:div>
        <w:div w:id="1703165828">
          <w:marLeft w:val="330"/>
          <w:marRight w:val="0"/>
          <w:marTop w:val="0"/>
          <w:marBottom w:val="135"/>
          <w:divBdr>
            <w:top w:val="none" w:sz="0" w:space="0" w:color="auto"/>
            <w:left w:val="none" w:sz="0" w:space="0" w:color="auto"/>
            <w:bottom w:val="none" w:sz="0" w:space="0" w:color="auto"/>
            <w:right w:val="none" w:sz="0" w:space="0" w:color="auto"/>
          </w:divBdr>
          <w:divsChild>
            <w:div w:id="2106801307">
              <w:marLeft w:val="0"/>
              <w:marRight w:val="0"/>
              <w:marTop w:val="0"/>
              <w:marBottom w:val="75"/>
              <w:divBdr>
                <w:top w:val="none" w:sz="0" w:space="0" w:color="auto"/>
                <w:left w:val="none" w:sz="0" w:space="0" w:color="auto"/>
                <w:bottom w:val="none" w:sz="0" w:space="0" w:color="auto"/>
                <w:right w:val="none" w:sz="0" w:space="0" w:color="auto"/>
              </w:divBdr>
            </w:div>
            <w:div w:id="836268925">
              <w:marLeft w:val="0"/>
              <w:marRight w:val="0"/>
              <w:marTop w:val="0"/>
              <w:marBottom w:val="75"/>
              <w:divBdr>
                <w:top w:val="none" w:sz="0" w:space="0" w:color="auto"/>
                <w:left w:val="none" w:sz="0" w:space="0" w:color="auto"/>
                <w:bottom w:val="none" w:sz="0" w:space="0" w:color="auto"/>
                <w:right w:val="none" w:sz="0" w:space="0" w:color="auto"/>
              </w:divBdr>
            </w:div>
            <w:div w:id="1066610058">
              <w:marLeft w:val="0"/>
              <w:marRight w:val="0"/>
              <w:marTop w:val="0"/>
              <w:marBottom w:val="75"/>
              <w:divBdr>
                <w:top w:val="none" w:sz="0" w:space="0" w:color="auto"/>
                <w:left w:val="none" w:sz="0" w:space="0" w:color="auto"/>
                <w:bottom w:val="none" w:sz="0" w:space="0" w:color="auto"/>
                <w:right w:val="none" w:sz="0" w:space="0" w:color="auto"/>
              </w:divBdr>
            </w:div>
            <w:div w:id="214780128">
              <w:marLeft w:val="0"/>
              <w:marRight w:val="0"/>
              <w:marTop w:val="0"/>
              <w:marBottom w:val="75"/>
              <w:divBdr>
                <w:top w:val="none" w:sz="0" w:space="0" w:color="auto"/>
                <w:left w:val="none" w:sz="0" w:space="0" w:color="auto"/>
                <w:bottom w:val="none" w:sz="0" w:space="0" w:color="auto"/>
                <w:right w:val="none" w:sz="0" w:space="0" w:color="auto"/>
              </w:divBdr>
            </w:div>
          </w:divsChild>
        </w:div>
        <w:div w:id="1207066672">
          <w:marLeft w:val="0"/>
          <w:marRight w:val="0"/>
          <w:marTop w:val="0"/>
          <w:marBottom w:val="75"/>
          <w:divBdr>
            <w:top w:val="none" w:sz="0" w:space="0" w:color="auto"/>
            <w:left w:val="none" w:sz="0" w:space="0" w:color="auto"/>
            <w:bottom w:val="none" w:sz="0" w:space="0" w:color="auto"/>
            <w:right w:val="none" w:sz="0" w:space="0" w:color="auto"/>
          </w:divBdr>
        </w:div>
        <w:div w:id="836572792">
          <w:marLeft w:val="330"/>
          <w:marRight w:val="0"/>
          <w:marTop w:val="0"/>
          <w:marBottom w:val="135"/>
          <w:divBdr>
            <w:top w:val="none" w:sz="0" w:space="0" w:color="auto"/>
            <w:left w:val="none" w:sz="0" w:space="0" w:color="auto"/>
            <w:bottom w:val="none" w:sz="0" w:space="0" w:color="auto"/>
            <w:right w:val="none" w:sz="0" w:space="0" w:color="auto"/>
          </w:divBdr>
          <w:divsChild>
            <w:div w:id="1215240141">
              <w:marLeft w:val="0"/>
              <w:marRight w:val="0"/>
              <w:marTop w:val="0"/>
              <w:marBottom w:val="75"/>
              <w:divBdr>
                <w:top w:val="none" w:sz="0" w:space="0" w:color="auto"/>
                <w:left w:val="none" w:sz="0" w:space="0" w:color="auto"/>
                <w:bottom w:val="none" w:sz="0" w:space="0" w:color="auto"/>
                <w:right w:val="none" w:sz="0" w:space="0" w:color="auto"/>
              </w:divBdr>
            </w:div>
            <w:div w:id="586615890">
              <w:marLeft w:val="0"/>
              <w:marRight w:val="0"/>
              <w:marTop w:val="0"/>
              <w:marBottom w:val="75"/>
              <w:divBdr>
                <w:top w:val="none" w:sz="0" w:space="0" w:color="auto"/>
                <w:left w:val="none" w:sz="0" w:space="0" w:color="auto"/>
                <w:bottom w:val="none" w:sz="0" w:space="0" w:color="auto"/>
                <w:right w:val="none" w:sz="0" w:space="0" w:color="auto"/>
              </w:divBdr>
            </w:div>
            <w:div w:id="977756989">
              <w:marLeft w:val="0"/>
              <w:marRight w:val="0"/>
              <w:marTop w:val="0"/>
              <w:marBottom w:val="75"/>
              <w:divBdr>
                <w:top w:val="none" w:sz="0" w:space="0" w:color="auto"/>
                <w:left w:val="none" w:sz="0" w:space="0" w:color="auto"/>
                <w:bottom w:val="none" w:sz="0" w:space="0" w:color="auto"/>
                <w:right w:val="none" w:sz="0" w:space="0" w:color="auto"/>
              </w:divBdr>
            </w:div>
            <w:div w:id="962535444">
              <w:marLeft w:val="0"/>
              <w:marRight w:val="0"/>
              <w:marTop w:val="0"/>
              <w:marBottom w:val="75"/>
              <w:divBdr>
                <w:top w:val="none" w:sz="0" w:space="0" w:color="auto"/>
                <w:left w:val="none" w:sz="0" w:space="0" w:color="auto"/>
                <w:bottom w:val="none" w:sz="0" w:space="0" w:color="auto"/>
                <w:right w:val="none" w:sz="0" w:space="0" w:color="auto"/>
              </w:divBdr>
            </w:div>
          </w:divsChild>
        </w:div>
        <w:div w:id="388766960">
          <w:marLeft w:val="0"/>
          <w:marRight w:val="0"/>
          <w:marTop w:val="0"/>
          <w:marBottom w:val="75"/>
          <w:divBdr>
            <w:top w:val="none" w:sz="0" w:space="0" w:color="auto"/>
            <w:left w:val="none" w:sz="0" w:space="0" w:color="auto"/>
            <w:bottom w:val="none" w:sz="0" w:space="0" w:color="auto"/>
            <w:right w:val="none" w:sz="0" w:space="0" w:color="auto"/>
          </w:divBdr>
        </w:div>
        <w:div w:id="240795797">
          <w:marLeft w:val="330"/>
          <w:marRight w:val="0"/>
          <w:marTop w:val="0"/>
          <w:marBottom w:val="135"/>
          <w:divBdr>
            <w:top w:val="none" w:sz="0" w:space="0" w:color="auto"/>
            <w:left w:val="none" w:sz="0" w:space="0" w:color="auto"/>
            <w:bottom w:val="none" w:sz="0" w:space="0" w:color="auto"/>
            <w:right w:val="none" w:sz="0" w:space="0" w:color="auto"/>
          </w:divBdr>
          <w:divsChild>
            <w:div w:id="1107502519">
              <w:marLeft w:val="0"/>
              <w:marRight w:val="0"/>
              <w:marTop w:val="0"/>
              <w:marBottom w:val="75"/>
              <w:divBdr>
                <w:top w:val="none" w:sz="0" w:space="0" w:color="auto"/>
                <w:left w:val="none" w:sz="0" w:space="0" w:color="auto"/>
                <w:bottom w:val="none" w:sz="0" w:space="0" w:color="auto"/>
                <w:right w:val="none" w:sz="0" w:space="0" w:color="auto"/>
              </w:divBdr>
            </w:div>
            <w:div w:id="1762025903">
              <w:marLeft w:val="0"/>
              <w:marRight w:val="0"/>
              <w:marTop w:val="0"/>
              <w:marBottom w:val="75"/>
              <w:divBdr>
                <w:top w:val="none" w:sz="0" w:space="0" w:color="auto"/>
                <w:left w:val="none" w:sz="0" w:space="0" w:color="auto"/>
                <w:bottom w:val="none" w:sz="0" w:space="0" w:color="auto"/>
                <w:right w:val="none" w:sz="0" w:space="0" w:color="auto"/>
              </w:divBdr>
            </w:div>
            <w:div w:id="626738489">
              <w:marLeft w:val="0"/>
              <w:marRight w:val="0"/>
              <w:marTop w:val="0"/>
              <w:marBottom w:val="75"/>
              <w:divBdr>
                <w:top w:val="none" w:sz="0" w:space="0" w:color="auto"/>
                <w:left w:val="none" w:sz="0" w:space="0" w:color="auto"/>
                <w:bottom w:val="none" w:sz="0" w:space="0" w:color="auto"/>
                <w:right w:val="none" w:sz="0" w:space="0" w:color="auto"/>
              </w:divBdr>
            </w:div>
            <w:div w:id="751775117">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934636305">
      <w:marLeft w:val="0"/>
      <w:marRight w:val="0"/>
      <w:marTop w:val="0"/>
      <w:marBottom w:val="0"/>
      <w:divBdr>
        <w:top w:val="none" w:sz="0" w:space="0" w:color="auto"/>
        <w:left w:val="none" w:sz="0" w:space="0" w:color="auto"/>
        <w:bottom w:val="none" w:sz="0" w:space="0" w:color="auto"/>
        <w:right w:val="none" w:sz="0" w:space="0" w:color="auto"/>
      </w:divBdr>
    </w:div>
    <w:div w:id="955213661">
      <w:marLeft w:val="0"/>
      <w:marRight w:val="0"/>
      <w:marTop w:val="0"/>
      <w:marBottom w:val="0"/>
      <w:divBdr>
        <w:top w:val="none" w:sz="0" w:space="0" w:color="auto"/>
        <w:left w:val="none" w:sz="0" w:space="0" w:color="auto"/>
        <w:bottom w:val="none" w:sz="0" w:space="0" w:color="auto"/>
        <w:right w:val="none" w:sz="0" w:space="0" w:color="auto"/>
      </w:divBdr>
    </w:div>
    <w:div w:id="983898279">
      <w:blockQuote w:val="1"/>
      <w:marLeft w:val="720"/>
      <w:marRight w:val="720"/>
      <w:marTop w:val="100"/>
      <w:marBottom w:val="100"/>
      <w:divBdr>
        <w:top w:val="none" w:sz="0" w:space="0" w:color="auto"/>
        <w:left w:val="none" w:sz="0" w:space="0" w:color="auto"/>
        <w:bottom w:val="none" w:sz="0" w:space="0" w:color="auto"/>
        <w:right w:val="none" w:sz="0" w:space="0" w:color="auto"/>
      </w:divBdr>
    </w:div>
    <w:div w:id="1008675748">
      <w:marLeft w:val="0"/>
      <w:marRight w:val="0"/>
      <w:marTop w:val="0"/>
      <w:marBottom w:val="0"/>
      <w:divBdr>
        <w:top w:val="single" w:sz="2" w:space="7" w:color="BABABA"/>
        <w:left w:val="single" w:sz="2" w:space="14" w:color="BABABA"/>
        <w:bottom w:val="single" w:sz="2" w:space="7" w:color="BABABA"/>
        <w:right w:val="single" w:sz="2" w:space="14" w:color="BABABA"/>
      </w:divBdr>
      <w:divsChild>
        <w:div w:id="843029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5125322">
      <w:marLeft w:val="0"/>
      <w:marRight w:val="0"/>
      <w:marTop w:val="0"/>
      <w:marBottom w:val="0"/>
      <w:divBdr>
        <w:top w:val="none" w:sz="0" w:space="0" w:color="auto"/>
        <w:left w:val="none" w:sz="0" w:space="0" w:color="auto"/>
        <w:bottom w:val="none" w:sz="0" w:space="0" w:color="auto"/>
        <w:right w:val="none" w:sz="0" w:space="0" w:color="auto"/>
      </w:divBdr>
    </w:div>
    <w:div w:id="1223827462">
      <w:marLeft w:val="0"/>
      <w:marRight w:val="0"/>
      <w:marTop w:val="0"/>
      <w:marBottom w:val="0"/>
      <w:divBdr>
        <w:top w:val="none" w:sz="0" w:space="0" w:color="auto"/>
        <w:left w:val="none" w:sz="0" w:space="0" w:color="auto"/>
        <w:bottom w:val="none" w:sz="0" w:space="0" w:color="auto"/>
        <w:right w:val="none" w:sz="0" w:space="0" w:color="auto"/>
      </w:divBdr>
    </w:div>
    <w:div w:id="1265460616">
      <w:blockQuote w:val="1"/>
      <w:marLeft w:val="720"/>
      <w:marRight w:val="720"/>
      <w:marTop w:val="100"/>
      <w:marBottom w:val="100"/>
      <w:divBdr>
        <w:top w:val="none" w:sz="0" w:space="0" w:color="auto"/>
        <w:left w:val="none" w:sz="0" w:space="0" w:color="auto"/>
        <w:bottom w:val="none" w:sz="0" w:space="0" w:color="auto"/>
        <w:right w:val="none" w:sz="0" w:space="0" w:color="auto"/>
      </w:divBdr>
    </w:div>
    <w:div w:id="1386568767">
      <w:marLeft w:val="0"/>
      <w:marRight w:val="0"/>
      <w:marTop w:val="0"/>
      <w:marBottom w:val="0"/>
      <w:divBdr>
        <w:top w:val="none" w:sz="0" w:space="0" w:color="auto"/>
        <w:left w:val="none" w:sz="0" w:space="0" w:color="auto"/>
        <w:bottom w:val="none" w:sz="0" w:space="0" w:color="auto"/>
        <w:right w:val="none" w:sz="0" w:space="0" w:color="auto"/>
      </w:divBdr>
    </w:div>
    <w:div w:id="1490974529">
      <w:marLeft w:val="0"/>
      <w:marRight w:val="0"/>
      <w:marTop w:val="0"/>
      <w:marBottom w:val="0"/>
      <w:divBdr>
        <w:top w:val="none" w:sz="0" w:space="0" w:color="auto"/>
        <w:left w:val="none" w:sz="0" w:space="0" w:color="auto"/>
        <w:bottom w:val="none" w:sz="0" w:space="0" w:color="auto"/>
        <w:right w:val="none" w:sz="0" w:space="0" w:color="auto"/>
      </w:divBdr>
    </w:div>
    <w:div w:id="1527602064">
      <w:marLeft w:val="0"/>
      <w:marRight w:val="0"/>
      <w:marTop w:val="0"/>
      <w:marBottom w:val="0"/>
      <w:divBdr>
        <w:top w:val="single" w:sz="2" w:space="7" w:color="BABABA"/>
        <w:left w:val="single" w:sz="2" w:space="14" w:color="BABABA"/>
        <w:bottom w:val="single" w:sz="2" w:space="7" w:color="BABABA"/>
        <w:right w:val="single" w:sz="2" w:space="14" w:color="BABABA"/>
      </w:divBdr>
    </w:div>
    <w:div w:id="1528525265">
      <w:blockQuote w:val="1"/>
      <w:marLeft w:val="720"/>
      <w:marRight w:val="720"/>
      <w:marTop w:val="100"/>
      <w:marBottom w:val="100"/>
      <w:divBdr>
        <w:top w:val="none" w:sz="0" w:space="0" w:color="auto"/>
        <w:left w:val="none" w:sz="0" w:space="0" w:color="auto"/>
        <w:bottom w:val="none" w:sz="0" w:space="0" w:color="auto"/>
        <w:right w:val="none" w:sz="0" w:space="0" w:color="auto"/>
      </w:divBdr>
    </w:div>
    <w:div w:id="1563784586">
      <w:marLeft w:val="0"/>
      <w:marRight w:val="0"/>
      <w:marTop w:val="0"/>
      <w:marBottom w:val="0"/>
      <w:divBdr>
        <w:top w:val="none" w:sz="0" w:space="0" w:color="auto"/>
        <w:left w:val="none" w:sz="0" w:space="0" w:color="auto"/>
        <w:bottom w:val="none" w:sz="0" w:space="0" w:color="auto"/>
        <w:right w:val="none" w:sz="0" w:space="0" w:color="auto"/>
      </w:divBdr>
    </w:div>
    <w:div w:id="1870603369">
      <w:blockQuote w:val="1"/>
      <w:marLeft w:val="720"/>
      <w:marRight w:val="720"/>
      <w:marTop w:val="100"/>
      <w:marBottom w:val="10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uk.practicallaw.com/8-200-2423?q=&amp;qp=&amp;qo=&amp;qe=" TargetMode="External"/><Relationship Id="rId117" Type="http://schemas.openxmlformats.org/officeDocument/2006/relationships/hyperlink" Target="http://uk.practicallaw.com/8-200-2423?q=&amp;qp=&amp;qo=&amp;qe=" TargetMode="External"/><Relationship Id="rId21" Type="http://schemas.openxmlformats.org/officeDocument/2006/relationships/hyperlink" Target="http://uk.practicallaw.com/8-200-2423?q=&amp;qp=&amp;qo=&amp;qe=" TargetMode="External"/><Relationship Id="rId42" Type="http://schemas.openxmlformats.org/officeDocument/2006/relationships/hyperlink" Target="http://uk.practicallaw.com/8-200-2423?q=&amp;qp=&amp;qo=&amp;qe=" TargetMode="External"/><Relationship Id="rId47" Type="http://schemas.openxmlformats.org/officeDocument/2006/relationships/hyperlink" Target="http://uk.practicallaw.com/8-200-2423?q=&amp;qp=&amp;qo=&amp;qe=" TargetMode="External"/><Relationship Id="rId63" Type="http://schemas.openxmlformats.org/officeDocument/2006/relationships/hyperlink" Target="http://uk.practicallaw.com/5-509-0696?pit=" TargetMode="External"/><Relationship Id="rId68" Type="http://schemas.openxmlformats.org/officeDocument/2006/relationships/hyperlink" Target="http://uk.practicallaw.com/3-620-1109" TargetMode="External"/><Relationship Id="rId84" Type="http://schemas.openxmlformats.org/officeDocument/2006/relationships/hyperlink" Target="http://uk.practicallaw.com/D-015-4662" TargetMode="External"/><Relationship Id="rId89" Type="http://schemas.openxmlformats.org/officeDocument/2006/relationships/hyperlink" Target="http://uk.practicallaw.com/D-015-4665" TargetMode="External"/><Relationship Id="rId112" Type="http://schemas.openxmlformats.org/officeDocument/2006/relationships/hyperlink" Target="http://www.hse.gov.uk/stress/standards/index.htm" TargetMode="External"/><Relationship Id="rId133" Type="http://schemas.openxmlformats.org/officeDocument/2006/relationships/hyperlink" Target="http://uk.practicallaw.com/1-603-8690" TargetMode="External"/><Relationship Id="rId138" Type="http://schemas.openxmlformats.org/officeDocument/2006/relationships/hyperlink" Target="http://uk.practicallaw.com/7-509-3260?pit=" TargetMode="External"/><Relationship Id="rId154" Type="http://schemas.openxmlformats.org/officeDocument/2006/relationships/hyperlink" Target="http://uk.practicallaw.com/D-015-4673" TargetMode="External"/><Relationship Id="rId159" Type="http://schemas.openxmlformats.org/officeDocument/2006/relationships/hyperlink" Target="http://uk.practicallaw.com/D-000-3067" TargetMode="External"/><Relationship Id="rId175" Type="http://schemas.openxmlformats.org/officeDocument/2006/relationships/hyperlink" Target="http://uk.practicallaw.com/8-200-2423?q=&amp;qp=&amp;qo=&amp;qe=" TargetMode="External"/><Relationship Id="rId170" Type="http://schemas.openxmlformats.org/officeDocument/2006/relationships/hyperlink" Target="http://uk.practicallaw.com/D-019-1181" TargetMode="External"/><Relationship Id="rId191" Type="http://schemas.openxmlformats.org/officeDocument/2006/relationships/fontTable" Target="fontTable.xml"/><Relationship Id="rId16" Type="http://schemas.openxmlformats.org/officeDocument/2006/relationships/hyperlink" Target="http://uk.practicallaw.com/8-200-2423?q=&amp;qp=&amp;qo=&amp;qe=" TargetMode="External"/><Relationship Id="rId107" Type="http://schemas.openxmlformats.org/officeDocument/2006/relationships/hyperlink" Target="http://uk.practicallaw.com/8-200-2423?q=&amp;qp=&amp;qo=&amp;qe=" TargetMode="External"/><Relationship Id="rId11" Type="http://schemas.openxmlformats.org/officeDocument/2006/relationships/hyperlink" Target="http://uk.practicallaw.com/8-200-2423?q=&amp;qp=&amp;qo=&amp;qe=" TargetMode="External"/><Relationship Id="rId32" Type="http://schemas.openxmlformats.org/officeDocument/2006/relationships/hyperlink" Target="http://uk.practicallaw.com/8-200-2423?q=&amp;qp=&amp;qo=&amp;qe=" TargetMode="External"/><Relationship Id="rId37" Type="http://schemas.openxmlformats.org/officeDocument/2006/relationships/hyperlink" Target="http://uk.practicallaw.com/8-200-2423?q=&amp;qp=&amp;qo=&amp;qe=" TargetMode="External"/><Relationship Id="rId53" Type="http://schemas.openxmlformats.org/officeDocument/2006/relationships/hyperlink" Target="http://uk.practicallaw.com/8-200-2423?q=&amp;qp=&amp;qo=&amp;qe=" TargetMode="External"/><Relationship Id="rId58" Type="http://schemas.openxmlformats.org/officeDocument/2006/relationships/hyperlink" Target="http://uk.practicallaw.com/2-503-9360?pit=" TargetMode="External"/><Relationship Id="rId74" Type="http://schemas.openxmlformats.org/officeDocument/2006/relationships/hyperlink" Target="http://uk.practicallaw.com/D-015-4653" TargetMode="External"/><Relationship Id="rId79" Type="http://schemas.openxmlformats.org/officeDocument/2006/relationships/hyperlink" Target="http://uk.practicallaw.com/D-021-7921" TargetMode="External"/><Relationship Id="rId102" Type="http://schemas.openxmlformats.org/officeDocument/2006/relationships/hyperlink" Target="http://uk.practicallaw.com/D-015-3349" TargetMode="External"/><Relationship Id="rId123" Type="http://schemas.openxmlformats.org/officeDocument/2006/relationships/hyperlink" Target="http://uk.practicallaw.com/D-015-4671" TargetMode="External"/><Relationship Id="rId128" Type="http://schemas.openxmlformats.org/officeDocument/2006/relationships/hyperlink" Target="http://uk.practicallaw.com/9-509-0425?pit=" TargetMode="External"/><Relationship Id="rId144" Type="http://schemas.openxmlformats.org/officeDocument/2006/relationships/hyperlink" Target="http://uk.practicallaw.com/8-200-2423?q=&amp;qp=&amp;qo=&amp;qe=" TargetMode="External"/><Relationship Id="rId149" Type="http://schemas.openxmlformats.org/officeDocument/2006/relationships/hyperlink" Target="http://uk.practicallaw.com/8-200-2423?q=&amp;qp=&amp;qo=&amp;qe=" TargetMode="External"/><Relationship Id="rId5" Type="http://schemas.openxmlformats.org/officeDocument/2006/relationships/webSettings" Target="webSettings.xml"/><Relationship Id="rId90" Type="http://schemas.openxmlformats.org/officeDocument/2006/relationships/hyperlink" Target="http://uk.practicallaw.com/0-505-7864" TargetMode="External"/><Relationship Id="rId95" Type="http://schemas.openxmlformats.org/officeDocument/2006/relationships/hyperlink" Target="http://uk.practicallaw.com/D-007-2165" TargetMode="External"/><Relationship Id="rId160" Type="http://schemas.openxmlformats.org/officeDocument/2006/relationships/hyperlink" Target="http://uk.practicallaw.com/D-002-5939" TargetMode="External"/><Relationship Id="rId165" Type="http://schemas.openxmlformats.org/officeDocument/2006/relationships/hyperlink" Target="http://uk.practicallaw.com/D-004-5498" TargetMode="External"/><Relationship Id="rId181" Type="http://schemas.openxmlformats.org/officeDocument/2006/relationships/hyperlink" Target="http://uk.practicallaw.com/D-000-0043" TargetMode="External"/><Relationship Id="rId186" Type="http://schemas.openxmlformats.org/officeDocument/2006/relationships/hyperlink" Target="http://uk.practicallaw.com/D-007-9429" TargetMode="External"/><Relationship Id="rId22" Type="http://schemas.openxmlformats.org/officeDocument/2006/relationships/hyperlink" Target="http://uk.practicallaw.com/8-200-2423?q=&amp;qp=&amp;qo=&amp;qe=" TargetMode="External"/><Relationship Id="rId27" Type="http://schemas.openxmlformats.org/officeDocument/2006/relationships/hyperlink" Target="http://uk.practicallaw.com/8-200-2423?q=&amp;qp=&amp;qo=&amp;qe=" TargetMode="External"/><Relationship Id="rId43" Type="http://schemas.openxmlformats.org/officeDocument/2006/relationships/hyperlink" Target="http://uk.practicallaw.com/8-200-2423?q=&amp;qp=&amp;qo=&amp;qe=" TargetMode="External"/><Relationship Id="rId48" Type="http://schemas.openxmlformats.org/officeDocument/2006/relationships/hyperlink" Target="http://uk.practicallaw.com/8-200-2423?q=&amp;qp=&amp;qo=&amp;qe=" TargetMode="External"/><Relationship Id="rId64" Type="http://schemas.openxmlformats.org/officeDocument/2006/relationships/hyperlink" Target="http://uk.practicallaw.com/7-384-3283" TargetMode="External"/><Relationship Id="rId69" Type="http://schemas.openxmlformats.org/officeDocument/2006/relationships/hyperlink" Target="http://uk.practicallaw.com/D-015-4650" TargetMode="External"/><Relationship Id="rId113" Type="http://schemas.openxmlformats.org/officeDocument/2006/relationships/hyperlink" Target="http://uk.practicallaw.com/7-509-1195?pit=" TargetMode="External"/><Relationship Id="rId118" Type="http://schemas.openxmlformats.org/officeDocument/2006/relationships/hyperlink" Target="http://uk.practicallaw.com/8-200-2423?q=&amp;qp=&amp;qo=&amp;qe=" TargetMode="External"/><Relationship Id="rId134" Type="http://schemas.openxmlformats.org/officeDocument/2006/relationships/hyperlink" Target="http://uk.practicallaw.com/2-509-0424?pit=" TargetMode="External"/><Relationship Id="rId139" Type="http://schemas.openxmlformats.org/officeDocument/2006/relationships/hyperlink" Target="http://uk.practicallaw.com/2-509-0424?pit=" TargetMode="External"/><Relationship Id="rId80" Type="http://schemas.openxmlformats.org/officeDocument/2006/relationships/hyperlink" Target="http://uk.practicallaw.com/D-015-4655" TargetMode="External"/><Relationship Id="rId85" Type="http://schemas.openxmlformats.org/officeDocument/2006/relationships/hyperlink" Target="http://uk.practicallaw.com/D-015-4663" TargetMode="External"/><Relationship Id="rId150" Type="http://schemas.openxmlformats.org/officeDocument/2006/relationships/hyperlink" Target="http://uk.practicallaw.com/8-200-2423?q=&amp;qp=&amp;qo=&amp;qe=" TargetMode="External"/><Relationship Id="rId155" Type="http://schemas.openxmlformats.org/officeDocument/2006/relationships/hyperlink" Target="http://uk.practicallaw.com/D-000-1802" TargetMode="External"/><Relationship Id="rId171" Type="http://schemas.openxmlformats.org/officeDocument/2006/relationships/hyperlink" Target="http://uk.practicallaw.com/8-385-3040" TargetMode="External"/><Relationship Id="rId176" Type="http://schemas.openxmlformats.org/officeDocument/2006/relationships/hyperlink" Target="http://uk.practicallaw.com/D-015-4675" TargetMode="External"/><Relationship Id="rId192" Type="http://schemas.openxmlformats.org/officeDocument/2006/relationships/theme" Target="theme/theme1.xml"/><Relationship Id="rId12" Type="http://schemas.openxmlformats.org/officeDocument/2006/relationships/hyperlink" Target="http://uk.practicallaw.com/8-200-2423?q=&amp;qp=&amp;qo=&amp;qe=" TargetMode="External"/><Relationship Id="rId17" Type="http://schemas.openxmlformats.org/officeDocument/2006/relationships/hyperlink" Target="http://uk.practicallaw.com/8-200-2423?q=&amp;qp=&amp;qo=&amp;qe=" TargetMode="External"/><Relationship Id="rId33" Type="http://schemas.openxmlformats.org/officeDocument/2006/relationships/hyperlink" Target="http://uk.practicallaw.com/8-200-2423?q=&amp;qp=&amp;qo=&amp;qe=" TargetMode="External"/><Relationship Id="rId38" Type="http://schemas.openxmlformats.org/officeDocument/2006/relationships/hyperlink" Target="http://uk.practicallaw.com/8-200-2423?q=&amp;qp=&amp;qo=&amp;qe=" TargetMode="External"/><Relationship Id="rId59" Type="http://schemas.openxmlformats.org/officeDocument/2006/relationships/hyperlink" Target="http://uk.practicallaw.com/4-503-9364?pit=" TargetMode="External"/><Relationship Id="rId103" Type="http://schemas.openxmlformats.org/officeDocument/2006/relationships/hyperlink" Target="http://uk.practicallaw.com/3-107-7520" TargetMode="External"/><Relationship Id="rId108" Type="http://schemas.openxmlformats.org/officeDocument/2006/relationships/hyperlink" Target="http://uk.practicallaw.com/D-015-4669" TargetMode="External"/><Relationship Id="rId124" Type="http://schemas.openxmlformats.org/officeDocument/2006/relationships/hyperlink" Target="http://uk.practicallaw.com/2-509-0424?pit=" TargetMode="External"/><Relationship Id="rId129" Type="http://schemas.openxmlformats.org/officeDocument/2006/relationships/hyperlink" Target="http://uk.practicallaw.com/D-007-2016" TargetMode="External"/><Relationship Id="rId54" Type="http://schemas.openxmlformats.org/officeDocument/2006/relationships/hyperlink" Target="http://uk.practicallaw.com/8-200-2423?q=&amp;qp=&amp;qo=&amp;qe=" TargetMode="External"/><Relationship Id="rId70" Type="http://schemas.openxmlformats.org/officeDocument/2006/relationships/hyperlink" Target="http://uk.practicallaw.com/D-033-8956" TargetMode="External"/><Relationship Id="rId75" Type="http://schemas.openxmlformats.org/officeDocument/2006/relationships/hyperlink" Target="http://uk.practicallaw.com/5-522-5049" TargetMode="External"/><Relationship Id="rId91" Type="http://schemas.openxmlformats.org/officeDocument/2006/relationships/hyperlink" Target="http://uk.practicallaw.com/D-021-7401" TargetMode="External"/><Relationship Id="rId96" Type="http://schemas.openxmlformats.org/officeDocument/2006/relationships/hyperlink" Target="http://uk.practicallaw.com/D-005-9627" TargetMode="External"/><Relationship Id="rId140" Type="http://schemas.openxmlformats.org/officeDocument/2006/relationships/hyperlink" Target="http://uk.practicallaw.com/2-509-0424?pit=" TargetMode="External"/><Relationship Id="rId145" Type="http://schemas.openxmlformats.org/officeDocument/2006/relationships/hyperlink" Target="http://uk.practicallaw.com/D-000-0788" TargetMode="External"/><Relationship Id="rId161" Type="http://schemas.openxmlformats.org/officeDocument/2006/relationships/hyperlink" Target="http://uk.practicallaw.com/D-005-9631" TargetMode="External"/><Relationship Id="rId166" Type="http://schemas.openxmlformats.org/officeDocument/2006/relationships/hyperlink" Target="http://uk.practicallaw.com/0-505-0645" TargetMode="External"/><Relationship Id="rId182" Type="http://schemas.openxmlformats.org/officeDocument/2006/relationships/hyperlink" Target="http://uk.practicallaw.com/0-201-6419" TargetMode="External"/><Relationship Id="rId187" Type="http://schemas.openxmlformats.org/officeDocument/2006/relationships/hyperlink" Target="http://uk.practicallaw.com/D-024-6770" TargetMode="External"/><Relationship Id="rId1" Type="http://schemas.openxmlformats.org/officeDocument/2006/relationships/customXml" Target="../customXml/item1.xml"/><Relationship Id="rId6" Type="http://schemas.openxmlformats.org/officeDocument/2006/relationships/image" Target="media/image1.gif"/><Relationship Id="rId23" Type="http://schemas.openxmlformats.org/officeDocument/2006/relationships/hyperlink" Target="http://uk.practicallaw.com/8-200-2423?q=&amp;qp=&amp;qo=&amp;qe=" TargetMode="External"/><Relationship Id="rId28" Type="http://schemas.openxmlformats.org/officeDocument/2006/relationships/hyperlink" Target="http://uk.practicallaw.com/8-200-2423?q=&amp;qp=&amp;qo=&amp;qe=" TargetMode="External"/><Relationship Id="rId49" Type="http://schemas.openxmlformats.org/officeDocument/2006/relationships/hyperlink" Target="http://uk.practicallaw.com/8-200-2423?q=&amp;qp=&amp;qo=&amp;qe=" TargetMode="External"/><Relationship Id="rId114" Type="http://schemas.openxmlformats.org/officeDocument/2006/relationships/hyperlink" Target="http://uk.practicallaw.com/1-200-4010" TargetMode="External"/><Relationship Id="rId119" Type="http://schemas.openxmlformats.org/officeDocument/2006/relationships/hyperlink" Target="http://uk.practicallaw.com/D-015-4670" TargetMode="External"/><Relationship Id="rId44" Type="http://schemas.openxmlformats.org/officeDocument/2006/relationships/hyperlink" Target="http://uk.practicallaw.com/8-200-2423?q=&amp;qp=&amp;qo=&amp;qe=" TargetMode="External"/><Relationship Id="rId60" Type="http://schemas.openxmlformats.org/officeDocument/2006/relationships/hyperlink" Target="http://uk.practicallaw.com/9-200-4742" TargetMode="External"/><Relationship Id="rId65" Type="http://schemas.openxmlformats.org/officeDocument/2006/relationships/hyperlink" Target="http://uk.practicallaw.com/8-200-2423?q=&amp;qp=&amp;qo=&amp;qe=" TargetMode="External"/><Relationship Id="rId81" Type="http://schemas.openxmlformats.org/officeDocument/2006/relationships/hyperlink" Target="http://uk.practicallaw.com/D-015-4656" TargetMode="External"/><Relationship Id="rId86" Type="http://schemas.openxmlformats.org/officeDocument/2006/relationships/hyperlink" Target="http://uk.practicallaw.com/D-015-4664" TargetMode="External"/><Relationship Id="rId130" Type="http://schemas.openxmlformats.org/officeDocument/2006/relationships/hyperlink" Target="http://uk.practicallaw.com/2-509-0424?pit=" TargetMode="External"/><Relationship Id="rId135" Type="http://schemas.openxmlformats.org/officeDocument/2006/relationships/hyperlink" Target="http://uk.practicallaw.com/8-200-2423?q=&amp;qp=&amp;qo=&amp;qe=" TargetMode="External"/><Relationship Id="rId151" Type="http://schemas.openxmlformats.org/officeDocument/2006/relationships/hyperlink" Target="http://uk.practicallaw.com/D-007-9442" TargetMode="External"/><Relationship Id="rId156" Type="http://schemas.openxmlformats.org/officeDocument/2006/relationships/hyperlink" Target="http://uk.practicallaw.com/D-000-2789" TargetMode="External"/><Relationship Id="rId177" Type="http://schemas.openxmlformats.org/officeDocument/2006/relationships/hyperlink" Target="http://uk.practicallaw.com/D-000-0053" TargetMode="External"/><Relationship Id="rId172" Type="http://schemas.openxmlformats.org/officeDocument/2006/relationships/hyperlink" Target="http://uk.practicallaw.com/D-033-4806" TargetMode="External"/><Relationship Id="rId13" Type="http://schemas.openxmlformats.org/officeDocument/2006/relationships/hyperlink" Target="http://uk.practicallaw.com/8-200-2423?q=&amp;qp=&amp;qo=&amp;qe=" TargetMode="External"/><Relationship Id="rId18" Type="http://schemas.openxmlformats.org/officeDocument/2006/relationships/hyperlink" Target="http://uk.practicallaw.com/8-200-2423?q=&amp;qp=&amp;qo=&amp;qe=" TargetMode="External"/><Relationship Id="rId39" Type="http://schemas.openxmlformats.org/officeDocument/2006/relationships/hyperlink" Target="http://uk.practicallaw.com/8-200-2423?q=&amp;qp=&amp;qo=&amp;qe=" TargetMode="External"/><Relationship Id="rId109" Type="http://schemas.openxmlformats.org/officeDocument/2006/relationships/hyperlink" Target="http://uk.practicallaw.com/D-000-2087" TargetMode="External"/><Relationship Id="rId34" Type="http://schemas.openxmlformats.org/officeDocument/2006/relationships/hyperlink" Target="http://uk.practicallaw.com/8-200-2423?q=&amp;qp=&amp;qo=&amp;qe=" TargetMode="External"/><Relationship Id="rId50" Type="http://schemas.openxmlformats.org/officeDocument/2006/relationships/hyperlink" Target="http://uk.practicallaw.com/8-200-2423?q=&amp;qp=&amp;qo=&amp;qe=" TargetMode="External"/><Relationship Id="rId55" Type="http://schemas.openxmlformats.org/officeDocument/2006/relationships/hyperlink" Target="http://uk.practicallaw.com/9-200-4742" TargetMode="External"/><Relationship Id="rId76" Type="http://schemas.openxmlformats.org/officeDocument/2006/relationships/hyperlink" Target="http://uk.practicallaw.com/8-200-2423?q=&amp;qp=&amp;qo=&amp;qe=" TargetMode="External"/><Relationship Id="rId97" Type="http://schemas.openxmlformats.org/officeDocument/2006/relationships/hyperlink" Target="http://uk.practicallaw.com/D-005-9123" TargetMode="External"/><Relationship Id="rId104" Type="http://schemas.openxmlformats.org/officeDocument/2006/relationships/hyperlink" Target="http://uk.practicallaw.com/8-200-2423?q=&amp;qp=&amp;qo=&amp;qe=" TargetMode="External"/><Relationship Id="rId120" Type="http://schemas.openxmlformats.org/officeDocument/2006/relationships/hyperlink" Target="http://uk.practicallaw.com/4-503-9364?pit=" TargetMode="External"/><Relationship Id="rId125" Type="http://schemas.openxmlformats.org/officeDocument/2006/relationships/hyperlink" Target="http://uk.practicallaw.com/8-200-2423?q=&amp;qp=&amp;qo=&amp;qe=" TargetMode="External"/><Relationship Id="rId141" Type="http://schemas.openxmlformats.org/officeDocument/2006/relationships/hyperlink" Target="http://uk.practicallaw.com/2-509-0424?pit=" TargetMode="External"/><Relationship Id="rId146" Type="http://schemas.openxmlformats.org/officeDocument/2006/relationships/hyperlink" Target="http://uk.practicallaw.com/D-001-1153" TargetMode="External"/><Relationship Id="rId167" Type="http://schemas.openxmlformats.org/officeDocument/2006/relationships/hyperlink" Target="http://uk.practicallaw.com/D-013-9251" TargetMode="External"/><Relationship Id="rId188" Type="http://schemas.openxmlformats.org/officeDocument/2006/relationships/hyperlink" Target="http://uk.practicallaw.com/8-200-2423?q=&amp;qp=&amp;qo=&amp;qe=" TargetMode="External"/><Relationship Id="rId7" Type="http://schemas.openxmlformats.org/officeDocument/2006/relationships/hyperlink" Target="http://uk.practicallaw.com/8-200-2423?q=&amp;qp=&amp;qo=&amp;qe=" TargetMode="External"/><Relationship Id="rId71" Type="http://schemas.openxmlformats.org/officeDocument/2006/relationships/hyperlink" Target="http://uk.practicallaw.com/D-029-3720" TargetMode="External"/><Relationship Id="rId92" Type="http://schemas.openxmlformats.org/officeDocument/2006/relationships/hyperlink" Target="http://uk.practicallaw.com/6-505-6022?pit=" TargetMode="External"/><Relationship Id="rId162" Type="http://schemas.openxmlformats.org/officeDocument/2006/relationships/hyperlink" Target="http://uk.practicallaw.com/D-008-6582" TargetMode="External"/><Relationship Id="rId183" Type="http://schemas.openxmlformats.org/officeDocument/2006/relationships/hyperlink" Target="http://uk.practicallaw.com/D-015-4676" TargetMode="External"/><Relationship Id="rId2" Type="http://schemas.openxmlformats.org/officeDocument/2006/relationships/numbering" Target="numbering.xml"/><Relationship Id="rId29" Type="http://schemas.openxmlformats.org/officeDocument/2006/relationships/hyperlink" Target="http://uk.practicallaw.com/8-200-2423?q=&amp;qp=&amp;qo=&amp;qe=" TargetMode="External"/><Relationship Id="rId24" Type="http://schemas.openxmlformats.org/officeDocument/2006/relationships/hyperlink" Target="http://uk.practicallaw.com/8-200-2423?q=&amp;qp=&amp;qo=&amp;qe=" TargetMode="External"/><Relationship Id="rId40" Type="http://schemas.openxmlformats.org/officeDocument/2006/relationships/hyperlink" Target="http://uk.practicallaw.com/8-200-2423?q=&amp;qp=&amp;qo=&amp;qe=" TargetMode="External"/><Relationship Id="rId45" Type="http://schemas.openxmlformats.org/officeDocument/2006/relationships/hyperlink" Target="http://uk.practicallaw.com/8-200-2423?q=&amp;qp=&amp;qo=&amp;qe=" TargetMode="External"/><Relationship Id="rId66" Type="http://schemas.openxmlformats.org/officeDocument/2006/relationships/hyperlink" Target="http://uk.practicallaw.com/D-000-3358" TargetMode="External"/><Relationship Id="rId87" Type="http://schemas.openxmlformats.org/officeDocument/2006/relationships/hyperlink" Target="http://uk.practicallaw.com/8-380-5233" TargetMode="External"/><Relationship Id="rId110" Type="http://schemas.openxmlformats.org/officeDocument/2006/relationships/hyperlink" Target="http://uk.practicallaw.com/8-200-2423?q=&amp;qp=&amp;qo=&amp;qe=" TargetMode="External"/><Relationship Id="rId115" Type="http://schemas.openxmlformats.org/officeDocument/2006/relationships/hyperlink" Target="http://uk.practicallaw.com/8-200-2423?q=&amp;qp=&amp;qo=&amp;qe=" TargetMode="External"/><Relationship Id="rId131" Type="http://schemas.openxmlformats.org/officeDocument/2006/relationships/hyperlink" Target="http://uk.practicallaw.com/D-022-0703" TargetMode="External"/><Relationship Id="rId136" Type="http://schemas.openxmlformats.org/officeDocument/2006/relationships/hyperlink" Target="http://uk.practicallaw.com/D-023-2041" TargetMode="External"/><Relationship Id="rId157" Type="http://schemas.openxmlformats.org/officeDocument/2006/relationships/hyperlink" Target="http://uk.practicallaw.com/8-200-2423?q=&amp;qp=&amp;qo=&amp;qe=" TargetMode="External"/><Relationship Id="rId178" Type="http://schemas.openxmlformats.org/officeDocument/2006/relationships/hyperlink" Target="http://uk.practicallaw.com/D-024-5266" TargetMode="External"/><Relationship Id="rId61" Type="http://schemas.openxmlformats.org/officeDocument/2006/relationships/hyperlink" Target="http://uk.practicallaw.com/4-509-0692?pit=" TargetMode="External"/><Relationship Id="rId82" Type="http://schemas.openxmlformats.org/officeDocument/2006/relationships/hyperlink" Target="http://uk.practicallaw.com/D-032-7882" TargetMode="External"/><Relationship Id="rId152" Type="http://schemas.openxmlformats.org/officeDocument/2006/relationships/hyperlink" Target="http://uk.practicallaw.com/D-000-2127" TargetMode="External"/><Relationship Id="rId173" Type="http://schemas.openxmlformats.org/officeDocument/2006/relationships/hyperlink" Target="http://uk.practicallaw.com/8-200-2423?q=&amp;qp=&amp;qo=&amp;qe=" TargetMode="External"/><Relationship Id="rId19" Type="http://schemas.openxmlformats.org/officeDocument/2006/relationships/hyperlink" Target="http://uk.practicallaw.com/8-200-2423?q=&amp;qp=&amp;qo=&amp;qe=" TargetMode="External"/><Relationship Id="rId14" Type="http://schemas.openxmlformats.org/officeDocument/2006/relationships/hyperlink" Target="http://uk.practicallaw.com/8-200-2423?q=&amp;qp=&amp;qo=&amp;qe=" TargetMode="External"/><Relationship Id="rId30" Type="http://schemas.openxmlformats.org/officeDocument/2006/relationships/hyperlink" Target="http://uk.practicallaw.com/8-200-2423?q=&amp;qp=&amp;qo=&amp;qe=" TargetMode="External"/><Relationship Id="rId35" Type="http://schemas.openxmlformats.org/officeDocument/2006/relationships/hyperlink" Target="http://uk.practicallaw.com/8-200-2423?q=&amp;qp=&amp;qo=&amp;qe=" TargetMode="External"/><Relationship Id="rId56" Type="http://schemas.openxmlformats.org/officeDocument/2006/relationships/hyperlink" Target="http://uk.practicallaw.com/7-384-3283" TargetMode="External"/><Relationship Id="rId77" Type="http://schemas.openxmlformats.org/officeDocument/2006/relationships/hyperlink" Target="http://uk.practicallaw.com/8-200-2423?q=&amp;qp=&amp;qo=&amp;qe=" TargetMode="External"/><Relationship Id="rId100" Type="http://schemas.openxmlformats.org/officeDocument/2006/relationships/hyperlink" Target="http://uk.practicallaw.com/8-200-2423?q=&amp;qp=&amp;qo=&amp;qe=" TargetMode="External"/><Relationship Id="rId105" Type="http://schemas.openxmlformats.org/officeDocument/2006/relationships/hyperlink" Target="http://uk.practicallaw.com/D-001-4106" TargetMode="External"/><Relationship Id="rId126" Type="http://schemas.openxmlformats.org/officeDocument/2006/relationships/hyperlink" Target="http://uk.practicallaw.com/7-509-3260?pit=" TargetMode="External"/><Relationship Id="rId147" Type="http://schemas.openxmlformats.org/officeDocument/2006/relationships/hyperlink" Target="http://uk.practicallaw.com/D-000-2054" TargetMode="External"/><Relationship Id="rId168" Type="http://schemas.openxmlformats.org/officeDocument/2006/relationships/hyperlink" Target="http://uk.practicallaw.com/5-503-9373?pit=" TargetMode="External"/><Relationship Id="rId8" Type="http://schemas.openxmlformats.org/officeDocument/2006/relationships/image" Target="media/image2.gif"/><Relationship Id="rId51" Type="http://schemas.openxmlformats.org/officeDocument/2006/relationships/hyperlink" Target="http://uk.practicallaw.com/8-200-2423?q=&amp;qp=&amp;qo=&amp;qe=" TargetMode="External"/><Relationship Id="rId72" Type="http://schemas.openxmlformats.org/officeDocument/2006/relationships/hyperlink" Target="http://uk.practicallaw.com/D-000-1802" TargetMode="External"/><Relationship Id="rId93" Type="http://schemas.openxmlformats.org/officeDocument/2006/relationships/hyperlink" Target="http://uk.practicallaw.com/4-508-5657?pit=" TargetMode="External"/><Relationship Id="rId98" Type="http://schemas.openxmlformats.org/officeDocument/2006/relationships/hyperlink" Target="http://uk.practicallaw.com/D-015-4666" TargetMode="External"/><Relationship Id="rId121" Type="http://schemas.openxmlformats.org/officeDocument/2006/relationships/hyperlink" Target="http://uk.practicallaw.com/D-000-2789" TargetMode="External"/><Relationship Id="rId142" Type="http://schemas.openxmlformats.org/officeDocument/2006/relationships/hyperlink" Target="http://uk.practicallaw.com/5-509-3911?pit=" TargetMode="External"/><Relationship Id="rId163" Type="http://schemas.openxmlformats.org/officeDocument/2006/relationships/hyperlink" Target="http://uk.practicallaw.com/D-000-3019" TargetMode="External"/><Relationship Id="rId184" Type="http://schemas.openxmlformats.org/officeDocument/2006/relationships/hyperlink" Target="http://uk.practicallaw.com/D-026-8595" TargetMode="External"/><Relationship Id="rId189" Type="http://schemas.openxmlformats.org/officeDocument/2006/relationships/hyperlink" Target="http://uk.practicallaw.com/8-200-9113" TargetMode="External"/><Relationship Id="rId3" Type="http://schemas.openxmlformats.org/officeDocument/2006/relationships/styles" Target="styles.xml"/><Relationship Id="rId25" Type="http://schemas.openxmlformats.org/officeDocument/2006/relationships/hyperlink" Target="http://uk.practicallaw.com/8-200-2423?q=&amp;qp=&amp;qo=&amp;qe=" TargetMode="External"/><Relationship Id="rId46" Type="http://schemas.openxmlformats.org/officeDocument/2006/relationships/hyperlink" Target="http://uk.practicallaw.com/8-200-2423?q=&amp;qp=&amp;qo=&amp;qe=" TargetMode="External"/><Relationship Id="rId67" Type="http://schemas.openxmlformats.org/officeDocument/2006/relationships/hyperlink" Target="http://uk.practicallaw.com/9-503-9347" TargetMode="External"/><Relationship Id="rId116" Type="http://schemas.openxmlformats.org/officeDocument/2006/relationships/hyperlink" Target="http://uk.practicallaw.com/8-200-2423?q=&amp;qp=&amp;qo=&amp;qe=" TargetMode="External"/><Relationship Id="rId137" Type="http://schemas.openxmlformats.org/officeDocument/2006/relationships/hyperlink" Target="http://uk.practicallaw.com/8-200-2423?q=&amp;qp=&amp;qo=&amp;qe=" TargetMode="External"/><Relationship Id="rId158" Type="http://schemas.openxmlformats.org/officeDocument/2006/relationships/hyperlink" Target="http://uk.practicallaw.com/D-005-4255" TargetMode="External"/><Relationship Id="rId20" Type="http://schemas.openxmlformats.org/officeDocument/2006/relationships/hyperlink" Target="http://uk.practicallaw.com/8-200-2423?q=&amp;qp=&amp;qo=&amp;qe=" TargetMode="External"/><Relationship Id="rId41" Type="http://schemas.openxmlformats.org/officeDocument/2006/relationships/hyperlink" Target="http://uk.practicallaw.com/8-200-2423?q=&amp;qp=&amp;qo=&amp;qe=" TargetMode="External"/><Relationship Id="rId62" Type="http://schemas.openxmlformats.org/officeDocument/2006/relationships/hyperlink" Target="http://uk.practicallaw.com/8-505-7469?pit=" TargetMode="External"/><Relationship Id="rId83" Type="http://schemas.openxmlformats.org/officeDocument/2006/relationships/hyperlink" Target="http://uk.practicallaw.com/D-015-4661" TargetMode="External"/><Relationship Id="rId88" Type="http://schemas.openxmlformats.org/officeDocument/2006/relationships/hyperlink" Target="http://uk.practicallaw.com/D-022-6541" TargetMode="External"/><Relationship Id="rId111" Type="http://schemas.openxmlformats.org/officeDocument/2006/relationships/hyperlink" Target="http://uk.practicallaw.com/8-200-2423?q=&amp;qp=&amp;qo=&amp;qe=" TargetMode="External"/><Relationship Id="rId132" Type="http://schemas.openxmlformats.org/officeDocument/2006/relationships/hyperlink" Target="http://uk.practicallaw.com/8-537-3590" TargetMode="External"/><Relationship Id="rId153" Type="http://schemas.openxmlformats.org/officeDocument/2006/relationships/hyperlink" Target="http://uk.practicallaw.com/D-015-4672" TargetMode="External"/><Relationship Id="rId174" Type="http://schemas.openxmlformats.org/officeDocument/2006/relationships/hyperlink" Target="http://uk.practicallaw.com/4-376-0137" TargetMode="External"/><Relationship Id="rId179" Type="http://schemas.openxmlformats.org/officeDocument/2006/relationships/hyperlink" Target="http://uk.practicallaw.com/D-024-4382" TargetMode="External"/><Relationship Id="rId190" Type="http://schemas.openxmlformats.org/officeDocument/2006/relationships/hyperlink" Target="http://uk.practicallaw.com/8-200-2423?q=&amp;qp=&amp;qo=&amp;qe=" TargetMode="External"/><Relationship Id="rId15" Type="http://schemas.openxmlformats.org/officeDocument/2006/relationships/hyperlink" Target="http://uk.practicallaw.com/8-200-2423?q=&amp;qp=&amp;qo=&amp;qe=" TargetMode="External"/><Relationship Id="rId36" Type="http://schemas.openxmlformats.org/officeDocument/2006/relationships/hyperlink" Target="http://uk.practicallaw.com/8-200-2423?q=&amp;qp=&amp;qo=&amp;qe=" TargetMode="External"/><Relationship Id="rId57" Type="http://schemas.openxmlformats.org/officeDocument/2006/relationships/hyperlink" Target="http://uk.practicallaw.com/4-503-9364?pit=" TargetMode="External"/><Relationship Id="rId106" Type="http://schemas.openxmlformats.org/officeDocument/2006/relationships/hyperlink" Target="http://uk.practicallaw.com/D-015-4668" TargetMode="External"/><Relationship Id="rId127" Type="http://schemas.openxmlformats.org/officeDocument/2006/relationships/hyperlink" Target="http://uk.practicallaw.com/8-200-2423?q=&amp;qp=&amp;qo=&amp;qe=" TargetMode="External"/><Relationship Id="rId10" Type="http://schemas.openxmlformats.org/officeDocument/2006/relationships/hyperlink" Target="http://uk.practicallaw.com/8-200-2423?q=&amp;qp=&amp;qo=&amp;qe=" TargetMode="External"/><Relationship Id="rId31" Type="http://schemas.openxmlformats.org/officeDocument/2006/relationships/hyperlink" Target="http://uk.practicallaw.com/8-200-2423?q=&amp;qp=&amp;qo=&amp;qe=" TargetMode="External"/><Relationship Id="rId52" Type="http://schemas.openxmlformats.org/officeDocument/2006/relationships/hyperlink" Target="http://uk.practicallaw.com/8-200-2423?q=&amp;qp=&amp;qo=&amp;qe=" TargetMode="External"/><Relationship Id="rId73" Type="http://schemas.openxmlformats.org/officeDocument/2006/relationships/hyperlink" Target="http://uk.practicallaw.com/D-005-4255" TargetMode="External"/><Relationship Id="rId78" Type="http://schemas.openxmlformats.org/officeDocument/2006/relationships/hyperlink" Target="http://uk.practicallaw.com/D-000-3067" TargetMode="External"/><Relationship Id="rId94" Type="http://schemas.openxmlformats.org/officeDocument/2006/relationships/hyperlink" Target="http://uk.practicallaw.com/0-508-5659?pit=" TargetMode="External"/><Relationship Id="rId99" Type="http://schemas.openxmlformats.org/officeDocument/2006/relationships/hyperlink" Target="http://uk.practicallaw.com/8-200-2423?q=&amp;qp=&amp;qo=&amp;qe=" TargetMode="External"/><Relationship Id="rId101" Type="http://schemas.openxmlformats.org/officeDocument/2006/relationships/hyperlink" Target="http://uk.practicallaw.com/D-000-2362" TargetMode="External"/><Relationship Id="rId122" Type="http://schemas.openxmlformats.org/officeDocument/2006/relationships/hyperlink" Target="http://uk.practicallaw.com/5-101-8290" TargetMode="External"/><Relationship Id="rId143" Type="http://schemas.openxmlformats.org/officeDocument/2006/relationships/hyperlink" Target="http://uk.practicallaw.com/5-509-0696?pit=" TargetMode="External"/><Relationship Id="rId148" Type="http://schemas.openxmlformats.org/officeDocument/2006/relationships/hyperlink" Target="http://uk.practicallaw.com/0-506-9287?pit=" TargetMode="External"/><Relationship Id="rId164" Type="http://schemas.openxmlformats.org/officeDocument/2006/relationships/hyperlink" Target="http://uk.practicallaw.com/9-200-2045" TargetMode="External"/><Relationship Id="rId169" Type="http://schemas.openxmlformats.org/officeDocument/2006/relationships/hyperlink" Target="http://uk.practicallaw.com/D-015-4674" TargetMode="External"/><Relationship Id="rId185" Type="http://schemas.openxmlformats.org/officeDocument/2006/relationships/hyperlink" Target="http://uk.practicallaw.com/8-200-2423?q=&amp;qp=&amp;qo=&amp;qe=" TargetMode="External"/><Relationship Id="rId4" Type="http://schemas.openxmlformats.org/officeDocument/2006/relationships/settings" Target="settings.xml"/><Relationship Id="rId9" Type="http://schemas.openxmlformats.org/officeDocument/2006/relationships/hyperlink" Target="http://uk.practicallaw.com/8-200-2423?q=&amp;qp=&amp;qo=&amp;qe=" TargetMode="External"/><Relationship Id="rId180" Type="http://schemas.openxmlformats.org/officeDocument/2006/relationships/hyperlink" Target="http://uk.practicallaw.com/1-557-93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3C1739-4BC6-49EF-BCB4-0539FD317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15115</Words>
  <Characters>86162</Characters>
  <Application>Microsoft Office Word</Application>
  <DocSecurity>0</DocSecurity>
  <Lines>718</Lines>
  <Paragraphs>202</Paragraphs>
  <ScaleCrop>false</ScaleCrop>
  <HeadingPairs>
    <vt:vector size="2" baseType="variant">
      <vt:variant>
        <vt:lpstr>Title</vt:lpstr>
      </vt:variant>
      <vt:variant>
        <vt:i4>1</vt:i4>
      </vt:variant>
    </vt:vector>
  </HeadingPairs>
  <TitlesOfParts>
    <vt:vector size="1" baseType="lpstr">
      <vt:lpstr/>
    </vt:vector>
  </TitlesOfParts>
  <Company>JCP Solicitors</Company>
  <LinksUpToDate>false</LinksUpToDate>
  <CharactersWithSpaces>101075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Paul.Shuttleworth</dc:creator>
  <cp:lastModifiedBy>Julie Potter</cp:lastModifiedBy>
  <cp:revision>2</cp:revision>
  <dcterms:created xsi:type="dcterms:W3CDTF">2017-09-20T12:59:00Z</dcterms:created>
  <dcterms:modified xsi:type="dcterms:W3CDTF">2017-09-20T12:59:00Z</dcterms:modified>
</cp:coreProperties>
</file>