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6DCCFC" w14:textId="619DE4A6" w:rsidR="00DA6C8E" w:rsidRDefault="00DA6C8E">
      <w:pPr>
        <w:rPr>
          <w:sz w:val="26"/>
          <w:szCs w:val="26"/>
        </w:rPr>
      </w:pPr>
    </w:p>
    <w:p w14:paraId="01598C33" w14:textId="77777777" w:rsidR="00A23995" w:rsidRDefault="00A23995" w:rsidP="00A23995">
      <w:pPr>
        <w:jc w:val="center"/>
        <w:rPr>
          <w:sz w:val="26"/>
          <w:szCs w:val="26"/>
        </w:rPr>
      </w:pPr>
    </w:p>
    <w:p w14:paraId="168AB7C5" w14:textId="77777777" w:rsidR="00DA6C8E" w:rsidRDefault="00DA6C8E" w:rsidP="00387577">
      <w:pPr>
        <w:rPr>
          <w:sz w:val="26"/>
          <w:szCs w:val="26"/>
        </w:rPr>
      </w:pPr>
    </w:p>
    <w:p w14:paraId="67242A86" w14:textId="77777777" w:rsidR="00DA6C8E" w:rsidRDefault="00DA6C8E" w:rsidP="00A23995">
      <w:pPr>
        <w:jc w:val="center"/>
        <w:rPr>
          <w:sz w:val="26"/>
          <w:szCs w:val="26"/>
        </w:rPr>
      </w:pPr>
    </w:p>
    <w:p w14:paraId="5EC964DD" w14:textId="77777777" w:rsidR="00DA6C8E" w:rsidRDefault="00DA6C8E" w:rsidP="00A23995">
      <w:pPr>
        <w:jc w:val="center"/>
        <w:rPr>
          <w:sz w:val="26"/>
          <w:szCs w:val="26"/>
        </w:rPr>
      </w:pPr>
    </w:p>
    <w:p w14:paraId="58B09B4E" w14:textId="13938230" w:rsidR="00A23995" w:rsidRDefault="00A23995" w:rsidP="00A23995">
      <w:pPr>
        <w:jc w:val="center"/>
        <w:rPr>
          <w:sz w:val="26"/>
          <w:szCs w:val="26"/>
        </w:rPr>
      </w:pPr>
      <w:r>
        <w:rPr>
          <w:sz w:val="26"/>
          <w:szCs w:val="26"/>
        </w:rPr>
        <w:t>Echoes of Africa: Cosmological Continuities in Contemporary Bahamian Junkanoo</w:t>
      </w:r>
    </w:p>
    <w:p w14:paraId="0A42F294" w14:textId="77777777" w:rsidR="00A23995" w:rsidRDefault="00A23995" w:rsidP="00A23995">
      <w:pPr>
        <w:jc w:val="center"/>
        <w:rPr>
          <w:sz w:val="26"/>
          <w:szCs w:val="26"/>
        </w:rPr>
      </w:pPr>
    </w:p>
    <w:p w14:paraId="4560D92E" w14:textId="77777777" w:rsidR="00A23995" w:rsidRDefault="00A23995" w:rsidP="00A23995">
      <w:pPr>
        <w:jc w:val="center"/>
        <w:rPr>
          <w:sz w:val="26"/>
          <w:szCs w:val="26"/>
        </w:rPr>
      </w:pPr>
    </w:p>
    <w:p w14:paraId="2F788324" w14:textId="77777777" w:rsidR="00A23995" w:rsidRDefault="00A23995" w:rsidP="00A23995">
      <w:pPr>
        <w:jc w:val="center"/>
        <w:rPr>
          <w:sz w:val="26"/>
          <w:szCs w:val="26"/>
        </w:rPr>
      </w:pPr>
    </w:p>
    <w:p w14:paraId="3D4BD638" w14:textId="77777777" w:rsidR="00A23995" w:rsidRDefault="00A23995" w:rsidP="00A23995">
      <w:pPr>
        <w:jc w:val="center"/>
        <w:rPr>
          <w:sz w:val="26"/>
          <w:szCs w:val="26"/>
        </w:rPr>
      </w:pPr>
    </w:p>
    <w:p w14:paraId="2165E987" w14:textId="77777777" w:rsidR="00A23995" w:rsidRDefault="00A23995" w:rsidP="00A23995">
      <w:pPr>
        <w:jc w:val="center"/>
        <w:rPr>
          <w:sz w:val="26"/>
          <w:szCs w:val="26"/>
        </w:rPr>
      </w:pPr>
      <w:r>
        <w:rPr>
          <w:sz w:val="26"/>
          <w:szCs w:val="26"/>
        </w:rPr>
        <w:t>India A. Sweeting</w:t>
      </w:r>
    </w:p>
    <w:p w14:paraId="5DBCA8F2" w14:textId="77777777" w:rsidR="00A23995" w:rsidRDefault="00A23995" w:rsidP="00A23995">
      <w:pPr>
        <w:jc w:val="center"/>
        <w:rPr>
          <w:sz w:val="26"/>
          <w:szCs w:val="26"/>
        </w:rPr>
      </w:pPr>
    </w:p>
    <w:p w14:paraId="29AA4201" w14:textId="77777777" w:rsidR="00A23995" w:rsidRDefault="00A23995" w:rsidP="00A23995">
      <w:pPr>
        <w:jc w:val="center"/>
        <w:rPr>
          <w:sz w:val="26"/>
          <w:szCs w:val="26"/>
        </w:rPr>
      </w:pPr>
    </w:p>
    <w:p w14:paraId="03B2DE09" w14:textId="77777777" w:rsidR="00A23995" w:rsidRDefault="00A23995" w:rsidP="00A23995">
      <w:pPr>
        <w:jc w:val="center"/>
        <w:rPr>
          <w:sz w:val="26"/>
          <w:szCs w:val="26"/>
        </w:rPr>
      </w:pPr>
    </w:p>
    <w:p w14:paraId="7FFC9F2F" w14:textId="77777777" w:rsidR="00A23995" w:rsidRDefault="00A23995" w:rsidP="00A23995">
      <w:pPr>
        <w:jc w:val="center"/>
        <w:rPr>
          <w:sz w:val="26"/>
          <w:szCs w:val="26"/>
        </w:rPr>
      </w:pPr>
      <w:r>
        <w:rPr>
          <w:sz w:val="26"/>
          <w:szCs w:val="26"/>
        </w:rPr>
        <w:t>Dissertation submitted in partial fulfilment</w:t>
      </w:r>
    </w:p>
    <w:p w14:paraId="1973DCD1" w14:textId="77777777" w:rsidR="00A23995" w:rsidRDefault="00A23995" w:rsidP="00A23995">
      <w:pPr>
        <w:jc w:val="center"/>
        <w:rPr>
          <w:sz w:val="26"/>
          <w:szCs w:val="26"/>
        </w:rPr>
      </w:pPr>
      <w:r>
        <w:rPr>
          <w:sz w:val="26"/>
          <w:szCs w:val="26"/>
        </w:rPr>
        <w:t>of a Master of Arts in Cultural Astronomy and Astrology</w:t>
      </w:r>
    </w:p>
    <w:p w14:paraId="0CEAF274" w14:textId="77777777" w:rsidR="00A23995" w:rsidRDefault="00A23995" w:rsidP="00A23995">
      <w:pPr>
        <w:jc w:val="center"/>
        <w:rPr>
          <w:sz w:val="26"/>
          <w:szCs w:val="26"/>
        </w:rPr>
      </w:pPr>
      <w:r>
        <w:rPr>
          <w:sz w:val="26"/>
          <w:szCs w:val="26"/>
        </w:rPr>
        <w:t>University of Wales Trinity Saint David</w:t>
      </w:r>
    </w:p>
    <w:p w14:paraId="2C640C48" w14:textId="77777777" w:rsidR="00A23995" w:rsidRDefault="00A23995" w:rsidP="00A23995">
      <w:pPr>
        <w:jc w:val="center"/>
        <w:rPr>
          <w:sz w:val="26"/>
          <w:szCs w:val="26"/>
        </w:rPr>
      </w:pPr>
      <w:r>
        <w:rPr>
          <w:sz w:val="26"/>
          <w:szCs w:val="26"/>
        </w:rPr>
        <w:t>2026</w:t>
      </w:r>
    </w:p>
    <w:p w14:paraId="1537EC38" w14:textId="77777777" w:rsidR="00A23995" w:rsidRDefault="00A23995" w:rsidP="00A23995">
      <w:pPr>
        <w:rPr>
          <w:sz w:val="26"/>
          <w:szCs w:val="26"/>
        </w:rPr>
      </w:pPr>
    </w:p>
    <w:p w14:paraId="1D6DCD74" w14:textId="77777777" w:rsidR="00A23995" w:rsidRDefault="00A23995" w:rsidP="00A23995"/>
    <w:p w14:paraId="7CDC8762" w14:textId="77777777" w:rsidR="00AE08D8" w:rsidRDefault="00AE08D8" w:rsidP="00C43719">
      <w:pPr>
        <w:rPr>
          <w:sz w:val="26"/>
          <w:szCs w:val="26"/>
        </w:rPr>
        <w:sectPr w:rsidR="00AE08D8" w:rsidSect="00DA6C8E">
          <w:footerReference w:type="default" r:id="rId11"/>
          <w:pgSz w:w="11906" w:h="16838"/>
          <w:pgMar w:top="1440" w:right="1440" w:bottom="1440" w:left="1440" w:header="720" w:footer="720" w:gutter="0"/>
          <w:pgNumType w:fmt="lowerRoman" w:start="1"/>
          <w:cols w:space="720"/>
          <w:docGrid w:linePitch="360"/>
        </w:sectPr>
      </w:pPr>
    </w:p>
    <w:p w14:paraId="497631A4" w14:textId="77777777" w:rsidR="00A16F79" w:rsidRDefault="00A16F79"/>
    <w:p w14:paraId="14DD719B" w14:textId="2CDB3CD7" w:rsidR="000863E8" w:rsidRPr="00951BBF" w:rsidRDefault="00A45151" w:rsidP="00A23995">
      <w:pPr>
        <w:spacing w:after="120"/>
        <w:rPr>
          <w:rFonts w:ascii="Arial" w:hAnsi="Arial" w:cs="Arial"/>
        </w:rPr>
      </w:pPr>
      <w:r>
        <w:rPr>
          <w:rFonts w:ascii="Arial" w:hAnsi="Arial" w:cs="Arial"/>
        </w:rPr>
        <w:pict w14:anchorId="199708F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6.4pt;height:60pt">
            <v:imagedata r:id="rId12" o:title="TSD_logo2010"/>
          </v:shape>
        </w:pict>
      </w:r>
    </w:p>
    <w:p w14:paraId="0E5C0E7E" w14:textId="77777777" w:rsidR="000863E8" w:rsidRPr="00951BBF" w:rsidRDefault="000863E8">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51BBF">
        <w:rPr>
          <w:rFonts w:ascii="Arial" w:hAnsi="Arial" w:cs="Arial"/>
          <w:b/>
        </w:rPr>
        <w:t>Master’s Degrees by Examination and Dissertation</w:t>
      </w:r>
    </w:p>
    <w:p w14:paraId="7CA4C0AD" w14:textId="77777777" w:rsidR="000863E8" w:rsidRPr="00951BBF" w:rsidRDefault="000863E8">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51BBF">
        <w:rPr>
          <w:rFonts w:ascii="Arial" w:hAnsi="Arial" w:cs="Arial"/>
          <w:b/>
        </w:rPr>
        <w:t>Declaration Form</w:t>
      </w:r>
    </w:p>
    <w:p w14:paraId="5780A2EF" w14:textId="77777777" w:rsidR="000863E8" w:rsidRPr="00951BBF" w:rsidRDefault="000863E8" w:rsidP="009356C2">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1. This work has not previously been accepted in substance for any degree and is not being concurrently submitted in candidature for any degree.</w:t>
      </w:r>
    </w:p>
    <w:p w14:paraId="7CF78EDA" w14:textId="5BF677A1" w:rsidR="000863E8" w:rsidRPr="00951BBF" w:rsidRDefault="000863E8" w:rsidP="009356C2">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w:t>
      </w:r>
      <w:r w:rsidR="00F8435E">
        <w:rPr>
          <w:rFonts w:ascii="Arial" w:hAnsi="Arial" w:cs="Arial"/>
        </w:rPr>
        <w:t xml:space="preserve"> India Sweeting (1803400)</w:t>
      </w:r>
      <w:r w:rsidRPr="00951BBF">
        <w:rPr>
          <w:rFonts w:ascii="Arial" w:hAnsi="Arial" w:cs="Arial"/>
        </w:rPr>
        <w:t>…….………………………………………………………………………...</w:t>
      </w:r>
    </w:p>
    <w:p w14:paraId="40302DD7" w14:textId="5A63BF71" w:rsidR="000863E8" w:rsidRPr="00951BBF" w:rsidRDefault="000863E8" w:rsidP="00E24BB4">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Date</w:t>
      </w:r>
      <w:r w:rsidR="00F8435E">
        <w:rPr>
          <w:rFonts w:ascii="Arial" w:hAnsi="Arial" w:cs="Arial"/>
        </w:rPr>
        <w:t>:</w:t>
      </w:r>
      <w:r w:rsidRPr="00951BBF">
        <w:rPr>
          <w:rFonts w:ascii="Arial" w:hAnsi="Arial" w:cs="Arial"/>
        </w:rPr>
        <w:t xml:space="preserve"> </w:t>
      </w:r>
      <w:r w:rsidR="00F8435E">
        <w:rPr>
          <w:rFonts w:ascii="Arial" w:hAnsi="Arial" w:cs="Arial"/>
        </w:rPr>
        <w:t>January 5th, 2026.</w:t>
      </w:r>
      <w:r w:rsidRPr="00951BBF">
        <w:rPr>
          <w:rFonts w:ascii="Arial" w:hAnsi="Arial" w:cs="Arial"/>
        </w:rPr>
        <w:t>………………………………………………………………………………...</w:t>
      </w:r>
    </w:p>
    <w:p w14:paraId="135B79A2" w14:textId="77777777" w:rsidR="000863E8" w:rsidRPr="00951BBF" w:rsidRDefault="000863E8" w:rsidP="00E24BB4">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
    <w:p w14:paraId="3755FE3D" w14:textId="2BA32251" w:rsidR="000863E8" w:rsidRPr="00951BBF" w:rsidRDefault="000863E8" w:rsidP="009356C2">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2. This dissertation is being submitted in partial fulfilment of the requirements for the degree of </w:t>
      </w:r>
      <w:r w:rsidR="003247C8">
        <w:rPr>
          <w:rFonts w:ascii="Arial" w:hAnsi="Arial" w:cs="Arial"/>
        </w:rPr>
        <w:t xml:space="preserve">Masters of the Arts in Cultural Astronomy and Astrology </w:t>
      </w:r>
      <w:r w:rsidRPr="00951BBF">
        <w:rPr>
          <w:rFonts w:ascii="Arial" w:hAnsi="Arial" w:cs="Arial"/>
        </w:rPr>
        <w:t>………………………………………………………………..................................</w:t>
      </w:r>
    </w:p>
    <w:p w14:paraId="79074173" w14:textId="376A7A16" w:rsidR="000863E8" w:rsidRPr="00951BBF" w:rsidRDefault="000863E8" w:rsidP="009356C2">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 xml:space="preserve">Name… </w:t>
      </w:r>
      <w:r w:rsidR="003247C8">
        <w:rPr>
          <w:rFonts w:ascii="Arial" w:hAnsi="Arial" w:cs="Arial"/>
        </w:rPr>
        <w:t xml:space="preserve">India Sweeting </w:t>
      </w:r>
      <w:r w:rsidRPr="00951BBF">
        <w:rPr>
          <w:rFonts w:ascii="Arial" w:hAnsi="Arial" w:cs="Arial"/>
        </w:rPr>
        <w:t>…………………………………………………………………………….</w:t>
      </w:r>
    </w:p>
    <w:p w14:paraId="2666CA12" w14:textId="52CF2254" w:rsidR="000863E8" w:rsidRPr="00951BBF" w:rsidRDefault="000863E8" w:rsidP="009356C2">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Date</w:t>
      </w:r>
      <w:r w:rsidR="003247C8">
        <w:rPr>
          <w:rFonts w:ascii="Arial" w:hAnsi="Arial" w:cs="Arial"/>
        </w:rPr>
        <w:t>:</w:t>
      </w:r>
      <w:r w:rsidRPr="00951BBF">
        <w:rPr>
          <w:rFonts w:ascii="Arial" w:hAnsi="Arial" w:cs="Arial"/>
        </w:rPr>
        <w:t xml:space="preserve">  </w:t>
      </w:r>
      <w:r w:rsidR="003247C8">
        <w:rPr>
          <w:rFonts w:ascii="Arial" w:hAnsi="Arial" w:cs="Arial"/>
        </w:rPr>
        <w:t>January 5th, 2026</w:t>
      </w:r>
      <w:r w:rsidRPr="00951BBF">
        <w:rPr>
          <w:rFonts w:ascii="Arial" w:hAnsi="Arial" w:cs="Arial"/>
        </w:rPr>
        <w:t>……………………………………………………….…………..…………...</w:t>
      </w:r>
    </w:p>
    <w:p w14:paraId="5062E097" w14:textId="77777777" w:rsidR="000863E8" w:rsidRPr="00951BBF" w:rsidRDefault="000863E8" w:rsidP="009356C2">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
    <w:p w14:paraId="7C4EE8B4" w14:textId="77777777" w:rsidR="000863E8" w:rsidRPr="00951BBF" w:rsidRDefault="000863E8" w:rsidP="009356C2">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3. This dissertation is the result of my own independent work/investigation, except where otherwise stated.</w:t>
      </w:r>
    </w:p>
    <w:p w14:paraId="7A423826" w14:textId="77777777" w:rsidR="000863E8" w:rsidRPr="00951BBF" w:rsidRDefault="000863E8" w:rsidP="009356C2">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Other sources are acknowledged by footnotes giving explicit references. </w:t>
      </w:r>
    </w:p>
    <w:p w14:paraId="59710642" w14:textId="77777777" w:rsidR="000863E8" w:rsidRPr="00951BBF" w:rsidRDefault="000863E8" w:rsidP="009356C2">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A bibliography is appended.</w:t>
      </w:r>
    </w:p>
    <w:p w14:paraId="600A06F0" w14:textId="333EDC55" w:rsidR="000863E8" w:rsidRPr="00951BBF" w:rsidRDefault="000863E8" w:rsidP="009356C2">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lastRenderedPageBreak/>
        <w:t>Name</w:t>
      </w:r>
      <w:r w:rsidR="003247C8">
        <w:rPr>
          <w:rFonts w:ascii="Arial" w:hAnsi="Arial" w:cs="Arial"/>
        </w:rPr>
        <w:t xml:space="preserve">: India Sweeting </w:t>
      </w:r>
      <w:r w:rsidRPr="00951BBF">
        <w:rPr>
          <w:rFonts w:ascii="Arial" w:hAnsi="Arial" w:cs="Arial"/>
        </w:rPr>
        <w:t>……………:  ……………………………………………….……………….</w:t>
      </w:r>
    </w:p>
    <w:p w14:paraId="7BB913C7" w14:textId="47D7F1F6" w:rsidR="000863E8" w:rsidRPr="00951BBF" w:rsidRDefault="000863E8" w:rsidP="009356C2">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 xml:space="preserve">Date: </w:t>
      </w:r>
      <w:r w:rsidR="003247C8">
        <w:rPr>
          <w:rFonts w:ascii="Arial" w:hAnsi="Arial" w:cs="Arial"/>
        </w:rPr>
        <w:t>January 5th, 2026</w:t>
      </w:r>
      <w:r w:rsidR="003247C8" w:rsidRPr="00951BBF">
        <w:rPr>
          <w:rFonts w:ascii="Arial" w:hAnsi="Arial" w:cs="Arial"/>
        </w:rPr>
        <w:t>……</w:t>
      </w:r>
      <w:r w:rsidRPr="00951BBF">
        <w:rPr>
          <w:rFonts w:ascii="Arial" w:hAnsi="Arial" w:cs="Arial"/>
        </w:rPr>
        <w:t xml:space="preserve"> ……………………………………………………...……………………….</w:t>
      </w:r>
    </w:p>
    <w:p w14:paraId="0638BD65" w14:textId="77777777" w:rsidR="000863E8" w:rsidRPr="00951BBF" w:rsidRDefault="000863E8" w:rsidP="009356C2">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  </w:t>
      </w:r>
    </w:p>
    <w:p w14:paraId="49C68829" w14:textId="77777777" w:rsidR="000863E8" w:rsidRPr="00951BBF" w:rsidRDefault="000863E8" w:rsidP="009356C2">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4. I hereby give consent for my dissertation, if accepted, to be available for photocopying, inter- library loan, and for deposit in the University’s digital repository </w:t>
      </w:r>
    </w:p>
    <w:p w14:paraId="606256C6" w14:textId="2DEB0B4C" w:rsidR="000863E8" w:rsidRPr="00951BBF" w:rsidRDefault="000863E8" w:rsidP="009356C2">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w:t>
      </w:r>
      <w:r w:rsidR="003247C8">
        <w:rPr>
          <w:rFonts w:ascii="Arial" w:hAnsi="Arial" w:cs="Arial"/>
        </w:rPr>
        <w:t xml:space="preserve">: India Sweeting </w:t>
      </w:r>
      <w:r w:rsidRPr="00951BBF">
        <w:rPr>
          <w:rFonts w:ascii="Arial" w:hAnsi="Arial" w:cs="Arial"/>
        </w:rPr>
        <w:t>……………………………………………………………………………….</w:t>
      </w:r>
    </w:p>
    <w:p w14:paraId="37A7C784" w14:textId="335ED202" w:rsidR="000863E8" w:rsidRPr="00951BBF" w:rsidRDefault="000863E8" w:rsidP="009356C2">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Date</w:t>
      </w:r>
      <w:r w:rsidR="003247C8">
        <w:rPr>
          <w:rFonts w:ascii="Arial" w:hAnsi="Arial" w:cs="Arial"/>
        </w:rPr>
        <w:t>: January 5th, 2026</w:t>
      </w:r>
      <w:r w:rsidR="003247C8" w:rsidRPr="00951BBF">
        <w:rPr>
          <w:rFonts w:ascii="Arial" w:hAnsi="Arial" w:cs="Arial"/>
        </w:rPr>
        <w:t>……</w:t>
      </w:r>
      <w:r w:rsidRPr="00951BBF">
        <w:rPr>
          <w:rFonts w:ascii="Arial" w:hAnsi="Arial" w:cs="Arial"/>
        </w:rPr>
        <w:t>………………………………………………….……………………………..</w:t>
      </w:r>
    </w:p>
    <w:p w14:paraId="3A9DE7C6" w14:textId="77777777" w:rsidR="000863E8" w:rsidRPr="00951BBF" w:rsidRDefault="000863E8" w:rsidP="009356C2">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b/>
        </w:rPr>
        <w:t>Supervisor’s Declaration</w:t>
      </w:r>
      <w:r w:rsidRPr="00951BBF">
        <w:rPr>
          <w:rFonts w:ascii="Arial" w:hAnsi="Arial" w:cs="Arial"/>
        </w:rPr>
        <w:t>.</w:t>
      </w:r>
    </w:p>
    <w:p w14:paraId="56D16215" w14:textId="77777777" w:rsidR="000863E8" w:rsidRPr="00951BBF" w:rsidRDefault="000863E8" w:rsidP="009356C2">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I am satisfied that this work is the result of the student’s own efforts.</w:t>
      </w:r>
    </w:p>
    <w:p w14:paraId="39ACA096" w14:textId="77777777" w:rsidR="000863E8" w:rsidRPr="00951BBF" w:rsidRDefault="000863E8" w:rsidP="009356C2">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Signed:  …………………………………………………………………………...</w:t>
      </w:r>
    </w:p>
    <w:p w14:paraId="2E9975FB" w14:textId="77777777" w:rsidR="000863E8" w:rsidRDefault="000863E8" w:rsidP="00E24BB4">
      <w:pPr>
        <w:pBdr>
          <w:top w:val="single" w:sz="4" w:space="1" w:color="auto"/>
          <w:left w:val="single" w:sz="4" w:space="4" w:color="auto"/>
          <w:bottom w:val="single" w:sz="4" w:space="1" w:color="auto"/>
          <w:right w:val="single" w:sz="4" w:space="4" w:color="auto"/>
        </w:pBdr>
        <w:spacing w:after="120" w:line="360" w:lineRule="auto"/>
        <w:jc w:val="both"/>
        <w:rPr>
          <w:rFonts w:ascii="Arial" w:hAnsi="Arial" w:cs="Arial"/>
        </w:rPr>
      </w:pPr>
      <w:r>
        <w:rPr>
          <w:rFonts w:ascii="Arial" w:hAnsi="Arial" w:cs="Arial"/>
        </w:rPr>
        <w:t>Date: …………………………………………………………………………..</w:t>
      </w:r>
    </w:p>
    <w:p w14:paraId="504FEFB4" w14:textId="77777777" w:rsidR="000863E8" w:rsidRPr="00513D3F" w:rsidRDefault="000863E8" w:rsidP="00513D3F">
      <w:pPr>
        <w:rPr>
          <w:rFonts w:ascii="Arial" w:hAnsi="Arial" w:cs="Arial"/>
        </w:rPr>
      </w:pPr>
    </w:p>
    <w:p w14:paraId="25ABBE35" w14:textId="77777777" w:rsidR="000863E8" w:rsidRDefault="000863E8" w:rsidP="00513D3F">
      <w:pPr>
        <w:rPr>
          <w:rFonts w:ascii="Arial" w:hAnsi="Arial" w:cs="Arial"/>
        </w:rPr>
      </w:pPr>
    </w:p>
    <w:p w14:paraId="326A0B92" w14:textId="77777777" w:rsidR="00A16F79" w:rsidRDefault="00A16F79"/>
    <w:p w14:paraId="294A9C5C" w14:textId="77777777" w:rsidR="00A16F79" w:rsidRDefault="00A16F79"/>
    <w:p w14:paraId="2E5D3CDE" w14:textId="77777777" w:rsidR="00A16F79" w:rsidRDefault="00A16F79"/>
    <w:p w14:paraId="407FC530" w14:textId="7C21F1ED" w:rsidR="009D0ABE" w:rsidRDefault="00DF7456">
      <w:r>
        <w:br w:type="page"/>
      </w:r>
    </w:p>
    <w:p w14:paraId="324780B8" w14:textId="77777777" w:rsidR="006D41C8" w:rsidRDefault="006D41C8"/>
    <w:sdt>
      <w:sdtPr>
        <w:rPr>
          <w:rFonts w:asciiTheme="minorHAnsi" w:eastAsiaTheme="minorHAnsi" w:hAnsiTheme="minorHAnsi" w:cstheme="minorBidi"/>
          <w:color w:val="auto"/>
          <w:kern w:val="2"/>
          <w:sz w:val="24"/>
          <w:szCs w:val="24"/>
          <w:lang/>
          <w14:ligatures w14:val="standardContextual"/>
        </w:rPr>
        <w:id w:val="1943722010"/>
        <w:docPartObj>
          <w:docPartGallery w:val="Table of Contents"/>
          <w:docPartUnique/>
        </w:docPartObj>
      </w:sdtPr>
      <w:sdtEndPr>
        <w:rPr>
          <w:b/>
          <w:bCs/>
          <w:noProof/>
        </w:rPr>
      </w:sdtEndPr>
      <w:sdtContent>
        <w:p w14:paraId="66A0B67B" w14:textId="4DF7E3DE" w:rsidR="00092FA8" w:rsidRPr="00160102" w:rsidRDefault="00092FA8">
          <w:pPr>
            <w:pStyle w:val="TOCHeading"/>
            <w:rPr>
              <w:color w:val="000000" w:themeColor="text1"/>
            </w:rPr>
          </w:pPr>
          <w:r w:rsidRPr="00160102">
            <w:rPr>
              <w:color w:val="000000" w:themeColor="text1"/>
            </w:rPr>
            <w:t>Table of Contents</w:t>
          </w:r>
        </w:p>
        <w:p w14:paraId="7EDDB121" w14:textId="7CEDAB73" w:rsidR="00160102" w:rsidRDefault="00092FA8">
          <w:pPr>
            <w:pStyle w:val="TOC5"/>
            <w:tabs>
              <w:tab w:val="right" w:leader="dot" w:pos="7288"/>
            </w:tabs>
            <w:rPr>
              <w:rFonts w:eastAsiaTheme="minorEastAsia"/>
              <w:noProof/>
            </w:rPr>
          </w:pPr>
          <w:r>
            <w:fldChar w:fldCharType="begin"/>
          </w:r>
          <w:r>
            <w:instrText xml:space="preserve"> TOC \o "1-6" \h \z \u </w:instrText>
          </w:r>
          <w:r>
            <w:fldChar w:fldCharType="separate"/>
          </w:r>
          <w:hyperlink w:anchor="_Toc221201533" w:history="1">
            <w:r w:rsidR="00160102" w:rsidRPr="003E150D">
              <w:rPr>
                <w:rStyle w:val="Hyperlink"/>
                <w:noProof/>
              </w:rPr>
              <w:t>Acknowledgements</w:t>
            </w:r>
            <w:r w:rsidR="00160102">
              <w:rPr>
                <w:noProof/>
                <w:webHidden/>
              </w:rPr>
              <w:tab/>
            </w:r>
            <w:r w:rsidR="00160102">
              <w:rPr>
                <w:noProof/>
                <w:webHidden/>
              </w:rPr>
              <w:fldChar w:fldCharType="begin"/>
            </w:r>
            <w:r w:rsidR="00160102">
              <w:rPr>
                <w:noProof/>
                <w:webHidden/>
              </w:rPr>
              <w:instrText xml:space="preserve"> PAGEREF _Toc221201533 \h </w:instrText>
            </w:r>
            <w:r w:rsidR="00160102">
              <w:rPr>
                <w:noProof/>
                <w:webHidden/>
              </w:rPr>
            </w:r>
            <w:r w:rsidR="00160102">
              <w:rPr>
                <w:noProof/>
                <w:webHidden/>
              </w:rPr>
              <w:fldChar w:fldCharType="separate"/>
            </w:r>
            <w:r w:rsidR="00FD1EBD">
              <w:rPr>
                <w:noProof/>
                <w:webHidden/>
              </w:rPr>
              <w:t>v</w:t>
            </w:r>
            <w:r w:rsidR="00160102">
              <w:rPr>
                <w:noProof/>
                <w:webHidden/>
              </w:rPr>
              <w:fldChar w:fldCharType="end"/>
            </w:r>
          </w:hyperlink>
        </w:p>
        <w:p w14:paraId="19E1378D" w14:textId="13B047EB" w:rsidR="00160102" w:rsidRDefault="00160102">
          <w:pPr>
            <w:pStyle w:val="TOC5"/>
            <w:tabs>
              <w:tab w:val="right" w:leader="dot" w:pos="7288"/>
            </w:tabs>
            <w:rPr>
              <w:rFonts w:eastAsiaTheme="minorEastAsia"/>
              <w:noProof/>
            </w:rPr>
          </w:pPr>
          <w:hyperlink w:anchor="_Toc221201534" w:history="1">
            <w:r w:rsidRPr="003E150D">
              <w:rPr>
                <w:rStyle w:val="Hyperlink"/>
                <w:noProof/>
              </w:rPr>
              <w:t>Abstract</w:t>
            </w:r>
            <w:r>
              <w:rPr>
                <w:noProof/>
                <w:webHidden/>
              </w:rPr>
              <w:tab/>
            </w:r>
            <w:r>
              <w:rPr>
                <w:noProof/>
                <w:webHidden/>
              </w:rPr>
              <w:fldChar w:fldCharType="begin"/>
            </w:r>
            <w:r>
              <w:rPr>
                <w:noProof/>
                <w:webHidden/>
              </w:rPr>
              <w:instrText xml:space="preserve"> PAGEREF _Toc221201534 \h </w:instrText>
            </w:r>
            <w:r>
              <w:rPr>
                <w:noProof/>
                <w:webHidden/>
              </w:rPr>
            </w:r>
            <w:r>
              <w:rPr>
                <w:noProof/>
                <w:webHidden/>
              </w:rPr>
              <w:fldChar w:fldCharType="separate"/>
            </w:r>
            <w:r w:rsidR="00FD1EBD">
              <w:rPr>
                <w:noProof/>
                <w:webHidden/>
              </w:rPr>
              <w:t>vi</w:t>
            </w:r>
            <w:r>
              <w:rPr>
                <w:noProof/>
                <w:webHidden/>
              </w:rPr>
              <w:fldChar w:fldCharType="end"/>
            </w:r>
          </w:hyperlink>
        </w:p>
        <w:p w14:paraId="1DDA065F" w14:textId="2D7CDC7A" w:rsidR="00160102" w:rsidRDefault="00160102">
          <w:pPr>
            <w:pStyle w:val="TOC2"/>
            <w:tabs>
              <w:tab w:val="right" w:leader="dot" w:pos="7288"/>
            </w:tabs>
            <w:rPr>
              <w:rFonts w:eastAsiaTheme="minorEastAsia"/>
              <w:noProof/>
            </w:rPr>
          </w:pPr>
          <w:hyperlink w:anchor="_Toc221201536" w:history="1">
            <w:r w:rsidRPr="003E150D">
              <w:rPr>
                <w:rStyle w:val="Hyperlink"/>
                <w:noProof/>
              </w:rPr>
              <w:t>Introduction</w:t>
            </w:r>
            <w:r>
              <w:rPr>
                <w:noProof/>
                <w:webHidden/>
              </w:rPr>
              <w:tab/>
            </w:r>
            <w:r>
              <w:rPr>
                <w:noProof/>
                <w:webHidden/>
              </w:rPr>
              <w:fldChar w:fldCharType="begin"/>
            </w:r>
            <w:r>
              <w:rPr>
                <w:noProof/>
                <w:webHidden/>
              </w:rPr>
              <w:instrText xml:space="preserve"> PAGEREF _Toc221201536 \h </w:instrText>
            </w:r>
            <w:r>
              <w:rPr>
                <w:noProof/>
                <w:webHidden/>
              </w:rPr>
            </w:r>
            <w:r>
              <w:rPr>
                <w:noProof/>
                <w:webHidden/>
              </w:rPr>
              <w:fldChar w:fldCharType="separate"/>
            </w:r>
            <w:r w:rsidR="00FD1EBD">
              <w:rPr>
                <w:noProof/>
                <w:webHidden/>
              </w:rPr>
              <w:t>1</w:t>
            </w:r>
            <w:r>
              <w:rPr>
                <w:noProof/>
                <w:webHidden/>
              </w:rPr>
              <w:fldChar w:fldCharType="end"/>
            </w:r>
          </w:hyperlink>
        </w:p>
        <w:p w14:paraId="503334C4" w14:textId="1B3CAB17" w:rsidR="00160102" w:rsidRDefault="00160102">
          <w:pPr>
            <w:pStyle w:val="TOC2"/>
            <w:tabs>
              <w:tab w:val="right" w:leader="dot" w:pos="7288"/>
            </w:tabs>
            <w:rPr>
              <w:rFonts w:eastAsiaTheme="minorEastAsia"/>
              <w:noProof/>
            </w:rPr>
          </w:pPr>
          <w:hyperlink w:anchor="_Toc221201537" w:history="1">
            <w:r w:rsidRPr="003E150D">
              <w:rPr>
                <w:rStyle w:val="Hyperlink"/>
                <w:noProof/>
              </w:rPr>
              <w:t>Literature Review</w:t>
            </w:r>
            <w:r>
              <w:rPr>
                <w:noProof/>
                <w:webHidden/>
              </w:rPr>
              <w:tab/>
            </w:r>
            <w:r>
              <w:rPr>
                <w:noProof/>
                <w:webHidden/>
              </w:rPr>
              <w:fldChar w:fldCharType="begin"/>
            </w:r>
            <w:r>
              <w:rPr>
                <w:noProof/>
                <w:webHidden/>
              </w:rPr>
              <w:instrText xml:space="preserve"> PAGEREF _Toc221201537 \h </w:instrText>
            </w:r>
            <w:r>
              <w:rPr>
                <w:noProof/>
                <w:webHidden/>
              </w:rPr>
            </w:r>
            <w:r>
              <w:rPr>
                <w:noProof/>
                <w:webHidden/>
              </w:rPr>
              <w:fldChar w:fldCharType="separate"/>
            </w:r>
            <w:r w:rsidR="00FD1EBD">
              <w:rPr>
                <w:noProof/>
                <w:webHidden/>
              </w:rPr>
              <w:t>4</w:t>
            </w:r>
            <w:r>
              <w:rPr>
                <w:noProof/>
                <w:webHidden/>
              </w:rPr>
              <w:fldChar w:fldCharType="end"/>
            </w:r>
          </w:hyperlink>
        </w:p>
        <w:p w14:paraId="577C1D44" w14:textId="195D9A8D" w:rsidR="00160102" w:rsidRDefault="00160102">
          <w:pPr>
            <w:pStyle w:val="TOC3"/>
            <w:tabs>
              <w:tab w:val="right" w:leader="dot" w:pos="7288"/>
            </w:tabs>
            <w:rPr>
              <w:rFonts w:eastAsiaTheme="minorEastAsia"/>
              <w:noProof/>
            </w:rPr>
          </w:pPr>
          <w:hyperlink w:anchor="_Toc221201538" w:history="1">
            <w:r w:rsidRPr="003E150D">
              <w:rPr>
                <w:rStyle w:val="Hyperlink"/>
                <w:noProof/>
              </w:rPr>
              <w:t>The Origins of Junkanoo</w:t>
            </w:r>
            <w:r>
              <w:rPr>
                <w:noProof/>
                <w:webHidden/>
              </w:rPr>
              <w:tab/>
            </w:r>
            <w:r>
              <w:rPr>
                <w:noProof/>
                <w:webHidden/>
              </w:rPr>
              <w:fldChar w:fldCharType="begin"/>
            </w:r>
            <w:r>
              <w:rPr>
                <w:noProof/>
                <w:webHidden/>
              </w:rPr>
              <w:instrText xml:space="preserve"> PAGEREF _Toc221201538 \h </w:instrText>
            </w:r>
            <w:r>
              <w:rPr>
                <w:noProof/>
                <w:webHidden/>
              </w:rPr>
            </w:r>
            <w:r>
              <w:rPr>
                <w:noProof/>
                <w:webHidden/>
              </w:rPr>
              <w:fldChar w:fldCharType="separate"/>
            </w:r>
            <w:r w:rsidR="00FD1EBD">
              <w:rPr>
                <w:noProof/>
                <w:webHidden/>
              </w:rPr>
              <w:t>4</w:t>
            </w:r>
            <w:r>
              <w:rPr>
                <w:noProof/>
                <w:webHidden/>
              </w:rPr>
              <w:fldChar w:fldCharType="end"/>
            </w:r>
          </w:hyperlink>
        </w:p>
        <w:p w14:paraId="4F7BA048" w14:textId="68CE8A8A" w:rsidR="00160102" w:rsidRDefault="00160102">
          <w:pPr>
            <w:pStyle w:val="TOC4"/>
            <w:tabs>
              <w:tab w:val="right" w:leader="dot" w:pos="7288"/>
            </w:tabs>
            <w:rPr>
              <w:rFonts w:eastAsiaTheme="minorEastAsia"/>
              <w:noProof/>
            </w:rPr>
          </w:pPr>
          <w:hyperlink w:anchor="_Toc221201539" w:history="1">
            <w:r w:rsidRPr="003E150D">
              <w:rPr>
                <w:rStyle w:val="Hyperlink"/>
                <w:noProof/>
              </w:rPr>
              <w:t>Historical Background: The African Presence in The Bahamas</w:t>
            </w:r>
            <w:r>
              <w:rPr>
                <w:noProof/>
                <w:webHidden/>
              </w:rPr>
              <w:tab/>
            </w:r>
            <w:r>
              <w:rPr>
                <w:noProof/>
                <w:webHidden/>
              </w:rPr>
              <w:fldChar w:fldCharType="begin"/>
            </w:r>
            <w:r>
              <w:rPr>
                <w:noProof/>
                <w:webHidden/>
              </w:rPr>
              <w:instrText xml:space="preserve"> PAGEREF _Toc221201539 \h </w:instrText>
            </w:r>
            <w:r>
              <w:rPr>
                <w:noProof/>
                <w:webHidden/>
              </w:rPr>
            </w:r>
            <w:r>
              <w:rPr>
                <w:noProof/>
                <w:webHidden/>
              </w:rPr>
              <w:fldChar w:fldCharType="separate"/>
            </w:r>
            <w:r w:rsidR="00FD1EBD">
              <w:rPr>
                <w:noProof/>
                <w:webHidden/>
              </w:rPr>
              <w:t>5</w:t>
            </w:r>
            <w:r>
              <w:rPr>
                <w:noProof/>
                <w:webHidden/>
              </w:rPr>
              <w:fldChar w:fldCharType="end"/>
            </w:r>
          </w:hyperlink>
        </w:p>
        <w:p w14:paraId="54C0B72E" w14:textId="3272A233" w:rsidR="00160102" w:rsidRDefault="00160102">
          <w:pPr>
            <w:pStyle w:val="TOC4"/>
            <w:tabs>
              <w:tab w:val="right" w:leader="dot" w:pos="7288"/>
            </w:tabs>
            <w:rPr>
              <w:rFonts w:eastAsiaTheme="minorEastAsia"/>
              <w:noProof/>
            </w:rPr>
          </w:pPr>
          <w:hyperlink w:anchor="_Toc221201540" w:history="1">
            <w:r w:rsidRPr="003E150D">
              <w:rPr>
                <w:rStyle w:val="Hyperlink"/>
                <w:noProof/>
              </w:rPr>
              <w:t>Ethnic Origins</w:t>
            </w:r>
            <w:r>
              <w:rPr>
                <w:noProof/>
                <w:webHidden/>
              </w:rPr>
              <w:tab/>
            </w:r>
            <w:r>
              <w:rPr>
                <w:noProof/>
                <w:webHidden/>
              </w:rPr>
              <w:fldChar w:fldCharType="begin"/>
            </w:r>
            <w:r>
              <w:rPr>
                <w:noProof/>
                <w:webHidden/>
              </w:rPr>
              <w:instrText xml:space="preserve"> PAGEREF _Toc221201540 \h </w:instrText>
            </w:r>
            <w:r>
              <w:rPr>
                <w:noProof/>
                <w:webHidden/>
              </w:rPr>
            </w:r>
            <w:r>
              <w:rPr>
                <w:noProof/>
                <w:webHidden/>
              </w:rPr>
              <w:fldChar w:fldCharType="separate"/>
            </w:r>
            <w:r w:rsidR="00FD1EBD">
              <w:rPr>
                <w:noProof/>
                <w:webHidden/>
              </w:rPr>
              <w:t>7</w:t>
            </w:r>
            <w:r>
              <w:rPr>
                <w:noProof/>
                <w:webHidden/>
              </w:rPr>
              <w:fldChar w:fldCharType="end"/>
            </w:r>
          </w:hyperlink>
        </w:p>
        <w:p w14:paraId="0040556D" w14:textId="1652118A" w:rsidR="00160102" w:rsidRDefault="00160102">
          <w:pPr>
            <w:pStyle w:val="TOC4"/>
            <w:tabs>
              <w:tab w:val="right" w:leader="dot" w:pos="7288"/>
            </w:tabs>
            <w:rPr>
              <w:rFonts w:eastAsiaTheme="minorEastAsia"/>
              <w:noProof/>
            </w:rPr>
          </w:pPr>
          <w:hyperlink w:anchor="_Toc221201541" w:history="1">
            <w:r w:rsidRPr="003E150D">
              <w:rPr>
                <w:rStyle w:val="Hyperlink"/>
                <w:noProof/>
              </w:rPr>
              <w:t>Historical Religious Evidence</w:t>
            </w:r>
            <w:r>
              <w:rPr>
                <w:noProof/>
                <w:webHidden/>
              </w:rPr>
              <w:tab/>
            </w:r>
            <w:r>
              <w:rPr>
                <w:noProof/>
                <w:webHidden/>
              </w:rPr>
              <w:fldChar w:fldCharType="begin"/>
            </w:r>
            <w:r>
              <w:rPr>
                <w:noProof/>
                <w:webHidden/>
              </w:rPr>
              <w:instrText xml:space="preserve"> PAGEREF _Toc221201541 \h </w:instrText>
            </w:r>
            <w:r>
              <w:rPr>
                <w:noProof/>
                <w:webHidden/>
              </w:rPr>
            </w:r>
            <w:r>
              <w:rPr>
                <w:noProof/>
                <w:webHidden/>
              </w:rPr>
              <w:fldChar w:fldCharType="separate"/>
            </w:r>
            <w:r w:rsidR="00FD1EBD">
              <w:rPr>
                <w:noProof/>
                <w:webHidden/>
              </w:rPr>
              <w:t>10</w:t>
            </w:r>
            <w:r>
              <w:rPr>
                <w:noProof/>
                <w:webHidden/>
              </w:rPr>
              <w:fldChar w:fldCharType="end"/>
            </w:r>
          </w:hyperlink>
        </w:p>
        <w:p w14:paraId="3F19F7C9" w14:textId="3AB75987" w:rsidR="00160102" w:rsidRDefault="00160102">
          <w:pPr>
            <w:pStyle w:val="TOC3"/>
            <w:tabs>
              <w:tab w:val="right" w:leader="dot" w:pos="7288"/>
            </w:tabs>
            <w:rPr>
              <w:rFonts w:eastAsiaTheme="minorEastAsia"/>
              <w:noProof/>
            </w:rPr>
          </w:pPr>
          <w:hyperlink w:anchor="_Toc221201542" w:history="1">
            <w:r w:rsidRPr="003E150D">
              <w:rPr>
                <w:rStyle w:val="Hyperlink"/>
                <w:noProof/>
              </w:rPr>
              <w:t>Junkanoo as a Masquerade Tradition</w:t>
            </w:r>
            <w:r>
              <w:rPr>
                <w:noProof/>
                <w:webHidden/>
              </w:rPr>
              <w:tab/>
            </w:r>
            <w:r>
              <w:rPr>
                <w:noProof/>
                <w:webHidden/>
              </w:rPr>
              <w:fldChar w:fldCharType="begin"/>
            </w:r>
            <w:r>
              <w:rPr>
                <w:noProof/>
                <w:webHidden/>
              </w:rPr>
              <w:instrText xml:space="preserve"> PAGEREF _Toc221201542 \h </w:instrText>
            </w:r>
            <w:r>
              <w:rPr>
                <w:noProof/>
                <w:webHidden/>
              </w:rPr>
            </w:r>
            <w:r>
              <w:rPr>
                <w:noProof/>
                <w:webHidden/>
              </w:rPr>
              <w:fldChar w:fldCharType="separate"/>
            </w:r>
            <w:r w:rsidR="00FD1EBD">
              <w:rPr>
                <w:noProof/>
                <w:webHidden/>
              </w:rPr>
              <w:t>11</w:t>
            </w:r>
            <w:r>
              <w:rPr>
                <w:noProof/>
                <w:webHidden/>
              </w:rPr>
              <w:fldChar w:fldCharType="end"/>
            </w:r>
          </w:hyperlink>
        </w:p>
        <w:p w14:paraId="6243B4E8" w14:textId="3D6A4E0D" w:rsidR="00160102" w:rsidRDefault="00160102">
          <w:pPr>
            <w:pStyle w:val="TOC4"/>
            <w:tabs>
              <w:tab w:val="right" w:leader="dot" w:pos="7288"/>
            </w:tabs>
            <w:rPr>
              <w:rFonts w:eastAsiaTheme="minorEastAsia"/>
              <w:noProof/>
            </w:rPr>
          </w:pPr>
          <w:hyperlink w:anchor="_Toc221201543" w:history="1">
            <w:r w:rsidRPr="003E150D">
              <w:rPr>
                <w:rStyle w:val="Hyperlink"/>
                <w:i/>
                <w:noProof/>
              </w:rPr>
              <w:t>Àṣẹ</w:t>
            </w:r>
            <w:r w:rsidRPr="003E150D">
              <w:rPr>
                <w:rStyle w:val="Hyperlink"/>
                <w:noProof/>
              </w:rPr>
              <w:t xml:space="preserve">, </w:t>
            </w:r>
            <w:r w:rsidRPr="003E150D">
              <w:rPr>
                <w:rStyle w:val="Hyperlink"/>
                <w:i/>
                <w:noProof/>
              </w:rPr>
              <w:t>Sunsum</w:t>
            </w:r>
            <w:r w:rsidRPr="003E150D">
              <w:rPr>
                <w:rStyle w:val="Hyperlink"/>
                <w:noProof/>
              </w:rPr>
              <w:t xml:space="preserve"> and </w:t>
            </w:r>
            <w:r w:rsidRPr="003E150D">
              <w:rPr>
                <w:rStyle w:val="Hyperlink"/>
                <w:i/>
                <w:noProof/>
              </w:rPr>
              <w:t>Nyama</w:t>
            </w:r>
            <w:r w:rsidRPr="003E150D">
              <w:rPr>
                <w:rStyle w:val="Hyperlink"/>
                <w:noProof/>
              </w:rPr>
              <w:t>: Divine Creative Forces</w:t>
            </w:r>
            <w:r>
              <w:rPr>
                <w:noProof/>
                <w:webHidden/>
              </w:rPr>
              <w:tab/>
            </w:r>
            <w:r>
              <w:rPr>
                <w:noProof/>
                <w:webHidden/>
              </w:rPr>
              <w:fldChar w:fldCharType="begin"/>
            </w:r>
            <w:r>
              <w:rPr>
                <w:noProof/>
                <w:webHidden/>
              </w:rPr>
              <w:instrText xml:space="preserve"> PAGEREF _Toc221201543 \h </w:instrText>
            </w:r>
            <w:r>
              <w:rPr>
                <w:noProof/>
                <w:webHidden/>
              </w:rPr>
            </w:r>
            <w:r>
              <w:rPr>
                <w:noProof/>
                <w:webHidden/>
              </w:rPr>
              <w:fldChar w:fldCharType="separate"/>
            </w:r>
            <w:r w:rsidR="00FD1EBD">
              <w:rPr>
                <w:noProof/>
                <w:webHidden/>
              </w:rPr>
              <w:t>12</w:t>
            </w:r>
            <w:r>
              <w:rPr>
                <w:noProof/>
                <w:webHidden/>
              </w:rPr>
              <w:fldChar w:fldCharType="end"/>
            </w:r>
          </w:hyperlink>
        </w:p>
        <w:p w14:paraId="5A801D2B" w14:textId="04682790" w:rsidR="00160102" w:rsidRDefault="00160102">
          <w:pPr>
            <w:pStyle w:val="TOC5"/>
            <w:tabs>
              <w:tab w:val="right" w:leader="dot" w:pos="7288"/>
            </w:tabs>
            <w:rPr>
              <w:rFonts w:eastAsiaTheme="minorEastAsia"/>
              <w:noProof/>
            </w:rPr>
          </w:pPr>
          <w:hyperlink w:anchor="_Toc221201544" w:history="1">
            <w:r w:rsidRPr="003E150D">
              <w:rPr>
                <w:rStyle w:val="Hyperlink"/>
                <w:noProof/>
              </w:rPr>
              <w:t xml:space="preserve">The Yoruba: </w:t>
            </w:r>
            <w:r w:rsidRPr="003E150D">
              <w:rPr>
                <w:rStyle w:val="Hyperlink"/>
                <w:i/>
                <w:iCs/>
                <w:noProof/>
              </w:rPr>
              <w:t>Àṣẹ</w:t>
            </w:r>
            <w:r>
              <w:rPr>
                <w:noProof/>
                <w:webHidden/>
              </w:rPr>
              <w:tab/>
            </w:r>
            <w:r>
              <w:rPr>
                <w:noProof/>
                <w:webHidden/>
              </w:rPr>
              <w:fldChar w:fldCharType="begin"/>
            </w:r>
            <w:r>
              <w:rPr>
                <w:noProof/>
                <w:webHidden/>
              </w:rPr>
              <w:instrText xml:space="preserve"> PAGEREF _Toc221201544 \h </w:instrText>
            </w:r>
            <w:r>
              <w:rPr>
                <w:noProof/>
                <w:webHidden/>
              </w:rPr>
            </w:r>
            <w:r>
              <w:rPr>
                <w:noProof/>
                <w:webHidden/>
              </w:rPr>
              <w:fldChar w:fldCharType="separate"/>
            </w:r>
            <w:r w:rsidR="00FD1EBD">
              <w:rPr>
                <w:noProof/>
                <w:webHidden/>
              </w:rPr>
              <w:t>13</w:t>
            </w:r>
            <w:r>
              <w:rPr>
                <w:noProof/>
                <w:webHidden/>
              </w:rPr>
              <w:fldChar w:fldCharType="end"/>
            </w:r>
          </w:hyperlink>
        </w:p>
        <w:p w14:paraId="7FEBE23E" w14:textId="7FEB8A5D" w:rsidR="00160102" w:rsidRDefault="00160102">
          <w:pPr>
            <w:pStyle w:val="TOC5"/>
            <w:tabs>
              <w:tab w:val="right" w:leader="dot" w:pos="7288"/>
            </w:tabs>
            <w:rPr>
              <w:rFonts w:eastAsiaTheme="minorEastAsia"/>
              <w:noProof/>
            </w:rPr>
          </w:pPr>
          <w:hyperlink w:anchor="_Toc221201545" w:history="1">
            <w:r w:rsidRPr="003E150D">
              <w:rPr>
                <w:rStyle w:val="Hyperlink"/>
                <w:noProof/>
              </w:rPr>
              <w:t xml:space="preserve">The Akan: </w:t>
            </w:r>
            <w:r w:rsidRPr="003E150D">
              <w:rPr>
                <w:rStyle w:val="Hyperlink"/>
                <w:i/>
                <w:iCs/>
                <w:noProof/>
              </w:rPr>
              <w:t>Sunsum</w:t>
            </w:r>
            <w:r>
              <w:rPr>
                <w:noProof/>
                <w:webHidden/>
              </w:rPr>
              <w:tab/>
            </w:r>
            <w:r>
              <w:rPr>
                <w:noProof/>
                <w:webHidden/>
              </w:rPr>
              <w:fldChar w:fldCharType="begin"/>
            </w:r>
            <w:r>
              <w:rPr>
                <w:noProof/>
                <w:webHidden/>
              </w:rPr>
              <w:instrText xml:space="preserve"> PAGEREF _Toc221201545 \h </w:instrText>
            </w:r>
            <w:r>
              <w:rPr>
                <w:noProof/>
                <w:webHidden/>
              </w:rPr>
            </w:r>
            <w:r>
              <w:rPr>
                <w:noProof/>
                <w:webHidden/>
              </w:rPr>
              <w:fldChar w:fldCharType="separate"/>
            </w:r>
            <w:r w:rsidR="00FD1EBD">
              <w:rPr>
                <w:noProof/>
                <w:webHidden/>
              </w:rPr>
              <w:t>14</w:t>
            </w:r>
            <w:r>
              <w:rPr>
                <w:noProof/>
                <w:webHidden/>
              </w:rPr>
              <w:fldChar w:fldCharType="end"/>
            </w:r>
          </w:hyperlink>
        </w:p>
        <w:p w14:paraId="17536CBF" w14:textId="3CAEBB06" w:rsidR="00160102" w:rsidRDefault="00160102">
          <w:pPr>
            <w:pStyle w:val="TOC5"/>
            <w:tabs>
              <w:tab w:val="right" w:leader="dot" w:pos="7288"/>
            </w:tabs>
            <w:rPr>
              <w:rFonts w:eastAsiaTheme="minorEastAsia"/>
              <w:noProof/>
            </w:rPr>
          </w:pPr>
          <w:hyperlink w:anchor="_Toc221201546" w:history="1">
            <w:r w:rsidRPr="003E150D">
              <w:rPr>
                <w:rStyle w:val="Hyperlink"/>
                <w:noProof/>
              </w:rPr>
              <w:t xml:space="preserve">The Mande: </w:t>
            </w:r>
            <w:r w:rsidRPr="003E150D">
              <w:rPr>
                <w:rStyle w:val="Hyperlink"/>
                <w:i/>
                <w:iCs/>
                <w:noProof/>
              </w:rPr>
              <w:t>Nyama</w:t>
            </w:r>
            <w:r>
              <w:rPr>
                <w:noProof/>
                <w:webHidden/>
              </w:rPr>
              <w:tab/>
            </w:r>
            <w:r>
              <w:rPr>
                <w:noProof/>
                <w:webHidden/>
              </w:rPr>
              <w:fldChar w:fldCharType="begin"/>
            </w:r>
            <w:r>
              <w:rPr>
                <w:noProof/>
                <w:webHidden/>
              </w:rPr>
              <w:instrText xml:space="preserve"> PAGEREF _Toc221201546 \h </w:instrText>
            </w:r>
            <w:r>
              <w:rPr>
                <w:noProof/>
                <w:webHidden/>
              </w:rPr>
            </w:r>
            <w:r>
              <w:rPr>
                <w:noProof/>
                <w:webHidden/>
              </w:rPr>
              <w:fldChar w:fldCharType="separate"/>
            </w:r>
            <w:r w:rsidR="00FD1EBD">
              <w:rPr>
                <w:noProof/>
                <w:webHidden/>
              </w:rPr>
              <w:t>15</w:t>
            </w:r>
            <w:r>
              <w:rPr>
                <w:noProof/>
                <w:webHidden/>
              </w:rPr>
              <w:fldChar w:fldCharType="end"/>
            </w:r>
          </w:hyperlink>
        </w:p>
        <w:p w14:paraId="767F978D" w14:textId="207C2AA4" w:rsidR="00160102" w:rsidRDefault="00160102">
          <w:pPr>
            <w:pStyle w:val="TOC4"/>
            <w:tabs>
              <w:tab w:val="right" w:leader="dot" w:pos="7288"/>
            </w:tabs>
            <w:rPr>
              <w:rFonts w:eastAsiaTheme="minorEastAsia"/>
              <w:noProof/>
            </w:rPr>
          </w:pPr>
          <w:hyperlink w:anchor="_Toc221201547" w:history="1">
            <w:r w:rsidRPr="003E150D">
              <w:rPr>
                <w:rStyle w:val="Hyperlink"/>
                <w:noProof/>
              </w:rPr>
              <w:t>Crossing the Spiritual Plane: Art, Music, Timing and Trance</w:t>
            </w:r>
            <w:r>
              <w:rPr>
                <w:noProof/>
                <w:webHidden/>
              </w:rPr>
              <w:tab/>
            </w:r>
            <w:r>
              <w:rPr>
                <w:noProof/>
                <w:webHidden/>
              </w:rPr>
              <w:fldChar w:fldCharType="begin"/>
            </w:r>
            <w:r>
              <w:rPr>
                <w:noProof/>
                <w:webHidden/>
              </w:rPr>
              <w:instrText xml:space="preserve"> PAGEREF _Toc221201547 \h </w:instrText>
            </w:r>
            <w:r>
              <w:rPr>
                <w:noProof/>
                <w:webHidden/>
              </w:rPr>
            </w:r>
            <w:r>
              <w:rPr>
                <w:noProof/>
                <w:webHidden/>
              </w:rPr>
              <w:fldChar w:fldCharType="separate"/>
            </w:r>
            <w:r w:rsidR="00FD1EBD">
              <w:rPr>
                <w:noProof/>
                <w:webHidden/>
              </w:rPr>
              <w:t>17</w:t>
            </w:r>
            <w:r>
              <w:rPr>
                <w:noProof/>
                <w:webHidden/>
              </w:rPr>
              <w:fldChar w:fldCharType="end"/>
            </w:r>
          </w:hyperlink>
        </w:p>
        <w:p w14:paraId="17E5F6F5" w14:textId="068822E3" w:rsidR="00160102" w:rsidRDefault="00160102">
          <w:pPr>
            <w:pStyle w:val="TOC5"/>
            <w:tabs>
              <w:tab w:val="right" w:leader="dot" w:pos="7288"/>
            </w:tabs>
            <w:rPr>
              <w:rFonts w:eastAsiaTheme="minorEastAsia"/>
              <w:noProof/>
            </w:rPr>
          </w:pPr>
          <w:hyperlink w:anchor="_Toc221201548" w:history="1">
            <w:r w:rsidRPr="003E150D">
              <w:rPr>
                <w:rStyle w:val="Hyperlink"/>
                <w:noProof/>
              </w:rPr>
              <w:t>The Igbo: Costuming and Percussion</w:t>
            </w:r>
            <w:r>
              <w:rPr>
                <w:noProof/>
                <w:webHidden/>
              </w:rPr>
              <w:tab/>
            </w:r>
            <w:r>
              <w:rPr>
                <w:noProof/>
                <w:webHidden/>
              </w:rPr>
              <w:fldChar w:fldCharType="begin"/>
            </w:r>
            <w:r>
              <w:rPr>
                <w:noProof/>
                <w:webHidden/>
              </w:rPr>
              <w:instrText xml:space="preserve"> PAGEREF _Toc221201548 \h </w:instrText>
            </w:r>
            <w:r>
              <w:rPr>
                <w:noProof/>
                <w:webHidden/>
              </w:rPr>
            </w:r>
            <w:r>
              <w:rPr>
                <w:noProof/>
                <w:webHidden/>
              </w:rPr>
              <w:fldChar w:fldCharType="separate"/>
            </w:r>
            <w:r w:rsidR="00FD1EBD">
              <w:rPr>
                <w:noProof/>
                <w:webHidden/>
              </w:rPr>
              <w:t>19</w:t>
            </w:r>
            <w:r>
              <w:rPr>
                <w:noProof/>
                <w:webHidden/>
              </w:rPr>
              <w:fldChar w:fldCharType="end"/>
            </w:r>
          </w:hyperlink>
        </w:p>
        <w:p w14:paraId="6C3FDCDC" w14:textId="68A98F3B" w:rsidR="00160102" w:rsidRDefault="00160102">
          <w:pPr>
            <w:pStyle w:val="TOC5"/>
            <w:tabs>
              <w:tab w:val="right" w:leader="dot" w:pos="7288"/>
            </w:tabs>
            <w:rPr>
              <w:rFonts w:eastAsiaTheme="minorEastAsia"/>
              <w:noProof/>
            </w:rPr>
          </w:pPr>
          <w:hyperlink w:anchor="_Toc221201549" w:history="1">
            <w:r w:rsidRPr="003E150D">
              <w:rPr>
                <w:rStyle w:val="Hyperlink"/>
                <w:noProof/>
              </w:rPr>
              <w:t>The Wolof: Music and Spirit Possession</w:t>
            </w:r>
            <w:r>
              <w:rPr>
                <w:noProof/>
                <w:webHidden/>
              </w:rPr>
              <w:tab/>
            </w:r>
            <w:r>
              <w:rPr>
                <w:noProof/>
                <w:webHidden/>
              </w:rPr>
              <w:fldChar w:fldCharType="begin"/>
            </w:r>
            <w:r>
              <w:rPr>
                <w:noProof/>
                <w:webHidden/>
              </w:rPr>
              <w:instrText xml:space="preserve"> PAGEREF _Toc221201549 \h </w:instrText>
            </w:r>
            <w:r>
              <w:rPr>
                <w:noProof/>
                <w:webHidden/>
              </w:rPr>
            </w:r>
            <w:r>
              <w:rPr>
                <w:noProof/>
                <w:webHidden/>
              </w:rPr>
              <w:fldChar w:fldCharType="separate"/>
            </w:r>
            <w:r w:rsidR="00FD1EBD">
              <w:rPr>
                <w:noProof/>
                <w:webHidden/>
              </w:rPr>
              <w:t>21</w:t>
            </w:r>
            <w:r>
              <w:rPr>
                <w:noProof/>
                <w:webHidden/>
              </w:rPr>
              <w:fldChar w:fldCharType="end"/>
            </w:r>
          </w:hyperlink>
        </w:p>
        <w:p w14:paraId="6908C52D" w14:textId="3B6DCF80" w:rsidR="00160102" w:rsidRDefault="00160102">
          <w:pPr>
            <w:pStyle w:val="TOC5"/>
            <w:tabs>
              <w:tab w:val="right" w:leader="dot" w:pos="7288"/>
            </w:tabs>
            <w:rPr>
              <w:rFonts w:eastAsiaTheme="minorEastAsia"/>
              <w:noProof/>
            </w:rPr>
          </w:pPr>
          <w:hyperlink w:anchor="_Toc221201550" w:history="1">
            <w:r w:rsidRPr="003E150D">
              <w:rPr>
                <w:rStyle w:val="Hyperlink"/>
                <w:noProof/>
              </w:rPr>
              <w:t xml:space="preserve">The Kongo: </w:t>
            </w:r>
            <w:r w:rsidRPr="003E150D">
              <w:rPr>
                <w:rStyle w:val="Hyperlink"/>
                <w:i/>
                <w:iCs/>
                <w:noProof/>
              </w:rPr>
              <w:t>Nkisi</w:t>
            </w:r>
            <w:r w:rsidRPr="003E150D">
              <w:rPr>
                <w:rStyle w:val="Hyperlink"/>
                <w:noProof/>
              </w:rPr>
              <w:t xml:space="preserve"> and Sacred Timing</w:t>
            </w:r>
            <w:r>
              <w:rPr>
                <w:noProof/>
                <w:webHidden/>
              </w:rPr>
              <w:tab/>
            </w:r>
            <w:r>
              <w:rPr>
                <w:noProof/>
                <w:webHidden/>
              </w:rPr>
              <w:fldChar w:fldCharType="begin"/>
            </w:r>
            <w:r>
              <w:rPr>
                <w:noProof/>
                <w:webHidden/>
              </w:rPr>
              <w:instrText xml:space="preserve"> PAGEREF _Toc221201550 \h </w:instrText>
            </w:r>
            <w:r>
              <w:rPr>
                <w:noProof/>
                <w:webHidden/>
              </w:rPr>
            </w:r>
            <w:r>
              <w:rPr>
                <w:noProof/>
                <w:webHidden/>
              </w:rPr>
              <w:fldChar w:fldCharType="separate"/>
            </w:r>
            <w:r w:rsidR="00FD1EBD">
              <w:rPr>
                <w:noProof/>
                <w:webHidden/>
              </w:rPr>
              <w:t>22</w:t>
            </w:r>
            <w:r>
              <w:rPr>
                <w:noProof/>
                <w:webHidden/>
              </w:rPr>
              <w:fldChar w:fldCharType="end"/>
            </w:r>
          </w:hyperlink>
        </w:p>
        <w:p w14:paraId="108146DD" w14:textId="63B221DF" w:rsidR="00160102" w:rsidRDefault="00160102">
          <w:pPr>
            <w:pStyle w:val="TOC4"/>
            <w:tabs>
              <w:tab w:val="right" w:leader="dot" w:pos="7288"/>
            </w:tabs>
            <w:rPr>
              <w:rFonts w:eastAsiaTheme="minorEastAsia"/>
              <w:noProof/>
            </w:rPr>
          </w:pPr>
          <w:hyperlink w:anchor="_Toc221201551" w:history="1">
            <w:r w:rsidRPr="003E150D">
              <w:rPr>
                <w:rStyle w:val="Hyperlink"/>
                <w:noProof/>
              </w:rPr>
              <w:t>Junkanoo: Sacred or Secular</w:t>
            </w:r>
            <w:r>
              <w:rPr>
                <w:noProof/>
                <w:webHidden/>
              </w:rPr>
              <w:tab/>
            </w:r>
            <w:r>
              <w:rPr>
                <w:noProof/>
                <w:webHidden/>
              </w:rPr>
              <w:fldChar w:fldCharType="begin"/>
            </w:r>
            <w:r>
              <w:rPr>
                <w:noProof/>
                <w:webHidden/>
              </w:rPr>
              <w:instrText xml:space="preserve"> PAGEREF _Toc221201551 \h </w:instrText>
            </w:r>
            <w:r>
              <w:rPr>
                <w:noProof/>
                <w:webHidden/>
              </w:rPr>
            </w:r>
            <w:r>
              <w:rPr>
                <w:noProof/>
                <w:webHidden/>
              </w:rPr>
              <w:fldChar w:fldCharType="separate"/>
            </w:r>
            <w:r w:rsidR="00FD1EBD">
              <w:rPr>
                <w:noProof/>
                <w:webHidden/>
              </w:rPr>
              <w:t>25</w:t>
            </w:r>
            <w:r>
              <w:rPr>
                <w:noProof/>
                <w:webHidden/>
              </w:rPr>
              <w:fldChar w:fldCharType="end"/>
            </w:r>
          </w:hyperlink>
        </w:p>
        <w:p w14:paraId="4A8834E5" w14:textId="4158995A" w:rsidR="00160102" w:rsidRDefault="00160102">
          <w:pPr>
            <w:pStyle w:val="TOC4"/>
            <w:tabs>
              <w:tab w:val="right" w:leader="dot" w:pos="7288"/>
            </w:tabs>
            <w:rPr>
              <w:rFonts w:eastAsiaTheme="minorEastAsia"/>
              <w:noProof/>
            </w:rPr>
          </w:pPr>
          <w:hyperlink w:anchor="_Toc221201552" w:history="1">
            <w:r w:rsidRPr="003E150D">
              <w:rPr>
                <w:rStyle w:val="Hyperlink"/>
                <w:noProof/>
              </w:rPr>
              <w:t>Research Gap</w:t>
            </w:r>
            <w:r>
              <w:rPr>
                <w:noProof/>
                <w:webHidden/>
              </w:rPr>
              <w:tab/>
            </w:r>
            <w:r>
              <w:rPr>
                <w:noProof/>
                <w:webHidden/>
              </w:rPr>
              <w:fldChar w:fldCharType="begin"/>
            </w:r>
            <w:r>
              <w:rPr>
                <w:noProof/>
                <w:webHidden/>
              </w:rPr>
              <w:instrText xml:space="preserve"> PAGEREF _Toc221201552 \h </w:instrText>
            </w:r>
            <w:r>
              <w:rPr>
                <w:noProof/>
                <w:webHidden/>
              </w:rPr>
            </w:r>
            <w:r>
              <w:rPr>
                <w:noProof/>
                <w:webHidden/>
              </w:rPr>
              <w:fldChar w:fldCharType="separate"/>
            </w:r>
            <w:r w:rsidR="00FD1EBD">
              <w:rPr>
                <w:noProof/>
                <w:webHidden/>
              </w:rPr>
              <w:t>27</w:t>
            </w:r>
            <w:r>
              <w:rPr>
                <w:noProof/>
                <w:webHidden/>
              </w:rPr>
              <w:fldChar w:fldCharType="end"/>
            </w:r>
          </w:hyperlink>
        </w:p>
        <w:p w14:paraId="66622043" w14:textId="387215AB" w:rsidR="00160102" w:rsidRDefault="00160102">
          <w:pPr>
            <w:pStyle w:val="TOC3"/>
            <w:tabs>
              <w:tab w:val="right" w:leader="dot" w:pos="7288"/>
            </w:tabs>
            <w:rPr>
              <w:rFonts w:eastAsiaTheme="minorEastAsia"/>
              <w:noProof/>
            </w:rPr>
          </w:pPr>
          <w:hyperlink w:anchor="_Toc221201553" w:history="1">
            <w:r w:rsidRPr="003E150D">
              <w:rPr>
                <w:rStyle w:val="Hyperlink"/>
                <w:bCs/>
                <w:noProof/>
              </w:rPr>
              <w:t>Methodology</w:t>
            </w:r>
            <w:r>
              <w:rPr>
                <w:noProof/>
                <w:webHidden/>
              </w:rPr>
              <w:tab/>
            </w:r>
            <w:r>
              <w:rPr>
                <w:noProof/>
                <w:webHidden/>
              </w:rPr>
              <w:fldChar w:fldCharType="begin"/>
            </w:r>
            <w:r>
              <w:rPr>
                <w:noProof/>
                <w:webHidden/>
              </w:rPr>
              <w:instrText xml:space="preserve"> PAGEREF _Toc221201553 \h </w:instrText>
            </w:r>
            <w:r>
              <w:rPr>
                <w:noProof/>
                <w:webHidden/>
              </w:rPr>
            </w:r>
            <w:r>
              <w:rPr>
                <w:noProof/>
                <w:webHidden/>
              </w:rPr>
              <w:fldChar w:fldCharType="separate"/>
            </w:r>
            <w:r w:rsidR="00FD1EBD">
              <w:rPr>
                <w:noProof/>
                <w:webHidden/>
              </w:rPr>
              <w:t>28</w:t>
            </w:r>
            <w:r>
              <w:rPr>
                <w:noProof/>
                <w:webHidden/>
              </w:rPr>
              <w:fldChar w:fldCharType="end"/>
            </w:r>
          </w:hyperlink>
        </w:p>
        <w:p w14:paraId="5D7C99D5" w14:textId="65BC0F73" w:rsidR="00160102" w:rsidRDefault="00160102">
          <w:pPr>
            <w:pStyle w:val="TOC4"/>
            <w:tabs>
              <w:tab w:val="right" w:leader="dot" w:pos="7288"/>
            </w:tabs>
            <w:rPr>
              <w:rFonts w:eastAsiaTheme="minorEastAsia"/>
              <w:noProof/>
            </w:rPr>
          </w:pPr>
          <w:hyperlink w:anchor="_Toc221201554" w:history="1">
            <w:r w:rsidRPr="003E150D">
              <w:rPr>
                <w:rStyle w:val="Hyperlink"/>
                <w:noProof/>
              </w:rPr>
              <w:t>Historiography and Afrocentricity</w:t>
            </w:r>
            <w:r>
              <w:rPr>
                <w:noProof/>
                <w:webHidden/>
              </w:rPr>
              <w:tab/>
            </w:r>
            <w:r>
              <w:rPr>
                <w:noProof/>
                <w:webHidden/>
              </w:rPr>
              <w:fldChar w:fldCharType="begin"/>
            </w:r>
            <w:r>
              <w:rPr>
                <w:noProof/>
                <w:webHidden/>
              </w:rPr>
              <w:instrText xml:space="preserve"> PAGEREF _Toc221201554 \h </w:instrText>
            </w:r>
            <w:r>
              <w:rPr>
                <w:noProof/>
                <w:webHidden/>
              </w:rPr>
            </w:r>
            <w:r>
              <w:rPr>
                <w:noProof/>
                <w:webHidden/>
              </w:rPr>
              <w:fldChar w:fldCharType="separate"/>
            </w:r>
            <w:r w:rsidR="00FD1EBD">
              <w:rPr>
                <w:noProof/>
                <w:webHidden/>
              </w:rPr>
              <w:t>29</w:t>
            </w:r>
            <w:r>
              <w:rPr>
                <w:noProof/>
                <w:webHidden/>
              </w:rPr>
              <w:fldChar w:fldCharType="end"/>
            </w:r>
          </w:hyperlink>
        </w:p>
        <w:p w14:paraId="10266503" w14:textId="57188DFB" w:rsidR="00160102" w:rsidRDefault="00160102">
          <w:pPr>
            <w:pStyle w:val="TOC4"/>
            <w:tabs>
              <w:tab w:val="right" w:leader="dot" w:pos="7288"/>
            </w:tabs>
            <w:rPr>
              <w:rFonts w:eastAsiaTheme="minorEastAsia"/>
              <w:noProof/>
            </w:rPr>
          </w:pPr>
          <w:hyperlink w:anchor="_Toc221201555" w:history="1">
            <w:r w:rsidRPr="003E150D">
              <w:rPr>
                <w:rStyle w:val="Hyperlink"/>
                <w:noProof/>
              </w:rPr>
              <w:t>Research Design</w:t>
            </w:r>
            <w:r>
              <w:rPr>
                <w:noProof/>
                <w:webHidden/>
              </w:rPr>
              <w:tab/>
            </w:r>
            <w:r>
              <w:rPr>
                <w:noProof/>
                <w:webHidden/>
              </w:rPr>
              <w:fldChar w:fldCharType="begin"/>
            </w:r>
            <w:r>
              <w:rPr>
                <w:noProof/>
                <w:webHidden/>
              </w:rPr>
              <w:instrText xml:space="preserve"> PAGEREF _Toc221201555 \h </w:instrText>
            </w:r>
            <w:r>
              <w:rPr>
                <w:noProof/>
                <w:webHidden/>
              </w:rPr>
            </w:r>
            <w:r>
              <w:rPr>
                <w:noProof/>
                <w:webHidden/>
              </w:rPr>
              <w:fldChar w:fldCharType="separate"/>
            </w:r>
            <w:r w:rsidR="00FD1EBD">
              <w:rPr>
                <w:noProof/>
                <w:webHidden/>
              </w:rPr>
              <w:t>32</w:t>
            </w:r>
            <w:r>
              <w:rPr>
                <w:noProof/>
                <w:webHidden/>
              </w:rPr>
              <w:fldChar w:fldCharType="end"/>
            </w:r>
          </w:hyperlink>
        </w:p>
        <w:p w14:paraId="2BFDD565" w14:textId="30471E06" w:rsidR="00160102" w:rsidRDefault="00160102">
          <w:pPr>
            <w:pStyle w:val="TOC4"/>
            <w:tabs>
              <w:tab w:val="right" w:leader="dot" w:pos="7288"/>
            </w:tabs>
            <w:rPr>
              <w:rFonts w:eastAsiaTheme="minorEastAsia"/>
              <w:noProof/>
            </w:rPr>
          </w:pPr>
          <w:hyperlink w:anchor="_Toc221201556" w:history="1">
            <w:r w:rsidRPr="003E150D">
              <w:rPr>
                <w:rStyle w:val="Hyperlink"/>
                <w:noProof/>
              </w:rPr>
              <w:t>Approach</w:t>
            </w:r>
            <w:r>
              <w:rPr>
                <w:noProof/>
                <w:webHidden/>
              </w:rPr>
              <w:tab/>
            </w:r>
            <w:r>
              <w:rPr>
                <w:noProof/>
                <w:webHidden/>
              </w:rPr>
              <w:fldChar w:fldCharType="begin"/>
            </w:r>
            <w:r>
              <w:rPr>
                <w:noProof/>
                <w:webHidden/>
              </w:rPr>
              <w:instrText xml:space="preserve"> PAGEREF _Toc221201556 \h </w:instrText>
            </w:r>
            <w:r>
              <w:rPr>
                <w:noProof/>
                <w:webHidden/>
              </w:rPr>
            </w:r>
            <w:r>
              <w:rPr>
                <w:noProof/>
                <w:webHidden/>
              </w:rPr>
              <w:fldChar w:fldCharType="separate"/>
            </w:r>
            <w:r w:rsidR="00FD1EBD">
              <w:rPr>
                <w:noProof/>
                <w:webHidden/>
              </w:rPr>
              <w:t>34</w:t>
            </w:r>
            <w:r>
              <w:rPr>
                <w:noProof/>
                <w:webHidden/>
              </w:rPr>
              <w:fldChar w:fldCharType="end"/>
            </w:r>
          </w:hyperlink>
        </w:p>
        <w:p w14:paraId="43F04B19" w14:textId="43862B21" w:rsidR="00160102" w:rsidRDefault="00160102">
          <w:pPr>
            <w:pStyle w:val="TOC4"/>
            <w:tabs>
              <w:tab w:val="right" w:leader="dot" w:pos="7288"/>
            </w:tabs>
            <w:rPr>
              <w:rFonts w:eastAsiaTheme="minorEastAsia"/>
              <w:noProof/>
            </w:rPr>
          </w:pPr>
          <w:hyperlink w:anchor="_Toc221201557" w:history="1">
            <w:r w:rsidRPr="003E150D">
              <w:rPr>
                <w:rStyle w:val="Hyperlink"/>
                <w:noProof/>
              </w:rPr>
              <w:t>Reflexivity</w:t>
            </w:r>
            <w:r>
              <w:rPr>
                <w:noProof/>
                <w:webHidden/>
              </w:rPr>
              <w:tab/>
            </w:r>
            <w:r>
              <w:rPr>
                <w:noProof/>
                <w:webHidden/>
              </w:rPr>
              <w:fldChar w:fldCharType="begin"/>
            </w:r>
            <w:r>
              <w:rPr>
                <w:noProof/>
                <w:webHidden/>
              </w:rPr>
              <w:instrText xml:space="preserve"> PAGEREF _Toc221201557 \h </w:instrText>
            </w:r>
            <w:r>
              <w:rPr>
                <w:noProof/>
                <w:webHidden/>
              </w:rPr>
            </w:r>
            <w:r>
              <w:rPr>
                <w:noProof/>
                <w:webHidden/>
              </w:rPr>
              <w:fldChar w:fldCharType="separate"/>
            </w:r>
            <w:r w:rsidR="00FD1EBD">
              <w:rPr>
                <w:noProof/>
                <w:webHidden/>
              </w:rPr>
              <w:t>36</w:t>
            </w:r>
            <w:r>
              <w:rPr>
                <w:noProof/>
                <w:webHidden/>
              </w:rPr>
              <w:fldChar w:fldCharType="end"/>
            </w:r>
          </w:hyperlink>
        </w:p>
        <w:p w14:paraId="747DDBE4" w14:textId="39E22F73" w:rsidR="00160102" w:rsidRDefault="00160102">
          <w:pPr>
            <w:pStyle w:val="TOC4"/>
            <w:tabs>
              <w:tab w:val="right" w:leader="dot" w:pos="7288"/>
            </w:tabs>
            <w:rPr>
              <w:rFonts w:eastAsiaTheme="minorEastAsia"/>
              <w:noProof/>
            </w:rPr>
          </w:pPr>
          <w:hyperlink w:anchor="_Toc221201558" w:history="1">
            <w:r w:rsidRPr="003E150D">
              <w:rPr>
                <w:rStyle w:val="Hyperlink"/>
                <w:noProof/>
              </w:rPr>
              <w:t>Limitations</w:t>
            </w:r>
            <w:r>
              <w:rPr>
                <w:noProof/>
                <w:webHidden/>
              </w:rPr>
              <w:tab/>
            </w:r>
            <w:r>
              <w:rPr>
                <w:noProof/>
                <w:webHidden/>
              </w:rPr>
              <w:fldChar w:fldCharType="begin"/>
            </w:r>
            <w:r>
              <w:rPr>
                <w:noProof/>
                <w:webHidden/>
              </w:rPr>
              <w:instrText xml:space="preserve"> PAGEREF _Toc221201558 \h </w:instrText>
            </w:r>
            <w:r>
              <w:rPr>
                <w:noProof/>
                <w:webHidden/>
              </w:rPr>
            </w:r>
            <w:r>
              <w:rPr>
                <w:noProof/>
                <w:webHidden/>
              </w:rPr>
              <w:fldChar w:fldCharType="separate"/>
            </w:r>
            <w:r w:rsidR="00FD1EBD">
              <w:rPr>
                <w:noProof/>
                <w:webHidden/>
              </w:rPr>
              <w:t>39</w:t>
            </w:r>
            <w:r>
              <w:rPr>
                <w:noProof/>
                <w:webHidden/>
              </w:rPr>
              <w:fldChar w:fldCharType="end"/>
            </w:r>
          </w:hyperlink>
        </w:p>
        <w:p w14:paraId="1B69A38E" w14:textId="6BDECE0D" w:rsidR="00160102" w:rsidRDefault="00160102">
          <w:pPr>
            <w:pStyle w:val="TOC4"/>
            <w:tabs>
              <w:tab w:val="right" w:leader="dot" w:pos="7288"/>
            </w:tabs>
            <w:rPr>
              <w:rFonts w:eastAsiaTheme="minorEastAsia"/>
              <w:noProof/>
            </w:rPr>
          </w:pPr>
          <w:hyperlink w:anchor="_Toc221201559" w:history="1">
            <w:r w:rsidRPr="003E150D">
              <w:rPr>
                <w:rStyle w:val="Hyperlink"/>
                <w:noProof/>
              </w:rPr>
              <w:t>Ethics</w:t>
            </w:r>
            <w:r>
              <w:rPr>
                <w:noProof/>
                <w:webHidden/>
              </w:rPr>
              <w:tab/>
            </w:r>
            <w:r>
              <w:rPr>
                <w:noProof/>
                <w:webHidden/>
              </w:rPr>
              <w:fldChar w:fldCharType="begin"/>
            </w:r>
            <w:r>
              <w:rPr>
                <w:noProof/>
                <w:webHidden/>
              </w:rPr>
              <w:instrText xml:space="preserve"> PAGEREF _Toc221201559 \h </w:instrText>
            </w:r>
            <w:r>
              <w:rPr>
                <w:noProof/>
                <w:webHidden/>
              </w:rPr>
            </w:r>
            <w:r>
              <w:rPr>
                <w:noProof/>
                <w:webHidden/>
              </w:rPr>
              <w:fldChar w:fldCharType="separate"/>
            </w:r>
            <w:r w:rsidR="00FD1EBD">
              <w:rPr>
                <w:noProof/>
                <w:webHidden/>
              </w:rPr>
              <w:t>40</w:t>
            </w:r>
            <w:r>
              <w:rPr>
                <w:noProof/>
                <w:webHidden/>
              </w:rPr>
              <w:fldChar w:fldCharType="end"/>
            </w:r>
          </w:hyperlink>
        </w:p>
        <w:p w14:paraId="3EB43D74" w14:textId="08598BD1" w:rsidR="00160102" w:rsidRDefault="00160102">
          <w:pPr>
            <w:pStyle w:val="TOC2"/>
            <w:tabs>
              <w:tab w:val="right" w:leader="dot" w:pos="7288"/>
            </w:tabs>
            <w:rPr>
              <w:rFonts w:eastAsiaTheme="minorEastAsia"/>
              <w:noProof/>
            </w:rPr>
          </w:pPr>
          <w:hyperlink w:anchor="_Toc221201560" w:history="1">
            <w:r w:rsidRPr="003E150D">
              <w:rPr>
                <w:rStyle w:val="Hyperlink"/>
                <w:bCs/>
                <w:noProof/>
              </w:rPr>
              <w:t>Discussion</w:t>
            </w:r>
            <w:r>
              <w:rPr>
                <w:noProof/>
                <w:webHidden/>
              </w:rPr>
              <w:tab/>
            </w:r>
            <w:r>
              <w:rPr>
                <w:noProof/>
                <w:webHidden/>
              </w:rPr>
              <w:fldChar w:fldCharType="begin"/>
            </w:r>
            <w:r>
              <w:rPr>
                <w:noProof/>
                <w:webHidden/>
              </w:rPr>
              <w:instrText xml:space="preserve"> PAGEREF _Toc221201560 \h </w:instrText>
            </w:r>
            <w:r>
              <w:rPr>
                <w:noProof/>
                <w:webHidden/>
              </w:rPr>
            </w:r>
            <w:r>
              <w:rPr>
                <w:noProof/>
                <w:webHidden/>
              </w:rPr>
              <w:fldChar w:fldCharType="separate"/>
            </w:r>
            <w:r w:rsidR="00FD1EBD">
              <w:rPr>
                <w:noProof/>
                <w:webHidden/>
              </w:rPr>
              <w:t>41</w:t>
            </w:r>
            <w:r>
              <w:rPr>
                <w:noProof/>
                <w:webHidden/>
              </w:rPr>
              <w:fldChar w:fldCharType="end"/>
            </w:r>
          </w:hyperlink>
        </w:p>
        <w:p w14:paraId="23A64DD4" w14:textId="6074E438" w:rsidR="00160102" w:rsidRDefault="00160102">
          <w:pPr>
            <w:pStyle w:val="TOC3"/>
            <w:tabs>
              <w:tab w:val="right" w:leader="dot" w:pos="7288"/>
            </w:tabs>
            <w:rPr>
              <w:rFonts w:eastAsiaTheme="minorEastAsia"/>
              <w:noProof/>
            </w:rPr>
          </w:pPr>
          <w:hyperlink w:anchor="_Toc221201561" w:history="1">
            <w:r w:rsidRPr="003E150D">
              <w:rPr>
                <w:rStyle w:val="Hyperlink"/>
                <w:i/>
                <w:iCs/>
                <w:noProof/>
              </w:rPr>
              <w:t>Àṣẹ, Sunsum</w:t>
            </w:r>
            <w:r w:rsidRPr="003E150D">
              <w:rPr>
                <w:rStyle w:val="Hyperlink"/>
                <w:noProof/>
              </w:rPr>
              <w:t xml:space="preserve"> and </w:t>
            </w:r>
            <w:r w:rsidRPr="003E150D">
              <w:rPr>
                <w:rStyle w:val="Hyperlink"/>
                <w:i/>
                <w:iCs/>
                <w:noProof/>
              </w:rPr>
              <w:t>Nyama</w:t>
            </w:r>
            <w:r w:rsidRPr="003E150D">
              <w:rPr>
                <w:rStyle w:val="Hyperlink"/>
                <w:noProof/>
              </w:rPr>
              <w:t>: Divine Creative Forces</w:t>
            </w:r>
            <w:r>
              <w:rPr>
                <w:noProof/>
                <w:webHidden/>
              </w:rPr>
              <w:tab/>
            </w:r>
            <w:r>
              <w:rPr>
                <w:noProof/>
                <w:webHidden/>
              </w:rPr>
              <w:fldChar w:fldCharType="begin"/>
            </w:r>
            <w:r>
              <w:rPr>
                <w:noProof/>
                <w:webHidden/>
              </w:rPr>
              <w:instrText xml:space="preserve"> PAGEREF _Toc221201561 \h </w:instrText>
            </w:r>
            <w:r>
              <w:rPr>
                <w:noProof/>
                <w:webHidden/>
              </w:rPr>
            </w:r>
            <w:r>
              <w:rPr>
                <w:noProof/>
                <w:webHidden/>
              </w:rPr>
              <w:fldChar w:fldCharType="separate"/>
            </w:r>
            <w:r w:rsidR="00FD1EBD">
              <w:rPr>
                <w:noProof/>
                <w:webHidden/>
              </w:rPr>
              <w:t>42</w:t>
            </w:r>
            <w:r>
              <w:rPr>
                <w:noProof/>
                <w:webHidden/>
              </w:rPr>
              <w:fldChar w:fldCharType="end"/>
            </w:r>
          </w:hyperlink>
        </w:p>
        <w:p w14:paraId="3E048AD1" w14:textId="405081C2" w:rsidR="00160102" w:rsidRDefault="00160102">
          <w:pPr>
            <w:pStyle w:val="TOC5"/>
            <w:tabs>
              <w:tab w:val="right" w:leader="dot" w:pos="7288"/>
            </w:tabs>
            <w:rPr>
              <w:rFonts w:eastAsiaTheme="minorEastAsia"/>
              <w:noProof/>
            </w:rPr>
          </w:pPr>
          <w:hyperlink w:anchor="_Toc221201562" w:history="1">
            <w:r w:rsidRPr="003E150D">
              <w:rPr>
                <w:rStyle w:val="Hyperlink"/>
                <w:noProof/>
              </w:rPr>
              <w:t>Music and Embodied Power</w:t>
            </w:r>
            <w:r>
              <w:rPr>
                <w:noProof/>
                <w:webHidden/>
              </w:rPr>
              <w:tab/>
            </w:r>
            <w:r>
              <w:rPr>
                <w:noProof/>
                <w:webHidden/>
              </w:rPr>
              <w:fldChar w:fldCharType="begin"/>
            </w:r>
            <w:r>
              <w:rPr>
                <w:noProof/>
                <w:webHidden/>
              </w:rPr>
              <w:instrText xml:space="preserve"> PAGEREF _Toc221201562 \h </w:instrText>
            </w:r>
            <w:r>
              <w:rPr>
                <w:noProof/>
                <w:webHidden/>
              </w:rPr>
            </w:r>
            <w:r>
              <w:rPr>
                <w:noProof/>
                <w:webHidden/>
              </w:rPr>
              <w:fldChar w:fldCharType="separate"/>
            </w:r>
            <w:r w:rsidR="00FD1EBD">
              <w:rPr>
                <w:noProof/>
                <w:webHidden/>
              </w:rPr>
              <w:t>43</w:t>
            </w:r>
            <w:r>
              <w:rPr>
                <w:noProof/>
                <w:webHidden/>
              </w:rPr>
              <w:fldChar w:fldCharType="end"/>
            </w:r>
          </w:hyperlink>
        </w:p>
        <w:p w14:paraId="4F4E54BC" w14:textId="6154E882" w:rsidR="00160102" w:rsidRDefault="00160102">
          <w:pPr>
            <w:pStyle w:val="TOC5"/>
            <w:tabs>
              <w:tab w:val="right" w:leader="dot" w:pos="7288"/>
            </w:tabs>
            <w:rPr>
              <w:rFonts w:eastAsiaTheme="minorEastAsia"/>
              <w:noProof/>
            </w:rPr>
          </w:pPr>
          <w:hyperlink w:anchor="_Toc221201563" w:history="1">
            <w:r w:rsidRPr="003E150D">
              <w:rPr>
                <w:rStyle w:val="Hyperlink"/>
                <w:noProof/>
              </w:rPr>
              <w:t>The Power behind Junkanoo Costumes</w:t>
            </w:r>
            <w:r>
              <w:rPr>
                <w:noProof/>
                <w:webHidden/>
              </w:rPr>
              <w:tab/>
            </w:r>
            <w:r>
              <w:rPr>
                <w:noProof/>
                <w:webHidden/>
              </w:rPr>
              <w:fldChar w:fldCharType="begin"/>
            </w:r>
            <w:r>
              <w:rPr>
                <w:noProof/>
                <w:webHidden/>
              </w:rPr>
              <w:instrText xml:space="preserve"> PAGEREF _Toc221201563 \h </w:instrText>
            </w:r>
            <w:r>
              <w:rPr>
                <w:noProof/>
                <w:webHidden/>
              </w:rPr>
            </w:r>
            <w:r>
              <w:rPr>
                <w:noProof/>
                <w:webHidden/>
              </w:rPr>
              <w:fldChar w:fldCharType="separate"/>
            </w:r>
            <w:r w:rsidR="00FD1EBD">
              <w:rPr>
                <w:noProof/>
                <w:webHidden/>
              </w:rPr>
              <w:t>46</w:t>
            </w:r>
            <w:r>
              <w:rPr>
                <w:noProof/>
                <w:webHidden/>
              </w:rPr>
              <w:fldChar w:fldCharType="end"/>
            </w:r>
          </w:hyperlink>
        </w:p>
        <w:p w14:paraId="0B157DDA" w14:textId="7791CD7F" w:rsidR="00160102" w:rsidRDefault="00160102">
          <w:pPr>
            <w:pStyle w:val="TOC5"/>
            <w:tabs>
              <w:tab w:val="right" w:leader="dot" w:pos="7288"/>
            </w:tabs>
            <w:rPr>
              <w:rFonts w:eastAsiaTheme="minorEastAsia"/>
              <w:noProof/>
            </w:rPr>
          </w:pPr>
          <w:hyperlink w:anchor="_Toc221201564" w:history="1">
            <w:r w:rsidRPr="003E150D">
              <w:rPr>
                <w:rStyle w:val="Hyperlink"/>
                <w:noProof/>
              </w:rPr>
              <w:t>Crowd Participation as Energetic Fuel</w:t>
            </w:r>
            <w:r>
              <w:rPr>
                <w:noProof/>
                <w:webHidden/>
              </w:rPr>
              <w:tab/>
            </w:r>
            <w:r>
              <w:rPr>
                <w:noProof/>
                <w:webHidden/>
              </w:rPr>
              <w:fldChar w:fldCharType="begin"/>
            </w:r>
            <w:r>
              <w:rPr>
                <w:noProof/>
                <w:webHidden/>
              </w:rPr>
              <w:instrText xml:space="preserve"> PAGEREF _Toc221201564 \h </w:instrText>
            </w:r>
            <w:r>
              <w:rPr>
                <w:noProof/>
                <w:webHidden/>
              </w:rPr>
            </w:r>
            <w:r>
              <w:rPr>
                <w:noProof/>
                <w:webHidden/>
              </w:rPr>
              <w:fldChar w:fldCharType="separate"/>
            </w:r>
            <w:r w:rsidR="00FD1EBD">
              <w:rPr>
                <w:noProof/>
                <w:webHidden/>
              </w:rPr>
              <w:t>47</w:t>
            </w:r>
            <w:r>
              <w:rPr>
                <w:noProof/>
                <w:webHidden/>
              </w:rPr>
              <w:fldChar w:fldCharType="end"/>
            </w:r>
          </w:hyperlink>
        </w:p>
        <w:p w14:paraId="5289C798" w14:textId="2F5DFCC0" w:rsidR="00160102" w:rsidRDefault="00160102">
          <w:pPr>
            <w:pStyle w:val="TOC5"/>
            <w:tabs>
              <w:tab w:val="right" w:leader="dot" w:pos="7288"/>
            </w:tabs>
            <w:rPr>
              <w:rFonts w:eastAsiaTheme="minorEastAsia"/>
              <w:noProof/>
            </w:rPr>
          </w:pPr>
          <w:hyperlink w:anchor="_Toc221201565" w:history="1">
            <w:r w:rsidRPr="003E150D">
              <w:rPr>
                <w:rStyle w:val="Hyperlink"/>
                <w:noProof/>
              </w:rPr>
              <w:t>Summary of Findings: Divine Creative Forces</w:t>
            </w:r>
            <w:r>
              <w:rPr>
                <w:noProof/>
                <w:webHidden/>
              </w:rPr>
              <w:tab/>
            </w:r>
            <w:r>
              <w:rPr>
                <w:noProof/>
                <w:webHidden/>
              </w:rPr>
              <w:fldChar w:fldCharType="begin"/>
            </w:r>
            <w:r>
              <w:rPr>
                <w:noProof/>
                <w:webHidden/>
              </w:rPr>
              <w:instrText xml:space="preserve"> PAGEREF _Toc221201565 \h </w:instrText>
            </w:r>
            <w:r>
              <w:rPr>
                <w:noProof/>
                <w:webHidden/>
              </w:rPr>
            </w:r>
            <w:r>
              <w:rPr>
                <w:noProof/>
                <w:webHidden/>
              </w:rPr>
              <w:fldChar w:fldCharType="separate"/>
            </w:r>
            <w:r w:rsidR="00FD1EBD">
              <w:rPr>
                <w:noProof/>
                <w:webHidden/>
              </w:rPr>
              <w:t>51</w:t>
            </w:r>
            <w:r>
              <w:rPr>
                <w:noProof/>
                <w:webHidden/>
              </w:rPr>
              <w:fldChar w:fldCharType="end"/>
            </w:r>
          </w:hyperlink>
        </w:p>
        <w:p w14:paraId="0ABB034A" w14:textId="3DAD7D4C" w:rsidR="00160102" w:rsidRDefault="00160102">
          <w:pPr>
            <w:pStyle w:val="TOC3"/>
            <w:tabs>
              <w:tab w:val="right" w:leader="dot" w:pos="7288"/>
            </w:tabs>
            <w:rPr>
              <w:rFonts w:eastAsiaTheme="minorEastAsia"/>
              <w:noProof/>
            </w:rPr>
          </w:pPr>
          <w:hyperlink w:anchor="_Toc221201566" w:history="1">
            <w:r w:rsidRPr="003E150D">
              <w:rPr>
                <w:rStyle w:val="Hyperlink"/>
                <w:bCs/>
                <w:noProof/>
              </w:rPr>
              <w:t xml:space="preserve">Crossing the Spiritual Plane: </w:t>
            </w:r>
            <w:r w:rsidRPr="003E150D">
              <w:rPr>
                <w:rStyle w:val="Hyperlink"/>
                <w:noProof/>
              </w:rPr>
              <w:t>Art</w:t>
            </w:r>
            <w:r w:rsidRPr="003E150D">
              <w:rPr>
                <w:rStyle w:val="Hyperlink"/>
                <w:bCs/>
                <w:noProof/>
              </w:rPr>
              <w:t>, Music, Timing and Trance</w:t>
            </w:r>
            <w:r>
              <w:rPr>
                <w:noProof/>
                <w:webHidden/>
              </w:rPr>
              <w:tab/>
            </w:r>
            <w:r>
              <w:rPr>
                <w:noProof/>
                <w:webHidden/>
              </w:rPr>
              <w:fldChar w:fldCharType="begin"/>
            </w:r>
            <w:r>
              <w:rPr>
                <w:noProof/>
                <w:webHidden/>
              </w:rPr>
              <w:instrText xml:space="preserve"> PAGEREF _Toc221201566 \h </w:instrText>
            </w:r>
            <w:r>
              <w:rPr>
                <w:noProof/>
                <w:webHidden/>
              </w:rPr>
            </w:r>
            <w:r>
              <w:rPr>
                <w:noProof/>
                <w:webHidden/>
              </w:rPr>
              <w:fldChar w:fldCharType="separate"/>
            </w:r>
            <w:r w:rsidR="00FD1EBD">
              <w:rPr>
                <w:noProof/>
                <w:webHidden/>
              </w:rPr>
              <w:t>53</w:t>
            </w:r>
            <w:r>
              <w:rPr>
                <w:noProof/>
                <w:webHidden/>
              </w:rPr>
              <w:fldChar w:fldCharType="end"/>
            </w:r>
          </w:hyperlink>
        </w:p>
        <w:p w14:paraId="4379E508" w14:textId="501E8B19" w:rsidR="00160102" w:rsidRDefault="00160102">
          <w:pPr>
            <w:pStyle w:val="TOC5"/>
            <w:tabs>
              <w:tab w:val="right" w:leader="dot" w:pos="7288"/>
            </w:tabs>
            <w:rPr>
              <w:rFonts w:eastAsiaTheme="minorEastAsia"/>
              <w:noProof/>
            </w:rPr>
          </w:pPr>
          <w:hyperlink w:anchor="_Toc221201567" w:history="1">
            <w:r w:rsidRPr="003E150D">
              <w:rPr>
                <w:rStyle w:val="Hyperlink"/>
                <w:noProof/>
              </w:rPr>
              <w:t>Crossing the Plane in Costume</w:t>
            </w:r>
            <w:r>
              <w:rPr>
                <w:noProof/>
                <w:webHidden/>
              </w:rPr>
              <w:tab/>
            </w:r>
            <w:r>
              <w:rPr>
                <w:noProof/>
                <w:webHidden/>
              </w:rPr>
              <w:fldChar w:fldCharType="begin"/>
            </w:r>
            <w:r>
              <w:rPr>
                <w:noProof/>
                <w:webHidden/>
              </w:rPr>
              <w:instrText xml:space="preserve"> PAGEREF _Toc221201567 \h </w:instrText>
            </w:r>
            <w:r>
              <w:rPr>
                <w:noProof/>
                <w:webHidden/>
              </w:rPr>
            </w:r>
            <w:r>
              <w:rPr>
                <w:noProof/>
                <w:webHidden/>
              </w:rPr>
              <w:fldChar w:fldCharType="separate"/>
            </w:r>
            <w:r w:rsidR="00FD1EBD">
              <w:rPr>
                <w:noProof/>
                <w:webHidden/>
              </w:rPr>
              <w:t>54</w:t>
            </w:r>
            <w:r>
              <w:rPr>
                <w:noProof/>
                <w:webHidden/>
              </w:rPr>
              <w:fldChar w:fldCharType="end"/>
            </w:r>
          </w:hyperlink>
        </w:p>
        <w:p w14:paraId="365431C2" w14:textId="104D6B51" w:rsidR="00160102" w:rsidRDefault="00160102">
          <w:pPr>
            <w:pStyle w:val="TOC5"/>
            <w:tabs>
              <w:tab w:val="right" w:leader="dot" w:pos="7288"/>
            </w:tabs>
            <w:rPr>
              <w:rFonts w:eastAsiaTheme="minorEastAsia"/>
              <w:noProof/>
            </w:rPr>
          </w:pPr>
          <w:hyperlink w:anchor="_Toc221201568" w:history="1">
            <w:r w:rsidRPr="003E150D">
              <w:rPr>
                <w:rStyle w:val="Hyperlink"/>
                <w:noProof/>
              </w:rPr>
              <w:t>Music and Trance</w:t>
            </w:r>
            <w:r>
              <w:rPr>
                <w:noProof/>
                <w:webHidden/>
              </w:rPr>
              <w:tab/>
            </w:r>
            <w:r>
              <w:rPr>
                <w:noProof/>
                <w:webHidden/>
              </w:rPr>
              <w:fldChar w:fldCharType="begin"/>
            </w:r>
            <w:r>
              <w:rPr>
                <w:noProof/>
                <w:webHidden/>
              </w:rPr>
              <w:instrText xml:space="preserve"> PAGEREF _Toc221201568 \h </w:instrText>
            </w:r>
            <w:r>
              <w:rPr>
                <w:noProof/>
                <w:webHidden/>
              </w:rPr>
            </w:r>
            <w:r>
              <w:rPr>
                <w:noProof/>
                <w:webHidden/>
              </w:rPr>
              <w:fldChar w:fldCharType="separate"/>
            </w:r>
            <w:r w:rsidR="00FD1EBD">
              <w:rPr>
                <w:noProof/>
                <w:webHidden/>
              </w:rPr>
              <w:t>56</w:t>
            </w:r>
            <w:r>
              <w:rPr>
                <w:noProof/>
                <w:webHidden/>
              </w:rPr>
              <w:fldChar w:fldCharType="end"/>
            </w:r>
          </w:hyperlink>
        </w:p>
        <w:p w14:paraId="5705AEC0" w14:textId="6B42E1CA" w:rsidR="00160102" w:rsidRDefault="00160102">
          <w:pPr>
            <w:pStyle w:val="TOC5"/>
            <w:tabs>
              <w:tab w:val="right" w:leader="dot" w:pos="7288"/>
            </w:tabs>
            <w:rPr>
              <w:rFonts w:eastAsiaTheme="minorEastAsia"/>
              <w:noProof/>
            </w:rPr>
          </w:pPr>
          <w:hyperlink w:anchor="_Toc221201569" w:history="1">
            <w:r w:rsidRPr="003E150D">
              <w:rPr>
                <w:rStyle w:val="Hyperlink"/>
                <w:noProof/>
              </w:rPr>
              <w:t>Nighttime and Junkanoo</w:t>
            </w:r>
            <w:r>
              <w:rPr>
                <w:noProof/>
                <w:webHidden/>
              </w:rPr>
              <w:tab/>
            </w:r>
            <w:r>
              <w:rPr>
                <w:noProof/>
                <w:webHidden/>
              </w:rPr>
              <w:fldChar w:fldCharType="begin"/>
            </w:r>
            <w:r>
              <w:rPr>
                <w:noProof/>
                <w:webHidden/>
              </w:rPr>
              <w:instrText xml:space="preserve"> PAGEREF _Toc221201569 \h </w:instrText>
            </w:r>
            <w:r>
              <w:rPr>
                <w:noProof/>
                <w:webHidden/>
              </w:rPr>
            </w:r>
            <w:r>
              <w:rPr>
                <w:noProof/>
                <w:webHidden/>
              </w:rPr>
              <w:fldChar w:fldCharType="separate"/>
            </w:r>
            <w:r w:rsidR="00FD1EBD">
              <w:rPr>
                <w:noProof/>
                <w:webHidden/>
              </w:rPr>
              <w:t>59</w:t>
            </w:r>
            <w:r>
              <w:rPr>
                <w:noProof/>
                <w:webHidden/>
              </w:rPr>
              <w:fldChar w:fldCharType="end"/>
            </w:r>
          </w:hyperlink>
        </w:p>
        <w:p w14:paraId="100DDC56" w14:textId="588E9625" w:rsidR="00160102" w:rsidRDefault="00160102">
          <w:pPr>
            <w:pStyle w:val="TOC5"/>
            <w:tabs>
              <w:tab w:val="right" w:leader="dot" w:pos="7288"/>
            </w:tabs>
            <w:rPr>
              <w:rFonts w:eastAsiaTheme="minorEastAsia"/>
              <w:noProof/>
            </w:rPr>
          </w:pPr>
          <w:hyperlink w:anchor="_Toc221201570" w:history="1">
            <w:r w:rsidRPr="003E150D">
              <w:rPr>
                <w:rStyle w:val="Hyperlink"/>
                <w:noProof/>
              </w:rPr>
              <w:t>Summary of Findings: Crossing the Spiritual Plane</w:t>
            </w:r>
            <w:r>
              <w:rPr>
                <w:noProof/>
                <w:webHidden/>
              </w:rPr>
              <w:tab/>
            </w:r>
            <w:r>
              <w:rPr>
                <w:noProof/>
                <w:webHidden/>
              </w:rPr>
              <w:fldChar w:fldCharType="begin"/>
            </w:r>
            <w:r>
              <w:rPr>
                <w:noProof/>
                <w:webHidden/>
              </w:rPr>
              <w:instrText xml:space="preserve"> PAGEREF _Toc221201570 \h </w:instrText>
            </w:r>
            <w:r>
              <w:rPr>
                <w:noProof/>
                <w:webHidden/>
              </w:rPr>
            </w:r>
            <w:r>
              <w:rPr>
                <w:noProof/>
                <w:webHidden/>
              </w:rPr>
              <w:fldChar w:fldCharType="separate"/>
            </w:r>
            <w:r w:rsidR="00FD1EBD">
              <w:rPr>
                <w:noProof/>
                <w:webHidden/>
              </w:rPr>
              <w:t>60</w:t>
            </w:r>
            <w:r>
              <w:rPr>
                <w:noProof/>
                <w:webHidden/>
              </w:rPr>
              <w:fldChar w:fldCharType="end"/>
            </w:r>
          </w:hyperlink>
        </w:p>
        <w:p w14:paraId="7ECA87E2" w14:textId="61901D2C" w:rsidR="00160102" w:rsidRDefault="00160102">
          <w:pPr>
            <w:pStyle w:val="TOC2"/>
            <w:tabs>
              <w:tab w:val="right" w:leader="dot" w:pos="7288"/>
            </w:tabs>
            <w:rPr>
              <w:rFonts w:eastAsiaTheme="minorEastAsia"/>
              <w:noProof/>
            </w:rPr>
          </w:pPr>
          <w:hyperlink w:anchor="_Toc221201571" w:history="1">
            <w:r w:rsidRPr="003E150D">
              <w:rPr>
                <w:rStyle w:val="Hyperlink"/>
                <w:noProof/>
              </w:rPr>
              <w:t>Overall Conclusion and Contribution</w:t>
            </w:r>
            <w:r>
              <w:rPr>
                <w:noProof/>
                <w:webHidden/>
              </w:rPr>
              <w:tab/>
            </w:r>
            <w:r>
              <w:rPr>
                <w:noProof/>
                <w:webHidden/>
              </w:rPr>
              <w:fldChar w:fldCharType="begin"/>
            </w:r>
            <w:r>
              <w:rPr>
                <w:noProof/>
                <w:webHidden/>
              </w:rPr>
              <w:instrText xml:space="preserve"> PAGEREF _Toc221201571 \h </w:instrText>
            </w:r>
            <w:r>
              <w:rPr>
                <w:noProof/>
                <w:webHidden/>
              </w:rPr>
            </w:r>
            <w:r>
              <w:rPr>
                <w:noProof/>
                <w:webHidden/>
              </w:rPr>
              <w:fldChar w:fldCharType="separate"/>
            </w:r>
            <w:r w:rsidR="00FD1EBD">
              <w:rPr>
                <w:noProof/>
                <w:webHidden/>
              </w:rPr>
              <w:t>63</w:t>
            </w:r>
            <w:r>
              <w:rPr>
                <w:noProof/>
                <w:webHidden/>
              </w:rPr>
              <w:fldChar w:fldCharType="end"/>
            </w:r>
          </w:hyperlink>
        </w:p>
        <w:p w14:paraId="3ACBF598" w14:textId="79F09B86" w:rsidR="00160102" w:rsidRDefault="00160102">
          <w:pPr>
            <w:pStyle w:val="TOC2"/>
            <w:tabs>
              <w:tab w:val="right" w:leader="dot" w:pos="7288"/>
            </w:tabs>
            <w:rPr>
              <w:rFonts w:eastAsiaTheme="minorEastAsia"/>
              <w:noProof/>
            </w:rPr>
          </w:pPr>
          <w:hyperlink w:anchor="_Toc221201572" w:history="1">
            <w:r w:rsidRPr="003E150D">
              <w:rPr>
                <w:rStyle w:val="Hyperlink"/>
                <w:noProof/>
              </w:rPr>
              <w:t>Bibliography</w:t>
            </w:r>
            <w:r w:rsidRPr="003E150D">
              <w:rPr>
                <w:rStyle w:val="Hyperlink"/>
                <w:rFonts w:ascii="Arial" w:hAnsi="Arial" w:cs="Arial"/>
                <w:noProof/>
              </w:rPr>
              <w:t>​</w:t>
            </w:r>
            <w:r>
              <w:rPr>
                <w:noProof/>
                <w:webHidden/>
              </w:rPr>
              <w:tab/>
            </w:r>
            <w:r>
              <w:rPr>
                <w:noProof/>
                <w:webHidden/>
              </w:rPr>
              <w:fldChar w:fldCharType="begin"/>
            </w:r>
            <w:r>
              <w:rPr>
                <w:noProof/>
                <w:webHidden/>
              </w:rPr>
              <w:instrText xml:space="preserve"> PAGEREF _Toc221201572 \h </w:instrText>
            </w:r>
            <w:r>
              <w:rPr>
                <w:noProof/>
                <w:webHidden/>
              </w:rPr>
            </w:r>
            <w:r>
              <w:rPr>
                <w:noProof/>
                <w:webHidden/>
              </w:rPr>
              <w:fldChar w:fldCharType="separate"/>
            </w:r>
            <w:r w:rsidR="00FD1EBD">
              <w:rPr>
                <w:noProof/>
                <w:webHidden/>
              </w:rPr>
              <w:t>68</w:t>
            </w:r>
            <w:r>
              <w:rPr>
                <w:noProof/>
                <w:webHidden/>
              </w:rPr>
              <w:fldChar w:fldCharType="end"/>
            </w:r>
          </w:hyperlink>
        </w:p>
        <w:p w14:paraId="3D9991E0" w14:textId="632AB65E" w:rsidR="00160102" w:rsidRDefault="00160102">
          <w:pPr>
            <w:pStyle w:val="TOC2"/>
            <w:tabs>
              <w:tab w:val="right" w:leader="dot" w:pos="7288"/>
            </w:tabs>
            <w:rPr>
              <w:rFonts w:eastAsiaTheme="minorEastAsia"/>
              <w:noProof/>
            </w:rPr>
          </w:pPr>
          <w:hyperlink w:anchor="_Toc221201573" w:history="1">
            <w:r w:rsidRPr="003E150D">
              <w:rPr>
                <w:rStyle w:val="Hyperlink"/>
                <w:noProof/>
              </w:rPr>
              <w:t>Appendices</w:t>
            </w:r>
            <w:r>
              <w:rPr>
                <w:noProof/>
                <w:webHidden/>
              </w:rPr>
              <w:tab/>
            </w:r>
            <w:r>
              <w:rPr>
                <w:noProof/>
                <w:webHidden/>
              </w:rPr>
              <w:fldChar w:fldCharType="begin"/>
            </w:r>
            <w:r>
              <w:rPr>
                <w:noProof/>
                <w:webHidden/>
              </w:rPr>
              <w:instrText xml:space="preserve"> PAGEREF _Toc221201573 \h </w:instrText>
            </w:r>
            <w:r>
              <w:rPr>
                <w:noProof/>
                <w:webHidden/>
              </w:rPr>
            </w:r>
            <w:r>
              <w:rPr>
                <w:noProof/>
                <w:webHidden/>
              </w:rPr>
              <w:fldChar w:fldCharType="separate"/>
            </w:r>
            <w:r w:rsidR="00FD1EBD">
              <w:rPr>
                <w:noProof/>
                <w:webHidden/>
              </w:rPr>
              <w:t>77</w:t>
            </w:r>
            <w:r>
              <w:rPr>
                <w:noProof/>
                <w:webHidden/>
              </w:rPr>
              <w:fldChar w:fldCharType="end"/>
            </w:r>
          </w:hyperlink>
        </w:p>
        <w:p w14:paraId="7F449B5E" w14:textId="477E070E" w:rsidR="00443D37" w:rsidRDefault="00092FA8">
          <w:r>
            <w:fldChar w:fldCharType="end"/>
          </w:r>
        </w:p>
        <w:p w14:paraId="76B1877F" w14:textId="7F604A38" w:rsidR="00443D37" w:rsidRDefault="00443D37">
          <w:r>
            <w:br w:type="page"/>
          </w:r>
        </w:p>
        <w:p w14:paraId="3CF5344E" w14:textId="77777777" w:rsidR="00123A96" w:rsidRDefault="00000000"/>
      </w:sdtContent>
    </w:sdt>
    <w:p w14:paraId="03512BFE" w14:textId="77777777" w:rsidR="003247C8" w:rsidRDefault="003247C8" w:rsidP="007A1586">
      <w:pPr>
        <w:pStyle w:val="Heading5"/>
      </w:pPr>
    </w:p>
    <w:p w14:paraId="234B02D0" w14:textId="77777777" w:rsidR="003247C8" w:rsidRDefault="003247C8" w:rsidP="007A1586">
      <w:pPr>
        <w:pStyle w:val="Heading5"/>
      </w:pPr>
    </w:p>
    <w:p w14:paraId="140C0890" w14:textId="77777777" w:rsidR="003247C8" w:rsidRDefault="003247C8" w:rsidP="007A1586">
      <w:pPr>
        <w:pStyle w:val="Heading5"/>
      </w:pPr>
    </w:p>
    <w:p w14:paraId="2621176F" w14:textId="77777777" w:rsidR="003247C8" w:rsidRDefault="003247C8" w:rsidP="007A1586">
      <w:pPr>
        <w:pStyle w:val="Heading5"/>
      </w:pPr>
    </w:p>
    <w:p w14:paraId="13A81344" w14:textId="2CB13A94" w:rsidR="007A1586" w:rsidRDefault="007A1586" w:rsidP="007A1586">
      <w:pPr>
        <w:pStyle w:val="Heading5"/>
      </w:pPr>
      <w:bookmarkStart w:id="0" w:name="_Toc221201533"/>
      <w:r>
        <w:t>Acknowledgements</w:t>
      </w:r>
      <w:bookmarkEnd w:id="0"/>
    </w:p>
    <w:p w14:paraId="31F7E28F" w14:textId="77777777" w:rsidR="007A1586" w:rsidRDefault="007A1586" w:rsidP="007A1586">
      <w:pPr>
        <w:spacing w:before="240" w:after="240"/>
        <w:jc w:val="center"/>
      </w:pPr>
      <w:r>
        <w:t>I would like to thank my supervisor, Dr Frances Clynes, for her patience, guidance, and feedback throughout this research process. I am also grateful to my course director, Dr Nicholas Campion, for his advice and enthusiasm during this process.</w:t>
      </w:r>
    </w:p>
    <w:p w14:paraId="0DBB4D09" w14:textId="77777777" w:rsidR="007A1586" w:rsidRDefault="007A1586" w:rsidP="007A1586">
      <w:pPr>
        <w:spacing w:before="240" w:after="240"/>
        <w:jc w:val="center"/>
      </w:pPr>
      <w:r>
        <w:t>A big thank you goes out to my parents for their support and belief in me, and to my friends for their constant encouragement. I would like to thank Tesa-Ann Smith, Lauren Ritchie, Sasha Wells, and Carrie Gealy for offering a fresh set of eyes for proofreading.</w:t>
      </w:r>
    </w:p>
    <w:p w14:paraId="658717E0" w14:textId="77777777" w:rsidR="007A1586" w:rsidRDefault="007A1586" w:rsidP="007A1586">
      <w:pPr>
        <w:spacing w:before="240" w:after="240"/>
        <w:jc w:val="center"/>
      </w:pPr>
      <w:r>
        <w:t>Special thanks are owed to Sasha for her extensive assistance with source materials, including access to books from her personal library and online resources that would otherwise have been unavailable to me.</w:t>
      </w:r>
    </w:p>
    <w:p w14:paraId="0AABE2C4" w14:textId="77777777" w:rsidR="007A1586" w:rsidRDefault="007A1586" w:rsidP="007A1586">
      <w:pPr>
        <w:spacing w:before="240" w:after="240"/>
        <w:jc w:val="center"/>
      </w:pPr>
      <w:r>
        <w:t>Finally, and most importantly, I thank my love, Dre Rutherford, for his endless support, patience, and encouragement. Thank you for talking me back from the brink of giving up more times than I can count, for listening to me ramble about Junkanoo for months on end, and for reading every long, unrefined paragraph, even the ones that did not make it into the final draft. This work would not have been possible without you.</w:t>
      </w:r>
    </w:p>
    <w:p w14:paraId="4646FE49" w14:textId="3E6A60B2" w:rsidR="00F8435E" w:rsidRDefault="00F8435E">
      <w:r>
        <w:br w:type="page"/>
      </w:r>
    </w:p>
    <w:p w14:paraId="120C5F3D" w14:textId="77777777" w:rsidR="00443D37" w:rsidRPr="00443D37" w:rsidRDefault="00443D37" w:rsidP="00443D37"/>
    <w:p w14:paraId="165FCFAE" w14:textId="77777777" w:rsidR="00443D37" w:rsidRDefault="00443D37" w:rsidP="00443D37"/>
    <w:p w14:paraId="4784126B" w14:textId="77777777" w:rsidR="00443D37" w:rsidRDefault="00443D37" w:rsidP="00D10039">
      <w:pPr>
        <w:pStyle w:val="Heading5"/>
        <w:spacing w:line="360" w:lineRule="auto"/>
      </w:pPr>
      <w:bookmarkStart w:id="1" w:name="_Toc221201534"/>
      <w:r>
        <w:t>Abstract</w:t>
      </w:r>
      <w:bookmarkEnd w:id="1"/>
    </w:p>
    <w:p w14:paraId="30C361D9" w14:textId="77777777" w:rsidR="00443D37" w:rsidRDefault="00443D37" w:rsidP="00D10039">
      <w:pPr>
        <w:spacing w:before="240" w:after="240" w:line="360" w:lineRule="auto"/>
        <w:ind w:firstLine="720"/>
      </w:pPr>
      <w:r>
        <w:t>Junkanoo is recognised as the national cultural festival of The Bahamas and is commonly understood as a celebration imported from Africa. While its African origins and historical ritual foundations are well established, scholarly debate persists over whether contemporary Junkanoo is as secular cultural performance or whether it is still a spiritual rite.  Expanding on this discussion, this thesis investigates the extent to which modern Bahamian Junkanoo continues to reflect African cosmological frameworks within its contemporary form.</w:t>
      </w:r>
    </w:p>
    <w:p w14:paraId="528D868A" w14:textId="77777777" w:rsidR="00443D37" w:rsidRDefault="00443D37" w:rsidP="00D10039">
      <w:pPr>
        <w:spacing w:before="240" w:after="240" w:line="360" w:lineRule="auto"/>
        <w:ind w:firstLine="720"/>
      </w:pPr>
      <w:r>
        <w:t>To analyse this dimension of the festival, this study adopts an Afrocentric framework that recognises spirituality as embedded within artistic expression and everyday practice. Using the spiritual traditions of the Yoruba, Akan, Mande, Igbo, Wolof, and Kongo, the research compares Junkanoo to African spiritual concepts such as a divine creative force and spirit interaction, exploring the cosmological role of music, costuming, timing, and collective participation in relation to these principles.</w:t>
      </w:r>
    </w:p>
    <w:p w14:paraId="1A6F4BA1" w14:textId="596FDF6C" w:rsidR="00443D37" w:rsidRDefault="00443D37" w:rsidP="00D10039">
      <w:pPr>
        <w:spacing w:before="240" w:after="240" w:line="360" w:lineRule="auto"/>
        <w:ind w:firstLine="720"/>
      </w:pPr>
      <w:r>
        <w:t xml:space="preserve">This study employs qualitative, semi-structured interviews with contemporary Junkanoo participants and analysed their responses using thematic analysis, connecting their experience with African metaphysical frameworks. Findings reveal that Junkanoo’s music, costuming and overall experience reflect their underlying spiritual origins, even when not explicitly </w:t>
      </w:r>
      <w:r w:rsidR="00E41CC8">
        <w:rPr>
          <w:lang w:val="en-US"/>
        </w:rPr>
        <w:t>d</w:t>
      </w:r>
      <w:r>
        <w:t xml:space="preserve">escribed in metaphysical terms. </w:t>
      </w:r>
    </w:p>
    <w:p w14:paraId="51434CC7" w14:textId="5B4F2D8A" w:rsidR="00443D37" w:rsidRDefault="00443D37" w:rsidP="003247C8">
      <w:pPr>
        <w:spacing w:before="240" w:after="240" w:line="360" w:lineRule="auto"/>
        <w:ind w:firstLine="720"/>
      </w:pPr>
      <w:r>
        <w:t>Ultimately, this research concludes that contemporary Junkanoo operates as a modern expression of African cosmological continuity. This idea contributes to existing scholarship on African diasporic performance and spiritual survivals in the Caribbean.</w:t>
      </w:r>
    </w:p>
    <w:p w14:paraId="4223A698" w14:textId="70E9BF9C" w:rsidR="00443D37" w:rsidRPr="00443D37" w:rsidRDefault="00443D37" w:rsidP="00D10039">
      <w:pPr>
        <w:tabs>
          <w:tab w:val="center" w:pos="3649"/>
        </w:tabs>
        <w:spacing w:line="360" w:lineRule="auto"/>
        <w:sectPr w:rsidR="00443D37" w:rsidRPr="00443D37" w:rsidSect="001C2D7A">
          <w:pgSz w:w="11906" w:h="16838"/>
          <w:pgMar w:top="1440" w:right="2304" w:bottom="1440" w:left="2304" w:header="720" w:footer="720" w:gutter="0"/>
          <w:pgNumType w:fmt="lowerRoman" w:start="1"/>
          <w:cols w:space="720"/>
          <w:docGrid w:linePitch="360"/>
        </w:sectPr>
      </w:pPr>
    </w:p>
    <w:bookmarkStart w:id="2" w:name="_9ejon08rcu2r" w:colFirst="0" w:colLast="0"/>
    <w:bookmarkStart w:id="3" w:name="_Toc221201535"/>
    <w:bookmarkEnd w:id="2"/>
    <w:p w14:paraId="4F77F969" w14:textId="15DC4DFB" w:rsidR="00A16F79" w:rsidRDefault="00EF097B" w:rsidP="00D10039">
      <w:pPr>
        <w:pStyle w:val="Heading3"/>
        <w:spacing w:line="360" w:lineRule="auto"/>
        <w:jc w:val="left"/>
      </w:pPr>
      <w:r>
        <w:rPr>
          <w:noProof/>
        </w:rPr>
        <w:lastRenderedPageBreak/>
        <mc:AlternateContent>
          <mc:Choice Requires="wps">
            <w:drawing>
              <wp:anchor distT="0" distB="0" distL="114300" distR="114300" simplePos="0" relativeHeight="251658240" behindDoc="0" locked="0" layoutInCell="1" allowOverlap="1" wp14:anchorId="3FA86409" wp14:editId="4128C36B">
                <wp:simplePos x="0" y="0"/>
                <wp:positionH relativeFrom="column">
                  <wp:posOffset>-234316</wp:posOffset>
                </wp:positionH>
                <wp:positionV relativeFrom="paragraph">
                  <wp:posOffset>38100</wp:posOffset>
                </wp:positionV>
                <wp:extent cx="5400675" cy="28575"/>
                <wp:effectExtent l="0" t="0" r="28575" b="28575"/>
                <wp:wrapNone/>
                <wp:docPr id="1080050933" name="Straight Connector 1"/>
                <wp:cNvGraphicFramePr/>
                <a:graphic xmlns:a="http://schemas.openxmlformats.org/drawingml/2006/main">
                  <a:graphicData uri="http://schemas.microsoft.com/office/word/2010/wordprocessingShape">
                    <wps:wsp>
                      <wps:cNvCnPr/>
                      <wps:spPr>
                        <a:xfrm flipV="1">
                          <a:off x="0" y="0"/>
                          <a:ext cx="5400675" cy="28575"/>
                        </a:xfrm>
                        <a:prstGeom prst="line">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6556B5BD" id="Straight Connector 1" o:spid="_x0000_s1026" style="position:absolute;flip:y;z-index:251658240;visibility:visible;mso-wrap-style:square;mso-wrap-distance-left:9pt;mso-wrap-distance-top:0;mso-wrap-distance-right:9pt;mso-wrap-distance-bottom:0;mso-position-horizontal:absolute;mso-position-horizontal-relative:text;mso-position-vertical:absolute;mso-position-vertical-relative:text" from="-18.45pt,3pt" to="406.8pt,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" strokecolor="black [3213]" strokeweight="1.5pt">
                <v:stroke joinstyle="miter"/>
              </v:line>
            </w:pict>
          </mc:Fallback>
        </mc:AlternateContent>
      </w:r>
      <w:bookmarkEnd w:id="3"/>
    </w:p>
    <w:p w14:paraId="48A81ADE" w14:textId="5EF48D9C" w:rsidR="00A16F79" w:rsidRPr="00FA78A8" w:rsidRDefault="00A16F79" w:rsidP="00D10039">
      <w:pPr>
        <w:pStyle w:val="Heading2"/>
        <w:spacing w:line="360" w:lineRule="auto"/>
      </w:pPr>
      <w:bookmarkStart w:id="4" w:name="_uepq8kb7yl06" w:colFirst="0" w:colLast="0"/>
      <w:bookmarkStart w:id="5" w:name="_Toc221201536"/>
      <w:bookmarkEnd w:id="4"/>
      <w:r w:rsidRPr="00FA78A8">
        <w:t>Introduction</w:t>
      </w:r>
      <w:bookmarkEnd w:id="5"/>
    </w:p>
    <w:p w14:paraId="741B9BCC" w14:textId="5DD020F4" w:rsidR="00A16F79" w:rsidRDefault="00A16F79" w:rsidP="00D10039">
      <w:pPr>
        <w:spacing w:before="240" w:after="240" w:line="360" w:lineRule="auto"/>
        <w:ind w:firstLine="720"/>
      </w:pPr>
      <w:r>
        <w:t>Junkanoo in The Bahamas is identified as the 'ultimate national symbol'.</w:t>
      </w:r>
      <w:r>
        <w:rPr>
          <w:vertAlign w:val="superscript"/>
        </w:rPr>
        <w:footnoteReference w:id="1"/>
      </w:r>
      <w:r>
        <w:t xml:space="preserve"> Junkanoo is a street festival, primarily </w:t>
      </w:r>
      <w:r w:rsidRPr="00531685">
        <w:rPr>
          <w:rFonts w:ascii="Times New Roman" w:hAnsi="Times New Roman" w:cs="Times New Roman"/>
        </w:rPr>
        <w:t>held</w:t>
      </w:r>
      <w:r>
        <w:t xml:space="preserve"> in The Bahamas on December 26th and January 1st annually.</w:t>
      </w:r>
      <w:r w:rsidR="00E41CC8" w:rsidRPr="00E41CC8">
        <w:rPr>
          <w:vertAlign w:val="superscript"/>
        </w:rPr>
        <w:t xml:space="preserve"> </w:t>
      </w:r>
      <w:r w:rsidR="00E41CC8">
        <w:rPr>
          <w:vertAlign w:val="superscript"/>
        </w:rPr>
        <w:footnoteReference w:id="2"/>
      </w:r>
      <w:r>
        <w:t xml:space="preserve"> This festival is widely accepted to stem from Africa, introduced to The Bahamas through the Trans-Atlantic slave trade.</w:t>
      </w:r>
      <w:r>
        <w:rPr>
          <w:vertAlign w:val="superscript"/>
        </w:rPr>
        <w:footnoteReference w:id="3"/>
      </w:r>
      <w:r>
        <w:t xml:space="preserve"> In the modern context, the festival is a parade displaying a plethora of colourful costumes, dances and musical performances. The costumes are elaborate displays, traditionally built from 'crepe paper and cardboard'.</w:t>
      </w:r>
      <w:r>
        <w:rPr>
          <w:vertAlign w:val="superscript"/>
        </w:rPr>
        <w:footnoteReference w:id="4"/>
      </w:r>
      <w:r>
        <w:t xml:space="preserve"> The dancing comprises both choreographed sections and ‘free dancers’ performing 'traditional Junkanoo steps'. The music features a unique blend of instruments, including drums, cowbells, and brass. </w:t>
      </w:r>
      <w:r>
        <w:rPr>
          <w:vertAlign w:val="superscript"/>
        </w:rPr>
        <w:footnoteReference w:id="5"/>
      </w:r>
      <w:r>
        <w:t xml:space="preserve"> Although modernised, the parade has retained a consistent framework, displaying features similar to accounts recorded over 175 years ago, including 'fifes and drums' on Christmas day.</w:t>
      </w:r>
      <w:r>
        <w:rPr>
          <w:vertAlign w:val="superscript"/>
        </w:rPr>
        <w:footnoteReference w:id="6"/>
      </w:r>
      <w:r>
        <w:t xml:space="preserve"> Overall, the festival's core practices have remained largely intact over generations. This study aims to examine the extent to which the contemporary </w:t>
      </w:r>
      <w:r>
        <w:lastRenderedPageBreak/>
        <w:t>Bahamian festival of Junkanoo retains the cosmological and spiritual principles of its African origins.</w:t>
      </w:r>
    </w:p>
    <w:p w14:paraId="6234E98D" w14:textId="77777777" w:rsidR="00A16F79" w:rsidRDefault="00A16F79" w:rsidP="00D10039">
      <w:pPr>
        <w:spacing w:before="240" w:after="240" w:line="360" w:lineRule="auto"/>
        <w:ind w:firstLine="720"/>
      </w:pPr>
      <w:r>
        <w:t>As highlighted by Nicolette Bethel, Junkanoo is often promoted as a cultural event.</w:t>
      </w:r>
      <w:r>
        <w:rPr>
          <w:vertAlign w:val="superscript"/>
        </w:rPr>
        <w:footnoteReference w:id="7"/>
      </w:r>
      <w:r>
        <w:t xml:space="preserve"> However, beneath this festival lies a deeper set of meanings that may directly connect to African worldviews. To examine these deeper dimensions, it is necessary first to clarify what is meant by the term cosmology. Cosmology is defined by Nancy Ellen Abrams and Joel R. Primack as 'a story of how the world began and continues, how humans came to exist, and what the gods expect of us'.</w:t>
      </w:r>
      <w:r>
        <w:rPr>
          <w:vertAlign w:val="superscript"/>
        </w:rPr>
        <w:footnoteReference w:id="8"/>
      </w:r>
      <w:r>
        <w:t xml:space="preserve"> In summary, cosmology describes a set of beliefs about the existence and functioning of the universe and humanity's role in it, shaping how people understand reality and how humans can interact with divine forces. As noted by Austine Okwu, African cosmologies do not position the spiritual as separate from the material. Instead, the two are understood as deeply intertwined.</w:t>
      </w:r>
      <w:r>
        <w:rPr>
          <w:vertAlign w:val="superscript"/>
        </w:rPr>
        <w:footnoteReference w:id="9"/>
      </w:r>
      <w:r>
        <w:t xml:space="preserve"> Within these frameworks, art forms serve as ways for humans to engage with the divine.</w:t>
      </w:r>
      <w:r>
        <w:rPr>
          <w:vertAlign w:val="superscript"/>
        </w:rPr>
        <w:footnoteReference w:id="10"/>
      </w:r>
      <w:r>
        <w:t xml:space="preserve"> Masquerade traditions in particular are understood to be rooted in cosmological logics, serving as a means of crossing the boundary between the human and spiritual realms.</w:t>
      </w:r>
      <w:r>
        <w:rPr>
          <w:vertAlign w:val="superscript"/>
        </w:rPr>
        <w:footnoteReference w:id="11"/>
      </w:r>
      <w:r>
        <w:t xml:space="preserve"> Junkanoo has been clearly connected to </w:t>
      </w:r>
      <w:r>
        <w:lastRenderedPageBreak/>
        <w:t>African ritual traditions.</w:t>
      </w:r>
      <w:r>
        <w:rPr>
          <w:vertAlign w:val="superscript"/>
        </w:rPr>
        <w:footnoteReference w:id="12"/>
      </w:r>
      <w:r>
        <w:t xml:space="preserve"> However, there is an ongoing scholarly debate on whether Junkanoo should be understood as secular or spiritual in the modern context.</w:t>
      </w:r>
      <w:r>
        <w:rPr>
          <w:vertAlign w:val="superscript"/>
        </w:rPr>
        <w:footnoteReference w:id="13"/>
      </w:r>
      <w:r>
        <w:t xml:space="preserve"> In synthesis, ideas of how Junkanoo should be understood are divided. While debates over its religiosity are valuable, they risk overlooking the cosmological frameworks that may continue to inform Junkanoo at a deeper level. </w:t>
      </w:r>
    </w:p>
    <w:p w14:paraId="22F0BD96" w14:textId="77777777" w:rsidR="00A16F79" w:rsidRDefault="00A16F79" w:rsidP="00D10039">
      <w:pPr>
        <w:spacing w:before="240" w:after="240" w:line="360" w:lineRule="auto"/>
        <w:ind w:firstLine="720"/>
        <w:rPr>
          <w:b/>
          <w:bCs/>
          <w:sz w:val="28"/>
          <w:szCs w:val="28"/>
          <w:u w:val="single"/>
        </w:rPr>
      </w:pPr>
      <w:r>
        <w:t>Rather than asking whether Junkanoo is 'religious' in an explicit sense, this thesis explores the deeper spiritual frameworks that inform its origins and how contemporary practitioners experience them. To accomplish this goal, Junkanoo will be examined through a comparative analysis of African cosmologies, drawing particularly on Yoruba, Akan, Mande, Igbo, Wolof, and Kongo worldviews. These traditions share key ideas about divine forces and the role of music and costuming in relation to them. By comparing participant testimonies to these frameworks, this thesis investigates whether Junkanoo can be understood as a contemporary example of African cosmological expression. In doing so, this research contributes to broader discussions about African diasporic continuity and how spirituality can persist beyond formal religious structures. Ultimately, this thesis aims to investigate how Junkanoo has evolved from its foundations and to what extent it echoes African cosmological thought. To accomplish this aim, this study applies qualitative methods and thematic analysis to understand modern Junkanooers' experiences and connect those to African metaphysical frameworks,</w:t>
      </w:r>
      <w:r>
        <w:rPr>
          <w:vertAlign w:val="superscript"/>
        </w:rPr>
        <w:footnoteReference w:id="14"/>
      </w:r>
      <w:r>
        <w:t xml:space="preserve"> to understand how these systems reflect or differ from the modern-day Bahamian festival. </w:t>
      </w:r>
    </w:p>
    <w:p w14:paraId="08A5E489" w14:textId="77777777" w:rsidR="00A16F79" w:rsidRDefault="00A16F79" w:rsidP="00D10039">
      <w:pPr>
        <w:pStyle w:val="Heading2"/>
        <w:spacing w:before="240" w:after="240" w:line="360" w:lineRule="auto"/>
      </w:pPr>
      <w:bookmarkStart w:id="6" w:name="_w0swmhd84kaj" w:colFirst="0" w:colLast="0"/>
      <w:bookmarkStart w:id="7" w:name="_Toc221201537"/>
      <w:bookmarkEnd w:id="6"/>
      <w:r>
        <w:lastRenderedPageBreak/>
        <w:t>Literature Review</w:t>
      </w:r>
      <w:bookmarkEnd w:id="7"/>
      <w:r>
        <w:t xml:space="preserve"> </w:t>
      </w:r>
    </w:p>
    <w:p w14:paraId="5F3D025B" w14:textId="77777777" w:rsidR="00A16F79" w:rsidRDefault="00A16F79" w:rsidP="00D10039">
      <w:pPr>
        <w:spacing w:before="240" w:after="240" w:line="360" w:lineRule="auto"/>
        <w:ind w:firstLine="720"/>
      </w:pPr>
      <w:r>
        <w:t>The existing scholarship has covered Junkanoo’s origins and historic ritual foundations and situated the festival within broader African diasporic masquerade traditions. These traditions engage with the cosmological underpinnings of festivals like Junkanoo. However, the literature leaves notable gaps regarding the specific African cosmologies that underlie Junkanoo and their survival in the contemporary context.</w:t>
      </w:r>
    </w:p>
    <w:p w14:paraId="42904BCE" w14:textId="77777777" w:rsidR="00A16F79" w:rsidRDefault="00A16F79" w:rsidP="00D10039">
      <w:pPr>
        <w:pStyle w:val="Heading3"/>
        <w:spacing w:before="240" w:after="240" w:line="360" w:lineRule="auto"/>
      </w:pPr>
      <w:bookmarkStart w:id="8" w:name="_ylmckhz5r6i9" w:colFirst="0" w:colLast="0"/>
      <w:bookmarkStart w:id="9" w:name="_Toc221201538"/>
      <w:bookmarkEnd w:id="8"/>
      <w:r>
        <w:t>The Origins of Junkanoo</w:t>
      </w:r>
      <w:bookmarkEnd w:id="9"/>
    </w:p>
    <w:p w14:paraId="7D665901" w14:textId="4BE4329A" w:rsidR="00704CC4" w:rsidRPr="00511B7C" w:rsidRDefault="00A16F79" w:rsidP="00511B7C">
      <w:pPr>
        <w:spacing w:before="240" w:after="240" w:line="360" w:lineRule="auto"/>
        <w:ind w:firstLine="720"/>
        <w:rPr>
          <w:lang w:val="en-US"/>
        </w:rPr>
      </w:pPr>
      <w:r>
        <w:t>Scholars such as Michael Craton and Keith Wisdom frequently note Junkanoo’s African origins but often generalise these influences to broad regions of West and Central Africa rather than specifying distinct cultural or cosmological traditions.</w:t>
      </w:r>
      <w:r>
        <w:rPr>
          <w:vertAlign w:val="superscript"/>
        </w:rPr>
        <w:footnoteReference w:id="15"/>
      </w:r>
      <w:r>
        <w:t xml:space="preserve"> This festival is speculated to have multiple origins and meanings. For example, the name 'Junkanoo' itself has multiple proposed origins. One theory, echoed by Janet DeCosmo and Raphael Njoku, links it to an Akan leader, 'John Connu,' though this is presented as only one element in a more complex history.</w:t>
      </w:r>
      <w:r>
        <w:rPr>
          <w:vertAlign w:val="superscript"/>
        </w:rPr>
        <w:footnoteReference w:id="16"/>
      </w:r>
      <w:r>
        <w:t xml:space="preserve"> Keith Wisdom argues that Junkanoo 'evolved from Christmas celebrations held in the late eighteenth century Nassau', suggesting that the festival once operated under different names and developed through layered traditions.</w:t>
      </w:r>
      <w:r>
        <w:rPr>
          <w:vertAlign w:val="superscript"/>
        </w:rPr>
        <w:footnoteReference w:id="17"/>
      </w:r>
      <w:r>
        <w:t xml:space="preserve"> DeCosmo characterises Junkanoo as emerging from a 'hybrid mixture of the sacred ritual arts </w:t>
      </w:r>
      <w:r>
        <w:lastRenderedPageBreak/>
        <w:t>traditions' of multiple African peoples.</w:t>
      </w:r>
      <w:r>
        <w:rPr>
          <w:vertAlign w:val="superscript"/>
        </w:rPr>
        <w:footnoteReference w:id="18"/>
      </w:r>
      <w:r>
        <w:t xml:space="preserve"> Njoku similarly positions diasporic masquerade traditions, including Junkanoo, as repositories of African intellectual and spiritual heritage.</w:t>
      </w:r>
      <w:r>
        <w:rPr>
          <w:vertAlign w:val="superscript"/>
        </w:rPr>
        <w:footnoteReference w:id="19"/>
      </w:r>
      <w:r>
        <w:t xml:space="preserve"> Together, this scholarship establishes Junkanoo as a Bahamian festival rooted in a blend of African religious traditions. The work of these scholars inspires a multicultural approach to analysing Junkanoo’s cosmological foundations.  Existing scholarship leaves the survival of specific African cosmological principles within contemporary Junkanoo underexplored.  Addressing this gap could deepen understanding of Junkanoo through an African cosmological lens.</w:t>
      </w:r>
    </w:p>
    <w:p w14:paraId="33EEDCF5" w14:textId="77777777" w:rsidR="00A16F79" w:rsidRDefault="00A16F79" w:rsidP="00D10039">
      <w:pPr>
        <w:pStyle w:val="Heading4"/>
      </w:pPr>
      <w:bookmarkStart w:id="10" w:name="_yup1948qlbsp" w:colFirst="0" w:colLast="0"/>
      <w:bookmarkStart w:id="11" w:name="_Toc221201539"/>
      <w:bookmarkEnd w:id="10"/>
      <w:r>
        <w:t>Historical Background: The African Presence in The Bahamas</w:t>
      </w:r>
      <w:bookmarkEnd w:id="11"/>
    </w:p>
    <w:p w14:paraId="6D9F66A9" w14:textId="77777777" w:rsidR="00A16F79" w:rsidRDefault="00A16F79" w:rsidP="00D10039">
      <w:pPr>
        <w:spacing w:before="240" w:after="240" w:line="360" w:lineRule="auto"/>
        <w:ind w:firstLine="720"/>
      </w:pPr>
      <w:r>
        <w:t>Junkanoo is widely understood to have emerged from a fusion of African spiritual traditions, as evidenced by DeCosmo's ideas. African populations were introduced to The Bahamas through migration from neighbouring colonies and through the slave trade. Noted by Paul Albury, the first successful settlement in the islands was set up by a group known as the ‘Eleutheran Adventurers’ in the 1640s, arriving from Bermuda.</w:t>
      </w:r>
      <w:r>
        <w:rPr>
          <w:vertAlign w:val="superscript"/>
        </w:rPr>
        <w:footnoteReference w:id="20"/>
      </w:r>
      <w:r>
        <w:t xml:space="preserve"> This arrival imported British colonialism, the church and a mixed population of Anglo-Christians and Africans to The Bahamas. Albury and Michael J. Jarvis highlighted that the islands were also used as an exile point for other Africans from Bermuda and other colonies</w:t>
      </w:r>
      <w:r>
        <w:rPr>
          <w:vertAlign w:val="superscript"/>
        </w:rPr>
        <w:footnoteReference w:id="21"/>
      </w:r>
      <w:r>
        <w:t xml:space="preserve">. </w:t>
      </w:r>
      <w:r>
        <w:lastRenderedPageBreak/>
        <w:t>Next, Albury also noted  that the next major arrival affecting the black population was the arrival of the Loyalists</w:t>
      </w:r>
      <w:r>
        <w:rPr>
          <w:i/>
          <w:iCs/>
        </w:rPr>
        <w:t xml:space="preserve"> </w:t>
      </w:r>
      <w:r>
        <w:t>after the American Revolution, who settled in The Bahamas after their displacement from the American colonies in 1783.</w:t>
      </w:r>
      <w:r>
        <w:rPr>
          <w:vertAlign w:val="superscript"/>
        </w:rPr>
        <w:footnoteReference w:id="22"/>
      </w:r>
      <w:r>
        <w:t xml:space="preserve"> Branded as 'traitors' for siding with the British in the American fight for independence, they sought refuge in the British colony of The Bahamas.</w:t>
      </w:r>
      <w:r>
        <w:rPr>
          <w:vertAlign w:val="superscript"/>
        </w:rPr>
        <w:footnoteReference w:id="23"/>
      </w:r>
      <w:r>
        <w:t xml:space="preserve"> Notably, the Loyalists brought a large number of enslaved Africans, radically changing the demographic landscape.</w:t>
      </w:r>
      <w:r>
        <w:rPr>
          <w:vertAlign w:val="superscript"/>
        </w:rPr>
        <w:footnoteReference w:id="24"/>
      </w:r>
      <w:r>
        <w:t xml:space="preserve"> As noted by Sasha C. Wells, free Black loyalists migrated alongside the Loyalists and enslaved Africans, adding to the free black population.</w:t>
      </w:r>
      <w:r>
        <w:rPr>
          <w:vertAlign w:val="superscript"/>
        </w:rPr>
        <w:footnoteReference w:id="25"/>
      </w:r>
      <w:r>
        <w:t xml:space="preserve"> Albury highlighted that by this time, the settlers of The Bahamas were now two-thirds African, becoming the majority.</w:t>
      </w:r>
      <w:r>
        <w:rPr>
          <w:vertAlign w:val="superscript"/>
        </w:rPr>
        <w:footnoteReference w:id="26"/>
      </w:r>
      <w:r>
        <w:t xml:space="preserve"> As highlighted by scholars such as Albury, Jim Lawlor, Michael Craton and Gail Saunders, the Loyalists expanded the slave-holding culture to The Bahamas, setting up cotton plantations throughout the islands and influencing slave trading directly into The Bahamas for the first time.</w:t>
      </w:r>
      <w:r>
        <w:rPr>
          <w:i/>
          <w:iCs/>
          <w:vertAlign w:val="superscript"/>
        </w:rPr>
        <w:footnoteReference w:id="27"/>
      </w:r>
      <w:r>
        <w:t xml:space="preserve"> The slave trade created an essential avenue for the migration of Africans into The Bahamas. Wells noted that after the abolition of the slave trade in 1807, The Bahamas saw the arrival of many 'Liberated </w:t>
      </w:r>
      <w:r>
        <w:lastRenderedPageBreak/>
        <w:t>Africans'</w:t>
      </w:r>
      <w:r>
        <w:rPr>
          <w:vertAlign w:val="superscript"/>
        </w:rPr>
        <w:footnoteReference w:id="28"/>
      </w:r>
      <w:r>
        <w:t>, as it was used as a refuge for those seized from the newly illegal trade.</w:t>
      </w:r>
      <w:r>
        <w:rPr>
          <w:vertAlign w:val="superscript"/>
        </w:rPr>
        <w:footnoteReference w:id="29"/>
      </w:r>
      <w:r>
        <w:t xml:space="preserve"> Additionally, Irvin D. S. Winsboro and Joe Knetsch accounted that The Bahamas attracted 'liberated or fugitive Africans' from the surrounding areas, making it home to the largest concentration of free black people in the British West Indies at the time.</w:t>
      </w:r>
      <w:r>
        <w:rPr>
          <w:vertAlign w:val="superscript"/>
        </w:rPr>
        <w:footnoteReference w:id="30"/>
      </w:r>
      <w:r>
        <w:t xml:space="preserve">  </w:t>
      </w:r>
    </w:p>
    <w:p w14:paraId="1732626D" w14:textId="77777777" w:rsidR="00A16F79" w:rsidRDefault="00A16F79" w:rsidP="00D10039">
      <w:pPr>
        <w:pStyle w:val="Heading4"/>
      </w:pPr>
      <w:bookmarkStart w:id="12" w:name="_1vgse5zkct1" w:colFirst="0" w:colLast="0"/>
      <w:bookmarkStart w:id="13" w:name="_Toc221201540"/>
      <w:bookmarkEnd w:id="12"/>
      <w:r>
        <w:t>Ethnic Origins</w:t>
      </w:r>
      <w:bookmarkEnd w:id="13"/>
    </w:p>
    <w:p w14:paraId="02F69AFC" w14:textId="07F98711" w:rsidR="00A16F79" w:rsidRDefault="00A16F79" w:rsidP="00D10039">
      <w:pPr>
        <w:spacing w:before="240" w:after="240" w:line="360" w:lineRule="auto"/>
        <w:ind w:firstLine="720"/>
      </w:pPr>
      <w:r>
        <w:t>The African population brought to The Bahamas was far from homogeneous. As outlined by scholars such as Albury, African groups arrived not only through the transatlantic slave trade, but also from neighbouring colonies such as Bermuda and the American colonies. This migration presented a mosaic of ethnic groups with diverse cosmologies, languages and traditions. Rebecca Shumway highlighted that Africans were often categorised under their port of origin as being a unified ethnic group, usually being assigned the label of the predominant ethnic group in the area, thus creating a major barrier to accuracy when engaging with literature surrounding enslaved people from Africa and their identities.</w:t>
      </w:r>
      <w:r>
        <w:rPr>
          <w:vertAlign w:val="superscript"/>
        </w:rPr>
        <w:footnoteReference w:id="31"/>
      </w:r>
      <w:r>
        <w:t xml:space="preserve"> Although early documentation may have failed to recognise the complexity of African identities, the existing evidence allows us to identify several major groups who may have shaped the Afro-Bahamian landscape. Though these large groups contained many subgroups, for this essay, working with umbrella </w:t>
      </w:r>
      <w:r>
        <w:lastRenderedPageBreak/>
        <w:t xml:space="preserve">identities provides a simplified framework. With this in mind, across the literature, six large ethnic groups consistently emerge: the Wolof, Mande, Akan, Yoruba, Igbo and Kongo peoples. </w:t>
      </w:r>
    </w:p>
    <w:p w14:paraId="49A46F8B" w14:textId="31A95EA1" w:rsidR="00A16F79" w:rsidRDefault="00A16F79" w:rsidP="00D10039">
      <w:pPr>
        <w:spacing w:before="240" w:after="240" w:line="360" w:lineRule="auto"/>
        <w:ind w:firstLine="720"/>
      </w:pPr>
      <w:r>
        <w:t xml:space="preserve">In the early settlement of The Bahamas, historians outline to the prominence of ethnic groups from the Senegambian and Upper Guinean regions; namely, the Wolof and Mande people. Craton observed that one of the primary origin points of the Loyalists, South Carolina, favoured enslaved people from 'Senegambia and Upper Guinea', suggesting a probable presence of Wolof and Mande peoples who arrived through inter-colonial movement. </w:t>
      </w:r>
      <w:r>
        <w:rPr>
          <w:vertAlign w:val="superscript"/>
        </w:rPr>
        <w:footnoteReference w:id="32"/>
      </w:r>
      <w:r>
        <w:t xml:space="preserve"> Additionally, Lawlor noted these groups as the largest demographic of enslaved Africans trafficked to The Bahamas during this time period.</w:t>
      </w:r>
      <w:r>
        <w:rPr>
          <w:vertAlign w:val="superscript"/>
        </w:rPr>
        <w:footnoteReference w:id="33"/>
      </w:r>
      <w:r>
        <w:t xml:space="preserve">  </w:t>
      </w:r>
    </w:p>
    <w:p w14:paraId="4457F19A" w14:textId="6FB0B371" w:rsidR="00A16F79" w:rsidRDefault="00A16F79" w:rsidP="00D10039">
      <w:pPr>
        <w:spacing w:before="240" w:after="240" w:line="360" w:lineRule="auto"/>
        <w:ind w:firstLine="720"/>
      </w:pPr>
      <w:r>
        <w:t>During this first wave of African influx, another group that stands out is the Akan people.  Craton noted that Virginia colonists had a preference for Akan people for enslavement purposes.</w:t>
      </w:r>
      <w:r>
        <w:rPr>
          <w:vertAlign w:val="superscript"/>
        </w:rPr>
        <w:footnoteReference w:id="34"/>
      </w:r>
      <w:r>
        <w:t xml:space="preserve"> There is evidence that Bermuda traded enslaved people into Virginia, one such voyage being recorded in 1672.</w:t>
      </w:r>
      <w:r>
        <w:rPr>
          <w:vertAlign w:val="superscript"/>
        </w:rPr>
        <w:footnoteReference w:id="35"/>
      </w:r>
      <w:r>
        <w:t xml:space="preserve"> Through this connection, historians assert that the Akan people were likely part of the African populations relocated to The Bahamas from Bermuda, enslaved and freed Africans alike. This presence was reinforced by the forced transportation of enslaved people of likely Akan ethnicity between 1721 and 1762, noted by Lawlor.</w:t>
      </w:r>
      <w:r>
        <w:rPr>
          <w:vertAlign w:val="superscript"/>
        </w:rPr>
        <w:footnoteReference w:id="36"/>
      </w:r>
      <w:r>
        <w:t xml:space="preserve"> In short, historians have noted that, like the Wolof and </w:t>
      </w:r>
      <w:r>
        <w:lastRenderedPageBreak/>
        <w:t>Mande people, the Akan were not only brought by initial settlers, but also trafficked through slave trading.</w:t>
      </w:r>
    </w:p>
    <w:p w14:paraId="7CDC8412" w14:textId="38684BAC" w:rsidR="00A16F79" w:rsidRDefault="00A16F79" w:rsidP="00D10039">
      <w:pPr>
        <w:spacing w:before="240" w:after="240" w:line="360" w:lineRule="auto"/>
        <w:ind w:firstLine="720"/>
      </w:pPr>
      <w:r>
        <w:t>To move into the later African wave, other notable ethnic groups were the Kongo, Yoruba and Igbo. Lawlor highlighted that the Kongo and Igbo people were trafficked to The Bahamas in the late 18th and early 19th centuries.</w:t>
      </w:r>
      <w:r>
        <w:rPr>
          <w:vertAlign w:val="superscript"/>
        </w:rPr>
        <w:footnoteReference w:id="37"/>
      </w:r>
      <w:r>
        <w:t xml:space="preserve">  However, most of the impact of the Kongo, Igbo and Yoruba came to pass after the abolition of the slave trade, when The Bahamas became a primary settlement site for ‘Liberated Africans’ as highlighted by Wells. Craton highlighted the presence of the Yoruba, Congo and Igbo and highlighted the significance of their status as 'Liberated Africans'.</w:t>
      </w:r>
      <w:r>
        <w:rPr>
          <w:vertAlign w:val="superscript"/>
        </w:rPr>
        <w:footnoteReference w:id="38"/>
      </w:r>
      <w:r>
        <w:t xml:space="preserve"> He emphasised that because of their arrival as ‘Liberated Africans’, their cosmologies, customs and culture may have been more potent, not having to withstand a previous suppression through slavery.</w:t>
      </w:r>
      <w:r>
        <w:rPr>
          <w:vertAlign w:val="superscript"/>
        </w:rPr>
        <w:footnoteReference w:id="39"/>
      </w:r>
      <w:r>
        <w:t xml:space="preserve"> Adderly supports this, highlighting the revitalising effect ‘Liberated Africans’ had on African-Caribbean religious systems.</w:t>
      </w:r>
      <w:r>
        <w:rPr>
          <w:vertAlign w:val="superscript"/>
        </w:rPr>
        <w:footnoteReference w:id="40"/>
      </w:r>
    </w:p>
    <w:p w14:paraId="32C3B2A8" w14:textId="052D3080" w:rsidR="00A16F79" w:rsidRDefault="00A16F79" w:rsidP="00D10039">
      <w:pPr>
        <w:spacing w:before="240" w:after="240" w:line="360" w:lineRule="auto"/>
        <w:ind w:firstLine="720"/>
      </w:pPr>
      <w:r>
        <w:t xml:space="preserve">Overall, historians have outlined that the ethnic groups that entered The Bahamas included the Akan, Wolof, Mande, Yoruba, Kongo and Igbo peoples. The Akan, Wolof and Mande people made up an earlier wave of migrants, being brought through early waves of settlement and the slave trade.  The Yoruba, Kongo and Igbo peoples made up the majority of the second wave of Africans to The Bahamas. The notable distinction for these later groups as ‘Liberated Africans’ assumes their cultural retention was stronger in comparison to the first </w:t>
      </w:r>
      <w:r>
        <w:lastRenderedPageBreak/>
        <w:t>wave of African ethnic groups, according to Craton and Adderl</w:t>
      </w:r>
      <w:r w:rsidR="008E2331">
        <w:rPr>
          <w:lang w:val="en-US"/>
        </w:rPr>
        <w:t>e</w:t>
      </w:r>
      <w:r>
        <w:t xml:space="preserve">y. To summarise, historians such as Lawlor and Craton have highlighted these six groups as integral to The Bahamas' demographics. Drawing on DeCosmo’s ideas of Junkanoo as a blend of African traditions, these groups and their cosmologies will be further explored in relation to modern Junkanoo. </w:t>
      </w:r>
    </w:p>
    <w:p w14:paraId="18A9A449" w14:textId="77777777" w:rsidR="00A16F79" w:rsidRDefault="00A16F79" w:rsidP="00D10039">
      <w:pPr>
        <w:pStyle w:val="Heading4"/>
      </w:pPr>
      <w:bookmarkStart w:id="14" w:name="_wwqhfwa3hpj6" w:colFirst="0" w:colLast="0"/>
      <w:bookmarkStart w:id="15" w:name="_Toc221201541"/>
      <w:bookmarkEnd w:id="14"/>
      <w:r>
        <w:t>Historical Religious Evidence</w:t>
      </w:r>
      <w:bookmarkEnd w:id="15"/>
    </w:p>
    <w:p w14:paraId="3F104269" w14:textId="759053CD" w:rsidR="00A16F79" w:rsidRDefault="00A16F79" w:rsidP="00D10039">
      <w:pPr>
        <w:spacing w:before="240" w:after="240" w:line="360" w:lineRule="auto"/>
        <w:ind w:firstLine="720"/>
      </w:pPr>
      <w:r>
        <w:t>Historical accounts and previous scholarship suggest that Junkanoo in The Bahamas was previously aligned with African religious and ritual practices. DeCosmo highlighted that Junkanoo 'still held close affinities to African religious ritual'closer to its foundation.</w:t>
      </w:r>
      <w:r w:rsidR="0082629C" w:rsidRPr="0082629C">
        <w:rPr>
          <w:vertAlign w:val="superscript"/>
        </w:rPr>
        <w:t xml:space="preserve"> </w:t>
      </w:r>
      <w:r w:rsidR="0082629C">
        <w:rPr>
          <w:vertAlign w:val="superscript"/>
        </w:rPr>
        <w:footnoteReference w:id="41"/>
      </w:r>
      <w:r>
        <w:t xml:space="preserve"> This claim was evidenced in the </w:t>
      </w:r>
      <w:r>
        <w:rPr>
          <w:i/>
          <w:iCs/>
        </w:rPr>
        <w:t>Nassau Guardian</w:t>
      </w:r>
      <w:r>
        <w:t xml:space="preserve"> as early as 1849.  It was written that there was a public ritualistic sacrifice of 'several prize oxen' before the commencement of the Junkanoo parade.</w:t>
      </w:r>
      <w:r>
        <w:rPr>
          <w:vertAlign w:val="superscript"/>
        </w:rPr>
        <w:footnoteReference w:id="42"/>
      </w:r>
      <w:r>
        <w:t xml:space="preserve">  This document represents a more explicitly ritual dimension of the parade than in modern times. Additionally, Kirkley C. Sands noted that for enslaved Bahamians, 'dance was primarily religious'.</w:t>
      </w:r>
      <w:r>
        <w:rPr>
          <w:vertAlign w:val="superscript"/>
        </w:rPr>
        <w:footnoteReference w:id="43"/>
      </w:r>
      <w:r>
        <w:t xml:space="preserve"> According to his idea, dance events, such as </w:t>
      </w:r>
      <w:r w:rsidR="00627C1F">
        <w:t>Junkanoo</w:t>
      </w:r>
      <w:r>
        <w:t xml:space="preserve">, served religious functions during the slave era, aligning with DeCosmo’s conclusions. </w:t>
      </w:r>
    </w:p>
    <w:p w14:paraId="6DD09154" w14:textId="507660ED" w:rsidR="00A16F79" w:rsidRDefault="00A16F79" w:rsidP="00D10039">
      <w:pPr>
        <w:spacing w:before="240" w:after="240" w:line="360" w:lineRule="auto"/>
        <w:ind w:firstLine="720"/>
      </w:pPr>
      <w:r>
        <w:t xml:space="preserve">Comparative work by Dr Kenneth Bilby on Jamaican </w:t>
      </w:r>
      <w:r w:rsidR="00627C1F" w:rsidRPr="00627C1F">
        <w:t xml:space="preserve">Jonkonnu </w:t>
      </w:r>
      <w:r>
        <w:t>similarly identifies African-derived spiritual functions in historical practice.</w:t>
      </w:r>
      <w:r w:rsidR="00301808">
        <w:rPr>
          <w:rStyle w:val="FootnoteReference"/>
        </w:rPr>
        <w:footnoteReference w:id="44"/>
      </w:r>
      <w:r>
        <w:t xml:space="preserve"> His accounts include the use of </w:t>
      </w:r>
      <w:r w:rsidR="00627C1F" w:rsidRPr="00627C1F">
        <w:t xml:space="preserve">Jonkonnu </w:t>
      </w:r>
      <w:r>
        <w:t xml:space="preserve">headdresses </w:t>
      </w:r>
      <w:r>
        <w:lastRenderedPageBreak/>
        <w:t>placed in graveyards to attract ancestral presence.</w:t>
      </w:r>
      <w:r>
        <w:rPr>
          <w:vertAlign w:val="superscript"/>
        </w:rPr>
        <w:footnoteReference w:id="45"/>
      </w:r>
      <w:r>
        <w:t xml:space="preserve"> In </w:t>
      </w:r>
      <w:r>
        <w:rPr>
          <w:i/>
          <w:iCs/>
        </w:rPr>
        <w:t>Christmas with the Ancestors</w:t>
      </w:r>
      <w:r>
        <w:t xml:space="preserve">, Bilby argues that </w:t>
      </w:r>
      <w:r w:rsidR="00301808" w:rsidRPr="00627C1F">
        <w:t>Jonkonnu</w:t>
      </w:r>
      <w:r>
        <w:t xml:space="preserve"> historically facilitated interaction with spirits, reinforcing the ritual dimension of these traditions.</w:t>
      </w:r>
      <w:r>
        <w:rPr>
          <w:vertAlign w:val="superscript"/>
        </w:rPr>
        <w:footnoteReference w:id="46"/>
      </w:r>
      <w:r>
        <w:t xml:space="preserve"> His work reflects the ideas of DeCosmo and Sands, highlighting the spiritual foundations of this festival in the region. Taken together, these scholars demonstrate that Junkanoo’s historical foundations were aligned with African religiosity. However, the African cosmological principles that inform these practices remain largely unexplored, both historically and in the present.</w:t>
      </w:r>
    </w:p>
    <w:p w14:paraId="756445E3" w14:textId="77777777" w:rsidR="00A16F79" w:rsidRDefault="00A16F79" w:rsidP="00D10039">
      <w:pPr>
        <w:pStyle w:val="Heading3"/>
        <w:spacing w:before="240" w:after="240" w:line="360" w:lineRule="auto"/>
      </w:pPr>
      <w:bookmarkStart w:id="16" w:name="_ei6ggoi1xhaj" w:colFirst="0" w:colLast="0"/>
      <w:bookmarkStart w:id="17" w:name="_Toc221201542"/>
      <w:bookmarkEnd w:id="16"/>
      <w:r>
        <w:t>Junkanoo as a Masquerade Tradition</w:t>
      </w:r>
      <w:bookmarkEnd w:id="17"/>
    </w:p>
    <w:p w14:paraId="22DA17C4" w14:textId="753CF2BB" w:rsidR="00A16F79" w:rsidRDefault="00A16F79" w:rsidP="00D10039">
      <w:pPr>
        <w:spacing w:line="360" w:lineRule="auto"/>
        <w:ind w:firstLine="720"/>
      </w:pPr>
      <w:r>
        <w:t>Carlton Turner wrote that Junkanoo is an 'African religio-cultural retention' and therefore preserves African cosmologies and spiritual principles.</w:t>
      </w:r>
      <w:r>
        <w:rPr>
          <w:vertAlign w:val="superscript"/>
        </w:rPr>
        <w:footnoteReference w:id="47"/>
      </w:r>
      <w:r>
        <w:t xml:space="preserve"> To explore these cosmologies </w:t>
      </w:r>
      <w:r w:rsidR="00627C1F">
        <w:t>further, it</w:t>
      </w:r>
      <w:r>
        <w:t xml:space="preserve"> becomes helpful to situate the festival within the broader framework of African masquerades. Njoku classifies Junkanoo as a diasporic masquerade tradition, where masks and costumes transform human-made objects into 'mobile spirits and divinities'.</w:t>
      </w:r>
      <w:r>
        <w:rPr>
          <w:vertAlign w:val="superscript"/>
        </w:rPr>
        <w:footnoteReference w:id="48"/>
      </w:r>
      <w:r>
        <w:t xml:space="preserve"> Therefore, at the core of the masquerade is the cosmological idea of its ability to interact with sacred forces. The existing literature suggests two central cosmological ideas when discussing masquerade traditions: a universal divine force and interaction with the spiritual realm. </w:t>
      </w:r>
    </w:p>
    <w:p w14:paraId="23CE8F40" w14:textId="77777777" w:rsidR="00A16F79" w:rsidRPr="00627C1F" w:rsidRDefault="00A16F79" w:rsidP="00D10039">
      <w:pPr>
        <w:pStyle w:val="Heading4"/>
        <w:rPr>
          <w:i/>
        </w:rPr>
      </w:pPr>
      <w:bookmarkStart w:id="18" w:name="_k4hsmnkc3vzx" w:colFirst="0" w:colLast="0"/>
      <w:bookmarkStart w:id="19" w:name="_Toc221201543"/>
      <w:bookmarkEnd w:id="18"/>
      <w:r w:rsidRPr="00704CC4">
        <w:rPr>
          <w:i/>
        </w:rPr>
        <w:lastRenderedPageBreak/>
        <w:t>Àṣẹ</w:t>
      </w:r>
      <w:r>
        <w:t xml:space="preserve">, </w:t>
      </w:r>
      <w:r w:rsidRPr="00704CC4">
        <w:rPr>
          <w:i/>
        </w:rPr>
        <w:t>Sunsum</w:t>
      </w:r>
      <w:r>
        <w:t xml:space="preserve"> </w:t>
      </w:r>
      <w:r w:rsidRPr="00704CC4">
        <w:t>and</w:t>
      </w:r>
      <w:r>
        <w:t xml:space="preserve"> </w:t>
      </w:r>
      <w:r w:rsidRPr="00704CC4">
        <w:rPr>
          <w:i/>
        </w:rPr>
        <w:t>Nyama</w:t>
      </w:r>
      <w:r w:rsidRPr="00704CC4">
        <w:t>: Divine Creative Forces</w:t>
      </w:r>
      <w:bookmarkEnd w:id="19"/>
    </w:p>
    <w:p w14:paraId="465A43F2" w14:textId="1465DB3D" w:rsidR="00A16F79" w:rsidRDefault="00A16F79" w:rsidP="00D10039">
      <w:pPr>
        <w:spacing w:line="360" w:lineRule="auto"/>
        <w:ind w:firstLine="720"/>
      </w:pPr>
      <w:r>
        <w:t>Within West African cosmological systems, the presence of an animating divine force is seen as integral to existence and is interactive through ritual and artistic practices. Marta Moreno Vega highlights that 'traditions and expressions of the African diaspora' are inspired by an African cosmological force.</w:t>
      </w:r>
      <w:r>
        <w:rPr>
          <w:vertAlign w:val="superscript"/>
        </w:rPr>
        <w:footnoteReference w:id="49"/>
      </w:r>
      <w:r>
        <w:t xml:space="preserve"> Though she coins this spiritual force 'Ase', adopting the Yoruba naming, she recognises that 'this elusive impulse continues under different names' in the Americas.</w:t>
      </w:r>
      <w:r>
        <w:rPr>
          <w:vertAlign w:val="superscript"/>
        </w:rPr>
        <w:footnoteReference w:id="50"/>
      </w:r>
      <w:r>
        <w:t xml:space="preserve">  She further indicates that within African and African-derived traditions, music, dance and visual arts are tools for interacting with divine forces.</w:t>
      </w:r>
      <w:r>
        <w:rPr>
          <w:vertAlign w:val="superscript"/>
        </w:rPr>
        <w:footnoteReference w:id="51"/>
      </w:r>
      <w:r>
        <w:t xml:space="preserve"> Further, she suggested that African cosmologies brought to the Americas shared a spiritual reliance on artistic expression as a means to 'attract, honour, and celebrate the sacred energies of nature'.</w:t>
      </w:r>
      <w:r>
        <w:rPr>
          <w:vertAlign w:val="superscript"/>
        </w:rPr>
        <w:footnoteReference w:id="52"/>
      </w:r>
      <w:r w:rsidR="00D469A6">
        <w:rPr>
          <w:lang w:val="en-US"/>
        </w:rPr>
        <w:t xml:space="preserve"> </w:t>
      </w:r>
      <w:r>
        <w:t>Similarly, Elizabeth Tonkin asserts that the costuming of the masquerade is intended to 'channel, elicit or transmit power, and so forth.'</w:t>
      </w:r>
      <w:r>
        <w:rPr>
          <w:vertAlign w:val="superscript"/>
        </w:rPr>
        <w:footnoteReference w:id="53"/>
      </w:r>
      <w:r>
        <w:t xml:space="preserve"> She accounts that this is not exclusive to the performer, but also to its observers: being perceived as 'charged with power'.</w:t>
      </w:r>
      <w:r>
        <w:rPr>
          <w:vertAlign w:val="superscript"/>
        </w:rPr>
        <w:footnoteReference w:id="54"/>
      </w:r>
      <w:r>
        <w:t xml:space="preserve"> This idea reinforces the cosmological principle of interaction and perception of divine forces. Taken together, these scholars conclude that Masquerade traditions seek to engage with divine power articulated in West African cosmologies. Through this lens, a gap emerges: the interaction of this supreme source of power in African </w:t>
      </w:r>
      <w:r>
        <w:lastRenderedPageBreak/>
        <w:t xml:space="preserve">thought is understudied in Junkanoo. To expand this scholarship, the Yoruba concept of </w:t>
      </w:r>
      <w:r>
        <w:rPr>
          <w:i/>
          <w:iCs/>
        </w:rPr>
        <w:t>Àṣẹ</w:t>
      </w:r>
      <w:r>
        <w:t xml:space="preserve">, the Akan idea of </w:t>
      </w:r>
      <w:r w:rsidR="00627C1F">
        <w:rPr>
          <w:i/>
          <w:iCs/>
        </w:rPr>
        <w:t>Sunsum</w:t>
      </w:r>
      <w:r>
        <w:t xml:space="preserve">, and the Mande notion of </w:t>
      </w:r>
      <w:r w:rsidR="00627C1F">
        <w:rPr>
          <w:i/>
          <w:iCs/>
        </w:rPr>
        <w:t>N</w:t>
      </w:r>
      <w:r>
        <w:rPr>
          <w:i/>
          <w:iCs/>
        </w:rPr>
        <w:t xml:space="preserve">yama, </w:t>
      </w:r>
      <w:r>
        <w:t xml:space="preserve">and how they articulate this divine creative force, could help understand the divine force within performance arts. </w:t>
      </w:r>
    </w:p>
    <w:p w14:paraId="0FED6F83" w14:textId="77777777" w:rsidR="00A16F79" w:rsidRDefault="00A16F79" w:rsidP="00D10039">
      <w:pPr>
        <w:pStyle w:val="Heading5"/>
        <w:spacing w:line="360" w:lineRule="auto"/>
      </w:pPr>
      <w:bookmarkStart w:id="20" w:name="_4wr3932l5zh2" w:colFirst="0" w:colLast="0"/>
      <w:bookmarkStart w:id="21" w:name="_Toc221201544"/>
      <w:bookmarkEnd w:id="20"/>
      <w:r>
        <w:t xml:space="preserve">The Yoruba: </w:t>
      </w:r>
      <w:r w:rsidRPr="00160102">
        <w:rPr>
          <w:i/>
          <w:iCs/>
        </w:rPr>
        <w:t>Àṣẹ</w:t>
      </w:r>
      <w:bookmarkEnd w:id="21"/>
      <w:r>
        <w:t xml:space="preserve"> </w:t>
      </w:r>
    </w:p>
    <w:p w14:paraId="22DBAAD7" w14:textId="477B71CC" w:rsidR="00A16F79" w:rsidRDefault="00A16F79" w:rsidP="00D10039">
      <w:pPr>
        <w:spacing w:line="360" w:lineRule="auto"/>
        <w:ind w:firstLine="720"/>
      </w:pPr>
      <w:r>
        <w:t xml:space="preserve">According to Rowland Abiodun, in Yoruba cosmology, there exists a spiritual force that is seen as omnipresent in the natural world, inhabiting all living and non-living things. The Yoruba coined the term </w:t>
      </w:r>
      <w:r>
        <w:rPr>
          <w:i/>
          <w:iCs/>
        </w:rPr>
        <w:t>Àṣẹ.</w:t>
      </w:r>
      <w:r>
        <w:t xml:space="preserve"> </w:t>
      </w:r>
      <w:r>
        <w:rPr>
          <w:vertAlign w:val="superscript"/>
        </w:rPr>
        <w:footnoteReference w:id="55"/>
      </w:r>
      <w:r>
        <w:t xml:space="preserve">Secondly, </w:t>
      </w:r>
      <w:r>
        <w:rPr>
          <w:i/>
          <w:iCs/>
        </w:rPr>
        <w:t>Àṣẹ</w:t>
      </w:r>
      <w:r>
        <w:t xml:space="preserve"> is seen as a driving force of diasporic art, inspiring African-descended artists to create art with an underlying 'traditional sacred meaning'.</w:t>
      </w:r>
      <w:r>
        <w:rPr>
          <w:vertAlign w:val="superscript"/>
        </w:rPr>
        <w:footnoteReference w:id="56"/>
      </w:r>
      <w:r>
        <w:t xml:space="preserve"> Together, this spiritual force both encompasses all of existence in a divine web and represents the underlying impulse for the diaspora to continue to create spiritually effective art forms. Baba Ifa Karade describes </w:t>
      </w:r>
      <w:r>
        <w:rPr>
          <w:i/>
          <w:iCs/>
        </w:rPr>
        <w:t>Àṣẹ</w:t>
      </w:r>
      <w:r>
        <w:t xml:space="preserve"> as the 'essence of primal power and creative potential'.</w:t>
      </w:r>
      <w:r>
        <w:rPr>
          <w:vertAlign w:val="superscript"/>
        </w:rPr>
        <w:footnoteReference w:id="57"/>
      </w:r>
      <w:r>
        <w:rPr>
          <w:i/>
          <w:iCs/>
        </w:rPr>
        <w:t xml:space="preserve"> </w:t>
      </w:r>
      <w:r>
        <w:t xml:space="preserve">According to Rowland Abiodun, </w:t>
      </w:r>
      <w:r>
        <w:rPr>
          <w:i/>
          <w:iCs/>
        </w:rPr>
        <w:t>Àṣẹ</w:t>
      </w:r>
      <w:r>
        <w:t xml:space="preserve"> charges art forms such as sounds and physical materials with a transformative energy, triggering emotional responses to those who perceive its forms.</w:t>
      </w:r>
      <w:r>
        <w:rPr>
          <w:vertAlign w:val="superscript"/>
        </w:rPr>
        <w:footnoteReference w:id="58"/>
      </w:r>
      <w:r>
        <w:t xml:space="preserve"> Both Karade and Abiodun recognise this spiritual force as integral to African art forms, serving as the underlying motivator of their creation and a charge that shapes their impact on audiences. Crucially, Henry John </w:t>
      </w:r>
      <w:r w:rsidR="00AB1CFF">
        <w:t>Drewel’s</w:t>
      </w:r>
      <w:r>
        <w:t xml:space="preserve"> work underscores the collective and participatory dimensions of </w:t>
      </w:r>
      <w:r w:rsidRPr="00160102">
        <w:rPr>
          <w:i/>
          <w:iCs/>
        </w:rPr>
        <w:t>Àṣẹ</w:t>
      </w:r>
      <w:r>
        <w:t xml:space="preserve"> in performance.  He underscores that its potency is realised through audience engagement alongside spiritually effective artworks. When a skilled artist works with materials that also possess </w:t>
      </w:r>
      <w:r w:rsidRPr="00160102">
        <w:rPr>
          <w:i/>
          <w:iCs/>
        </w:rPr>
        <w:t>Àṣẹ</w:t>
      </w:r>
      <w:r>
        <w:t xml:space="preserve">, </w:t>
      </w:r>
      <w:r>
        <w:lastRenderedPageBreak/>
        <w:t>audiences are moved bodily, emotionally, and spiritually.</w:t>
      </w:r>
      <w:r>
        <w:rPr>
          <w:vertAlign w:val="superscript"/>
        </w:rPr>
        <w:footnoteReference w:id="59"/>
      </w:r>
      <w:r>
        <w:t xml:space="preserve"> Upon achieving this awe-inspiring level of work, the form becomes imbued with even more </w:t>
      </w:r>
      <w:r>
        <w:rPr>
          <w:i/>
          <w:iCs/>
        </w:rPr>
        <w:t>Àṣẹ.</w:t>
      </w:r>
      <w:r>
        <w:rPr>
          <w:i/>
          <w:iCs/>
          <w:vertAlign w:val="superscript"/>
        </w:rPr>
        <w:footnoteReference w:id="60"/>
      </w:r>
      <w:r>
        <w:t xml:space="preserve"> His ideas assert that eliciting strong emotional reactions affords even more power. This notion frames audiences as assistants in generating </w:t>
      </w:r>
      <w:r>
        <w:rPr>
          <w:i/>
          <w:iCs/>
        </w:rPr>
        <w:t xml:space="preserve">Àṣẹ </w:t>
      </w:r>
      <w:r>
        <w:t xml:space="preserve">in art forms.  In summary, the Yoruba’s </w:t>
      </w:r>
      <w:r w:rsidRPr="00160102">
        <w:rPr>
          <w:i/>
          <w:iCs/>
        </w:rPr>
        <w:t>Àṣẹ</w:t>
      </w:r>
      <w:r>
        <w:t xml:space="preserve"> inspires diasporic art through a divine force, imbuing these inspired forms with its power and invoking strong emotional responses. Further, collective participation can amplify the potency of this force. </w:t>
      </w:r>
    </w:p>
    <w:p w14:paraId="6035C110" w14:textId="77777777" w:rsidR="00A16F79" w:rsidRDefault="00A16F79" w:rsidP="00D10039">
      <w:pPr>
        <w:pStyle w:val="Heading5"/>
        <w:spacing w:line="360" w:lineRule="auto"/>
      </w:pPr>
      <w:bookmarkStart w:id="22" w:name="_ze5mjgmlvhxn" w:colFirst="0" w:colLast="0"/>
      <w:bookmarkStart w:id="23" w:name="_Toc221201545"/>
      <w:bookmarkEnd w:id="22"/>
      <w:r>
        <w:t xml:space="preserve">The Akan: </w:t>
      </w:r>
      <w:r w:rsidRPr="00704CC4">
        <w:rPr>
          <w:i/>
          <w:iCs/>
        </w:rPr>
        <w:t>Sunsum</w:t>
      </w:r>
      <w:bookmarkEnd w:id="23"/>
      <w:r>
        <w:t xml:space="preserve"> </w:t>
      </w:r>
    </w:p>
    <w:p w14:paraId="6BCF636F" w14:textId="6EA3AF98" w:rsidR="00A16F79" w:rsidRDefault="00A16F79" w:rsidP="00D10039">
      <w:pPr>
        <w:spacing w:line="360" w:lineRule="auto"/>
        <w:ind w:firstLine="720"/>
      </w:pPr>
      <w:r>
        <w:t xml:space="preserve">A comparable understanding is found within the Akan cosmology, where all reality is permeated by </w:t>
      </w:r>
      <w:r w:rsidR="00AB1CFF">
        <w:rPr>
          <w:i/>
          <w:iCs/>
        </w:rPr>
        <w:t>Sunsum</w:t>
      </w:r>
      <w:r>
        <w:rPr>
          <w:i/>
          <w:iCs/>
        </w:rPr>
        <w:t>.</w:t>
      </w:r>
      <w:r>
        <w:t xml:space="preserve"> Kwame Gyekye asserts, like </w:t>
      </w:r>
      <w:r w:rsidRPr="00160102">
        <w:rPr>
          <w:i/>
          <w:iCs/>
        </w:rPr>
        <w:t>Àṣẹ</w:t>
      </w:r>
      <w:r>
        <w:t xml:space="preserve">, </w:t>
      </w:r>
      <w:r w:rsidR="00AB1CFF">
        <w:rPr>
          <w:i/>
          <w:iCs/>
        </w:rPr>
        <w:t>Sunsum</w:t>
      </w:r>
      <w:r>
        <w:rPr>
          <w:i/>
          <w:iCs/>
        </w:rPr>
        <w:t xml:space="preserve"> </w:t>
      </w:r>
      <w:r>
        <w:t xml:space="preserve">functions as an 'activating principle', highlighting its universal presence in the material world. </w:t>
      </w:r>
      <w:r>
        <w:rPr>
          <w:vertAlign w:val="superscript"/>
        </w:rPr>
        <w:footnoteReference w:id="61"/>
      </w:r>
      <w:r>
        <w:t xml:space="preserve"> Furthermore, </w:t>
      </w:r>
      <w:r w:rsidR="00AB1CFF">
        <w:rPr>
          <w:i/>
          <w:iCs/>
        </w:rPr>
        <w:t>Sunsum</w:t>
      </w:r>
      <w:r>
        <w:rPr>
          <w:i/>
          <w:iCs/>
        </w:rPr>
        <w:t xml:space="preserve"> </w:t>
      </w:r>
      <w:r>
        <w:t>is recognised as a component of the human being, asserting a spiritual aspect to people.</w:t>
      </w:r>
      <w:r>
        <w:rPr>
          <w:vertAlign w:val="superscript"/>
        </w:rPr>
        <w:footnoteReference w:id="62"/>
      </w:r>
      <w:r>
        <w:t xml:space="preserve"> </w:t>
      </w:r>
      <w:proofErr w:type="spellStart"/>
      <w:r w:rsidR="0056389C">
        <w:rPr>
          <w:lang w:val="en-US"/>
        </w:rPr>
        <w:t>Addionally</w:t>
      </w:r>
      <w:proofErr w:type="spellEnd"/>
      <w:r>
        <w:t xml:space="preserve">, he noted that to the Akan, </w:t>
      </w:r>
      <w:r>
        <w:rPr>
          <w:i/>
          <w:iCs/>
        </w:rPr>
        <w:t xml:space="preserve">Sunsum </w:t>
      </w:r>
      <w:r>
        <w:t>affects a concept known as '</w:t>
      </w:r>
      <w:r>
        <w:rPr>
          <w:i/>
          <w:iCs/>
        </w:rPr>
        <w:t>nyansa</w:t>
      </w:r>
      <w:r>
        <w:t>', denoting 'wisdom' but also 'skill' and 'artfulness'.</w:t>
      </w:r>
      <w:r>
        <w:rPr>
          <w:vertAlign w:val="superscript"/>
        </w:rPr>
        <w:footnoteReference w:id="63"/>
      </w:r>
      <w:r>
        <w:t xml:space="preserve"> Here, he emphasises the belief that artistic ability and wisdom are interconnected. </w:t>
      </w:r>
      <w:r w:rsidR="007D1327">
        <w:rPr>
          <w:lang w:val="en-US"/>
        </w:rPr>
        <w:t>T</w:t>
      </w:r>
      <w:r>
        <w:t xml:space="preserve">his asserts that artistic outputs are symbols of sacred knowledge. Additionally, </w:t>
      </w:r>
      <w:r>
        <w:rPr>
          <w:i/>
          <w:iCs/>
        </w:rPr>
        <w:t xml:space="preserve">Sunsum’s </w:t>
      </w:r>
      <w:r>
        <w:t xml:space="preserve">role in influencing </w:t>
      </w:r>
      <w:r>
        <w:rPr>
          <w:i/>
          <w:iCs/>
        </w:rPr>
        <w:t xml:space="preserve">Nyansa </w:t>
      </w:r>
      <w:r>
        <w:t>underscores the importance of this divine force in artistic endeavours, mirroring the Yoruba idea of</w:t>
      </w:r>
      <w:r w:rsidRPr="00160102">
        <w:rPr>
          <w:i/>
          <w:iCs/>
        </w:rPr>
        <w:t xml:space="preserve"> Àṣẹ</w:t>
      </w:r>
      <w:r>
        <w:t xml:space="preserve"> as a divine motivator of art in the diaspora. Kwasi Ampene highlights the importance of sound in </w:t>
      </w:r>
      <w:r>
        <w:lastRenderedPageBreak/>
        <w:t>ceremonies. He accounts for the procession of the 'Grand Worship', underlining that a particular drum musician is deemed the 'Creator’s Drummer' who is noted to possess divinely inspired 'artistic skills and knowledge'.</w:t>
      </w:r>
      <w:r>
        <w:rPr>
          <w:vertAlign w:val="superscript"/>
        </w:rPr>
        <w:footnoteReference w:id="64"/>
      </w:r>
      <w:r>
        <w:t xml:space="preserve"> Connecting this to the concept of </w:t>
      </w:r>
      <w:r>
        <w:rPr>
          <w:i/>
          <w:iCs/>
        </w:rPr>
        <w:t>nyansa (</w:t>
      </w:r>
      <w:r>
        <w:t xml:space="preserve">artistic prowess) and its association with </w:t>
      </w:r>
      <w:r w:rsidR="00AB1CFF">
        <w:rPr>
          <w:i/>
          <w:iCs/>
        </w:rPr>
        <w:t>Sunsum</w:t>
      </w:r>
      <w:r>
        <w:t>, this foregrounds drumming in ritual contexts as an expression of this divine force. Through this connection, he highlighted that, for the Akan, music can be seen as divinely inspired. According to Helaine K. Minkus, the Akan also recognise the power of spiritual objects ('</w:t>
      </w:r>
      <w:r>
        <w:rPr>
          <w:i/>
          <w:iCs/>
        </w:rPr>
        <w:t>suman</w:t>
      </w:r>
      <w:r>
        <w:t xml:space="preserve">'), which are imbued with </w:t>
      </w:r>
      <w:r w:rsidR="00AB1CFF">
        <w:rPr>
          <w:i/>
          <w:iCs/>
        </w:rPr>
        <w:t>Sunsum</w:t>
      </w:r>
      <w:r>
        <w:rPr>
          <w:i/>
          <w:iCs/>
        </w:rPr>
        <w:t xml:space="preserve"> </w:t>
      </w:r>
      <w:r>
        <w:t xml:space="preserve">through their chosen materials and through ceremony. </w:t>
      </w:r>
      <w:r>
        <w:rPr>
          <w:vertAlign w:val="superscript"/>
        </w:rPr>
        <w:footnoteReference w:id="65"/>
      </w:r>
      <w:r>
        <w:t xml:space="preserve"> The creation of physical art forms that are divinely infused by </w:t>
      </w:r>
      <w:r w:rsidR="00AB1CFF">
        <w:rPr>
          <w:i/>
          <w:iCs/>
        </w:rPr>
        <w:t>Sunsum</w:t>
      </w:r>
      <w:r>
        <w:t xml:space="preserve"> through the wisdom of specific materials further brings attention to the connection between </w:t>
      </w:r>
      <w:r>
        <w:rPr>
          <w:i/>
          <w:iCs/>
        </w:rPr>
        <w:t>nyansa</w:t>
      </w:r>
      <w:r>
        <w:t xml:space="preserve"> and </w:t>
      </w:r>
      <w:r w:rsidR="00AB1CFF">
        <w:rPr>
          <w:i/>
          <w:iCs/>
        </w:rPr>
        <w:t>Sunsum</w:t>
      </w:r>
      <w:r>
        <w:rPr>
          <w:i/>
          <w:iCs/>
        </w:rPr>
        <w:t>,</w:t>
      </w:r>
      <w:r>
        <w:t xml:space="preserve"> as artists need sacred wisdom behind their art forms to elicit divine power. This fact adds physical art alongside musical performance as inspirations of </w:t>
      </w:r>
      <w:r w:rsidR="00AB1CFF">
        <w:rPr>
          <w:i/>
          <w:iCs/>
        </w:rPr>
        <w:t>Sunsum</w:t>
      </w:r>
      <w:r>
        <w:t>.</w:t>
      </w:r>
      <w:r w:rsidR="00211697">
        <w:t xml:space="preserve"> </w:t>
      </w:r>
      <w:r>
        <w:t xml:space="preserve">In summary, previous scholarship has outlined that the Akan’s </w:t>
      </w:r>
      <w:r>
        <w:rPr>
          <w:i/>
          <w:iCs/>
        </w:rPr>
        <w:t>Sunsum</w:t>
      </w:r>
      <w:r>
        <w:t xml:space="preserve"> is regarded as an omnipresent force that animates the physical world. Artistic endeavours such as drumming and physical artworks can be imbued with and transmit this spiritual power. </w:t>
      </w:r>
    </w:p>
    <w:p w14:paraId="0E267C3C" w14:textId="77777777" w:rsidR="00A16F79" w:rsidRDefault="00A16F79" w:rsidP="00D10039">
      <w:pPr>
        <w:pStyle w:val="Heading5"/>
        <w:spacing w:line="360" w:lineRule="auto"/>
      </w:pPr>
      <w:bookmarkStart w:id="24" w:name="_gcsfi2ybdnhk" w:colFirst="0" w:colLast="0"/>
      <w:bookmarkStart w:id="25" w:name="_Toc221201546"/>
      <w:bookmarkEnd w:id="24"/>
      <w:r>
        <w:t xml:space="preserve">The Mande: </w:t>
      </w:r>
      <w:r w:rsidRPr="00AB1CFF">
        <w:rPr>
          <w:i/>
          <w:iCs/>
        </w:rPr>
        <w:t>Nyama</w:t>
      </w:r>
      <w:bookmarkEnd w:id="25"/>
      <w:r>
        <w:t xml:space="preserve"> </w:t>
      </w:r>
    </w:p>
    <w:p w14:paraId="7578B447" w14:textId="69FAA5B8" w:rsidR="00A16F79" w:rsidRDefault="00A16F79" w:rsidP="00D10039">
      <w:pPr>
        <w:spacing w:line="360" w:lineRule="auto"/>
        <w:ind w:firstLine="720"/>
      </w:pPr>
      <w:r>
        <w:t xml:space="preserve">Patrick McNaughton asserted that in Mande cosmology, their vital force is referred to as </w:t>
      </w:r>
      <w:r>
        <w:rPr>
          <w:i/>
          <w:iCs/>
        </w:rPr>
        <w:t>Nyama</w:t>
      </w:r>
      <w:r>
        <w:t>, the universal and animating force.</w:t>
      </w:r>
      <w:r>
        <w:rPr>
          <w:vertAlign w:val="superscript"/>
        </w:rPr>
        <w:footnoteReference w:id="66"/>
      </w:r>
      <w:r>
        <w:t xml:space="preserve">  The Mande believe that this force can be harnessed and directed to </w:t>
      </w:r>
      <w:r>
        <w:lastRenderedPageBreak/>
        <w:t xml:space="preserve">achieve goals. </w:t>
      </w:r>
      <w:r>
        <w:rPr>
          <w:vertAlign w:val="superscript"/>
        </w:rPr>
        <w:footnoteReference w:id="67"/>
      </w:r>
      <w:r>
        <w:t xml:space="preserve"> Eric Charry emphasises that </w:t>
      </w:r>
      <w:r>
        <w:rPr>
          <w:i/>
          <w:iCs/>
        </w:rPr>
        <w:t>'</w:t>
      </w:r>
      <w:r>
        <w:t>the Mande spiritual force is seen as dangerous in high concentrations</w:t>
      </w:r>
      <w:r>
        <w:rPr>
          <w:i/>
          <w:iCs/>
        </w:rPr>
        <w:t>'</w:t>
      </w:r>
      <w:r>
        <w:t>, requiring careful management.</w:t>
      </w:r>
      <w:r>
        <w:rPr>
          <w:vertAlign w:val="superscript"/>
        </w:rPr>
        <w:footnoteReference w:id="68"/>
      </w:r>
      <w:r>
        <w:t xml:space="preserve">  Therefore, as noted by Dona Richards, only specific people in their society were considered spiritually gifted enough to interact with this force.</w:t>
      </w:r>
      <w:r>
        <w:rPr>
          <w:vertAlign w:val="superscript"/>
        </w:rPr>
        <w:footnoteReference w:id="69"/>
      </w:r>
      <w:r>
        <w:t xml:space="preserve"> Musicians are considered among the gifted few, according to Charry. He notes that </w:t>
      </w:r>
      <w:r>
        <w:rPr>
          <w:i/>
          <w:iCs/>
        </w:rPr>
        <w:t>'</w:t>
      </w:r>
      <w:r>
        <w:t xml:space="preserve">musical performances are believed to release </w:t>
      </w:r>
      <w:r w:rsidR="00AB1CFF">
        <w:rPr>
          <w:i/>
          <w:iCs/>
        </w:rPr>
        <w:t>N</w:t>
      </w:r>
      <w:r>
        <w:rPr>
          <w:i/>
          <w:iCs/>
        </w:rPr>
        <w:t>yama</w:t>
      </w:r>
      <w:r>
        <w:t>, to which its performers need spiritual protection to encounter'.</w:t>
      </w:r>
      <w:r>
        <w:rPr>
          <w:vertAlign w:val="superscript"/>
        </w:rPr>
        <w:footnoteReference w:id="70"/>
      </w:r>
      <w:r>
        <w:t xml:space="preserve"> Additionally, he argues that musicians (sora) </w:t>
      </w:r>
      <w:r>
        <w:rPr>
          <w:i/>
          <w:iCs/>
        </w:rPr>
        <w:t>'</w:t>
      </w:r>
      <w:r>
        <w:t>functioned more like a priest</w:t>
      </w:r>
      <w:r>
        <w:rPr>
          <w:i/>
          <w:iCs/>
        </w:rPr>
        <w:t xml:space="preserve">,' </w:t>
      </w:r>
      <w:r>
        <w:t>acting as mediaries to this potent spiritual force.</w:t>
      </w:r>
      <w:r>
        <w:rPr>
          <w:vertAlign w:val="superscript"/>
        </w:rPr>
        <w:footnoteReference w:id="71"/>
      </w:r>
      <w:r>
        <w:t xml:space="preserve"> In this sense, musical performance functions as a spiritual technology through which </w:t>
      </w:r>
      <w:r w:rsidR="00AB1CFF">
        <w:rPr>
          <w:i/>
          <w:iCs/>
        </w:rPr>
        <w:t>N</w:t>
      </w:r>
      <w:r>
        <w:rPr>
          <w:i/>
          <w:iCs/>
        </w:rPr>
        <w:t xml:space="preserve">yama </w:t>
      </w:r>
      <w:r>
        <w:t xml:space="preserve">is activated and channelled. Further, the role of music and its performers in this spiritual capacity highlights the sacred nature of sound in its interaction with </w:t>
      </w:r>
      <w:r w:rsidR="00AB1CFF" w:rsidRPr="00160102">
        <w:rPr>
          <w:i/>
          <w:iCs/>
        </w:rPr>
        <w:t>N</w:t>
      </w:r>
      <w:r w:rsidRPr="00160102">
        <w:rPr>
          <w:i/>
          <w:iCs/>
        </w:rPr>
        <w:t>yama</w:t>
      </w:r>
      <w:r>
        <w:t xml:space="preserve"> in the Mande worldview. Importantly, MacNaughton noted that </w:t>
      </w:r>
      <w:r w:rsidR="00AB1CFF">
        <w:rPr>
          <w:i/>
          <w:iCs/>
        </w:rPr>
        <w:t>N</w:t>
      </w:r>
      <w:r>
        <w:rPr>
          <w:i/>
          <w:iCs/>
        </w:rPr>
        <w:t>yama</w:t>
      </w:r>
      <w:r>
        <w:t xml:space="preserve"> is not confined to the body of the performer. It is also embedded in material forms, </w:t>
      </w:r>
      <w:r w:rsidR="00AB1CFF">
        <w:t>like</w:t>
      </w:r>
      <w:r>
        <w:t xml:space="preserve"> </w:t>
      </w:r>
      <w:r>
        <w:rPr>
          <w:i/>
          <w:iCs/>
        </w:rPr>
        <w:t>Àṣẹ</w:t>
      </w:r>
      <w:r>
        <w:t xml:space="preserve">. McNaughton explains that </w:t>
      </w:r>
      <w:r w:rsidR="00AB1CFF">
        <w:rPr>
          <w:i/>
          <w:iCs/>
        </w:rPr>
        <w:t>N</w:t>
      </w:r>
      <w:r>
        <w:rPr>
          <w:i/>
          <w:iCs/>
        </w:rPr>
        <w:t xml:space="preserve">yama </w:t>
      </w:r>
      <w:r>
        <w:t xml:space="preserve">can be contained in wearable objects. </w:t>
      </w:r>
      <w:r>
        <w:rPr>
          <w:vertAlign w:val="superscript"/>
        </w:rPr>
        <w:footnoteReference w:id="72"/>
      </w:r>
      <w:r>
        <w:t xml:space="preserve"> Crucially, scholarship indicates that </w:t>
      </w:r>
      <w:r w:rsidR="00AB1CFF">
        <w:rPr>
          <w:i/>
          <w:iCs/>
        </w:rPr>
        <w:t>N</w:t>
      </w:r>
      <w:r>
        <w:rPr>
          <w:i/>
          <w:iCs/>
        </w:rPr>
        <w:t xml:space="preserve">yama </w:t>
      </w:r>
      <w:r>
        <w:t>does not circulate only among specialists but extends outward into the assembled community</w:t>
      </w:r>
      <w:r w:rsidR="00AB1CFF">
        <w:t xml:space="preserve">. </w:t>
      </w:r>
      <w:r>
        <w:t xml:space="preserve">Robert C. Newton describes the affective impact of </w:t>
      </w:r>
      <w:r w:rsidR="00AB1CFF">
        <w:rPr>
          <w:i/>
          <w:iCs/>
        </w:rPr>
        <w:t>N</w:t>
      </w:r>
      <w:r>
        <w:rPr>
          <w:i/>
          <w:iCs/>
        </w:rPr>
        <w:t xml:space="preserve">yama </w:t>
      </w:r>
      <w:r>
        <w:t xml:space="preserve">on audiences. He provided an account saying, 'There is an energy in Mande music that flows out of the performers and into </w:t>
      </w:r>
      <w:r>
        <w:lastRenderedPageBreak/>
        <w:t>me. It pumps me up. It makes me feel bigger than I was before'.</w:t>
      </w:r>
      <w:r>
        <w:rPr>
          <w:vertAlign w:val="superscript"/>
        </w:rPr>
        <w:footnoteReference w:id="73"/>
      </w:r>
      <w:r>
        <w:t xml:space="preserve"> This account implies that the energy of </w:t>
      </w:r>
      <w:r w:rsidR="00AB1CFF">
        <w:rPr>
          <w:i/>
          <w:iCs/>
        </w:rPr>
        <w:t>N</w:t>
      </w:r>
      <w:r>
        <w:rPr>
          <w:i/>
          <w:iCs/>
        </w:rPr>
        <w:t xml:space="preserve">yama </w:t>
      </w:r>
      <w:r>
        <w:t xml:space="preserve">is transmitted from the performer to onlookers, charging them with this force.  He also observes that the 'object of praise' can become overwhelmed by </w:t>
      </w:r>
      <w:r w:rsidR="00AB1CFF">
        <w:rPr>
          <w:i/>
          <w:iCs/>
        </w:rPr>
        <w:t>N</w:t>
      </w:r>
      <w:r>
        <w:rPr>
          <w:i/>
          <w:iCs/>
        </w:rPr>
        <w:t xml:space="preserve">yama </w:t>
      </w:r>
      <w:r>
        <w:t xml:space="preserve">through the </w:t>
      </w:r>
      <w:r>
        <w:rPr>
          <w:i/>
          <w:iCs/>
        </w:rPr>
        <w:t>'</w:t>
      </w:r>
      <w:r>
        <w:t>power and energy' directed at them from onlookers.</w:t>
      </w:r>
      <w:r>
        <w:rPr>
          <w:vertAlign w:val="superscript"/>
        </w:rPr>
        <w:footnoteReference w:id="74"/>
      </w:r>
      <w:r>
        <w:t xml:space="preserve"> This fact indicates that spectators can also transmit </w:t>
      </w:r>
      <w:r w:rsidR="00AB1CFF">
        <w:rPr>
          <w:i/>
          <w:iCs/>
        </w:rPr>
        <w:t>N</w:t>
      </w:r>
      <w:r>
        <w:rPr>
          <w:i/>
          <w:iCs/>
        </w:rPr>
        <w:t xml:space="preserve">yama </w:t>
      </w:r>
      <w:r>
        <w:t xml:space="preserve">to objects they admire. Taken together, Newton’s accounts suggest that </w:t>
      </w:r>
      <w:r w:rsidR="00AB1CFF">
        <w:rPr>
          <w:i/>
          <w:iCs/>
        </w:rPr>
        <w:t>N</w:t>
      </w:r>
      <w:r>
        <w:rPr>
          <w:i/>
          <w:iCs/>
        </w:rPr>
        <w:t xml:space="preserve">yama </w:t>
      </w:r>
      <w:r>
        <w:t xml:space="preserve">operates through a reciprocal circuit.  It is released by performers, transmitted to onlookers, and then echoed back into the performance through emotional response. In this light, crowd participation is vital to the generation and amplification of </w:t>
      </w:r>
      <w:r w:rsidR="00AB1CFF">
        <w:rPr>
          <w:i/>
          <w:iCs/>
        </w:rPr>
        <w:t>N</w:t>
      </w:r>
      <w:r>
        <w:rPr>
          <w:i/>
          <w:iCs/>
        </w:rPr>
        <w:t>yama</w:t>
      </w:r>
      <w:r>
        <w:t>.</w:t>
      </w:r>
      <w:r w:rsidR="00211697">
        <w:t xml:space="preserve"> </w:t>
      </w:r>
      <w:r>
        <w:t xml:space="preserve">Taken together, scholarship asserts that musical performance, costumes and crowd participation are understood to harness and release </w:t>
      </w:r>
      <w:r w:rsidR="009E39EA">
        <w:rPr>
          <w:i/>
          <w:iCs/>
        </w:rPr>
        <w:t>N</w:t>
      </w:r>
      <w:r>
        <w:rPr>
          <w:i/>
          <w:iCs/>
        </w:rPr>
        <w:t>yama</w:t>
      </w:r>
      <w:r>
        <w:t xml:space="preserve"> in the Mande cosmology</w:t>
      </w:r>
      <w:r>
        <w:rPr>
          <w:i/>
          <w:iCs/>
        </w:rPr>
        <w:t xml:space="preserve">. </w:t>
      </w:r>
    </w:p>
    <w:p w14:paraId="1996341C" w14:textId="3213A570" w:rsidR="00A16F79" w:rsidRPr="00211697" w:rsidRDefault="00A16F79" w:rsidP="00D10039">
      <w:pPr>
        <w:pStyle w:val="Heading4"/>
      </w:pPr>
      <w:bookmarkStart w:id="26" w:name="_mp4wve6xamx2" w:colFirst="0" w:colLast="0"/>
      <w:bookmarkStart w:id="27" w:name="_Toc221201547"/>
      <w:bookmarkEnd w:id="26"/>
      <w:r w:rsidRPr="00211697">
        <w:t>Crossing the Spiritual Plane: Art, Music, Timing and Trance</w:t>
      </w:r>
      <w:bookmarkEnd w:id="27"/>
    </w:p>
    <w:p w14:paraId="3259C561" w14:textId="561566CC" w:rsidR="00A16F79" w:rsidRDefault="00A16F79" w:rsidP="00D10039">
      <w:pPr>
        <w:spacing w:line="360" w:lineRule="auto"/>
        <w:ind w:firstLine="720"/>
      </w:pPr>
      <w:r>
        <w:t>As highlighted by Okwu, West African cosmologies also assert the existence of a spiritual domain embedded within the material world.</w:t>
      </w:r>
      <w:r>
        <w:rPr>
          <w:vertAlign w:val="superscript"/>
        </w:rPr>
        <w:footnoteReference w:id="75"/>
      </w:r>
      <w:r>
        <w:t xml:space="preserve"> Scholars such as C. N. Ubah, Peter Balonon-Rosen and John M. Janzen provide that this understanding of the universe was also specifically relevant to Igbo, Wolof and Kongo spiritual frameworks. Together, they assert that all three of their traditions recognise a spiritual domain, parallel to the land of the living.</w:t>
      </w:r>
      <w:r>
        <w:rPr>
          <w:vertAlign w:val="superscript"/>
        </w:rPr>
        <w:footnoteReference w:id="76"/>
      </w:r>
      <w:r>
        <w:t xml:space="preserve"> Further, these </w:t>
      </w:r>
      <w:r>
        <w:lastRenderedPageBreak/>
        <w:t xml:space="preserve">scholars, along with Rachel Mueller, recognise that interaction with this spiritual realm was integral to the health, fortune and well-being of the human world. Therefore, conscious attempts to connect with this realm were seen as vital to society's survival and continuation. </w:t>
      </w:r>
      <w:r>
        <w:rPr>
          <w:vertAlign w:val="superscript"/>
        </w:rPr>
        <w:footnoteReference w:id="77"/>
      </w:r>
      <w:r>
        <w:t xml:space="preserve"> Building off of this idea, Scholars of African performance traditions emphasise the importance of performance traditions such as the masquerade, which is rooted in this understanding of the universe, in which ancestors and spirits periodically return to interact with the living. Njoku argues that </w:t>
      </w:r>
      <w:r w:rsidR="009E39EA">
        <w:t>masquerades</w:t>
      </w:r>
      <w:r>
        <w:t xml:space="preserve"> are understood as ancestors themselves, making momentary visits to the human world.</w:t>
      </w:r>
      <w:r>
        <w:rPr>
          <w:vertAlign w:val="superscript"/>
        </w:rPr>
        <w:footnoteReference w:id="78"/>
      </w:r>
      <w:r>
        <w:t xml:space="preserve"> He asserts that masks and costumes are created with the intention of providing a physical form that spirits could inhabit.</w:t>
      </w:r>
      <w:r>
        <w:rPr>
          <w:vertAlign w:val="superscript"/>
        </w:rPr>
        <w:footnoteReference w:id="79"/>
      </w:r>
      <w:r>
        <w:t xml:space="preserve"> Tonkin further reinforces this perspective by noting that African mask makers and performers do not regard masks as disguises or symbolic representations, but as instruments of fundamental transformation through which the mask carrier undergoes processes of ancestor embodiment.</w:t>
      </w:r>
      <w:r>
        <w:rPr>
          <w:vertAlign w:val="superscript"/>
        </w:rPr>
        <w:footnoteReference w:id="80"/>
      </w:r>
      <w:r>
        <w:t xml:space="preserve"> Taken together, these scholars argue that masquerade performance is fundamentally a spiritual rite intended to engage the spirit world, as emphasised in African cosmologies. Following this idea, Bilby provides similar testimony regarding Junkanoo specifically. Bilby observed that Jonkonnu practices in rural areas of Jamaica </w:t>
      </w:r>
      <w:r>
        <w:lastRenderedPageBreak/>
        <w:t>intentionally interacted with ancestors, mirroring the historical accounts.</w:t>
      </w:r>
      <w:r>
        <w:rPr>
          <w:vertAlign w:val="superscript"/>
        </w:rPr>
        <w:footnoteReference w:id="81"/>
      </w:r>
      <w:r>
        <w:t xml:space="preserve"> In these cultural 'holdouts', Bilby recounted that Jonkonnu festivities were utilised as a form of communication with the ancestors for good fortune and health.</w:t>
      </w:r>
      <w:r>
        <w:rPr>
          <w:vertAlign w:val="superscript"/>
        </w:rPr>
        <w:footnoteReference w:id="82"/>
      </w:r>
      <w:r>
        <w:t xml:space="preserve"> Bilby’s observations, therefore, situate </w:t>
      </w:r>
      <w:r w:rsidR="00FA3048">
        <w:t>Jonkonnu</w:t>
      </w:r>
      <w:r>
        <w:t xml:space="preserve"> within an African cosmological framework that facilitates purposeful engagement with the spiritual realm. Drawing on the ideas of Njoku and Bilby, the Igbo, Wolof, and Kongo cosmologies provide specific frameworks that explain how connection with the spiritual realm may operate in Bahamian Junkanoo, as they all articulate different mechanisms for crossing the boundary between the mundane and spiritual realms. </w:t>
      </w:r>
    </w:p>
    <w:p w14:paraId="38F5DE59" w14:textId="77777777" w:rsidR="00A16F79" w:rsidRDefault="00A16F79" w:rsidP="00D10039">
      <w:pPr>
        <w:pStyle w:val="Heading5"/>
        <w:spacing w:line="360" w:lineRule="auto"/>
      </w:pPr>
      <w:bookmarkStart w:id="28" w:name="_cx0nh9dm26d2" w:colFirst="0" w:colLast="0"/>
      <w:bookmarkStart w:id="29" w:name="_Toc221201548"/>
      <w:bookmarkEnd w:id="28"/>
      <w:r>
        <w:t>The Igbo: Costuming and Percussion</w:t>
      </w:r>
      <w:bookmarkEnd w:id="29"/>
    </w:p>
    <w:p w14:paraId="4B5FDA71" w14:textId="77777777" w:rsidR="00A16F79" w:rsidRDefault="00A16F79" w:rsidP="00D10039">
      <w:pPr>
        <w:spacing w:line="360" w:lineRule="auto"/>
        <w:ind w:firstLine="720"/>
      </w:pPr>
      <w:r>
        <w:t>In the Igbo tradition, Herbert M. Cole and Chike Cyril Aniakor describe the worlds of spirits and humans as parallel realms that 'partake of one another' through symbols, music and dance.</w:t>
      </w:r>
      <w:r>
        <w:rPr>
          <w:vertAlign w:val="superscript"/>
        </w:rPr>
        <w:footnoteReference w:id="83"/>
      </w:r>
      <w:r>
        <w:t xml:space="preserve"> In short, the realms of humans and spirits can be connected through music, dance, and the arts. They note, as a result, masquerade (</w:t>
      </w:r>
      <w:r>
        <w:rPr>
          <w:i/>
          <w:iCs/>
        </w:rPr>
        <w:t>mmanwu</w:t>
      </w:r>
      <w:r>
        <w:t xml:space="preserve"> or</w:t>
      </w:r>
      <w:r>
        <w:rPr>
          <w:i/>
          <w:iCs/>
        </w:rPr>
        <w:t xml:space="preserve"> mmuo</w:t>
      </w:r>
      <w:r>
        <w:t>) is understood as a means for crossing this boundary between realms.</w:t>
      </w:r>
      <w:r>
        <w:rPr>
          <w:vertAlign w:val="superscript"/>
        </w:rPr>
        <w:footnoteReference w:id="84"/>
      </w:r>
      <w:r>
        <w:t xml:space="preserve"> As Bess Reed observes, masquerades are literally 'masked spirits,' through which 'the invisible spirit is made tangible' via the body of the masker.</w:t>
      </w:r>
      <w:r>
        <w:rPr>
          <w:vertAlign w:val="superscript"/>
        </w:rPr>
        <w:footnoteReference w:id="85"/>
      </w:r>
      <w:r>
        <w:t xml:space="preserve"> In this sense, masking is a cosmological reality that makes the immaterial material. Simon Ottenberg emphasises that 'putting on a mask turns a person into a spirit (</w:t>
      </w:r>
      <w:r>
        <w:rPr>
          <w:i/>
          <w:iCs/>
        </w:rPr>
        <w:t>mma</w:t>
      </w:r>
      <w:r>
        <w:t xml:space="preserve">)' and is a </w:t>
      </w:r>
      <w:r>
        <w:lastRenderedPageBreak/>
        <w:t>'conscious and deliberate attempt' to generate spiritual presence within the human performer. This transformation enables ancestors (</w:t>
      </w:r>
      <w:r>
        <w:rPr>
          <w:i/>
          <w:iCs/>
        </w:rPr>
        <w:t>ndemmà</w:t>
      </w:r>
      <w:r>
        <w:t>) to re-enter human affairs.</w:t>
      </w:r>
      <w:r>
        <w:rPr>
          <w:vertAlign w:val="superscript"/>
        </w:rPr>
        <w:footnoteReference w:id="86"/>
      </w:r>
      <w:r>
        <w:t xml:space="preserve"> Similarly, Austin C. Okigbo notes 'masquerades…mark the presence of the ancestors in human affairs,' visibly demonstrating the 'interconnection and interpenetration' of the two worlds.</w:t>
      </w:r>
      <w:r>
        <w:rPr>
          <w:vertAlign w:val="superscript"/>
        </w:rPr>
        <w:footnoteReference w:id="87"/>
      </w:r>
      <w:r>
        <w:t xml:space="preserve"> Taken together, these authors assert that costuming is not representative of spiritual presence. Instead, the spirits become a physical reality through these practices. Overall, in Igbo cosmology, masquerade costuming transforms the human body into a spiritual presence, allowing ancestors to enter the world of the living, echoing Njoku's assertions. By wearing a mask and a costume, the performer becomes a vessel for spirits to manifest physically. </w:t>
      </w:r>
    </w:p>
    <w:p w14:paraId="374C0049" w14:textId="77777777" w:rsidR="00A16F79" w:rsidRDefault="00A16F79" w:rsidP="00D10039">
      <w:pPr>
        <w:spacing w:line="360" w:lineRule="auto"/>
        <w:ind w:firstLine="720"/>
      </w:pPr>
      <w:r>
        <w:t>Secondly, music and sound intensify this crossing of planes. Glory N. Nnam described that instruments such as the ógēnè, an instrument similar to the Bahamian cowbells, are used by priests to 'call the spirit of the gods,' effectively summoning divine presence into communal space.</w:t>
      </w:r>
      <w:r>
        <w:rPr>
          <w:vertAlign w:val="superscript"/>
        </w:rPr>
        <w:footnoteReference w:id="88"/>
      </w:r>
      <w:r>
        <w:t xml:space="preserve"> In short, music, specifically percussion instruments, creates a bridge between realms through sound. Austin C. Okigbo highlighted that in Igbo festivals such as Ahiajioku (New Yam), the fusion of costuming and sound becomes particularly explicit as masquerade performances reiterate 'the presence of the ancestors in our midst', while music and dance structure performances that </w:t>
      </w:r>
      <w:r>
        <w:lastRenderedPageBreak/>
        <w:t>simultaneously express this cosmological principle.</w:t>
      </w:r>
      <w:r>
        <w:rPr>
          <w:vertAlign w:val="superscript"/>
        </w:rPr>
        <w:footnoteReference w:id="89"/>
      </w:r>
      <w:r>
        <w:t>Altogether, Igbo cosmology positions costuming and music as mechanisms through which the living, the ancestors, and other divinities continuously communicate, allowing the spiritual plane to break through.</w:t>
      </w:r>
    </w:p>
    <w:p w14:paraId="79B3C52F" w14:textId="77777777" w:rsidR="00A16F79" w:rsidRDefault="00A16F79" w:rsidP="00D10039">
      <w:pPr>
        <w:spacing w:line="360" w:lineRule="auto"/>
      </w:pPr>
    </w:p>
    <w:p w14:paraId="00A0A605" w14:textId="77777777" w:rsidR="00A16F79" w:rsidRDefault="00A16F79" w:rsidP="00D10039">
      <w:pPr>
        <w:pStyle w:val="Heading5"/>
        <w:spacing w:line="360" w:lineRule="auto"/>
      </w:pPr>
      <w:bookmarkStart w:id="30" w:name="_nnsq9b9okpot" w:colFirst="0" w:colLast="0"/>
      <w:bookmarkStart w:id="31" w:name="_Toc221201549"/>
      <w:bookmarkEnd w:id="30"/>
      <w:r>
        <w:t>The Wolof: Music and Spirit Possession</w:t>
      </w:r>
      <w:bookmarkEnd w:id="31"/>
    </w:p>
    <w:p w14:paraId="2E0DD0BB" w14:textId="77777777" w:rsidR="00A16F79" w:rsidRDefault="00A16F79" w:rsidP="00D10039">
      <w:pPr>
        <w:spacing w:before="240" w:after="240" w:line="360" w:lineRule="auto"/>
        <w:ind w:firstLine="720"/>
      </w:pPr>
      <w:r>
        <w:t xml:space="preserve">Wolof cosmology offers a complementary framework that emphasises the relationship between spirits and humans through possession and music rather than costuming. According to Rachel Mueller, central to their traditional worldview is the belief in spirits known as </w:t>
      </w:r>
      <w:r>
        <w:rPr>
          <w:i/>
          <w:iCs/>
        </w:rPr>
        <w:t>rab</w:t>
      </w:r>
      <w:r>
        <w:t>, who inhabit the spirit world yet remain active with human life.</w:t>
      </w:r>
      <w:r>
        <w:rPr>
          <w:vertAlign w:val="superscript"/>
        </w:rPr>
        <w:footnoteReference w:id="90"/>
      </w:r>
      <w:r>
        <w:t xml:space="preserve"> As described by Caitlin McKinley, a </w:t>
      </w:r>
      <w:r>
        <w:rPr>
          <w:i/>
          <w:iCs/>
        </w:rPr>
        <w:t>rab</w:t>
      </w:r>
      <w:r>
        <w:t xml:space="preserve"> can function as a protective spirit who requires sacrifice in exchange for health and well-being.</w:t>
      </w:r>
      <w:r>
        <w:rPr>
          <w:vertAlign w:val="superscript"/>
        </w:rPr>
        <w:footnoteReference w:id="91"/>
      </w:r>
      <w:r>
        <w:t xml:space="preserve"> Notably, Angelo Miramonti argues that possession represents a 'permanent contract' rather than a fleeting event, in which 'latent' possession (living with the </w:t>
      </w:r>
      <w:r>
        <w:rPr>
          <w:i/>
          <w:iCs/>
        </w:rPr>
        <w:t>rab</w:t>
      </w:r>
      <w:r>
        <w:t>) coexists with moments of 'manifest' possession during ritual performance.</w:t>
      </w:r>
      <w:r>
        <w:rPr>
          <w:vertAlign w:val="superscript"/>
        </w:rPr>
        <w:footnoteReference w:id="92"/>
      </w:r>
      <w:r>
        <w:t xml:space="preserve"> In short, he asserts that the connection between the spirit and humans is continuous. However, the spirit realm may increasingly encroach on human affairs through bursts of active possession. </w:t>
      </w:r>
    </w:p>
    <w:p w14:paraId="630D5147" w14:textId="173883EC" w:rsidR="00A16F79" w:rsidRDefault="00A16F79" w:rsidP="00D10039">
      <w:pPr>
        <w:spacing w:before="240" w:after="240" w:line="360" w:lineRule="auto"/>
        <w:ind w:firstLine="720"/>
      </w:pPr>
      <w:r>
        <w:t xml:space="preserve"> Building on this worldview, scholars explain that music and rhythm operate as primary mechanisms through which </w:t>
      </w:r>
      <w:r>
        <w:rPr>
          <w:i/>
          <w:iCs/>
        </w:rPr>
        <w:t>rab</w:t>
      </w:r>
      <w:r>
        <w:t xml:space="preserve"> are invited </w:t>
      </w:r>
      <w:r>
        <w:lastRenderedPageBreak/>
        <w:t>to the physical plane. McKinley highlighted that the rab are believed to react to 'specific chants or rhythms,' which can induce trance-like or possession states in humans. Therefore, drumming and chanting serve as methods that actively call and engage spirits. In short, sound acts as a channel between the spiritual and physical planes.</w:t>
      </w:r>
      <w:r>
        <w:rPr>
          <w:vertAlign w:val="superscript"/>
        </w:rPr>
        <w:footnoteReference w:id="93"/>
      </w:r>
      <w:r>
        <w:t xml:space="preserve"> Miramonti accounted that this communication between worlds is evident in </w:t>
      </w:r>
      <w:r>
        <w:rPr>
          <w:i/>
          <w:iCs/>
        </w:rPr>
        <w:t xml:space="preserve">Ndöp </w:t>
      </w:r>
      <w:r>
        <w:t xml:space="preserve">ceremonies, which are explicitly intended to negotiate with and appease the </w:t>
      </w:r>
      <w:r>
        <w:rPr>
          <w:i/>
          <w:iCs/>
        </w:rPr>
        <w:t>rab</w:t>
      </w:r>
      <w:r>
        <w:t>. These rituals use drumming and singing to invoke spirits and encourage their presence in the physical realm.</w:t>
      </w:r>
      <w:r>
        <w:rPr>
          <w:vertAlign w:val="superscript"/>
        </w:rPr>
        <w:footnoteReference w:id="94"/>
      </w:r>
      <w:r>
        <w:t xml:space="preserve">  As Mueller describes in an ethnographic account, 'the rab too, had been called to the circle with the rhythm of the drums' before possessing the dancer.</w:t>
      </w:r>
      <w:r>
        <w:rPr>
          <w:vertAlign w:val="superscript"/>
        </w:rPr>
        <w:footnoteReference w:id="95"/>
      </w:r>
      <w:r>
        <w:t xml:space="preserve"> This account demonstrates that music encourages the crossing of spiritual presence into the human realm. Taken together, scholarship supports that percussion could be understood as a spiritually charged technology that can open a channel for the spirit realm to enter the realm of the living. </w:t>
      </w:r>
      <w:r w:rsidR="007874D3">
        <w:rPr>
          <w:lang w:val="en-US"/>
        </w:rPr>
        <w:t>Altogether</w:t>
      </w:r>
      <w:r>
        <w:t xml:space="preserve">, scholars have concluded that Wolof cosmology sees the spiritual and physical worlds as intertwined, with </w:t>
      </w:r>
      <w:r>
        <w:rPr>
          <w:i/>
          <w:iCs/>
        </w:rPr>
        <w:t xml:space="preserve">rab </w:t>
      </w:r>
      <w:r>
        <w:t>spirits actively shaping human life. Music, especially drumming and chanting, serves as a key bridge between realms, enabling communication with spirits and moments of possession.</w:t>
      </w:r>
    </w:p>
    <w:p w14:paraId="10F3F0BE" w14:textId="77777777" w:rsidR="00A16F79" w:rsidRDefault="00A16F79" w:rsidP="00D10039">
      <w:pPr>
        <w:pStyle w:val="Heading5"/>
        <w:spacing w:line="360" w:lineRule="auto"/>
      </w:pPr>
      <w:bookmarkStart w:id="32" w:name="_4awk9w3i7ac8" w:colFirst="0" w:colLast="0"/>
      <w:bookmarkStart w:id="33" w:name="_Toc221201550"/>
      <w:bookmarkEnd w:id="32"/>
      <w:r>
        <w:t xml:space="preserve">The Kongo: </w:t>
      </w:r>
      <w:r>
        <w:rPr>
          <w:i/>
          <w:iCs/>
        </w:rPr>
        <w:t>Nkisi</w:t>
      </w:r>
      <w:r>
        <w:t xml:space="preserve"> and Sacred Timing</w:t>
      </w:r>
      <w:bookmarkEnd w:id="33"/>
    </w:p>
    <w:p w14:paraId="79676005" w14:textId="117E938F" w:rsidR="00A16F79" w:rsidRDefault="00A16F79" w:rsidP="00D10039">
      <w:pPr>
        <w:spacing w:before="240" w:after="240" w:line="360" w:lineRule="auto"/>
      </w:pPr>
      <w:r>
        <w:tab/>
        <w:t xml:space="preserve">Congo cosmology adds another dimension to this discussion. </w:t>
      </w:r>
      <w:r w:rsidR="007874D3">
        <w:rPr>
          <w:lang w:val="en-US"/>
        </w:rPr>
        <w:t>Scholars assert that t</w:t>
      </w:r>
      <w:r>
        <w:t xml:space="preserve">heir traditions focus on spiritually charged artworks and sacred timing as key components of crossing the spiritual plane. In their worldview, a vital mechanism for crossing the boundary </w:t>
      </w:r>
      <w:r>
        <w:lastRenderedPageBreak/>
        <w:t xml:space="preserve">between worlds is the </w:t>
      </w:r>
      <w:r w:rsidR="009B10C8">
        <w:rPr>
          <w:i/>
          <w:iCs/>
        </w:rPr>
        <w:t>Nkisi</w:t>
      </w:r>
      <w:r>
        <w:t xml:space="preserve">, a spiritually charged sculpture that can contain and channel spiritual forces. Robert Farris Thompson notes that 'the </w:t>
      </w:r>
      <w:r w:rsidR="009B10C8">
        <w:rPr>
          <w:i/>
          <w:iCs/>
        </w:rPr>
        <w:t>Nkisi</w:t>
      </w:r>
      <w:r>
        <w:rPr>
          <w:i/>
          <w:iCs/>
        </w:rPr>
        <w:t xml:space="preserve"> </w:t>
      </w:r>
      <w:r>
        <w:t>is an icon created that is believed to summon spirits for spiritual protection and healing'.</w:t>
      </w:r>
      <w:r>
        <w:rPr>
          <w:vertAlign w:val="superscript"/>
        </w:rPr>
        <w:footnoteReference w:id="96"/>
      </w:r>
      <w:r>
        <w:t xml:space="preserve">  Additionally, Benjamin C. Ray explains that 'the </w:t>
      </w:r>
      <w:r w:rsidR="009B10C8" w:rsidRPr="009B10C8">
        <w:rPr>
          <w:i/>
          <w:iCs/>
        </w:rPr>
        <w:t>Nkisi</w:t>
      </w:r>
      <w:r>
        <w:t xml:space="preserve"> spirit has to be contained in a material object,' such as a figurative sculpture.</w:t>
      </w:r>
      <w:r>
        <w:rPr>
          <w:vertAlign w:val="superscript"/>
        </w:rPr>
        <w:footnoteReference w:id="97"/>
      </w:r>
      <w:r>
        <w:t xml:space="preserve"> Taken together, this shows </w:t>
      </w:r>
      <w:r>
        <w:rPr>
          <w:i/>
          <w:iCs/>
        </w:rPr>
        <w:t xml:space="preserve">minkisi </w:t>
      </w:r>
      <w:r>
        <w:t xml:space="preserve">(plural of </w:t>
      </w:r>
      <w:r w:rsidR="009B10C8">
        <w:rPr>
          <w:i/>
          <w:iCs/>
        </w:rPr>
        <w:t>Nkisi</w:t>
      </w:r>
      <w:r>
        <w:rPr>
          <w:i/>
          <w:iCs/>
        </w:rPr>
        <w:t>)</w:t>
      </w:r>
      <w:r>
        <w:t xml:space="preserve"> can cross boundaries between these two worlds. Furthermore, it demonstrates that physical art forms are created to house spirits, similar to Igbo beliefs. Wyatt MacGaffey similarly describes </w:t>
      </w:r>
      <w:r>
        <w:rPr>
          <w:i/>
          <w:iCs/>
        </w:rPr>
        <w:t xml:space="preserve">minkisi </w:t>
      </w:r>
      <w:r>
        <w:t>as complex artworks that fuse specific materials to bridge the gap between realms.</w:t>
      </w:r>
      <w:r>
        <w:rPr>
          <w:vertAlign w:val="superscript"/>
        </w:rPr>
        <w:footnoteReference w:id="98"/>
      </w:r>
      <w:r>
        <w:t xml:space="preserve"> Importantly, these objects are often embellished with 'feathers, stones, sticks and beads'.</w:t>
      </w:r>
      <w:r>
        <w:rPr>
          <w:vertAlign w:val="superscript"/>
        </w:rPr>
        <w:footnoteReference w:id="99"/>
      </w:r>
      <w:r>
        <w:t xml:space="preserve"> These adornments highlight that the visual and material decorations of </w:t>
      </w:r>
      <w:r w:rsidR="009B10C8">
        <w:rPr>
          <w:i/>
          <w:iCs/>
        </w:rPr>
        <w:t>Nkisi</w:t>
      </w:r>
      <w:r>
        <w:rPr>
          <w:i/>
          <w:iCs/>
        </w:rPr>
        <w:t xml:space="preserve"> </w:t>
      </w:r>
      <w:r>
        <w:t xml:space="preserve">is a tool designed to attract and contain supernatural forces. </w:t>
      </w:r>
    </w:p>
    <w:p w14:paraId="0DDB8619" w14:textId="17A1EC87" w:rsidR="00A16F79" w:rsidRDefault="00A16F79" w:rsidP="00D10039">
      <w:pPr>
        <w:spacing w:before="240" w:after="240" w:line="360" w:lineRule="auto"/>
        <w:ind w:firstLine="720"/>
      </w:pPr>
      <w:r>
        <w:t xml:space="preserve">Secondly, Kongo cosmology also foregrounds timing as integral to reaching the spirit realm and activating the </w:t>
      </w:r>
      <w:r w:rsidR="009B10C8">
        <w:rPr>
          <w:i/>
          <w:iCs/>
        </w:rPr>
        <w:t>N</w:t>
      </w:r>
      <w:r>
        <w:rPr>
          <w:i/>
          <w:iCs/>
        </w:rPr>
        <w:t>kisi</w:t>
      </w:r>
      <w:r>
        <w:t xml:space="preserve">’s power. Thompson underscores the importance of midnight in Kongo thought. This time is considered especially potent. He highlights that at midnight, 'the sun is shining on the kingdom of the dead'. In short, this timing is crucial to crossing the boundary to the spiritual world. Thompson further notes that it is specifically at night that the power of 'the stars' is believed to enter the </w:t>
      </w:r>
      <w:r w:rsidR="009B10C8">
        <w:rPr>
          <w:i/>
          <w:iCs/>
        </w:rPr>
        <w:t>Nkisi</w:t>
      </w:r>
      <w:r>
        <w:t xml:space="preserve">, imbuing these sacred objects with heightened spiritual </w:t>
      </w:r>
      <w:r>
        <w:lastRenderedPageBreak/>
        <w:t>efficacy.</w:t>
      </w:r>
      <w:r>
        <w:rPr>
          <w:vertAlign w:val="superscript"/>
        </w:rPr>
        <w:footnoteReference w:id="100"/>
      </w:r>
      <w:r>
        <w:t xml:space="preserve"> Taken together, this logic asserts that nighttime is a prime moment when the boundary between worlds becomes more permeable and when spiritual forces are most accessible. In summary, previous scholarship has highlighted timing as integral to accessing the spirit realm in Kongo cosmology. </w:t>
      </w:r>
      <w:r>
        <w:rPr>
          <w:i/>
          <w:iCs/>
        </w:rPr>
        <w:t xml:space="preserve">Nkisi </w:t>
      </w:r>
      <w:r>
        <w:t xml:space="preserve">are sculptures believed to have the power to exist between the realms of the spiritual and the mundane. To conclude, Kongo cosmology expresses a reality of two realms: the spiritual and mundane. Their traditions highlight the importance of lavishly decorated artworks in mediating with the spirit world. Further, midnight is considered an optimal time when the boundaries of the spiritual realm are most flexible. </w:t>
      </w:r>
    </w:p>
    <w:p w14:paraId="4DFBA380" w14:textId="0233FE54" w:rsidR="00A16F79" w:rsidRPr="0047010D" w:rsidRDefault="00D410F0" w:rsidP="0047010D">
      <w:pPr>
        <w:spacing w:line="360" w:lineRule="auto"/>
        <w:ind w:firstLine="720"/>
        <w:rPr>
          <w:lang w:val="en-US"/>
        </w:rPr>
      </w:pPr>
      <w:r>
        <w:rPr>
          <w:lang w:val="en-US"/>
        </w:rPr>
        <w:t>Ultimately</w:t>
      </w:r>
      <w:r w:rsidR="00A16F79">
        <w:t xml:space="preserve">, scholars such as Njoku identify Junkanoo as a masquerade tradition. Given this classification, it is appropriate to investigate the African cosmological frameworks that underlie these traditions, including interactions with divine forces and the spiritual realm. Through this idea, the Yoruba concept of </w:t>
      </w:r>
      <w:r w:rsidR="00A16F79">
        <w:rPr>
          <w:i/>
          <w:iCs/>
        </w:rPr>
        <w:t>Àṣẹ</w:t>
      </w:r>
      <w:r w:rsidR="00A16F79">
        <w:t xml:space="preserve">, the Akan idea of </w:t>
      </w:r>
      <w:r w:rsidR="009B10C8">
        <w:rPr>
          <w:i/>
          <w:iCs/>
        </w:rPr>
        <w:t>Sunsum</w:t>
      </w:r>
      <w:r w:rsidR="00A16F79">
        <w:t xml:space="preserve">, and the Mande notion of </w:t>
      </w:r>
      <w:r w:rsidR="009B10C8">
        <w:rPr>
          <w:i/>
          <w:iCs/>
        </w:rPr>
        <w:t>N</w:t>
      </w:r>
      <w:r w:rsidR="00A16F79">
        <w:rPr>
          <w:i/>
          <w:iCs/>
        </w:rPr>
        <w:t xml:space="preserve">yama </w:t>
      </w:r>
      <w:r w:rsidR="00A16F79">
        <w:t xml:space="preserve">become relevant in discussions of the divine force that informs diasporic performance traditions. These three traditions share ideas of an omnipresent divine force that can be expressed through art, music, and crowd participation. Further, previous scholars outlined ways of interaction with the spirit realm in the Igbo, Wolof, and Kongo worldviews as potential informants for such traditions. All together, the Igbo, Wolof and Kongo outline that the spirit realm is interacted with through specific means, including music, costuming, art and optimal timing. These principles have been previously studied in alignment with African traditions and Jamaican contexts. However, these cosmological underpinnings have not been explored in relation to </w:t>
      </w:r>
      <w:r w:rsidR="00A16F79">
        <w:lastRenderedPageBreak/>
        <w:t>Bahamian Junkanoo. This gap becomes particularly relevant in ongoing scholarly discussions of Junkanoo's secular nature.</w:t>
      </w:r>
    </w:p>
    <w:p w14:paraId="49BC476E" w14:textId="77777777" w:rsidR="00A16F79" w:rsidRDefault="00A16F79" w:rsidP="00D10039">
      <w:pPr>
        <w:pStyle w:val="Heading4"/>
      </w:pPr>
      <w:bookmarkStart w:id="34" w:name="_fmf4s08fo8ex" w:colFirst="0" w:colLast="0"/>
      <w:bookmarkStart w:id="35" w:name="_Toc221201551"/>
      <w:bookmarkEnd w:id="34"/>
      <w:r>
        <w:t>Junkanoo: Sacred or Secular</w:t>
      </w:r>
      <w:bookmarkEnd w:id="35"/>
      <w:r>
        <w:t xml:space="preserve"> </w:t>
      </w:r>
    </w:p>
    <w:p w14:paraId="570D304F" w14:textId="2BAA2182" w:rsidR="00A16F79" w:rsidRDefault="00A16F79" w:rsidP="00D10039">
      <w:pPr>
        <w:spacing w:before="240" w:after="240" w:line="360" w:lineRule="auto"/>
        <w:ind w:firstLine="720"/>
      </w:pPr>
      <w:r>
        <w:t xml:space="preserve">The scholarly debate on whether modern Junkanoo is spiritual or secular is polarised.  Many scholars assert modern Junkanoo is no longer the spiritual ritual of the past. DeCosmo noted that it evolved into a 'secularised form of public resistance' for the Black people. Ultimately, after social revolutions and independence, the festival became more of a symbol of 'nationalistic pride' than a spiritual rite passed down by our African ancestors. </w:t>
      </w:r>
      <w:r>
        <w:rPr>
          <w:vertAlign w:val="superscript"/>
        </w:rPr>
        <w:footnoteReference w:id="101"/>
      </w:r>
      <w:r>
        <w:t xml:space="preserve"> Ressa Mackey attested that Junkanoo’s purpose in the modern context is primarily commercial, downplaying any spiritual elements.</w:t>
      </w:r>
      <w:r w:rsidR="00D83F91" w:rsidRPr="00D83F91">
        <w:rPr>
          <w:vertAlign w:val="superscript"/>
        </w:rPr>
        <w:t xml:space="preserve"> </w:t>
      </w:r>
      <w:r w:rsidR="00D83F91">
        <w:rPr>
          <w:vertAlign w:val="superscript"/>
        </w:rPr>
        <w:footnoteReference w:id="102"/>
      </w:r>
      <w:r w:rsidR="00D83F91">
        <w:t xml:space="preserve"> </w:t>
      </w:r>
      <w:r>
        <w:t xml:space="preserve"> Similarly, Bilby noted that other Bahamian scholars, such as Michael Craton and Clement Bethel, have also asserted the festival's secular nature. </w:t>
      </w:r>
      <w:r>
        <w:rPr>
          <w:vertAlign w:val="superscript"/>
        </w:rPr>
        <w:footnoteReference w:id="103"/>
      </w:r>
      <w:r>
        <w:t xml:space="preserve"> However, there is pushback against the framing of Junkanoo as secular. Ettienne Bowleg stands on this side of the argument. He argues that Junkanoo has a spiritually healing quality and 'touches the soul'.</w:t>
      </w:r>
      <w:r>
        <w:rPr>
          <w:vertAlign w:val="superscript"/>
        </w:rPr>
        <w:footnoteReference w:id="104"/>
      </w:r>
      <w:r>
        <w:t xml:space="preserve"> Arlene Nash Ferguson agrees, describing Junkanoo as 'soul-quenching'.</w:t>
      </w:r>
      <w:r>
        <w:rPr>
          <w:vertAlign w:val="superscript"/>
        </w:rPr>
        <w:footnoteReference w:id="105"/>
      </w:r>
      <w:r>
        <w:t xml:space="preserve"> Most notably, in his work </w:t>
      </w:r>
      <w:r>
        <w:rPr>
          <w:i/>
          <w:iCs/>
        </w:rPr>
        <w:t xml:space="preserve">Surviving Secularization, </w:t>
      </w:r>
      <w:r>
        <w:t xml:space="preserve">Bilby concluded that although the festival appears secular, it remains rooted in African religiosity. In this study, </w:t>
      </w:r>
      <w:r w:rsidR="009B10C8">
        <w:t>Bilby</w:t>
      </w:r>
      <w:r>
        <w:t xml:space="preserve"> completed fieldwork in various Caribbean </w:t>
      </w:r>
      <w:r>
        <w:lastRenderedPageBreak/>
        <w:t xml:space="preserve">nations that hold the festival, including The Bahamas. </w:t>
      </w:r>
      <w:r>
        <w:rPr>
          <w:vertAlign w:val="superscript"/>
        </w:rPr>
        <w:footnoteReference w:id="106"/>
      </w:r>
      <w:r>
        <w:t xml:space="preserve"> He noted that although The Bahamas has the 'most visible', 'most alive' version of Junkanoo in the Caribbean, the tradition seems 'to have strayed farthest from its historical roots'.</w:t>
      </w:r>
      <w:r>
        <w:rPr>
          <w:vertAlign w:val="superscript"/>
        </w:rPr>
        <w:footnoteReference w:id="107"/>
      </w:r>
      <w:r>
        <w:t xml:space="preserve"> He recorded that on the surface, Bahamian Junkanoo is the 'least ‘spiritual’' and 'most evidently ‘secular’' of all Caribbean Junkanoo festivals.</w:t>
      </w:r>
      <w:r>
        <w:rPr>
          <w:vertAlign w:val="superscript"/>
        </w:rPr>
        <w:footnoteReference w:id="108"/>
      </w:r>
      <w:r>
        <w:t xml:space="preserve"> This assertion seems to align with Junkanoo's secular argument. However, he offered 'there is evidence that at a deeply intuitive level many Bahamians have sensed, and continue to sense, something that could only be called 'spiritual' in the music, dance, and costuming of Junkanoo'.</w:t>
      </w:r>
      <w:r>
        <w:rPr>
          <w:vertAlign w:val="superscript"/>
        </w:rPr>
        <w:footnoteReference w:id="109"/>
      </w:r>
      <w:r>
        <w:t xml:space="preserve"> This conclusion shows his belief that, although he sympathises with the secular framing of Junkanoo to a degree, the festival fundamentally retains a spiritual quality. Bilby conducted his field work in The Bahamas on the island of Cat Island, motivated by the reputation of this island in its Afro-religious retentions, and informed by his early studies in Jamaica, where he found more religious versions of </w:t>
      </w:r>
      <w:r w:rsidR="00FA3048">
        <w:t>Jonkonnu</w:t>
      </w:r>
      <w:r>
        <w:t xml:space="preserve"> in more rural areas.</w:t>
      </w:r>
      <w:r>
        <w:rPr>
          <w:vertAlign w:val="superscript"/>
        </w:rPr>
        <w:footnoteReference w:id="110"/>
      </w:r>
      <w:r>
        <w:t xml:space="preserve"> While focusing on rural areas and attempting to specifically investigate older versions of Junkanoo, Bilby’s work leaves a scholastic gap. His work neglects investigating the current experiences of Junkanoo. Also, his fieldwork leaves the largest Junkanoo festival in The Bahamas, located in Nassau, understudied. Together, these scholars push back against the narrative that Junkanoo is strictly a secular event. Conclusively, scholars remain divided on whether modern Junkanoo is spiritual or secular. However, Afe Adogame asserted that to separate religiosity from the mundane is </w:t>
      </w:r>
      <w:r>
        <w:lastRenderedPageBreak/>
        <w:t>essentially a misrepresentation of African cosmological understanding.</w:t>
      </w:r>
      <w:r>
        <w:rPr>
          <w:vertAlign w:val="superscript"/>
        </w:rPr>
        <w:footnoteReference w:id="111"/>
      </w:r>
      <w:r>
        <w:t xml:space="preserve"> Here, he asserts that African philosophies do not recognise a divide between the sacred and secular. Everything is seen to have a spiritual resonance. Through this idea, he rejects framing the mundane as strictly secular and therefore, argues that Western ideas of spirituality have largely framed this debate.  In this regard, classifying Junkanoo as secular is comparatively a Eurocentric idea. As a result, this idea could be argued to overlook the African philosophical frameworks that inform this tradition.</w:t>
      </w:r>
    </w:p>
    <w:p w14:paraId="30032F60" w14:textId="77777777" w:rsidR="00A16F79" w:rsidRDefault="00A16F79" w:rsidP="00D10039">
      <w:pPr>
        <w:spacing w:before="240" w:after="240" w:line="360" w:lineRule="auto"/>
        <w:ind w:firstLine="720"/>
      </w:pPr>
      <w:r>
        <w:t xml:space="preserve"> In conclusion, scholars actively debate whether Junkanoo is secular. However, limited attention has been given to how African-derived understandings of spirituality may continue to inform contemporary Junkanoo in The Bahamas. This gap leaves the extent to which present-day practitioners experience spiritual meaning within the festival’s most active contexts inconclusive. As a result, this thesis aims to further investigate the range of this argument by engaging with the viewpoints of modern-day practitioners and their experiences with Junkanoo in The Bahamas.</w:t>
      </w:r>
    </w:p>
    <w:p w14:paraId="053D4634" w14:textId="77777777" w:rsidR="00A16F79" w:rsidRDefault="00A16F79" w:rsidP="00D10039">
      <w:pPr>
        <w:pStyle w:val="Heading4"/>
      </w:pPr>
      <w:bookmarkStart w:id="36" w:name="_5blzho7v1hy0" w:colFirst="0" w:colLast="0"/>
      <w:bookmarkStart w:id="37" w:name="_Toc221201552"/>
      <w:bookmarkEnd w:id="36"/>
      <w:r>
        <w:t>Research Gap</w:t>
      </w:r>
      <w:bookmarkEnd w:id="37"/>
    </w:p>
    <w:p w14:paraId="1ABAE194" w14:textId="1FB2B589" w:rsidR="00A16F79" w:rsidRDefault="00A16F79" w:rsidP="00D10039">
      <w:pPr>
        <w:spacing w:before="240" w:after="240" w:line="360" w:lineRule="auto"/>
        <w:ind w:firstLine="720"/>
      </w:pPr>
      <w:r>
        <w:t xml:space="preserve">Overall, the existing scholarship has covered a range of perspectives about Bahamian Junkanoo. Firstly, Junkanoo has been identified as blending a range of African spiritual traditions into one cohesive tradition in The Bahamas. The brief history of the African presence in The Bahamas was outlined, highlighting the arrival of Wolof, Mande, Akan, Igbo, Yoruba, and Kongo peoples. Based on this historical background, it was concluded that African spiritual systems were explicitly expressed through Junkanoo in earlier periods. Scholars </w:t>
      </w:r>
      <w:r>
        <w:lastRenderedPageBreak/>
        <w:t xml:space="preserve">such as Njoku highlight the connection between Junkanoo and other masquerade traditions, </w:t>
      </w:r>
      <w:r w:rsidR="009B10C8">
        <w:t>signalling</w:t>
      </w:r>
      <w:r>
        <w:t xml:space="preserve"> that this modern festival may still retain a semblance of its spiritual function. As a result, spiritual frameworks of the six ethnic groups identified by historians were outlined in connection to masquerade traditions. However, scholarly debates around this sacred nature of the modern Bahamian festival are divided. </w:t>
      </w:r>
    </w:p>
    <w:p w14:paraId="0E6CB672" w14:textId="4F8C0F70" w:rsidR="00A16F79" w:rsidRDefault="00A16F79" w:rsidP="00D10039">
      <w:pPr>
        <w:spacing w:before="240" w:after="240" w:line="360" w:lineRule="auto"/>
        <w:ind w:firstLine="720"/>
      </w:pPr>
      <w:r>
        <w:t>Across the literature, a few major gaps were identified. First, the specificity of African cosmological systems that may have contributed to Junkanoo is absent from the literature. This gap is felt both in historical and modern contexts. Secondly, the cosmological logics of wider masquerade traditions have been covered. However, the literature mainly focuses on African or other diasporic traditions. This focus has yet to be explicitly shifted to The Bahamas. As a result, the cosmological logics that inform masquerade are underexplored in Bahamian Junkanoo. Third, the modern-day Nassau-based festival is absent from previous studies</w:t>
      </w:r>
      <w:r w:rsidR="00543F17" w:rsidRPr="00543F17">
        <w:t xml:space="preserve"> </w:t>
      </w:r>
      <w:r w:rsidR="00543F17">
        <w:rPr>
          <w:lang w:val="en-US"/>
        </w:rPr>
        <w:t xml:space="preserve">surrounding spiritual experience in </w:t>
      </w:r>
      <w:r w:rsidR="00543F17">
        <w:t>Junkanoo</w:t>
      </w:r>
      <w:r>
        <w:t>. Addressing these gaps could deepen understanding of Junkanoo through an African cosmological lens. Further, covering these areas could help us better understand diasporic continuity in the modern-day Bahamas.</w:t>
      </w:r>
    </w:p>
    <w:p w14:paraId="7B9FF86B" w14:textId="77777777" w:rsidR="00A16F79" w:rsidRDefault="00000000" w:rsidP="00D10039">
      <w:pPr>
        <w:spacing w:before="240" w:after="240" w:line="360" w:lineRule="auto"/>
        <w:ind w:left="1080"/>
      </w:pPr>
      <w:r>
        <w:pict w14:anchorId="34A595E9">
          <v:rect id="_x0000_i1026" style="width:0;height:1.5pt" o:hralign="center" o:hrstd="t" o:hr="t" fillcolor="#a0a0a0" stroked="f"/>
        </w:pict>
      </w:r>
    </w:p>
    <w:p w14:paraId="430A2C3D" w14:textId="77777777" w:rsidR="00A16F79" w:rsidRDefault="00A16F79" w:rsidP="00D10039">
      <w:pPr>
        <w:pStyle w:val="Heading3"/>
        <w:spacing w:before="240" w:after="240" w:line="360" w:lineRule="auto"/>
        <w:rPr>
          <w:color w:val="000000"/>
        </w:rPr>
      </w:pPr>
      <w:bookmarkStart w:id="38" w:name="_uc7vb01rdnz9" w:colFirst="0" w:colLast="0"/>
      <w:bookmarkStart w:id="39" w:name="_Toc221201553"/>
      <w:bookmarkEnd w:id="38"/>
      <w:r>
        <w:rPr>
          <w:bCs/>
          <w:color w:val="000000"/>
        </w:rPr>
        <w:t>Methodology</w:t>
      </w:r>
      <w:bookmarkEnd w:id="39"/>
      <w:r>
        <w:rPr>
          <w:bCs/>
          <w:color w:val="000000"/>
        </w:rPr>
        <w:t xml:space="preserve"> </w:t>
      </w:r>
    </w:p>
    <w:p w14:paraId="784FF44D" w14:textId="77777777" w:rsidR="00A16F79" w:rsidRDefault="00A16F79" w:rsidP="00D10039">
      <w:pPr>
        <w:spacing w:before="280" w:line="360" w:lineRule="auto"/>
        <w:ind w:firstLine="720"/>
      </w:pPr>
      <w:r>
        <w:t xml:space="preserve">To address these gaps in the literature, an alternative framework is needed. Understandings of African traditions have historically faced many historiographical challenges. As a result, African spiritual systems are often misunderstood within Western scholarship. Identifying these issues requires understanding these systems from an insider perspective. As a result, this study adopts an Afrocentric, </w:t>
      </w:r>
      <w:r>
        <w:lastRenderedPageBreak/>
        <w:t>qualitative framework that centres on participants' perspectives and experiences.</w:t>
      </w:r>
    </w:p>
    <w:p w14:paraId="2E5C2D81" w14:textId="77777777" w:rsidR="00A16F79" w:rsidRDefault="00A16F79" w:rsidP="00D10039">
      <w:pPr>
        <w:pStyle w:val="Heading4"/>
      </w:pPr>
      <w:bookmarkStart w:id="40" w:name="_yy0ysgvdpoq3" w:colFirst="0" w:colLast="0"/>
      <w:bookmarkStart w:id="41" w:name="_Toc221201554"/>
      <w:bookmarkEnd w:id="40"/>
      <w:r>
        <w:t>Historiography and Afrocentricity</w:t>
      </w:r>
      <w:bookmarkEnd w:id="41"/>
    </w:p>
    <w:p w14:paraId="214A6756" w14:textId="74245DB3" w:rsidR="00A16F79" w:rsidRDefault="00A16F79" w:rsidP="00D10039">
      <w:pPr>
        <w:spacing w:before="240" w:after="240" w:line="360" w:lineRule="auto"/>
        <w:ind w:firstLine="720"/>
      </w:pPr>
      <w:r>
        <w:t>Significant historiographical limitations mark early scholarship on African-derived traditions in the Americas. As Melville J. Herskovits observed, 'the cultural heritage brought by them to the New World has been sketched and compared to statements commonly made regarding African societies', producing accounts written by scholars who 'lacked firsthand experience in Africa' and had 'but slight control of the source materials'.</w:t>
      </w:r>
      <w:r>
        <w:rPr>
          <w:vertAlign w:val="superscript"/>
        </w:rPr>
        <w:footnoteReference w:id="112"/>
      </w:r>
      <w:r>
        <w:t xml:space="preserve"> As a result of these outsider perspectives, African cultural traditions were frequently misrepresented. This challenge has laid a distorted foundation for how African culture has been understood within Western scholarship. This is especially problematic given the complexity of African sacred systems. Rowland Abiodun argues that African religious traditions consist of an 'enormously complex religio-aesthetic experience' that is incompatible with 'straightforward ethnographic description, translation and analysis', typical of Western frameworks.</w:t>
      </w:r>
      <w:r>
        <w:rPr>
          <w:vertAlign w:val="superscript"/>
        </w:rPr>
        <w:footnoteReference w:id="113"/>
      </w:r>
      <w:r>
        <w:t xml:space="preserve"> In short, Eurocentric theoretical lenses often flattened African cosmologies. As a result, as noted by McNaughton, these frameworks have presented African performance traditions as having 'standardized meanings and functions' and little attention to individual variation or lived perspective.</w:t>
      </w:r>
      <w:r>
        <w:rPr>
          <w:vertAlign w:val="superscript"/>
        </w:rPr>
        <w:footnoteReference w:id="114"/>
      </w:r>
      <w:r>
        <w:t xml:space="preserve"> Taken together, Abiodun and McNaughton argue that Western theoretical frameworks are insufficient for analysing African traditions. The predominance of oral tradition further complicates the </w:t>
      </w:r>
      <w:r>
        <w:lastRenderedPageBreak/>
        <w:t>historiography. Nicholas Campion highlighted that African religious knowledge was historically transmitted through ritual and embodied practice rather than sacred texts. As he suggests, this creates methodological challenges and often leaves African cosmologies subject to ethnocentrism.</w:t>
      </w:r>
      <w:r>
        <w:rPr>
          <w:vertAlign w:val="superscript"/>
        </w:rPr>
        <w:footnoteReference w:id="115"/>
      </w:r>
      <w:r>
        <w:t xml:space="preserve"> In short, a lack of firsthand written accounts has led African systems to be primarily recorded from outsider viewpoints. Taken together, outsider perspectives have historically shaped narratives about African spiritual frameworks. This challenge has led to diminished portrayals of African traditions. Therefore, the complexity and diversity of African cosmologies and traditions are often downplayed in existing literature.</w:t>
      </w:r>
    </w:p>
    <w:p w14:paraId="3E6B0DEF" w14:textId="77777777" w:rsidR="00A16F79" w:rsidRDefault="00A16F79" w:rsidP="00D10039">
      <w:pPr>
        <w:spacing w:before="240" w:after="240" w:line="360" w:lineRule="auto"/>
        <w:ind w:firstLine="720"/>
      </w:pPr>
      <w:r>
        <w:t xml:space="preserve"> These historiographical issues were further intensified by colonial Christianisation, which profoundly reshaped how African-derived practices were recorded. In The Bahamas, African ritual forms were historically framed within Christian moral categories, accepted by both Europeans and Africans alike. Carlton Turner identifies this process as 'self-negation,' defined as 'the tendency for the African Caribbean person to belittle their African heritage and valorize their European one.'</w:t>
      </w:r>
      <w:r>
        <w:rPr>
          <w:vertAlign w:val="superscript"/>
        </w:rPr>
        <w:footnoteReference w:id="116"/>
      </w:r>
      <w:r>
        <w:t xml:space="preserve"> Turner further argued that the lack of separation between church and state allowed Christian values to dictate national moral standards that reinforced Eurocentric attitudes and marginalised African retentions.</w:t>
      </w:r>
      <w:r>
        <w:rPr>
          <w:vertAlign w:val="superscript"/>
        </w:rPr>
        <w:footnoteReference w:id="117"/>
      </w:r>
      <w:r>
        <w:t xml:space="preserve"> Consequently, African cultural expressions such as Junkanoo came to be framed through Christian notions of modesty, sexuality, and 'sin'. These moral benchmarks rendered African traditions in The Bahamas as 'improper and second </w:t>
      </w:r>
      <w:r>
        <w:lastRenderedPageBreak/>
        <w:t>class at best, and evil or demonic at worst.'</w:t>
      </w:r>
      <w:r>
        <w:rPr>
          <w:vertAlign w:val="superscript"/>
        </w:rPr>
        <w:footnoteReference w:id="118"/>
      </w:r>
      <w:r>
        <w:t xml:space="preserve"> This pattern echoes the distortion of African traditions by European attitudes as outlined by Herskovits.</w:t>
      </w:r>
    </w:p>
    <w:p w14:paraId="2C024C70" w14:textId="47046E54" w:rsidR="00A16F79" w:rsidRDefault="00A16F79" w:rsidP="00D10039">
      <w:pPr>
        <w:spacing w:before="240" w:after="240" w:line="360" w:lineRule="auto"/>
        <w:ind w:firstLine="720"/>
      </w:pPr>
      <w:r>
        <w:t>The historiography of Junkanoo itself reflects these constraints. As Bilby notes, 'knowledge of this tradition, its origins, and its past significance is based almost entirely on sketchy and highly ambiguous historical accounts,' all written by European observers.</w:t>
      </w:r>
      <w:r>
        <w:rPr>
          <w:vertAlign w:val="superscript"/>
        </w:rPr>
        <w:footnoteReference w:id="119"/>
      </w:r>
      <w:r>
        <w:t xml:space="preserve"> This idea echoes the outsider narrative that has shaped scholars' understandings of African traditions. Bilby continued by noting that enslaved and enslavers 'occupied physical spaces that overlapped in many ways'. However, the latter 'remained largely ignorant of the complex cultural and spiritual realm inhabited by the former'.</w:t>
      </w:r>
      <w:r>
        <w:rPr>
          <w:vertAlign w:val="superscript"/>
        </w:rPr>
        <w:footnoteReference w:id="120"/>
      </w:r>
      <w:r>
        <w:t xml:space="preserve"> Bilby’s contribution emphasises the historical misunderstandings of </w:t>
      </w:r>
      <w:r w:rsidR="00FA3048">
        <w:t>Jonkonnu</w:t>
      </w:r>
      <w:r>
        <w:t>'s African foundations. Taken together, historiographical issues and Christian moral framing have shaped dominant understandings of African culture in the Western world, including Junkanoo.</w:t>
      </w:r>
    </w:p>
    <w:p w14:paraId="6F3B2A85" w14:textId="11599B08" w:rsidR="00A16F79" w:rsidRDefault="00A16F79" w:rsidP="00D10039">
      <w:pPr>
        <w:spacing w:before="240" w:after="240" w:line="360" w:lineRule="auto"/>
        <w:ind w:firstLine="720"/>
      </w:pPr>
      <w:r>
        <w:t>In response to these challenges, Afrocentricity offers a critical analytical alternative. As Dr Molefi Kete Asante defines it, as cited by Ama Mazama, Afrocentricity is 'the study of ideas and events from the standpoint of Africans as the key players rather than victims,' representing 'Africa asserting itself intellectually' and breaking 'the bonds of Western domination in the mind'.</w:t>
      </w:r>
      <w:r>
        <w:rPr>
          <w:vertAlign w:val="superscript"/>
        </w:rPr>
        <w:footnoteReference w:id="121"/>
      </w:r>
      <w:r>
        <w:t xml:space="preserve"> In short, Afrocentricity supports bringing insider perspectives back to the narrative when </w:t>
      </w:r>
      <w:r>
        <w:lastRenderedPageBreak/>
        <w:t xml:space="preserve">analysing African traditions.  Applied to this study, Afrocentricity re-centres Bahamians, who are largely of the African diaspora, as active producers of traditional knowledge rather than bearers of a </w:t>
      </w:r>
      <w:r w:rsidR="002C6C2A">
        <w:t>far-gone</w:t>
      </w:r>
      <w:r>
        <w:t xml:space="preserve"> </w:t>
      </w:r>
      <w:r w:rsidR="00E44B78">
        <w:t xml:space="preserve"> </w:t>
      </w:r>
      <w:r>
        <w:t>cultural past. Afrocentric scholarship places African cosmology, epistemology and aesthetics at the centre of interpretation. Ama Mazama identifies core African cultural orientations, including 'respect for tradition', 'a high level of spirituality and ethical concern', 'veneration of ancestors', and 'the unity of being'.</w:t>
      </w:r>
      <w:r>
        <w:rPr>
          <w:vertAlign w:val="superscript"/>
        </w:rPr>
        <w:footnoteReference w:id="122"/>
      </w:r>
      <w:r>
        <w:t xml:space="preserve"> From her perspective, considering these viewpoints is crucial to Afrocentricity. Further, this consideration directly contrasts the outlined challenges posed by Eurocentric perspectives. Following Mazama’s ideas, this study focuses on cultural continuity, spiritual power, and cosmological principles in Junkanoo. By adopting this Afrocentric perspective, participant narratives are interpreted within an African-derived cosmological framework rather than evaluated through Western secular or moral criteria. This method aligns with Afrocentricity’s commitment to examining African experience 'from an African perspective'.</w:t>
      </w:r>
      <w:r>
        <w:rPr>
          <w:vertAlign w:val="superscript"/>
        </w:rPr>
        <w:footnoteReference w:id="123"/>
      </w:r>
      <w:r>
        <w:t xml:space="preserve"> </w:t>
      </w:r>
    </w:p>
    <w:p w14:paraId="4BDB153F" w14:textId="77777777" w:rsidR="00A16F79" w:rsidRDefault="00A16F79" w:rsidP="00D10039">
      <w:pPr>
        <w:pStyle w:val="Heading4"/>
      </w:pPr>
      <w:bookmarkStart w:id="42" w:name="_ocrtuzw8pw4s" w:colFirst="0" w:colLast="0"/>
      <w:bookmarkStart w:id="43" w:name="_Toc221201555"/>
      <w:bookmarkEnd w:id="42"/>
      <w:r>
        <w:t>Research Design</w:t>
      </w:r>
      <w:bookmarkEnd w:id="43"/>
    </w:p>
    <w:p w14:paraId="2ECADF24" w14:textId="36E97016" w:rsidR="00A16F79" w:rsidRPr="00090F79" w:rsidRDefault="00A16F79" w:rsidP="00D10039">
      <w:pPr>
        <w:spacing w:before="280" w:line="360" w:lineRule="auto"/>
        <w:ind w:firstLine="720"/>
        <w:rPr>
          <w:lang w:val="en-US"/>
        </w:rPr>
      </w:pPr>
      <w:r>
        <w:t>Methodologically, Afrocentric methods recognise that worldview determines what constitutes knowledge and how it is produced. Mazama asserted that Afrocentric methodology must be 'centred in our experiences' and grounded in African ontology and cosmology.</w:t>
      </w:r>
      <w:r>
        <w:rPr>
          <w:vertAlign w:val="superscript"/>
        </w:rPr>
        <w:footnoteReference w:id="124"/>
      </w:r>
      <w:r>
        <w:t xml:space="preserve"> This ideology informs the study’s design. This study aims to highlight lived experience and insider perception as valid forms of knowledge. Also central to this framework is the spotlight on the </w:t>
      </w:r>
      <w:r>
        <w:lastRenderedPageBreak/>
        <w:t>spiritual. Mazama noted that Afrocentric thought understands life as animated by an indivisible spiritual essence integrating the physical and spiritual realms.</w:t>
      </w:r>
      <w:r>
        <w:rPr>
          <w:vertAlign w:val="superscript"/>
        </w:rPr>
        <w:footnoteReference w:id="125"/>
      </w:r>
      <w:r>
        <w:t xml:space="preserve"> As Norman Harris noted, as cited by Mazama, Afrocentric 'knowing is both rational and suprarational', asserting that 'knowing with one’s heart is superior to all'.</w:t>
      </w:r>
      <w:r>
        <w:rPr>
          <w:vertAlign w:val="superscript"/>
        </w:rPr>
        <w:footnoteReference w:id="126"/>
      </w:r>
      <w:r>
        <w:t xml:space="preserve"> Taken together, Harris and Mazama make it clear that Afrocentric methods should highlight lived experiences and foreground African cosmological concepts. As a result, a blend of qualitative research and comparative analysis was applied to this study, contrasting the historic marginalisation of lived experience in African contexts. Joshua D. Atkinson wrote that the qualitative methodologies 'help to gain insight into the processes involved in co-constructions of meaning, lived experiences, cultural rituals, and oppressive practices'.</w:t>
      </w:r>
      <w:r>
        <w:rPr>
          <w:vertAlign w:val="superscript"/>
        </w:rPr>
        <w:footnoteReference w:id="127"/>
      </w:r>
      <w:r>
        <w:t xml:space="preserve"> The ability of qualitative research to capture ‘lived experiences’ is integral to applying the Afrocentric framework. Additionally, African metaphysical frameworks will be studied to analyse the responses collected. By applying these Afrocentric methods, this study aims to bring African worldviews to the forefront of the narrative, using African cosmologies and modern lived experience as a lens through which to understand Junkanoo. In short, Afrocentricity provides an appropriate framework for re-examining Junkanoo in African terms. This ideology was chosen to rectify the historiographical distortions of African traditions in the Western world. </w:t>
      </w:r>
    </w:p>
    <w:p w14:paraId="37DF25F8" w14:textId="77777777" w:rsidR="00A16F79" w:rsidRDefault="00A16F79" w:rsidP="00D10039">
      <w:pPr>
        <w:spacing w:before="280" w:line="360" w:lineRule="auto"/>
        <w:ind w:firstLine="720"/>
      </w:pPr>
      <w:r>
        <w:t xml:space="preserve">Further, the design of this research is inspired by Bilby’s </w:t>
      </w:r>
      <w:r>
        <w:rPr>
          <w:i/>
          <w:iCs/>
        </w:rPr>
        <w:t>Surviving Secularization</w:t>
      </w:r>
      <w:r>
        <w:t xml:space="preserve">, which also employs qualitative methods to investigate Bahamian perspectives on Junkanoo. Drawing on Bilby’s approach, this study prioritises participants' voices and experiential </w:t>
      </w:r>
      <w:r>
        <w:lastRenderedPageBreak/>
        <w:t>accounts. However, it differs in focus, centring on the perspectives of contemporary Junkanoo performers involved in the largest Bahamian Junkanoo festival. By engaging directly with current practitioners, the study seeks to explore how African-derived cosmological principles are experienced and articulated within Junkanoo today.</w:t>
      </w:r>
    </w:p>
    <w:p w14:paraId="06C07649" w14:textId="77777777" w:rsidR="00A16F79" w:rsidRDefault="00A16F79" w:rsidP="00D10039">
      <w:pPr>
        <w:spacing w:line="360" w:lineRule="auto"/>
        <w:ind w:firstLine="720"/>
      </w:pPr>
      <w:r>
        <w:t xml:space="preserve">Lastly, focusing on cosmologies in this study also aligns with the wider scholarship of Cultural Astronomy and Astrology.  This field is largely focused on human perceptions of reality and their interactions with the universe. Uncovering the parallels between traditional African cosmologies and modern-day Junkanoo provides a new perspective on the continuity of spiritual frameworks. </w:t>
      </w:r>
    </w:p>
    <w:p w14:paraId="2086842C" w14:textId="77777777" w:rsidR="00A16F79" w:rsidRDefault="00A16F79" w:rsidP="00D10039">
      <w:pPr>
        <w:pStyle w:val="Heading4"/>
      </w:pPr>
      <w:bookmarkStart w:id="44" w:name="_aylzgai0ero6" w:colFirst="0" w:colLast="0"/>
      <w:bookmarkStart w:id="45" w:name="_Toc221201556"/>
      <w:bookmarkEnd w:id="44"/>
      <w:r>
        <w:t>Approach</w:t>
      </w:r>
      <w:bookmarkEnd w:id="45"/>
    </w:p>
    <w:p w14:paraId="6389418E" w14:textId="1E662D64" w:rsidR="00A16F79" w:rsidRDefault="00A16F79" w:rsidP="00D10039">
      <w:pPr>
        <w:spacing w:line="360" w:lineRule="auto"/>
        <w:ind w:firstLine="720"/>
      </w:pPr>
      <w:r>
        <w:t xml:space="preserve">This study approached this qualitative design through short, semi-structured interviews. Atkinson's ideas have outlined why qualitative methods were most appropriate for this study, highlighting their ability to capture respondents' personal experiences. Secondly, P. Gill </w:t>
      </w:r>
      <w:r w:rsidR="00720230">
        <w:rPr>
          <w:lang w:val="en-US"/>
        </w:rPr>
        <w:t>and others</w:t>
      </w:r>
      <w:r>
        <w:t xml:space="preserve"> outlined that 'Interviews are … most appropriate where little is already known about the study’s phenomenon or where detailed insights are required from individual participants'.</w:t>
      </w:r>
      <w:r>
        <w:rPr>
          <w:vertAlign w:val="superscript"/>
        </w:rPr>
        <w:footnoteReference w:id="128"/>
      </w:r>
      <w:r>
        <w:t xml:space="preserve"> This study falls into both categories outlined here, as the cosmological experiences of modern-day Junkanoo hinge on ideas expressed by its performers. Further, this study is uncharted territory, exploring concepts absent from existing scholarship and their connection to Junkanoo. Overall, a qualitative approach is best suited to understanding the meanings underlying the festival. More specifically, Semi-structured interviews were selected for their flexibility. Gill and others noted that 'The flexibility of this approach… allows for the </w:t>
      </w:r>
      <w:r>
        <w:lastRenderedPageBreak/>
        <w:t>discovery or elaboration of information that is important to participants'.</w:t>
      </w:r>
      <w:r>
        <w:rPr>
          <w:vertAlign w:val="superscript"/>
        </w:rPr>
        <w:footnoteReference w:id="129"/>
      </w:r>
      <w:r>
        <w:t xml:space="preserve"> Therefore, this structure allowed each question to be answered to the depth the participant felt was appropriate, enabling themes to emerge naturally from the responses and foregrounding those relevant to the focus group. This is essential, as what participants deem most important is central to understanding the worldviews behind Junkanoo and their connections to historical meanings.  Further, Hanna Kallio </w:t>
      </w:r>
      <w:r w:rsidR="00803728">
        <w:rPr>
          <w:lang w:val="en-US"/>
        </w:rPr>
        <w:t>and others</w:t>
      </w:r>
      <w:r>
        <w:t xml:space="preserve"> explained that in semi-structured interviews, 'The questions are based on previous knowledge', signalling that the questions must be aligned with previous scholarship.</w:t>
      </w:r>
      <w:r>
        <w:rPr>
          <w:vertAlign w:val="superscript"/>
        </w:rPr>
        <w:footnoteReference w:id="130"/>
      </w:r>
      <w:r>
        <w:t xml:space="preserve">  Based on th</w:t>
      </w:r>
      <w:r w:rsidR="00803728">
        <w:rPr>
          <w:lang w:val="en-US"/>
        </w:rPr>
        <w:t>is</w:t>
      </w:r>
      <w:r>
        <w:t xml:space="preserve"> outline, a set of questions was compiled from identified themes in African Masquerade traditions. Further, they emphasise that the questions provide a guide that 'should not be followed strictly', solely aiming to collect similar information from each participant. Following this guide, the number of questions posed to each participant depended on their previous responses.</w:t>
      </w:r>
      <w:r>
        <w:rPr>
          <w:vertAlign w:val="superscript"/>
        </w:rPr>
        <w:footnoteReference w:id="131"/>
      </w:r>
      <w:r>
        <w:t xml:space="preserve"> </w:t>
      </w:r>
    </w:p>
    <w:p w14:paraId="072F1377" w14:textId="1DDE26AC" w:rsidR="00A16F79" w:rsidRPr="00DD1992" w:rsidRDefault="00A16F79" w:rsidP="00DD1992">
      <w:pPr>
        <w:spacing w:line="360" w:lineRule="auto"/>
        <w:ind w:firstLine="720"/>
        <w:rPr>
          <w:lang w:val="en-US"/>
        </w:rPr>
      </w:pPr>
      <w:r>
        <w:t xml:space="preserve">Secondly, this study employed thematic analysis to analyse qualitative interview data. Virginia Braun and Victoria Clarke define thematic analysis as 'a method for identifying, analysing, and reporting patterns (themes) within data'. </w:t>
      </w:r>
      <w:r>
        <w:rPr>
          <w:vertAlign w:val="superscript"/>
        </w:rPr>
        <w:footnoteReference w:id="132"/>
      </w:r>
      <w:r>
        <w:t xml:space="preserve"> This approach was selected as it allows for the production of a 'rich and detailed, yet complex account of data', making it particularly suited to exploring participants’ lived and embodied experiences of Junkanoo and further aligning with the </w:t>
      </w:r>
      <w:r>
        <w:lastRenderedPageBreak/>
        <w:t>suggested methodology of Afrocentric methods.</w:t>
      </w:r>
      <w:r>
        <w:rPr>
          <w:vertAlign w:val="superscript"/>
        </w:rPr>
        <w:footnoteReference w:id="133"/>
      </w:r>
      <w:r>
        <w:t xml:space="preserve"> Analysis was conducted at a latent level, seeking to identify underlying meanings and cosmological assumptions shaping participants’ experiences. </w:t>
      </w:r>
      <w:r>
        <w:rPr>
          <w:vertAlign w:val="superscript"/>
        </w:rPr>
        <w:footnoteReference w:id="134"/>
      </w:r>
      <w:r>
        <w:t xml:space="preserve"> Importantly, analytic extracts were embedded within a broader interpretative narrative, which aimed to go beyond description and make an argument in relation to the research question, as suggested by Braun and Clarke.</w:t>
      </w:r>
      <w:r>
        <w:rPr>
          <w:vertAlign w:val="superscript"/>
        </w:rPr>
        <w:footnoteReference w:id="135"/>
      </w:r>
      <w:r>
        <w:t xml:space="preserve"> Overall, thematic analysis was selected because it promotes a method that can capture lived experiences and yield detailed data that reveal underlying meanings in qualitative research. These highlights of the method align perfectly with this thesis’s goal of exploring deeper meanings of the lived experience of Junkanoo. </w:t>
      </w:r>
    </w:p>
    <w:p w14:paraId="340A6E95" w14:textId="77777777" w:rsidR="00A16F79" w:rsidRDefault="00A16F79" w:rsidP="00D10039">
      <w:pPr>
        <w:spacing w:line="360" w:lineRule="auto"/>
        <w:ind w:firstLine="720"/>
      </w:pPr>
      <w:r>
        <w:t xml:space="preserve">To source participants, a select group was approached at the New Year’s Day parade to request an interview. All of these were scheduled for later due to time constraints with the impending show.  Additionally, some participants were identified through personal community networks. Further, many of these contacts recommended other Junkanoo participants to the study. Through this combination of sources, the interviews were arranged and all conducted in a mutually agreed-upon, public setting. Interviews were recorded and transcribed, and later thematically analysed. The participant pool consisted of seven participants, 4 male and 3 female. </w:t>
      </w:r>
    </w:p>
    <w:p w14:paraId="0F41265E" w14:textId="77777777" w:rsidR="00A16F79" w:rsidRDefault="00A16F79" w:rsidP="00D10039">
      <w:pPr>
        <w:pStyle w:val="Heading4"/>
      </w:pPr>
      <w:bookmarkStart w:id="46" w:name="_9lcp7diks25w" w:colFirst="0" w:colLast="0"/>
      <w:bookmarkEnd w:id="46"/>
      <w:r>
        <w:t xml:space="preserve"> </w:t>
      </w:r>
      <w:bookmarkStart w:id="47" w:name="_Toc221201557"/>
      <w:r>
        <w:t>Reflexivity</w:t>
      </w:r>
      <w:bookmarkEnd w:id="47"/>
      <w:r>
        <w:t xml:space="preserve"> </w:t>
      </w:r>
    </w:p>
    <w:p w14:paraId="5169AEA0" w14:textId="77777777" w:rsidR="00A16F79" w:rsidRDefault="00A16F79" w:rsidP="00D10039">
      <w:pPr>
        <w:spacing w:before="240" w:after="240" w:line="360" w:lineRule="auto"/>
        <w:ind w:firstLine="720"/>
      </w:pPr>
      <w:r>
        <w:t xml:space="preserve"> Sonya C. Dwyer and Jennifer L. Buckle recognise that an insider shares 'the characteristic, role, or experience under study with the </w:t>
      </w:r>
      <w:r>
        <w:lastRenderedPageBreak/>
        <w:t xml:space="preserve">participants', whereas an outsider does not. </w:t>
      </w:r>
      <w:r>
        <w:rPr>
          <w:vertAlign w:val="superscript"/>
        </w:rPr>
        <w:footnoteReference w:id="136"/>
      </w:r>
      <w:r>
        <w:t xml:space="preserve"> Therefore, this study is shaped by the researcher's dual positionality, functioning as both insider and outsider.</w:t>
      </w:r>
    </w:p>
    <w:p w14:paraId="5E5D1F18" w14:textId="5C87CFE1" w:rsidR="00A16F79" w:rsidRDefault="00A16F79" w:rsidP="00D10039">
      <w:pPr>
        <w:spacing w:before="240" w:after="240" w:line="360" w:lineRule="auto"/>
        <w:ind w:firstLine="720"/>
      </w:pPr>
      <w:r>
        <w:t xml:space="preserve"> </w:t>
      </w:r>
      <w:r w:rsidR="006E6C7A">
        <w:t>First</w:t>
      </w:r>
      <w:r>
        <w:t xml:space="preserve">, the researcher serves as an insider as a Bahamian, sharing a cultural background with the participants. </w:t>
      </w:r>
      <w:r w:rsidR="00136C87" w:rsidRPr="00136C87">
        <w:t xml:space="preserve">Gagan Chhabra </w:t>
      </w:r>
      <w:r>
        <w:t>noted that insiders benefit from 'understanding of the history, culture and social life' of their study group.</w:t>
      </w:r>
      <w:r>
        <w:rPr>
          <w:vertAlign w:val="superscript"/>
        </w:rPr>
        <w:footnoteReference w:id="137"/>
      </w:r>
      <w:r>
        <w:t xml:space="preserve"> Therefore, this perspective allows the researcher to investigate a cultural practice they are familiar with and connected to. This position could provide ease of understanding of cultural references and a firsthand perspective on the specificities of the festival’s functions. As outlined by Dwyer and Buckle, 'This insider role status frequently allows researchers more rapid and more complete acceptance by their participants. Therefore, participants are typically more open with researchers so that there may be a greater depth to the data gathered.'</w:t>
      </w:r>
      <w:r>
        <w:rPr>
          <w:vertAlign w:val="superscript"/>
        </w:rPr>
        <w:footnoteReference w:id="138"/>
      </w:r>
      <w:r>
        <w:t xml:space="preserve"> Therefore, close cultural proximity to these festivities may foster relatability among participants, allowing them to express themes that may be misunderstood from an outsider perspective. Dwyer and Buckle highlighted that insider positivity could present challenges. For example, they highlighted that 'although the researcher might be part of the culture under study, he or she might not understand the subculture'.</w:t>
      </w:r>
      <w:r>
        <w:rPr>
          <w:vertAlign w:val="superscript"/>
        </w:rPr>
        <w:footnoteReference w:id="139"/>
      </w:r>
      <w:r>
        <w:t xml:space="preserve"> Further, they noted that 'It is possible that the participant will make assumptions of similarity and therefore fail to explain their individual experience fully. It is also possible that </w:t>
      </w:r>
      <w:r>
        <w:lastRenderedPageBreak/>
        <w:t>the researcher’s perceptions might be clouded by his or her personal experience and that as a member of the group he or she will have difficulty separating it from that of the participants.'</w:t>
      </w:r>
      <w:r>
        <w:rPr>
          <w:vertAlign w:val="superscript"/>
        </w:rPr>
        <w:footnoteReference w:id="140"/>
      </w:r>
      <w:r>
        <w:t xml:space="preserve"> To mitigate these challenges, participants' perspectives were foregrounded over those of the researchers. Further, clarifying questions were continually asked in the interview to ensure all context was provided.</w:t>
      </w:r>
    </w:p>
    <w:p w14:paraId="357EB5EF" w14:textId="5A23D22F" w:rsidR="00A16F79" w:rsidRDefault="00A16F79" w:rsidP="00D10039">
      <w:pPr>
        <w:spacing w:before="240" w:after="240" w:line="360" w:lineRule="auto"/>
        <w:ind w:firstLine="720"/>
      </w:pPr>
      <w:r>
        <w:t xml:space="preserve">On the other hand, the researcher functions as an outsider in a few respects.  Firstly, they have no firsthand experience as a Junkanoo performer. </w:t>
      </w:r>
      <w:r w:rsidR="00B27C5C">
        <w:rPr>
          <w:lang w:val="en-US"/>
        </w:rPr>
        <w:t>Therefore</w:t>
      </w:r>
      <w:r>
        <w:t xml:space="preserve">, specific references to Junkanoo practice may be overlooked. Secondly, the researcher is an outsider to African cosmological systems. As The Bahamas is primarily a Christian nation, exposure to African philosophy </w:t>
      </w:r>
      <w:r w:rsidR="006E6C7A">
        <w:t>is</w:t>
      </w:r>
      <w:r>
        <w:t xml:space="preserve"> limited. As an outsider to these traditions, there is a risk of misunderstanding their complexity. Additionally, there is a heavy reliance on literature describing these systems, which has been identified as often containing its own biases.   Christina Chavez notes that one of the main challenges of this positionality is 'the imposition of the researcher’s values, beliefs, and perceptions on the lives of participants, which may result in a positivistic representation and interpretation'.</w:t>
      </w:r>
      <w:r>
        <w:rPr>
          <w:vertAlign w:val="superscript"/>
        </w:rPr>
        <w:footnoteReference w:id="141"/>
      </w:r>
      <w:r w:rsidR="00C16F42" w:rsidRPr="00C16F42">
        <w:t xml:space="preserve"> </w:t>
      </w:r>
      <w:r w:rsidR="00C16F42">
        <w:t xml:space="preserve">This positionality could pose challenges in assuming experiences not personally lived </w:t>
      </w:r>
      <w:r>
        <w:t xml:space="preserve">Therefore, care must be taken to give participants' accounts precedence in interpreting the data they present. To smooth over these issues, participant narratives were foregrounded in the analysis. Further, the researcher engaged with a wide range of literature on each tradition, attempting to provide varied accounts of each idea. This approach aims to convey a deeper understanding of these traditions by foregrounding multiple perspectives on the same subject. On the other </w:t>
      </w:r>
      <w:r>
        <w:lastRenderedPageBreak/>
        <w:t>hand, outsiders, as noted by Chhabra, 'experience more freedom from particularistic expectations and group loyalties, which facilitates them to ask novel questions and challenge accepted explanations'. Therefore, this position can be advantageous in changing the narratives on Junkanoo through innovative inquiry.</w:t>
      </w:r>
      <w:r>
        <w:rPr>
          <w:vertAlign w:val="superscript"/>
        </w:rPr>
        <w:footnoteReference w:id="142"/>
      </w:r>
      <w:r>
        <w:t xml:space="preserve">   </w:t>
      </w:r>
    </w:p>
    <w:p w14:paraId="59165FF9" w14:textId="77777777" w:rsidR="00A16F79" w:rsidRDefault="00A16F79" w:rsidP="00D10039">
      <w:pPr>
        <w:spacing w:before="240" w:after="240" w:line="360" w:lineRule="auto"/>
        <w:ind w:firstLine="720"/>
      </w:pPr>
      <w:r>
        <w:t xml:space="preserve"> In conclusion, the researcher displays both insider and outsider perspectives. However, caution relevant to these perspectives was considered and applied to maintain reflexivity throughout the process. </w:t>
      </w:r>
    </w:p>
    <w:p w14:paraId="4A6CBE9B" w14:textId="77777777" w:rsidR="00A16F79" w:rsidRDefault="00A16F79" w:rsidP="00D10039">
      <w:pPr>
        <w:pStyle w:val="Heading4"/>
      </w:pPr>
      <w:bookmarkStart w:id="48" w:name="_rbwlnudeyxyg" w:colFirst="0" w:colLast="0"/>
      <w:bookmarkStart w:id="49" w:name="_Toc221201558"/>
      <w:bookmarkEnd w:id="48"/>
      <w:r>
        <w:t>Limitations</w:t>
      </w:r>
      <w:bookmarkEnd w:id="49"/>
    </w:p>
    <w:p w14:paraId="48D91068" w14:textId="00EC6536" w:rsidR="00A16F79" w:rsidRDefault="00A16F79" w:rsidP="00D10039">
      <w:pPr>
        <w:spacing w:line="360" w:lineRule="auto"/>
        <w:ind w:firstLine="720"/>
      </w:pPr>
      <w:r>
        <w:t>This study faces several limitations. Firstly, the historiographical challenges outlined pose a significant concern for this study. Distortions in the records of African traditions may make it difficult to find relevant, accurately representative literature on these traditions. Additionally, the majority of the literature engaged was recorded after the establishment of the slave trade in The Bahamas. As a result, more modern African philosophies may have evolved from the ideas originally imported to The Bahamas during the era of slavery. Further, as Okorie Igodo E</w:t>
      </w:r>
      <w:r w:rsidR="0051019D">
        <w:t>z</w:t>
      </w:r>
      <w:r>
        <w:t>e displayed, Christianisation is a challenge to traditional African spirituality, similar to in Caribbean contexts.</w:t>
      </w:r>
      <w:r>
        <w:rPr>
          <w:vertAlign w:val="superscript"/>
        </w:rPr>
        <w:footnoteReference w:id="143"/>
      </w:r>
      <w:r>
        <w:t xml:space="preserve"> This idea indicates that studying modern forms of African thought, where historical accounts are limited, may fail to present a worldview unskewed by Christian hybridisation. Together, establishing the African cosmologies may prove difficult. To mitigate these limitations, engaging with a range of literature provides the best course of </w:t>
      </w:r>
      <w:r>
        <w:lastRenderedPageBreak/>
        <w:t xml:space="preserve">corrective action. Further, African scholars were prioritised wherever possible. </w:t>
      </w:r>
    </w:p>
    <w:p w14:paraId="4A57464A" w14:textId="4D2CA4C6" w:rsidR="00A16F79" w:rsidRDefault="00A16F79" w:rsidP="00D10039">
      <w:pPr>
        <w:spacing w:line="360" w:lineRule="auto"/>
        <w:ind w:firstLine="720"/>
      </w:pPr>
      <w:r>
        <w:t xml:space="preserve">Secondly, the sample size in this study was small, consisting of only seven participants. This number does not represent the full diversity of </w:t>
      </w:r>
      <w:r w:rsidR="00CA266A">
        <w:t>Junkanoo</w:t>
      </w:r>
      <w:r>
        <w:t xml:space="preserve"> participation in The Bahamas. Further, the majority of participants were affiliated with A-division Junkanoo groups. This may privilege perspectives associated with larger, better-funded groups. As a result, the experience of smaller Junkanoo groups remains underrepresented.</w:t>
      </w:r>
    </w:p>
    <w:p w14:paraId="0769B3FD" w14:textId="701AA7B6" w:rsidR="00A16F79" w:rsidRPr="005E23DE" w:rsidRDefault="00A16F79" w:rsidP="005E23DE">
      <w:pPr>
        <w:spacing w:line="360" w:lineRule="auto"/>
        <w:ind w:firstLine="720"/>
        <w:rPr>
          <w:lang w:val="en-US"/>
        </w:rPr>
      </w:pPr>
      <w:r>
        <w:t xml:space="preserve"> Lastly, time constraints and access to participants limited the scope of the recruitment process. Direct networks were restricted due to the researcher's lack of participation in Junkanoo. As a result, some participants were recruited through recommendations, which may have influenced the range of perspectives included. Also, fieldwork was conducted over one week to allow sufficient time for analysis before submission, further limiting the range of sampling. Despite these limitations, the study’s emphasis on lived experiences requires depth over breadth. Therefore, the limitations regarding scope have little impact on the overall findings.  </w:t>
      </w:r>
    </w:p>
    <w:p w14:paraId="7D2A93C0" w14:textId="77777777" w:rsidR="00A16F79" w:rsidRDefault="00A16F79" w:rsidP="00D10039">
      <w:pPr>
        <w:pStyle w:val="Heading4"/>
      </w:pPr>
      <w:bookmarkStart w:id="50" w:name="_ilow1vwp18xz" w:colFirst="0" w:colLast="0"/>
      <w:bookmarkStart w:id="51" w:name="_Toc221201559"/>
      <w:bookmarkEnd w:id="50"/>
      <w:r>
        <w:t>Ethics</w:t>
      </w:r>
      <w:bookmarkEnd w:id="51"/>
    </w:p>
    <w:p w14:paraId="0B79E1E1" w14:textId="12DD1CB1" w:rsidR="00A16F79" w:rsidRDefault="00A16F79" w:rsidP="00D10039">
      <w:pPr>
        <w:spacing w:line="360" w:lineRule="auto"/>
        <w:ind w:firstLine="720"/>
      </w:pPr>
      <w:r>
        <w:t>Ethical approval was obtained before data collection for this study. All participants provided informed consent and were clearly informed</w:t>
      </w:r>
      <w:r w:rsidR="00875A4F">
        <w:t xml:space="preserve"> that their participation was completely</w:t>
      </w:r>
      <w:r>
        <w:t xml:space="preserve"> voluntary and </w:t>
      </w:r>
      <w:r w:rsidR="00875A4F">
        <w:t>they reserved the</w:t>
      </w:r>
      <w:r>
        <w:t xml:space="preserve"> right to withdraw at any time. Care was taken to ensure respectful engagement with participants' responses, allowing them to determine how much they wished to share. The anonymity and confidentiality of all participants were maintained throughout the study, and all data collected were securely stored.  Pseudonyms were assigned to all participants, and any potentially identifying details relating to specific groups, locations, or events were removed or </w:t>
      </w:r>
      <w:r>
        <w:lastRenderedPageBreak/>
        <w:t>generalised within transcripts and within the thesis. Confidentiality was upheld by ensuring that only the researcher had access to participants’ identities and raw interview data. All audio recordings and transcripts were stored on password-protected devices or cloud storage and were not shared with anyone outside the researcher. These measures were implemented to protect participants from potential harm, ensure informed participation, and maintain ethical trust between the researcher and the Junkanoo community.</w:t>
      </w:r>
    </w:p>
    <w:p w14:paraId="3EAD949B" w14:textId="4321D348" w:rsidR="00A16F79" w:rsidRDefault="00A16F79" w:rsidP="00D10039">
      <w:pPr>
        <w:spacing w:line="360" w:lineRule="auto"/>
        <w:ind w:firstLine="720"/>
      </w:pPr>
      <w:r>
        <w:t xml:space="preserve">To conclude, this methodology establishes a framework for engaging Junkanoo as a living tradition rather than a purely historical one. From here, these theoretical frameworks will be utilised to highlight participant narratives and compare them to African cosmological principles. Through this analysis, the continuation of these principles will be explored through the context of contemporary Bahamian </w:t>
      </w:r>
      <w:r w:rsidR="00E04B53">
        <w:t>Junkanoo</w:t>
      </w:r>
      <w:r>
        <w:t xml:space="preserve">. </w:t>
      </w:r>
    </w:p>
    <w:p w14:paraId="242AD36E" w14:textId="77777777" w:rsidR="00A16F79" w:rsidRDefault="00000000" w:rsidP="00D10039">
      <w:pPr>
        <w:spacing w:before="240" w:after="240" w:line="360" w:lineRule="auto"/>
        <w:ind w:left="1080"/>
      </w:pPr>
      <w:r>
        <w:pict w14:anchorId="4F74EA5A">
          <v:rect id="_x0000_i1027" style="width:0;height:1.5pt" o:hralign="center" o:hrstd="t" o:hr="t" fillcolor="#a0a0a0" stroked="f"/>
        </w:pict>
      </w:r>
    </w:p>
    <w:p w14:paraId="19FDE3A0" w14:textId="77777777" w:rsidR="00A16F79" w:rsidRDefault="00A16F79" w:rsidP="00D10039">
      <w:pPr>
        <w:pStyle w:val="Heading2"/>
        <w:keepNext w:val="0"/>
        <w:keepLines w:val="0"/>
        <w:spacing w:line="360" w:lineRule="auto"/>
      </w:pPr>
      <w:bookmarkStart w:id="52" w:name="_cv6vcsfda2tr" w:colFirst="0" w:colLast="0"/>
      <w:bookmarkStart w:id="53" w:name="_Toc221201560"/>
      <w:bookmarkEnd w:id="52"/>
      <w:r>
        <w:rPr>
          <w:bCs/>
          <w:sz w:val="34"/>
          <w:szCs w:val="34"/>
        </w:rPr>
        <w:t>Discussion</w:t>
      </w:r>
      <w:bookmarkEnd w:id="53"/>
    </w:p>
    <w:p w14:paraId="3C124199" w14:textId="5BD84ABE" w:rsidR="00A16F79" w:rsidRDefault="00A16F79" w:rsidP="00D10039">
      <w:pPr>
        <w:spacing w:before="240" w:after="240" w:line="360" w:lineRule="auto"/>
        <w:ind w:firstLine="720"/>
      </w:pPr>
      <w:r>
        <w:t xml:space="preserve">Junkanoo has consistently been positioned within African diasporic masquerade traditions, and scholars such as DeCosmo have established the festival’s foundations in African-derived religious and ritual practices. At the same time, debates around whether modern Junkanoo remains spiritual or has become predominantly secular continue to dominate the field. Bilby notably asserted that although the festival appears least 'spiritual' in The Bahamas, many practitioners still intuitively experience something that could only be described as spiritual within its music, movement and costuming. Taking debate into account, the discussion that follows turns to the accounts of contemporary Junkanoo participants. Rather than approaching Junkanoo’s spiritual nature solely as part of history, the </w:t>
      </w:r>
      <w:r>
        <w:lastRenderedPageBreak/>
        <w:t xml:space="preserve">analysis foregrounds how performers themselves describe power, transformation, and connection within the parade. These lived experiences are then compared with African cosmological frameworks that recur across the literature: the Yoruba concept of </w:t>
      </w:r>
      <w:r>
        <w:rPr>
          <w:i/>
          <w:iCs/>
        </w:rPr>
        <w:t>Àṣẹ</w:t>
      </w:r>
      <w:r>
        <w:t xml:space="preserve">, the Akan principle of </w:t>
      </w:r>
      <w:r w:rsidR="00B671AB">
        <w:rPr>
          <w:i/>
          <w:iCs/>
        </w:rPr>
        <w:t>Sunsum</w:t>
      </w:r>
      <w:r>
        <w:t xml:space="preserve">, and the Mande notion of </w:t>
      </w:r>
      <w:r w:rsidR="00B671AB">
        <w:rPr>
          <w:i/>
          <w:iCs/>
        </w:rPr>
        <w:t>N</w:t>
      </w:r>
      <w:r>
        <w:rPr>
          <w:i/>
          <w:iCs/>
        </w:rPr>
        <w:t>yama</w:t>
      </w:r>
      <w:r>
        <w:t>, alongside Igbo, Wolof and Kongo ideas of crossing between the spiritual and material realms. Through this lens, participant narratives are treated as expressions of how power is felt, circulated, and activated through sound, costume, timing, and collective presence. In doing so, the discussion explores whether contemporary Junkanoo may still operate according to African cosmological logics, even when these are no longer explicitly named as 'religious' within a modern Bahamian context.</w:t>
      </w:r>
    </w:p>
    <w:p w14:paraId="236B6792" w14:textId="77777777" w:rsidR="00A16F79" w:rsidRDefault="00A16F79" w:rsidP="00D10039">
      <w:pPr>
        <w:pStyle w:val="Heading3"/>
        <w:keepNext w:val="0"/>
        <w:keepLines w:val="0"/>
        <w:spacing w:line="360" w:lineRule="auto"/>
      </w:pPr>
      <w:bookmarkStart w:id="54" w:name="_em07j3wjehyz" w:colFirst="0" w:colLast="0"/>
      <w:bookmarkEnd w:id="54"/>
      <w:r>
        <w:t xml:space="preserve"> </w:t>
      </w:r>
      <w:bookmarkStart w:id="55" w:name="_Toc221201561"/>
      <w:r w:rsidRPr="00B671AB">
        <w:rPr>
          <w:i/>
          <w:iCs/>
        </w:rPr>
        <w:t>Àṣẹ, Sunsum</w:t>
      </w:r>
      <w:r>
        <w:t xml:space="preserve"> and </w:t>
      </w:r>
      <w:r w:rsidRPr="00B671AB">
        <w:rPr>
          <w:i/>
          <w:iCs/>
        </w:rPr>
        <w:t>Nyama</w:t>
      </w:r>
      <w:r>
        <w:t>: Divine Creative Forces</w:t>
      </w:r>
      <w:bookmarkEnd w:id="55"/>
      <w:r>
        <w:t xml:space="preserve"> </w:t>
      </w:r>
    </w:p>
    <w:p w14:paraId="0E6B8115" w14:textId="1818CC5E" w:rsidR="00A16F79" w:rsidRPr="00A26BF6" w:rsidRDefault="00A16F79" w:rsidP="00D10039">
      <w:pPr>
        <w:spacing w:line="360" w:lineRule="auto"/>
        <w:rPr>
          <w:lang w:val="en-US"/>
        </w:rPr>
      </w:pPr>
      <w:r>
        <w:tab/>
        <w:t xml:space="preserve">Drawing on the scholarship of </w:t>
      </w:r>
      <w:r>
        <w:rPr>
          <w:i/>
          <w:iCs/>
        </w:rPr>
        <w:t xml:space="preserve">Àṣẹ, Sunsum </w:t>
      </w:r>
      <w:r>
        <w:t xml:space="preserve">and </w:t>
      </w:r>
      <w:r>
        <w:rPr>
          <w:i/>
          <w:iCs/>
        </w:rPr>
        <w:t xml:space="preserve">Nyama, </w:t>
      </w:r>
      <w:r>
        <w:t>Junkanoo’s music, costuming, and crowd can be identified as expressions of a divine force on a surface level. However, spirituality goes beyond aesthetics. Therefore, the narratives of modern-day Junkanooers and their views on these elements of Junkanoo provide a crucial component in understanding the persistence of this force in the modern context.  As noted by Abiodun, within Afro-American contexts, this force often became implicit rather than explicitly named, manifesting instead as 'spirit', 'power' or an intense emotional charge felt within performance spaces.</w:t>
      </w:r>
      <w:r>
        <w:rPr>
          <w:vertAlign w:val="superscript"/>
        </w:rPr>
        <w:footnoteReference w:id="144"/>
      </w:r>
      <w:r>
        <w:t xml:space="preserve"> Nevertheless, Vega notes these forces remain recognisable as 'the element that causes artistic creation to come alive'.</w:t>
      </w:r>
      <w:r>
        <w:rPr>
          <w:vertAlign w:val="superscript"/>
        </w:rPr>
        <w:footnoteReference w:id="145"/>
      </w:r>
      <w:r>
        <w:t xml:space="preserve">Within the framework of Abiodun and Vega, an investigation into this force would entail analysing Junkanoo </w:t>
      </w:r>
      <w:r>
        <w:lastRenderedPageBreak/>
        <w:t>participants' responses to determine whether they experience the ‘power’ or emotional charges in the presence of Junkanoo’s artistic elements, including music, costumes and crowd participation.</w:t>
      </w:r>
    </w:p>
    <w:p w14:paraId="4D43BA3A" w14:textId="77777777" w:rsidR="00A16F79" w:rsidRDefault="00A16F79" w:rsidP="00D10039">
      <w:pPr>
        <w:pStyle w:val="Heading5"/>
        <w:spacing w:line="360" w:lineRule="auto"/>
        <w:rPr>
          <w:color w:val="000000"/>
        </w:rPr>
      </w:pPr>
      <w:bookmarkStart w:id="56" w:name="_7x4modwybhts" w:colFirst="0" w:colLast="0"/>
      <w:bookmarkStart w:id="57" w:name="_Toc221201562"/>
      <w:bookmarkEnd w:id="56"/>
      <w:r>
        <w:rPr>
          <w:color w:val="000000"/>
        </w:rPr>
        <w:t>Music and Embodied Power</w:t>
      </w:r>
      <w:bookmarkEnd w:id="57"/>
      <w:r>
        <w:rPr>
          <w:color w:val="000000"/>
        </w:rPr>
        <w:t xml:space="preserve"> </w:t>
      </w:r>
    </w:p>
    <w:p w14:paraId="3A4C145E" w14:textId="240F168A" w:rsidR="00A16F79" w:rsidRDefault="00A16F79" w:rsidP="00D10039">
      <w:pPr>
        <w:spacing w:before="240" w:after="240" w:line="360" w:lineRule="auto"/>
        <w:ind w:firstLine="720"/>
      </w:pPr>
      <w:r>
        <w:t>Through participant perspectives, sound becomes a primary site for experiencing strong emotions in performance. Firstly, participants describe Junkanoo music as a powerful and affective force. For example, Participant 5 described a particularly powerful moment inspired by sound. They describe that 'When the brass comes in at the beginning of the song, and they sound so good, so loud and so clear… It’s like an overwhelming feeling’.</w:t>
      </w:r>
      <w:r>
        <w:rPr>
          <w:vertAlign w:val="superscript"/>
        </w:rPr>
        <w:footnoteReference w:id="146"/>
      </w:r>
      <w:r>
        <w:t xml:space="preserve"> Similarly, Participant 4 noted that 'there’s a completely different feeling when you rush to Junkanoo music.'</w:t>
      </w:r>
      <w:r>
        <w:rPr>
          <w:vertAlign w:val="superscript"/>
        </w:rPr>
        <w:footnoteReference w:id="147"/>
      </w:r>
      <w:r>
        <w:t xml:space="preserve"> Further supporting this perspective, Participant 7 reflected that when 'the backline [drumming section] just hittin right and then the brass just playing so sweet… You just feel euphoric.'</w:t>
      </w:r>
      <w:r>
        <w:rPr>
          <w:vertAlign w:val="superscript"/>
        </w:rPr>
        <w:footnoteReference w:id="148"/>
      </w:r>
      <w:r>
        <w:t xml:space="preserve">  Collectively, these accounts construct that musical elements, especially the brass and drums, hold the power to generate intense emotional charges. Further, the music operates as an external force that acts upon their emotions rather than being generated internally. This aligns closely with Yorùbá conceptions of </w:t>
      </w:r>
      <w:r w:rsidRPr="00160102">
        <w:rPr>
          <w:i/>
          <w:iCs/>
        </w:rPr>
        <w:t>Àṣẹ</w:t>
      </w:r>
      <w:r>
        <w:t xml:space="preserve">, where sound is understood to carry a power that induces heightened emotions, resonating with Abiodun’s idea of these forces eliciting strong emotional charges. This connection reveals that the emotional charges produced by Junkanoo's music are more than just merry enjoyment. Within the framework of </w:t>
      </w:r>
      <w:r w:rsidRPr="00160102">
        <w:rPr>
          <w:i/>
          <w:iCs/>
        </w:rPr>
        <w:t>Àṣẹ</w:t>
      </w:r>
      <w:r>
        <w:t xml:space="preserve">, the music of the festival can be repositioned as a spiritual mechanism through which the divine force </w:t>
      </w:r>
      <w:r>
        <w:lastRenderedPageBreak/>
        <w:t>of the universe is transmitted and experienced. Through this idea, the music can be understood as a continuation of embodied Yoruba spiritual frameworks in the modern context.</w:t>
      </w:r>
    </w:p>
    <w:p w14:paraId="13B63710" w14:textId="77777777" w:rsidR="00A16F79" w:rsidRDefault="00A16F79" w:rsidP="00D10039">
      <w:pPr>
        <w:spacing w:before="240" w:after="240" w:line="360" w:lineRule="auto"/>
        <w:ind w:firstLine="720"/>
      </w:pPr>
      <w:r>
        <w:t>Secondly, Junkanoo music is described as a force that compels movement and participation. Participant 1 explained that 'The music makes you move… It’s nothing you think about. The music tells you what to do.'</w:t>
      </w:r>
      <w:r>
        <w:rPr>
          <w:vertAlign w:val="superscript"/>
        </w:rPr>
        <w:footnoteReference w:id="149"/>
      </w:r>
      <w:r>
        <w:t xml:space="preserve"> Similarly, Participant 7 emphasised that when the music is good, 'it makes you want to dance harder.'</w:t>
      </w:r>
      <w:r>
        <w:rPr>
          <w:vertAlign w:val="superscript"/>
        </w:rPr>
        <w:footnoteReference w:id="150"/>
      </w:r>
      <w:r>
        <w:t xml:space="preserve"> Together, these participants frame Junkanoo music as a spiritual device that can disrupt agency, physically moving them rather than allowing them to remain self-controlled. Therefore, music functions as an agent that acts directly upon the body, indicating a powerful force behind it. This parallels </w:t>
      </w:r>
      <w:r w:rsidRPr="00160102">
        <w:rPr>
          <w:i/>
          <w:iCs/>
        </w:rPr>
        <w:t>Sunsum’s</w:t>
      </w:r>
      <w:r>
        <w:t xml:space="preserve"> role in inspiring action and artistic skill (</w:t>
      </w:r>
      <w:r>
        <w:rPr>
          <w:i/>
          <w:iCs/>
        </w:rPr>
        <w:t>nyansa</w:t>
      </w:r>
      <w:r>
        <w:t xml:space="preserve">) through sound in Akan ritual contexts. Further, notions of </w:t>
      </w:r>
      <w:r>
        <w:rPr>
          <w:i/>
          <w:iCs/>
        </w:rPr>
        <w:t>Àṣẹ</w:t>
      </w:r>
      <w:r>
        <w:t xml:space="preserve"> are echoed, suggesting music may be charged with the ultimate divine power. As a result, these experiences signal that the music forms contain an underlying spiritual power that Junkanoo participants experience. Further, this power can compel movements rather than being controlled by the individual's conscious will. </w:t>
      </w:r>
    </w:p>
    <w:p w14:paraId="506B1D47" w14:textId="70BD5563" w:rsidR="00A16F79" w:rsidRDefault="00A16F79" w:rsidP="00D10039">
      <w:pPr>
        <w:spacing w:before="240" w:after="240" w:line="360" w:lineRule="auto"/>
        <w:ind w:firstLine="720"/>
      </w:pPr>
      <w:r>
        <w:t>Lastly, Participants reflect that Junkanoo music has the power to overcome physical limits. This idea shows that Junkanoo’s music can infuse participants with external energy that fuels performance. Participant 1 reflected on extreme exhaustion during costume preparation. He recalls that  'There were moments where I wouldn’t have slept more than eight hours in three days… I was on</w:t>
      </w:r>
      <w:r>
        <w:rPr>
          <w:i/>
          <w:iCs/>
        </w:rPr>
        <w:t xml:space="preserve"> fumes</w:t>
      </w:r>
      <w:r>
        <w:t xml:space="preserve">… some days I didn’t eat… but when I hear dem drums… nothing matters. </w:t>
      </w:r>
      <w:r>
        <w:lastRenderedPageBreak/>
        <w:t>Junkanoo has that effect; it has that power’.</w:t>
      </w:r>
      <w:r>
        <w:rPr>
          <w:vertAlign w:val="superscript"/>
        </w:rPr>
        <w:footnoteReference w:id="151"/>
      </w:r>
      <w:r>
        <w:t xml:space="preserve"> Participant 5 echoed this pattern, saying, 'The actual physical feeling is tiring… but you don’t feel the tired until you stop… when we’re just free dancing, that’s when all the energy is just like </w:t>
      </w:r>
      <w:r>
        <w:rPr>
          <w:i/>
          <w:iCs/>
        </w:rPr>
        <w:t>surge</w:t>
      </w:r>
      <w:r>
        <w:t>'.</w:t>
      </w:r>
      <w:r>
        <w:rPr>
          <w:vertAlign w:val="superscript"/>
        </w:rPr>
        <w:footnoteReference w:id="152"/>
      </w:r>
      <w:r>
        <w:t xml:space="preserve"> In synthesis, these participants position Junkanoo’s music as a powerful and effective force that can charge them with a burst of energy that encourages them to push beyond normal levels of exhaustion. Further, the body is best understood as a site where the power of the universe can gather and thrive. Additionally, the energy of the self is not contained within any one individual but extends beyond the individual to the overarching force of the world. This animating power can flow through the body, affecting its states of energy. This assertion parallels Mande notions of </w:t>
      </w:r>
      <w:r w:rsidRPr="005818E8">
        <w:rPr>
          <w:i/>
          <w:iCs/>
        </w:rPr>
        <w:t>Nyama</w:t>
      </w:r>
      <w:r>
        <w:t xml:space="preserve">, in which musical performance releases a potent force that can energise bodies. Further, this assertion echoes the idea of </w:t>
      </w:r>
      <w:r w:rsidR="005818E8" w:rsidRPr="005818E8">
        <w:rPr>
          <w:i/>
          <w:iCs/>
        </w:rPr>
        <w:t>Sunsum</w:t>
      </w:r>
      <w:r>
        <w:t xml:space="preserve"> as part of the human being, acting as an extension of the energy contained in the entire universe. Therefore, through these African frameworks, Junkanoo music becomes a spiritually effective art form that releases the force of the universe, charging its participants with the ultimate power, even beyond bodily limits. </w:t>
      </w:r>
    </w:p>
    <w:p w14:paraId="384F1D09" w14:textId="77777777" w:rsidR="00A16F79" w:rsidRDefault="00A16F79" w:rsidP="00D10039">
      <w:pPr>
        <w:spacing w:before="240" w:after="240" w:line="360" w:lineRule="auto"/>
        <w:ind w:firstLine="720"/>
      </w:pPr>
      <w:r>
        <w:t xml:space="preserve">In conclusion, participants expressed that Junkanoo music can be experienced as an actively charged force through their accounts. This force overwhelms the senses, compels movement and overrides physical exhaustion. In this regard, Junkanoo music operates as a conduit of power that acts upon bodies and emotions. These experiences align with </w:t>
      </w:r>
      <w:r w:rsidRPr="005818E8">
        <w:rPr>
          <w:i/>
          <w:iCs/>
        </w:rPr>
        <w:t>Àṣẹ</w:t>
      </w:r>
      <w:r>
        <w:t xml:space="preserve"> as an activating power, </w:t>
      </w:r>
      <w:r w:rsidRPr="00160102">
        <w:rPr>
          <w:i/>
          <w:iCs/>
        </w:rPr>
        <w:t>Sunsum</w:t>
      </w:r>
      <w:r>
        <w:t xml:space="preserve"> as a divine animating energy, and </w:t>
      </w:r>
      <w:r w:rsidRPr="005818E8">
        <w:rPr>
          <w:i/>
          <w:iCs/>
        </w:rPr>
        <w:t>Nyama</w:t>
      </w:r>
      <w:r>
        <w:t xml:space="preserve"> as a potent force released and circulated through performance. In this sense, Junkanoo music emerges as a contemporary site in which enduring African </w:t>
      </w:r>
      <w:r>
        <w:lastRenderedPageBreak/>
        <w:t>cosmological principles are implicitly felt and enacted through sound and physical engagement.</w:t>
      </w:r>
    </w:p>
    <w:p w14:paraId="4E19BFDB" w14:textId="77777777" w:rsidR="00A16F79" w:rsidRDefault="00A16F79" w:rsidP="00D10039">
      <w:pPr>
        <w:pStyle w:val="Heading5"/>
        <w:spacing w:line="360" w:lineRule="auto"/>
      </w:pPr>
      <w:bookmarkStart w:id="58" w:name="_gx1v7ua66hrx" w:colFirst="0" w:colLast="0"/>
      <w:bookmarkStart w:id="59" w:name="_Toc221201563"/>
      <w:bookmarkEnd w:id="58"/>
      <w:r>
        <w:t>The Power behind Junkanoo Costumes</w:t>
      </w:r>
      <w:bookmarkEnd w:id="59"/>
      <w:r>
        <w:t xml:space="preserve"> </w:t>
      </w:r>
    </w:p>
    <w:p w14:paraId="4CE20961" w14:textId="1283189B" w:rsidR="00A16F79" w:rsidRDefault="00A16F79" w:rsidP="00D10039">
      <w:pPr>
        <w:spacing w:before="240" w:after="240" w:line="360" w:lineRule="auto"/>
        <w:ind w:firstLine="720"/>
      </w:pPr>
      <w:r>
        <w:t xml:space="preserve">The awe-inspiring effect of Junkanoo costuming reflects the presence of these divine forces.  Reflecting on childhood experience, Participant 2 described the visual impact of Junkanoo costumes. They responded, 'As a child… you’re looking at the colours, the costumes, the builds… and you’re like, ‘Oh, this is Disneyland… it’s magical’. </w:t>
      </w:r>
      <w:r>
        <w:rPr>
          <w:vertAlign w:val="superscript"/>
        </w:rPr>
        <w:footnoteReference w:id="153"/>
      </w:r>
      <w:r>
        <w:t xml:space="preserve"> This account positions Junkanoo costumes as sources of wonder and emotional intensity. The artistry itself transmits ‘magic’. Therefore, these artworks function as vessels for the universal force of existence. Similarly, Participant 3 stressed the importance of details in shaping how the parade is received. They noted, 'The costuming plays a very big role in your presentation… from your banner go back, you’re basically telling a story… the details in the costuming play a key part in the parade'.</w:t>
      </w:r>
      <w:r>
        <w:rPr>
          <w:vertAlign w:val="superscript"/>
        </w:rPr>
        <w:footnoteReference w:id="154"/>
      </w:r>
      <w:r>
        <w:t xml:space="preserve"> This account conceptualises craftsmanship as essential to the performance's aesthetic and, by extension, its overall emotional impact. This idea reinforces that artistic details are essential for mediating the divine spiritual forces, activating Yoruba, Akan, and Mande spiritual frameworks. Together, these accounts construct that Junkanoo costumes operate as affectively charged artworks that shape how the parade is felt and interpreted. This idea reflects the African principle that material artistry can carry and transmit spiritual power. Their impact specifically aligns with ideas of </w:t>
      </w:r>
      <w:r>
        <w:rPr>
          <w:i/>
          <w:iCs/>
        </w:rPr>
        <w:t xml:space="preserve">Àṣẹ </w:t>
      </w:r>
      <w:r>
        <w:t xml:space="preserve">and </w:t>
      </w:r>
      <w:r>
        <w:rPr>
          <w:i/>
          <w:iCs/>
        </w:rPr>
        <w:t>Sunsum</w:t>
      </w:r>
      <w:r>
        <w:t xml:space="preserve">, in which artistic forms serve as vehicles for animating forces rather than mere decoration. Through this outline, Junkanoo’s costumes function as more than just art. Rather, they are key sites through which the energy </w:t>
      </w:r>
      <w:r>
        <w:lastRenderedPageBreak/>
        <w:t xml:space="preserve">of the universe can be experienced, serving as active participants in dispersing universal power. </w:t>
      </w:r>
    </w:p>
    <w:p w14:paraId="168E9965" w14:textId="67EC2A21" w:rsidR="00A16F79" w:rsidRDefault="00A16F79" w:rsidP="00D10039">
      <w:pPr>
        <w:spacing w:before="240" w:after="240" w:line="360" w:lineRule="auto"/>
        <w:ind w:firstLine="720"/>
      </w:pPr>
      <w:r>
        <w:t xml:space="preserve">Secondly, the costumes are directly framed as carriers of energy that can be absorbed. Participant 2 described the moment before the parade begins ('the Hole'). They </w:t>
      </w:r>
      <w:r w:rsidR="00A90E8D">
        <w:rPr>
          <w:lang w:val="en-US"/>
        </w:rPr>
        <w:t>recalled</w:t>
      </w:r>
      <w:r>
        <w:t>, 'you get your costumes on, and you’re out at the gate, and you’re feeding off the energy of the other members of the group… feeding off the work and effort they put into their costumes'.</w:t>
      </w:r>
      <w:r>
        <w:rPr>
          <w:vertAlign w:val="superscript"/>
        </w:rPr>
        <w:footnoteReference w:id="155"/>
      </w:r>
      <w:r>
        <w:t xml:space="preserve"> This account positions costumes as containers for holding and radiating power that performers experience. The emphasis on ‘feeding off’ the labour and artistry of others’ costumes reframes craftsmanship itself as energetically potent rather than just a technical skill set. This aligns with the Akan idea that </w:t>
      </w:r>
      <w:r w:rsidR="007A27AA">
        <w:rPr>
          <w:i/>
          <w:iCs/>
        </w:rPr>
        <w:t>Sunsum</w:t>
      </w:r>
      <w:r>
        <w:rPr>
          <w:i/>
          <w:iCs/>
        </w:rPr>
        <w:t xml:space="preserve"> </w:t>
      </w:r>
      <w:r>
        <w:t xml:space="preserve">flows through artistic creation, and that </w:t>
      </w:r>
      <w:r>
        <w:rPr>
          <w:i/>
          <w:iCs/>
        </w:rPr>
        <w:t xml:space="preserve">nyansa </w:t>
      </w:r>
      <w:r>
        <w:t>(artfulness/skill) is an expression of this divine force.</w:t>
      </w:r>
    </w:p>
    <w:p w14:paraId="779F7248" w14:textId="77777777" w:rsidR="00A16F79" w:rsidRDefault="00A16F79" w:rsidP="00D10039">
      <w:pPr>
        <w:spacing w:before="240" w:after="240" w:line="360" w:lineRule="auto"/>
        <w:ind w:firstLine="720"/>
      </w:pPr>
      <w:r>
        <w:t xml:space="preserve">Overall, participants’ accounts reveal that Junkanoo costumes are vessels for the universe's energy, inspiring awe and actively circulating power throughout the parade. In this way, they echo African cosmological principles of </w:t>
      </w:r>
      <w:r w:rsidRPr="00160102">
        <w:rPr>
          <w:i/>
          <w:iCs/>
        </w:rPr>
        <w:t xml:space="preserve">Àṣẹ </w:t>
      </w:r>
      <w:r>
        <w:t xml:space="preserve">and </w:t>
      </w:r>
      <w:r w:rsidRPr="00160102">
        <w:rPr>
          <w:i/>
          <w:iCs/>
        </w:rPr>
        <w:t>Sunsum</w:t>
      </w:r>
      <w:r>
        <w:t xml:space="preserve"> by positioning artistic craftsmanship as a medium for animating spiritual forces.</w:t>
      </w:r>
    </w:p>
    <w:p w14:paraId="3AF03602" w14:textId="77777777" w:rsidR="00A16F79" w:rsidRDefault="00A16F79" w:rsidP="00D10039">
      <w:pPr>
        <w:pStyle w:val="Heading5"/>
        <w:spacing w:line="360" w:lineRule="auto"/>
      </w:pPr>
      <w:bookmarkStart w:id="60" w:name="_wu76mq4dyqkc" w:colFirst="0" w:colLast="0"/>
      <w:bookmarkStart w:id="61" w:name="_Toc221201564"/>
      <w:bookmarkEnd w:id="60"/>
      <w:r>
        <w:t>Crowd Participation as Energetic Fuel</w:t>
      </w:r>
      <w:bookmarkEnd w:id="61"/>
      <w:r>
        <w:t xml:space="preserve"> </w:t>
      </w:r>
    </w:p>
    <w:p w14:paraId="2C54BC53" w14:textId="23185CF5" w:rsidR="00A16F79" w:rsidRDefault="00A16F79" w:rsidP="00D10039">
      <w:pPr>
        <w:spacing w:before="240" w:after="240" w:line="360" w:lineRule="auto"/>
        <w:ind w:firstLine="720"/>
      </w:pPr>
      <w:r>
        <w:t xml:space="preserve">Participants describe crowd participation as central to Junkanoo’s energy, reflecting ideas of </w:t>
      </w:r>
      <w:r>
        <w:rPr>
          <w:i/>
          <w:iCs/>
        </w:rPr>
        <w:t>Nyama</w:t>
      </w:r>
      <w:r>
        <w:t xml:space="preserve"> and </w:t>
      </w:r>
      <w:r w:rsidRPr="00160102">
        <w:rPr>
          <w:i/>
          <w:iCs/>
        </w:rPr>
        <w:t>Àṣẹ</w:t>
      </w:r>
      <w:r>
        <w:t xml:space="preserve">. Participant 3 framed audience involvement as fundamental. They stated, 'Crowd involvement is a </w:t>
      </w:r>
      <w:r>
        <w:rPr>
          <w:i/>
          <w:iCs/>
        </w:rPr>
        <w:t xml:space="preserve">big </w:t>
      </w:r>
      <w:r>
        <w:t>thing'.</w:t>
      </w:r>
      <w:r>
        <w:rPr>
          <w:vertAlign w:val="superscript"/>
        </w:rPr>
        <w:footnoteReference w:id="156"/>
      </w:r>
      <w:r>
        <w:t xml:space="preserve"> This positions the crowd as an active site of the parade’s effective charge. Similarly, Participant 1 described how the crowd’s presence directly affects the body. They said, 'To see the </w:t>
      </w:r>
      <w:r>
        <w:lastRenderedPageBreak/>
        <w:t>crowd reaction, to feel the crowd reaction… You could go from being incredibly tired because you were doing your costume for three days straight, to the minute that you see and feel the crowd reacting, that adrenaline rush is just exploding in you.'</w:t>
      </w:r>
      <w:r>
        <w:rPr>
          <w:vertAlign w:val="superscript"/>
        </w:rPr>
        <w:footnoteReference w:id="157"/>
      </w:r>
      <w:r>
        <w:t xml:space="preserve"> This account repositions the Junkanoo crowd from passive onlookers to an energetic force that energises the body. Thirdly, Participant 2 described that while performing, 'I’m just feeling connected to everybody around me with a unified goal of going down the street… I’m holding every single one of these people that are around me on my shoulders. And they’re holding me on theirs'.</w:t>
      </w:r>
      <w:r>
        <w:rPr>
          <w:vertAlign w:val="superscript"/>
        </w:rPr>
        <w:footnoteReference w:id="158"/>
      </w:r>
      <w:r>
        <w:t xml:space="preserve"> This account constructs Junkanoo’s energy as relational, positioning power not as something possessed by individuals but as something co-produced through collective embodiment, mirroring ideas of </w:t>
      </w:r>
      <w:r>
        <w:rPr>
          <w:i/>
          <w:iCs/>
        </w:rPr>
        <w:t>Àṣẹ</w:t>
      </w:r>
      <w:r>
        <w:t xml:space="preserve"> and </w:t>
      </w:r>
      <w:r w:rsidRPr="00160102">
        <w:rPr>
          <w:i/>
          <w:iCs/>
        </w:rPr>
        <w:t>Nyama</w:t>
      </w:r>
      <w:r>
        <w:t xml:space="preserve">. Further, this account positions energy as a shared and omnipresent force, aligning with all three divine forces and evidencing a shared energy source that inhabits all things. </w:t>
      </w:r>
    </w:p>
    <w:p w14:paraId="49C98E93" w14:textId="7CF53974" w:rsidR="00A16F79" w:rsidRDefault="00A16F79" w:rsidP="00D10039">
      <w:pPr>
        <w:spacing w:before="240" w:after="240" w:line="360" w:lineRule="auto"/>
        <w:ind w:firstLine="720"/>
      </w:pPr>
      <w:r>
        <w:t>Secondly, Junkanoo is said to ‘feed off the momentum’ of the crowd. This idea further displays the power of crowd participation. Further, it also introduced the idea of the crowd being charged with energy that can benefit the performers. Participant 3 described 'The Saturday,' when parade order is announced, as shaping collective feeling and overall performance outcomes. They accounted that 'After number picking, you’ll know what your fate is'. They described that bigger groups hope to be assigned a middle to late positionality in the parade, 'because Junkanoo is more or less momentum, we feed off of momentum'.</w:t>
      </w:r>
      <w:r>
        <w:rPr>
          <w:vertAlign w:val="superscript"/>
        </w:rPr>
        <w:footnoteReference w:id="159"/>
      </w:r>
      <w:r>
        <w:t xml:space="preserve"> This account reframes energy in Junkanoo as cumulative and temporally produced, signalling that power is not fixed </w:t>
      </w:r>
      <w:r>
        <w:lastRenderedPageBreak/>
        <w:t>but generated through collective buildup over time. In this framing, power emerges as a circulating force that intensifies through crowd participation, positioning later performers as beneficiaries of an already activated energetic field. In support of this idea, Participant 5 provided concrete examples of how timing and crowd readiness affect energy during the parade.  They contributed that 'We looked good, but we didn’t perform…the fact that we came out earlier in the parade… everybody wasn’t in the bleachers yet… all of these things worked against us.'</w:t>
      </w:r>
      <w:r>
        <w:rPr>
          <w:vertAlign w:val="superscript"/>
        </w:rPr>
        <w:footnoteReference w:id="160"/>
      </w:r>
      <w:r>
        <w:t xml:space="preserve"> This illustrates that performance energy is not only about visual quality. Instead, the energy behind performance is dispersed effectively by crowd density and readiness. This participant further explained how start time and parade order influence collective energy. They recalled that 'Changing the start time to 9:00 PM on Christmas Day… definitely affects crowd participation because you don't have no crowd'</w:t>
      </w:r>
      <w:r w:rsidR="001F3C9D">
        <w:rPr>
          <w:lang w:val="en-US"/>
        </w:rPr>
        <w:t>.</w:t>
      </w:r>
      <w:r>
        <w:t xml:space="preserve"> Further</w:t>
      </w:r>
      <w:r w:rsidR="001F3C9D">
        <w:rPr>
          <w:lang w:val="en-US"/>
        </w:rPr>
        <w:t>,</w:t>
      </w:r>
      <w:r>
        <w:t xml:space="preserve"> 'coming out [early] behind a [smaller group], the crowd een even warm up yet. They haven't heard like another big group before us, so we really warming up the crowd for everybody else'.</w:t>
      </w:r>
      <w:r>
        <w:rPr>
          <w:vertAlign w:val="superscript"/>
        </w:rPr>
        <w:footnoteReference w:id="161"/>
      </w:r>
      <w:r>
        <w:t xml:space="preserve"> These narratives construct momentum as a temporally produced force, suggesting that energy accumulates through duration and shared participation. Rather than being evenly distributed, power emerges progressively across the parade, with later groups </w:t>
      </w:r>
      <w:r w:rsidR="007A27AA">
        <w:t>entering</w:t>
      </w:r>
      <w:r>
        <w:t xml:space="preserve"> an already activated affective environment. This reinforces the argument that Junkanoo’s power is relational and circulatory. In summary, the idea of Junkanoo performers benefiting from a later position in the parade mirrors the principles of </w:t>
      </w:r>
      <w:r>
        <w:rPr>
          <w:i/>
          <w:iCs/>
        </w:rPr>
        <w:t>Àṣẹ</w:t>
      </w:r>
      <w:r>
        <w:t xml:space="preserve"> and </w:t>
      </w:r>
      <w:r w:rsidRPr="00160102">
        <w:rPr>
          <w:i/>
          <w:iCs/>
        </w:rPr>
        <w:t>Nyama</w:t>
      </w:r>
      <w:r>
        <w:t xml:space="preserve">. These principles assert that crowd levels of emotion can charge the performance with the divine force, as mirrored in these accounts. </w:t>
      </w:r>
    </w:p>
    <w:p w14:paraId="546F6FBF" w14:textId="6F419A0F" w:rsidR="00A16F79" w:rsidRDefault="00A16F79" w:rsidP="00D10039">
      <w:pPr>
        <w:spacing w:before="240" w:after="240" w:line="360" w:lineRule="auto"/>
        <w:ind w:firstLine="720"/>
      </w:pPr>
      <w:r>
        <w:lastRenderedPageBreak/>
        <w:t xml:space="preserve">This idea of crowd participation increasing this divine force is further articulated in comparisons of Junkanoo performance on Bay Street versus on Shirley Street. Participants consistently contrasted the two roads in terms of atmosphere and energy. For context, the Bay Street section of the parade route mainly comprises bleachers and more enforced boundaries between the crowd and the parade. In contrast, Shirley Street displays a closer proximity between the crowd and the performer, with only a railing separating the two. This distinction becomes crucial for analysing the effects of crowd participation in Junkanoo. Participant 4 described Shirley Street as more intimate and therefore intense. They described that, 'Shirley Street is a bit more </w:t>
      </w:r>
      <w:r w:rsidR="007A27AA">
        <w:t>intimate, persons</w:t>
      </w:r>
      <w:r>
        <w:t xml:space="preserve"> are right there… You have people right next to the railings. The people on Bay Street are a little way back and up, so that feeling is a tad bit different… everything is just heightened a little bit more [on Shirley Street]</w:t>
      </w:r>
      <w:r w:rsidR="007A27AA">
        <w:t>..</w:t>
      </w:r>
      <w:r>
        <w:t>. you tend to find that there's a different there's a different level of energy going on'.</w:t>
      </w:r>
      <w:r>
        <w:rPr>
          <w:vertAlign w:val="superscript"/>
        </w:rPr>
        <w:footnoteReference w:id="162"/>
      </w:r>
      <w:r>
        <w:t xml:space="preserve"> This account constructs crowd proximity as a key mechanism through which cosmological power is intensified, indicating that energy is produced collectively and amplified by physical closeness between performers and spectators. Participant 5 echoed this effect. They accounted that 'Bay Street is for the judges and the bleachers. But Shirley Street is for the </w:t>
      </w:r>
      <w:r>
        <w:rPr>
          <w:i/>
          <w:iCs/>
        </w:rPr>
        <w:t>people’</w:t>
      </w:r>
      <w:r>
        <w:t>.</w:t>
      </w:r>
      <w:r>
        <w:rPr>
          <w:vertAlign w:val="superscript"/>
        </w:rPr>
        <w:footnoteReference w:id="163"/>
      </w:r>
      <w:r>
        <w:t xml:space="preserve"> They conclude that on Shirley Street, 'you really feel it… Shirley Street is much better.' Aligning with this idea, Participant 2 accounted, 'I'm a different kind of animal on Shirley Street. Bay Street is where you get graded, where you get judged, so we put on a show. But Shirley Street is a different thing'.</w:t>
      </w:r>
      <w:r>
        <w:rPr>
          <w:vertAlign w:val="superscript"/>
        </w:rPr>
        <w:footnoteReference w:id="164"/>
      </w:r>
      <w:r>
        <w:t xml:space="preserve"> Taken together, these testimonies reframe Shirley Street as an effective ritual space where collective energy peaks, allowing performers to experience a </w:t>
      </w:r>
      <w:r>
        <w:lastRenderedPageBreak/>
        <w:t>heightened affective state. This heightened energy reflects connections to Yoruba and Mande concepts, in which the divine force is amplified and circulated among audiences as highlighted by Drewel and Newton.</w:t>
      </w:r>
    </w:p>
    <w:p w14:paraId="521EE421" w14:textId="5E01F63E" w:rsidR="00A16F79" w:rsidRDefault="00A16F79" w:rsidP="00D10039">
      <w:pPr>
        <w:spacing w:before="240" w:after="240" w:line="360" w:lineRule="auto"/>
        <w:ind w:firstLine="720"/>
      </w:pPr>
      <w:r>
        <w:t xml:space="preserve">Taken together, these accounts frame Junkanoo’s crowd participation and momentum as central to Junkanoo’s power. Performers experience energy as circulating between performers and spectators. This force builds over time through parade sequencing and intensifies in more intimate spaces, such as Shirley Street. This portrayal aligns with the framing of </w:t>
      </w:r>
      <w:r>
        <w:rPr>
          <w:i/>
          <w:iCs/>
        </w:rPr>
        <w:t xml:space="preserve">Àṣẹ </w:t>
      </w:r>
      <w:r>
        <w:t xml:space="preserve">and </w:t>
      </w:r>
      <w:r>
        <w:rPr>
          <w:i/>
          <w:iCs/>
        </w:rPr>
        <w:t xml:space="preserve">Nyama </w:t>
      </w:r>
      <w:r>
        <w:t xml:space="preserve">as forces amplified through collective participation. In these traditions, power amplifies through energy exchange and shared presence rather than residing in any single body. Through these accounts, it is evident that Junkanoo's energy functions similarly. </w:t>
      </w:r>
      <w:r w:rsidR="007A27AA">
        <w:t>Shirley</w:t>
      </w:r>
      <w:r>
        <w:t xml:space="preserve"> Street operates as a spiritually effective site where Junkanoo’s animating force is most vividly experienced and activated through audience proximity.</w:t>
      </w:r>
    </w:p>
    <w:p w14:paraId="0622957E" w14:textId="77777777" w:rsidR="00A16F79" w:rsidRDefault="00A16F79" w:rsidP="00D10039">
      <w:pPr>
        <w:pStyle w:val="Heading5"/>
        <w:spacing w:line="360" w:lineRule="auto"/>
      </w:pPr>
      <w:bookmarkStart w:id="62" w:name="_e31awkne4w2s" w:colFirst="0" w:colLast="0"/>
      <w:bookmarkStart w:id="63" w:name="_Toc221201565"/>
      <w:bookmarkEnd w:id="62"/>
      <w:r>
        <w:t>Summary of Findings: Divine Creative Forces</w:t>
      </w:r>
      <w:bookmarkEnd w:id="63"/>
    </w:p>
    <w:p w14:paraId="77CDAB88" w14:textId="77777777" w:rsidR="00A16F79" w:rsidRDefault="00A16F79" w:rsidP="00D10039">
      <w:pPr>
        <w:spacing w:line="360" w:lineRule="auto"/>
        <w:ind w:firstLine="720"/>
      </w:pPr>
      <w:r>
        <w:t>Overall, the findings of this study both align with and extend existing scholarship on Junkanoo’s African foundations while addressing key gaps in the literature. Through participant accounts, music, costuming, and crowd participation, a felt sense of 'power' and emotional intensity is displayed. This idea aligns closely with Vega’s argument that an animating force continues to operate within African diasporic performance traditions. Further, Abiodun’s suggestion of this force, often evidencing a ‘heightened emotional charge’, aligns with how respondents explained contemporary Junkanoo.</w:t>
      </w:r>
    </w:p>
    <w:p w14:paraId="283A796B" w14:textId="62EBB79E" w:rsidR="00A16F79" w:rsidRDefault="00A16F79" w:rsidP="00D10039">
      <w:pPr>
        <w:spacing w:line="360" w:lineRule="auto"/>
        <w:ind w:firstLine="720"/>
      </w:pPr>
      <w:r>
        <w:t xml:space="preserve">Similarly, the impact of Junkanoo costumes supports Tonkin’s claim that masquerade costuming is perceived as capable of transmitting power. Participants described costumes as 'magical' objects and as carriers of energy that performers can 'feed off'. This </w:t>
      </w:r>
      <w:r>
        <w:lastRenderedPageBreak/>
        <w:t xml:space="preserve">resonates with Tonkin's ideas and aligns with Gyekye’s notions of </w:t>
      </w:r>
      <w:r w:rsidR="007A27AA">
        <w:rPr>
          <w:i/>
          <w:iCs/>
        </w:rPr>
        <w:t>Sunsum</w:t>
      </w:r>
      <w:r>
        <w:rPr>
          <w:i/>
          <w:iCs/>
        </w:rPr>
        <w:t xml:space="preserve"> </w:t>
      </w:r>
      <w:r>
        <w:t xml:space="preserve">flowing through artistic creation and </w:t>
      </w:r>
      <w:r>
        <w:rPr>
          <w:i/>
          <w:iCs/>
        </w:rPr>
        <w:t xml:space="preserve">nyansa </w:t>
      </w:r>
      <w:r>
        <w:t xml:space="preserve">(artfulness). Therefore, these findings provide contemporary grounding for cosmological principles that the literature associates with African or Jamaican </w:t>
      </w:r>
      <w:r w:rsidR="007A27AA">
        <w:t>traditions but</w:t>
      </w:r>
      <w:r>
        <w:t xml:space="preserve"> have been left out of existing literature on modern Bahamian Junkanoo.</w:t>
      </w:r>
    </w:p>
    <w:p w14:paraId="6650BED5" w14:textId="53E86795" w:rsidR="00A16F79" w:rsidRDefault="00A16F79" w:rsidP="00D10039">
      <w:pPr>
        <w:spacing w:line="360" w:lineRule="auto"/>
        <w:ind w:firstLine="720"/>
      </w:pPr>
      <w:r>
        <w:t xml:space="preserve">Furthermore, participants' emphasis on crowd participation displays connections to African cosmology. </w:t>
      </w:r>
      <w:r w:rsidR="007A27AA">
        <w:t>Drewel</w:t>
      </w:r>
      <w:r>
        <w:t xml:space="preserve"> framed </w:t>
      </w:r>
      <w:r>
        <w:rPr>
          <w:i/>
          <w:iCs/>
        </w:rPr>
        <w:t xml:space="preserve">Àṣẹ </w:t>
      </w:r>
      <w:r>
        <w:t xml:space="preserve">as intensified through audience engagement. Additionally, Newton depicted </w:t>
      </w:r>
      <w:r w:rsidR="007A27AA">
        <w:rPr>
          <w:i/>
          <w:iCs/>
        </w:rPr>
        <w:t>N</w:t>
      </w:r>
      <w:r>
        <w:rPr>
          <w:i/>
          <w:iCs/>
        </w:rPr>
        <w:t xml:space="preserve">yama </w:t>
      </w:r>
      <w:r>
        <w:t>as circulating between performers, objects, and audiences. In alignment with these ideas, participants consistently portrayed Junkanoo’s power as co-produced through collective presence, spatial proximity, and shared momentum.</w:t>
      </w:r>
    </w:p>
    <w:p w14:paraId="42B5DDBA" w14:textId="0210A6E5" w:rsidR="00A16F79" w:rsidRDefault="00A16F79" w:rsidP="00D10039">
      <w:pPr>
        <w:spacing w:line="360" w:lineRule="auto"/>
        <w:ind w:firstLine="720"/>
      </w:pPr>
      <w:r>
        <w:t xml:space="preserve">Additionally, these traditions blend African concepts, not highlighting </w:t>
      </w:r>
      <w:r w:rsidR="007A27AA">
        <w:t>one</w:t>
      </w:r>
      <w:r>
        <w:t xml:space="preserve"> as most vibrant. Therefore, the idea that the Yoruba may potentially have the strongest influence of the three, due to their chronological arrival during slavery, was not evident.</w:t>
      </w:r>
    </w:p>
    <w:p w14:paraId="5607F512" w14:textId="7044DC11" w:rsidR="00A16F79" w:rsidRDefault="00A16F79" w:rsidP="00D10039">
      <w:pPr>
        <w:spacing w:line="360" w:lineRule="auto"/>
        <w:ind w:firstLine="720"/>
      </w:pPr>
      <w:r>
        <w:t>These findings contribute to ongoing debates surrounding whether modern Junkanoo should be understood as sacred or secular. While scholars such as Mackey and DeCosmo have framed modern Junkanoo primarily as commercial or nationalistic, participant experiences in this study support Bilby’s argument that spiritual dimensions persist beneath the festival’s contemporary form. Interpreted through African philosophical frameworks, Junkanoo emerges not as a secularised remnant of ritual, but as a living site where African cosmological principles continue to be experienced in modern Bahamian life. Through this idea, these findings also help bridge the gap left by the literature on the cosmological logics of African performance traditions in The Bahamas and their continuation.</w:t>
      </w:r>
    </w:p>
    <w:p w14:paraId="784755C6" w14:textId="0B076178" w:rsidR="00A16F79" w:rsidRPr="006642D3" w:rsidRDefault="00A16F79" w:rsidP="006642D3">
      <w:pPr>
        <w:spacing w:line="360" w:lineRule="auto"/>
        <w:ind w:firstLine="720"/>
        <w:rPr>
          <w:lang w:val="en-US"/>
        </w:rPr>
      </w:pPr>
      <w:r>
        <w:lastRenderedPageBreak/>
        <w:t xml:space="preserve">Ultimately, these findings contribute to scholarship on Junkanoo and wider diaspora performance traditions by demonstrating that contemporary Junkanoo performances continue to operate as embodied expressions of African metaphysical systems, even in the absence of formal religious structures.  </w:t>
      </w:r>
    </w:p>
    <w:p w14:paraId="63B28B8F" w14:textId="77777777" w:rsidR="00A16F79" w:rsidRDefault="00A16F79" w:rsidP="00D10039">
      <w:pPr>
        <w:spacing w:line="360" w:lineRule="auto"/>
      </w:pPr>
      <w:commentRangeStart w:id="64"/>
    </w:p>
    <w:p w14:paraId="53A0C5E3" w14:textId="77777777" w:rsidR="00A16F79" w:rsidRDefault="00A16F79" w:rsidP="00D10039">
      <w:pPr>
        <w:pStyle w:val="Heading3"/>
        <w:spacing w:line="360" w:lineRule="auto"/>
        <w:rPr>
          <w:sz w:val="26"/>
          <w:szCs w:val="26"/>
        </w:rPr>
      </w:pPr>
      <w:bookmarkStart w:id="65" w:name="_h1yk3tl592d5" w:colFirst="0" w:colLast="0"/>
      <w:bookmarkStart w:id="66" w:name="_Toc221201566"/>
      <w:bookmarkEnd w:id="65"/>
      <w:r>
        <w:rPr>
          <w:bCs/>
          <w:color w:val="000000"/>
        </w:rPr>
        <w:t xml:space="preserve">Crossing the Spiritual Plane: </w:t>
      </w:r>
      <w:r>
        <w:t>Art</w:t>
      </w:r>
      <w:r>
        <w:rPr>
          <w:bCs/>
          <w:color w:val="000000"/>
        </w:rPr>
        <w:t>, Music, Timing and Trance</w:t>
      </w:r>
      <w:commentRangeEnd w:id="64"/>
      <w:r w:rsidR="007A27AA">
        <w:rPr>
          <w:rStyle w:val="CommentReference"/>
          <w:sz w:val="26"/>
          <w:szCs w:val="26"/>
        </w:rPr>
        <w:commentReference w:id="64"/>
      </w:r>
      <w:bookmarkEnd w:id="66"/>
    </w:p>
    <w:p w14:paraId="493CCCCA" w14:textId="32FBC26A" w:rsidR="00A16F79" w:rsidRPr="00AE5E01" w:rsidRDefault="00A16F79" w:rsidP="00AE5E01">
      <w:pPr>
        <w:spacing w:line="360" w:lineRule="auto"/>
        <w:ind w:firstLine="720"/>
        <w:rPr>
          <w:lang w:val="en-US"/>
        </w:rPr>
      </w:pPr>
      <w:r>
        <w:t>As outlined by previous scholars, the Igbo, Wolof, and Kongo traditions reveal a shared African cosmological framework in which the material and spiritual realms are intertwined. In their traditions, art, sound, and timing serve as means of crossing between these two worlds. Using a blend of these cosmological ideas as a backdrop, investigations into their continuation will need to focus on an experience of spirit presence or possession. To benchmark this concept, the frameworks of Michael S. Merrill and Janice Boddy become relevant. Boddy defines possession as 'an interpenetration of spirit and matter… in a cosmos where the boundaries between individual and her environment are acknowledged to be permeable'.</w:t>
      </w:r>
      <w:r>
        <w:rPr>
          <w:vertAlign w:val="superscript"/>
        </w:rPr>
        <w:footnoteReference w:id="165"/>
      </w:r>
      <w:r>
        <w:t xml:space="preserve"> In short, an investigation into ‘spirit possession’ is an investigation of contact between the spirit and mundane worlds. As Merrill argues </w:t>
      </w:r>
      <w:r w:rsidR="007A27AA">
        <w:t>that ‘</w:t>
      </w:r>
      <w:r>
        <w:t>spirit possession' can be investigated through 'liminal transformations', where participants describe lessened levels of awareness, affirming 'altered states of consciousness'</w:t>
      </w:r>
      <w:r w:rsidR="00F66F27">
        <w:rPr>
          <w:lang w:val="en-US"/>
        </w:rPr>
        <w:t>.</w:t>
      </w:r>
      <w:r>
        <w:rPr>
          <w:vertAlign w:val="superscript"/>
        </w:rPr>
        <w:footnoteReference w:id="166"/>
      </w:r>
      <w:r>
        <w:t xml:space="preserve"> Together, it can be concluded that to affirm contact between the spiritual and </w:t>
      </w:r>
      <w:r>
        <w:lastRenderedPageBreak/>
        <w:t>physical worlds, descriptions of loss of ordinary self-boundaries can be effective. Using this as a benchmark, the Igbo, Wolof, and Kongo cosmologies provide a comparative template. Comparing Junkanoo participants’ testimonies and observations on the topics of costuming, music and timing supplies the data through which this study will investigate whether, and how, Junkanoo operates as a contemporary means of spiritual mediation.</w:t>
      </w:r>
    </w:p>
    <w:p w14:paraId="3C892B1D" w14:textId="77777777" w:rsidR="00A16F79" w:rsidRDefault="00A16F79" w:rsidP="00D10039">
      <w:pPr>
        <w:pStyle w:val="Heading5"/>
        <w:spacing w:line="360" w:lineRule="auto"/>
      </w:pPr>
      <w:bookmarkStart w:id="67" w:name="_3nwz0qp4frbg" w:colFirst="0" w:colLast="0"/>
      <w:bookmarkStart w:id="68" w:name="_Toc221201567"/>
      <w:bookmarkEnd w:id="67"/>
      <w:r>
        <w:t>Crossing the Plane in Costume</w:t>
      </w:r>
      <w:bookmarkEnd w:id="68"/>
    </w:p>
    <w:p w14:paraId="7547C72E" w14:textId="14463E84" w:rsidR="00A16F79" w:rsidRDefault="00A16F79" w:rsidP="00D10039">
      <w:pPr>
        <w:spacing w:line="360" w:lineRule="auto"/>
        <w:ind w:firstLine="720"/>
      </w:pPr>
      <w:r>
        <w:t>Participants frequently described that the costuming of Junkanoo encourages shifts from the ordinary self. These ideas mimic the embodied transformation articulated in Igbo masquerade traditions. For example, Participant 3 framed masquerading on Bay Street as liberating because of the costume. They account, 'If it’s one thing that I can say about masquerading on Bay Street, you have full autonomy to be complete idiots… it empowers me to step outside of my shell… when I perform, I’m completely different’.</w:t>
      </w:r>
      <w:r>
        <w:rPr>
          <w:vertAlign w:val="superscript"/>
        </w:rPr>
        <w:footnoteReference w:id="167"/>
      </w:r>
      <w:r>
        <w:t xml:space="preserve"> This narration positions the costume as a facilitator for an expression of an alternate self. Similarly, Participant 7 emphasised how being in costume enables deeper embodiment. They described that 'The costume adds a sense of security… you’re kind of hidden behind it so you can be more free'. Additionally, they added that they could 'fall more into the character' when behind a mask.</w:t>
      </w:r>
      <w:r w:rsidR="00F139B9" w:rsidRPr="00F139B9">
        <w:rPr>
          <w:vertAlign w:val="superscript"/>
        </w:rPr>
        <w:t xml:space="preserve"> </w:t>
      </w:r>
      <w:r w:rsidR="00F139B9">
        <w:rPr>
          <w:vertAlign w:val="superscript"/>
        </w:rPr>
        <w:footnoteReference w:id="168"/>
      </w:r>
      <w:r w:rsidR="00F139B9">
        <w:t xml:space="preserve"> </w:t>
      </w:r>
      <w:r>
        <w:t xml:space="preserve"> In this account, masking serves as a device that allows the performer to fully immerse in an alternate persona. Collectively, these accounts resonate with Igbo logics of possession-like embodiment, in which masking enables a crossing from ordinary personhood into a spiritual identity, inviting external influence. However, these accounts do not explicitly describe the costume as facilitating spiritual influence, and there are no expressions of a loss of </w:t>
      </w:r>
      <w:r>
        <w:lastRenderedPageBreak/>
        <w:t>awareness as outlined by Merrill. Instead, they construct Junkanoo costuming as a medium through which selfhood is reconfigured, positioning the body as a vessel for expression and embodied transformation rather than as an explicit site of spiritual takeover.</w:t>
      </w:r>
    </w:p>
    <w:p w14:paraId="5DB13322" w14:textId="54740BBB" w:rsidR="00A16F79" w:rsidRDefault="00A16F79" w:rsidP="00D10039">
      <w:pPr>
        <w:spacing w:line="360" w:lineRule="auto"/>
        <w:ind w:firstLine="720"/>
      </w:pPr>
      <w:r>
        <w:t>Secondly, participants framed costumes as powerful objects whose design and completeness shape the flow of energy. Participant 1 highlighted this through a comparison between incomplete and fully adorned costumes. After performing in rushed, unfinished costumes ('we had no feathers, nothing'), they described the crowd’s reaction as lukewarm. In contrast, they explained that when the costumes were completed the next day, 'It was like we were giving out something to them … Everyone in the area just gravitated to us'.</w:t>
      </w:r>
      <w:r>
        <w:rPr>
          <w:vertAlign w:val="superscript"/>
        </w:rPr>
        <w:footnoteReference w:id="169"/>
      </w:r>
      <w:r>
        <w:t xml:space="preserve"> This account positions </w:t>
      </w:r>
      <w:r w:rsidR="00502BA5">
        <w:t>Junkanoo’s</w:t>
      </w:r>
      <w:r>
        <w:t xml:space="preserve"> embellishments as more than mere decoration. Instead, these adornments function as facilitators for the energetic relationship between performer and audience, as if the material design actively emits a perceptible energy. In this regard, the completed costume functions as a charged object that draws others in. This mirrors Kongo principles in which forms decorated with beads and feathers hold spiritual power. Despite this aesthetic parallel, it could be argued that this account aligns more closely with previous expressions of divine force in Junkanoo than with explicit proof of a spirit invocation, as there are no indications of a change in consciousness. In contrast, Participant 3 accounted that ' [when the] costumes are fresh and clean and everything, it feels like the gods from above speaking on us, like our African ancestors… You could feel it, it’s a different kind of energy'.</w:t>
      </w:r>
      <w:r>
        <w:rPr>
          <w:vertAlign w:val="superscript"/>
        </w:rPr>
        <w:footnoteReference w:id="170"/>
      </w:r>
      <w:r>
        <w:t xml:space="preserve"> Here, the 'fresh and clean' costume serves as a conduit to spiritual beings and a mechanism for gaining their approval. This account contrasts the previous one by specifically </w:t>
      </w:r>
      <w:r>
        <w:lastRenderedPageBreak/>
        <w:t xml:space="preserve">mentioning the connection between </w:t>
      </w:r>
      <w:r w:rsidR="00502BA5">
        <w:t>Junkanoo</w:t>
      </w:r>
      <w:r>
        <w:t xml:space="preserve"> costuming and a felt spiritual presence. This further reflects Kongo logic in which the efficacy of material forms enables a heightened sense of spiritual presence. Additionally, the use of costumes to please the spiritual realm aligns with all three spiritual frameworks, in which communication with the spiritual plane is seen as necessary to gain spirits' favour. </w:t>
      </w:r>
    </w:p>
    <w:p w14:paraId="72039044" w14:textId="77777777" w:rsidR="00A16F79" w:rsidRDefault="00A16F79" w:rsidP="00D10039">
      <w:pPr>
        <w:spacing w:line="360" w:lineRule="auto"/>
        <w:ind w:firstLine="720"/>
      </w:pPr>
      <w:r>
        <w:t>Taken together, participants’ accounts assert that Junkanoo costuming facilitates a form of crossing between the ordinary and the extraordinary. First, the costume enables a change of self. This echoes Igbo logics of masquerade, in which masking loosens everyday identity and opens the participant to spiritual takeover. Secondly, the material completeness of the costume intensifies its efficacy. This resonates with Kongo ideas of spiritually efficacious art, where carefully crafted forms can channel unseen forces. However, benchmarks of spirit possession are largely absent from the narratives. Therefore, it can be concluded that the modern-day festival may be informed by cosmological logics of the Igbo and Kongo, but the continuity of these principles through costuming functions more as an aesthetic guide than an unchanging metaphysical principle that fosters contact with the spirit world. However, semblances of an explicit connection to the spiritual realm are experienced through the costuming of Junkanoo, suggesting a continuation of this cosmological principle in the modern parade.</w:t>
      </w:r>
    </w:p>
    <w:p w14:paraId="0DC276A5" w14:textId="77777777" w:rsidR="00A16F79" w:rsidRDefault="00A16F79" w:rsidP="00D10039">
      <w:pPr>
        <w:pStyle w:val="Heading5"/>
        <w:spacing w:line="360" w:lineRule="auto"/>
      </w:pPr>
      <w:bookmarkStart w:id="69" w:name="_37zww0h4xusf" w:colFirst="0" w:colLast="0"/>
      <w:bookmarkStart w:id="70" w:name="_Toc221201568"/>
      <w:bookmarkEnd w:id="69"/>
      <w:r>
        <w:t>Music and Trance</w:t>
      </w:r>
      <w:bookmarkEnd w:id="70"/>
    </w:p>
    <w:p w14:paraId="784E47D1" w14:textId="1C19D135" w:rsidR="00A16F79" w:rsidRDefault="00A16F79" w:rsidP="00D10039">
      <w:pPr>
        <w:spacing w:before="240" w:after="240" w:line="360" w:lineRule="auto"/>
        <w:ind w:firstLine="720"/>
      </w:pPr>
      <w:r>
        <w:t xml:space="preserve">Music is considered a powerful spiritual mechanism in Igbo and Wolof traditions. This idea is mirrored in the respondents of modern Junkanoo. Participants repeatedly framed Junkanoo percussion as inherently spiritual. Participant 1 articulated this most explicitly. They explained that 'There’s something spiritual about the patterns that we </w:t>
      </w:r>
      <w:r>
        <w:lastRenderedPageBreak/>
        <w:t>beat… because of slavery… the one thing that took them back to Africa… is drums'.</w:t>
      </w:r>
      <w:r>
        <w:rPr>
          <w:vertAlign w:val="superscript"/>
        </w:rPr>
        <w:footnoteReference w:id="171"/>
      </w:r>
      <w:r>
        <w:t xml:space="preserve"> This account positions drums as a historical and spiritual bridge between the living and their ancestors in Africa, rather than just entertainment. This aligns with Igbo cosmology, where drums are understood to foster connection between humans and their ancestors. Further, they recounted that 'It’s just the feeling of the drums on your heart and on your body… and obviously the connection to our ancestors that has healing powers'.</w:t>
      </w:r>
      <w:r>
        <w:rPr>
          <w:vertAlign w:val="superscript"/>
        </w:rPr>
        <w:footnoteReference w:id="172"/>
      </w:r>
      <w:r>
        <w:t xml:space="preserve"> This account constructs </w:t>
      </w:r>
      <w:r w:rsidR="00502BA5">
        <w:t>Junkanoo</w:t>
      </w:r>
      <w:r>
        <w:t xml:space="preserve"> drumming as spiritual technology that provides a connection to our ancestors and yields physical benefits in return.  In Igbo masquerade traditions, drums similarly operate as technologies that summon and sustain spiritual presence. Further, the use of drums to connect with the spiritual plane to experience ‘healing’ implies a blend of Igbo and Kongo traditions. Through Thompson’s ideas of the </w:t>
      </w:r>
      <w:r w:rsidR="00502BA5">
        <w:rPr>
          <w:i/>
          <w:iCs/>
        </w:rPr>
        <w:t>Nkisi</w:t>
      </w:r>
      <w:r>
        <w:t>, the Kongo believe that spirits can be contacted for physical healing. Therefore, the idea of drumming having healing effects mirrors the Kongo logic of crossing the plane to benefit from the spirits’ healing abilities. Taken together, these testimonies position Junkanoo percussion as a spiritually effective mechanism for crossing the boundaries of the spiritual plane</w:t>
      </w:r>
    </w:p>
    <w:p w14:paraId="6E261FC0" w14:textId="257BB16D" w:rsidR="00A16F79" w:rsidRDefault="00A16F79" w:rsidP="00D10039">
      <w:pPr>
        <w:spacing w:before="240" w:after="240" w:line="360" w:lineRule="auto"/>
        <w:ind w:firstLine="720"/>
      </w:pPr>
      <w:r>
        <w:t>Secondly, participants described Junkanoo music as compelling bodily surrender and altered states that closely align with Wolof traditions of spirit possession inspired by music. Participant 1 emphasised that movement is imposed by sound rather than consciously initiated. They describe that 'you don’t think of how you’re gonna move… your body just decides to move'.</w:t>
      </w:r>
      <w:r>
        <w:rPr>
          <w:vertAlign w:val="superscript"/>
        </w:rPr>
        <w:footnoteReference w:id="173"/>
      </w:r>
      <w:r>
        <w:t xml:space="preserve"> Similarly, Participant 2 described, 'It would start off with drums… hitting like your </w:t>
      </w:r>
      <w:r>
        <w:lastRenderedPageBreak/>
        <w:t>heartbeat… you can’t help but to move… it’s doing something to you that you can’t control.' They further described a dramatic shift in identity during performance. They testified that 'I go from who I would normally be… into a character of sorts… like a dog foaming at the mouth… There is no real semblance of who I am otherwise'.</w:t>
      </w:r>
      <w:r>
        <w:rPr>
          <w:vertAlign w:val="superscript"/>
        </w:rPr>
        <w:footnoteReference w:id="174"/>
      </w:r>
      <w:r>
        <w:t xml:space="preserve"> Collectively, these narratives construct Junkanoo’s music as an external animating force that displaces individual agency and overrides bodily control. Rather than acting intentionally, performers describe a state in which sound acts on the body, producing movement and identity transformation. This marks a shift from voluntary performance to compelled embodiment. In this sense, the body is no longer experienced as self-governed but as temporarily inhabited by an external force. This phenomenon closely parallels Wolof understandings of possession, in which sound summons spiritual forces that can enter and govern the human body. As Merrill outlines, possession is characterised by the displacement of self-awareness. By applying this logic, Junkanoo performance can be interpreted as a continuation of a cosmological logic in which music functions as a medium for altered states of consciousness, positioning performers as vessels for external forces. </w:t>
      </w:r>
    </w:p>
    <w:p w14:paraId="479CE849" w14:textId="164EFF74" w:rsidR="00A16F79" w:rsidRDefault="00A16F79" w:rsidP="00D10039">
      <w:pPr>
        <w:spacing w:before="240" w:after="240" w:line="360" w:lineRule="auto"/>
        <w:ind w:firstLine="720"/>
      </w:pPr>
      <w:r>
        <w:t xml:space="preserve">Overall, participants’ testimonies provide the most striking examples of spirit possession in Junkanoo, as inspired by music. The emphasis on percussion as a link to ancestors and a source of healing resonates with Igbo and Kongo understandings that view sound and ritual as means of connecting with the spirit world. At the same time, descriptions of involuntary movement, loss of the self, and the embodiment of an alternate persona closely mirror Wolof frameworks of music-induced possession. Additionally, these accounts provided insights most closely aligned with Merrill’s ideas about spirit </w:t>
      </w:r>
      <w:r>
        <w:lastRenderedPageBreak/>
        <w:t xml:space="preserve">possession. Through this lens, music becomes a spiritually effective mechanism, inducing trance-like states in modern </w:t>
      </w:r>
      <w:r w:rsidR="00502BA5">
        <w:t>Junkanoo</w:t>
      </w:r>
      <w:r>
        <w:t>. Therefore, the connection between music and spirit is best understood as a contemporary site where African cosmological principles of spiritual mediation, embodiment, and altered states of consciousness are implicitly enacted.</w:t>
      </w:r>
    </w:p>
    <w:p w14:paraId="698802C5" w14:textId="77777777" w:rsidR="00A16F79" w:rsidRDefault="00A16F79" w:rsidP="00D10039">
      <w:pPr>
        <w:pStyle w:val="Heading5"/>
        <w:spacing w:line="360" w:lineRule="auto"/>
      </w:pPr>
      <w:bookmarkStart w:id="71" w:name="_gb4vblhd1t0k" w:colFirst="0" w:colLast="0"/>
      <w:bookmarkStart w:id="72" w:name="_Toc221201569"/>
      <w:bookmarkEnd w:id="71"/>
      <w:r>
        <w:t>Nighttime and Junkanoo</w:t>
      </w:r>
      <w:bookmarkEnd w:id="72"/>
    </w:p>
    <w:p w14:paraId="21DF3FFF" w14:textId="5ACD0F75" w:rsidR="00A16F79" w:rsidRDefault="00A16F79" w:rsidP="00D10039">
      <w:pPr>
        <w:spacing w:before="240" w:after="240" w:line="360" w:lineRule="auto"/>
        <w:ind w:firstLine="720"/>
      </w:pPr>
      <w:r>
        <w:t>A striking historical account of Junkanoo from the 1950s frames night as a time of existing between realms. Anthony Carroll describes the transition from darkness into dawn as a metaphysical threshold. He recorded that 'When the magical time of the darkness giving way to the first crack of dawn… it seems like the escaping cover of darkness is taking with it our mystery, our secret power… like you are in transition from Junkanoo spirit into your normal carnal state'.</w:t>
      </w:r>
      <w:r>
        <w:rPr>
          <w:vertAlign w:val="superscript"/>
        </w:rPr>
        <w:footnoteReference w:id="175"/>
      </w:r>
      <w:r>
        <w:t xml:space="preserve"> In this testimony, night is constructed as the temporal condition that enables transformation into a 'Junkanoo spirit,' while daylight signals a return to ordinary embodiment. Carroll’s language of 'transition</w:t>
      </w:r>
      <w:r w:rsidR="00327DDA">
        <w:t>’ and</w:t>
      </w:r>
      <w:r>
        <w:t xml:space="preserve"> 'secret power' suggests that darkness creates conditions where performers can temporarily inhabit an alternate state. This points to the continuation of Kongo metaphysical principles, in which nighttime is considered an optimal time for spiritual presence, up until the 1950s.</w:t>
      </w:r>
    </w:p>
    <w:p w14:paraId="0CA6D9DB" w14:textId="4A53B179" w:rsidR="00A16F79" w:rsidRDefault="00A16F79" w:rsidP="00D10039">
      <w:pPr>
        <w:spacing w:before="240" w:after="240" w:line="360" w:lineRule="auto"/>
      </w:pPr>
      <w:r>
        <w:t xml:space="preserve"> </w:t>
      </w:r>
      <w:r w:rsidR="00154E5C">
        <w:tab/>
      </w:r>
      <w:r>
        <w:t xml:space="preserve">In contrast, Contemporary participants did not articulate night in such metaphysical terms. However, their testimonies still position darkness as essential to the experience, particularly through its relationship to costuming. When asked whether Junkanoo would be the same in the daytime, Participant 5 responded, 'Definitely not… We don’t make costumes for the daytime. We make costumes to bounce </w:t>
      </w:r>
      <w:r>
        <w:lastRenderedPageBreak/>
        <w:t>off the lights… a lot of costumes have lights and glitter… You don’t see the beauty of all of that in the daytime, but the costumes contrast against the night… so gorgeous'.</w:t>
      </w:r>
      <w:r>
        <w:rPr>
          <w:vertAlign w:val="superscript"/>
        </w:rPr>
        <w:footnoteReference w:id="176"/>
      </w:r>
      <w:r>
        <w:t xml:space="preserve"> Similarly, Participant 6 agreed that 'the costumes are just not as pretty in the daytime', affirming that these costumes are intentionally designed for the nighttime.</w:t>
      </w:r>
      <w:r>
        <w:rPr>
          <w:vertAlign w:val="superscript"/>
        </w:rPr>
        <w:footnoteReference w:id="177"/>
      </w:r>
      <w:r>
        <w:t xml:space="preserve"> These accounts frame night primarily in aesthetic terms rather than spiritual ones. Rather than functioning as a direct gateway to the spirit realm, night operates as a temporal medium through which energy and visibility are intensified. In this sense, the cosmological significance of darkness has not disappeared but has been translated from a metaphysical understanding into an aesthetic experience. Night remains the temporal space in which Junkanoo’s force becomes most fully realised. However, it is no longer articulated as spirit crossing. Instead, night heightens the activation of divine energy through material form, aligning more with assertions of the divine force in Junkanoo than with intentional interaction with the spiritual realm. </w:t>
      </w:r>
    </w:p>
    <w:p w14:paraId="78004D38" w14:textId="43C6A3A2" w:rsidR="00A16F79" w:rsidRDefault="00A16F79" w:rsidP="00D10039">
      <w:pPr>
        <w:spacing w:before="240" w:after="240" w:line="360" w:lineRule="auto"/>
        <w:ind w:firstLine="720"/>
      </w:pPr>
      <w:r>
        <w:t xml:space="preserve">Taken together, Carroll’s historical testimony and contemporary responses suggest both continuity and evolution of Kongo cosmological principles. Earlier accounts depict night as a spiritually charged period, whereas present-day participants emphasise night as the environment in which costumes come alive. In both cases, however, darkness intensifies the experience of Junkanoo, supporting the argument that night remains a crucial site for extraordinary states within Junkanoo. </w:t>
      </w:r>
    </w:p>
    <w:p w14:paraId="3E9F530E" w14:textId="77777777" w:rsidR="00A16F79" w:rsidRDefault="00A16F79" w:rsidP="00D10039">
      <w:pPr>
        <w:pStyle w:val="Heading5"/>
        <w:spacing w:line="360" w:lineRule="auto"/>
      </w:pPr>
      <w:bookmarkStart w:id="73" w:name="_wnunn23evvke" w:colFirst="0" w:colLast="0"/>
      <w:bookmarkStart w:id="74" w:name="_Toc221201570"/>
      <w:bookmarkEnd w:id="73"/>
      <w:r>
        <w:t>Summary of Findings: Crossing the Spiritual Plane</w:t>
      </w:r>
      <w:bookmarkEnd w:id="74"/>
    </w:p>
    <w:p w14:paraId="014227B7" w14:textId="77777777" w:rsidR="00A16F79" w:rsidRDefault="00A16F79" w:rsidP="00D10039">
      <w:pPr>
        <w:spacing w:before="240" w:after="240" w:line="360" w:lineRule="auto"/>
        <w:ind w:firstLine="720"/>
      </w:pPr>
      <w:r>
        <w:t xml:space="preserve">Taken together, the participant narratives produce a mixed perspective on the continuation of the African principle of crossing the </w:t>
      </w:r>
      <w:r>
        <w:lastRenderedPageBreak/>
        <w:t>spiritual plane through performance. Across costume, music, and sacred timing, participants’ testimonies reveal experiences that resonate with Igbo, Wolof, and Kongo cosmological logics of a permeable universe in which art, sound, and embodiment can mediate relations between the seen and unseen. This aligns with Njoku’s classification of Junkanoo as a diasporic masquerade tradition and Tonkin’s assertion that masquerade art is designed to channel and transmit power. Bilby’s argument that Junkanoo can function as a form of ancestral communication is reflected in participants’ descriptions of feeling moved, energised, or transformed through performance.</w:t>
      </w:r>
    </w:p>
    <w:p w14:paraId="61FA52F9" w14:textId="2D6406E0" w:rsidR="00A16F79" w:rsidRDefault="00A16F79" w:rsidP="00D10039">
      <w:pPr>
        <w:spacing w:before="240" w:after="240" w:line="360" w:lineRule="auto"/>
        <w:ind w:firstLine="720"/>
      </w:pPr>
      <w:r>
        <w:t xml:space="preserve">However, the findings also expand this scholarship by demonstrating that the operation of these principles in contemporary Junkanoo is uneven and transformed rather than an unaltered continuation of African spiritual systems. Regarding costuming and nighttime, the outlined spiritual systems were found to primarily serve as aesthetic informers for the festival rather than as mechanisms for spiritual connection. However, this shift does not indicate a loss of cosmological meaning. Rather, it suggests that the spiritual significance of night has been translated into an aesthetic form for the modern-day festival, indicating </w:t>
      </w:r>
      <w:r w:rsidR="0014175E">
        <w:rPr>
          <w:lang w:val="en-US"/>
        </w:rPr>
        <w:t xml:space="preserve">both </w:t>
      </w:r>
      <w:r>
        <w:t>a continuation and evolution of African metaphysical principles.</w:t>
      </w:r>
    </w:p>
    <w:p w14:paraId="5B4DFCD6" w14:textId="77777777" w:rsidR="00A16F79" w:rsidRDefault="00A16F79" w:rsidP="00D10039">
      <w:pPr>
        <w:spacing w:before="240" w:after="240" w:line="360" w:lineRule="auto"/>
        <w:ind w:firstLine="720"/>
      </w:pPr>
      <w:r>
        <w:t xml:space="preserve">Music emerged as the strongest site of continuity with African cosmological frameworks. Participants framed percussion as a bridge to ancestral memory, a source of healing, and a force capable of overriding bodily agency. These accounts closely mirror Wolof traditions of music-induced possession and align with Igbo understandings of sound as a spiritually effective technology. Descriptions of involuntary movement, identity displacement, and compelled embodiment resonate strongly with Merrill’s concept of liminal transformation, suggesting that music remains a primary </w:t>
      </w:r>
      <w:r>
        <w:lastRenderedPageBreak/>
        <w:t>mechanism through which African cosmological principles of spiritual mediation persist within Junkanoo.</w:t>
      </w:r>
    </w:p>
    <w:p w14:paraId="59E99600" w14:textId="0826FEC2" w:rsidR="00A16F79" w:rsidRDefault="00A16F79" w:rsidP="00D10039">
      <w:pPr>
        <w:spacing w:before="100" w:after="100" w:line="360" w:lineRule="auto"/>
        <w:ind w:firstLine="720"/>
      </w:pPr>
      <w:r>
        <w:t xml:space="preserve">These findings complicate the sacred–secular binary that has structured much of the existing scholarship. These conclusions extend this debate by showing that, even where participants do not explicitly name their experiences as 'spiritual,' their descriptions consistently reflect African cosmological principles of spiritual permeability through art forms. These frameworks appear to persist implicitly within contemporary performance, shaping how practitioners experience transformation, connection, and intensity. On one hand, these findings support the secular argument, suggesting that some forms of African </w:t>
      </w:r>
      <w:r w:rsidR="00E97AE9">
        <w:rPr>
          <w:lang w:val="en-US"/>
        </w:rPr>
        <w:t>cosmological logic</w:t>
      </w:r>
      <w:r>
        <w:t xml:space="preserve"> are no longer spiritually potent. On the other hand, this mirrors Bilby's work in asserting that, despite a conscious rejection of Junkanoo as spiritual in The Bahamas, the </w:t>
      </w:r>
      <w:r w:rsidR="005A21A5">
        <w:rPr>
          <w:lang w:val="en-US"/>
        </w:rPr>
        <w:t>metaphysical</w:t>
      </w:r>
      <w:r>
        <w:t xml:space="preserve"> frameworks of Africa still persist beneath the surface. Ultimately, Junkanoo can be understood not as a fully sacred ritual nor a purely secular spectacle, but as a living, dynamic tradition in which African cosmological logics continue to structure how performers move between ordinary and extraordinary states. </w:t>
      </w:r>
    </w:p>
    <w:p w14:paraId="712C6C4B" w14:textId="77777777" w:rsidR="00A16F79" w:rsidRDefault="00A16F79" w:rsidP="00D10039">
      <w:pPr>
        <w:spacing w:before="240" w:after="240" w:line="360" w:lineRule="auto"/>
        <w:ind w:firstLine="720"/>
      </w:pPr>
      <w:r>
        <w:t>The findings reinforce DeCosmo’s framing of Junkanoo as a hybrid tradition. Igbo, Wolof, and Kongo logics all appear legible in the contemporary experiences outlined. Additionally, like explorations of the divine force, all three African traditions make contributions to Junkanoo. Through this lens, the idea that ‘Liberated Africans’ had a larger contribution to the modern Bahamas remains inconclusive. However, it could be suggested that the Igbo and Kongo potentially revitalised traditional aspects of earlier groups, such as the Wolof, as Adderly noted.</w:t>
      </w:r>
    </w:p>
    <w:p w14:paraId="50436178" w14:textId="77777777" w:rsidR="00A16F79" w:rsidRDefault="00A16F79" w:rsidP="00D10039">
      <w:pPr>
        <w:spacing w:before="240" w:after="240" w:line="360" w:lineRule="auto"/>
        <w:ind w:firstLine="720"/>
      </w:pPr>
      <w:r>
        <w:t xml:space="preserve">Ultimately, these findings expand existing scholarship on Junkanoo in The Bahamas by highlighting the continuation and </w:t>
      </w:r>
      <w:r>
        <w:lastRenderedPageBreak/>
        <w:t xml:space="preserve">evolution of African cosmological frameworks in the modern parade. Further, these conclusions widen scholarship on diasporic traditions by exploring how spiritual underpinnings can be reimagined as aesthetic informants. </w:t>
      </w:r>
    </w:p>
    <w:p w14:paraId="43FF2BE9" w14:textId="77777777" w:rsidR="00A16F79" w:rsidRDefault="00A16F79" w:rsidP="00D10039">
      <w:pPr>
        <w:spacing w:before="240" w:after="240" w:line="360" w:lineRule="auto"/>
      </w:pPr>
    </w:p>
    <w:p w14:paraId="2F445207" w14:textId="77777777" w:rsidR="00A16F79" w:rsidRDefault="00000000" w:rsidP="00D10039">
      <w:pPr>
        <w:spacing w:before="240" w:after="240" w:line="360" w:lineRule="auto"/>
      </w:pPr>
      <w:r>
        <w:pict w14:anchorId="534F6F50">
          <v:rect id="_x0000_i1028" style="width:0;height:1.5pt" o:hralign="center" o:hrstd="t" o:hr="t" fillcolor="#a0a0a0" stroked="f"/>
        </w:pict>
      </w:r>
    </w:p>
    <w:p w14:paraId="6B0B9BD9" w14:textId="77777777" w:rsidR="00A16F79" w:rsidRDefault="00A16F79" w:rsidP="00D10039">
      <w:pPr>
        <w:pStyle w:val="Heading2"/>
        <w:keepNext w:val="0"/>
        <w:keepLines w:val="0"/>
        <w:spacing w:line="360" w:lineRule="auto"/>
      </w:pPr>
      <w:bookmarkStart w:id="75" w:name="_pznvp7knhvar" w:colFirst="0" w:colLast="0"/>
      <w:bookmarkStart w:id="76" w:name="_Toc221201571"/>
      <w:bookmarkEnd w:id="75"/>
      <w:r>
        <w:t>Overall Conclusion and Contribution</w:t>
      </w:r>
      <w:bookmarkEnd w:id="76"/>
    </w:p>
    <w:p w14:paraId="3766D4B6" w14:textId="77777777" w:rsidR="00A16F79" w:rsidRDefault="00A16F79" w:rsidP="00D10039">
      <w:pPr>
        <w:spacing w:before="120" w:after="120" w:line="360" w:lineRule="auto"/>
        <w:ind w:firstLine="720"/>
      </w:pPr>
      <w:r>
        <w:t>This thesis aimed to explore the extent of persistence of African cosmological systems in modern-day Bahamian Junkanoo. This study used Afrocentric methods to justify the use of qualitative methods that foreground African cosmological thought and the lived experiences of insiders to the practice. The aim of applying Afrocentric methods was to combat frequent historiographical challenges against African systems and their subsequent diaspora.</w:t>
      </w:r>
    </w:p>
    <w:p w14:paraId="7EFB0DC6" w14:textId="0360B32A" w:rsidR="00A16F79" w:rsidRDefault="00A16F79" w:rsidP="00D10039">
      <w:pPr>
        <w:spacing w:before="240" w:after="240" w:line="360" w:lineRule="auto"/>
        <w:ind w:firstLine="720"/>
      </w:pPr>
      <w:r>
        <w:t xml:space="preserve">Drawing on the work of DeCosmo and </w:t>
      </w:r>
      <w:r w:rsidR="00327DDA">
        <w:t>Njoku, this</w:t>
      </w:r>
      <w:r>
        <w:t xml:space="preserve"> thesis adopted a multicultural approach to analysing Junkanoo’s cosmological foundations.  Drawing on historical sources, six primary ethnic groups were identified as integral to The Bahamas' demographics: the Akan, Wolof, Mande, Yoruba, Kongo, and Igbo peoples. Using a blend of traditions contributed to the scholarly debate on the potential genesis of Junkanoo by pinpointing shared elements across varied traditions. Historians, Craton and Adderly, asserted that ‘Liberated Africans’ introduced a more vibrant African culture to The Bahamas. However, the Yoruba, Kongo, and Igbo did not seem to disproportionately inform aspects of Junkanoo. As a result, this study stands as an antithesis to the highlighting of these groups in Bahamian culture and the subsequent downplay of the influences of earlier groups such as the Akan, Wolof, and Mande peoples. </w:t>
      </w:r>
    </w:p>
    <w:p w14:paraId="004C65F6" w14:textId="5817BDFA" w:rsidR="00A16F79" w:rsidRDefault="00A16F79" w:rsidP="00D10039">
      <w:pPr>
        <w:spacing w:before="240" w:after="240" w:line="360" w:lineRule="auto"/>
        <w:ind w:firstLine="720"/>
      </w:pPr>
      <w:r>
        <w:lastRenderedPageBreak/>
        <w:t xml:space="preserve">Blended equally, these six groups provided the traditions that informed understandings of African cosmologies imported into The Bahamas and how these may have contributed to Bahamian Junkanoo tradition. Using these frameworks, their ideas of spirit, power, and artistic expression were compared with modern-day Junkanooers’ narratives to understand further how these principles persist or have evolved in The Bahamas. Exploring concepts from these cosmologies offered an alternative perspective on Junkanoo’s music, costumes, and performances, and how these connect to African spiritual systems in contemporary practice. </w:t>
      </w:r>
    </w:p>
    <w:p w14:paraId="0DF039C1" w14:textId="77777777" w:rsidR="00A16F79" w:rsidRDefault="00A16F79" w:rsidP="00D10039">
      <w:pPr>
        <w:spacing w:before="120" w:after="120" w:line="360" w:lineRule="auto"/>
        <w:ind w:firstLine="720"/>
      </w:pPr>
      <w:r>
        <w:t>Junkanooers asserted that the festival is charged with a perceptible ‘power’ or ‘energy’. As in African contexts, this power was most notably experienced through music, art, and collective participation. Through this lens, Junkanoo can be reimagined as a contemporary example of how African spiritual frameworks that describe a divine creative force have sustained in modernised contexts. This conclusion broadens the existing scholarship on masquerade traditions and their modern forms, finally contributing perspectives on Bahamian Junkanoo and their foundational metaphysical logics.</w:t>
      </w:r>
    </w:p>
    <w:p w14:paraId="53E45B1C" w14:textId="77777777" w:rsidR="00A16F79" w:rsidRDefault="00A16F79" w:rsidP="00D10039">
      <w:pPr>
        <w:spacing w:line="360" w:lineRule="auto"/>
        <w:ind w:firstLine="720"/>
      </w:pPr>
      <w:r>
        <w:t>When exploring the connection between modern-day Junkanoo and the idea of an external spiritual plane that can interact with the human world, continuity is less explicit. Participant narratives were varied, offering alternating views on whether Junkanoo forms interact with spiritual realms. Even though spirit possession was not always evident, African metaphysical logic persists on an aesthetic level, underlying the tradition of Junkanoo.</w:t>
      </w:r>
    </w:p>
    <w:p w14:paraId="7A8819A4" w14:textId="7A8DC220" w:rsidR="00A16F79" w:rsidRDefault="00A16F79" w:rsidP="00D10039">
      <w:pPr>
        <w:spacing w:line="360" w:lineRule="auto"/>
        <w:ind w:firstLine="720"/>
      </w:pPr>
      <w:r>
        <w:t xml:space="preserve">Overall, the study's findings suggest that African principles are not merely the origins of modern Junkanoo. In contrast, they continue to influence this festival. African cosmology continues to structure </w:t>
      </w:r>
      <w:r>
        <w:lastRenderedPageBreak/>
        <w:t>how art forms are perceived and how power is interacted with in the modern world. Participants of the study rarely assert</w:t>
      </w:r>
      <w:r w:rsidR="00C64BAD">
        <w:rPr>
          <w:lang w:val="en-US"/>
        </w:rPr>
        <w:t>ed</w:t>
      </w:r>
      <w:r>
        <w:t xml:space="preserve"> that Junkanoo is a religious system. However, their experiences do display similarities with African religious frameworks. This supports the view that that spirituality can persist implicitly and without religious structures. Therefore, the study contributes to the idea that spirituality is not merely a matter of belief systems. In contrast, spirituality, as it is displayed in </w:t>
      </w:r>
      <w:r w:rsidR="00737207">
        <w:t>Junkanoo</w:t>
      </w:r>
      <w:r>
        <w:t>, is best understood as a sensory experience that is just as spiritually effective. This directly challenges Western religious models that scholarship frequently asserts. As this definition of spirituality aligns more closely with African frameworks, it can also be asserted that African ways of experiencing spirituality remain valid and effective. Thus, Junkanoo provides a powerful example of how diaspora traditions adapt and persist in the Caribbean, maintaining underlying metaphysical frameworks.</w:t>
      </w:r>
    </w:p>
    <w:p w14:paraId="524C9E24" w14:textId="6A9AABB5" w:rsidR="00A16F79" w:rsidRDefault="00A16F79" w:rsidP="00D10039">
      <w:pPr>
        <w:spacing w:before="120" w:after="120" w:line="360" w:lineRule="auto"/>
        <w:ind w:firstLine="720"/>
      </w:pPr>
      <w:r>
        <w:t xml:space="preserve">Importantly, these findings directly address gaps in existing literature. Previous scholarship has neglected to understand how African cosmological systems have contributed to Junkanoo. This study directly addresses this gap by providing specificity to cosmological systems that have aesthetic and experiential parallels with the modern-day festival. Secondly, other masquerade traditions have been identified as connected to African religiosity. However, </w:t>
      </w:r>
      <w:r w:rsidR="00E75B47">
        <w:rPr>
          <w:lang w:val="en-US"/>
        </w:rPr>
        <w:t>T</w:t>
      </w:r>
      <w:r>
        <w:t xml:space="preserve">he Bahamas has mainly been left out of the conversation. To address this, this study has drawn on previous scholars who have explored cosmological foundations of other masquerade traditions and extended them to include Bahamian Junkanoo. Lastly, previous studies have attempted to engage with the African religiosity that underlines the festival. However, the research neglects the largest and most lively version of the festival in the Bahamas. To address this exclusion, this study specifically focuses on Nassau-based Junkanoo performers and their experiences.  Further, scholars have debated whether or not </w:t>
      </w:r>
      <w:r>
        <w:lastRenderedPageBreak/>
        <w:t xml:space="preserve">Junkanoo is secular or religious. However, this argument as a whole seems to describe ‘spiritual’ in a Western sense, rejecting the commonly African viewpoint of an omnipresence of spirituality. </w:t>
      </w:r>
      <w:r w:rsidR="00737207">
        <w:t>Privileging</w:t>
      </w:r>
      <w:r>
        <w:t xml:space="preserve"> an African perspective</w:t>
      </w:r>
      <w:r w:rsidR="00DB74CB">
        <w:rPr>
          <w:lang w:val="en-US"/>
        </w:rPr>
        <w:t>,</w:t>
      </w:r>
      <w:r>
        <w:t xml:space="preserve"> rather than asking whether Junkanoo is ‘religious’, this thesis has explored the deeper cosmological frameworks of its origins, contributing to broader scholarship on African diasporic continuity and how spirituality can persist beyond formal religious structures. In synthesis, this study has expanded scholarship by offering a modern perspective on Junkanoo and, more broadly, diasporic art forms and spirituality.</w:t>
      </w:r>
    </w:p>
    <w:p w14:paraId="605BA4C4" w14:textId="77777777" w:rsidR="00A16F79" w:rsidRDefault="00A16F79" w:rsidP="00D10039">
      <w:pPr>
        <w:spacing w:before="120" w:after="120" w:line="360" w:lineRule="auto"/>
        <w:ind w:firstLine="720"/>
      </w:pPr>
      <w:r>
        <w:t xml:space="preserve">Outlined limitations may have shaped the outcomes of this study in several ways. The historiographical challenges surrounding African cosmologies mean that the comparative frameworks employed are examined through sources already distorted by colonialism. As a result, the African cosmological principles used in this analysis should be understood as interpretive guides rather than fixed systems. This may have influenced the study’s emphasis on experiential resonance over direct ritual continuity. Additionally, the small, largely A-division–focused sample may have foregrounded experiences associated with larger Junkanoo groups, potentially amplifying narratives of intensity and crowd interaction while underrepresenting expressions found in smaller groups. Time constraints and limited access to participants may have further narrowed the range of perspectives. Nevertheless, these constraints do not undermine the study’s core findings. Rather, they situate the research as an exploratory investigation into lived experience, offering a foundation for future research that could expand sampling scope and further interrogate variation across Junkanoo communities. Future research could build upon this study by expanding the participant pool or comparing the Nassau festival with other living Junkanoo festivals on other Bahamian islands. Also, the comparative effects of age, gender, or group affiliation on the </w:t>
      </w:r>
      <w:r>
        <w:lastRenderedPageBreak/>
        <w:t>persistence of cosmological frameworks in the festival could be further explored.</w:t>
      </w:r>
    </w:p>
    <w:p w14:paraId="36CCDD4D" w14:textId="77777777" w:rsidR="00A16F79" w:rsidRDefault="00A16F79" w:rsidP="00D10039">
      <w:pPr>
        <w:spacing w:before="120" w:after="120" w:line="360" w:lineRule="auto"/>
        <w:ind w:firstLine="720"/>
      </w:pPr>
      <w:r>
        <w:t>Ultimately, this thesis has proved that Junkanoo is far more than a cultural expression or modern tourist attraction. Instead, it has proven to be a living archive of African cosmological thought. This festival continues to resonate on a spiritual level through the sound of its drums, the design of its costumes, and the collective energy of its audiences. In this way, Junkanoo demonstrates that the nation's African history continues to be remembered and felt in the modern-day Bahamas.</w:t>
      </w:r>
    </w:p>
    <w:p w14:paraId="1EA0C774" w14:textId="77777777" w:rsidR="00160102" w:rsidRDefault="00160102" w:rsidP="00D10039">
      <w:pPr>
        <w:spacing w:before="240" w:after="240" w:line="360" w:lineRule="auto"/>
      </w:pPr>
    </w:p>
    <w:p w14:paraId="28371274" w14:textId="77777777" w:rsidR="00160102" w:rsidRDefault="00160102" w:rsidP="00D10039">
      <w:pPr>
        <w:spacing w:before="240" w:after="240" w:line="360" w:lineRule="auto"/>
      </w:pPr>
    </w:p>
    <w:p w14:paraId="6C52B49A" w14:textId="2F98440E" w:rsidR="00A16F79" w:rsidRDefault="00A16F79" w:rsidP="00D10039">
      <w:pPr>
        <w:spacing w:before="240" w:after="240" w:line="360" w:lineRule="auto"/>
      </w:pPr>
      <w:r>
        <w:t>Word count- 15,7</w:t>
      </w:r>
      <w:r w:rsidR="00CE411C">
        <w:rPr>
          <w:lang w:val="en-US"/>
        </w:rPr>
        <w:t>0</w:t>
      </w:r>
      <w:r w:rsidR="00814761">
        <w:rPr>
          <w:lang w:val="en-US"/>
        </w:rPr>
        <w:t>1</w:t>
      </w:r>
      <w:r w:rsidR="00160102">
        <w:t>.</w:t>
      </w:r>
    </w:p>
    <w:p w14:paraId="3BE76BC9" w14:textId="77777777" w:rsidR="00A16F79" w:rsidRDefault="00A16F79" w:rsidP="00D10039">
      <w:pPr>
        <w:spacing w:before="240" w:after="240" w:line="360" w:lineRule="auto"/>
      </w:pPr>
    </w:p>
    <w:p w14:paraId="381ED0F7" w14:textId="77777777" w:rsidR="00A16F79" w:rsidRDefault="00A16F79" w:rsidP="00D10039">
      <w:pPr>
        <w:spacing w:before="240" w:after="240" w:line="360" w:lineRule="auto"/>
      </w:pPr>
      <w:r>
        <w:br w:type="page"/>
      </w:r>
    </w:p>
    <w:p w14:paraId="1143707F" w14:textId="77777777" w:rsidR="00A16F79" w:rsidRDefault="00A16F79">
      <w:pPr>
        <w:spacing w:before="240" w:after="240" w:line="360" w:lineRule="auto"/>
      </w:pPr>
    </w:p>
    <w:p w14:paraId="633F66AA" w14:textId="77777777" w:rsidR="00A16F79" w:rsidRDefault="00A16F79">
      <w:pPr>
        <w:pStyle w:val="Heading2"/>
        <w:widowControl w:val="0"/>
        <w:spacing w:line="360" w:lineRule="auto"/>
      </w:pPr>
      <w:bookmarkStart w:id="77" w:name="_mi32lv32jl1s" w:colFirst="0" w:colLast="0"/>
      <w:bookmarkStart w:id="78" w:name="_Toc221201572"/>
      <w:bookmarkEnd w:id="77"/>
      <w:r>
        <w:t>Bibliography​</w:t>
      </w:r>
      <w:bookmarkEnd w:id="78"/>
    </w:p>
    <w:p w14:paraId="6CCF6DE8" w14:textId="7CECE0EE" w:rsidR="00A555C5" w:rsidRPr="00A555C5" w:rsidRDefault="00A555C5" w:rsidP="00A555C5">
      <w:pPr>
        <w:widowControl w:val="0"/>
        <w:shd w:val="clear" w:color="auto" w:fill="FFFFFF"/>
        <w:spacing w:after="180" w:line="360" w:lineRule="auto"/>
        <w:ind w:left="900" w:hanging="440"/>
      </w:pPr>
      <w:r w:rsidRPr="00A555C5">
        <w:rPr>
          <w:i/>
          <w:iCs/>
        </w:rPr>
        <w:t>Nassau Guardian</w:t>
      </w:r>
      <w:r w:rsidR="0072421B">
        <w:rPr>
          <w:i/>
          <w:iCs/>
        </w:rPr>
        <w:t xml:space="preserve"> </w:t>
      </w:r>
      <w:r w:rsidRPr="00A555C5">
        <w:rPr>
          <w:i/>
          <w:iCs/>
        </w:rPr>
        <w:t>The Nassau Guardian, </w:t>
      </w:r>
      <w:r w:rsidRPr="00A555C5">
        <w:t>(December 26 1849) &lt;</w:t>
      </w:r>
      <w:hyperlink r:id="rId17" w:tgtFrame="_blank" w:history="1">
        <w:r w:rsidRPr="00A555C5">
          <w:rPr>
            <w:rStyle w:val="Hyperlink"/>
          </w:rPr>
          <w:t>https://ufdc.ufl.edu/aa00076890/00084</w:t>
        </w:r>
      </w:hyperlink>
      <w:r w:rsidRPr="00A555C5">
        <w:t>&gt; [accessed 20th Nov. 2025]</w:t>
      </w:r>
    </w:p>
    <w:p w14:paraId="6CB846B4" w14:textId="77777777" w:rsidR="00A555C5" w:rsidRPr="00A555C5" w:rsidRDefault="00A555C5" w:rsidP="00A555C5">
      <w:pPr>
        <w:widowControl w:val="0"/>
        <w:shd w:val="clear" w:color="auto" w:fill="FFFFFF"/>
        <w:spacing w:after="180" w:line="360" w:lineRule="auto"/>
        <w:ind w:left="900" w:hanging="440"/>
      </w:pPr>
      <w:r w:rsidRPr="00A555C5">
        <w:t>Abiodun, Rowland, 'Àṣẹ: Verbalizing and Visualizing Creative Power through Art', </w:t>
      </w:r>
      <w:r w:rsidRPr="00A555C5">
        <w:rPr>
          <w:i/>
          <w:iCs/>
        </w:rPr>
        <w:t>Journal of Religion in Africa, </w:t>
      </w:r>
      <w:r w:rsidRPr="00A555C5">
        <w:t>24 (1994a), 309–322</w:t>
      </w:r>
      <w:r w:rsidRPr="00A555C5">
        <w:rPr>
          <w:i/>
          <w:iCs/>
        </w:rPr>
        <w:t>, in JSTOR</w:t>
      </w:r>
      <w:r w:rsidRPr="00A555C5">
        <w:t> &lt;</w:t>
      </w:r>
      <w:hyperlink r:id="rId18" w:tgtFrame="_blank" w:history="1">
        <w:r w:rsidRPr="00A555C5">
          <w:rPr>
            <w:rStyle w:val="Hyperlink"/>
          </w:rPr>
          <w:t>http://www.jstor.org/stable/1581339</w:t>
        </w:r>
      </w:hyperlink>
      <w:r w:rsidRPr="00A555C5">
        <w:t>&gt;</w:t>
      </w:r>
    </w:p>
    <w:p w14:paraId="747D571B" w14:textId="77777777" w:rsidR="00A555C5" w:rsidRPr="00A555C5" w:rsidRDefault="00A555C5" w:rsidP="00A555C5">
      <w:pPr>
        <w:widowControl w:val="0"/>
        <w:shd w:val="clear" w:color="auto" w:fill="FFFFFF"/>
        <w:spacing w:after="180" w:line="360" w:lineRule="auto"/>
        <w:ind w:left="900" w:hanging="440"/>
      </w:pPr>
      <w:r w:rsidRPr="00A555C5">
        <w:t>---'Understanding Yoruba Art and Aesthetics: The Concept of Ase', </w:t>
      </w:r>
      <w:r w:rsidRPr="00A555C5">
        <w:rPr>
          <w:i/>
          <w:iCs/>
        </w:rPr>
        <w:t>African Arts, </w:t>
      </w:r>
      <w:r w:rsidRPr="00A555C5">
        <w:t>27 (1994b), 68–103</w:t>
      </w:r>
      <w:r w:rsidRPr="00A555C5">
        <w:rPr>
          <w:i/>
          <w:iCs/>
        </w:rPr>
        <w:t>, in JSTOR</w:t>
      </w:r>
      <w:r w:rsidRPr="00A555C5">
        <w:t> &lt;</w:t>
      </w:r>
      <w:hyperlink r:id="rId19" w:tgtFrame="_blank" w:history="1">
        <w:r w:rsidRPr="00A555C5">
          <w:rPr>
            <w:rStyle w:val="Hyperlink"/>
          </w:rPr>
          <w:t>http://www.jstor.org/stable/3337203</w:t>
        </w:r>
      </w:hyperlink>
      <w:r w:rsidRPr="00A555C5">
        <w:t>&gt;</w:t>
      </w:r>
    </w:p>
    <w:p w14:paraId="0783A06C" w14:textId="77777777" w:rsidR="00A555C5" w:rsidRPr="00A555C5" w:rsidRDefault="00A555C5" w:rsidP="00A555C5">
      <w:pPr>
        <w:widowControl w:val="0"/>
        <w:shd w:val="clear" w:color="auto" w:fill="FFFFFF"/>
        <w:spacing w:after="180" w:line="360" w:lineRule="auto"/>
        <w:ind w:left="900" w:hanging="440"/>
      </w:pPr>
      <w:r w:rsidRPr="00A555C5">
        <w:t>Abrams, Nancy E. and Joel R. Primack, 'Cosmology and 21st-Century Culture', </w:t>
      </w:r>
      <w:r w:rsidRPr="00A555C5">
        <w:rPr>
          <w:i/>
          <w:iCs/>
        </w:rPr>
        <w:t>Science, </w:t>
      </w:r>
      <w:r w:rsidRPr="00A555C5">
        <w:t>293 (2001), 1769–1770</w:t>
      </w:r>
      <w:r w:rsidRPr="00A555C5">
        <w:rPr>
          <w:i/>
          <w:iCs/>
        </w:rPr>
        <w:t>, in JSTOR</w:t>
      </w:r>
      <w:r w:rsidRPr="00A555C5">
        <w:t> &lt;</w:t>
      </w:r>
      <w:hyperlink r:id="rId20" w:tgtFrame="_blank" w:history="1">
        <w:r w:rsidRPr="00A555C5">
          <w:rPr>
            <w:rStyle w:val="Hyperlink"/>
          </w:rPr>
          <w:t>http://www.jstor.org/stable/3084659</w:t>
        </w:r>
      </w:hyperlink>
      <w:r w:rsidRPr="00A555C5">
        <w:t>&gt;</w:t>
      </w:r>
    </w:p>
    <w:p w14:paraId="5FADFB37" w14:textId="77777777" w:rsidR="00A555C5" w:rsidRPr="00A555C5" w:rsidRDefault="00A555C5" w:rsidP="00A555C5">
      <w:pPr>
        <w:widowControl w:val="0"/>
        <w:shd w:val="clear" w:color="auto" w:fill="FFFFFF"/>
        <w:spacing w:after="180" w:line="360" w:lineRule="auto"/>
        <w:ind w:left="900" w:hanging="440"/>
      </w:pPr>
      <w:r w:rsidRPr="00A555C5">
        <w:t>Adderley, Rosanne M., </w:t>
      </w:r>
      <w:r w:rsidRPr="00A555C5">
        <w:rPr>
          <w:i/>
          <w:iCs/>
        </w:rPr>
        <w:t>"New Negroes from Africa" : Slave Trade Abolition and Free African Settlement in the Nineteenth-Century Caribbean</w:t>
      </w:r>
      <w:r w:rsidRPr="00A555C5">
        <w:t> (Bloomington: Indiana University Press, 2006)</w:t>
      </w:r>
    </w:p>
    <w:p w14:paraId="308B5EB9" w14:textId="77777777" w:rsidR="00A555C5" w:rsidRPr="00A555C5" w:rsidRDefault="00A555C5" w:rsidP="00A555C5">
      <w:pPr>
        <w:widowControl w:val="0"/>
        <w:shd w:val="clear" w:color="auto" w:fill="FFFFFF"/>
        <w:spacing w:after="180" w:line="360" w:lineRule="auto"/>
        <w:ind w:left="900" w:hanging="440"/>
      </w:pPr>
      <w:r w:rsidRPr="00A555C5">
        <w:t>Adogame, Afe, 'Cosmology', in </w:t>
      </w:r>
      <w:r w:rsidRPr="00A555C5">
        <w:rPr>
          <w:i/>
          <w:iCs/>
        </w:rPr>
        <w:t>Enclyopedia of African Religion</w:t>
      </w:r>
      <w:r w:rsidRPr="00A555C5">
        <w:t>, ed. by Molefi Kete Asante and Ama Mazama(United States: Sage Publications, 2009), pp. 178–181</w:t>
      </w:r>
    </w:p>
    <w:p w14:paraId="6DBDAEB4" w14:textId="77777777" w:rsidR="00A555C5" w:rsidRPr="00A555C5" w:rsidRDefault="00A555C5" w:rsidP="00A555C5">
      <w:pPr>
        <w:widowControl w:val="0"/>
        <w:shd w:val="clear" w:color="auto" w:fill="FFFFFF"/>
        <w:spacing w:after="180" w:line="360" w:lineRule="auto"/>
        <w:ind w:left="900" w:hanging="440"/>
      </w:pPr>
      <w:r w:rsidRPr="00A555C5">
        <w:t>Albury, Paul, </w:t>
      </w:r>
      <w:r w:rsidRPr="00A555C5">
        <w:rPr>
          <w:i/>
          <w:iCs/>
        </w:rPr>
        <w:t>The Story of the Bahamas</w:t>
      </w:r>
      <w:r w:rsidRPr="00A555C5">
        <w:t> (London: Macmillan Caribbean, 1975)</w:t>
      </w:r>
      <w:r w:rsidRPr="00A555C5">
        <w:rPr>
          <w:i/>
          <w:iCs/>
        </w:rPr>
        <w:t>, in Internet Archive</w:t>
      </w:r>
      <w:r w:rsidRPr="00A555C5">
        <w:t> &lt;</w:t>
      </w:r>
      <w:hyperlink r:id="rId21" w:tgtFrame="_blank" w:history="1">
        <w:r w:rsidRPr="00A555C5">
          <w:rPr>
            <w:rStyle w:val="Hyperlink"/>
          </w:rPr>
          <w:t>https://archive.org/details/storyofbahamas0000albu</w:t>
        </w:r>
      </w:hyperlink>
      <w:r w:rsidRPr="00A555C5">
        <w:t>&gt;</w:t>
      </w:r>
    </w:p>
    <w:p w14:paraId="20E424E1" w14:textId="77777777" w:rsidR="00A555C5" w:rsidRPr="00A555C5" w:rsidRDefault="00A555C5" w:rsidP="00A555C5">
      <w:pPr>
        <w:widowControl w:val="0"/>
        <w:shd w:val="clear" w:color="auto" w:fill="FFFFFF"/>
        <w:spacing w:after="180" w:line="360" w:lineRule="auto"/>
        <w:ind w:left="900" w:hanging="440"/>
      </w:pPr>
      <w:r w:rsidRPr="00A555C5">
        <w:t>Ampene, Kwasi, 'Power and Responsibility: Royalty and</w:t>
      </w:r>
      <w:r w:rsidRPr="00A555C5">
        <w:br/>
        <w:t>the Performing Arts in Asante-Ghana', </w:t>
      </w:r>
      <w:r w:rsidRPr="00A555C5">
        <w:rPr>
          <w:i/>
          <w:iCs/>
        </w:rPr>
        <w:t>African Studies Review, </w:t>
      </w:r>
      <w:r w:rsidRPr="00A555C5">
        <w:t xml:space="preserve">64 (2021), 523–546 </w:t>
      </w:r>
      <w:r w:rsidRPr="00A555C5">
        <w:lastRenderedPageBreak/>
        <w:t>&lt;</w:t>
      </w:r>
      <w:hyperlink r:id="rId22" w:tgtFrame="_blank" w:history="1">
        <w:r w:rsidRPr="00A555C5">
          <w:rPr>
            <w:rStyle w:val="Hyperlink"/>
          </w:rPr>
          <w:t>https://www.cambridge.org/core/journals/african-studies-review/article/abs/power-and-responsibility-royalty-and-the-performing-arts-in-asanteghana/375D875339EEF8A962EE6D55CFCD1CB7</w:t>
        </w:r>
      </w:hyperlink>
      <w:r w:rsidRPr="00A555C5">
        <w:t>&gt;</w:t>
      </w:r>
    </w:p>
    <w:p w14:paraId="6B679E62" w14:textId="77777777" w:rsidR="00A555C5" w:rsidRPr="00A555C5" w:rsidRDefault="00A555C5" w:rsidP="00A555C5">
      <w:pPr>
        <w:widowControl w:val="0"/>
        <w:shd w:val="clear" w:color="auto" w:fill="FFFFFF"/>
        <w:spacing w:after="180" w:line="360" w:lineRule="auto"/>
        <w:ind w:left="900" w:hanging="440"/>
      </w:pPr>
      <w:r w:rsidRPr="00A555C5">
        <w:t>Atkinson, Joshua D., 'Qualitative Methods', in </w:t>
      </w:r>
      <w:r w:rsidRPr="00A555C5">
        <w:rPr>
          <w:i/>
          <w:iCs/>
        </w:rPr>
        <w:t>Journey into Social Activism</w:t>
      </w:r>
      <w:r w:rsidRPr="00A555C5">
        <w:t>(Fordham University Press, 2017), pp. 65–98</w:t>
      </w:r>
      <w:r w:rsidRPr="00A555C5">
        <w:rPr>
          <w:i/>
          <w:iCs/>
        </w:rPr>
        <w:t>, in JSTOR</w:t>
      </w:r>
      <w:r w:rsidRPr="00A555C5">
        <w:t> &lt;</w:t>
      </w:r>
      <w:hyperlink r:id="rId23" w:tgtFrame="_blank" w:history="1">
        <w:r w:rsidRPr="00A555C5">
          <w:rPr>
            <w:rStyle w:val="Hyperlink"/>
          </w:rPr>
          <w:t>http://www.jstor.org/stable/j.ctt1hfr0rk.6</w:t>
        </w:r>
      </w:hyperlink>
      <w:r w:rsidRPr="00A555C5">
        <w:t>&gt;</w:t>
      </w:r>
    </w:p>
    <w:p w14:paraId="0133FCDB" w14:textId="77777777" w:rsidR="00A555C5" w:rsidRPr="00A555C5" w:rsidRDefault="00A555C5" w:rsidP="00A555C5">
      <w:pPr>
        <w:widowControl w:val="0"/>
        <w:shd w:val="clear" w:color="auto" w:fill="FFFFFF"/>
        <w:spacing w:after="180" w:line="360" w:lineRule="auto"/>
        <w:ind w:left="900" w:hanging="440"/>
      </w:pPr>
      <w:r w:rsidRPr="00A555C5">
        <w:t>Balonon-Rosen, Peter, 'Out of this World: An Ethnographic Study of Mystics, Spirits, and Animist Practices in Senegal' (Independent Study Project (ISP) Collection, Tufts University, 2013) &lt;</w:t>
      </w:r>
      <w:hyperlink r:id="rId24" w:tgtFrame="_blank" w:history="1">
        <w:r w:rsidRPr="00A555C5">
          <w:rPr>
            <w:rStyle w:val="Hyperlink"/>
          </w:rPr>
          <w:t>https://digitalcollections.sit.edu/isp_collection/1511</w:t>
        </w:r>
      </w:hyperlink>
      <w:r w:rsidRPr="00A555C5">
        <w:t>&gt; [accessed November 19th 2025]</w:t>
      </w:r>
    </w:p>
    <w:p w14:paraId="42781CB9" w14:textId="77777777" w:rsidR="00A555C5" w:rsidRPr="00A555C5" w:rsidRDefault="00A555C5" w:rsidP="00A555C5">
      <w:pPr>
        <w:widowControl w:val="0"/>
        <w:shd w:val="clear" w:color="auto" w:fill="FFFFFF"/>
        <w:spacing w:after="180" w:line="360" w:lineRule="auto"/>
        <w:ind w:left="900" w:hanging="440"/>
      </w:pPr>
      <w:r w:rsidRPr="00A555C5">
        <w:t>Bethel, Nicolette, 'Junkanoo in the Bahamas: A Tale of Identity', in </w:t>
      </w:r>
      <w:r w:rsidRPr="00A555C5">
        <w:rPr>
          <w:i/>
          <w:iCs/>
        </w:rPr>
        <w:t>Junkanoo and Religion : Christianity and Cultural Identity in the Bahamas : Papers Presented at the Junkanoo Symposium, March 2002</w:t>
      </w:r>
      <w:r w:rsidRPr="00A555C5">
        <w:t>, ed. by Jessica Minnis(Media Enterprises Ltd, 2003), pp. 118–129 &lt;</w:t>
      </w:r>
      <w:hyperlink r:id="rId25" w:tgtFrame="_blank" w:history="1">
        <w:r w:rsidRPr="00A555C5">
          <w:rPr>
            <w:rStyle w:val="Hyperlink"/>
          </w:rPr>
          <w:t>https://archive.org/details/junkanooreligion0000junk</w:t>
        </w:r>
      </w:hyperlink>
      <w:r w:rsidRPr="00A555C5">
        <w:t>&gt;</w:t>
      </w:r>
    </w:p>
    <w:p w14:paraId="14F2C3C5" w14:textId="77777777" w:rsidR="00A555C5" w:rsidRPr="00A555C5" w:rsidRDefault="00A555C5" w:rsidP="00A555C5">
      <w:pPr>
        <w:widowControl w:val="0"/>
        <w:shd w:val="clear" w:color="auto" w:fill="FFFFFF"/>
        <w:spacing w:after="180" w:line="360" w:lineRule="auto"/>
        <w:ind w:left="900" w:hanging="440"/>
      </w:pPr>
      <w:r w:rsidRPr="00A555C5">
        <w:t>Bilby, Kenneth, 'Christmas with the Ancestors: Jonkonnu and Related Festivities in Jamaica', </w:t>
      </w:r>
      <w:r w:rsidRPr="00A555C5">
        <w:rPr>
          <w:i/>
          <w:iCs/>
        </w:rPr>
        <w:t>Cariso! the Newsletter of the Alton Augustus Adams Music Research Institute, </w:t>
      </w:r>
      <w:r w:rsidRPr="00A555C5">
        <w:t>(2005)</w:t>
      </w:r>
    </w:p>
    <w:p w14:paraId="404D2459" w14:textId="77777777" w:rsidR="00A555C5" w:rsidRPr="00A555C5" w:rsidRDefault="00A555C5" w:rsidP="00A555C5">
      <w:pPr>
        <w:widowControl w:val="0"/>
        <w:shd w:val="clear" w:color="auto" w:fill="FFFFFF"/>
        <w:spacing w:after="180" w:line="360" w:lineRule="auto"/>
        <w:ind w:left="900" w:hanging="440"/>
      </w:pPr>
      <w:r w:rsidRPr="00A555C5">
        <w:t>---'Gumbay, Myal, and the Great House: New Evidence on the Religious Background of Jonkonnu in Jamaica', </w:t>
      </w:r>
      <w:r w:rsidRPr="00A555C5">
        <w:rPr>
          <w:i/>
          <w:iCs/>
        </w:rPr>
        <w:t>ACIJ Research Review, </w:t>
      </w:r>
      <w:r w:rsidRPr="00A555C5">
        <w:t>4 (1999), 47–69</w:t>
      </w:r>
    </w:p>
    <w:p w14:paraId="6A78449E" w14:textId="77777777" w:rsidR="00A555C5" w:rsidRPr="00A555C5" w:rsidRDefault="00A555C5" w:rsidP="00A555C5">
      <w:pPr>
        <w:widowControl w:val="0"/>
        <w:shd w:val="clear" w:color="auto" w:fill="FFFFFF"/>
        <w:spacing w:after="180" w:line="360" w:lineRule="auto"/>
        <w:ind w:left="900" w:hanging="440"/>
      </w:pPr>
      <w:r w:rsidRPr="00A555C5">
        <w:t>---'Suviving Secularization: Masking the Spirit in the Jankunu (John Canoe) Festivals of the Caribbean', </w:t>
      </w:r>
      <w:r w:rsidRPr="00A555C5">
        <w:rPr>
          <w:i/>
          <w:iCs/>
        </w:rPr>
        <w:t>New West Indian Guide, </w:t>
      </w:r>
      <w:r w:rsidRPr="00A555C5">
        <w:t>84 (2010), 179–223</w:t>
      </w:r>
    </w:p>
    <w:p w14:paraId="22ED5CE2" w14:textId="77777777" w:rsidR="00A555C5" w:rsidRPr="00A555C5" w:rsidRDefault="00A555C5" w:rsidP="00A555C5">
      <w:pPr>
        <w:widowControl w:val="0"/>
        <w:shd w:val="clear" w:color="auto" w:fill="FFFFFF"/>
        <w:spacing w:after="180" w:line="360" w:lineRule="auto"/>
        <w:ind w:left="900" w:hanging="440"/>
      </w:pPr>
      <w:r w:rsidRPr="00A555C5">
        <w:t>Boddy, Janice, 'Spirit Possession Revisited: Beyond Instrumentality', </w:t>
      </w:r>
      <w:r w:rsidRPr="00A555C5">
        <w:rPr>
          <w:i/>
          <w:iCs/>
        </w:rPr>
        <w:t>Annual Review of Anthropology, </w:t>
      </w:r>
      <w:r w:rsidRPr="00A555C5">
        <w:t xml:space="preserve">23 (1994), </w:t>
      </w:r>
      <w:r w:rsidRPr="00A555C5">
        <w:lastRenderedPageBreak/>
        <w:t>407–434</w:t>
      </w:r>
      <w:r w:rsidRPr="00A555C5">
        <w:rPr>
          <w:i/>
          <w:iCs/>
        </w:rPr>
        <w:t>, in JSTOR</w:t>
      </w:r>
      <w:r w:rsidRPr="00A555C5">
        <w:t> &lt;</w:t>
      </w:r>
      <w:hyperlink r:id="rId26" w:tgtFrame="_blank" w:history="1">
        <w:r w:rsidRPr="00A555C5">
          <w:rPr>
            <w:rStyle w:val="Hyperlink"/>
          </w:rPr>
          <w:t>http://www.jstor.org/stable/2156020</w:t>
        </w:r>
      </w:hyperlink>
      <w:r w:rsidRPr="00A555C5">
        <w:t>&gt;</w:t>
      </w:r>
    </w:p>
    <w:p w14:paraId="07110AC5" w14:textId="77777777" w:rsidR="00A555C5" w:rsidRPr="00A555C5" w:rsidRDefault="00A555C5" w:rsidP="00A555C5">
      <w:pPr>
        <w:widowControl w:val="0"/>
        <w:shd w:val="clear" w:color="auto" w:fill="FFFFFF"/>
        <w:spacing w:after="180" w:line="360" w:lineRule="auto"/>
        <w:ind w:left="900" w:hanging="440"/>
      </w:pPr>
      <w:r w:rsidRPr="00A555C5">
        <w:t>Bowleg, Etienne E., 'Liturgical Implications of Junkanoo', in </w:t>
      </w:r>
      <w:r w:rsidRPr="00A555C5">
        <w:rPr>
          <w:i/>
          <w:iCs/>
        </w:rPr>
        <w:t>Junkanoo and Religion : Christianity and Cultural Identity in the Bahamas : Papers Presented at the Junkanoo Symposium, March 2002</w:t>
      </w:r>
      <w:r w:rsidRPr="00A555C5">
        <w:t>, ed. by Jessica Minnis(Media Enterprises Ltd, 2003), pp. 89–95 &lt;</w:t>
      </w:r>
      <w:hyperlink r:id="rId27" w:tgtFrame="_blank" w:history="1">
        <w:r w:rsidRPr="00A555C5">
          <w:rPr>
            <w:rStyle w:val="Hyperlink"/>
          </w:rPr>
          <w:t>https://archive.org/details/junkanooreligion0000junk</w:t>
        </w:r>
      </w:hyperlink>
      <w:r w:rsidRPr="00A555C5">
        <w:t>&gt;</w:t>
      </w:r>
    </w:p>
    <w:p w14:paraId="33D6D1AD" w14:textId="77777777" w:rsidR="00A555C5" w:rsidRPr="00A555C5" w:rsidRDefault="00A555C5" w:rsidP="00A555C5">
      <w:pPr>
        <w:widowControl w:val="0"/>
        <w:shd w:val="clear" w:color="auto" w:fill="FFFFFF"/>
        <w:spacing w:after="180" w:line="360" w:lineRule="auto"/>
        <w:ind w:left="900" w:hanging="440"/>
      </w:pPr>
      <w:r w:rsidRPr="00A555C5">
        <w:t>Braun, Virginia and Victoria Clarke, 'Using Thematic Analysis in Psychology', </w:t>
      </w:r>
      <w:r w:rsidRPr="00A555C5">
        <w:rPr>
          <w:i/>
          <w:iCs/>
        </w:rPr>
        <w:t>Qualitative Research in Psychology, </w:t>
      </w:r>
      <w:r w:rsidRPr="00A555C5">
        <w:t>3 (2006)</w:t>
      </w:r>
    </w:p>
    <w:p w14:paraId="5336B6D5" w14:textId="77777777" w:rsidR="00A555C5" w:rsidRPr="00A555C5" w:rsidRDefault="00A555C5" w:rsidP="00A555C5">
      <w:pPr>
        <w:widowControl w:val="0"/>
        <w:shd w:val="clear" w:color="auto" w:fill="FFFFFF"/>
        <w:spacing w:after="180" w:line="360" w:lineRule="auto"/>
        <w:ind w:left="900" w:hanging="440"/>
      </w:pPr>
      <w:r w:rsidRPr="00A555C5">
        <w:t>Campion, Nicholas, </w:t>
      </w:r>
      <w:r w:rsidRPr="00A555C5">
        <w:rPr>
          <w:i/>
          <w:iCs/>
        </w:rPr>
        <w:t>Astrology and Cosmology in the Worlds Religions</w:t>
      </w:r>
      <w:r w:rsidRPr="00A555C5">
        <w:t> (NYU Press, 2012)</w:t>
      </w:r>
      <w:r w:rsidRPr="00A555C5">
        <w:rPr>
          <w:i/>
          <w:iCs/>
        </w:rPr>
        <w:t>, in JSTOR</w:t>
      </w:r>
      <w:r w:rsidRPr="00A555C5">
        <w:t> &lt;</w:t>
      </w:r>
      <w:hyperlink r:id="rId28" w:tgtFrame="_blank" w:history="1">
        <w:r w:rsidRPr="00A555C5">
          <w:rPr>
            <w:rStyle w:val="Hyperlink"/>
          </w:rPr>
          <w:t>http://www.jstor.org/stable/j.ctt9qg5q5</w:t>
        </w:r>
      </w:hyperlink>
      <w:r w:rsidRPr="00A555C5">
        <w:t>&gt;</w:t>
      </w:r>
    </w:p>
    <w:p w14:paraId="7510F32D" w14:textId="77777777" w:rsidR="00A555C5" w:rsidRPr="00A555C5" w:rsidRDefault="00A555C5" w:rsidP="00A555C5">
      <w:pPr>
        <w:widowControl w:val="0"/>
        <w:shd w:val="clear" w:color="auto" w:fill="FFFFFF"/>
        <w:spacing w:after="180" w:line="360" w:lineRule="auto"/>
        <w:ind w:left="900" w:hanging="440"/>
      </w:pPr>
      <w:r w:rsidRPr="00A555C5">
        <w:t>Carroll, Anthony B. (., </w:t>
      </w:r>
      <w:r w:rsidRPr="00A555C5">
        <w:rPr>
          <w:i/>
          <w:iCs/>
        </w:rPr>
        <w:t>The History of Junkanoo Part One: My Way all the Way</w:t>
      </w:r>
      <w:r w:rsidRPr="00A555C5">
        <w:t> (Bloomington: AuthorHouse, 2007)</w:t>
      </w:r>
    </w:p>
    <w:p w14:paraId="264DF179" w14:textId="77777777" w:rsidR="00A555C5" w:rsidRPr="00A555C5" w:rsidRDefault="00A555C5" w:rsidP="00A555C5">
      <w:pPr>
        <w:widowControl w:val="0"/>
        <w:shd w:val="clear" w:color="auto" w:fill="FFFFFF"/>
        <w:spacing w:after="180" w:line="360" w:lineRule="auto"/>
        <w:ind w:left="900" w:hanging="440"/>
      </w:pPr>
      <w:r w:rsidRPr="00A555C5">
        <w:t>Charry, Eric, </w:t>
      </w:r>
      <w:r w:rsidRPr="00A555C5">
        <w:rPr>
          <w:i/>
          <w:iCs/>
        </w:rPr>
        <w:t>Mande Music</w:t>
      </w:r>
      <w:r w:rsidRPr="00A555C5">
        <w:rPr>
          <w:i/>
          <w:iCs/>
        </w:rPr>
        <w:br/>
        <w:t>Traditional and Modern Music of the Maninka and Mandinka of Western Africa</w:t>
      </w:r>
      <w:r w:rsidRPr="00A555C5">
        <w:t> (University of Chicago press, 2000)</w:t>
      </w:r>
    </w:p>
    <w:p w14:paraId="173566A2" w14:textId="77777777" w:rsidR="00A555C5" w:rsidRPr="00A555C5" w:rsidRDefault="00A555C5" w:rsidP="00A555C5">
      <w:pPr>
        <w:widowControl w:val="0"/>
        <w:shd w:val="clear" w:color="auto" w:fill="FFFFFF"/>
        <w:spacing w:after="180" w:line="360" w:lineRule="auto"/>
        <w:ind w:left="900" w:hanging="440"/>
      </w:pPr>
      <w:r w:rsidRPr="00A555C5">
        <w:t>Chavez, Christina, 'Conceptualizing from the Inside: Advantages, Complications, and</w:t>
      </w:r>
      <w:r w:rsidRPr="00A555C5">
        <w:br/>
        <w:t>Demands on Insider Positionality', </w:t>
      </w:r>
      <w:r w:rsidRPr="00A555C5">
        <w:rPr>
          <w:i/>
          <w:iCs/>
        </w:rPr>
        <w:t>The Qualitative Report, </w:t>
      </w:r>
      <w:r w:rsidRPr="00A555C5">
        <w:t>13 (2008), 474–494</w:t>
      </w:r>
    </w:p>
    <w:p w14:paraId="76AF06C0" w14:textId="77777777" w:rsidR="00A555C5" w:rsidRPr="00A555C5" w:rsidRDefault="00A555C5" w:rsidP="00A555C5">
      <w:pPr>
        <w:widowControl w:val="0"/>
        <w:shd w:val="clear" w:color="auto" w:fill="FFFFFF"/>
        <w:spacing w:after="180" w:line="360" w:lineRule="auto"/>
        <w:ind w:left="900" w:hanging="440"/>
      </w:pPr>
      <w:r w:rsidRPr="00A555C5">
        <w:t>Chhabra, Gagan, 'Insider, Outsider Or an in-Betweener? Epistemological</w:t>
      </w:r>
      <w:r w:rsidRPr="00A555C5">
        <w:br/>
        <w:t>Reflections of a Legally Blind Researcher on Conducting</w:t>
      </w:r>
      <w:r w:rsidRPr="00A555C5">
        <w:br/>
        <w:t>Cross-National Disability Research', </w:t>
      </w:r>
      <w:r w:rsidRPr="00A555C5">
        <w:rPr>
          <w:i/>
          <w:iCs/>
        </w:rPr>
        <w:t>Scandinavian Journal of Disability Research, </w:t>
      </w:r>
      <w:r w:rsidRPr="00A555C5">
        <w:t>22 (2020), 307–317</w:t>
      </w:r>
    </w:p>
    <w:p w14:paraId="33A2F2E8" w14:textId="77777777" w:rsidR="00A555C5" w:rsidRPr="00A555C5" w:rsidRDefault="00A555C5" w:rsidP="00A555C5">
      <w:pPr>
        <w:widowControl w:val="0"/>
        <w:shd w:val="clear" w:color="auto" w:fill="FFFFFF"/>
        <w:spacing w:after="180" w:line="360" w:lineRule="auto"/>
        <w:ind w:left="900" w:hanging="440"/>
      </w:pPr>
      <w:r w:rsidRPr="00A555C5">
        <w:t>Cole, Herbert M. and Chike Cyril Aniakor, </w:t>
      </w:r>
      <w:r w:rsidRPr="00A555C5">
        <w:rPr>
          <w:i/>
          <w:iCs/>
        </w:rPr>
        <w:t>Igbo Arts : Community and Cosmos</w:t>
      </w:r>
      <w:r w:rsidRPr="00A555C5">
        <w:t xml:space="preserve"> (Los Angeles: Museum of Cultural History, </w:t>
      </w:r>
      <w:r w:rsidRPr="00A555C5">
        <w:lastRenderedPageBreak/>
        <w:t>University of California, 1984)</w:t>
      </w:r>
    </w:p>
    <w:p w14:paraId="0D4D6B34" w14:textId="77777777" w:rsidR="00A555C5" w:rsidRPr="00A555C5" w:rsidRDefault="00A555C5" w:rsidP="00A555C5">
      <w:pPr>
        <w:widowControl w:val="0"/>
        <w:shd w:val="clear" w:color="auto" w:fill="FFFFFF"/>
        <w:spacing w:after="180" w:line="360" w:lineRule="auto"/>
        <w:ind w:left="900" w:hanging="440"/>
      </w:pPr>
      <w:r w:rsidRPr="00A555C5">
        <w:t>Craton, Michael, </w:t>
      </w:r>
      <w:r w:rsidRPr="00A555C5">
        <w:rPr>
          <w:i/>
          <w:iCs/>
        </w:rPr>
        <w:t>A History of the Bahamas</w:t>
      </w:r>
      <w:r w:rsidRPr="00A555C5">
        <w:t> (San Salvador Press, 1986)</w:t>
      </w:r>
      <w:r w:rsidRPr="00A555C5">
        <w:rPr>
          <w:i/>
          <w:iCs/>
        </w:rPr>
        <w:t>, in Internet Archive</w:t>
      </w:r>
      <w:r w:rsidRPr="00A555C5">
        <w:t> &lt;</w:t>
      </w:r>
      <w:hyperlink r:id="rId29" w:tgtFrame="_blank" w:history="1">
        <w:r w:rsidRPr="00A555C5">
          <w:rPr>
            <w:rStyle w:val="Hyperlink"/>
          </w:rPr>
          <w:t>https://archive.org/details/historyofbahamas0000crat/</w:t>
        </w:r>
      </w:hyperlink>
      <w:r w:rsidRPr="00A555C5">
        <w:t>&gt;</w:t>
      </w:r>
    </w:p>
    <w:p w14:paraId="6E1650DA" w14:textId="77777777" w:rsidR="00A555C5" w:rsidRPr="00A555C5" w:rsidRDefault="00A555C5" w:rsidP="00A555C5">
      <w:pPr>
        <w:widowControl w:val="0"/>
        <w:shd w:val="clear" w:color="auto" w:fill="FFFFFF"/>
        <w:spacing w:after="180" w:line="360" w:lineRule="auto"/>
        <w:ind w:left="900" w:hanging="440"/>
      </w:pPr>
      <w:r w:rsidRPr="00A555C5">
        <w:t>Craton, Michael and Gail Saunders, </w:t>
      </w:r>
      <w:r w:rsidRPr="00A555C5">
        <w:rPr>
          <w:i/>
          <w:iCs/>
        </w:rPr>
        <w:t>Islanders in the Stream: A History of the Bahamian People</w:t>
      </w:r>
      <w:r w:rsidRPr="00A555C5">
        <w:t>, One vols (University of Georgia Press, 1992)</w:t>
      </w:r>
      <w:r w:rsidRPr="00A555C5">
        <w:rPr>
          <w:i/>
          <w:iCs/>
        </w:rPr>
        <w:t>, in Internet Archive</w:t>
      </w:r>
    </w:p>
    <w:p w14:paraId="6928A66A" w14:textId="77777777" w:rsidR="00A555C5" w:rsidRPr="00A555C5" w:rsidRDefault="00A555C5" w:rsidP="00A555C5">
      <w:pPr>
        <w:widowControl w:val="0"/>
        <w:shd w:val="clear" w:color="auto" w:fill="FFFFFF"/>
        <w:spacing w:after="180" w:line="360" w:lineRule="auto"/>
        <w:ind w:left="900" w:hanging="440"/>
      </w:pPr>
      <w:r w:rsidRPr="00A555C5">
        <w:t>DeCosmo, Janet L., 'Junkanoo: The African Cultural Connection in Nassau, Bahamas', </w:t>
      </w:r>
      <w:r w:rsidRPr="00A555C5">
        <w:rPr>
          <w:i/>
          <w:iCs/>
        </w:rPr>
        <w:t>The Western Journal of Black Studies, </w:t>
      </w:r>
      <w:r w:rsidRPr="00A555C5">
        <w:t>27 (2003)</w:t>
      </w:r>
    </w:p>
    <w:p w14:paraId="57852E03" w14:textId="77777777" w:rsidR="00A555C5" w:rsidRPr="00A555C5" w:rsidRDefault="00A555C5" w:rsidP="00A555C5">
      <w:pPr>
        <w:widowControl w:val="0"/>
        <w:shd w:val="clear" w:color="auto" w:fill="FFFFFF"/>
        <w:spacing w:after="180" w:line="360" w:lineRule="auto"/>
        <w:ind w:left="900" w:hanging="440"/>
      </w:pPr>
      <w:r w:rsidRPr="00A555C5">
        <w:t>Dwyer, Sonya C. and Jennifer L. Buckle, 'The Space between:</w:t>
      </w:r>
      <w:r w:rsidRPr="00A555C5">
        <w:br/>
        <w:t>On being an Insider-Outsider in Qualitative Research', </w:t>
      </w:r>
      <w:r w:rsidRPr="00A555C5">
        <w:rPr>
          <w:i/>
          <w:iCs/>
        </w:rPr>
        <w:t>International Journal of Qualititive Methods, </w:t>
      </w:r>
      <w:r w:rsidRPr="00A555C5">
        <w:t>(2009), 54–63</w:t>
      </w:r>
    </w:p>
    <w:p w14:paraId="2B430C72" w14:textId="77777777" w:rsidR="00A555C5" w:rsidRPr="00A555C5" w:rsidRDefault="00A555C5" w:rsidP="00A555C5">
      <w:pPr>
        <w:widowControl w:val="0"/>
        <w:shd w:val="clear" w:color="auto" w:fill="FFFFFF"/>
        <w:spacing w:after="180" w:line="360" w:lineRule="auto"/>
        <w:ind w:left="900" w:hanging="440"/>
      </w:pPr>
      <w:r w:rsidRPr="00A555C5">
        <w:t>Elits, David, </w:t>
      </w:r>
      <w:r w:rsidRPr="00A555C5">
        <w:rPr>
          <w:i/>
          <w:iCs/>
        </w:rPr>
        <w:t>The Trans-Atlantic Slave Trade Database, </w:t>
      </w:r>
      <w:r w:rsidRPr="00A555C5">
        <w:t>(SlaveVoyages, ) &lt;</w:t>
      </w:r>
      <w:hyperlink r:id="rId30" w:tgtFrame="_blank" w:history="1">
        <w:r w:rsidRPr="00A555C5">
          <w:rPr>
            <w:rStyle w:val="Hyperlink"/>
          </w:rPr>
          <w:t>https://www.slavevoyages.org</w:t>
        </w:r>
      </w:hyperlink>
      <w:r w:rsidRPr="00A555C5">
        <w:t>&gt; [accessed 22nd Jan. 2026]</w:t>
      </w:r>
    </w:p>
    <w:p w14:paraId="464145B5" w14:textId="6C93CB58" w:rsidR="00A555C5" w:rsidRPr="00A555C5" w:rsidRDefault="00A555C5" w:rsidP="00A555C5">
      <w:pPr>
        <w:widowControl w:val="0"/>
        <w:shd w:val="clear" w:color="auto" w:fill="FFFFFF"/>
        <w:spacing w:after="180" w:line="360" w:lineRule="auto"/>
        <w:ind w:left="900" w:hanging="440"/>
      </w:pPr>
      <w:r w:rsidRPr="00A555C5">
        <w:t>Eze, Okorie I., '</w:t>
      </w:r>
      <w:r w:rsidR="0072421B" w:rsidRPr="00A555C5">
        <w:t>Challenges</w:t>
      </w:r>
      <w:r w:rsidRPr="00A555C5">
        <w:t xml:space="preserve"> to Igbo Traditional Religio-Cultural Renaissance in the Midst of Globalization' (Doctor of Philosophy, Nnamdi Azikiwe University, 2019) [accessed January 20th 2026]</w:t>
      </w:r>
    </w:p>
    <w:p w14:paraId="511C17DB" w14:textId="77777777" w:rsidR="00A555C5" w:rsidRPr="00A555C5" w:rsidRDefault="00A555C5" w:rsidP="00A555C5">
      <w:pPr>
        <w:widowControl w:val="0"/>
        <w:shd w:val="clear" w:color="auto" w:fill="FFFFFF"/>
        <w:spacing w:after="180" w:line="360" w:lineRule="auto"/>
        <w:ind w:left="900" w:hanging="440"/>
      </w:pPr>
      <w:r w:rsidRPr="00A555C5">
        <w:t>Gill, P. and others, 'Methods of Data Collection</w:t>
      </w:r>
      <w:r w:rsidRPr="00A555C5">
        <w:br/>
        <w:t>in Qualitative Research:</w:t>
      </w:r>
      <w:r w:rsidRPr="00A555C5">
        <w:br/>
        <w:t>Interviews and Focus Groups', </w:t>
      </w:r>
      <w:r w:rsidRPr="00A555C5">
        <w:rPr>
          <w:i/>
          <w:iCs/>
        </w:rPr>
        <w:t>British Dental Journal, </w:t>
      </w:r>
      <w:r w:rsidRPr="00A555C5">
        <w:t>204 (2008), 291–295</w:t>
      </w:r>
    </w:p>
    <w:p w14:paraId="3DCC0400" w14:textId="77777777" w:rsidR="00A555C5" w:rsidRPr="00A555C5" w:rsidRDefault="00A555C5" w:rsidP="00A555C5">
      <w:pPr>
        <w:widowControl w:val="0"/>
        <w:shd w:val="clear" w:color="auto" w:fill="FFFFFF"/>
        <w:spacing w:after="180" w:line="360" w:lineRule="auto"/>
        <w:ind w:left="900" w:hanging="440"/>
      </w:pPr>
      <w:r w:rsidRPr="00A555C5">
        <w:t>Gyekye, Kwame, </w:t>
      </w:r>
      <w:r w:rsidRPr="00A555C5">
        <w:rPr>
          <w:i/>
          <w:iCs/>
        </w:rPr>
        <w:t>An Essay on African Philosophical Thought : The Akan Conceptual Scheme</w:t>
      </w:r>
      <w:r w:rsidRPr="00A555C5">
        <w:t xml:space="preserve"> (United States: University of </w:t>
      </w:r>
      <w:r w:rsidRPr="00A555C5">
        <w:lastRenderedPageBreak/>
        <w:t>Cambridge Press, 1987) &lt;</w:t>
      </w:r>
      <w:hyperlink r:id="rId31" w:tgtFrame="_blank" w:history="1">
        <w:r w:rsidRPr="00A555C5">
          <w:rPr>
            <w:rStyle w:val="Hyperlink"/>
          </w:rPr>
          <w:t>https://archive.org/details/essayonafricanph0000gyek_n3h5</w:t>
        </w:r>
      </w:hyperlink>
      <w:r w:rsidRPr="00A555C5">
        <w:t>&gt;</w:t>
      </w:r>
    </w:p>
    <w:p w14:paraId="56C24CDD" w14:textId="77777777" w:rsidR="00A555C5" w:rsidRPr="00A555C5" w:rsidRDefault="00A555C5" w:rsidP="00A555C5">
      <w:pPr>
        <w:widowControl w:val="0"/>
        <w:shd w:val="clear" w:color="auto" w:fill="FFFFFF"/>
        <w:spacing w:after="180" w:line="360" w:lineRule="auto"/>
        <w:ind w:left="900" w:hanging="440"/>
      </w:pPr>
      <w:r w:rsidRPr="00A555C5">
        <w:t>Herskovits, Melville J., </w:t>
      </w:r>
      <w:r w:rsidRPr="00A555C5">
        <w:rPr>
          <w:i/>
          <w:iCs/>
        </w:rPr>
        <w:t>The Myth of the Negro Past</w:t>
      </w:r>
      <w:r w:rsidRPr="00A555C5">
        <w:t> (New York and London: Harper &amp; Brothers Publishers, 1941)</w:t>
      </w:r>
    </w:p>
    <w:p w14:paraId="770BA475" w14:textId="1FA9BC07" w:rsidR="00A555C5" w:rsidRPr="00A555C5" w:rsidRDefault="00A555C5" w:rsidP="00A555C5">
      <w:pPr>
        <w:widowControl w:val="0"/>
        <w:shd w:val="clear" w:color="auto" w:fill="FFFFFF"/>
        <w:spacing w:after="180" w:line="360" w:lineRule="auto"/>
        <w:ind w:left="900" w:hanging="440"/>
      </w:pPr>
      <w:r w:rsidRPr="00A555C5">
        <w:t>Janzen, John M., </w:t>
      </w:r>
      <w:r w:rsidRPr="00A555C5">
        <w:rPr>
          <w:i/>
          <w:iCs/>
        </w:rPr>
        <w:t>Ngoma:</w:t>
      </w:r>
      <w:r w:rsidR="0072421B">
        <w:rPr>
          <w:i/>
          <w:iCs/>
        </w:rPr>
        <w:t xml:space="preserve"> </w:t>
      </w:r>
      <w:r w:rsidRPr="00A555C5">
        <w:rPr>
          <w:i/>
          <w:iCs/>
        </w:rPr>
        <w:t>Discourses of Healing in Central and Southern Africa</w:t>
      </w:r>
      <w:r w:rsidRPr="00A555C5">
        <w:t> (Los Angeles: University of California Press, 1992)</w:t>
      </w:r>
    </w:p>
    <w:p w14:paraId="14B1051B" w14:textId="77777777" w:rsidR="00A555C5" w:rsidRPr="00A555C5" w:rsidRDefault="00A555C5" w:rsidP="00A555C5">
      <w:pPr>
        <w:widowControl w:val="0"/>
        <w:shd w:val="clear" w:color="auto" w:fill="FFFFFF"/>
        <w:spacing w:after="180" w:line="360" w:lineRule="auto"/>
        <w:ind w:left="900" w:hanging="440"/>
      </w:pPr>
      <w:r w:rsidRPr="00A555C5">
        <w:t>Jarvis, Michael J., 'Maritime Masters and Seafaring Slaves in Bermuda, 1680-1783', </w:t>
      </w:r>
      <w:r w:rsidRPr="00A555C5">
        <w:rPr>
          <w:i/>
          <w:iCs/>
        </w:rPr>
        <w:t>The William and Mary Quarterly, </w:t>
      </w:r>
      <w:r w:rsidRPr="00A555C5">
        <w:t>59 (2002), 585–622</w:t>
      </w:r>
      <w:r w:rsidRPr="00A555C5">
        <w:rPr>
          <w:i/>
          <w:iCs/>
        </w:rPr>
        <w:t>, in JSTOR</w:t>
      </w:r>
      <w:r w:rsidRPr="00A555C5">
        <w:t> &lt;</w:t>
      </w:r>
      <w:hyperlink r:id="rId32" w:tgtFrame="_blank" w:history="1">
        <w:r w:rsidRPr="00A555C5">
          <w:rPr>
            <w:rStyle w:val="Hyperlink"/>
          </w:rPr>
          <w:t>http://www.jstor.org/stable/3491466</w:t>
        </w:r>
      </w:hyperlink>
      <w:r w:rsidRPr="00A555C5">
        <w:t>&gt;</w:t>
      </w:r>
    </w:p>
    <w:p w14:paraId="661DA629" w14:textId="77777777" w:rsidR="00A555C5" w:rsidRPr="00A555C5" w:rsidRDefault="00A555C5" w:rsidP="00A555C5">
      <w:pPr>
        <w:widowControl w:val="0"/>
        <w:shd w:val="clear" w:color="auto" w:fill="FFFFFF"/>
        <w:spacing w:after="180" w:line="360" w:lineRule="auto"/>
        <w:ind w:left="900" w:hanging="440"/>
      </w:pPr>
      <w:r w:rsidRPr="00A555C5">
        <w:t>Kallio, Hanna and others, 'Systematic Methodological Review: Developing a Framework for a Qualitative Semi-Structured Interview Guide', </w:t>
      </w:r>
      <w:r w:rsidRPr="00A555C5">
        <w:rPr>
          <w:i/>
          <w:iCs/>
        </w:rPr>
        <w:t>Journal of Advanced Nursing, </w:t>
      </w:r>
      <w:r w:rsidRPr="00A555C5">
        <w:t>72 (2016), 2954–2965</w:t>
      </w:r>
    </w:p>
    <w:p w14:paraId="1A7C6C6E" w14:textId="77777777" w:rsidR="00A555C5" w:rsidRPr="00A555C5" w:rsidRDefault="00A555C5" w:rsidP="00A555C5">
      <w:pPr>
        <w:widowControl w:val="0"/>
        <w:shd w:val="clear" w:color="auto" w:fill="FFFFFF"/>
        <w:spacing w:after="180" w:line="360" w:lineRule="auto"/>
        <w:ind w:left="900" w:hanging="440"/>
      </w:pPr>
      <w:r w:rsidRPr="00A555C5">
        <w:t>Karade, Baba I., </w:t>
      </w:r>
      <w:r w:rsidRPr="00A555C5">
        <w:rPr>
          <w:i/>
          <w:iCs/>
        </w:rPr>
        <w:t>The Handbook of Yoruba Religious Concepts</w:t>
      </w:r>
      <w:r w:rsidRPr="00A555C5">
        <w:t> (Boston: WeiserBooks, 1994)</w:t>
      </w:r>
    </w:p>
    <w:p w14:paraId="32588344" w14:textId="77777777" w:rsidR="00A555C5" w:rsidRPr="00A555C5" w:rsidRDefault="00A555C5" w:rsidP="00A555C5">
      <w:pPr>
        <w:widowControl w:val="0"/>
        <w:shd w:val="clear" w:color="auto" w:fill="FFFFFF"/>
        <w:spacing w:after="180" w:line="360" w:lineRule="auto"/>
        <w:ind w:left="900" w:hanging="440"/>
      </w:pPr>
      <w:r w:rsidRPr="00A555C5">
        <w:t>Lawlor, Jim, </w:t>
      </w:r>
      <w:r w:rsidRPr="00A555C5">
        <w:rPr>
          <w:i/>
          <w:iCs/>
        </w:rPr>
        <w:t>From Africa to the Bahamas</w:t>
      </w:r>
      <w:r w:rsidRPr="00A555C5">
        <w:t> (Nassau, Bahamas.: Media Enterprises Ltd., 2021)</w:t>
      </w:r>
    </w:p>
    <w:p w14:paraId="08B0903D" w14:textId="77777777" w:rsidR="00A555C5" w:rsidRPr="00A555C5" w:rsidRDefault="00A555C5" w:rsidP="00A555C5">
      <w:pPr>
        <w:widowControl w:val="0"/>
        <w:shd w:val="clear" w:color="auto" w:fill="FFFFFF"/>
        <w:spacing w:after="180" w:line="360" w:lineRule="auto"/>
        <w:ind w:left="900" w:hanging="440"/>
      </w:pPr>
      <w:r w:rsidRPr="00A555C5">
        <w:t>MacGaffey, Wyatt, </w:t>
      </w:r>
      <w:r w:rsidRPr="00A555C5">
        <w:rPr>
          <w:i/>
          <w:iCs/>
        </w:rPr>
        <w:t>An Anthology of Kongo Religion: Primary Texts from Lower Zaïre</w:t>
      </w:r>
      <w:r w:rsidRPr="00A555C5">
        <w:t> (University of Chicago press, 1986)</w:t>
      </w:r>
      <w:r w:rsidRPr="00A555C5">
        <w:rPr>
          <w:i/>
          <w:iCs/>
        </w:rPr>
        <w:t>, in Internet Archive</w:t>
      </w:r>
      <w:r w:rsidRPr="00A555C5">
        <w:t> &lt;</w:t>
      </w:r>
      <w:hyperlink r:id="rId33" w:tgtFrame="_blank" w:history="1">
        <w:r w:rsidRPr="00A555C5">
          <w:rPr>
            <w:rStyle w:val="Hyperlink"/>
          </w:rPr>
          <w:t>https://archive.org/details/religionsocietyi0000macg</w:t>
        </w:r>
      </w:hyperlink>
      <w:r w:rsidRPr="00A555C5">
        <w:t>&gt;</w:t>
      </w:r>
    </w:p>
    <w:p w14:paraId="789A210A" w14:textId="77777777" w:rsidR="00A555C5" w:rsidRPr="00A555C5" w:rsidRDefault="00A555C5" w:rsidP="00A555C5">
      <w:pPr>
        <w:widowControl w:val="0"/>
        <w:shd w:val="clear" w:color="auto" w:fill="FFFFFF"/>
        <w:spacing w:after="180" w:line="360" w:lineRule="auto"/>
        <w:ind w:left="900" w:hanging="440"/>
      </w:pPr>
      <w:r w:rsidRPr="00A555C5">
        <w:t xml:space="preserve">Mackey, Ressa, '"All that Glitters is Not Junkanoo" : The National Junkanoo Museum and the Politics of Tourism and Identity.' (Master of Arts, Florida State University, 2009) [accessed </w:t>
      </w:r>
      <w:r w:rsidRPr="00A555C5">
        <w:lastRenderedPageBreak/>
        <w:t>December 8th 2025]</w:t>
      </w:r>
    </w:p>
    <w:p w14:paraId="4BF27544" w14:textId="77777777" w:rsidR="00A555C5" w:rsidRPr="00A555C5" w:rsidRDefault="00A555C5" w:rsidP="00A555C5">
      <w:pPr>
        <w:widowControl w:val="0"/>
        <w:shd w:val="clear" w:color="auto" w:fill="FFFFFF"/>
        <w:spacing w:after="180" w:line="360" w:lineRule="auto"/>
        <w:ind w:left="900" w:hanging="440"/>
      </w:pPr>
      <w:r w:rsidRPr="00A555C5">
        <w:t>Mazama, Ama, 'The Afrocentric Paradigm: Contours and Definitions', </w:t>
      </w:r>
      <w:r w:rsidRPr="00A555C5">
        <w:rPr>
          <w:i/>
          <w:iCs/>
        </w:rPr>
        <w:t>Journal of Black Studies, </w:t>
      </w:r>
      <w:r w:rsidRPr="00A555C5">
        <w:t>31 (2001), 387–405 &lt;</w:t>
      </w:r>
      <w:hyperlink r:id="rId34" w:tgtFrame="_blank" w:history="1">
        <w:r w:rsidRPr="00A555C5">
          <w:rPr>
            <w:rStyle w:val="Hyperlink"/>
          </w:rPr>
          <w:t>https://doi.org/10.1177/002193470103100401</w:t>
        </w:r>
      </w:hyperlink>
      <w:r w:rsidRPr="00A555C5">
        <w:t>&gt;</w:t>
      </w:r>
    </w:p>
    <w:p w14:paraId="2F899CA1" w14:textId="77777777" w:rsidR="00A555C5" w:rsidRPr="00A555C5" w:rsidRDefault="00A555C5" w:rsidP="00A555C5">
      <w:pPr>
        <w:widowControl w:val="0"/>
        <w:shd w:val="clear" w:color="auto" w:fill="FFFFFF"/>
        <w:spacing w:after="180" w:line="360" w:lineRule="auto"/>
        <w:ind w:left="900" w:hanging="440"/>
      </w:pPr>
      <w:r w:rsidRPr="00A555C5">
        <w:t>McKinley, Caitlin, 'Treating the Spirit: An Ethnographic Portrait of</w:t>
      </w:r>
      <w:r w:rsidRPr="00A555C5">
        <w:br/>
        <w:t>Senegalese Animist Mental Health Practices and</w:t>
      </w:r>
      <w:r w:rsidRPr="00A555C5">
        <w:br/>
        <w:t>Practitioners in Dakar and the Surrounding Area', </w:t>
      </w:r>
      <w:r w:rsidRPr="00A555C5">
        <w:rPr>
          <w:i/>
          <w:iCs/>
        </w:rPr>
        <w:t>Independent Study Project (ISP) Collection, </w:t>
      </w:r>
      <w:r w:rsidRPr="00A555C5">
        <w:t>(2012) &lt;</w:t>
      </w:r>
      <w:hyperlink r:id="rId35" w:tgtFrame="_blank" w:history="1">
        <w:r w:rsidRPr="00A555C5">
          <w:rPr>
            <w:rStyle w:val="Hyperlink"/>
          </w:rPr>
          <w:t>https://digitalcollections.sit.edu/isp_collection/1403</w:t>
        </w:r>
      </w:hyperlink>
      <w:r w:rsidRPr="00A555C5">
        <w:t>&gt; [accessed November 19th 2025]</w:t>
      </w:r>
    </w:p>
    <w:p w14:paraId="4D4A87AE" w14:textId="77777777" w:rsidR="00A555C5" w:rsidRPr="00A555C5" w:rsidRDefault="00A555C5" w:rsidP="00A555C5">
      <w:pPr>
        <w:widowControl w:val="0"/>
        <w:shd w:val="clear" w:color="auto" w:fill="FFFFFF"/>
        <w:spacing w:after="180" w:line="360" w:lineRule="auto"/>
        <w:ind w:left="900" w:hanging="440"/>
      </w:pPr>
      <w:r w:rsidRPr="00A555C5">
        <w:t>McNaughton, Patrick, 'Agency in Artistry: Comments on ‘Art and the Individual in African Masquerades’', </w:t>
      </w:r>
      <w:r w:rsidRPr="00A555C5">
        <w:rPr>
          <w:i/>
          <w:iCs/>
        </w:rPr>
        <w:t>Africa, </w:t>
      </w:r>
      <w:r w:rsidRPr="00A555C5">
        <w:t>88 (2018), 824–839 &lt;</w:t>
      </w:r>
      <w:hyperlink r:id="rId36" w:tgtFrame="_blank" w:history="1">
        <w:r w:rsidRPr="00A555C5">
          <w:rPr>
            <w:rStyle w:val="Hyperlink"/>
          </w:rPr>
          <w:t>https://doi:10.1017/S0001972018000487</w:t>
        </w:r>
      </w:hyperlink>
      <w:r w:rsidRPr="00A555C5">
        <w:t>&gt;</w:t>
      </w:r>
    </w:p>
    <w:p w14:paraId="3F440B15" w14:textId="77777777" w:rsidR="00A555C5" w:rsidRPr="00A555C5" w:rsidRDefault="00A555C5" w:rsidP="00A555C5">
      <w:pPr>
        <w:widowControl w:val="0"/>
        <w:shd w:val="clear" w:color="auto" w:fill="FFFFFF"/>
        <w:spacing w:after="180" w:line="360" w:lineRule="auto"/>
        <w:ind w:left="900" w:hanging="440"/>
      </w:pPr>
      <w:r w:rsidRPr="00A555C5">
        <w:t>Merrill, Michael S., 'Masks, Metaphor and Transformation: The Communication of Belief in Ritual Performance', </w:t>
      </w:r>
      <w:r w:rsidRPr="00A555C5">
        <w:rPr>
          <w:i/>
          <w:iCs/>
        </w:rPr>
        <w:t>Journal of Ritual Studies, </w:t>
      </w:r>
      <w:r w:rsidRPr="00A555C5">
        <w:t>18 (2004), 16–33</w:t>
      </w:r>
      <w:r w:rsidRPr="00A555C5">
        <w:rPr>
          <w:i/>
          <w:iCs/>
        </w:rPr>
        <w:t>, in JSTOR</w:t>
      </w:r>
      <w:r w:rsidRPr="00A555C5">
        <w:t> &lt;</w:t>
      </w:r>
      <w:hyperlink r:id="rId37" w:tgtFrame="_blank" w:history="1">
        <w:r w:rsidRPr="00A555C5">
          <w:rPr>
            <w:rStyle w:val="Hyperlink"/>
          </w:rPr>
          <w:t>http://www.jstor.org/stable/44368668</w:t>
        </w:r>
      </w:hyperlink>
      <w:r w:rsidRPr="00A555C5">
        <w:t>&gt;</w:t>
      </w:r>
    </w:p>
    <w:p w14:paraId="3069FB8C" w14:textId="77777777" w:rsidR="00A555C5" w:rsidRPr="00A555C5" w:rsidRDefault="00A555C5" w:rsidP="00A555C5">
      <w:pPr>
        <w:widowControl w:val="0"/>
        <w:shd w:val="clear" w:color="auto" w:fill="FFFFFF"/>
        <w:spacing w:after="180" w:line="360" w:lineRule="auto"/>
        <w:ind w:left="900" w:hanging="440"/>
      </w:pPr>
      <w:r w:rsidRPr="00A555C5">
        <w:t>Minkus, Helaine K., 'The Concept of Spirit in Akwapim Akan Philosophy', </w:t>
      </w:r>
      <w:r w:rsidRPr="00A555C5">
        <w:rPr>
          <w:i/>
          <w:iCs/>
        </w:rPr>
        <w:t>Africa: Journal of the International African Institute, </w:t>
      </w:r>
      <w:r w:rsidRPr="00A555C5">
        <w:t>50 (1980), 182–192</w:t>
      </w:r>
      <w:r w:rsidRPr="00A555C5">
        <w:rPr>
          <w:i/>
          <w:iCs/>
        </w:rPr>
        <w:t>, in JSTOR</w:t>
      </w:r>
      <w:r w:rsidRPr="00A555C5">
        <w:t> &lt;</w:t>
      </w:r>
      <w:hyperlink r:id="rId38" w:tgtFrame="_blank" w:history="1">
        <w:r w:rsidRPr="00A555C5">
          <w:rPr>
            <w:rStyle w:val="Hyperlink"/>
          </w:rPr>
          <w:t>http://www.jstor.org/stable/1159010</w:t>
        </w:r>
      </w:hyperlink>
      <w:r w:rsidRPr="00A555C5">
        <w:t>&gt;</w:t>
      </w:r>
    </w:p>
    <w:p w14:paraId="6CE3F84F" w14:textId="77777777" w:rsidR="00A555C5" w:rsidRPr="00A555C5" w:rsidRDefault="00A555C5" w:rsidP="00A555C5">
      <w:pPr>
        <w:widowControl w:val="0"/>
        <w:shd w:val="clear" w:color="auto" w:fill="FFFFFF"/>
        <w:spacing w:after="180" w:line="360" w:lineRule="auto"/>
        <w:ind w:left="900" w:hanging="440"/>
      </w:pPr>
      <w:r w:rsidRPr="00A555C5">
        <w:t>Miramonti, Angelo, 'Amina: Shaking Boundaries of a Woman Inhabited</w:t>
      </w:r>
      <w:r w:rsidRPr="00A555C5">
        <w:br/>
        <w:t>by the Spirits (Senegal)', </w:t>
      </w:r>
      <w:r w:rsidRPr="00A555C5">
        <w:rPr>
          <w:i/>
          <w:iCs/>
        </w:rPr>
        <w:t>Culture, Medicine, and Psychiatry, </w:t>
      </w:r>
      <w:r w:rsidRPr="00A555C5">
        <w:t>49 (2025), 239–255 &lt;</w:t>
      </w:r>
      <w:hyperlink r:id="rId39" w:tgtFrame="_blank" w:history="1">
        <w:r w:rsidRPr="00A555C5">
          <w:rPr>
            <w:rStyle w:val="Hyperlink"/>
          </w:rPr>
          <w:t>https://doi.org/10.1007/s11013-024-09879-z</w:t>
        </w:r>
      </w:hyperlink>
      <w:r w:rsidRPr="00A555C5">
        <w:t>&gt;</w:t>
      </w:r>
    </w:p>
    <w:p w14:paraId="00B9CF5C" w14:textId="5891E7E0" w:rsidR="00A555C5" w:rsidRPr="00A555C5" w:rsidRDefault="00A555C5" w:rsidP="00A555C5">
      <w:pPr>
        <w:widowControl w:val="0"/>
        <w:shd w:val="clear" w:color="auto" w:fill="FFFFFF"/>
        <w:spacing w:after="180" w:line="360" w:lineRule="auto"/>
        <w:ind w:left="900" w:hanging="440"/>
      </w:pPr>
      <w:r w:rsidRPr="00A555C5">
        <w:t xml:space="preserve">Mueller, Rachel, 'The Spirits are My </w:t>
      </w:r>
      <w:r w:rsidR="0072421B" w:rsidRPr="00A555C5">
        <w:t>Neighbours</w:t>
      </w:r>
      <w:r w:rsidRPr="00A555C5">
        <w:t>: Women and the Rab</w:t>
      </w:r>
      <w:r w:rsidRPr="00A555C5">
        <w:br/>
        <w:t>Cult in Dakar, Senegal', </w:t>
      </w:r>
      <w:r w:rsidRPr="00A555C5">
        <w:rPr>
          <w:i/>
          <w:iCs/>
        </w:rPr>
        <w:t>Anthropology Honors Projects, </w:t>
      </w:r>
      <w:r w:rsidRPr="00A555C5">
        <w:t xml:space="preserve">5 </w:t>
      </w:r>
      <w:r w:rsidRPr="00A555C5">
        <w:lastRenderedPageBreak/>
        <w:t>(2013), Paper 18</w:t>
      </w:r>
    </w:p>
    <w:p w14:paraId="7354BC2F" w14:textId="77777777" w:rsidR="00A555C5" w:rsidRPr="00A555C5" w:rsidRDefault="00A555C5" w:rsidP="00A555C5">
      <w:pPr>
        <w:widowControl w:val="0"/>
        <w:shd w:val="clear" w:color="auto" w:fill="FFFFFF"/>
        <w:spacing w:after="180" w:line="360" w:lineRule="auto"/>
        <w:ind w:left="900" w:hanging="440"/>
      </w:pPr>
      <w:r w:rsidRPr="00A555C5">
        <w:t>Nash Ferguson, Arlene, </w:t>
      </w:r>
      <w:r w:rsidRPr="00A555C5">
        <w:rPr>
          <w:i/>
          <w:iCs/>
        </w:rPr>
        <w:t>I Come to Get Me! : An Inside Look at the Junkanoo Festival</w:t>
      </w:r>
      <w:r w:rsidRPr="00A555C5">
        <w:t> (Nassau, Bahamas.: Doongalik Studios, 2000)</w:t>
      </w:r>
    </w:p>
    <w:p w14:paraId="14C44705" w14:textId="77777777" w:rsidR="00A555C5" w:rsidRPr="00A555C5" w:rsidRDefault="00A555C5" w:rsidP="00A555C5">
      <w:pPr>
        <w:widowControl w:val="0"/>
        <w:shd w:val="clear" w:color="auto" w:fill="FFFFFF"/>
        <w:spacing w:after="180" w:line="360" w:lineRule="auto"/>
        <w:ind w:left="900" w:hanging="440"/>
      </w:pPr>
      <w:r w:rsidRPr="00A555C5">
        <w:t>Newton, Robert C., 'Of Dangerous Energy and Transformations: "Nyamakalaya" and the Sunjata Phenomenon', </w:t>
      </w:r>
      <w:r w:rsidRPr="00A555C5">
        <w:rPr>
          <w:i/>
          <w:iCs/>
        </w:rPr>
        <w:t>Research in African Literatures, </w:t>
      </w:r>
      <w:r w:rsidRPr="00A555C5">
        <w:t>37 (2006), 15–33</w:t>
      </w:r>
      <w:r w:rsidRPr="00A555C5">
        <w:rPr>
          <w:i/>
          <w:iCs/>
        </w:rPr>
        <w:t>, in JSTOR</w:t>
      </w:r>
      <w:r w:rsidRPr="00A555C5">
        <w:t> &lt;</w:t>
      </w:r>
      <w:hyperlink r:id="rId40" w:tgtFrame="_blank" w:history="1">
        <w:r w:rsidRPr="00A555C5">
          <w:rPr>
            <w:rStyle w:val="Hyperlink"/>
          </w:rPr>
          <w:t>http://www.jstor.org.ezproxy.uwtsd.ac.uk/stable/3821153</w:t>
        </w:r>
      </w:hyperlink>
      <w:r w:rsidRPr="00A555C5">
        <w:t>&gt;</w:t>
      </w:r>
    </w:p>
    <w:p w14:paraId="48E55811" w14:textId="77777777" w:rsidR="00A555C5" w:rsidRPr="00A555C5" w:rsidRDefault="00A555C5" w:rsidP="00A555C5">
      <w:pPr>
        <w:widowControl w:val="0"/>
        <w:shd w:val="clear" w:color="auto" w:fill="FFFFFF"/>
        <w:spacing w:after="180" w:line="360" w:lineRule="auto"/>
        <w:ind w:left="900" w:hanging="440"/>
      </w:pPr>
      <w:r w:rsidRPr="00A555C5">
        <w:t>Njoku, Raphael C., </w:t>
      </w:r>
      <w:r w:rsidRPr="00A555C5">
        <w:rPr>
          <w:i/>
          <w:iCs/>
        </w:rPr>
        <w:t>West African Masking Traditions and Diaspora Masquerade Carnivals: History, Memory, and Transnationalism</w:t>
      </w:r>
      <w:r w:rsidRPr="00A555C5">
        <w:t>, NED - New edition edn (Boydell &amp; Brewer, 2020)</w:t>
      </w:r>
      <w:r w:rsidRPr="00A555C5">
        <w:rPr>
          <w:i/>
          <w:iCs/>
        </w:rPr>
        <w:t>, in JSTOR</w:t>
      </w:r>
      <w:r w:rsidRPr="00A555C5">
        <w:t> &lt;</w:t>
      </w:r>
      <w:hyperlink r:id="rId41" w:tgtFrame="_blank" w:history="1">
        <w:r w:rsidRPr="00A555C5">
          <w:rPr>
            <w:rStyle w:val="Hyperlink"/>
          </w:rPr>
          <w:t>http://www.jstor.org/stable/j.ctv114c79k</w:t>
        </w:r>
      </w:hyperlink>
      <w:r w:rsidRPr="00A555C5">
        <w:t>&gt;</w:t>
      </w:r>
    </w:p>
    <w:p w14:paraId="2170686F" w14:textId="77777777" w:rsidR="00A555C5" w:rsidRPr="00A555C5" w:rsidRDefault="00A555C5" w:rsidP="00A555C5">
      <w:pPr>
        <w:widowControl w:val="0"/>
        <w:shd w:val="clear" w:color="auto" w:fill="FFFFFF"/>
        <w:spacing w:after="180" w:line="360" w:lineRule="auto"/>
        <w:ind w:left="900" w:hanging="440"/>
      </w:pPr>
      <w:r w:rsidRPr="00A555C5">
        <w:t>Nnam, Glory N., 'Beyond Ritual and Entertainment: Ethnography of Egwu Ogene in Enugu South East, Nigeria', </w:t>
      </w:r>
      <w:r w:rsidRPr="00A555C5">
        <w:rPr>
          <w:i/>
          <w:iCs/>
        </w:rPr>
        <w:t>Journal of Nigerian Music Education, </w:t>
      </w:r>
      <w:r w:rsidRPr="00A555C5">
        <w:t>13 (201), 190–215</w:t>
      </w:r>
    </w:p>
    <w:p w14:paraId="70631F25" w14:textId="77777777" w:rsidR="00A555C5" w:rsidRPr="00A555C5" w:rsidRDefault="00A555C5" w:rsidP="00A555C5">
      <w:pPr>
        <w:widowControl w:val="0"/>
        <w:shd w:val="clear" w:color="auto" w:fill="FFFFFF"/>
        <w:spacing w:after="180" w:line="360" w:lineRule="auto"/>
        <w:ind w:left="900" w:hanging="440"/>
      </w:pPr>
      <w:r w:rsidRPr="00A555C5">
        <w:t>Okigbo, Austin C., '"Ahịajiọkụ" in Chicago: Festival, Music, and the Performance of Nigerian Igbo Identity in a North American City', </w:t>
      </w:r>
      <w:r w:rsidRPr="00A555C5">
        <w:rPr>
          <w:i/>
          <w:iCs/>
        </w:rPr>
        <w:t>The World of Music, </w:t>
      </w:r>
      <w:r w:rsidRPr="00A555C5">
        <w:t>4 (2015), 99–118</w:t>
      </w:r>
      <w:r w:rsidRPr="00A555C5">
        <w:rPr>
          <w:i/>
          <w:iCs/>
        </w:rPr>
        <w:t>, in JSTOR</w:t>
      </w:r>
      <w:r w:rsidRPr="00A555C5">
        <w:t> &lt;</w:t>
      </w:r>
      <w:hyperlink r:id="rId42" w:tgtFrame="_blank" w:history="1">
        <w:r w:rsidRPr="00A555C5">
          <w:rPr>
            <w:rStyle w:val="Hyperlink"/>
          </w:rPr>
          <w:t>http://www.jstor.org.ezproxy.uwtsd.ac.uk/stable/43774596</w:t>
        </w:r>
      </w:hyperlink>
      <w:r w:rsidRPr="00A555C5">
        <w:t>&gt;</w:t>
      </w:r>
    </w:p>
    <w:p w14:paraId="25AED0D2" w14:textId="77777777" w:rsidR="00A555C5" w:rsidRPr="00A555C5" w:rsidRDefault="00A555C5" w:rsidP="00A555C5">
      <w:pPr>
        <w:widowControl w:val="0"/>
        <w:shd w:val="clear" w:color="auto" w:fill="FFFFFF"/>
        <w:spacing w:after="180" w:line="360" w:lineRule="auto"/>
        <w:ind w:left="900" w:hanging="440"/>
      </w:pPr>
      <w:r w:rsidRPr="00A555C5">
        <w:t>Okwu, Austine S. O., 'Life, Death, Reincarnation, and Traditional Healing in Africa', </w:t>
      </w:r>
      <w:r w:rsidRPr="00A555C5">
        <w:rPr>
          <w:i/>
          <w:iCs/>
        </w:rPr>
        <w:t>Issue: A Journal of Opinion, </w:t>
      </w:r>
      <w:r w:rsidRPr="00A555C5">
        <w:t>9 (1979), 19–24</w:t>
      </w:r>
      <w:r w:rsidRPr="00A555C5">
        <w:rPr>
          <w:i/>
          <w:iCs/>
        </w:rPr>
        <w:t>, in JSTOR</w:t>
      </w:r>
      <w:r w:rsidRPr="00A555C5">
        <w:t> &lt;</w:t>
      </w:r>
      <w:hyperlink r:id="rId43" w:tgtFrame="_blank" w:history="1">
        <w:r w:rsidRPr="00A555C5">
          <w:rPr>
            <w:rStyle w:val="Hyperlink"/>
          </w:rPr>
          <w:t>http://www.jstor.org/stable/1166258</w:t>
        </w:r>
      </w:hyperlink>
      <w:r w:rsidRPr="00A555C5">
        <w:t>&gt;</w:t>
      </w:r>
    </w:p>
    <w:p w14:paraId="3E8DBDDD" w14:textId="77777777" w:rsidR="00A555C5" w:rsidRPr="00A555C5" w:rsidRDefault="00A555C5" w:rsidP="00A555C5">
      <w:pPr>
        <w:widowControl w:val="0"/>
        <w:shd w:val="clear" w:color="auto" w:fill="FFFFFF"/>
        <w:spacing w:after="180" w:line="360" w:lineRule="auto"/>
        <w:ind w:left="900" w:hanging="440"/>
      </w:pPr>
      <w:r w:rsidRPr="00A555C5">
        <w:t>Ottenberg, Simon, </w:t>
      </w:r>
      <w:r w:rsidRPr="00A555C5">
        <w:rPr>
          <w:i/>
          <w:iCs/>
        </w:rPr>
        <w:t>Masked Rituals of Afikpo, the Context of an African Art</w:t>
      </w:r>
      <w:r w:rsidRPr="00A555C5">
        <w:t> (Seattle: University of Washington Press, 1975)</w:t>
      </w:r>
      <w:r w:rsidRPr="00A555C5">
        <w:rPr>
          <w:i/>
          <w:iCs/>
        </w:rPr>
        <w:t>, in Internet Archive</w:t>
      </w:r>
    </w:p>
    <w:p w14:paraId="5EB99C41" w14:textId="77777777" w:rsidR="00A555C5" w:rsidRPr="00A555C5" w:rsidRDefault="00A555C5" w:rsidP="00A555C5">
      <w:pPr>
        <w:widowControl w:val="0"/>
        <w:shd w:val="clear" w:color="auto" w:fill="FFFFFF"/>
        <w:spacing w:after="180" w:line="360" w:lineRule="auto"/>
        <w:ind w:left="900" w:hanging="440"/>
      </w:pPr>
      <w:r w:rsidRPr="00A555C5">
        <w:t>Ray, Benjamin C., </w:t>
      </w:r>
      <w:r w:rsidRPr="00A555C5">
        <w:rPr>
          <w:i/>
          <w:iCs/>
        </w:rPr>
        <w:t xml:space="preserve">African Religions : Symbol, Ritual, and </w:t>
      </w:r>
      <w:r w:rsidRPr="00A555C5">
        <w:rPr>
          <w:i/>
          <w:iCs/>
        </w:rPr>
        <w:lastRenderedPageBreak/>
        <w:t>Community</w:t>
      </w:r>
      <w:r w:rsidRPr="00A555C5">
        <w:t> (New Jersey: Prentice Hall, 1999)</w:t>
      </w:r>
      <w:r w:rsidRPr="00A555C5">
        <w:rPr>
          <w:i/>
          <w:iCs/>
        </w:rPr>
        <w:t>, in Internet Archive</w:t>
      </w:r>
    </w:p>
    <w:p w14:paraId="11AC42B5" w14:textId="77777777" w:rsidR="00A555C5" w:rsidRPr="00A555C5" w:rsidRDefault="00A555C5" w:rsidP="00A555C5">
      <w:pPr>
        <w:widowControl w:val="0"/>
        <w:shd w:val="clear" w:color="auto" w:fill="FFFFFF"/>
        <w:spacing w:after="180" w:line="360" w:lineRule="auto"/>
        <w:ind w:left="900" w:hanging="440"/>
      </w:pPr>
      <w:r w:rsidRPr="00A555C5">
        <w:t>Reed, Bess, 'Spirits Incarnate: Cultural Revitalization in a Nigerian Masquerade Festival', </w:t>
      </w:r>
      <w:r w:rsidRPr="00A555C5">
        <w:rPr>
          <w:i/>
          <w:iCs/>
        </w:rPr>
        <w:t>African Arts, </w:t>
      </w:r>
      <w:r w:rsidRPr="00A555C5">
        <w:t>38 (2005), 50–95</w:t>
      </w:r>
      <w:r w:rsidRPr="00A555C5">
        <w:rPr>
          <w:i/>
          <w:iCs/>
        </w:rPr>
        <w:t>, in JSTOR</w:t>
      </w:r>
      <w:r w:rsidRPr="00A555C5">
        <w:t> &lt;</w:t>
      </w:r>
      <w:hyperlink r:id="rId44" w:tgtFrame="_blank" w:history="1">
        <w:r w:rsidRPr="00A555C5">
          <w:rPr>
            <w:rStyle w:val="Hyperlink"/>
          </w:rPr>
          <w:t>http://www.jstor.org/stable/3338067</w:t>
        </w:r>
      </w:hyperlink>
      <w:r w:rsidRPr="00A555C5">
        <w:t>&gt;</w:t>
      </w:r>
    </w:p>
    <w:p w14:paraId="1887CC1C" w14:textId="77777777" w:rsidR="00A555C5" w:rsidRPr="00A555C5" w:rsidRDefault="00A555C5" w:rsidP="00A555C5">
      <w:pPr>
        <w:widowControl w:val="0"/>
        <w:shd w:val="clear" w:color="auto" w:fill="FFFFFF"/>
        <w:spacing w:after="180" w:line="360" w:lineRule="auto"/>
        <w:ind w:left="900" w:hanging="440"/>
      </w:pPr>
      <w:r w:rsidRPr="00A555C5">
        <w:t>Richards, Dona, 'The Nyama of the Blacksmith: The Metaphysical Significance of Metallurgy in Africa', </w:t>
      </w:r>
      <w:r w:rsidRPr="00A555C5">
        <w:rPr>
          <w:i/>
          <w:iCs/>
        </w:rPr>
        <w:t>Journal of Black Studies, </w:t>
      </w:r>
      <w:r w:rsidRPr="00A555C5">
        <w:t>12 (1981), 218–238</w:t>
      </w:r>
      <w:r w:rsidRPr="00A555C5">
        <w:rPr>
          <w:i/>
          <w:iCs/>
        </w:rPr>
        <w:t>, in JSTOR</w:t>
      </w:r>
      <w:r w:rsidRPr="00A555C5">
        <w:t> &lt;</w:t>
      </w:r>
      <w:hyperlink r:id="rId45" w:tgtFrame="_blank" w:history="1">
        <w:r w:rsidRPr="00A555C5">
          <w:rPr>
            <w:rStyle w:val="Hyperlink"/>
          </w:rPr>
          <w:t>http://www.jstor.org/stable/2784243</w:t>
        </w:r>
      </w:hyperlink>
      <w:r w:rsidRPr="00A555C5">
        <w:t>&gt;</w:t>
      </w:r>
    </w:p>
    <w:p w14:paraId="2CAE040C" w14:textId="77777777" w:rsidR="00A555C5" w:rsidRPr="00A555C5" w:rsidRDefault="00A555C5" w:rsidP="00A555C5">
      <w:pPr>
        <w:widowControl w:val="0"/>
        <w:shd w:val="clear" w:color="auto" w:fill="FFFFFF"/>
        <w:spacing w:after="180" w:line="360" w:lineRule="auto"/>
        <w:ind w:left="900" w:hanging="440"/>
      </w:pPr>
      <w:r w:rsidRPr="00A555C5">
        <w:t>Sands, Kirkley C., </w:t>
      </w:r>
      <w:r w:rsidRPr="00A555C5">
        <w:rPr>
          <w:i/>
          <w:iCs/>
        </w:rPr>
        <w:t>Early Bahamian Slave Spirituality: The Genesis of Bahamian Cultural Identity</w:t>
      </w:r>
      <w:r w:rsidRPr="00A555C5">
        <w:t> (Nassau, Bahamas.: The Nassau Guardian Ltd., 2008)</w:t>
      </w:r>
    </w:p>
    <w:p w14:paraId="2ADE0AD7" w14:textId="77777777" w:rsidR="00A555C5" w:rsidRPr="00A555C5" w:rsidRDefault="00A555C5" w:rsidP="00A555C5">
      <w:pPr>
        <w:widowControl w:val="0"/>
        <w:shd w:val="clear" w:color="auto" w:fill="FFFFFF"/>
        <w:spacing w:after="180" w:line="360" w:lineRule="auto"/>
        <w:ind w:left="900" w:hanging="440"/>
      </w:pPr>
      <w:r w:rsidRPr="00A555C5">
        <w:t>Shumway, Rebecca, 'Naming our African Ancestors; Pushing, and Respecting, the Limits', </w:t>
      </w:r>
      <w:r w:rsidRPr="00A555C5">
        <w:rPr>
          <w:i/>
          <w:iCs/>
        </w:rPr>
        <w:t>Journal of the Early Republic, </w:t>
      </w:r>
      <w:r w:rsidRPr="00A555C5">
        <w:t>40 (2020), 195–200</w:t>
      </w:r>
      <w:r w:rsidRPr="00A555C5">
        <w:rPr>
          <w:i/>
          <w:iCs/>
        </w:rPr>
        <w:t>, in JSTOR</w:t>
      </w:r>
      <w:r w:rsidRPr="00A555C5">
        <w:t> &lt;</w:t>
      </w:r>
      <w:hyperlink r:id="rId46" w:tgtFrame="_blank" w:history="1">
        <w:r w:rsidRPr="00A555C5">
          <w:rPr>
            <w:rStyle w:val="Hyperlink"/>
          </w:rPr>
          <w:t>https://www.jstor.org/stable/27105242</w:t>
        </w:r>
      </w:hyperlink>
      <w:r w:rsidRPr="00A555C5">
        <w:t>&gt;</w:t>
      </w:r>
    </w:p>
    <w:p w14:paraId="2352A2B7" w14:textId="77777777" w:rsidR="00A555C5" w:rsidRPr="00A555C5" w:rsidRDefault="00A555C5" w:rsidP="00A555C5">
      <w:pPr>
        <w:widowControl w:val="0"/>
        <w:shd w:val="clear" w:color="auto" w:fill="FFFFFF"/>
        <w:spacing w:after="180" w:line="360" w:lineRule="auto"/>
        <w:ind w:left="900" w:hanging="440"/>
      </w:pPr>
      <w:r w:rsidRPr="00A555C5">
        <w:t>Thompson, Robert F., 'Face of the Gods: The Artists and their Altars', </w:t>
      </w:r>
      <w:r w:rsidRPr="00A555C5">
        <w:rPr>
          <w:i/>
          <w:iCs/>
        </w:rPr>
        <w:t>African Arts, </w:t>
      </w:r>
      <w:r w:rsidRPr="00A555C5">
        <w:t>28 (1995), 50–61</w:t>
      </w:r>
      <w:r w:rsidRPr="00A555C5">
        <w:rPr>
          <w:i/>
          <w:iCs/>
        </w:rPr>
        <w:t>, in JSTOR</w:t>
      </w:r>
      <w:r w:rsidRPr="00A555C5">
        <w:t> &lt;</w:t>
      </w:r>
      <w:hyperlink r:id="rId47" w:tgtFrame="_blank" w:history="1">
        <w:r w:rsidRPr="00A555C5">
          <w:rPr>
            <w:rStyle w:val="Hyperlink"/>
          </w:rPr>
          <w:t>http://www.jstor.org/stable/3337250</w:t>
        </w:r>
      </w:hyperlink>
      <w:r w:rsidRPr="00A555C5">
        <w:t>&gt;</w:t>
      </w:r>
    </w:p>
    <w:p w14:paraId="3438FA55" w14:textId="77777777" w:rsidR="00A555C5" w:rsidRPr="00A555C5" w:rsidRDefault="00A555C5" w:rsidP="00A555C5">
      <w:pPr>
        <w:widowControl w:val="0"/>
        <w:shd w:val="clear" w:color="auto" w:fill="FFFFFF"/>
        <w:spacing w:after="180" w:line="360" w:lineRule="auto"/>
        <w:ind w:left="900" w:hanging="440"/>
      </w:pPr>
      <w:r w:rsidRPr="00A555C5">
        <w:t>---</w:t>
      </w:r>
      <w:r w:rsidRPr="00A555C5">
        <w:rPr>
          <w:i/>
          <w:iCs/>
        </w:rPr>
        <w:t>Flash of the Spirit: African and Afro-American Art and Philosophy</w:t>
      </w:r>
      <w:r w:rsidRPr="00A555C5">
        <w:t> (Vintage Books, 1984)</w:t>
      </w:r>
    </w:p>
    <w:p w14:paraId="08E85D08" w14:textId="77777777" w:rsidR="00A555C5" w:rsidRPr="00A555C5" w:rsidRDefault="00A555C5" w:rsidP="00A555C5">
      <w:pPr>
        <w:widowControl w:val="0"/>
        <w:shd w:val="clear" w:color="auto" w:fill="FFFFFF"/>
        <w:spacing w:after="180" w:line="360" w:lineRule="auto"/>
        <w:ind w:left="900" w:hanging="440"/>
      </w:pPr>
      <w:r w:rsidRPr="00A555C5">
        <w:t>Tonkin, Elizabeth, 'Masks and Powers', </w:t>
      </w:r>
      <w:r w:rsidRPr="00A555C5">
        <w:rPr>
          <w:i/>
          <w:iCs/>
        </w:rPr>
        <w:t>Man, </w:t>
      </w:r>
      <w:r w:rsidRPr="00A555C5">
        <w:t>14 (1979), 237–248</w:t>
      </w:r>
      <w:r w:rsidRPr="00A555C5">
        <w:rPr>
          <w:i/>
          <w:iCs/>
        </w:rPr>
        <w:t>, in JSTOR</w:t>
      </w:r>
      <w:r w:rsidRPr="00A555C5">
        <w:t> &lt;</w:t>
      </w:r>
      <w:hyperlink r:id="rId48" w:tgtFrame="_blank" w:history="1">
        <w:r w:rsidRPr="00A555C5">
          <w:rPr>
            <w:rStyle w:val="Hyperlink"/>
          </w:rPr>
          <w:t>http://www.jstor.org.ezproxy.uwtsd.ac.uk/stable/2801565</w:t>
        </w:r>
      </w:hyperlink>
      <w:r w:rsidRPr="00A555C5">
        <w:t>&gt;</w:t>
      </w:r>
    </w:p>
    <w:p w14:paraId="5545C0B0" w14:textId="77777777" w:rsidR="00A555C5" w:rsidRPr="00A555C5" w:rsidRDefault="00A555C5" w:rsidP="00A555C5">
      <w:pPr>
        <w:widowControl w:val="0"/>
        <w:shd w:val="clear" w:color="auto" w:fill="FFFFFF"/>
        <w:spacing w:after="180" w:line="360" w:lineRule="auto"/>
        <w:ind w:left="900" w:hanging="440"/>
      </w:pPr>
      <w:r w:rsidRPr="00A555C5">
        <w:t>Turner, Carlton, </w:t>
      </w:r>
      <w:r w:rsidRPr="00A555C5">
        <w:rPr>
          <w:i/>
          <w:iCs/>
        </w:rPr>
        <w:t>Overcoming Self-Negation : The Church and Junkanoo in Contemporary Bahamian Society</w:t>
      </w:r>
      <w:r w:rsidRPr="00A555C5">
        <w:t> (Eugene, Oregon: Pickwick Publications, 2020)</w:t>
      </w:r>
    </w:p>
    <w:p w14:paraId="6FFE1666" w14:textId="403C7E57" w:rsidR="00A555C5" w:rsidRPr="00A555C5" w:rsidRDefault="00A555C5" w:rsidP="00A555C5">
      <w:pPr>
        <w:widowControl w:val="0"/>
        <w:shd w:val="clear" w:color="auto" w:fill="FFFFFF"/>
        <w:spacing w:after="180" w:line="360" w:lineRule="auto"/>
        <w:ind w:left="900" w:hanging="440"/>
      </w:pPr>
      <w:r w:rsidRPr="00A555C5">
        <w:t xml:space="preserve">Turner, Carlton J., 'Self-Negation within African Caribbean </w:t>
      </w:r>
      <w:r w:rsidRPr="00A555C5">
        <w:lastRenderedPageBreak/>
        <w:t xml:space="preserve">Christianity: Towards and </w:t>
      </w:r>
      <w:r w:rsidR="0072421B" w:rsidRPr="00A555C5">
        <w:t>Understanding</w:t>
      </w:r>
      <w:r w:rsidRPr="00A555C5">
        <w:t xml:space="preserve"> of Junkanoo and its Significance for Christian Praxis within Contemporary Bahamian Society', </w:t>
      </w:r>
      <w:r w:rsidRPr="00A555C5">
        <w:rPr>
          <w:i/>
          <w:iCs/>
        </w:rPr>
        <w:t>Black Theology, </w:t>
      </w:r>
      <w:r w:rsidRPr="00A555C5">
        <w:t>11 (2013), 5–30</w:t>
      </w:r>
    </w:p>
    <w:p w14:paraId="01AE2791" w14:textId="77777777" w:rsidR="00A555C5" w:rsidRPr="00A555C5" w:rsidRDefault="00A555C5" w:rsidP="00A555C5">
      <w:pPr>
        <w:widowControl w:val="0"/>
        <w:shd w:val="clear" w:color="auto" w:fill="FFFFFF"/>
        <w:spacing w:after="180" w:line="360" w:lineRule="auto"/>
        <w:ind w:left="900" w:hanging="440"/>
      </w:pPr>
      <w:r w:rsidRPr="00A555C5">
        <w:t>Ubah, C. N., 'The Supreme being, Divinities and Ancestors in Igbo Traditional Religion: Evidence from Otanchara and Otanzu', </w:t>
      </w:r>
      <w:r w:rsidRPr="00A555C5">
        <w:rPr>
          <w:i/>
          <w:iCs/>
        </w:rPr>
        <w:t>Africa: Journal of the International African Institute, </w:t>
      </w:r>
      <w:r w:rsidRPr="00A555C5">
        <w:t>52 (1982), 90–105</w:t>
      </w:r>
      <w:r w:rsidRPr="00A555C5">
        <w:rPr>
          <w:i/>
          <w:iCs/>
        </w:rPr>
        <w:t>, in JSTOR</w:t>
      </w:r>
      <w:r w:rsidRPr="00A555C5">
        <w:t> &lt;</w:t>
      </w:r>
      <w:hyperlink r:id="rId49" w:tgtFrame="_blank" w:history="1">
        <w:r w:rsidRPr="00A555C5">
          <w:rPr>
            <w:rStyle w:val="Hyperlink"/>
          </w:rPr>
          <w:t>http://www.jstor.org/stable/1159143</w:t>
        </w:r>
      </w:hyperlink>
      <w:r w:rsidRPr="00A555C5">
        <w:t>&gt;</w:t>
      </w:r>
    </w:p>
    <w:p w14:paraId="1130975B" w14:textId="77777777" w:rsidR="00A555C5" w:rsidRPr="00A555C5" w:rsidRDefault="00A555C5" w:rsidP="00A555C5">
      <w:pPr>
        <w:widowControl w:val="0"/>
        <w:shd w:val="clear" w:color="auto" w:fill="FFFFFF"/>
        <w:spacing w:after="180" w:line="360" w:lineRule="auto"/>
        <w:ind w:left="900" w:hanging="440"/>
      </w:pPr>
      <w:r w:rsidRPr="00A555C5">
        <w:t>Vega, Marta M., 'The Ancestral Sacred Creative Impulse of Africa and the African Diaspora: Ase, the Nexus of the Black Global Aesthetic', </w:t>
      </w:r>
      <w:r w:rsidRPr="00A555C5">
        <w:rPr>
          <w:i/>
          <w:iCs/>
        </w:rPr>
        <w:t>Lenox Avenue: A Journal of Interarts Inquiry, </w:t>
      </w:r>
      <w:r w:rsidRPr="00A555C5">
        <w:t>5 (1999), 45–57</w:t>
      </w:r>
      <w:r w:rsidRPr="00A555C5">
        <w:rPr>
          <w:i/>
          <w:iCs/>
        </w:rPr>
        <w:t>, in JSTOR</w:t>
      </w:r>
      <w:r w:rsidRPr="00A555C5">
        <w:t> &lt;</w:t>
      </w:r>
      <w:hyperlink r:id="rId50" w:tgtFrame="_blank" w:history="1">
        <w:r w:rsidRPr="00A555C5">
          <w:rPr>
            <w:rStyle w:val="Hyperlink"/>
          </w:rPr>
          <w:t>http://www.jstor.org/stable/4177077</w:t>
        </w:r>
      </w:hyperlink>
      <w:r w:rsidRPr="00A555C5">
        <w:t>&gt;</w:t>
      </w:r>
    </w:p>
    <w:p w14:paraId="102B41F3" w14:textId="77777777" w:rsidR="00A555C5" w:rsidRPr="00A555C5" w:rsidRDefault="00A555C5" w:rsidP="00A555C5">
      <w:pPr>
        <w:widowControl w:val="0"/>
        <w:shd w:val="clear" w:color="auto" w:fill="FFFFFF"/>
        <w:spacing w:after="180" w:line="360" w:lineRule="auto"/>
        <w:ind w:left="900" w:hanging="440"/>
      </w:pPr>
      <w:r w:rsidRPr="00A555C5">
        <w:t>Wells, Sasha C., 'Freedom through Connection: Runaway Slaves in an Urban Environment in Nassau, New Providence, 1784-1812' (Master of Arts, University of Florida, 2023) [accessed November 17th 2025]</w:t>
      </w:r>
    </w:p>
    <w:p w14:paraId="668DC11F" w14:textId="77777777" w:rsidR="00A555C5" w:rsidRPr="00A555C5" w:rsidRDefault="00A555C5" w:rsidP="00A555C5">
      <w:pPr>
        <w:widowControl w:val="0"/>
        <w:shd w:val="clear" w:color="auto" w:fill="FFFFFF"/>
        <w:spacing w:after="180" w:line="360" w:lineRule="auto"/>
        <w:ind w:left="900" w:hanging="440"/>
      </w:pPr>
      <w:r w:rsidRPr="00A555C5">
        <w:t>Winsboro, Irvin D. S. and Joe Knetsch, 'Florida Slaves, the "Saltwater Railroad" to the Bahamas, and Anglo-American Diplomacy', </w:t>
      </w:r>
      <w:r w:rsidRPr="00A555C5">
        <w:rPr>
          <w:i/>
          <w:iCs/>
        </w:rPr>
        <w:t>The Journal of Southern History, </w:t>
      </w:r>
      <w:r w:rsidRPr="00A555C5">
        <w:t>79 (2013), 51–78</w:t>
      </w:r>
      <w:r w:rsidRPr="00A555C5">
        <w:rPr>
          <w:i/>
          <w:iCs/>
        </w:rPr>
        <w:t>, in JSTOR</w:t>
      </w:r>
      <w:r w:rsidRPr="00A555C5">
        <w:t> &lt;</w:t>
      </w:r>
      <w:hyperlink r:id="rId51" w:tgtFrame="_blank" w:history="1">
        <w:r w:rsidRPr="00A555C5">
          <w:rPr>
            <w:rStyle w:val="Hyperlink"/>
          </w:rPr>
          <w:t>http://www.jstor.org/stable/23795403</w:t>
        </w:r>
      </w:hyperlink>
      <w:r w:rsidRPr="00A555C5">
        <w:t>&gt;</w:t>
      </w:r>
    </w:p>
    <w:p w14:paraId="6736A4CA" w14:textId="1325EF46" w:rsidR="00A555C5" w:rsidRPr="00A555C5" w:rsidRDefault="00A555C5" w:rsidP="00A555C5">
      <w:pPr>
        <w:widowControl w:val="0"/>
        <w:shd w:val="clear" w:color="auto" w:fill="FFFFFF"/>
        <w:spacing w:after="180" w:line="360" w:lineRule="auto"/>
        <w:ind w:left="900" w:hanging="440"/>
      </w:pPr>
      <w:r w:rsidRPr="00A555C5">
        <w:t xml:space="preserve">Wisdom, Keith G., 'Bahamian </w:t>
      </w:r>
      <w:r w:rsidR="0072421B" w:rsidRPr="00A555C5">
        <w:t>Junkanoo:</w:t>
      </w:r>
      <w:r w:rsidRPr="00A555C5">
        <w:t xml:space="preserve"> An Act in a Modern Social Drama' (Doctor of Philosophy, University of Georgia, 1985) [accessed November 25th 2025]</w:t>
      </w:r>
    </w:p>
    <w:p w14:paraId="1D8D4870" w14:textId="0BA6B585" w:rsidR="00A16F79" w:rsidRPr="0072421B" w:rsidRDefault="00A555C5" w:rsidP="0072421B">
      <w:pPr>
        <w:widowControl w:val="0"/>
        <w:shd w:val="clear" w:color="auto" w:fill="FFFFFF"/>
        <w:spacing w:after="180" w:line="360" w:lineRule="auto"/>
        <w:ind w:left="900" w:hanging="440"/>
      </w:pPr>
      <w:r w:rsidRPr="00A555C5">
        <w:t>---'Ecstacy in Junkanoo, A Public Celebration of Freedom', in </w:t>
      </w:r>
      <w:r w:rsidRPr="00A555C5">
        <w:rPr>
          <w:i/>
          <w:iCs/>
        </w:rPr>
        <w:t>1994 Festival of American Folklife</w:t>
      </w:r>
      <w:r w:rsidRPr="00A555C5">
        <w:t>(Smithsonian Institution, 1994), pp. 76–79 &lt;</w:t>
      </w:r>
      <w:hyperlink r:id="rId52" w:tgtFrame="_blank" w:history="1">
        <w:r w:rsidRPr="00A555C5">
          <w:rPr>
            <w:rStyle w:val="Hyperlink"/>
          </w:rPr>
          <w:t>https://ia801209.us.archive.org/34/items/1994festivalofam1994fest/1994festivalofam1994fest.pdf</w:t>
        </w:r>
      </w:hyperlink>
      <w:r w:rsidRPr="00A555C5">
        <w:t>&gt;</w:t>
      </w:r>
    </w:p>
    <w:p w14:paraId="56EACE5E" w14:textId="2A83E467" w:rsidR="00B0601B" w:rsidRDefault="003247C8" w:rsidP="003247C8">
      <w:pPr>
        <w:pStyle w:val="Heading2"/>
      </w:pPr>
      <w:bookmarkStart w:id="79" w:name="_Toc221201573"/>
      <w:r>
        <w:lastRenderedPageBreak/>
        <w:t>Appendices</w:t>
      </w:r>
      <w:bookmarkEnd w:id="79"/>
      <w:r>
        <w:t xml:space="preserve"> </w:t>
      </w:r>
    </w:p>
    <w:p w14:paraId="55FFFEEB" w14:textId="77777777" w:rsidR="00ED3916" w:rsidRPr="00ED3916" w:rsidRDefault="00ED3916" w:rsidP="00ED3916"/>
    <w:p w14:paraId="14545223" w14:textId="1AB54A95" w:rsidR="002F45A8" w:rsidRPr="0000156C" w:rsidRDefault="002F45A8" w:rsidP="0000156C">
      <w:pPr>
        <w:rPr>
          <w:b/>
          <w:bCs/>
        </w:rPr>
      </w:pPr>
      <w:r w:rsidRPr="0000156C">
        <w:rPr>
          <w:b/>
          <w:bCs/>
        </w:rPr>
        <w:t>Interview Questions</w:t>
      </w:r>
    </w:p>
    <w:p w14:paraId="00D5FA60" w14:textId="79BA221B" w:rsidR="002F45A8" w:rsidRPr="0000156C" w:rsidRDefault="002F45A8" w:rsidP="0000156C">
      <w:pPr>
        <w:rPr>
          <w:u w:val="single"/>
        </w:rPr>
      </w:pPr>
      <w:r w:rsidRPr="0000156C">
        <w:rPr>
          <w:u w:val="single"/>
        </w:rPr>
        <w:t>Opening / Background</w:t>
      </w:r>
    </w:p>
    <w:p w14:paraId="2BF2DD57" w14:textId="77777777" w:rsidR="002F45A8" w:rsidRDefault="002F45A8" w:rsidP="0000156C">
      <w:r>
        <w:t>Can you tell me a little about your involvement in Junkanoo?</w:t>
      </w:r>
    </w:p>
    <w:p w14:paraId="7B40DE66" w14:textId="1DF341D9" w:rsidR="002F45A8" w:rsidRPr="0000156C" w:rsidRDefault="002F45A8" w:rsidP="0000156C">
      <w:pPr>
        <w:rPr>
          <w:lang w:val="en-US"/>
        </w:rPr>
      </w:pPr>
      <w:r>
        <w:t>What does Junkanoo mean to you personally?</w:t>
      </w:r>
    </w:p>
    <w:p w14:paraId="6F6E4235" w14:textId="53720C8F" w:rsidR="002F45A8" w:rsidRPr="0000156C" w:rsidRDefault="002F45A8" w:rsidP="0000156C">
      <w:pPr>
        <w:rPr>
          <w:u w:val="single"/>
        </w:rPr>
      </w:pPr>
      <w:r w:rsidRPr="0000156C">
        <w:rPr>
          <w:u w:val="single"/>
        </w:rPr>
        <w:t>Àṣẹ, Sunsum and Nyama: Divine Creative Forces</w:t>
      </w:r>
    </w:p>
    <w:p w14:paraId="73EEDF8B" w14:textId="059035AF" w:rsidR="002F45A8" w:rsidRDefault="002F45A8" w:rsidP="0000156C">
      <w:r>
        <w:t>Can you describe how it feels i your body when you are participating in Junkanoo?</w:t>
      </w:r>
    </w:p>
    <w:p w14:paraId="2E02C4D1" w14:textId="77777777" w:rsidR="002F45A8" w:rsidRDefault="002F45A8" w:rsidP="0000156C">
      <w:r>
        <w:t>Are there moments during Junkanoo when your emotions feel especially intense or heightened?</w:t>
      </w:r>
    </w:p>
    <w:p w14:paraId="3B45605D" w14:textId="77777777" w:rsidR="002F45A8" w:rsidRDefault="002F45A8" w:rsidP="0000156C">
      <w:r>
        <w:t xml:space="preserve">Do you feel a sense of heightened energy or power when watching or playing in Junkanoo? </w:t>
      </w:r>
    </w:p>
    <w:p w14:paraId="6F8EB2D6" w14:textId="77777777" w:rsidR="002F45A8" w:rsidRDefault="002F45A8" w:rsidP="0000156C">
      <w:r>
        <w:t>Is there a particular moment when the rushing feels especially powerful or intense?</w:t>
      </w:r>
    </w:p>
    <w:p w14:paraId="506FC0E4" w14:textId="77777777" w:rsidR="002F45A8" w:rsidRDefault="002F45A8" w:rsidP="0000156C">
      <w:r>
        <w:t>Would you say Junkanoo gives you strength, release, or renewal? (Why or why not?)</w:t>
      </w:r>
    </w:p>
    <w:p w14:paraId="3B9A0E9A" w14:textId="4E830DBF" w:rsidR="002F45A8" w:rsidRPr="00421D3B" w:rsidRDefault="002F45A8" w:rsidP="0000156C">
      <w:r>
        <w:t>Do you feel that skills, talent or the “call” to Junkanoo can be inherited?</w:t>
      </w:r>
    </w:p>
    <w:p w14:paraId="38501B9E" w14:textId="753EF6C1" w:rsidR="002F45A8" w:rsidRPr="0000156C" w:rsidRDefault="00684C6A" w:rsidP="0000156C">
      <w:pPr>
        <w:rPr>
          <w:lang w:val="en-US"/>
        </w:rPr>
      </w:pPr>
      <w:r>
        <w:rPr>
          <w:lang w:val="en-US"/>
        </w:rPr>
        <w:t xml:space="preserve">How do you feel rushing on </w:t>
      </w:r>
      <w:proofErr w:type="gramStart"/>
      <w:r>
        <w:rPr>
          <w:lang w:val="en-US"/>
        </w:rPr>
        <w:t>Bay street</w:t>
      </w:r>
      <w:proofErr w:type="gramEnd"/>
      <w:r>
        <w:rPr>
          <w:lang w:val="en-US"/>
        </w:rPr>
        <w:t xml:space="preserve"> versus on Shirley Street?</w:t>
      </w:r>
    </w:p>
    <w:p w14:paraId="444CC33D" w14:textId="3630C764" w:rsidR="002F45A8" w:rsidRPr="0000156C" w:rsidRDefault="002F45A8" w:rsidP="0000156C">
      <w:pPr>
        <w:rPr>
          <w:u w:val="single"/>
        </w:rPr>
      </w:pPr>
      <w:r w:rsidRPr="0000156C">
        <w:rPr>
          <w:u w:val="single"/>
        </w:rPr>
        <w:t>Crossing the Spiritual Plane: Masking, Music and Trance</w:t>
      </w:r>
    </w:p>
    <w:p w14:paraId="4FEACFFA" w14:textId="77777777" w:rsidR="002F45A8" w:rsidRDefault="002F45A8" w:rsidP="0000156C">
      <w:r>
        <w:t>Do you feel different when you are in costume or behind a mask compared to everyday life?</w:t>
      </w:r>
    </w:p>
    <w:p w14:paraId="7E399B55" w14:textId="77777777" w:rsidR="002F45A8" w:rsidRDefault="002F45A8" w:rsidP="0000156C">
      <w:r>
        <w:t>Have you ever felt “taken over,” carried, or guided while playing or dancing in Junkanoo?</w:t>
      </w:r>
    </w:p>
    <w:p w14:paraId="03091334" w14:textId="77777777" w:rsidR="002F45A8" w:rsidRDefault="002F45A8" w:rsidP="0000156C">
      <w:r>
        <w:t>Do you ever feel like you’re someone else while rushing?</w:t>
      </w:r>
    </w:p>
    <w:p w14:paraId="0E32672B" w14:textId="77777777" w:rsidR="002F45A8" w:rsidRDefault="002F45A8" w:rsidP="0000156C">
      <w:r>
        <w:t>What role does the music play in how you move or behave during Junkanoo?</w:t>
      </w:r>
    </w:p>
    <w:p w14:paraId="3EAC95B8" w14:textId="77777777" w:rsidR="002F45A8" w:rsidRPr="00DE4CD4" w:rsidRDefault="002F45A8" w:rsidP="0000156C">
      <w:r>
        <w:t>Do you believe Junkanoo connects us with our ancestors in any way?</w:t>
      </w:r>
    </w:p>
    <w:p w14:paraId="04156087" w14:textId="140D5012" w:rsidR="00DE4CD4" w:rsidRDefault="00DE4CD4" w:rsidP="0000156C">
      <w:r>
        <w:rPr>
          <w:lang w:val="en-US"/>
        </w:rPr>
        <w:t>Do you think that Junkanoo would be the same in the daytime?</w:t>
      </w:r>
    </w:p>
    <w:p w14:paraId="436EA399" w14:textId="77777777" w:rsidR="002F45A8" w:rsidRDefault="002F45A8" w:rsidP="0000156C"/>
    <w:p w14:paraId="067628E8" w14:textId="108EB966" w:rsidR="002F45A8" w:rsidRPr="0000156C" w:rsidRDefault="002F45A8" w:rsidP="0000156C">
      <w:pPr>
        <w:rPr>
          <w:u w:val="single"/>
          <w:lang w:val="en-US"/>
        </w:rPr>
      </w:pPr>
      <w:r w:rsidRPr="0000156C">
        <w:rPr>
          <w:u w:val="single"/>
        </w:rPr>
        <w:lastRenderedPageBreak/>
        <w:t>Closing Questions</w:t>
      </w:r>
    </w:p>
    <w:p w14:paraId="2DC142C1" w14:textId="77777777" w:rsidR="002F45A8" w:rsidRDefault="002F45A8" w:rsidP="0000156C">
      <w:r>
        <w:t>What do you think is the most important thing people should understand about Junkanoo?</w:t>
      </w:r>
    </w:p>
    <w:p w14:paraId="6A2AA679" w14:textId="77777777" w:rsidR="002F45A8" w:rsidRDefault="002F45A8" w:rsidP="0000156C">
      <w:pPr>
        <w:rPr>
          <w:lang w:val="en-US"/>
        </w:rPr>
      </w:pPr>
      <w:r>
        <w:t>Is there anything else you want to add?</w:t>
      </w:r>
    </w:p>
    <w:p w14:paraId="43ED93D4" w14:textId="0C4D0961" w:rsidR="0000156C" w:rsidRDefault="0000156C">
      <w:pPr>
        <w:rPr>
          <w:lang w:val="en-US"/>
        </w:rPr>
      </w:pPr>
      <w:r>
        <w:rPr>
          <w:lang w:val="en-US"/>
        </w:rPr>
        <w:br w:type="page"/>
      </w:r>
    </w:p>
    <w:p w14:paraId="026D8E28" w14:textId="77777777" w:rsidR="0000156C" w:rsidRPr="0000156C" w:rsidRDefault="0000156C" w:rsidP="0000156C">
      <w:pPr>
        <w:rPr>
          <w:lang w:val="en-US"/>
        </w:rPr>
      </w:pPr>
    </w:p>
    <w:p w14:paraId="475FED43" w14:textId="77777777" w:rsidR="0000156C" w:rsidRDefault="0000156C" w:rsidP="0000156C">
      <w:pPr>
        <w:rPr>
          <w:lang w:val="en-US"/>
        </w:rPr>
      </w:pPr>
      <w:bookmarkStart w:id="80" w:name="_npvxx7h07s4d" w:colFirst="0" w:colLast="0"/>
      <w:bookmarkEnd w:id="80"/>
    </w:p>
    <w:p w14:paraId="401C7E28" w14:textId="5ABAB288" w:rsidR="009F5F59" w:rsidRDefault="009F5F59" w:rsidP="0000156C">
      <w:r>
        <w:t>PARTICIPANT INFORMATION SHEET</w:t>
      </w:r>
    </w:p>
    <w:p w14:paraId="20208CEA" w14:textId="77777777" w:rsidR="009F5F59" w:rsidRDefault="009F5F59" w:rsidP="0000156C">
      <w:r>
        <w:t xml:space="preserve">Title of Study: </w:t>
      </w:r>
      <w:r>
        <w:rPr>
          <w:i/>
          <w:iCs/>
        </w:rPr>
        <w:t>To what extent does the contemporary Bahamian festival of Junkanoo retain the cosmological principles of its African origins?</w:t>
      </w:r>
      <w:r>
        <w:rPr>
          <w:i/>
          <w:iCs/>
        </w:rPr>
        <w:br/>
      </w:r>
      <w:r>
        <w:t xml:space="preserve"> Researcher: India Sweeting</w:t>
      </w:r>
      <w:r>
        <w:br/>
        <w:t xml:space="preserve"> Programme: MA Cultural Astronomy and Astrology</w:t>
      </w:r>
      <w:r>
        <w:br/>
        <w:t xml:space="preserve"> University: University of Wales Trinity Saint David</w:t>
      </w:r>
      <w:r>
        <w:br/>
        <w:t xml:space="preserve"> Supervisor: Dr. Frances Clynes</w:t>
      </w:r>
    </w:p>
    <w:p w14:paraId="1BCAB252" w14:textId="77777777" w:rsidR="009F5F59" w:rsidRDefault="009F5F59" w:rsidP="0000156C">
      <w:r>
        <w:t xml:space="preserve"> Contact: 1803400@student.uwtsd.ac.uk</w:t>
      </w:r>
    </w:p>
    <w:p w14:paraId="4A27A7F0" w14:textId="77777777" w:rsidR="009F5F59" w:rsidRDefault="00000000" w:rsidP="0000156C">
      <w:pPr>
        <w:rPr>
          <w:sz w:val="28"/>
          <w:szCs w:val="28"/>
        </w:rPr>
      </w:pPr>
      <w:r>
        <w:pict w14:anchorId="4B3A767A">
          <v:rect id="_x0000_i1029" style="width:0;height:1.5pt" o:hralign="center" o:hrstd="t" o:hr="t" fillcolor="#a0a0a0" stroked="f"/>
        </w:pict>
      </w:r>
      <w:r w:rsidR="009F5F59">
        <w:rPr>
          <w:sz w:val="28"/>
          <w:szCs w:val="28"/>
        </w:rPr>
        <w:t>1. What is this study about?</w:t>
      </w:r>
    </w:p>
    <w:p w14:paraId="6E628C35" w14:textId="77777777" w:rsidR="009F5F59" w:rsidRDefault="009F5F59" w:rsidP="0000156C">
      <w:r>
        <w:t>This study explores what Junkanoo means to the people who take part in it today. I am interested in how performers describe the festival’s feelings, energy, traditions, and whether they think any of these connect to African heritage. By comparing modern experiences with older stories and historical accounts, the research aims to understand how the deeper meaning of Junkanoo has changed or remained the same over time.</w:t>
      </w:r>
    </w:p>
    <w:p w14:paraId="55A9CE48" w14:textId="77777777" w:rsidR="009F5F59" w:rsidRDefault="009F5F59" w:rsidP="0000156C">
      <w:r>
        <w:t>This study is part of my Master’s dissertation.</w:t>
      </w:r>
    </w:p>
    <w:p w14:paraId="6E5B71E7" w14:textId="77777777" w:rsidR="009F5F59" w:rsidRDefault="00000000" w:rsidP="0000156C">
      <w:pPr>
        <w:rPr>
          <w:sz w:val="28"/>
          <w:szCs w:val="28"/>
        </w:rPr>
      </w:pPr>
      <w:r>
        <w:pict w14:anchorId="1CE00F86">
          <v:rect id="_x0000_i1030" style="width:0;height:1.5pt" o:hralign="center" o:hrstd="t" o:hr="t" fillcolor="#a0a0a0" stroked="f"/>
        </w:pict>
      </w:r>
      <w:r w:rsidR="009F5F59">
        <w:rPr>
          <w:sz w:val="28"/>
          <w:szCs w:val="28"/>
        </w:rPr>
        <w:t>2. Why have I been invited?</w:t>
      </w:r>
    </w:p>
    <w:p w14:paraId="452D8B47" w14:textId="77777777" w:rsidR="009F5F59" w:rsidRDefault="009F5F59" w:rsidP="0000156C">
      <w:r>
        <w:t>You have been invited because you are a Junkanoo practitioner (drummer, dancer or participant) with experience and personal insight into the festival.</w:t>
      </w:r>
    </w:p>
    <w:p w14:paraId="7F44ED0B" w14:textId="77777777" w:rsidR="009F5F59" w:rsidRDefault="00000000" w:rsidP="0000156C">
      <w:r>
        <w:pict w14:anchorId="5AC03C0E">
          <v:rect id="_x0000_i1031" style="width:0;height:1.5pt" o:hralign="center" o:hrstd="t" o:hr="t" fillcolor="#a0a0a0" stroked="f"/>
        </w:pict>
      </w:r>
    </w:p>
    <w:p w14:paraId="1246BF6D" w14:textId="77777777" w:rsidR="009F5F59" w:rsidRDefault="009F5F59" w:rsidP="0000156C">
      <w:pPr>
        <w:rPr>
          <w:sz w:val="28"/>
          <w:szCs w:val="28"/>
        </w:rPr>
      </w:pPr>
      <w:r>
        <w:rPr>
          <w:sz w:val="28"/>
          <w:szCs w:val="28"/>
        </w:rPr>
        <w:t>3. Do I have to take part?</w:t>
      </w:r>
    </w:p>
    <w:p w14:paraId="3F2A78F6" w14:textId="40C8111B" w:rsidR="009F5F59" w:rsidRDefault="009F5F59" w:rsidP="0000156C">
      <w:r>
        <w:t>No.</w:t>
      </w:r>
      <w:r>
        <w:br/>
        <w:t xml:space="preserve"> Participation is entirely voluntary.</w:t>
      </w:r>
      <w:r w:rsidR="007D6790">
        <w:t xml:space="preserve"> </w:t>
      </w:r>
      <w:r>
        <w:t>You may:</w:t>
      </w:r>
    </w:p>
    <w:p w14:paraId="5B6F5054" w14:textId="77777777" w:rsidR="009F5F59" w:rsidRDefault="009F5F59" w:rsidP="0000156C">
      <w:r>
        <w:t>decline to participate,</w:t>
      </w:r>
    </w:p>
    <w:p w14:paraId="586993FC" w14:textId="77777777" w:rsidR="009F5F59" w:rsidRDefault="009F5F59" w:rsidP="0000156C">
      <w:r>
        <w:t>skip any question,</w:t>
      </w:r>
    </w:p>
    <w:p w14:paraId="655F12D8" w14:textId="77777777" w:rsidR="009F5F59" w:rsidRDefault="009F5F59" w:rsidP="0000156C">
      <w:r>
        <w:t>stop the interview at any time,</w:t>
      </w:r>
    </w:p>
    <w:p w14:paraId="0B62E2AE" w14:textId="77777777" w:rsidR="009F5F59" w:rsidRDefault="009F5F59" w:rsidP="0000156C">
      <w:r>
        <w:lastRenderedPageBreak/>
        <w:t>Withdraw your data for up until January 30th,2026, without giving a reason.</w:t>
      </w:r>
    </w:p>
    <w:p w14:paraId="6B9EEA80" w14:textId="77777777" w:rsidR="009F5F59" w:rsidRDefault="009F5F59" w:rsidP="0000156C">
      <w:r>
        <w:t>Your decision will not affect any relationship, opportunity or involvement with the researcher or the University.</w:t>
      </w:r>
    </w:p>
    <w:p w14:paraId="4A9720AB" w14:textId="77777777" w:rsidR="009F5F59" w:rsidRDefault="00000000" w:rsidP="0000156C">
      <w:r>
        <w:pict w14:anchorId="1BCCBDA7">
          <v:rect id="_x0000_i1032" style="width:0;height:1.5pt" o:hralign="center" o:hrstd="t" o:hr="t" fillcolor="#a0a0a0" stroked="f"/>
        </w:pict>
      </w:r>
    </w:p>
    <w:p w14:paraId="22CD16D1" w14:textId="77777777" w:rsidR="009F5F59" w:rsidRDefault="009F5F59" w:rsidP="0000156C">
      <w:pPr>
        <w:rPr>
          <w:sz w:val="28"/>
          <w:szCs w:val="28"/>
        </w:rPr>
      </w:pPr>
      <w:bookmarkStart w:id="81" w:name="_g8j0g5lisx84" w:colFirst="0" w:colLast="0"/>
      <w:bookmarkEnd w:id="81"/>
      <w:r>
        <w:rPr>
          <w:sz w:val="28"/>
          <w:szCs w:val="28"/>
        </w:rPr>
        <w:t>4. What will I be asked to do?</w:t>
      </w:r>
    </w:p>
    <w:p w14:paraId="30F10979" w14:textId="77777777" w:rsidR="009F5F59" w:rsidRDefault="009F5F59" w:rsidP="0000156C">
      <w:r>
        <w:t>If you agree to take part, you will be interviewed for approximately 20-45 minutes, though this may be shorter or longer.</w:t>
      </w:r>
      <w:r>
        <w:br/>
        <w:t xml:space="preserve"> You will be asked about:</w:t>
      </w:r>
    </w:p>
    <w:p w14:paraId="2A052D9E" w14:textId="77777777" w:rsidR="009F5F59" w:rsidRDefault="009F5F59" w:rsidP="0000156C">
      <w:r>
        <w:t>your experiences in Junkanoo</w:t>
      </w:r>
    </w:p>
    <w:p w14:paraId="23B3C4E4" w14:textId="77777777" w:rsidR="009F5F59" w:rsidRDefault="009F5F59" w:rsidP="0000156C">
      <w:r>
        <w:t>your interpretation of meaning in the festival</w:t>
      </w:r>
    </w:p>
    <w:p w14:paraId="42952509" w14:textId="77777777" w:rsidR="009F5F59" w:rsidRDefault="009F5F59" w:rsidP="0000156C">
      <w:r>
        <w:t>whether you feel any elements connect to ancestry or African cultural ideas</w:t>
      </w:r>
    </w:p>
    <w:p w14:paraId="6EBAABAC" w14:textId="77777777" w:rsidR="009F5F59" w:rsidRDefault="009F5F59" w:rsidP="0000156C">
      <w:r>
        <w:t>your thoughts on the cultural significance of the festival today</w:t>
      </w:r>
      <w:r>
        <w:br/>
      </w:r>
    </w:p>
    <w:p w14:paraId="0A58EAC9" w14:textId="33539731" w:rsidR="009F5F59" w:rsidRDefault="009F5F59" w:rsidP="0000156C">
      <w:r>
        <w:t xml:space="preserve">No personal information is required. Please refrain from volunteering personal information. Also, please refrain from disclosing participation in illegal </w:t>
      </w:r>
      <w:r w:rsidR="007D6790">
        <w:t>activity</w:t>
      </w:r>
      <w:r>
        <w:t xml:space="preserve">. </w:t>
      </w:r>
    </w:p>
    <w:p w14:paraId="1033D9E5" w14:textId="77777777" w:rsidR="009F5F59" w:rsidRDefault="009F5F59" w:rsidP="0000156C">
      <w:r>
        <w:t>You do not need to prepare anything.</w:t>
      </w:r>
    </w:p>
    <w:p w14:paraId="303AD480" w14:textId="77777777" w:rsidR="009F5F59" w:rsidRDefault="009F5F59" w:rsidP="0000156C">
      <w:r>
        <w:t>With your permission, the interview will be audio-recorded to ensure accuracy.</w:t>
      </w:r>
    </w:p>
    <w:p w14:paraId="5BF6EFB7" w14:textId="77777777" w:rsidR="009F5F59" w:rsidRDefault="00000000" w:rsidP="0000156C">
      <w:pPr>
        <w:rPr>
          <w:sz w:val="28"/>
          <w:szCs w:val="28"/>
        </w:rPr>
      </w:pPr>
      <w:r>
        <w:pict w14:anchorId="18947DF9">
          <v:rect id="_x0000_i1033" style="width:0;height:1.5pt" o:hralign="center" o:hrstd="t" o:hr="t" fillcolor="#a0a0a0" stroked="f"/>
        </w:pict>
      </w:r>
      <w:r w:rsidR="009F5F59">
        <w:rPr>
          <w:sz w:val="28"/>
          <w:szCs w:val="28"/>
        </w:rPr>
        <w:t>5. Are there any risks?</w:t>
      </w:r>
    </w:p>
    <w:p w14:paraId="2B5728AE" w14:textId="77777777" w:rsidR="009F5F59" w:rsidRDefault="009F5F59" w:rsidP="0000156C">
      <w:r>
        <w:t>This is a low-risk study. None of the interview questions asks for personal religious beliefs, sensitive information, or anything that may cause harm. However, some people may feel slightly uncomfortable when discussing topics such as spirituality, ancestry, or cultural identity. Participants may skip any question, pause the interview, or stop at any time without giving a reason. No discussion of private behaviour is required, and there are no physical, emotional, or legal risks involved.</w:t>
      </w:r>
    </w:p>
    <w:p w14:paraId="49C075F3" w14:textId="77777777" w:rsidR="009F5F59" w:rsidRDefault="009F5F59" w:rsidP="0000156C">
      <w:r>
        <w:t>If you feel uncomfortable at any point, we will stop or move to another question.</w:t>
      </w:r>
    </w:p>
    <w:p w14:paraId="7779C3D7" w14:textId="77777777" w:rsidR="009F5F59" w:rsidRDefault="00000000" w:rsidP="0000156C">
      <w:r>
        <w:lastRenderedPageBreak/>
        <w:pict w14:anchorId="13B165D1">
          <v:rect id="_x0000_i1034" style="width:0;height:1.5pt" o:hralign="center" o:hrstd="t" o:hr="t" fillcolor="#a0a0a0" stroked="f"/>
        </w:pict>
      </w:r>
    </w:p>
    <w:p w14:paraId="155B03C6" w14:textId="77777777" w:rsidR="009F5F59" w:rsidRDefault="009F5F59" w:rsidP="0000156C">
      <w:pPr>
        <w:rPr>
          <w:sz w:val="28"/>
          <w:szCs w:val="28"/>
        </w:rPr>
      </w:pPr>
      <w:bookmarkStart w:id="82" w:name="_ods4gd48yzbl" w:colFirst="0" w:colLast="0"/>
      <w:bookmarkEnd w:id="82"/>
      <w:r>
        <w:rPr>
          <w:sz w:val="28"/>
          <w:szCs w:val="28"/>
        </w:rPr>
        <w:t>6. Are there any benefits?</w:t>
      </w:r>
    </w:p>
    <w:p w14:paraId="5FAC6F5C" w14:textId="77777777" w:rsidR="009F5F59" w:rsidRDefault="009F5F59" w:rsidP="0000156C">
      <w:r>
        <w:t>There are no direct personal benefits, but your participation will:</w:t>
      </w:r>
    </w:p>
    <w:p w14:paraId="7539119B" w14:textId="77777777" w:rsidR="009F5F59" w:rsidRDefault="009F5F59" w:rsidP="0000156C">
      <w:r>
        <w:t>help support academic research on Bahamian culture,</w:t>
      </w:r>
    </w:p>
    <w:p w14:paraId="29656ACF" w14:textId="77777777" w:rsidR="009F5F59" w:rsidRDefault="009F5F59" w:rsidP="0000156C">
      <w:r>
        <w:t>contribute to a wider understanding of Junkanoo’s experience and spiritual and cultural foundations,</w:t>
      </w:r>
    </w:p>
    <w:p w14:paraId="32BF58A6" w14:textId="77777777" w:rsidR="009F5F59" w:rsidRDefault="009F5F59" w:rsidP="0000156C">
      <w:r>
        <w:t>help preserve knowledge and perspectives from practitioners.</w:t>
      </w:r>
      <w:r>
        <w:br/>
      </w:r>
    </w:p>
    <w:p w14:paraId="71B89CC9" w14:textId="77777777" w:rsidR="009F5F59" w:rsidRDefault="009F5F59" w:rsidP="0000156C">
      <w:r>
        <w:t>Many participants also enjoy the opportunity to reflect on their cultural experiences.</w:t>
      </w:r>
    </w:p>
    <w:p w14:paraId="5263CBF8" w14:textId="77777777" w:rsidR="009F5F59" w:rsidRDefault="00000000" w:rsidP="0000156C">
      <w:r>
        <w:pict w14:anchorId="179BCAC9">
          <v:rect id="_x0000_i1035" style="width:0;height:1.5pt" o:hralign="center" o:hrstd="t" o:hr="t" fillcolor="#a0a0a0" stroked="f"/>
        </w:pict>
      </w:r>
    </w:p>
    <w:p w14:paraId="5994DA29" w14:textId="77777777" w:rsidR="009F5F59" w:rsidRDefault="009F5F59" w:rsidP="0000156C">
      <w:pPr>
        <w:rPr>
          <w:sz w:val="28"/>
          <w:szCs w:val="28"/>
        </w:rPr>
      </w:pPr>
      <w:bookmarkStart w:id="83" w:name="_3ibaollb7h4q" w:colFirst="0" w:colLast="0"/>
      <w:bookmarkEnd w:id="83"/>
      <w:r>
        <w:rPr>
          <w:sz w:val="28"/>
          <w:szCs w:val="28"/>
        </w:rPr>
        <w:t>7. Will my information be kept confidential?</w:t>
      </w:r>
    </w:p>
    <w:p w14:paraId="3E823468" w14:textId="77777777" w:rsidR="009F5F59" w:rsidRDefault="009F5F59" w:rsidP="0000156C">
      <w:r>
        <w:t>Yes.</w:t>
      </w:r>
      <w:r>
        <w:br/>
        <w:t xml:space="preserve"> Your identity will be kept strictly confidential.</w:t>
      </w:r>
    </w:p>
    <w:p w14:paraId="242147A2" w14:textId="77777777" w:rsidR="009F5F59" w:rsidRDefault="009F5F59" w:rsidP="0000156C">
      <w:r>
        <w:t>Your name will not appear in any document outside of the consent form.</w:t>
      </w:r>
    </w:p>
    <w:p w14:paraId="2BC5E121" w14:textId="77777777" w:rsidR="009F5F59" w:rsidRDefault="009F5F59" w:rsidP="0000156C">
      <w:r>
        <w:t>A pseudonym (fake name) will be used in transcripts and writing.</w:t>
      </w:r>
      <w:r>
        <w:br/>
        <w:t>Any identifying details will be removed.</w:t>
      </w:r>
    </w:p>
    <w:p w14:paraId="615A6935" w14:textId="77777777" w:rsidR="009F5F59" w:rsidRDefault="009F5F59" w:rsidP="0000156C">
      <w:r>
        <w:t>Audio recordings will be stored securely and deleted once the dissertation is finished.</w:t>
      </w:r>
    </w:p>
    <w:p w14:paraId="6482F543" w14:textId="77777777" w:rsidR="009F5F59" w:rsidRDefault="009F5F59" w:rsidP="0000156C">
      <w:r>
        <w:t>Only the researcher will access the data.</w:t>
      </w:r>
      <w:r>
        <w:br/>
      </w:r>
    </w:p>
    <w:p w14:paraId="0F07F178" w14:textId="77777777" w:rsidR="009F5F59" w:rsidRDefault="009F5F59" w:rsidP="0000156C">
      <w:r>
        <w:t>No information will be shared with organisations, Junkanoo groups or the public in a way that could identify you.</w:t>
      </w:r>
    </w:p>
    <w:p w14:paraId="3EC7522C" w14:textId="77777777" w:rsidR="009F5F59" w:rsidRDefault="00000000" w:rsidP="0000156C">
      <w:r>
        <w:pict w14:anchorId="4EBF3BEA">
          <v:rect id="_x0000_i1036" style="width:0;height:1.5pt" o:hralign="center" o:hrstd="t" o:hr="t" fillcolor="#a0a0a0" stroked="f"/>
        </w:pict>
      </w:r>
    </w:p>
    <w:p w14:paraId="7FA84A0E" w14:textId="77777777" w:rsidR="009F5F59" w:rsidRDefault="009F5F59" w:rsidP="0000156C">
      <w:pPr>
        <w:rPr>
          <w:sz w:val="28"/>
          <w:szCs w:val="28"/>
        </w:rPr>
      </w:pPr>
      <w:bookmarkStart w:id="84" w:name="_b7p2av4najv9" w:colFirst="0" w:colLast="0"/>
      <w:bookmarkEnd w:id="84"/>
      <w:r>
        <w:rPr>
          <w:sz w:val="28"/>
          <w:szCs w:val="28"/>
        </w:rPr>
        <w:t>8. How will my data be used and stored?</w:t>
      </w:r>
    </w:p>
    <w:p w14:paraId="762E06C0" w14:textId="77777777" w:rsidR="009F5F59" w:rsidRDefault="009F5F59" w:rsidP="0000156C">
      <w:r>
        <w:t>Your data will be stored securely on encrypted, password-protected university storage.</w:t>
      </w:r>
    </w:p>
    <w:p w14:paraId="5EC5E3C4" w14:textId="77777777" w:rsidR="009F5F59" w:rsidRDefault="009F5F59" w:rsidP="0000156C">
      <w:r>
        <w:t>Data will:</w:t>
      </w:r>
    </w:p>
    <w:p w14:paraId="68BFC552" w14:textId="77777777" w:rsidR="009F5F59" w:rsidRDefault="009F5F59" w:rsidP="0000156C">
      <w:r>
        <w:t>be used only for this dissertation,</w:t>
      </w:r>
    </w:p>
    <w:p w14:paraId="2001C2F1" w14:textId="77777777" w:rsidR="009F5F59" w:rsidRDefault="009F5F59" w:rsidP="0000156C">
      <w:r>
        <w:t>remain anonymous in all writing,</w:t>
      </w:r>
    </w:p>
    <w:p w14:paraId="7EA05D75" w14:textId="77777777" w:rsidR="009F5F59" w:rsidRDefault="009F5F59" w:rsidP="0000156C">
      <w:r>
        <w:lastRenderedPageBreak/>
        <w:t>be deleted after the project is examined.</w:t>
      </w:r>
    </w:p>
    <w:p w14:paraId="692E3D66" w14:textId="77777777" w:rsidR="009F5F59" w:rsidRDefault="009F5F59" w:rsidP="0000156C">
      <w:r>
        <w:t>This research complies with UK GDPR, the Data Protection Act (2018), and UWTSD’s Research Data Management Policy. A copy of the university’s Research Privacy note, outlining these policies, will be provided to you.</w:t>
      </w:r>
    </w:p>
    <w:p w14:paraId="2DF66179" w14:textId="77777777" w:rsidR="009F5F59" w:rsidRDefault="00000000" w:rsidP="0000156C">
      <w:r>
        <w:pict w14:anchorId="196A5102">
          <v:rect id="_x0000_i1037" style="width:0;height:1.5pt" o:hralign="center" o:hrstd="t" o:hr="t" fillcolor="#a0a0a0" stroked="f"/>
        </w:pict>
      </w:r>
    </w:p>
    <w:p w14:paraId="60063C9E" w14:textId="77777777" w:rsidR="009F5F59" w:rsidRDefault="009F5F59" w:rsidP="0000156C"/>
    <w:p w14:paraId="6A50552F" w14:textId="77777777" w:rsidR="009F5F59" w:rsidRDefault="009F5F59" w:rsidP="0000156C">
      <w:pPr>
        <w:rPr>
          <w:sz w:val="28"/>
          <w:szCs w:val="28"/>
        </w:rPr>
      </w:pPr>
      <w:r>
        <w:rPr>
          <w:sz w:val="28"/>
          <w:szCs w:val="28"/>
        </w:rPr>
        <w:t>9. Who has reviewed this study?</w:t>
      </w:r>
    </w:p>
    <w:p w14:paraId="26E0D979" w14:textId="1CF1E059" w:rsidR="009F5F59" w:rsidRDefault="009F5F59" w:rsidP="0000156C">
      <w:r>
        <w:t xml:space="preserve">This project has been reviewed and approved by the University of Wales Trinity Saint David, in accordance with its ethics procedures for taught </w:t>
      </w:r>
      <w:r w:rsidR="007D6790">
        <w:t>master’s</w:t>
      </w:r>
      <w:r>
        <w:t xml:space="preserve"> students.</w:t>
      </w:r>
    </w:p>
    <w:p w14:paraId="1B03B1EE" w14:textId="77777777" w:rsidR="009F5F59" w:rsidRDefault="00000000" w:rsidP="0000156C">
      <w:pPr>
        <w:rPr>
          <w:sz w:val="28"/>
          <w:szCs w:val="28"/>
        </w:rPr>
      </w:pPr>
      <w:r>
        <w:pict w14:anchorId="1EB27AC4">
          <v:rect id="_x0000_i1038" style="width:0;height:1.5pt" o:hralign="center" o:hrstd="t" o:hr="t" fillcolor="#a0a0a0" stroked="f"/>
        </w:pict>
      </w:r>
      <w:r w:rsidR="009F5F59">
        <w:rPr>
          <w:sz w:val="28"/>
          <w:szCs w:val="28"/>
        </w:rPr>
        <w:t>10. What if I have questions or concerns?</w:t>
      </w:r>
    </w:p>
    <w:p w14:paraId="77CDA90F" w14:textId="77777777" w:rsidR="009F5F59" w:rsidRDefault="009F5F59" w:rsidP="0000156C">
      <w:r>
        <w:t>If you have any questions about the study, you may contact me at:</w:t>
      </w:r>
      <w:r>
        <w:br/>
        <w:t xml:space="preserve"> </w:t>
      </w:r>
      <w:r>
        <w:rPr>
          <w:rFonts w:ascii="Segoe UI Emoji" w:hAnsi="Segoe UI Emoji" w:cs="Segoe UI Emoji"/>
        </w:rPr>
        <w:t>📧</w:t>
      </w:r>
      <w:r>
        <w:t xml:space="preserve"> </w:t>
      </w:r>
      <w:hyperlink r:id="rId53">
        <w:r>
          <w:rPr>
            <w:color w:val="1155CC"/>
            <w:u w:val="single"/>
          </w:rPr>
          <w:t>1803400@student.uwtsd.ac.uk</w:t>
        </w:r>
      </w:hyperlink>
      <w:r>
        <w:t xml:space="preserve"> </w:t>
      </w:r>
    </w:p>
    <w:p w14:paraId="27DBAE18" w14:textId="77777777" w:rsidR="009F5F59" w:rsidRDefault="009F5F59" w:rsidP="0000156C">
      <w:pPr>
        <w:rPr>
          <w:sz w:val="20"/>
          <w:szCs w:val="20"/>
        </w:rPr>
      </w:pPr>
      <w:r>
        <w:t>You may also contact my supervisor:</w:t>
      </w:r>
      <w:r>
        <w:br/>
        <w:t xml:space="preserve"> </w:t>
      </w:r>
      <w:r>
        <w:rPr>
          <w:rFonts w:ascii="Segoe UI Emoji" w:hAnsi="Segoe UI Emoji" w:cs="Segoe UI Emoji"/>
        </w:rPr>
        <w:t>📧</w:t>
      </w:r>
      <w:r>
        <w:t xml:space="preserve"> Dr. Frances Clynes – </w:t>
      </w:r>
      <w:hyperlink r:id="rId54">
        <w:r>
          <w:rPr>
            <w:color w:val="1155CC"/>
            <w:u w:val="single"/>
          </w:rPr>
          <w:t>f.clynes@uwtsd.ac.uk</w:t>
        </w:r>
      </w:hyperlink>
    </w:p>
    <w:p w14:paraId="31B29C1F" w14:textId="77777777" w:rsidR="009F5F59" w:rsidRDefault="009F5F59" w:rsidP="0000156C">
      <w:pPr>
        <w:rPr>
          <w:sz w:val="20"/>
          <w:szCs w:val="20"/>
        </w:rPr>
      </w:pPr>
      <w:r>
        <w:rPr>
          <w:sz w:val="20"/>
          <w:szCs w:val="20"/>
        </w:rPr>
        <w:t>If you have concerns about how the research is being conducted, you may contact the University’s ethical review office.</w:t>
      </w:r>
    </w:p>
    <w:p w14:paraId="2C1C1D17" w14:textId="77777777" w:rsidR="009F5F59" w:rsidRDefault="009F5F59">
      <w:pPr>
        <w:spacing w:line="240" w:lineRule="auto"/>
      </w:pPr>
    </w:p>
    <w:p w14:paraId="6B94F57A" w14:textId="51A5C9EB" w:rsidR="003247C8" w:rsidRPr="003247C8" w:rsidRDefault="003247C8" w:rsidP="003247C8"/>
    <w:sectPr w:rsidR="003247C8" w:rsidRPr="003247C8" w:rsidSect="00892F7A">
      <w:pgSz w:w="11906" w:h="16838" w:code="9"/>
      <w:pgMar w:top="1440" w:right="2304" w:bottom="1440" w:left="2304" w:header="720" w:footer="720" w:gutter="0"/>
      <w:pgNumType w:start="1"/>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64" w:author="India Sweeting (1803400)" w:date="2026-02-05T14:06:00Z" w:initials="IS(">
    <w:p w14:paraId="53DF47A7" w14:textId="77777777" w:rsidR="007A27AA" w:rsidRDefault="007A27AA" w:rsidP="007A27AA">
      <w:pPr>
        <w:pStyle w:val="CommentText"/>
      </w:pPr>
      <w:r>
        <w:rPr>
          <w:rStyle w:val="CommentReference"/>
        </w:rPr>
        <w:annotationRef/>
      </w:r>
      <w:r>
        <w:rPr>
          <w:lang w:val="en-US"/>
        </w:rPr>
        <w:t>fix</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3DF47A7"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7EAD01F" w16cex:dateUtc="2026-02-05T19:06:00Z">
    <w16cex:extLst>
      <w16:ext w16:uri="{CE6994B0-6A32-4C9F-8C6B-6E91EDA988CE}">
        <cr:reactions xmlns:cr="http://schemas.microsoft.com/office/comments/2020/reactions">
          <cr:reaction reactionType="1">
            <cr:reactionInfo dateUtc="2026-02-05T19:41:07Z">
              <cr:user userId="S::1803400@student.uwtsd.ac.uk::2f566dd3-6ea9-4add-9d9d-79c7e84435ea" userProvider="AD" userName="India Sweeting (1803400)"/>
            </cr:reactionInfo>
          </cr:reaction>
        </cr:reactions>
      </w16:ext>
    </w16cex:extLst>
  </w16cex:commentExtensible>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3DF47A7" w16cid:durableId="47EAD01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03FB76" w14:textId="77777777" w:rsidR="00A816CD" w:rsidRDefault="00A816CD" w:rsidP="00A16F79">
      <w:pPr>
        <w:spacing w:after="0" w:line="240" w:lineRule="auto"/>
      </w:pPr>
      <w:r>
        <w:separator/>
      </w:r>
    </w:p>
  </w:endnote>
  <w:endnote w:type="continuationSeparator" w:id="0">
    <w:p w14:paraId="4D093377" w14:textId="77777777" w:rsidR="00A816CD" w:rsidRDefault="00A816CD" w:rsidP="00A16F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1386362"/>
      <w:docPartObj>
        <w:docPartGallery w:val="Page Numbers (Bottom of Page)"/>
        <w:docPartUnique/>
      </w:docPartObj>
    </w:sdtPr>
    <w:sdtEndPr>
      <w:rPr>
        <w:noProof/>
      </w:rPr>
    </w:sdtEndPr>
    <w:sdtContent>
      <w:p w14:paraId="4FD23794" w14:textId="150DBDC3" w:rsidR="00A861DC" w:rsidRDefault="00A861D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54C8207" w14:textId="3EB089A2" w:rsidR="00A16F79" w:rsidRDefault="00A16F79">
    <w:pPr>
      <w:pBdr>
        <w:top w:val="nil"/>
        <w:left w:val="nil"/>
        <w:bottom w:val="nil"/>
        <w:right w:val="nil"/>
        <w:between w:val="nil"/>
      </w:pBdr>
      <w:tabs>
        <w:tab w:val="center" w:pos="4513"/>
        <w:tab w:val="right" w:pos="9026"/>
      </w:tabs>
      <w:rPr>
        <w:rFonts w:ascii="Trebuchet MS" w:eastAsia="Trebuchet MS" w:hAnsi="Trebuchet MS" w:cs="Trebuchet MS"/>
        <w:color w:val="000000"/>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FE5565" w14:textId="77777777" w:rsidR="00A816CD" w:rsidRDefault="00A816CD" w:rsidP="00A16F79">
      <w:pPr>
        <w:spacing w:after="0" w:line="240" w:lineRule="auto"/>
      </w:pPr>
      <w:r>
        <w:separator/>
      </w:r>
    </w:p>
  </w:footnote>
  <w:footnote w:type="continuationSeparator" w:id="0">
    <w:p w14:paraId="2BEDD9A0" w14:textId="77777777" w:rsidR="00A816CD" w:rsidRDefault="00A816CD" w:rsidP="00A16F79">
      <w:pPr>
        <w:spacing w:after="0" w:line="240" w:lineRule="auto"/>
      </w:pPr>
      <w:r>
        <w:continuationSeparator/>
      </w:r>
    </w:p>
  </w:footnote>
  <w:footnote w:id="1">
    <w:p w14:paraId="5020A36A" w14:textId="04671380" w:rsidR="00A16F79" w:rsidRDefault="00A16F79">
      <w:pPr>
        <w:spacing w:line="240" w:lineRule="auto"/>
        <w:rPr>
          <w:sz w:val="20"/>
          <w:szCs w:val="20"/>
        </w:rPr>
      </w:pPr>
      <w:r>
        <w:rPr>
          <w:vertAlign w:val="superscript"/>
        </w:rPr>
        <w:footnoteRef/>
      </w:r>
      <w:r>
        <w:rPr>
          <w:sz w:val="20"/>
          <w:szCs w:val="20"/>
        </w:rPr>
        <w:t xml:space="preserve"> Nicolette Bethel, 'Junkanoo in the Bahamas: A Tale of Identity', in </w:t>
      </w:r>
      <w:r>
        <w:rPr>
          <w:i/>
          <w:iCs/>
          <w:sz w:val="20"/>
          <w:szCs w:val="20"/>
        </w:rPr>
        <w:t>Junkanoo and Religion: Christianity and Cultural Identity in the Bahamas: Papers Presented at the Junkanoo Symposium, March 2002</w:t>
      </w:r>
      <w:r>
        <w:rPr>
          <w:sz w:val="20"/>
          <w:szCs w:val="20"/>
        </w:rPr>
        <w:t xml:space="preserve">, ed. by Jessica Minnis (Media Enterprises Ltd, 2003), pp. 118–129 &lt;https://archive.org/details/junkanooreligion0000junk&gt;. pg. 118 </w:t>
      </w:r>
    </w:p>
  </w:footnote>
  <w:footnote w:id="2">
    <w:p w14:paraId="07FF0785" w14:textId="77777777" w:rsidR="00E41CC8" w:rsidRDefault="00E41CC8" w:rsidP="00E41CC8">
      <w:pPr>
        <w:spacing w:line="240" w:lineRule="auto"/>
        <w:rPr>
          <w:sz w:val="20"/>
          <w:szCs w:val="20"/>
        </w:rPr>
      </w:pPr>
      <w:r>
        <w:rPr>
          <w:vertAlign w:val="superscript"/>
        </w:rPr>
        <w:footnoteRef/>
      </w:r>
      <w:r>
        <w:rPr>
          <w:sz w:val="20"/>
          <w:szCs w:val="20"/>
        </w:rPr>
        <w:t xml:space="preserve"> Keith G. Wisdom, 'Ecstasy in Junkanoo, A Public Celebration of Freedom', in </w:t>
      </w:r>
      <w:r>
        <w:rPr>
          <w:i/>
          <w:iCs/>
          <w:sz w:val="20"/>
          <w:szCs w:val="20"/>
        </w:rPr>
        <w:t>1994 Festival of American Folklife</w:t>
      </w:r>
      <w:r>
        <w:rPr>
          <w:sz w:val="20"/>
          <w:szCs w:val="20"/>
        </w:rPr>
        <w:t xml:space="preserve"> (Smithsonian Institution, 1994), pp. 76–79 &lt;https://ia801209.us.archive.org/34/items/1994festivalofam1994fest/1994festivalofam1994fest.pdf&gt;. Pg 76. </w:t>
      </w:r>
    </w:p>
  </w:footnote>
  <w:footnote w:id="3">
    <w:p w14:paraId="573E50F1" w14:textId="77777777" w:rsidR="00A16F79" w:rsidRDefault="00A16F79">
      <w:pPr>
        <w:spacing w:line="240" w:lineRule="auto"/>
        <w:rPr>
          <w:sz w:val="20"/>
          <w:szCs w:val="20"/>
        </w:rPr>
      </w:pPr>
      <w:r>
        <w:rPr>
          <w:vertAlign w:val="superscript"/>
        </w:rPr>
        <w:footnoteRef/>
      </w:r>
      <w:r>
        <w:rPr>
          <w:sz w:val="20"/>
          <w:szCs w:val="20"/>
        </w:rPr>
        <w:t xml:space="preserve">Micheal Craton, </w:t>
      </w:r>
      <w:r>
        <w:rPr>
          <w:i/>
          <w:iCs/>
          <w:sz w:val="20"/>
          <w:szCs w:val="20"/>
        </w:rPr>
        <w:t>A History of the Bahamas</w:t>
      </w:r>
      <w:r>
        <w:rPr>
          <w:sz w:val="20"/>
          <w:szCs w:val="20"/>
        </w:rPr>
        <w:t xml:space="preserve"> (San Salvador Press, 1986)</w:t>
      </w:r>
      <w:r>
        <w:rPr>
          <w:i/>
          <w:iCs/>
          <w:sz w:val="20"/>
          <w:szCs w:val="20"/>
        </w:rPr>
        <w:t>, in Internet Archive</w:t>
      </w:r>
      <w:r>
        <w:rPr>
          <w:sz w:val="20"/>
          <w:szCs w:val="20"/>
        </w:rPr>
        <w:t xml:space="preserve"> &lt;https://archive.org/details/historyofbahamas0000crat/&gt;. Pg 173-176.</w:t>
      </w:r>
    </w:p>
  </w:footnote>
  <w:footnote w:id="4">
    <w:p w14:paraId="0CB41E65" w14:textId="2E5F4945" w:rsidR="00A16F79" w:rsidRDefault="00A16F79">
      <w:pPr>
        <w:spacing w:line="240" w:lineRule="auto"/>
        <w:rPr>
          <w:sz w:val="20"/>
          <w:szCs w:val="20"/>
        </w:rPr>
      </w:pPr>
      <w:r>
        <w:rPr>
          <w:vertAlign w:val="superscript"/>
        </w:rPr>
        <w:footnoteRef/>
      </w:r>
      <w:r>
        <w:rPr>
          <w:sz w:val="20"/>
          <w:szCs w:val="20"/>
        </w:rPr>
        <w:t xml:space="preserve">  Bethel, </w:t>
      </w:r>
      <w:r>
        <w:rPr>
          <w:i/>
          <w:iCs/>
          <w:sz w:val="20"/>
          <w:szCs w:val="20"/>
        </w:rPr>
        <w:t xml:space="preserve">A Tale of Identity </w:t>
      </w:r>
      <w:r>
        <w:rPr>
          <w:sz w:val="20"/>
          <w:szCs w:val="20"/>
        </w:rPr>
        <w:t>pg. 125.</w:t>
      </w:r>
    </w:p>
  </w:footnote>
  <w:footnote w:id="5">
    <w:p w14:paraId="74FED14B" w14:textId="5E2B130E" w:rsidR="00A16F79" w:rsidRDefault="00A16F79">
      <w:pPr>
        <w:spacing w:line="240" w:lineRule="auto"/>
        <w:rPr>
          <w:sz w:val="20"/>
          <w:szCs w:val="20"/>
        </w:rPr>
      </w:pPr>
      <w:r>
        <w:rPr>
          <w:vertAlign w:val="superscript"/>
        </w:rPr>
        <w:footnoteRef/>
      </w:r>
      <w:r>
        <w:rPr>
          <w:sz w:val="20"/>
          <w:szCs w:val="20"/>
        </w:rPr>
        <w:t xml:space="preserve"> Wisdom,</w:t>
      </w:r>
      <w:r>
        <w:rPr>
          <w:i/>
          <w:iCs/>
          <w:sz w:val="20"/>
          <w:szCs w:val="20"/>
        </w:rPr>
        <w:t xml:space="preserve"> Ecstasy in Junkanoo</w:t>
      </w:r>
      <w:r>
        <w:rPr>
          <w:sz w:val="20"/>
          <w:szCs w:val="20"/>
        </w:rPr>
        <w:t xml:space="preserve"> pg. 78. </w:t>
      </w:r>
    </w:p>
  </w:footnote>
  <w:footnote w:id="6">
    <w:p w14:paraId="6EB02AD2" w14:textId="490C0299" w:rsidR="00A16F79" w:rsidRDefault="00A16F79">
      <w:pPr>
        <w:spacing w:line="240" w:lineRule="auto"/>
        <w:rPr>
          <w:sz w:val="20"/>
          <w:szCs w:val="20"/>
        </w:rPr>
      </w:pPr>
      <w:r>
        <w:rPr>
          <w:vertAlign w:val="superscript"/>
        </w:rPr>
        <w:footnoteRef/>
      </w:r>
      <w:r>
        <w:rPr>
          <w:sz w:val="20"/>
          <w:szCs w:val="20"/>
        </w:rPr>
        <w:t xml:space="preserve"> </w:t>
      </w:r>
      <w:r>
        <w:rPr>
          <w:i/>
          <w:iCs/>
          <w:sz w:val="20"/>
          <w:szCs w:val="20"/>
        </w:rPr>
        <w:t xml:space="preserve">Nassau Guardian The Nassau Guardian, </w:t>
      </w:r>
      <w:r>
        <w:rPr>
          <w:sz w:val="20"/>
          <w:szCs w:val="20"/>
        </w:rPr>
        <w:t xml:space="preserve">December 26, 1849, &lt;https://ufdc.ufl.edu/aa00076890/00084&gt; [accessed 20th Nov. 2025]. Image 2. </w:t>
      </w:r>
    </w:p>
  </w:footnote>
  <w:footnote w:id="7">
    <w:p w14:paraId="7767AECD" w14:textId="0C7D0882" w:rsidR="00A16F79" w:rsidRDefault="00A16F79">
      <w:pPr>
        <w:spacing w:line="240" w:lineRule="auto"/>
        <w:rPr>
          <w:sz w:val="20"/>
          <w:szCs w:val="20"/>
        </w:rPr>
      </w:pPr>
      <w:r>
        <w:rPr>
          <w:vertAlign w:val="superscript"/>
        </w:rPr>
        <w:footnoteRef/>
      </w:r>
      <w:r>
        <w:rPr>
          <w:sz w:val="20"/>
          <w:szCs w:val="20"/>
        </w:rPr>
        <w:t xml:space="preserve">  Bethel, </w:t>
      </w:r>
      <w:r>
        <w:rPr>
          <w:i/>
          <w:iCs/>
          <w:sz w:val="20"/>
          <w:szCs w:val="20"/>
        </w:rPr>
        <w:t xml:space="preserve">A Tale of Identity, </w:t>
      </w:r>
      <w:r>
        <w:rPr>
          <w:sz w:val="20"/>
          <w:szCs w:val="20"/>
        </w:rPr>
        <w:t>pg. 120.</w:t>
      </w:r>
    </w:p>
  </w:footnote>
  <w:footnote w:id="8">
    <w:p w14:paraId="5FA9D9B2" w14:textId="77777777" w:rsidR="00A16F79" w:rsidRDefault="00A16F79">
      <w:pPr>
        <w:spacing w:line="240" w:lineRule="auto"/>
        <w:rPr>
          <w:sz w:val="20"/>
          <w:szCs w:val="20"/>
        </w:rPr>
      </w:pPr>
      <w:r>
        <w:rPr>
          <w:vertAlign w:val="superscript"/>
        </w:rPr>
        <w:footnoteRef/>
      </w:r>
      <w:r>
        <w:rPr>
          <w:sz w:val="20"/>
          <w:szCs w:val="20"/>
        </w:rPr>
        <w:t xml:space="preserve"> Nancy Ellen Abrams and Joel R. Primack, 'Cosmology and 21st-Century Culture', </w:t>
      </w:r>
      <w:r>
        <w:rPr>
          <w:i/>
          <w:iCs/>
          <w:sz w:val="20"/>
          <w:szCs w:val="20"/>
        </w:rPr>
        <w:t xml:space="preserve">Science, </w:t>
      </w:r>
      <w:r>
        <w:rPr>
          <w:sz w:val="20"/>
          <w:szCs w:val="20"/>
        </w:rPr>
        <w:t>293 (2001), 1769–1770</w:t>
      </w:r>
      <w:r>
        <w:rPr>
          <w:i/>
          <w:iCs/>
          <w:sz w:val="20"/>
          <w:szCs w:val="20"/>
        </w:rPr>
        <w:t>, in JSTOR</w:t>
      </w:r>
      <w:r>
        <w:rPr>
          <w:sz w:val="20"/>
          <w:szCs w:val="20"/>
        </w:rPr>
        <w:t xml:space="preserve"> &lt;http://www.jstor.org/stable/3084659&gt;. Pg 1769.</w:t>
      </w:r>
    </w:p>
  </w:footnote>
  <w:footnote w:id="9">
    <w:p w14:paraId="121158CF" w14:textId="77777777" w:rsidR="00A16F79" w:rsidRDefault="00A16F79">
      <w:pPr>
        <w:spacing w:line="240" w:lineRule="auto"/>
        <w:rPr>
          <w:sz w:val="20"/>
          <w:szCs w:val="20"/>
        </w:rPr>
      </w:pPr>
      <w:r>
        <w:rPr>
          <w:vertAlign w:val="superscript"/>
        </w:rPr>
        <w:footnoteRef/>
      </w:r>
      <w:r>
        <w:rPr>
          <w:sz w:val="20"/>
          <w:szCs w:val="20"/>
        </w:rPr>
        <w:t xml:space="preserve"> Austine S. O. Okwu, 'Life, Death, Reincarnation, and Traditional Healing in Africa', </w:t>
      </w:r>
      <w:r>
        <w:rPr>
          <w:i/>
          <w:iCs/>
          <w:sz w:val="20"/>
          <w:szCs w:val="20"/>
        </w:rPr>
        <w:t xml:space="preserve">Issue: A Journal of Opinion, </w:t>
      </w:r>
      <w:r>
        <w:rPr>
          <w:sz w:val="20"/>
          <w:szCs w:val="20"/>
        </w:rPr>
        <w:t>9 (1979), 19–24</w:t>
      </w:r>
      <w:r>
        <w:rPr>
          <w:i/>
          <w:iCs/>
          <w:sz w:val="20"/>
          <w:szCs w:val="20"/>
        </w:rPr>
        <w:t>, in JSTOR</w:t>
      </w:r>
      <w:r>
        <w:rPr>
          <w:sz w:val="20"/>
          <w:szCs w:val="20"/>
        </w:rPr>
        <w:t xml:space="preserve"> &lt;http://www.jstor.org/stable/1166258&gt;. Pg 19.</w:t>
      </w:r>
    </w:p>
    <w:p w14:paraId="3E88BA31" w14:textId="77777777" w:rsidR="00A16F79" w:rsidRDefault="00A16F79">
      <w:pPr>
        <w:spacing w:line="240" w:lineRule="auto"/>
        <w:rPr>
          <w:sz w:val="20"/>
          <w:szCs w:val="20"/>
        </w:rPr>
      </w:pPr>
    </w:p>
  </w:footnote>
  <w:footnote w:id="10">
    <w:p w14:paraId="1E5BBE19" w14:textId="218E1EDA" w:rsidR="00A16F79" w:rsidRDefault="00A16F79">
      <w:pPr>
        <w:spacing w:line="240" w:lineRule="auto"/>
        <w:rPr>
          <w:sz w:val="20"/>
          <w:szCs w:val="20"/>
        </w:rPr>
      </w:pPr>
      <w:r>
        <w:rPr>
          <w:vertAlign w:val="superscript"/>
        </w:rPr>
        <w:footnoteRef/>
      </w:r>
      <w:r>
        <w:rPr>
          <w:sz w:val="20"/>
          <w:szCs w:val="20"/>
          <w:shd w:val="clear" w:color="auto" w:fill="FAFAFA"/>
        </w:rPr>
        <w:t xml:space="preserve">Rowland Abiodun, 'Àṣẹ: Verbalizing and Visualizing Creative Power through Art', </w:t>
      </w:r>
      <w:r>
        <w:rPr>
          <w:i/>
          <w:iCs/>
          <w:sz w:val="20"/>
          <w:szCs w:val="20"/>
        </w:rPr>
        <w:t xml:space="preserve">Journal of Religion in Africa, </w:t>
      </w:r>
      <w:r>
        <w:rPr>
          <w:sz w:val="20"/>
          <w:szCs w:val="20"/>
          <w:shd w:val="clear" w:color="auto" w:fill="FAFAFA"/>
        </w:rPr>
        <w:t>24 (1994), 309–322</w:t>
      </w:r>
      <w:r>
        <w:rPr>
          <w:i/>
          <w:iCs/>
          <w:sz w:val="20"/>
          <w:szCs w:val="20"/>
        </w:rPr>
        <w:t>, in JSTOR</w:t>
      </w:r>
      <w:r>
        <w:rPr>
          <w:sz w:val="20"/>
          <w:szCs w:val="20"/>
          <w:shd w:val="clear" w:color="auto" w:fill="FAFAFA"/>
        </w:rPr>
        <w:t xml:space="preserve"> &lt;</w:t>
      </w:r>
      <w:hyperlink r:id="rId1">
        <w:r>
          <w:rPr>
            <w:color w:val="1155CC"/>
            <w:sz w:val="20"/>
            <w:szCs w:val="20"/>
          </w:rPr>
          <w:t>http://www.jstor.org/stable/1581339</w:t>
        </w:r>
      </w:hyperlink>
      <w:r>
        <w:rPr>
          <w:sz w:val="20"/>
          <w:szCs w:val="20"/>
          <w:shd w:val="clear" w:color="auto" w:fill="FAFAFA"/>
        </w:rPr>
        <w:t xml:space="preserve">&gt;. </w:t>
      </w:r>
      <w:r>
        <w:rPr>
          <w:sz w:val="20"/>
          <w:szCs w:val="20"/>
        </w:rPr>
        <w:t>pg. 311.</w:t>
      </w:r>
    </w:p>
  </w:footnote>
  <w:footnote w:id="11">
    <w:p w14:paraId="409885D2" w14:textId="57C3CB30" w:rsidR="00A16F79" w:rsidRDefault="00A16F79">
      <w:pPr>
        <w:spacing w:line="240" w:lineRule="auto"/>
        <w:rPr>
          <w:sz w:val="20"/>
          <w:szCs w:val="20"/>
        </w:rPr>
      </w:pPr>
      <w:r>
        <w:rPr>
          <w:vertAlign w:val="superscript"/>
        </w:rPr>
        <w:footnoteRef/>
      </w:r>
      <w:r>
        <w:rPr>
          <w:sz w:val="20"/>
          <w:szCs w:val="20"/>
        </w:rPr>
        <w:t xml:space="preserve">Raphael Chijioke Njoku, </w:t>
      </w:r>
      <w:r>
        <w:rPr>
          <w:i/>
          <w:iCs/>
          <w:sz w:val="20"/>
          <w:szCs w:val="20"/>
        </w:rPr>
        <w:t>West African Masking Traditions and Diaspora Masquerade Carnivals: History, Memory, and Transnationalism</w:t>
      </w:r>
      <w:r>
        <w:rPr>
          <w:sz w:val="20"/>
          <w:szCs w:val="20"/>
        </w:rPr>
        <w:t>, NED - New edition edn (Boydell &amp; Brewer, 2020)</w:t>
      </w:r>
      <w:r>
        <w:rPr>
          <w:i/>
          <w:iCs/>
          <w:sz w:val="20"/>
          <w:szCs w:val="20"/>
        </w:rPr>
        <w:t>, in JSTOR</w:t>
      </w:r>
      <w:r>
        <w:rPr>
          <w:sz w:val="20"/>
          <w:szCs w:val="20"/>
        </w:rPr>
        <w:t xml:space="preserve"> &lt;</w:t>
      </w:r>
      <w:hyperlink r:id="rId2">
        <w:r>
          <w:rPr>
            <w:color w:val="1155CC"/>
            <w:sz w:val="20"/>
            <w:szCs w:val="20"/>
            <w:u w:val="single"/>
          </w:rPr>
          <w:t>http://www.jstor.org/stable/j.ctv114c79k</w:t>
        </w:r>
      </w:hyperlink>
      <w:r>
        <w:rPr>
          <w:sz w:val="20"/>
          <w:szCs w:val="20"/>
        </w:rPr>
        <w:t>&gt;. pg. 35.</w:t>
      </w:r>
    </w:p>
  </w:footnote>
  <w:footnote w:id="12">
    <w:p w14:paraId="3652A0BB" w14:textId="440860E6" w:rsidR="00A16F79" w:rsidRDefault="00A16F79">
      <w:pPr>
        <w:spacing w:line="240" w:lineRule="auto"/>
        <w:rPr>
          <w:sz w:val="20"/>
          <w:szCs w:val="20"/>
        </w:rPr>
      </w:pPr>
      <w:r>
        <w:rPr>
          <w:vertAlign w:val="superscript"/>
        </w:rPr>
        <w:footnoteRef/>
      </w:r>
      <w:r>
        <w:rPr>
          <w:sz w:val="20"/>
          <w:szCs w:val="20"/>
        </w:rPr>
        <w:t xml:space="preserve">Janet L. DeCosmo, 'Junkanoo: The African Cultural Connection in Nassau, Bahamas', </w:t>
      </w:r>
      <w:r>
        <w:rPr>
          <w:i/>
          <w:iCs/>
          <w:sz w:val="20"/>
          <w:szCs w:val="20"/>
        </w:rPr>
        <w:t xml:space="preserve">The Western Journal of Black Studies, </w:t>
      </w:r>
      <w:r>
        <w:rPr>
          <w:sz w:val="20"/>
          <w:szCs w:val="20"/>
        </w:rPr>
        <w:t>27 (2003). pg. 248.</w:t>
      </w:r>
    </w:p>
  </w:footnote>
  <w:footnote w:id="13">
    <w:p w14:paraId="1AECFECD" w14:textId="7A87858A" w:rsidR="00A16F79" w:rsidRDefault="00A16F79">
      <w:pPr>
        <w:spacing w:line="240" w:lineRule="auto"/>
        <w:rPr>
          <w:sz w:val="20"/>
          <w:szCs w:val="20"/>
        </w:rPr>
      </w:pPr>
      <w:r>
        <w:rPr>
          <w:vertAlign w:val="superscript"/>
        </w:rPr>
        <w:footnoteRef/>
      </w:r>
      <w:r>
        <w:rPr>
          <w:sz w:val="20"/>
          <w:szCs w:val="20"/>
        </w:rPr>
        <w:t>Kenneth Bilby, 'Surviving Secularization: Masking the Spirit in the Jankunu (John Canoe) Festivals of the Caribbean', New West Indian Guide, 84 (2010), 179–223. Pg 182.</w:t>
      </w:r>
    </w:p>
  </w:footnote>
  <w:footnote w:id="14">
    <w:p w14:paraId="10F7C249" w14:textId="77777777" w:rsidR="00A16F79" w:rsidRDefault="00A16F79">
      <w:pPr>
        <w:spacing w:line="240" w:lineRule="auto"/>
        <w:rPr>
          <w:sz w:val="20"/>
          <w:szCs w:val="20"/>
        </w:rPr>
      </w:pPr>
      <w:r>
        <w:rPr>
          <w:vertAlign w:val="superscript"/>
        </w:rPr>
        <w:footnoteRef/>
      </w:r>
      <w:r>
        <w:rPr>
          <w:sz w:val="20"/>
          <w:szCs w:val="20"/>
        </w:rPr>
        <w:t xml:space="preserve"> ‘Junkanooers’ refers to those who participate in the Junkanoo parade.</w:t>
      </w:r>
    </w:p>
  </w:footnote>
  <w:footnote w:id="15">
    <w:p w14:paraId="0BE52CC2" w14:textId="5EF36F2E" w:rsidR="00A16F79" w:rsidRDefault="00A16F79">
      <w:pPr>
        <w:spacing w:line="240" w:lineRule="auto"/>
        <w:rPr>
          <w:sz w:val="20"/>
          <w:szCs w:val="20"/>
        </w:rPr>
      </w:pPr>
      <w:r>
        <w:rPr>
          <w:vertAlign w:val="superscript"/>
        </w:rPr>
        <w:footnoteRef/>
      </w:r>
      <w:r>
        <w:rPr>
          <w:sz w:val="20"/>
          <w:szCs w:val="20"/>
        </w:rPr>
        <w:t xml:space="preserve"> Craton,</w:t>
      </w:r>
      <w:r>
        <w:rPr>
          <w:i/>
          <w:iCs/>
          <w:sz w:val="20"/>
          <w:szCs w:val="20"/>
        </w:rPr>
        <w:t xml:space="preserve"> History of the Bahamas,</w:t>
      </w:r>
      <w:r>
        <w:rPr>
          <w:sz w:val="20"/>
          <w:szCs w:val="20"/>
        </w:rPr>
        <w:t xml:space="preserve"> pg. 187 </w:t>
      </w:r>
    </w:p>
    <w:p w14:paraId="71F2D7D4" w14:textId="2E8C6018" w:rsidR="00A16F79" w:rsidRDefault="00A16F79">
      <w:pPr>
        <w:spacing w:line="240" w:lineRule="auto"/>
        <w:rPr>
          <w:sz w:val="20"/>
          <w:szCs w:val="20"/>
        </w:rPr>
      </w:pPr>
      <w:r>
        <w:rPr>
          <w:sz w:val="20"/>
          <w:szCs w:val="20"/>
        </w:rPr>
        <w:t>Wisdom,</w:t>
      </w:r>
      <w:r>
        <w:rPr>
          <w:i/>
          <w:iCs/>
          <w:sz w:val="20"/>
          <w:szCs w:val="20"/>
        </w:rPr>
        <w:t xml:space="preserve"> Ecstasy in Junkanoo,</w:t>
      </w:r>
      <w:r>
        <w:rPr>
          <w:sz w:val="20"/>
          <w:szCs w:val="20"/>
        </w:rPr>
        <w:t xml:space="preserve"> pg. 76.</w:t>
      </w:r>
    </w:p>
  </w:footnote>
  <w:footnote w:id="16">
    <w:p w14:paraId="07AA640C" w14:textId="77777777" w:rsidR="00A16F79" w:rsidRDefault="00A16F79">
      <w:pPr>
        <w:spacing w:line="240" w:lineRule="auto"/>
        <w:rPr>
          <w:sz w:val="20"/>
          <w:szCs w:val="20"/>
        </w:rPr>
      </w:pPr>
      <w:r>
        <w:rPr>
          <w:vertAlign w:val="superscript"/>
        </w:rPr>
        <w:footnoteRef/>
      </w:r>
      <w:r>
        <w:rPr>
          <w:sz w:val="20"/>
          <w:szCs w:val="20"/>
        </w:rPr>
        <w:t xml:space="preserve"> DeCosmo, </w:t>
      </w:r>
      <w:r>
        <w:rPr>
          <w:i/>
          <w:iCs/>
          <w:sz w:val="20"/>
          <w:szCs w:val="20"/>
        </w:rPr>
        <w:t>The African Cultural Connection</w:t>
      </w:r>
      <w:r>
        <w:rPr>
          <w:sz w:val="20"/>
          <w:szCs w:val="20"/>
        </w:rPr>
        <w:t xml:space="preserve"> Pg 247. </w:t>
      </w:r>
    </w:p>
    <w:p w14:paraId="0C4ED98E" w14:textId="0A7943F6" w:rsidR="00A16F79" w:rsidRDefault="00A16F79">
      <w:pPr>
        <w:spacing w:line="240" w:lineRule="auto"/>
        <w:rPr>
          <w:sz w:val="20"/>
          <w:szCs w:val="20"/>
        </w:rPr>
      </w:pPr>
      <w:r>
        <w:rPr>
          <w:sz w:val="20"/>
          <w:szCs w:val="20"/>
        </w:rPr>
        <w:t xml:space="preserve">Njoku, </w:t>
      </w:r>
      <w:r>
        <w:rPr>
          <w:i/>
          <w:iCs/>
          <w:sz w:val="20"/>
          <w:szCs w:val="20"/>
        </w:rPr>
        <w:t>West African Masking Traditions</w:t>
      </w:r>
      <w:r>
        <w:rPr>
          <w:sz w:val="20"/>
          <w:szCs w:val="20"/>
        </w:rPr>
        <w:t>, pg. 121.</w:t>
      </w:r>
    </w:p>
  </w:footnote>
  <w:footnote w:id="17">
    <w:p w14:paraId="47FCC1AD" w14:textId="1682A0E4" w:rsidR="00A16F79" w:rsidRDefault="00A16F79">
      <w:pPr>
        <w:spacing w:line="240" w:lineRule="auto"/>
        <w:rPr>
          <w:sz w:val="20"/>
          <w:szCs w:val="20"/>
        </w:rPr>
      </w:pPr>
      <w:r>
        <w:rPr>
          <w:vertAlign w:val="superscript"/>
        </w:rPr>
        <w:footnoteRef/>
      </w:r>
      <w:r>
        <w:rPr>
          <w:sz w:val="20"/>
          <w:szCs w:val="20"/>
        </w:rPr>
        <w:t xml:space="preserve"> Keith G. Wisdom, 'Bahamian Junkanoo: An Act in a Modern Social Drama' (Doctor of Philosophy, University of Georgia, 1985). Pg 15. </w:t>
      </w:r>
    </w:p>
  </w:footnote>
  <w:footnote w:id="18">
    <w:p w14:paraId="469EE051" w14:textId="73CB6C5F" w:rsidR="00A16F79" w:rsidRDefault="00A16F79">
      <w:pPr>
        <w:spacing w:line="240" w:lineRule="auto"/>
        <w:rPr>
          <w:sz w:val="20"/>
          <w:szCs w:val="20"/>
        </w:rPr>
      </w:pPr>
      <w:r>
        <w:rPr>
          <w:vertAlign w:val="superscript"/>
        </w:rPr>
        <w:footnoteRef/>
      </w:r>
      <w:r>
        <w:rPr>
          <w:sz w:val="20"/>
          <w:szCs w:val="20"/>
        </w:rPr>
        <w:t xml:space="preserve"> DeCosmo, </w:t>
      </w:r>
      <w:r>
        <w:rPr>
          <w:i/>
          <w:iCs/>
          <w:sz w:val="20"/>
          <w:szCs w:val="20"/>
        </w:rPr>
        <w:t>The African Cultural Connection,</w:t>
      </w:r>
      <w:r>
        <w:rPr>
          <w:sz w:val="20"/>
          <w:szCs w:val="20"/>
        </w:rPr>
        <w:t xml:space="preserve"> pg. 246. </w:t>
      </w:r>
    </w:p>
  </w:footnote>
  <w:footnote w:id="19">
    <w:p w14:paraId="58104E6E" w14:textId="0E20FBAD" w:rsidR="00A16F79" w:rsidRDefault="00A16F79">
      <w:pPr>
        <w:spacing w:line="240" w:lineRule="auto"/>
        <w:rPr>
          <w:sz w:val="20"/>
          <w:szCs w:val="20"/>
        </w:rPr>
      </w:pPr>
      <w:r>
        <w:rPr>
          <w:vertAlign w:val="superscript"/>
        </w:rPr>
        <w:footnoteRef/>
      </w:r>
      <w:r>
        <w:rPr>
          <w:sz w:val="20"/>
          <w:szCs w:val="20"/>
        </w:rPr>
        <w:t xml:space="preserve"> Njoku, </w:t>
      </w:r>
      <w:r>
        <w:rPr>
          <w:i/>
          <w:iCs/>
          <w:sz w:val="20"/>
          <w:szCs w:val="20"/>
        </w:rPr>
        <w:t xml:space="preserve">West African Masking Traditions, </w:t>
      </w:r>
      <w:r>
        <w:rPr>
          <w:sz w:val="20"/>
          <w:szCs w:val="20"/>
        </w:rPr>
        <w:t xml:space="preserve">pg. 1 &amp; 3. </w:t>
      </w:r>
    </w:p>
  </w:footnote>
  <w:footnote w:id="20">
    <w:p w14:paraId="049DA4FC" w14:textId="3E0CAC45" w:rsidR="00A16F79" w:rsidRDefault="00A16F79">
      <w:pPr>
        <w:spacing w:line="240" w:lineRule="auto"/>
        <w:rPr>
          <w:sz w:val="20"/>
          <w:szCs w:val="20"/>
        </w:rPr>
      </w:pPr>
      <w:r>
        <w:rPr>
          <w:vertAlign w:val="superscript"/>
        </w:rPr>
        <w:footnoteRef/>
      </w:r>
      <w:r>
        <w:rPr>
          <w:sz w:val="20"/>
          <w:szCs w:val="20"/>
        </w:rPr>
        <w:t xml:space="preserve"> Paul Albury, </w:t>
      </w:r>
      <w:r>
        <w:rPr>
          <w:i/>
          <w:iCs/>
          <w:sz w:val="20"/>
          <w:szCs w:val="20"/>
        </w:rPr>
        <w:t>The Story of the Bahamas</w:t>
      </w:r>
      <w:r>
        <w:rPr>
          <w:sz w:val="20"/>
          <w:szCs w:val="20"/>
        </w:rPr>
        <w:t xml:space="preserve"> (London: Macmillan Caribbean, 1975)</w:t>
      </w:r>
      <w:r>
        <w:rPr>
          <w:i/>
          <w:iCs/>
          <w:sz w:val="20"/>
          <w:szCs w:val="20"/>
        </w:rPr>
        <w:t>, in Internet Archive</w:t>
      </w:r>
      <w:r>
        <w:rPr>
          <w:sz w:val="20"/>
          <w:szCs w:val="20"/>
        </w:rPr>
        <w:t xml:space="preserve"> &lt;https://archive.org/details/storyofbahamas0000albu&gt;, pg. 41-42. </w:t>
      </w:r>
    </w:p>
  </w:footnote>
  <w:footnote w:id="21">
    <w:p w14:paraId="2ECF14EA" w14:textId="412AA4F9" w:rsidR="00A16F79" w:rsidRDefault="00A16F79">
      <w:pPr>
        <w:spacing w:line="240" w:lineRule="auto"/>
        <w:rPr>
          <w:sz w:val="20"/>
          <w:szCs w:val="20"/>
        </w:rPr>
      </w:pPr>
      <w:r>
        <w:rPr>
          <w:vertAlign w:val="superscript"/>
        </w:rPr>
        <w:footnoteRef/>
      </w:r>
      <w:r>
        <w:rPr>
          <w:sz w:val="20"/>
          <w:szCs w:val="20"/>
        </w:rPr>
        <w:t xml:space="preserve"> Albury</w:t>
      </w:r>
      <w:r>
        <w:rPr>
          <w:i/>
          <w:iCs/>
          <w:sz w:val="20"/>
          <w:szCs w:val="20"/>
        </w:rPr>
        <w:t xml:space="preserve">, The Story of the Bahamas, </w:t>
      </w:r>
      <w:r>
        <w:rPr>
          <w:sz w:val="20"/>
          <w:szCs w:val="20"/>
        </w:rPr>
        <w:t xml:space="preserve">pg. 45. </w:t>
      </w:r>
    </w:p>
    <w:p w14:paraId="596225C7" w14:textId="5B2B732D" w:rsidR="00A16F79" w:rsidRDefault="00A16F79">
      <w:pPr>
        <w:spacing w:line="240" w:lineRule="auto"/>
        <w:rPr>
          <w:sz w:val="20"/>
          <w:szCs w:val="20"/>
        </w:rPr>
      </w:pPr>
      <w:r>
        <w:rPr>
          <w:b/>
          <w:bCs/>
          <w:sz w:val="20"/>
          <w:szCs w:val="20"/>
        </w:rPr>
        <w:t xml:space="preserve"> </w:t>
      </w:r>
      <w:r>
        <w:rPr>
          <w:sz w:val="20"/>
          <w:szCs w:val="20"/>
        </w:rPr>
        <w:t xml:space="preserve"> Michael J. Jarvis, 'Maritime Masters and Seafaring Slaves in Bermuda, 1680-1783', </w:t>
      </w:r>
      <w:r>
        <w:rPr>
          <w:i/>
          <w:iCs/>
          <w:sz w:val="20"/>
          <w:szCs w:val="20"/>
        </w:rPr>
        <w:t xml:space="preserve">The William and Mary Quarterly, </w:t>
      </w:r>
      <w:r>
        <w:rPr>
          <w:sz w:val="20"/>
          <w:szCs w:val="20"/>
        </w:rPr>
        <w:t>59 (2002), 585–622</w:t>
      </w:r>
      <w:r>
        <w:rPr>
          <w:i/>
          <w:iCs/>
          <w:sz w:val="20"/>
          <w:szCs w:val="20"/>
        </w:rPr>
        <w:t>, in JSTOR</w:t>
      </w:r>
      <w:r>
        <w:rPr>
          <w:sz w:val="20"/>
          <w:szCs w:val="20"/>
        </w:rPr>
        <w:t xml:space="preserve"> &lt;http://www.jstor.org/stable/3491466&gt;. pg. 590.</w:t>
      </w:r>
    </w:p>
  </w:footnote>
  <w:footnote w:id="22">
    <w:p w14:paraId="25503C27" w14:textId="6A2CDD95" w:rsidR="00A16F79" w:rsidRDefault="00A16F79">
      <w:pPr>
        <w:spacing w:line="240" w:lineRule="auto"/>
        <w:rPr>
          <w:sz w:val="20"/>
          <w:szCs w:val="20"/>
        </w:rPr>
      </w:pPr>
      <w:r>
        <w:rPr>
          <w:vertAlign w:val="superscript"/>
        </w:rPr>
        <w:footnoteRef/>
      </w:r>
      <w:r>
        <w:rPr>
          <w:sz w:val="20"/>
          <w:szCs w:val="20"/>
        </w:rPr>
        <w:t xml:space="preserve">  Albury, </w:t>
      </w:r>
      <w:r>
        <w:rPr>
          <w:i/>
          <w:iCs/>
          <w:sz w:val="20"/>
          <w:szCs w:val="20"/>
        </w:rPr>
        <w:t>The Story of the Bahamas,</w:t>
      </w:r>
      <w:r>
        <w:rPr>
          <w:sz w:val="20"/>
          <w:szCs w:val="20"/>
        </w:rPr>
        <w:t xml:space="preserve"> pg. 111.</w:t>
      </w:r>
    </w:p>
  </w:footnote>
  <w:footnote w:id="23">
    <w:p w14:paraId="12207D7C" w14:textId="16C0FCED" w:rsidR="00A16F79" w:rsidRDefault="00A16F79">
      <w:pPr>
        <w:spacing w:line="240" w:lineRule="auto"/>
        <w:rPr>
          <w:sz w:val="20"/>
          <w:szCs w:val="20"/>
        </w:rPr>
      </w:pPr>
      <w:r>
        <w:rPr>
          <w:vertAlign w:val="superscript"/>
        </w:rPr>
        <w:footnoteRef/>
      </w:r>
      <w:r>
        <w:rPr>
          <w:sz w:val="20"/>
          <w:szCs w:val="20"/>
        </w:rPr>
        <w:t xml:space="preserve"> </w:t>
      </w:r>
      <w:r w:rsidR="00C369E2" w:rsidRPr="00C369E2">
        <w:rPr>
          <w:i/>
          <w:iCs/>
          <w:sz w:val="20"/>
          <w:szCs w:val="20"/>
        </w:rPr>
        <w:t>Ibid</w:t>
      </w:r>
      <w:r w:rsidR="00C369E2" w:rsidRPr="00C369E2">
        <w:rPr>
          <w:sz w:val="20"/>
          <w:szCs w:val="20"/>
        </w:rPr>
        <w:t>.</w:t>
      </w:r>
      <w:r>
        <w:rPr>
          <w:i/>
          <w:iCs/>
          <w:sz w:val="20"/>
          <w:szCs w:val="20"/>
        </w:rPr>
        <w:t>,</w:t>
      </w:r>
      <w:r>
        <w:rPr>
          <w:sz w:val="20"/>
          <w:szCs w:val="20"/>
        </w:rPr>
        <w:t xml:space="preserve"> pg. 111. </w:t>
      </w:r>
    </w:p>
  </w:footnote>
  <w:footnote w:id="24">
    <w:p w14:paraId="037AC54F" w14:textId="108972BC" w:rsidR="00A16F79" w:rsidRDefault="00A16F79">
      <w:pPr>
        <w:spacing w:line="240" w:lineRule="auto"/>
        <w:rPr>
          <w:sz w:val="20"/>
          <w:szCs w:val="20"/>
        </w:rPr>
      </w:pPr>
      <w:r>
        <w:rPr>
          <w:vertAlign w:val="superscript"/>
        </w:rPr>
        <w:footnoteRef/>
      </w:r>
      <w:r>
        <w:rPr>
          <w:sz w:val="20"/>
          <w:szCs w:val="20"/>
        </w:rPr>
        <w:t xml:space="preserve"> </w:t>
      </w:r>
      <w:r w:rsidR="00C369E2" w:rsidRPr="00C369E2">
        <w:rPr>
          <w:i/>
          <w:iCs/>
          <w:sz w:val="20"/>
          <w:szCs w:val="20"/>
        </w:rPr>
        <w:t>Ibid</w:t>
      </w:r>
      <w:r w:rsidR="00C369E2" w:rsidRPr="00C369E2">
        <w:rPr>
          <w:sz w:val="20"/>
          <w:szCs w:val="20"/>
        </w:rPr>
        <w:t>.</w:t>
      </w:r>
      <w:r w:rsidR="00C369E2">
        <w:rPr>
          <w:i/>
          <w:iCs/>
          <w:sz w:val="20"/>
          <w:szCs w:val="20"/>
        </w:rPr>
        <w:t>,</w:t>
      </w:r>
      <w:r w:rsidR="00C369E2">
        <w:rPr>
          <w:sz w:val="20"/>
          <w:szCs w:val="20"/>
        </w:rPr>
        <w:t xml:space="preserve"> </w:t>
      </w:r>
      <w:r>
        <w:rPr>
          <w:sz w:val="20"/>
          <w:szCs w:val="20"/>
        </w:rPr>
        <w:t>pg. 112.</w:t>
      </w:r>
    </w:p>
  </w:footnote>
  <w:footnote w:id="25">
    <w:p w14:paraId="17F01136" w14:textId="3523053A" w:rsidR="00A16F79" w:rsidRDefault="00A16F79">
      <w:pPr>
        <w:spacing w:line="240" w:lineRule="auto"/>
        <w:rPr>
          <w:sz w:val="20"/>
          <w:szCs w:val="20"/>
        </w:rPr>
      </w:pPr>
      <w:r>
        <w:rPr>
          <w:vertAlign w:val="superscript"/>
        </w:rPr>
        <w:footnoteRef/>
      </w:r>
      <w:r>
        <w:rPr>
          <w:sz w:val="20"/>
          <w:szCs w:val="20"/>
        </w:rPr>
        <w:t xml:space="preserve"> Sasha Cathlyn Wells, 'Freedom through Connection: Runaway Slaves in an Urban Environment in Nassau, New Providence, 1784-1812' (Master of Arts, University of Florida, 2023). [accessed November 17th, 2025]. Pg 31. </w:t>
      </w:r>
    </w:p>
  </w:footnote>
  <w:footnote w:id="26">
    <w:p w14:paraId="6FD11038" w14:textId="7B0C6319" w:rsidR="00A16F79" w:rsidRDefault="00A16F79">
      <w:pPr>
        <w:spacing w:line="240" w:lineRule="auto"/>
        <w:rPr>
          <w:sz w:val="20"/>
          <w:szCs w:val="20"/>
        </w:rPr>
      </w:pPr>
      <w:r>
        <w:rPr>
          <w:vertAlign w:val="superscript"/>
        </w:rPr>
        <w:footnoteRef/>
      </w:r>
      <w:r>
        <w:rPr>
          <w:sz w:val="20"/>
          <w:szCs w:val="20"/>
        </w:rPr>
        <w:t xml:space="preserve"> Albury, </w:t>
      </w:r>
      <w:r>
        <w:rPr>
          <w:i/>
          <w:iCs/>
          <w:sz w:val="20"/>
          <w:szCs w:val="20"/>
        </w:rPr>
        <w:t xml:space="preserve">The Story of the Bahamas, </w:t>
      </w:r>
      <w:r>
        <w:rPr>
          <w:sz w:val="20"/>
          <w:szCs w:val="20"/>
        </w:rPr>
        <w:t>pg. 112.</w:t>
      </w:r>
    </w:p>
  </w:footnote>
  <w:footnote w:id="27">
    <w:p w14:paraId="426818BF" w14:textId="58DFC3C4" w:rsidR="00A16F79" w:rsidRDefault="00A16F79">
      <w:pPr>
        <w:spacing w:line="240" w:lineRule="auto"/>
        <w:rPr>
          <w:sz w:val="20"/>
          <w:szCs w:val="20"/>
        </w:rPr>
      </w:pPr>
      <w:r>
        <w:rPr>
          <w:vertAlign w:val="superscript"/>
        </w:rPr>
        <w:footnoteRef/>
      </w:r>
      <w:r>
        <w:rPr>
          <w:sz w:val="20"/>
          <w:szCs w:val="20"/>
        </w:rPr>
        <w:t xml:space="preserve">Jim Lawlor, </w:t>
      </w:r>
      <w:r>
        <w:rPr>
          <w:i/>
          <w:iCs/>
          <w:sz w:val="20"/>
          <w:szCs w:val="20"/>
        </w:rPr>
        <w:t>From Africa to the Bahamas</w:t>
      </w:r>
      <w:r>
        <w:rPr>
          <w:sz w:val="20"/>
          <w:szCs w:val="20"/>
        </w:rPr>
        <w:t xml:space="preserve"> (Nassau, Bahamas.: Media Enterprises Ltd., 2021). pg. 25.</w:t>
      </w:r>
    </w:p>
    <w:p w14:paraId="2E8A4083" w14:textId="67926CCC" w:rsidR="00A16F79" w:rsidRDefault="00A16F79">
      <w:pPr>
        <w:spacing w:line="240" w:lineRule="auto"/>
        <w:rPr>
          <w:sz w:val="20"/>
          <w:szCs w:val="20"/>
        </w:rPr>
      </w:pPr>
      <w:r>
        <w:rPr>
          <w:sz w:val="20"/>
          <w:szCs w:val="20"/>
        </w:rPr>
        <w:t xml:space="preserve">Albury, </w:t>
      </w:r>
      <w:r>
        <w:rPr>
          <w:i/>
          <w:iCs/>
          <w:sz w:val="20"/>
          <w:szCs w:val="20"/>
        </w:rPr>
        <w:t>The Story of the Bahamas,</w:t>
      </w:r>
      <w:r>
        <w:rPr>
          <w:sz w:val="20"/>
          <w:szCs w:val="20"/>
        </w:rPr>
        <w:t xml:space="preserve"> pg. 115.</w:t>
      </w:r>
    </w:p>
    <w:p w14:paraId="08D9B55D" w14:textId="0AEDE2B6" w:rsidR="00A16F79" w:rsidRDefault="00A16F79">
      <w:pPr>
        <w:spacing w:line="240" w:lineRule="auto"/>
        <w:rPr>
          <w:sz w:val="20"/>
          <w:szCs w:val="20"/>
        </w:rPr>
      </w:pPr>
      <w:r>
        <w:rPr>
          <w:sz w:val="20"/>
          <w:szCs w:val="20"/>
        </w:rPr>
        <w:t xml:space="preserve"> </w:t>
      </w:r>
      <w:r>
        <w:rPr>
          <w:sz w:val="20"/>
          <w:szCs w:val="20"/>
          <w:shd w:val="clear" w:color="auto" w:fill="FAFAFA"/>
        </w:rPr>
        <w:t xml:space="preserve">Michael Craton and Gail Saunders, </w:t>
      </w:r>
      <w:r>
        <w:rPr>
          <w:i/>
          <w:iCs/>
          <w:sz w:val="20"/>
          <w:szCs w:val="20"/>
        </w:rPr>
        <w:t>Islanders in the Stream: A History of the Bahamian People</w:t>
      </w:r>
      <w:r>
        <w:rPr>
          <w:sz w:val="20"/>
          <w:szCs w:val="20"/>
          <w:shd w:val="clear" w:color="auto" w:fill="FAFAFA"/>
        </w:rPr>
        <w:t>, One vols (University of Georgia Press, 1992)</w:t>
      </w:r>
      <w:r>
        <w:rPr>
          <w:i/>
          <w:iCs/>
          <w:sz w:val="20"/>
          <w:szCs w:val="20"/>
        </w:rPr>
        <w:t>, in Internet Archive</w:t>
      </w:r>
      <w:r>
        <w:rPr>
          <w:sz w:val="20"/>
          <w:szCs w:val="20"/>
          <w:shd w:val="clear" w:color="auto" w:fill="FAFAFA"/>
        </w:rPr>
        <w:t>.</w:t>
      </w:r>
      <w:r>
        <w:rPr>
          <w:sz w:val="20"/>
          <w:szCs w:val="20"/>
        </w:rPr>
        <w:t xml:space="preserve"> pg. 194.</w:t>
      </w:r>
    </w:p>
  </w:footnote>
  <w:footnote w:id="28">
    <w:p w14:paraId="230F671C" w14:textId="77777777" w:rsidR="00A16F79" w:rsidRDefault="00A16F79">
      <w:pPr>
        <w:spacing w:line="240" w:lineRule="auto"/>
        <w:rPr>
          <w:sz w:val="20"/>
          <w:szCs w:val="20"/>
        </w:rPr>
      </w:pPr>
      <w:r>
        <w:rPr>
          <w:vertAlign w:val="superscript"/>
        </w:rPr>
        <w:footnoteRef/>
      </w:r>
      <w:r>
        <w:rPr>
          <w:sz w:val="20"/>
          <w:szCs w:val="20"/>
        </w:rPr>
        <w:t xml:space="preserve"> The term 'Liberated Africans' is used by Craton and Adderly to define African people rescued from illegal slave trading post 1807. It will continue to be used in this context. </w:t>
      </w:r>
    </w:p>
  </w:footnote>
  <w:footnote w:id="29">
    <w:p w14:paraId="20F36B19" w14:textId="1F60911C" w:rsidR="00A16F79" w:rsidRDefault="00A16F79">
      <w:pPr>
        <w:spacing w:line="240" w:lineRule="auto"/>
        <w:rPr>
          <w:sz w:val="20"/>
          <w:szCs w:val="20"/>
        </w:rPr>
      </w:pPr>
      <w:r>
        <w:rPr>
          <w:vertAlign w:val="superscript"/>
        </w:rPr>
        <w:footnoteRef/>
      </w:r>
      <w:r>
        <w:rPr>
          <w:sz w:val="20"/>
          <w:szCs w:val="20"/>
        </w:rPr>
        <w:t xml:space="preserve"> Wells, </w:t>
      </w:r>
      <w:r>
        <w:rPr>
          <w:i/>
          <w:iCs/>
          <w:sz w:val="20"/>
          <w:szCs w:val="20"/>
        </w:rPr>
        <w:t>Freedom through Connection</w:t>
      </w:r>
      <w:r>
        <w:rPr>
          <w:sz w:val="20"/>
          <w:szCs w:val="20"/>
        </w:rPr>
        <w:t>, pg. 57.</w:t>
      </w:r>
    </w:p>
  </w:footnote>
  <w:footnote w:id="30">
    <w:p w14:paraId="35607453" w14:textId="77777777" w:rsidR="00A16F79" w:rsidRDefault="00A16F79">
      <w:pPr>
        <w:spacing w:line="240" w:lineRule="auto"/>
        <w:rPr>
          <w:sz w:val="20"/>
          <w:szCs w:val="20"/>
        </w:rPr>
      </w:pPr>
      <w:r>
        <w:rPr>
          <w:vertAlign w:val="superscript"/>
        </w:rPr>
        <w:footnoteRef/>
      </w:r>
      <w:r>
        <w:rPr>
          <w:sz w:val="20"/>
          <w:szCs w:val="20"/>
        </w:rPr>
        <w:t xml:space="preserve">  Irvin D. S. Winsboro and Joe Knetsch, 'Florida Slaves, the 'Saltwater Railroad' to the Bahamas, and Anglo-American Diplomacy', </w:t>
      </w:r>
      <w:r>
        <w:rPr>
          <w:i/>
          <w:iCs/>
          <w:sz w:val="20"/>
          <w:szCs w:val="20"/>
        </w:rPr>
        <w:t xml:space="preserve">The Journal of Southern History, </w:t>
      </w:r>
      <w:r>
        <w:rPr>
          <w:sz w:val="20"/>
          <w:szCs w:val="20"/>
        </w:rPr>
        <w:t>79 (2013), 51–78</w:t>
      </w:r>
      <w:r>
        <w:rPr>
          <w:i/>
          <w:iCs/>
          <w:sz w:val="20"/>
          <w:szCs w:val="20"/>
        </w:rPr>
        <w:t>, in JSTOR</w:t>
      </w:r>
      <w:r>
        <w:rPr>
          <w:sz w:val="20"/>
          <w:szCs w:val="20"/>
        </w:rPr>
        <w:t xml:space="preserve"> &lt;http://www.jstor.org/stable/23795403&gt;. Pg 56.</w:t>
      </w:r>
    </w:p>
  </w:footnote>
  <w:footnote w:id="31">
    <w:p w14:paraId="505B709D" w14:textId="253AFBA2" w:rsidR="00A16F79" w:rsidRDefault="00A16F79">
      <w:pPr>
        <w:spacing w:line="240" w:lineRule="auto"/>
        <w:rPr>
          <w:sz w:val="20"/>
          <w:szCs w:val="20"/>
        </w:rPr>
      </w:pPr>
      <w:r>
        <w:rPr>
          <w:vertAlign w:val="superscript"/>
        </w:rPr>
        <w:footnoteRef/>
      </w:r>
      <w:r>
        <w:rPr>
          <w:sz w:val="20"/>
          <w:szCs w:val="20"/>
        </w:rPr>
        <w:t xml:space="preserve"> Rebecca Shumway, 'Naming our African Ancestors; Pushing, and Respecting, the Limits', </w:t>
      </w:r>
      <w:r>
        <w:rPr>
          <w:i/>
          <w:iCs/>
          <w:sz w:val="20"/>
          <w:szCs w:val="20"/>
        </w:rPr>
        <w:t xml:space="preserve">Journal of the Early Republic, </w:t>
      </w:r>
      <w:r>
        <w:rPr>
          <w:sz w:val="20"/>
          <w:szCs w:val="20"/>
        </w:rPr>
        <w:t>40 (2020), 195–200</w:t>
      </w:r>
      <w:r>
        <w:rPr>
          <w:i/>
          <w:iCs/>
          <w:sz w:val="20"/>
          <w:szCs w:val="20"/>
        </w:rPr>
        <w:t>, in JSTOR</w:t>
      </w:r>
      <w:r>
        <w:rPr>
          <w:sz w:val="20"/>
          <w:szCs w:val="20"/>
        </w:rPr>
        <w:t xml:space="preserve"> &lt;https://www.jstor.org/stable/27105242&gt;, pg. 198-199.</w:t>
      </w:r>
    </w:p>
  </w:footnote>
  <w:footnote w:id="32">
    <w:p w14:paraId="5EFC166B" w14:textId="28E70FAC" w:rsidR="00A16F79" w:rsidRDefault="00A16F79">
      <w:pPr>
        <w:spacing w:line="240" w:lineRule="auto"/>
        <w:rPr>
          <w:sz w:val="20"/>
          <w:szCs w:val="20"/>
        </w:rPr>
      </w:pPr>
      <w:r>
        <w:rPr>
          <w:vertAlign w:val="superscript"/>
        </w:rPr>
        <w:footnoteRef/>
      </w:r>
      <w:r>
        <w:rPr>
          <w:sz w:val="20"/>
          <w:szCs w:val="20"/>
        </w:rPr>
        <w:t xml:space="preserve"> Craton,</w:t>
      </w:r>
      <w:r>
        <w:rPr>
          <w:i/>
          <w:iCs/>
          <w:sz w:val="20"/>
          <w:szCs w:val="20"/>
        </w:rPr>
        <w:t xml:space="preserve"> History of the Bahamas,</w:t>
      </w:r>
      <w:r>
        <w:rPr>
          <w:sz w:val="20"/>
          <w:szCs w:val="20"/>
        </w:rPr>
        <w:t xml:space="preserve"> </w:t>
      </w:r>
      <w:r w:rsidR="00024867">
        <w:rPr>
          <w:sz w:val="20"/>
          <w:szCs w:val="20"/>
        </w:rPr>
        <w:t>pg.</w:t>
      </w:r>
      <w:r>
        <w:rPr>
          <w:sz w:val="20"/>
          <w:szCs w:val="20"/>
        </w:rPr>
        <w:t xml:space="preserve"> 178.</w:t>
      </w:r>
    </w:p>
  </w:footnote>
  <w:footnote w:id="33">
    <w:p w14:paraId="07F4E97B" w14:textId="4CE0C38A" w:rsidR="00A16F79" w:rsidRDefault="00A16F79">
      <w:pPr>
        <w:spacing w:line="240" w:lineRule="auto"/>
        <w:rPr>
          <w:sz w:val="20"/>
          <w:szCs w:val="20"/>
        </w:rPr>
      </w:pPr>
      <w:r>
        <w:rPr>
          <w:vertAlign w:val="superscript"/>
        </w:rPr>
        <w:footnoteRef/>
      </w:r>
      <w:r>
        <w:rPr>
          <w:sz w:val="20"/>
          <w:szCs w:val="20"/>
        </w:rPr>
        <w:t xml:space="preserve"> Lawlor, </w:t>
      </w:r>
      <w:r>
        <w:rPr>
          <w:i/>
          <w:iCs/>
          <w:sz w:val="20"/>
          <w:szCs w:val="20"/>
        </w:rPr>
        <w:t xml:space="preserve">From Africa to the Bahamas, </w:t>
      </w:r>
      <w:r w:rsidR="00024867">
        <w:rPr>
          <w:sz w:val="20"/>
          <w:szCs w:val="20"/>
        </w:rPr>
        <w:t>pg.</w:t>
      </w:r>
      <w:r>
        <w:rPr>
          <w:sz w:val="20"/>
          <w:szCs w:val="20"/>
        </w:rPr>
        <w:t xml:space="preserve"> 27. </w:t>
      </w:r>
    </w:p>
  </w:footnote>
  <w:footnote w:id="34">
    <w:p w14:paraId="7AF7BEFA" w14:textId="65943A17" w:rsidR="00A16F79" w:rsidRDefault="00A16F79">
      <w:pPr>
        <w:spacing w:line="240" w:lineRule="auto"/>
        <w:rPr>
          <w:sz w:val="20"/>
          <w:szCs w:val="20"/>
        </w:rPr>
      </w:pPr>
      <w:r>
        <w:rPr>
          <w:vertAlign w:val="superscript"/>
        </w:rPr>
        <w:footnoteRef/>
      </w:r>
      <w:r>
        <w:rPr>
          <w:sz w:val="20"/>
          <w:szCs w:val="20"/>
        </w:rPr>
        <w:t xml:space="preserve"> Craton,</w:t>
      </w:r>
      <w:r>
        <w:rPr>
          <w:i/>
          <w:iCs/>
          <w:sz w:val="20"/>
          <w:szCs w:val="20"/>
        </w:rPr>
        <w:t xml:space="preserve"> History of the Bahama</w:t>
      </w:r>
      <w:r w:rsidR="00024867">
        <w:rPr>
          <w:i/>
          <w:iCs/>
          <w:sz w:val="20"/>
          <w:szCs w:val="20"/>
        </w:rPr>
        <w:t>s</w:t>
      </w:r>
      <w:r>
        <w:rPr>
          <w:i/>
          <w:iCs/>
          <w:sz w:val="20"/>
          <w:szCs w:val="20"/>
        </w:rPr>
        <w:t xml:space="preserve">, </w:t>
      </w:r>
      <w:r w:rsidR="00024867">
        <w:rPr>
          <w:sz w:val="20"/>
          <w:szCs w:val="20"/>
        </w:rPr>
        <w:t>pg.</w:t>
      </w:r>
      <w:r>
        <w:rPr>
          <w:sz w:val="20"/>
          <w:szCs w:val="20"/>
        </w:rPr>
        <w:t xml:space="preserve"> 178.</w:t>
      </w:r>
    </w:p>
  </w:footnote>
  <w:footnote w:id="35">
    <w:p w14:paraId="0D6676E2" w14:textId="15A967D9" w:rsidR="00A16F79" w:rsidRDefault="00A16F79">
      <w:pPr>
        <w:spacing w:line="240" w:lineRule="auto"/>
        <w:rPr>
          <w:sz w:val="20"/>
          <w:szCs w:val="20"/>
        </w:rPr>
      </w:pPr>
      <w:r>
        <w:rPr>
          <w:vertAlign w:val="superscript"/>
        </w:rPr>
        <w:footnoteRef/>
      </w:r>
      <w:r>
        <w:rPr>
          <w:sz w:val="20"/>
          <w:szCs w:val="20"/>
        </w:rPr>
        <w:t xml:space="preserve"> Voyage 15174 in David Elits, </w:t>
      </w:r>
      <w:r>
        <w:rPr>
          <w:i/>
          <w:iCs/>
          <w:sz w:val="20"/>
          <w:szCs w:val="20"/>
        </w:rPr>
        <w:t xml:space="preserve">The Trans-Atlantic Slave Trade Database, </w:t>
      </w:r>
      <w:r>
        <w:rPr>
          <w:sz w:val="20"/>
          <w:szCs w:val="20"/>
        </w:rPr>
        <w:t xml:space="preserve">(SlaveVoyages) &lt;https://www.slavevoyages.org&gt; [accessed 22nd Jan. 2026]. </w:t>
      </w:r>
    </w:p>
  </w:footnote>
  <w:footnote w:id="36">
    <w:p w14:paraId="2EEB6B88" w14:textId="01B6D717" w:rsidR="00A16F79" w:rsidRDefault="00A16F79">
      <w:pPr>
        <w:spacing w:line="240" w:lineRule="auto"/>
        <w:rPr>
          <w:sz w:val="20"/>
          <w:szCs w:val="20"/>
        </w:rPr>
      </w:pPr>
      <w:r>
        <w:rPr>
          <w:vertAlign w:val="superscript"/>
        </w:rPr>
        <w:footnoteRef/>
      </w:r>
      <w:r>
        <w:rPr>
          <w:sz w:val="20"/>
          <w:szCs w:val="20"/>
        </w:rPr>
        <w:t xml:space="preserve"> Lawlor,</w:t>
      </w:r>
      <w:r>
        <w:rPr>
          <w:i/>
          <w:iCs/>
          <w:sz w:val="20"/>
          <w:szCs w:val="20"/>
        </w:rPr>
        <w:t xml:space="preserve"> From Africa to the Bahamas, </w:t>
      </w:r>
      <w:r w:rsidR="00024867">
        <w:rPr>
          <w:sz w:val="20"/>
          <w:szCs w:val="20"/>
        </w:rPr>
        <w:t>pg.</w:t>
      </w:r>
      <w:r>
        <w:rPr>
          <w:sz w:val="20"/>
          <w:szCs w:val="20"/>
        </w:rPr>
        <w:t xml:space="preserve"> 27.</w:t>
      </w:r>
    </w:p>
  </w:footnote>
  <w:footnote w:id="37">
    <w:p w14:paraId="1889196C" w14:textId="77777777" w:rsidR="00A16F79" w:rsidRDefault="00A16F79">
      <w:pPr>
        <w:spacing w:line="240" w:lineRule="auto"/>
        <w:rPr>
          <w:sz w:val="20"/>
          <w:szCs w:val="20"/>
        </w:rPr>
      </w:pPr>
      <w:r>
        <w:rPr>
          <w:vertAlign w:val="superscript"/>
        </w:rPr>
        <w:footnoteRef/>
      </w:r>
      <w:r>
        <w:rPr>
          <w:sz w:val="20"/>
          <w:szCs w:val="20"/>
        </w:rPr>
        <w:t xml:space="preserve"> Lawlor, </w:t>
      </w:r>
      <w:r>
        <w:rPr>
          <w:i/>
          <w:iCs/>
          <w:sz w:val="20"/>
          <w:szCs w:val="20"/>
        </w:rPr>
        <w:t>From Africa to the Bahamas,</w:t>
      </w:r>
      <w:r>
        <w:rPr>
          <w:sz w:val="20"/>
          <w:szCs w:val="20"/>
        </w:rPr>
        <w:t xml:space="preserve"> pg. 27. </w:t>
      </w:r>
    </w:p>
  </w:footnote>
  <w:footnote w:id="38">
    <w:p w14:paraId="5EA115FB" w14:textId="507FE48A" w:rsidR="00A16F79" w:rsidRDefault="00A16F79">
      <w:pPr>
        <w:spacing w:line="240" w:lineRule="auto"/>
        <w:rPr>
          <w:sz w:val="20"/>
          <w:szCs w:val="20"/>
        </w:rPr>
      </w:pPr>
      <w:r>
        <w:rPr>
          <w:vertAlign w:val="superscript"/>
        </w:rPr>
        <w:footnoteRef/>
      </w:r>
      <w:r>
        <w:rPr>
          <w:sz w:val="20"/>
          <w:szCs w:val="20"/>
        </w:rPr>
        <w:t xml:space="preserve"> Craton,</w:t>
      </w:r>
      <w:r>
        <w:rPr>
          <w:i/>
          <w:iCs/>
          <w:sz w:val="20"/>
          <w:szCs w:val="20"/>
        </w:rPr>
        <w:t xml:space="preserve"> History of the Bahamas,</w:t>
      </w:r>
      <w:r>
        <w:rPr>
          <w:sz w:val="20"/>
          <w:szCs w:val="20"/>
        </w:rPr>
        <w:t xml:space="preserve"> </w:t>
      </w:r>
      <w:r w:rsidR="00024867">
        <w:rPr>
          <w:sz w:val="20"/>
          <w:szCs w:val="20"/>
        </w:rPr>
        <w:t>pg.</w:t>
      </w:r>
      <w:r>
        <w:rPr>
          <w:sz w:val="20"/>
          <w:szCs w:val="20"/>
        </w:rPr>
        <w:t xml:space="preserve"> 176,178.</w:t>
      </w:r>
    </w:p>
  </w:footnote>
  <w:footnote w:id="39">
    <w:p w14:paraId="64D51E8A" w14:textId="27AC6AF9" w:rsidR="00A16F79" w:rsidRDefault="00A16F79">
      <w:pPr>
        <w:spacing w:line="240" w:lineRule="auto"/>
        <w:rPr>
          <w:sz w:val="20"/>
          <w:szCs w:val="20"/>
        </w:rPr>
      </w:pPr>
      <w:r>
        <w:rPr>
          <w:vertAlign w:val="superscript"/>
        </w:rPr>
        <w:footnoteRef/>
      </w:r>
      <w:r w:rsidR="00AE0ED6">
        <w:rPr>
          <w:i/>
          <w:iCs/>
          <w:sz w:val="20"/>
          <w:szCs w:val="20"/>
          <w:lang w:val="en-US"/>
        </w:rPr>
        <w:t xml:space="preserve"> </w:t>
      </w:r>
      <w:r w:rsidR="00AE0ED6" w:rsidRPr="00C369E2">
        <w:rPr>
          <w:i/>
          <w:iCs/>
          <w:sz w:val="20"/>
          <w:szCs w:val="20"/>
        </w:rPr>
        <w:t>Ibid</w:t>
      </w:r>
      <w:r w:rsidR="00AE0ED6" w:rsidRPr="00C369E2">
        <w:rPr>
          <w:sz w:val="20"/>
          <w:szCs w:val="20"/>
        </w:rPr>
        <w:t>.</w:t>
      </w:r>
      <w:r w:rsidR="00AE0ED6">
        <w:rPr>
          <w:i/>
          <w:iCs/>
          <w:sz w:val="20"/>
          <w:szCs w:val="20"/>
        </w:rPr>
        <w:t>,</w:t>
      </w:r>
      <w:r w:rsidR="00AE0ED6">
        <w:rPr>
          <w:sz w:val="20"/>
          <w:szCs w:val="20"/>
        </w:rPr>
        <w:t xml:space="preserve"> </w:t>
      </w:r>
      <w:r>
        <w:rPr>
          <w:sz w:val="20"/>
          <w:szCs w:val="20"/>
        </w:rPr>
        <w:t xml:space="preserve"> </w:t>
      </w:r>
      <w:r w:rsidR="00024867">
        <w:rPr>
          <w:sz w:val="20"/>
          <w:szCs w:val="20"/>
        </w:rPr>
        <w:t>pg.</w:t>
      </w:r>
      <w:r>
        <w:rPr>
          <w:sz w:val="20"/>
          <w:szCs w:val="20"/>
        </w:rPr>
        <w:t xml:space="preserve"> 176. </w:t>
      </w:r>
    </w:p>
  </w:footnote>
  <w:footnote w:id="40">
    <w:p w14:paraId="5F018499" w14:textId="77777777" w:rsidR="00A16F79" w:rsidRDefault="00A16F79">
      <w:pPr>
        <w:spacing w:line="240" w:lineRule="auto"/>
        <w:rPr>
          <w:sz w:val="20"/>
          <w:szCs w:val="20"/>
        </w:rPr>
      </w:pPr>
      <w:r>
        <w:rPr>
          <w:vertAlign w:val="superscript"/>
        </w:rPr>
        <w:footnoteRef/>
      </w:r>
      <w:r>
        <w:rPr>
          <w:sz w:val="20"/>
          <w:szCs w:val="20"/>
        </w:rPr>
        <w:t xml:space="preserve"> Rosanne Marion Adderley, </w:t>
      </w:r>
      <w:r>
        <w:rPr>
          <w:i/>
          <w:iCs/>
          <w:sz w:val="20"/>
          <w:szCs w:val="20"/>
        </w:rPr>
        <w:t>'New Negroes from Africa' : Slave Trade Abolition and Free African Settlement in the Nineteenth-Century Caribbean</w:t>
      </w:r>
      <w:r>
        <w:rPr>
          <w:sz w:val="20"/>
          <w:szCs w:val="20"/>
        </w:rPr>
        <w:t xml:space="preserve"> (Bloomington: Indiana University Press, 2006). Pg 2. </w:t>
      </w:r>
    </w:p>
  </w:footnote>
  <w:footnote w:id="41">
    <w:p w14:paraId="76AA1263" w14:textId="77777777" w:rsidR="0082629C" w:rsidRDefault="0082629C" w:rsidP="0082629C">
      <w:pPr>
        <w:spacing w:line="240" w:lineRule="auto"/>
        <w:rPr>
          <w:sz w:val="20"/>
          <w:szCs w:val="20"/>
        </w:rPr>
      </w:pPr>
      <w:r>
        <w:rPr>
          <w:vertAlign w:val="superscript"/>
        </w:rPr>
        <w:footnoteRef/>
      </w:r>
      <w:r>
        <w:rPr>
          <w:sz w:val="20"/>
          <w:szCs w:val="20"/>
        </w:rPr>
        <w:t xml:space="preserve"> DeCosmo, </w:t>
      </w:r>
      <w:r>
        <w:rPr>
          <w:i/>
          <w:iCs/>
          <w:sz w:val="20"/>
          <w:szCs w:val="20"/>
        </w:rPr>
        <w:t>The African Cultural Connection</w:t>
      </w:r>
      <w:r>
        <w:rPr>
          <w:sz w:val="20"/>
          <w:szCs w:val="20"/>
        </w:rPr>
        <w:t>, pg. 248.</w:t>
      </w:r>
    </w:p>
  </w:footnote>
  <w:footnote w:id="42">
    <w:p w14:paraId="7CFCA55B" w14:textId="39AA79B7" w:rsidR="00A16F79" w:rsidRDefault="00A16F79">
      <w:pPr>
        <w:spacing w:line="240" w:lineRule="auto"/>
        <w:rPr>
          <w:sz w:val="20"/>
          <w:szCs w:val="20"/>
        </w:rPr>
      </w:pPr>
      <w:r>
        <w:rPr>
          <w:vertAlign w:val="superscript"/>
        </w:rPr>
        <w:footnoteRef/>
      </w:r>
      <w:r>
        <w:rPr>
          <w:sz w:val="20"/>
          <w:szCs w:val="20"/>
        </w:rPr>
        <w:t xml:space="preserve"> </w:t>
      </w:r>
      <w:r>
        <w:rPr>
          <w:i/>
          <w:iCs/>
          <w:sz w:val="20"/>
          <w:szCs w:val="20"/>
        </w:rPr>
        <w:t xml:space="preserve">Nassau Guardian The Nassau Guardian, </w:t>
      </w:r>
      <w:r>
        <w:rPr>
          <w:sz w:val="20"/>
          <w:szCs w:val="20"/>
        </w:rPr>
        <w:t>December 26</w:t>
      </w:r>
      <w:r w:rsidR="00627C1F">
        <w:rPr>
          <w:sz w:val="20"/>
          <w:szCs w:val="20"/>
        </w:rPr>
        <w:t>, 1849,</w:t>
      </w:r>
      <w:r>
        <w:rPr>
          <w:sz w:val="20"/>
          <w:szCs w:val="20"/>
        </w:rPr>
        <w:t xml:space="preserve"> &lt;https://ufdc.ufl.edu/aa00076890/00084&gt; [accessed 20th Nov. 2025]. Image 2.</w:t>
      </w:r>
    </w:p>
  </w:footnote>
  <w:footnote w:id="43">
    <w:p w14:paraId="036086B4" w14:textId="77777777" w:rsidR="00A16F79" w:rsidRDefault="00A16F79">
      <w:pPr>
        <w:spacing w:line="240" w:lineRule="auto"/>
        <w:rPr>
          <w:sz w:val="20"/>
          <w:szCs w:val="20"/>
        </w:rPr>
      </w:pPr>
      <w:r>
        <w:rPr>
          <w:vertAlign w:val="superscript"/>
        </w:rPr>
        <w:footnoteRef/>
      </w:r>
      <w:r>
        <w:rPr>
          <w:sz w:val="20"/>
          <w:szCs w:val="20"/>
        </w:rPr>
        <w:t xml:space="preserve"> Kirkley C. Sands, </w:t>
      </w:r>
      <w:r>
        <w:rPr>
          <w:i/>
          <w:iCs/>
          <w:sz w:val="20"/>
          <w:szCs w:val="20"/>
        </w:rPr>
        <w:t>Early Bahamian Slave Spirituality: The Genesis of Bahamian Cultural Identity</w:t>
      </w:r>
      <w:r>
        <w:rPr>
          <w:sz w:val="20"/>
          <w:szCs w:val="20"/>
        </w:rPr>
        <w:t xml:space="preserve"> (Nassau, Bahamas.: The Nassau Guardian Ltd., 2008). Pg 70.</w:t>
      </w:r>
    </w:p>
  </w:footnote>
  <w:footnote w:id="44">
    <w:p w14:paraId="687146C7" w14:textId="6784369D" w:rsidR="00301808" w:rsidRPr="00301808" w:rsidRDefault="00301808">
      <w:pPr>
        <w:pStyle w:val="FootnoteText"/>
        <w:rPr>
          <w:lang w:val="en-US"/>
        </w:rPr>
      </w:pPr>
      <w:r>
        <w:rPr>
          <w:rStyle w:val="FootnoteReference"/>
        </w:rPr>
        <w:footnoteRef/>
      </w:r>
      <w:r>
        <w:t xml:space="preserve"> </w:t>
      </w:r>
      <w:r w:rsidR="009C6ECE">
        <w:rPr>
          <w:lang w:val="en-US"/>
        </w:rPr>
        <w:t xml:space="preserve">  The different spellings of Junkanoo/ Jonkunnu has been retained, </w:t>
      </w:r>
      <w:r w:rsidR="007602A6">
        <w:rPr>
          <w:lang w:val="en-US"/>
        </w:rPr>
        <w:t>differentiating between the Bahamian and Jamaican Festivals.</w:t>
      </w:r>
    </w:p>
  </w:footnote>
  <w:footnote w:id="45">
    <w:p w14:paraId="291C5792" w14:textId="2E836913" w:rsidR="00A16F79" w:rsidRDefault="00A16F79">
      <w:pPr>
        <w:spacing w:line="240" w:lineRule="auto"/>
        <w:rPr>
          <w:sz w:val="20"/>
          <w:szCs w:val="20"/>
        </w:rPr>
      </w:pPr>
      <w:r>
        <w:rPr>
          <w:vertAlign w:val="superscript"/>
        </w:rPr>
        <w:footnoteRef/>
      </w:r>
      <w:r>
        <w:rPr>
          <w:sz w:val="20"/>
          <w:szCs w:val="20"/>
        </w:rPr>
        <w:t xml:space="preserve">Kenneth Bilby, 'Gumbay, Myal, and the Great House: New Evidence on the Religious Background of Jonkonnu in Jamaica', ACIJ Research Review, 4 (1999), 47–69. </w:t>
      </w:r>
      <w:r w:rsidR="00627C1F">
        <w:rPr>
          <w:sz w:val="20"/>
          <w:szCs w:val="20"/>
        </w:rPr>
        <w:t>pg.</w:t>
      </w:r>
      <w:r>
        <w:rPr>
          <w:sz w:val="20"/>
          <w:szCs w:val="20"/>
        </w:rPr>
        <w:t xml:space="preserve"> 50. </w:t>
      </w:r>
    </w:p>
  </w:footnote>
  <w:footnote w:id="46">
    <w:p w14:paraId="3F584E03" w14:textId="7241BF95" w:rsidR="00A16F79" w:rsidRDefault="00A16F79">
      <w:pPr>
        <w:spacing w:line="240" w:lineRule="auto"/>
        <w:rPr>
          <w:sz w:val="20"/>
          <w:szCs w:val="20"/>
        </w:rPr>
      </w:pPr>
      <w:r>
        <w:rPr>
          <w:vertAlign w:val="superscript"/>
        </w:rPr>
        <w:footnoteRef/>
      </w:r>
      <w:r>
        <w:rPr>
          <w:sz w:val="20"/>
          <w:szCs w:val="20"/>
        </w:rPr>
        <w:t xml:space="preserve"> Kenneth Bilby, 'Christmas with the Ancestors: Jonkonnu and Related Festivities in Jamaica', </w:t>
      </w:r>
      <w:r>
        <w:rPr>
          <w:i/>
          <w:iCs/>
          <w:sz w:val="20"/>
          <w:szCs w:val="20"/>
        </w:rPr>
        <w:t xml:space="preserve">Cariso! the Newsletter of the Alton Augustus Adams Music Research Institute, </w:t>
      </w:r>
      <w:r>
        <w:rPr>
          <w:sz w:val="20"/>
          <w:szCs w:val="20"/>
        </w:rPr>
        <w:t xml:space="preserve">(2005). </w:t>
      </w:r>
      <w:r w:rsidR="00627C1F">
        <w:rPr>
          <w:sz w:val="20"/>
          <w:szCs w:val="20"/>
        </w:rPr>
        <w:t>pg.</w:t>
      </w:r>
      <w:r>
        <w:rPr>
          <w:sz w:val="20"/>
          <w:szCs w:val="20"/>
        </w:rPr>
        <w:t xml:space="preserve"> 4. </w:t>
      </w:r>
    </w:p>
  </w:footnote>
  <w:footnote w:id="47">
    <w:p w14:paraId="39B597FD" w14:textId="272AFA04" w:rsidR="00A16F79" w:rsidRDefault="00A16F79">
      <w:pPr>
        <w:spacing w:line="240" w:lineRule="auto"/>
        <w:rPr>
          <w:sz w:val="20"/>
          <w:szCs w:val="20"/>
        </w:rPr>
      </w:pPr>
      <w:r>
        <w:rPr>
          <w:vertAlign w:val="superscript"/>
        </w:rPr>
        <w:footnoteRef/>
      </w:r>
      <w:r>
        <w:rPr>
          <w:sz w:val="20"/>
          <w:szCs w:val="20"/>
        </w:rPr>
        <w:t xml:space="preserve"> Carlton J. Turner, 'Self-Negation within African Caribbean Christianity: Towards and </w:t>
      </w:r>
      <w:r w:rsidR="00627C1F">
        <w:rPr>
          <w:sz w:val="20"/>
          <w:szCs w:val="20"/>
        </w:rPr>
        <w:t>Understanding</w:t>
      </w:r>
      <w:r>
        <w:rPr>
          <w:sz w:val="20"/>
          <w:szCs w:val="20"/>
        </w:rPr>
        <w:t xml:space="preserve"> of Junkanoo and its Significance for Christian Praxis within Contemporary Bahamian Society', </w:t>
      </w:r>
      <w:r>
        <w:rPr>
          <w:i/>
          <w:iCs/>
          <w:sz w:val="20"/>
          <w:szCs w:val="20"/>
        </w:rPr>
        <w:t xml:space="preserve">Black Theology, </w:t>
      </w:r>
      <w:r>
        <w:rPr>
          <w:sz w:val="20"/>
          <w:szCs w:val="20"/>
        </w:rPr>
        <w:t xml:space="preserve">11 (2013), 5–30. Pg 9. </w:t>
      </w:r>
    </w:p>
  </w:footnote>
  <w:footnote w:id="48">
    <w:p w14:paraId="0694A905" w14:textId="202154FD" w:rsidR="00A16F79" w:rsidRDefault="00A16F79">
      <w:pPr>
        <w:spacing w:line="240" w:lineRule="auto"/>
        <w:rPr>
          <w:sz w:val="20"/>
          <w:szCs w:val="20"/>
        </w:rPr>
      </w:pPr>
      <w:r>
        <w:rPr>
          <w:vertAlign w:val="superscript"/>
        </w:rPr>
        <w:footnoteRef/>
      </w:r>
      <w:r>
        <w:rPr>
          <w:sz w:val="20"/>
          <w:szCs w:val="20"/>
        </w:rPr>
        <w:t xml:space="preserve"> Njoku, </w:t>
      </w:r>
      <w:r>
        <w:rPr>
          <w:i/>
          <w:iCs/>
          <w:sz w:val="20"/>
          <w:szCs w:val="20"/>
        </w:rPr>
        <w:t>West African Masking Traditions</w:t>
      </w:r>
      <w:r>
        <w:rPr>
          <w:sz w:val="20"/>
          <w:szCs w:val="20"/>
        </w:rPr>
        <w:t xml:space="preserve"> </w:t>
      </w:r>
      <w:r w:rsidR="00627C1F">
        <w:rPr>
          <w:sz w:val="20"/>
          <w:szCs w:val="20"/>
        </w:rPr>
        <w:t>pg.</w:t>
      </w:r>
      <w:r>
        <w:rPr>
          <w:sz w:val="20"/>
          <w:szCs w:val="20"/>
        </w:rPr>
        <w:t xml:space="preserve"> 121 &amp; 20. </w:t>
      </w:r>
    </w:p>
  </w:footnote>
  <w:footnote w:id="49">
    <w:p w14:paraId="1024CBB5" w14:textId="66501BBC" w:rsidR="00A16F79" w:rsidRDefault="00A16F79">
      <w:pPr>
        <w:spacing w:line="240" w:lineRule="auto"/>
        <w:rPr>
          <w:sz w:val="20"/>
          <w:szCs w:val="20"/>
        </w:rPr>
      </w:pPr>
      <w:r>
        <w:rPr>
          <w:vertAlign w:val="superscript"/>
        </w:rPr>
        <w:footnoteRef/>
      </w:r>
      <w:r>
        <w:rPr>
          <w:sz w:val="20"/>
          <w:szCs w:val="20"/>
        </w:rPr>
        <w:t xml:space="preserve"> Marta Moreno Vega, 'The Ancestral Sacred Creative Impulse of Africa and the African Diaspora: Ase, the Nexus of the Black Global Aesthetic', </w:t>
      </w:r>
      <w:r>
        <w:rPr>
          <w:i/>
          <w:iCs/>
          <w:sz w:val="20"/>
          <w:szCs w:val="20"/>
        </w:rPr>
        <w:t xml:space="preserve">Lenox Avenue: A Journal of Interarts Inquiry, </w:t>
      </w:r>
      <w:r>
        <w:rPr>
          <w:sz w:val="20"/>
          <w:szCs w:val="20"/>
        </w:rPr>
        <w:t>5 (1999), 45–57</w:t>
      </w:r>
      <w:r>
        <w:rPr>
          <w:i/>
          <w:iCs/>
          <w:sz w:val="20"/>
          <w:szCs w:val="20"/>
        </w:rPr>
        <w:t>, in JSTOR</w:t>
      </w:r>
      <w:r>
        <w:rPr>
          <w:sz w:val="20"/>
          <w:szCs w:val="20"/>
        </w:rPr>
        <w:t xml:space="preserve"> &lt;</w:t>
      </w:r>
      <w:hyperlink r:id="rId3">
        <w:r>
          <w:rPr>
            <w:color w:val="1155CC"/>
            <w:sz w:val="20"/>
            <w:szCs w:val="20"/>
            <w:u w:val="single"/>
          </w:rPr>
          <w:t>http://www.jstor.org/stable/4177077</w:t>
        </w:r>
      </w:hyperlink>
      <w:r>
        <w:rPr>
          <w:sz w:val="20"/>
          <w:szCs w:val="20"/>
        </w:rPr>
        <w:t xml:space="preserve">&gt; </w:t>
      </w:r>
      <w:r w:rsidR="00627C1F">
        <w:rPr>
          <w:sz w:val="20"/>
          <w:szCs w:val="20"/>
        </w:rPr>
        <w:t>pg.</w:t>
      </w:r>
      <w:r>
        <w:rPr>
          <w:sz w:val="20"/>
          <w:szCs w:val="20"/>
        </w:rPr>
        <w:t xml:space="preserve"> 45.</w:t>
      </w:r>
    </w:p>
  </w:footnote>
  <w:footnote w:id="50">
    <w:p w14:paraId="6EA79CA4" w14:textId="7385446B" w:rsidR="00A16F79" w:rsidRDefault="00A16F79">
      <w:pPr>
        <w:spacing w:line="240" w:lineRule="auto"/>
        <w:rPr>
          <w:sz w:val="20"/>
          <w:szCs w:val="20"/>
        </w:rPr>
      </w:pPr>
      <w:r>
        <w:rPr>
          <w:vertAlign w:val="superscript"/>
        </w:rPr>
        <w:footnoteRef/>
      </w:r>
      <w:r>
        <w:rPr>
          <w:sz w:val="20"/>
          <w:szCs w:val="20"/>
        </w:rPr>
        <w:t xml:space="preserve"> </w:t>
      </w:r>
      <w:r w:rsidR="00AE0ED6" w:rsidRPr="00C369E2">
        <w:rPr>
          <w:i/>
          <w:iCs/>
          <w:sz w:val="20"/>
          <w:szCs w:val="20"/>
        </w:rPr>
        <w:t>Ibid</w:t>
      </w:r>
      <w:r w:rsidR="00AE0ED6" w:rsidRPr="00C369E2">
        <w:rPr>
          <w:sz w:val="20"/>
          <w:szCs w:val="20"/>
        </w:rPr>
        <w:t>.</w:t>
      </w:r>
      <w:r w:rsidR="00AE0ED6">
        <w:rPr>
          <w:i/>
          <w:iCs/>
          <w:sz w:val="20"/>
          <w:szCs w:val="20"/>
        </w:rPr>
        <w:t>,</w:t>
      </w:r>
      <w:r w:rsidR="00AE0ED6">
        <w:rPr>
          <w:sz w:val="20"/>
          <w:szCs w:val="20"/>
        </w:rPr>
        <w:t xml:space="preserve"> </w:t>
      </w:r>
      <w:r>
        <w:rPr>
          <w:sz w:val="20"/>
          <w:szCs w:val="20"/>
        </w:rPr>
        <w:t>pg</w:t>
      </w:r>
      <w:r w:rsidR="00627C1F">
        <w:rPr>
          <w:sz w:val="20"/>
          <w:szCs w:val="20"/>
        </w:rPr>
        <w:t>.</w:t>
      </w:r>
      <w:r>
        <w:rPr>
          <w:sz w:val="20"/>
          <w:szCs w:val="20"/>
        </w:rPr>
        <w:t xml:space="preserve"> 45.</w:t>
      </w:r>
    </w:p>
  </w:footnote>
  <w:footnote w:id="51">
    <w:p w14:paraId="2F314121" w14:textId="4ECA31DA" w:rsidR="00A16F79" w:rsidRDefault="00A16F79">
      <w:pPr>
        <w:spacing w:line="240" w:lineRule="auto"/>
        <w:rPr>
          <w:sz w:val="20"/>
          <w:szCs w:val="20"/>
        </w:rPr>
      </w:pPr>
      <w:r>
        <w:rPr>
          <w:vertAlign w:val="superscript"/>
        </w:rPr>
        <w:footnoteRef/>
      </w:r>
      <w:r>
        <w:rPr>
          <w:sz w:val="20"/>
          <w:szCs w:val="20"/>
        </w:rPr>
        <w:t xml:space="preserve"> </w:t>
      </w:r>
      <w:r w:rsidR="00AE0ED6" w:rsidRPr="00C369E2">
        <w:rPr>
          <w:i/>
          <w:iCs/>
          <w:sz w:val="20"/>
          <w:szCs w:val="20"/>
        </w:rPr>
        <w:t>Ibid</w:t>
      </w:r>
      <w:r w:rsidR="00AE0ED6" w:rsidRPr="00C369E2">
        <w:rPr>
          <w:sz w:val="20"/>
          <w:szCs w:val="20"/>
        </w:rPr>
        <w:t>.</w:t>
      </w:r>
      <w:r w:rsidR="00AE0ED6">
        <w:rPr>
          <w:i/>
          <w:iCs/>
          <w:sz w:val="20"/>
          <w:szCs w:val="20"/>
        </w:rPr>
        <w:t>,</w:t>
      </w:r>
      <w:r w:rsidR="00AE0ED6">
        <w:rPr>
          <w:sz w:val="20"/>
          <w:szCs w:val="20"/>
        </w:rPr>
        <w:t xml:space="preserve"> </w:t>
      </w:r>
      <w:r>
        <w:rPr>
          <w:sz w:val="20"/>
          <w:szCs w:val="20"/>
        </w:rPr>
        <w:t>pg</w:t>
      </w:r>
      <w:r w:rsidR="00627C1F">
        <w:rPr>
          <w:sz w:val="20"/>
          <w:szCs w:val="20"/>
        </w:rPr>
        <w:t>.</w:t>
      </w:r>
      <w:r>
        <w:rPr>
          <w:sz w:val="20"/>
          <w:szCs w:val="20"/>
        </w:rPr>
        <w:t xml:space="preserve"> 48.</w:t>
      </w:r>
    </w:p>
  </w:footnote>
  <w:footnote w:id="52">
    <w:p w14:paraId="0F9C6B14" w14:textId="2582C93B" w:rsidR="00A16F79" w:rsidRDefault="00A16F79">
      <w:pPr>
        <w:spacing w:line="240" w:lineRule="auto"/>
        <w:rPr>
          <w:sz w:val="20"/>
          <w:szCs w:val="20"/>
        </w:rPr>
      </w:pPr>
      <w:r>
        <w:rPr>
          <w:vertAlign w:val="superscript"/>
        </w:rPr>
        <w:footnoteRef/>
      </w:r>
      <w:r>
        <w:rPr>
          <w:sz w:val="20"/>
          <w:szCs w:val="20"/>
        </w:rPr>
        <w:t xml:space="preserve"> </w:t>
      </w:r>
      <w:r w:rsidR="00AE0ED6" w:rsidRPr="00C369E2">
        <w:rPr>
          <w:i/>
          <w:iCs/>
          <w:sz w:val="20"/>
          <w:szCs w:val="20"/>
        </w:rPr>
        <w:t>Ibid</w:t>
      </w:r>
      <w:r w:rsidR="00AE0ED6" w:rsidRPr="00C369E2">
        <w:rPr>
          <w:sz w:val="20"/>
          <w:szCs w:val="20"/>
        </w:rPr>
        <w:t>.</w:t>
      </w:r>
      <w:r w:rsidR="00AE0ED6">
        <w:rPr>
          <w:i/>
          <w:iCs/>
          <w:sz w:val="20"/>
          <w:szCs w:val="20"/>
        </w:rPr>
        <w:t>,</w:t>
      </w:r>
      <w:r w:rsidR="00AE0ED6">
        <w:rPr>
          <w:sz w:val="20"/>
          <w:szCs w:val="20"/>
        </w:rPr>
        <w:t xml:space="preserve"> </w:t>
      </w:r>
      <w:r>
        <w:rPr>
          <w:sz w:val="20"/>
          <w:szCs w:val="20"/>
        </w:rPr>
        <w:t>48.</w:t>
      </w:r>
    </w:p>
  </w:footnote>
  <w:footnote w:id="53">
    <w:p w14:paraId="7EC49ACE" w14:textId="77777777" w:rsidR="00A16F79" w:rsidRDefault="00A16F79">
      <w:pPr>
        <w:spacing w:line="240" w:lineRule="auto"/>
        <w:rPr>
          <w:sz w:val="20"/>
          <w:szCs w:val="20"/>
        </w:rPr>
      </w:pPr>
      <w:r>
        <w:rPr>
          <w:vertAlign w:val="superscript"/>
        </w:rPr>
        <w:footnoteRef/>
      </w:r>
      <w:r>
        <w:rPr>
          <w:sz w:val="20"/>
          <w:szCs w:val="20"/>
        </w:rPr>
        <w:t xml:space="preserve"> Elizabeth Tonkin, 'Masks and Powers', </w:t>
      </w:r>
      <w:r>
        <w:rPr>
          <w:i/>
          <w:iCs/>
          <w:sz w:val="20"/>
          <w:szCs w:val="20"/>
        </w:rPr>
        <w:t xml:space="preserve">Man, </w:t>
      </w:r>
      <w:r>
        <w:rPr>
          <w:sz w:val="20"/>
          <w:szCs w:val="20"/>
        </w:rPr>
        <w:t>14 (1979), 237–248</w:t>
      </w:r>
      <w:r>
        <w:rPr>
          <w:i/>
          <w:iCs/>
          <w:sz w:val="20"/>
          <w:szCs w:val="20"/>
        </w:rPr>
        <w:t>, in JSTOR</w:t>
      </w:r>
      <w:r>
        <w:rPr>
          <w:sz w:val="20"/>
          <w:szCs w:val="20"/>
        </w:rPr>
        <w:t xml:space="preserve"> &lt;http://www.jstor.org.ezproxy.uwtsd.ac.uk/stable/2801565&gt;. Pg 243.</w:t>
      </w:r>
    </w:p>
  </w:footnote>
  <w:footnote w:id="54">
    <w:p w14:paraId="5773C80C" w14:textId="6D65FCE4" w:rsidR="00A16F79" w:rsidRDefault="00A16F79">
      <w:pPr>
        <w:rPr>
          <w:sz w:val="20"/>
          <w:szCs w:val="20"/>
        </w:rPr>
      </w:pPr>
      <w:r>
        <w:rPr>
          <w:vertAlign w:val="superscript"/>
        </w:rPr>
        <w:footnoteRef/>
      </w:r>
      <w:r>
        <w:t xml:space="preserve"> </w:t>
      </w:r>
      <w:r w:rsidR="00AE0ED6" w:rsidRPr="00C369E2">
        <w:rPr>
          <w:i/>
          <w:iCs/>
          <w:sz w:val="20"/>
          <w:szCs w:val="20"/>
        </w:rPr>
        <w:t>Ibid</w:t>
      </w:r>
      <w:r w:rsidR="00AE0ED6" w:rsidRPr="00C369E2">
        <w:rPr>
          <w:sz w:val="20"/>
          <w:szCs w:val="20"/>
        </w:rPr>
        <w:t>.</w:t>
      </w:r>
      <w:r w:rsidR="00AE0ED6">
        <w:rPr>
          <w:i/>
          <w:iCs/>
          <w:sz w:val="20"/>
          <w:szCs w:val="20"/>
        </w:rPr>
        <w:t>,</w:t>
      </w:r>
      <w:r w:rsidR="00AE0ED6">
        <w:rPr>
          <w:sz w:val="20"/>
          <w:szCs w:val="20"/>
        </w:rPr>
        <w:t xml:space="preserve"> </w:t>
      </w:r>
      <w:r>
        <w:rPr>
          <w:sz w:val="20"/>
          <w:szCs w:val="20"/>
        </w:rPr>
        <w:t>pg</w:t>
      </w:r>
      <w:r w:rsidR="00627C1F">
        <w:rPr>
          <w:sz w:val="20"/>
          <w:szCs w:val="20"/>
        </w:rPr>
        <w:t>.</w:t>
      </w:r>
      <w:r>
        <w:rPr>
          <w:sz w:val="20"/>
          <w:szCs w:val="20"/>
        </w:rPr>
        <w:t xml:space="preserve"> 246.</w:t>
      </w:r>
    </w:p>
  </w:footnote>
  <w:footnote w:id="55">
    <w:p w14:paraId="0FCE4DE7" w14:textId="2DDC4226" w:rsidR="00A16F79" w:rsidRDefault="00A16F79">
      <w:pPr>
        <w:spacing w:line="240" w:lineRule="auto"/>
        <w:rPr>
          <w:sz w:val="20"/>
          <w:szCs w:val="20"/>
        </w:rPr>
      </w:pPr>
      <w:r>
        <w:rPr>
          <w:vertAlign w:val="superscript"/>
        </w:rPr>
        <w:footnoteRef/>
      </w:r>
      <w:r>
        <w:rPr>
          <w:sz w:val="20"/>
          <w:szCs w:val="20"/>
        </w:rPr>
        <w:t xml:space="preserve"> Abiodun,</w:t>
      </w:r>
      <w:r w:rsidR="00627C1F">
        <w:rPr>
          <w:sz w:val="20"/>
          <w:szCs w:val="20"/>
        </w:rPr>
        <w:t xml:space="preserve"> </w:t>
      </w:r>
      <w:r>
        <w:rPr>
          <w:i/>
          <w:iCs/>
          <w:sz w:val="20"/>
          <w:szCs w:val="20"/>
        </w:rPr>
        <w:t>Verbalizing and Visualizing</w:t>
      </w:r>
      <w:r>
        <w:rPr>
          <w:sz w:val="20"/>
          <w:szCs w:val="20"/>
        </w:rPr>
        <w:t xml:space="preserve"> Pg 310.</w:t>
      </w:r>
    </w:p>
  </w:footnote>
  <w:footnote w:id="56">
    <w:p w14:paraId="788F4CB7" w14:textId="75E26EA3" w:rsidR="00A16F79" w:rsidRDefault="00A16F79">
      <w:pPr>
        <w:spacing w:line="240" w:lineRule="auto"/>
        <w:rPr>
          <w:sz w:val="20"/>
          <w:szCs w:val="20"/>
        </w:rPr>
      </w:pPr>
      <w:r>
        <w:rPr>
          <w:vertAlign w:val="superscript"/>
        </w:rPr>
        <w:footnoteRef/>
      </w:r>
      <w:r>
        <w:rPr>
          <w:sz w:val="20"/>
          <w:szCs w:val="20"/>
        </w:rPr>
        <w:t xml:space="preserve"> Vega, </w:t>
      </w:r>
      <w:r>
        <w:rPr>
          <w:i/>
          <w:iCs/>
          <w:sz w:val="20"/>
          <w:szCs w:val="20"/>
        </w:rPr>
        <w:t>Ase, the Nexus of the Black Global Aesthetic,</w:t>
      </w:r>
      <w:r>
        <w:rPr>
          <w:sz w:val="20"/>
          <w:szCs w:val="20"/>
        </w:rPr>
        <w:t xml:space="preserve"> pg</w:t>
      </w:r>
      <w:r w:rsidR="00627C1F">
        <w:rPr>
          <w:sz w:val="20"/>
          <w:szCs w:val="20"/>
        </w:rPr>
        <w:t>.</w:t>
      </w:r>
      <w:r>
        <w:rPr>
          <w:sz w:val="20"/>
          <w:szCs w:val="20"/>
        </w:rPr>
        <w:t xml:space="preserve"> 56.</w:t>
      </w:r>
    </w:p>
  </w:footnote>
  <w:footnote w:id="57">
    <w:p w14:paraId="2C7EF25B" w14:textId="77777777" w:rsidR="00A16F79" w:rsidRDefault="00A16F79">
      <w:pPr>
        <w:spacing w:line="240" w:lineRule="auto"/>
        <w:rPr>
          <w:sz w:val="20"/>
          <w:szCs w:val="20"/>
        </w:rPr>
      </w:pPr>
      <w:r>
        <w:rPr>
          <w:vertAlign w:val="superscript"/>
        </w:rPr>
        <w:footnoteRef/>
      </w:r>
      <w:r>
        <w:rPr>
          <w:sz w:val="20"/>
          <w:szCs w:val="20"/>
        </w:rPr>
        <w:t xml:space="preserve"> </w:t>
      </w:r>
      <w:r>
        <w:rPr>
          <w:sz w:val="20"/>
          <w:szCs w:val="20"/>
          <w:shd w:val="clear" w:color="auto" w:fill="FAFAFA"/>
        </w:rPr>
        <w:t xml:space="preserve">Baba Ifa Karade, </w:t>
      </w:r>
      <w:r>
        <w:rPr>
          <w:i/>
          <w:iCs/>
          <w:sz w:val="20"/>
          <w:szCs w:val="20"/>
        </w:rPr>
        <w:t>The Handbook of Yoruba Religious Concepts</w:t>
      </w:r>
      <w:r>
        <w:rPr>
          <w:sz w:val="20"/>
          <w:szCs w:val="20"/>
          <w:shd w:val="clear" w:color="auto" w:fill="FAFAFA"/>
        </w:rPr>
        <w:t xml:space="preserve"> (Boston: WeiserBooks, 1994)</w:t>
      </w:r>
      <w:r>
        <w:rPr>
          <w:sz w:val="20"/>
          <w:szCs w:val="20"/>
        </w:rPr>
        <w:t xml:space="preserve">, </w:t>
      </w:r>
      <w:r>
        <w:rPr>
          <w:i/>
          <w:iCs/>
          <w:sz w:val="20"/>
          <w:szCs w:val="20"/>
        </w:rPr>
        <w:t>Yoruba Vocabularys.</w:t>
      </w:r>
    </w:p>
  </w:footnote>
  <w:footnote w:id="58">
    <w:p w14:paraId="1D2459DD" w14:textId="729A1249" w:rsidR="00A16F79" w:rsidRDefault="00A16F79">
      <w:pPr>
        <w:spacing w:line="240" w:lineRule="auto"/>
      </w:pPr>
      <w:r>
        <w:rPr>
          <w:vertAlign w:val="superscript"/>
        </w:rPr>
        <w:footnoteRef/>
      </w:r>
      <w:r>
        <w:rPr>
          <w:sz w:val="20"/>
          <w:szCs w:val="20"/>
        </w:rPr>
        <w:t xml:space="preserve"> </w:t>
      </w:r>
      <w:r w:rsidR="007075A6" w:rsidRPr="007075A6">
        <w:rPr>
          <w:sz w:val="20"/>
          <w:szCs w:val="20"/>
        </w:rPr>
        <w:t xml:space="preserve">Abiodun, Rowland, 'Understanding Yoruba Art and Aesthetics: The Concept of Ase', African Arts, 27 (1994), 68–103, in JSTOR &lt;http://www.jstor.org/stable/3337203&gt; </w:t>
      </w:r>
      <w:r w:rsidR="00627C1F">
        <w:rPr>
          <w:sz w:val="20"/>
          <w:szCs w:val="20"/>
        </w:rPr>
        <w:t>P</w:t>
      </w:r>
      <w:r>
        <w:rPr>
          <w:sz w:val="20"/>
          <w:szCs w:val="20"/>
        </w:rPr>
        <w:t>g</w:t>
      </w:r>
      <w:r w:rsidR="00627C1F">
        <w:rPr>
          <w:sz w:val="20"/>
          <w:szCs w:val="20"/>
        </w:rPr>
        <w:t>.</w:t>
      </w:r>
      <w:r>
        <w:rPr>
          <w:sz w:val="20"/>
          <w:szCs w:val="20"/>
        </w:rPr>
        <w:t xml:space="preserve"> 78. </w:t>
      </w:r>
    </w:p>
  </w:footnote>
  <w:footnote w:id="59">
    <w:p w14:paraId="16982DBB" w14:textId="20027E50" w:rsidR="00A16F79" w:rsidRDefault="00A16F79">
      <w:pPr>
        <w:spacing w:line="240" w:lineRule="auto"/>
        <w:rPr>
          <w:sz w:val="20"/>
          <w:szCs w:val="20"/>
        </w:rPr>
      </w:pPr>
      <w:r>
        <w:rPr>
          <w:vertAlign w:val="superscript"/>
        </w:rPr>
        <w:footnoteRef/>
      </w:r>
      <w:r>
        <w:rPr>
          <w:sz w:val="20"/>
          <w:szCs w:val="20"/>
        </w:rPr>
        <w:t>Henry John Drewel, 'Àse and the Senses in Understandings</w:t>
      </w:r>
      <w:r>
        <w:rPr>
          <w:sz w:val="20"/>
          <w:szCs w:val="20"/>
        </w:rPr>
        <w:br/>
        <w:t xml:space="preserve">of Yorùbá Arts and Culture', in </w:t>
      </w:r>
      <w:r>
        <w:rPr>
          <w:i/>
          <w:iCs/>
          <w:sz w:val="20"/>
          <w:szCs w:val="20"/>
        </w:rPr>
        <w:t xml:space="preserve">Arts of Global </w:t>
      </w:r>
      <w:r w:rsidR="00AB1CFF">
        <w:rPr>
          <w:i/>
          <w:iCs/>
          <w:sz w:val="20"/>
          <w:szCs w:val="20"/>
        </w:rPr>
        <w:t>Africa:</w:t>
      </w:r>
      <w:r>
        <w:rPr>
          <w:i/>
          <w:iCs/>
          <w:sz w:val="20"/>
          <w:szCs w:val="20"/>
        </w:rPr>
        <w:t xml:space="preserve"> The Newark Museum Collection</w:t>
      </w:r>
      <w:r>
        <w:rPr>
          <w:sz w:val="20"/>
          <w:szCs w:val="20"/>
        </w:rPr>
        <w:t xml:space="preserve">, ed. by Christa Clarke (Newark Museum, 2018), pp. 213–220. </w:t>
      </w:r>
      <w:r w:rsidR="00AB1CFF">
        <w:rPr>
          <w:sz w:val="20"/>
          <w:szCs w:val="20"/>
        </w:rPr>
        <w:t>P</w:t>
      </w:r>
      <w:r>
        <w:rPr>
          <w:sz w:val="20"/>
          <w:szCs w:val="20"/>
        </w:rPr>
        <w:t>g</w:t>
      </w:r>
      <w:r w:rsidR="00AB1CFF">
        <w:rPr>
          <w:sz w:val="20"/>
          <w:szCs w:val="20"/>
        </w:rPr>
        <w:t>.</w:t>
      </w:r>
      <w:r>
        <w:rPr>
          <w:sz w:val="20"/>
          <w:szCs w:val="20"/>
        </w:rPr>
        <w:t xml:space="preserve"> 216.</w:t>
      </w:r>
    </w:p>
  </w:footnote>
  <w:footnote w:id="60">
    <w:p w14:paraId="671F2C7B" w14:textId="0730896B" w:rsidR="00A16F79" w:rsidRDefault="00A16F79">
      <w:pPr>
        <w:spacing w:line="240" w:lineRule="auto"/>
        <w:rPr>
          <w:sz w:val="20"/>
          <w:szCs w:val="20"/>
        </w:rPr>
      </w:pPr>
      <w:r>
        <w:rPr>
          <w:vertAlign w:val="superscript"/>
        </w:rPr>
        <w:footnoteRef/>
      </w:r>
      <w:r>
        <w:rPr>
          <w:sz w:val="20"/>
          <w:szCs w:val="20"/>
        </w:rPr>
        <w:t xml:space="preserve"> </w:t>
      </w:r>
      <w:r w:rsidR="007C155A" w:rsidRPr="00C369E2">
        <w:rPr>
          <w:i/>
          <w:iCs/>
          <w:sz w:val="20"/>
          <w:szCs w:val="20"/>
        </w:rPr>
        <w:t>Ibid</w:t>
      </w:r>
      <w:r w:rsidR="007C155A" w:rsidRPr="00C369E2">
        <w:rPr>
          <w:sz w:val="20"/>
          <w:szCs w:val="20"/>
        </w:rPr>
        <w:t>.</w:t>
      </w:r>
      <w:r w:rsidR="007C155A">
        <w:rPr>
          <w:i/>
          <w:iCs/>
          <w:sz w:val="20"/>
          <w:szCs w:val="20"/>
        </w:rPr>
        <w:t>,</w:t>
      </w:r>
      <w:r>
        <w:rPr>
          <w:i/>
          <w:iCs/>
          <w:sz w:val="20"/>
          <w:szCs w:val="20"/>
        </w:rPr>
        <w:t>,</w:t>
      </w:r>
      <w:r>
        <w:rPr>
          <w:sz w:val="20"/>
          <w:szCs w:val="20"/>
        </w:rPr>
        <w:t xml:space="preserve"> pg</w:t>
      </w:r>
      <w:r w:rsidR="00AB1CFF">
        <w:rPr>
          <w:sz w:val="20"/>
          <w:szCs w:val="20"/>
        </w:rPr>
        <w:t>.</w:t>
      </w:r>
      <w:r>
        <w:rPr>
          <w:sz w:val="20"/>
          <w:szCs w:val="20"/>
        </w:rPr>
        <w:t xml:space="preserve"> 218.</w:t>
      </w:r>
    </w:p>
  </w:footnote>
  <w:footnote w:id="61">
    <w:p w14:paraId="31FA6AD0" w14:textId="02B0F2A8" w:rsidR="00A16F79" w:rsidRDefault="00A16F79">
      <w:pPr>
        <w:spacing w:line="240" w:lineRule="auto"/>
        <w:rPr>
          <w:sz w:val="20"/>
          <w:szCs w:val="20"/>
        </w:rPr>
      </w:pPr>
      <w:r>
        <w:rPr>
          <w:vertAlign w:val="superscript"/>
        </w:rPr>
        <w:footnoteRef/>
      </w:r>
      <w:r>
        <w:rPr>
          <w:sz w:val="20"/>
          <w:szCs w:val="20"/>
        </w:rPr>
        <w:t xml:space="preserve">  Kwame Gyekye, </w:t>
      </w:r>
      <w:r>
        <w:rPr>
          <w:i/>
          <w:iCs/>
          <w:sz w:val="20"/>
          <w:szCs w:val="20"/>
        </w:rPr>
        <w:t xml:space="preserve">An Essay on African Philosophical </w:t>
      </w:r>
      <w:r w:rsidR="00AB1CFF">
        <w:rPr>
          <w:i/>
          <w:iCs/>
          <w:sz w:val="20"/>
          <w:szCs w:val="20"/>
        </w:rPr>
        <w:t>Thought:</w:t>
      </w:r>
      <w:r>
        <w:rPr>
          <w:i/>
          <w:iCs/>
          <w:sz w:val="20"/>
          <w:szCs w:val="20"/>
        </w:rPr>
        <w:t xml:space="preserve"> The Akan Conceptual Scheme</w:t>
      </w:r>
      <w:r>
        <w:rPr>
          <w:sz w:val="20"/>
          <w:szCs w:val="20"/>
        </w:rPr>
        <w:t xml:space="preserve"> (United States: University of Cambridge Press, 1987) &lt;https://archive.org/details/essayonafricanph0000gyek_n3h5&gt;</w:t>
      </w:r>
      <w:r>
        <w:rPr>
          <w:i/>
          <w:iCs/>
          <w:sz w:val="20"/>
          <w:szCs w:val="20"/>
        </w:rPr>
        <w:t>,</w:t>
      </w:r>
      <w:r>
        <w:rPr>
          <w:sz w:val="20"/>
          <w:szCs w:val="20"/>
        </w:rPr>
        <w:t xml:space="preserve"> pg</w:t>
      </w:r>
      <w:r w:rsidR="00AB1CFF">
        <w:rPr>
          <w:sz w:val="20"/>
          <w:szCs w:val="20"/>
        </w:rPr>
        <w:t>.</w:t>
      </w:r>
      <w:r>
        <w:rPr>
          <w:sz w:val="20"/>
          <w:szCs w:val="20"/>
        </w:rPr>
        <w:t xml:space="preserve"> 75. </w:t>
      </w:r>
    </w:p>
  </w:footnote>
  <w:footnote w:id="62">
    <w:p w14:paraId="6EE07843" w14:textId="72CA55EF" w:rsidR="00A16F79" w:rsidRDefault="00A16F79">
      <w:pPr>
        <w:spacing w:line="240" w:lineRule="auto"/>
        <w:rPr>
          <w:sz w:val="20"/>
          <w:szCs w:val="20"/>
        </w:rPr>
      </w:pPr>
      <w:r>
        <w:rPr>
          <w:vertAlign w:val="superscript"/>
        </w:rPr>
        <w:footnoteRef/>
      </w:r>
      <w:r>
        <w:rPr>
          <w:sz w:val="20"/>
          <w:szCs w:val="20"/>
        </w:rPr>
        <w:t xml:space="preserve"> </w:t>
      </w:r>
      <w:r w:rsidR="007C155A" w:rsidRPr="00C369E2">
        <w:rPr>
          <w:i/>
          <w:iCs/>
          <w:sz w:val="20"/>
          <w:szCs w:val="20"/>
        </w:rPr>
        <w:t>Ibid</w:t>
      </w:r>
      <w:r w:rsidR="007C155A" w:rsidRPr="00C369E2">
        <w:rPr>
          <w:sz w:val="20"/>
          <w:szCs w:val="20"/>
        </w:rPr>
        <w:t>.</w:t>
      </w:r>
      <w:r w:rsidR="007C155A">
        <w:rPr>
          <w:i/>
          <w:iCs/>
          <w:sz w:val="20"/>
          <w:szCs w:val="20"/>
        </w:rPr>
        <w:t>,</w:t>
      </w:r>
      <w:r w:rsidR="007C155A">
        <w:rPr>
          <w:i/>
          <w:iCs/>
          <w:sz w:val="20"/>
          <w:szCs w:val="20"/>
          <w:lang w:val="en-US"/>
        </w:rPr>
        <w:t xml:space="preserve"> </w:t>
      </w:r>
      <w:r>
        <w:rPr>
          <w:sz w:val="20"/>
          <w:szCs w:val="20"/>
        </w:rPr>
        <w:t>pg</w:t>
      </w:r>
      <w:r w:rsidR="00AB1CFF">
        <w:rPr>
          <w:sz w:val="20"/>
          <w:szCs w:val="20"/>
        </w:rPr>
        <w:t>.</w:t>
      </w:r>
      <w:r>
        <w:rPr>
          <w:sz w:val="20"/>
          <w:szCs w:val="20"/>
        </w:rPr>
        <w:t xml:space="preserve"> 88. </w:t>
      </w:r>
    </w:p>
  </w:footnote>
  <w:footnote w:id="63">
    <w:p w14:paraId="3472A637" w14:textId="3E5ECFAE" w:rsidR="00A16F79" w:rsidRDefault="00A16F79">
      <w:pPr>
        <w:spacing w:line="240" w:lineRule="auto"/>
        <w:rPr>
          <w:sz w:val="20"/>
          <w:szCs w:val="20"/>
        </w:rPr>
      </w:pPr>
      <w:r>
        <w:rPr>
          <w:vertAlign w:val="superscript"/>
        </w:rPr>
        <w:footnoteRef/>
      </w:r>
      <w:r>
        <w:rPr>
          <w:sz w:val="20"/>
          <w:szCs w:val="20"/>
        </w:rPr>
        <w:t xml:space="preserve"> </w:t>
      </w:r>
      <w:r w:rsidR="007C155A" w:rsidRPr="00C369E2">
        <w:rPr>
          <w:i/>
          <w:iCs/>
          <w:sz w:val="20"/>
          <w:szCs w:val="20"/>
        </w:rPr>
        <w:t>Ibid</w:t>
      </w:r>
      <w:r w:rsidR="007C155A" w:rsidRPr="00C369E2">
        <w:rPr>
          <w:sz w:val="20"/>
          <w:szCs w:val="20"/>
        </w:rPr>
        <w:t>.</w:t>
      </w:r>
      <w:r>
        <w:rPr>
          <w:i/>
          <w:iCs/>
          <w:sz w:val="20"/>
          <w:szCs w:val="20"/>
        </w:rPr>
        <w:t>,</w:t>
      </w:r>
      <w:r>
        <w:rPr>
          <w:sz w:val="20"/>
          <w:szCs w:val="20"/>
        </w:rPr>
        <w:t xml:space="preserve"> pg</w:t>
      </w:r>
      <w:r w:rsidR="00AB1CFF">
        <w:rPr>
          <w:sz w:val="20"/>
          <w:szCs w:val="20"/>
        </w:rPr>
        <w:t>.</w:t>
      </w:r>
      <w:r>
        <w:rPr>
          <w:sz w:val="20"/>
          <w:szCs w:val="20"/>
        </w:rPr>
        <w:t xml:space="preserve"> 66.</w:t>
      </w:r>
    </w:p>
  </w:footnote>
  <w:footnote w:id="64">
    <w:p w14:paraId="2D5F59D5" w14:textId="52823B69" w:rsidR="00A16F79" w:rsidRDefault="00A16F79">
      <w:pPr>
        <w:spacing w:line="240" w:lineRule="auto"/>
        <w:rPr>
          <w:sz w:val="20"/>
          <w:szCs w:val="20"/>
        </w:rPr>
      </w:pPr>
      <w:r>
        <w:rPr>
          <w:vertAlign w:val="superscript"/>
        </w:rPr>
        <w:footnoteRef/>
      </w:r>
      <w:r>
        <w:rPr>
          <w:sz w:val="20"/>
          <w:szCs w:val="20"/>
        </w:rPr>
        <w:t xml:space="preserve"> Kwasi Ampene, 'Power and Responsibility: Royalty and</w:t>
      </w:r>
      <w:r>
        <w:rPr>
          <w:sz w:val="20"/>
          <w:szCs w:val="20"/>
        </w:rPr>
        <w:br/>
        <w:t xml:space="preserve">the Performing Arts in Asante-Ghana', </w:t>
      </w:r>
      <w:r>
        <w:rPr>
          <w:i/>
          <w:iCs/>
          <w:sz w:val="20"/>
          <w:szCs w:val="20"/>
        </w:rPr>
        <w:t xml:space="preserve">African Studies Review, </w:t>
      </w:r>
      <w:r>
        <w:rPr>
          <w:sz w:val="20"/>
          <w:szCs w:val="20"/>
        </w:rPr>
        <w:t xml:space="preserve">64 (2021), 523–546 &lt;https://www.cambridge.org/core/journals/african-studies-review/article/abs/power-and-responsibility-royalty-and-the-performing-arts-in-asanteghana/375D875339EEF8A962EE6D55CFCD1CB7&gt;. </w:t>
      </w:r>
      <w:r w:rsidR="00AB1CFF">
        <w:rPr>
          <w:sz w:val="20"/>
          <w:szCs w:val="20"/>
        </w:rPr>
        <w:t>P</w:t>
      </w:r>
      <w:r>
        <w:rPr>
          <w:sz w:val="20"/>
          <w:szCs w:val="20"/>
        </w:rPr>
        <w:t>g</w:t>
      </w:r>
      <w:r w:rsidR="00AB1CFF">
        <w:rPr>
          <w:sz w:val="20"/>
          <w:szCs w:val="20"/>
        </w:rPr>
        <w:t>.</w:t>
      </w:r>
      <w:r>
        <w:rPr>
          <w:sz w:val="20"/>
          <w:szCs w:val="20"/>
        </w:rPr>
        <w:t xml:space="preserve"> 531</w:t>
      </w:r>
    </w:p>
  </w:footnote>
  <w:footnote w:id="65">
    <w:p w14:paraId="3E060FA7" w14:textId="78D5D0AF" w:rsidR="00A16F79" w:rsidRDefault="00A16F79">
      <w:pPr>
        <w:spacing w:line="240" w:lineRule="auto"/>
        <w:rPr>
          <w:sz w:val="20"/>
          <w:szCs w:val="20"/>
        </w:rPr>
      </w:pPr>
      <w:r>
        <w:rPr>
          <w:vertAlign w:val="superscript"/>
        </w:rPr>
        <w:footnoteRef/>
      </w:r>
      <w:r>
        <w:rPr>
          <w:sz w:val="20"/>
          <w:szCs w:val="20"/>
        </w:rPr>
        <w:t xml:space="preserve"> Helaine K. Minkus, 'The Concept of Spirit in Akwapim Akan Philosophy', </w:t>
      </w:r>
      <w:r>
        <w:rPr>
          <w:i/>
          <w:iCs/>
          <w:sz w:val="20"/>
          <w:szCs w:val="20"/>
        </w:rPr>
        <w:t xml:space="preserve">Africa: Journal of the International African Institute, </w:t>
      </w:r>
      <w:r>
        <w:rPr>
          <w:sz w:val="20"/>
          <w:szCs w:val="20"/>
        </w:rPr>
        <w:t>50 (1980), 182–192</w:t>
      </w:r>
      <w:r>
        <w:rPr>
          <w:i/>
          <w:iCs/>
          <w:sz w:val="20"/>
          <w:szCs w:val="20"/>
        </w:rPr>
        <w:t>, in JSTOR</w:t>
      </w:r>
      <w:r>
        <w:rPr>
          <w:sz w:val="20"/>
          <w:szCs w:val="20"/>
        </w:rPr>
        <w:t xml:space="preserve"> &lt;http://www.jstor.org/stable/1159010&gt;. </w:t>
      </w:r>
      <w:r w:rsidR="00AB1CFF">
        <w:rPr>
          <w:sz w:val="20"/>
          <w:szCs w:val="20"/>
        </w:rPr>
        <w:t>P</w:t>
      </w:r>
      <w:r>
        <w:rPr>
          <w:sz w:val="20"/>
          <w:szCs w:val="20"/>
        </w:rPr>
        <w:t>g</w:t>
      </w:r>
      <w:r w:rsidR="00AB1CFF">
        <w:rPr>
          <w:sz w:val="20"/>
          <w:szCs w:val="20"/>
        </w:rPr>
        <w:t>.</w:t>
      </w:r>
      <w:r>
        <w:rPr>
          <w:sz w:val="20"/>
          <w:szCs w:val="20"/>
        </w:rPr>
        <w:t xml:space="preserve"> 188.</w:t>
      </w:r>
    </w:p>
  </w:footnote>
  <w:footnote w:id="66">
    <w:p w14:paraId="09935A41" w14:textId="35A6E529" w:rsidR="00A16F79" w:rsidRDefault="00A16F79">
      <w:pPr>
        <w:spacing w:line="240" w:lineRule="auto"/>
        <w:rPr>
          <w:sz w:val="20"/>
          <w:szCs w:val="20"/>
        </w:rPr>
      </w:pPr>
      <w:r>
        <w:rPr>
          <w:vertAlign w:val="superscript"/>
        </w:rPr>
        <w:footnoteRef/>
      </w:r>
      <w:r>
        <w:rPr>
          <w:sz w:val="20"/>
          <w:szCs w:val="20"/>
          <w:shd w:val="clear" w:color="auto" w:fill="FAFAFA"/>
        </w:rPr>
        <w:t xml:space="preserve">Patrick McNaughton, 'Agency in Artistry: Comments on ‘Art and the Individual in African Masquerades’', </w:t>
      </w:r>
      <w:r>
        <w:rPr>
          <w:i/>
          <w:iCs/>
          <w:sz w:val="20"/>
          <w:szCs w:val="20"/>
        </w:rPr>
        <w:t xml:space="preserve">Africa, </w:t>
      </w:r>
      <w:r>
        <w:rPr>
          <w:sz w:val="20"/>
          <w:szCs w:val="20"/>
          <w:shd w:val="clear" w:color="auto" w:fill="FAFAFA"/>
        </w:rPr>
        <w:t>88 (2018), 824–839 &lt;</w:t>
      </w:r>
      <w:hyperlink r:id="rId4">
        <w:r>
          <w:rPr>
            <w:color w:val="1155CC"/>
            <w:sz w:val="20"/>
            <w:szCs w:val="20"/>
          </w:rPr>
          <w:t>https://doi:10.1017/S0001972018000487</w:t>
        </w:r>
      </w:hyperlink>
      <w:r>
        <w:rPr>
          <w:sz w:val="20"/>
          <w:szCs w:val="20"/>
          <w:shd w:val="clear" w:color="auto" w:fill="FAFAFA"/>
        </w:rPr>
        <w:t>&gt;</w:t>
      </w:r>
      <w:r>
        <w:rPr>
          <w:sz w:val="20"/>
          <w:szCs w:val="20"/>
        </w:rPr>
        <w:t>,</w:t>
      </w:r>
      <w:r w:rsidR="00AB1CFF">
        <w:rPr>
          <w:sz w:val="20"/>
          <w:szCs w:val="20"/>
        </w:rPr>
        <w:t xml:space="preserve"> </w:t>
      </w:r>
      <w:r>
        <w:rPr>
          <w:sz w:val="20"/>
          <w:szCs w:val="20"/>
        </w:rPr>
        <w:t>pg</w:t>
      </w:r>
      <w:r w:rsidR="00AB1CFF">
        <w:rPr>
          <w:sz w:val="20"/>
          <w:szCs w:val="20"/>
        </w:rPr>
        <w:t>.</w:t>
      </w:r>
      <w:r>
        <w:rPr>
          <w:sz w:val="20"/>
          <w:szCs w:val="20"/>
        </w:rPr>
        <w:t xml:space="preserve"> 834.</w:t>
      </w:r>
    </w:p>
  </w:footnote>
  <w:footnote w:id="67">
    <w:p w14:paraId="74FA2842" w14:textId="5EB22DB5" w:rsidR="00A16F79" w:rsidRDefault="00A16F79">
      <w:pPr>
        <w:spacing w:line="240" w:lineRule="auto"/>
        <w:rPr>
          <w:sz w:val="20"/>
          <w:szCs w:val="20"/>
        </w:rPr>
      </w:pPr>
      <w:r>
        <w:rPr>
          <w:vertAlign w:val="superscript"/>
        </w:rPr>
        <w:footnoteRef/>
      </w:r>
      <w:r>
        <w:rPr>
          <w:sz w:val="20"/>
          <w:szCs w:val="20"/>
        </w:rPr>
        <w:t xml:space="preserve"> McNaughton, </w:t>
      </w:r>
      <w:r>
        <w:rPr>
          <w:i/>
          <w:iCs/>
          <w:sz w:val="20"/>
          <w:szCs w:val="20"/>
        </w:rPr>
        <w:t>Agency in Artistry,</w:t>
      </w:r>
      <w:r>
        <w:rPr>
          <w:sz w:val="20"/>
          <w:szCs w:val="20"/>
        </w:rPr>
        <w:t xml:space="preserve"> pg</w:t>
      </w:r>
      <w:r w:rsidR="00AB1CFF">
        <w:rPr>
          <w:sz w:val="20"/>
          <w:szCs w:val="20"/>
        </w:rPr>
        <w:t>.</w:t>
      </w:r>
      <w:r>
        <w:rPr>
          <w:sz w:val="20"/>
          <w:szCs w:val="20"/>
        </w:rPr>
        <w:t xml:space="preserve"> 834. </w:t>
      </w:r>
    </w:p>
  </w:footnote>
  <w:footnote w:id="68">
    <w:p w14:paraId="3BE7521B" w14:textId="4AEBFB5C" w:rsidR="00A16F79" w:rsidRDefault="00A16F79">
      <w:pPr>
        <w:spacing w:line="240" w:lineRule="auto"/>
        <w:rPr>
          <w:sz w:val="20"/>
          <w:szCs w:val="20"/>
        </w:rPr>
      </w:pPr>
      <w:r>
        <w:rPr>
          <w:vertAlign w:val="superscript"/>
        </w:rPr>
        <w:footnoteRef/>
      </w:r>
      <w:r>
        <w:rPr>
          <w:sz w:val="20"/>
          <w:szCs w:val="20"/>
        </w:rPr>
        <w:t xml:space="preserve"> Eric Charry, </w:t>
      </w:r>
      <w:r>
        <w:rPr>
          <w:i/>
          <w:iCs/>
          <w:sz w:val="20"/>
          <w:szCs w:val="20"/>
        </w:rPr>
        <w:t>Mande Music</w:t>
      </w:r>
      <w:r w:rsidR="00AB1CFF">
        <w:rPr>
          <w:i/>
          <w:iCs/>
          <w:sz w:val="20"/>
          <w:szCs w:val="20"/>
        </w:rPr>
        <w:t xml:space="preserve"> </w:t>
      </w:r>
      <w:r>
        <w:rPr>
          <w:i/>
          <w:iCs/>
          <w:sz w:val="20"/>
          <w:szCs w:val="20"/>
        </w:rPr>
        <w:t>Traditional and Modern Music of the Maninka and Mandinka of Western Africa</w:t>
      </w:r>
      <w:r>
        <w:rPr>
          <w:sz w:val="20"/>
          <w:szCs w:val="20"/>
        </w:rPr>
        <w:t xml:space="preserve"> (University of Chicago press, 2000). </w:t>
      </w:r>
      <w:r w:rsidR="00AB1CFF">
        <w:rPr>
          <w:sz w:val="20"/>
          <w:szCs w:val="20"/>
        </w:rPr>
        <w:t>p</w:t>
      </w:r>
      <w:r>
        <w:rPr>
          <w:sz w:val="20"/>
          <w:szCs w:val="20"/>
        </w:rPr>
        <w:t>g</w:t>
      </w:r>
      <w:r w:rsidR="00AB1CFF">
        <w:rPr>
          <w:sz w:val="20"/>
          <w:szCs w:val="20"/>
        </w:rPr>
        <w:t>.</w:t>
      </w:r>
      <w:r>
        <w:rPr>
          <w:sz w:val="20"/>
          <w:szCs w:val="20"/>
        </w:rPr>
        <w:t xml:space="preserve"> 49. </w:t>
      </w:r>
    </w:p>
  </w:footnote>
  <w:footnote w:id="69">
    <w:p w14:paraId="34459F77" w14:textId="77777777" w:rsidR="00A16F79" w:rsidRDefault="00A16F79">
      <w:pPr>
        <w:spacing w:line="240" w:lineRule="auto"/>
        <w:rPr>
          <w:sz w:val="20"/>
          <w:szCs w:val="20"/>
        </w:rPr>
      </w:pPr>
      <w:r>
        <w:rPr>
          <w:vertAlign w:val="superscript"/>
        </w:rPr>
        <w:footnoteRef/>
      </w:r>
      <w:r>
        <w:rPr>
          <w:sz w:val="20"/>
          <w:szCs w:val="20"/>
        </w:rPr>
        <w:t xml:space="preserve">Dona Richards, 'The Nyama of the Blacksmith: The Metaphysical Significance of Metallurgy in Africa', </w:t>
      </w:r>
      <w:r>
        <w:rPr>
          <w:i/>
          <w:iCs/>
          <w:sz w:val="20"/>
          <w:szCs w:val="20"/>
        </w:rPr>
        <w:t xml:space="preserve">Journal of Black Studies, </w:t>
      </w:r>
      <w:r>
        <w:rPr>
          <w:sz w:val="20"/>
          <w:szCs w:val="20"/>
        </w:rPr>
        <w:t>12 (1981), 218–238</w:t>
      </w:r>
      <w:r>
        <w:rPr>
          <w:i/>
          <w:iCs/>
          <w:sz w:val="20"/>
          <w:szCs w:val="20"/>
        </w:rPr>
        <w:t>, in JSTOR</w:t>
      </w:r>
      <w:r>
        <w:rPr>
          <w:sz w:val="20"/>
          <w:szCs w:val="20"/>
        </w:rPr>
        <w:t xml:space="preserve"> &lt;http://www.jstor.org/stable/2784243&gt;. Pg 234.</w:t>
      </w:r>
    </w:p>
  </w:footnote>
  <w:footnote w:id="70">
    <w:p w14:paraId="6E0360E9" w14:textId="740C286A" w:rsidR="00A16F79" w:rsidRDefault="00A16F79">
      <w:pPr>
        <w:spacing w:line="240" w:lineRule="auto"/>
        <w:rPr>
          <w:sz w:val="20"/>
          <w:szCs w:val="20"/>
        </w:rPr>
      </w:pPr>
      <w:r>
        <w:rPr>
          <w:vertAlign w:val="superscript"/>
        </w:rPr>
        <w:footnoteRef/>
      </w:r>
      <w:r>
        <w:rPr>
          <w:sz w:val="20"/>
          <w:szCs w:val="20"/>
        </w:rPr>
        <w:t xml:space="preserve"> Charry, </w:t>
      </w:r>
      <w:r>
        <w:rPr>
          <w:i/>
          <w:iCs/>
          <w:sz w:val="20"/>
          <w:szCs w:val="20"/>
        </w:rPr>
        <w:t>Mande Music,</w:t>
      </w:r>
      <w:r>
        <w:rPr>
          <w:sz w:val="20"/>
          <w:szCs w:val="20"/>
        </w:rPr>
        <w:t xml:space="preserve"> pg</w:t>
      </w:r>
      <w:r w:rsidR="009E39EA">
        <w:rPr>
          <w:sz w:val="20"/>
          <w:szCs w:val="20"/>
        </w:rPr>
        <w:t>.</w:t>
      </w:r>
      <w:r>
        <w:rPr>
          <w:sz w:val="20"/>
          <w:szCs w:val="20"/>
        </w:rPr>
        <w:t xml:space="preserve"> 49-50.</w:t>
      </w:r>
    </w:p>
  </w:footnote>
  <w:footnote w:id="71">
    <w:p w14:paraId="12A9ABD4" w14:textId="0D8B44A0" w:rsidR="00A16F79" w:rsidRDefault="00A16F79">
      <w:pPr>
        <w:spacing w:line="240" w:lineRule="auto"/>
        <w:rPr>
          <w:sz w:val="20"/>
          <w:szCs w:val="20"/>
        </w:rPr>
      </w:pPr>
      <w:r>
        <w:rPr>
          <w:vertAlign w:val="superscript"/>
        </w:rPr>
        <w:footnoteRef/>
      </w:r>
      <w:r>
        <w:rPr>
          <w:sz w:val="20"/>
          <w:szCs w:val="20"/>
        </w:rPr>
        <w:t xml:space="preserve"> </w:t>
      </w:r>
      <w:r w:rsidR="002513B5" w:rsidRPr="00C369E2">
        <w:rPr>
          <w:i/>
          <w:iCs/>
          <w:sz w:val="20"/>
          <w:szCs w:val="20"/>
        </w:rPr>
        <w:t>Ibid</w:t>
      </w:r>
      <w:r w:rsidR="002513B5" w:rsidRPr="00C369E2">
        <w:rPr>
          <w:sz w:val="20"/>
          <w:szCs w:val="20"/>
        </w:rPr>
        <w:t>.</w:t>
      </w:r>
      <w:r w:rsidR="002513B5">
        <w:rPr>
          <w:i/>
          <w:iCs/>
          <w:sz w:val="20"/>
          <w:szCs w:val="20"/>
        </w:rPr>
        <w:t>,</w:t>
      </w:r>
      <w:r w:rsidR="002513B5">
        <w:rPr>
          <w:sz w:val="20"/>
          <w:szCs w:val="20"/>
        </w:rPr>
        <w:t xml:space="preserve"> </w:t>
      </w:r>
      <w:r>
        <w:rPr>
          <w:sz w:val="20"/>
          <w:szCs w:val="20"/>
        </w:rPr>
        <w:t>pg</w:t>
      </w:r>
      <w:r w:rsidR="009E39EA">
        <w:rPr>
          <w:sz w:val="20"/>
          <w:szCs w:val="20"/>
        </w:rPr>
        <w:t>.</w:t>
      </w:r>
      <w:r>
        <w:rPr>
          <w:sz w:val="20"/>
          <w:szCs w:val="20"/>
        </w:rPr>
        <w:t xml:space="preserve"> 64.</w:t>
      </w:r>
    </w:p>
  </w:footnote>
  <w:footnote w:id="72">
    <w:p w14:paraId="1231AE1F" w14:textId="3E4140E8" w:rsidR="00A16F79" w:rsidRDefault="00A16F79">
      <w:pPr>
        <w:spacing w:line="240" w:lineRule="auto"/>
        <w:rPr>
          <w:sz w:val="20"/>
          <w:szCs w:val="20"/>
        </w:rPr>
      </w:pPr>
      <w:r>
        <w:rPr>
          <w:vertAlign w:val="superscript"/>
        </w:rPr>
        <w:footnoteRef/>
      </w:r>
      <w:r>
        <w:rPr>
          <w:sz w:val="20"/>
          <w:szCs w:val="20"/>
        </w:rPr>
        <w:t xml:space="preserve"> </w:t>
      </w:r>
      <w:r w:rsidR="009E39EA">
        <w:rPr>
          <w:sz w:val="20"/>
          <w:szCs w:val="20"/>
        </w:rPr>
        <w:t>McNaughton</w:t>
      </w:r>
      <w:r>
        <w:rPr>
          <w:sz w:val="20"/>
          <w:szCs w:val="20"/>
        </w:rPr>
        <w:t xml:space="preserve">, </w:t>
      </w:r>
      <w:r>
        <w:rPr>
          <w:i/>
          <w:iCs/>
          <w:sz w:val="20"/>
          <w:szCs w:val="20"/>
        </w:rPr>
        <w:t>Agency in Artistry,</w:t>
      </w:r>
      <w:r>
        <w:rPr>
          <w:sz w:val="20"/>
          <w:szCs w:val="20"/>
        </w:rPr>
        <w:t xml:space="preserve"> pg</w:t>
      </w:r>
      <w:r w:rsidR="009E39EA">
        <w:rPr>
          <w:sz w:val="20"/>
          <w:szCs w:val="20"/>
        </w:rPr>
        <w:t>.</w:t>
      </w:r>
      <w:r>
        <w:rPr>
          <w:sz w:val="20"/>
          <w:szCs w:val="20"/>
        </w:rPr>
        <w:t xml:space="preserve"> 833</w:t>
      </w:r>
    </w:p>
  </w:footnote>
  <w:footnote w:id="73">
    <w:p w14:paraId="16F1A764" w14:textId="1E170F34" w:rsidR="00A16F79" w:rsidRDefault="00A16F79">
      <w:pPr>
        <w:spacing w:line="240" w:lineRule="auto"/>
        <w:rPr>
          <w:sz w:val="20"/>
          <w:szCs w:val="20"/>
        </w:rPr>
      </w:pPr>
      <w:r>
        <w:rPr>
          <w:vertAlign w:val="superscript"/>
        </w:rPr>
        <w:footnoteRef/>
      </w:r>
      <w:r>
        <w:rPr>
          <w:sz w:val="20"/>
          <w:szCs w:val="20"/>
        </w:rPr>
        <w:t xml:space="preserve"> Robert C. Newton, 'Of Dangerous Energy and Transformations: "Nyamakalaya" and the Sunjata Phenomenon', </w:t>
      </w:r>
      <w:r>
        <w:rPr>
          <w:i/>
          <w:iCs/>
          <w:sz w:val="20"/>
          <w:szCs w:val="20"/>
        </w:rPr>
        <w:t xml:space="preserve">Research in African Literatures, </w:t>
      </w:r>
      <w:r>
        <w:rPr>
          <w:sz w:val="20"/>
          <w:szCs w:val="20"/>
        </w:rPr>
        <w:t>37 (2006), 15–33</w:t>
      </w:r>
      <w:r>
        <w:rPr>
          <w:i/>
          <w:iCs/>
          <w:sz w:val="20"/>
          <w:szCs w:val="20"/>
        </w:rPr>
        <w:t>, in JSTOR</w:t>
      </w:r>
      <w:r>
        <w:rPr>
          <w:sz w:val="20"/>
          <w:szCs w:val="20"/>
        </w:rPr>
        <w:t xml:space="preserve"> &lt;http://www.jstor.org.ezproxy.uwtsd.ac.uk/stable/3821153&gt;. </w:t>
      </w:r>
      <w:r w:rsidR="009E39EA">
        <w:rPr>
          <w:sz w:val="20"/>
          <w:szCs w:val="20"/>
        </w:rPr>
        <w:t>P</w:t>
      </w:r>
      <w:r>
        <w:rPr>
          <w:sz w:val="20"/>
          <w:szCs w:val="20"/>
        </w:rPr>
        <w:t>g</w:t>
      </w:r>
      <w:r w:rsidR="009E39EA">
        <w:rPr>
          <w:sz w:val="20"/>
          <w:szCs w:val="20"/>
        </w:rPr>
        <w:t>.</w:t>
      </w:r>
      <w:r>
        <w:rPr>
          <w:sz w:val="20"/>
          <w:szCs w:val="20"/>
        </w:rPr>
        <w:t xml:space="preserve"> 23. </w:t>
      </w:r>
    </w:p>
  </w:footnote>
  <w:footnote w:id="74">
    <w:p w14:paraId="4FAF6FC8" w14:textId="0BF2755F" w:rsidR="00A16F79" w:rsidRDefault="00A16F79">
      <w:pPr>
        <w:spacing w:line="240" w:lineRule="auto"/>
        <w:rPr>
          <w:sz w:val="20"/>
          <w:szCs w:val="20"/>
        </w:rPr>
      </w:pPr>
      <w:r>
        <w:rPr>
          <w:vertAlign w:val="superscript"/>
        </w:rPr>
        <w:footnoteRef/>
      </w:r>
      <w:r>
        <w:rPr>
          <w:sz w:val="20"/>
          <w:szCs w:val="20"/>
        </w:rPr>
        <w:t xml:space="preserve"> </w:t>
      </w:r>
      <w:r w:rsidR="002513B5" w:rsidRPr="00C369E2">
        <w:rPr>
          <w:i/>
          <w:iCs/>
          <w:sz w:val="20"/>
          <w:szCs w:val="20"/>
        </w:rPr>
        <w:t>Ibid</w:t>
      </w:r>
      <w:r w:rsidR="002513B5" w:rsidRPr="00C369E2">
        <w:rPr>
          <w:sz w:val="20"/>
          <w:szCs w:val="20"/>
        </w:rPr>
        <w:t>.</w:t>
      </w:r>
      <w:r w:rsidR="002513B5">
        <w:rPr>
          <w:i/>
          <w:iCs/>
          <w:sz w:val="20"/>
          <w:szCs w:val="20"/>
        </w:rPr>
        <w:t>,</w:t>
      </w:r>
      <w:r w:rsidR="002513B5">
        <w:rPr>
          <w:sz w:val="20"/>
          <w:szCs w:val="20"/>
        </w:rPr>
        <w:t xml:space="preserve"> </w:t>
      </w:r>
      <w:r>
        <w:rPr>
          <w:sz w:val="20"/>
          <w:szCs w:val="20"/>
        </w:rPr>
        <w:t>g</w:t>
      </w:r>
      <w:r w:rsidR="009E39EA">
        <w:rPr>
          <w:sz w:val="20"/>
          <w:szCs w:val="20"/>
        </w:rPr>
        <w:t>.</w:t>
      </w:r>
      <w:r>
        <w:rPr>
          <w:sz w:val="20"/>
          <w:szCs w:val="20"/>
        </w:rPr>
        <w:t xml:space="preserve"> 23. </w:t>
      </w:r>
    </w:p>
  </w:footnote>
  <w:footnote w:id="75">
    <w:p w14:paraId="18603E4D" w14:textId="355244F3" w:rsidR="00A16F79" w:rsidRDefault="00A16F79">
      <w:pPr>
        <w:spacing w:line="240" w:lineRule="auto"/>
        <w:rPr>
          <w:sz w:val="20"/>
          <w:szCs w:val="20"/>
        </w:rPr>
      </w:pPr>
      <w:r>
        <w:rPr>
          <w:vertAlign w:val="superscript"/>
        </w:rPr>
        <w:footnoteRef/>
      </w:r>
      <w:r>
        <w:rPr>
          <w:sz w:val="20"/>
          <w:szCs w:val="20"/>
        </w:rPr>
        <w:t xml:space="preserve"> Okwu, </w:t>
      </w:r>
      <w:r>
        <w:rPr>
          <w:i/>
          <w:iCs/>
          <w:sz w:val="20"/>
          <w:szCs w:val="20"/>
        </w:rPr>
        <w:t>Traditional Healing in Africa</w:t>
      </w:r>
      <w:r>
        <w:rPr>
          <w:sz w:val="20"/>
          <w:szCs w:val="20"/>
        </w:rPr>
        <w:t>, pg</w:t>
      </w:r>
      <w:r w:rsidR="009E39EA">
        <w:rPr>
          <w:sz w:val="20"/>
          <w:szCs w:val="20"/>
        </w:rPr>
        <w:t>.</w:t>
      </w:r>
      <w:r>
        <w:rPr>
          <w:sz w:val="20"/>
          <w:szCs w:val="20"/>
        </w:rPr>
        <w:t xml:space="preserve"> 19.</w:t>
      </w:r>
    </w:p>
  </w:footnote>
  <w:footnote w:id="76">
    <w:p w14:paraId="3F42C001" w14:textId="77777777" w:rsidR="00A16F79" w:rsidRDefault="00A16F79">
      <w:pPr>
        <w:spacing w:line="240" w:lineRule="auto"/>
        <w:rPr>
          <w:sz w:val="20"/>
          <w:szCs w:val="20"/>
        </w:rPr>
      </w:pPr>
      <w:r>
        <w:rPr>
          <w:vertAlign w:val="superscript"/>
        </w:rPr>
        <w:footnoteRef/>
      </w:r>
      <w:r>
        <w:rPr>
          <w:sz w:val="20"/>
          <w:szCs w:val="20"/>
        </w:rPr>
        <w:t xml:space="preserve">  C. N. Ubah, 'The Supreme being, Divinities and Ancestors in Igbo Traditional Religion: Evidence from Otanchara and Otanzu', </w:t>
      </w:r>
      <w:r>
        <w:rPr>
          <w:i/>
          <w:iCs/>
          <w:sz w:val="20"/>
          <w:szCs w:val="20"/>
        </w:rPr>
        <w:t xml:space="preserve">Africa: Journal of the International African Institute, </w:t>
      </w:r>
      <w:r>
        <w:rPr>
          <w:sz w:val="20"/>
          <w:szCs w:val="20"/>
        </w:rPr>
        <w:t>52 (1982), 90–105</w:t>
      </w:r>
      <w:r>
        <w:rPr>
          <w:i/>
          <w:iCs/>
          <w:sz w:val="20"/>
          <w:szCs w:val="20"/>
        </w:rPr>
        <w:t>, in JSTOR</w:t>
      </w:r>
      <w:r>
        <w:rPr>
          <w:sz w:val="20"/>
          <w:szCs w:val="20"/>
        </w:rPr>
        <w:t xml:space="preserve"> &lt;http://www.jstor.org/stable/1159143&gt;. Pg 91.</w:t>
      </w:r>
    </w:p>
    <w:p w14:paraId="7ECCAA65" w14:textId="46B59F28" w:rsidR="00A16F79" w:rsidRDefault="00A16F79">
      <w:pPr>
        <w:spacing w:line="240" w:lineRule="auto"/>
        <w:rPr>
          <w:sz w:val="20"/>
          <w:szCs w:val="20"/>
        </w:rPr>
      </w:pPr>
      <w:r>
        <w:rPr>
          <w:sz w:val="20"/>
          <w:szCs w:val="20"/>
        </w:rPr>
        <w:t xml:space="preserve">Peter Balonon-Rosen, 'Out of this World: An Ethnographic Study of Mystics, Spirits, and Animist Practices in Senegal' (Independent Study Project (ISP) Collection, Tufts University, 2013) &lt;https://digitalcollections.sit.edu/isp_collection/1511&gt;. </w:t>
      </w:r>
      <w:r w:rsidR="00D51B36" w:rsidRPr="00D51B36">
        <w:rPr>
          <w:sz w:val="20"/>
          <w:szCs w:val="20"/>
        </w:rPr>
        <w:t>[accessed November 19th 2025]</w:t>
      </w:r>
      <w:r w:rsidR="00D51B36">
        <w:rPr>
          <w:sz w:val="20"/>
          <w:szCs w:val="20"/>
        </w:rPr>
        <w:t xml:space="preserve"> </w:t>
      </w:r>
      <w:r>
        <w:rPr>
          <w:sz w:val="20"/>
          <w:szCs w:val="20"/>
        </w:rPr>
        <w:t>Pg 8.</w:t>
      </w:r>
    </w:p>
    <w:p w14:paraId="0CB1E233" w14:textId="34C6ED21" w:rsidR="00A16F79" w:rsidRDefault="00A16F79">
      <w:pPr>
        <w:spacing w:line="240" w:lineRule="auto"/>
        <w:rPr>
          <w:sz w:val="20"/>
          <w:szCs w:val="20"/>
        </w:rPr>
      </w:pPr>
      <w:r>
        <w:rPr>
          <w:sz w:val="20"/>
          <w:szCs w:val="20"/>
        </w:rPr>
        <w:t xml:space="preserve">John M. Janzen, </w:t>
      </w:r>
      <w:r>
        <w:rPr>
          <w:i/>
          <w:iCs/>
          <w:sz w:val="20"/>
          <w:szCs w:val="20"/>
        </w:rPr>
        <w:t>Ngoma:</w:t>
      </w:r>
      <w:r w:rsidR="009E39EA">
        <w:rPr>
          <w:i/>
          <w:iCs/>
          <w:sz w:val="20"/>
          <w:szCs w:val="20"/>
        </w:rPr>
        <w:t xml:space="preserve"> </w:t>
      </w:r>
      <w:r>
        <w:rPr>
          <w:i/>
          <w:iCs/>
          <w:sz w:val="20"/>
          <w:szCs w:val="20"/>
        </w:rPr>
        <w:t>Discourses of Healing in Central and Southern Africa</w:t>
      </w:r>
      <w:r>
        <w:rPr>
          <w:sz w:val="20"/>
          <w:szCs w:val="20"/>
        </w:rPr>
        <w:t xml:space="preserve"> (Los Angeles: University of California Press, 1992). Pg 96.</w:t>
      </w:r>
    </w:p>
  </w:footnote>
  <w:footnote w:id="77">
    <w:p w14:paraId="1F3F7B99" w14:textId="4E83CF19" w:rsidR="00A16F79" w:rsidRDefault="00A16F79">
      <w:pPr>
        <w:spacing w:line="240" w:lineRule="auto"/>
        <w:rPr>
          <w:sz w:val="20"/>
          <w:szCs w:val="20"/>
        </w:rPr>
      </w:pPr>
      <w:r>
        <w:rPr>
          <w:vertAlign w:val="superscript"/>
        </w:rPr>
        <w:footnoteRef/>
      </w:r>
      <w:r>
        <w:rPr>
          <w:sz w:val="20"/>
          <w:szCs w:val="20"/>
        </w:rPr>
        <w:t xml:space="preserve"> Ubah, </w:t>
      </w:r>
      <w:r>
        <w:rPr>
          <w:i/>
          <w:iCs/>
          <w:sz w:val="20"/>
          <w:szCs w:val="20"/>
        </w:rPr>
        <w:t>Igbo Traditional Religion,</w:t>
      </w:r>
      <w:r>
        <w:rPr>
          <w:sz w:val="20"/>
          <w:szCs w:val="20"/>
        </w:rPr>
        <w:t xml:space="preserve"> pg</w:t>
      </w:r>
      <w:r w:rsidR="009E39EA">
        <w:rPr>
          <w:sz w:val="20"/>
          <w:szCs w:val="20"/>
        </w:rPr>
        <w:t>.</w:t>
      </w:r>
      <w:r>
        <w:rPr>
          <w:sz w:val="20"/>
          <w:szCs w:val="20"/>
        </w:rPr>
        <w:t xml:space="preserve"> 91. </w:t>
      </w:r>
    </w:p>
    <w:p w14:paraId="6175517B" w14:textId="31ACD031" w:rsidR="00A16F79" w:rsidRDefault="00A16F79">
      <w:pPr>
        <w:spacing w:line="240" w:lineRule="auto"/>
        <w:ind w:left="720"/>
        <w:rPr>
          <w:sz w:val="20"/>
          <w:szCs w:val="20"/>
        </w:rPr>
      </w:pPr>
      <w:r>
        <w:rPr>
          <w:sz w:val="20"/>
          <w:szCs w:val="20"/>
        </w:rPr>
        <w:t xml:space="preserve">Janzen, </w:t>
      </w:r>
      <w:r>
        <w:rPr>
          <w:i/>
          <w:iCs/>
          <w:sz w:val="20"/>
          <w:szCs w:val="20"/>
        </w:rPr>
        <w:t>Ngoma,</w:t>
      </w:r>
      <w:r>
        <w:rPr>
          <w:sz w:val="20"/>
          <w:szCs w:val="20"/>
        </w:rPr>
        <w:t xml:space="preserve"> pg</w:t>
      </w:r>
      <w:r w:rsidR="009E39EA">
        <w:rPr>
          <w:sz w:val="20"/>
          <w:szCs w:val="20"/>
        </w:rPr>
        <w:t>.</w:t>
      </w:r>
      <w:r>
        <w:rPr>
          <w:sz w:val="20"/>
          <w:szCs w:val="20"/>
        </w:rPr>
        <w:t xml:space="preserve"> 96. </w:t>
      </w:r>
    </w:p>
    <w:p w14:paraId="6CC3BEA9" w14:textId="37E01CFC" w:rsidR="00A16F79" w:rsidRDefault="00A16F79">
      <w:pPr>
        <w:spacing w:line="240" w:lineRule="auto"/>
        <w:rPr>
          <w:sz w:val="20"/>
          <w:szCs w:val="20"/>
        </w:rPr>
      </w:pPr>
      <w:r>
        <w:rPr>
          <w:sz w:val="20"/>
          <w:szCs w:val="20"/>
        </w:rPr>
        <w:t xml:space="preserve">Rachel Mueller, 'The Spirits are My </w:t>
      </w:r>
      <w:r w:rsidR="00D27F84">
        <w:rPr>
          <w:sz w:val="20"/>
          <w:szCs w:val="20"/>
        </w:rPr>
        <w:t>Neighbours</w:t>
      </w:r>
      <w:r>
        <w:rPr>
          <w:sz w:val="20"/>
          <w:szCs w:val="20"/>
        </w:rPr>
        <w:t>: Women and the Rab</w:t>
      </w:r>
      <w:r>
        <w:rPr>
          <w:sz w:val="20"/>
          <w:szCs w:val="20"/>
        </w:rPr>
        <w:br/>
        <w:t xml:space="preserve">Cult in Dakar, Senegal', </w:t>
      </w:r>
      <w:r>
        <w:rPr>
          <w:i/>
          <w:iCs/>
          <w:sz w:val="20"/>
          <w:szCs w:val="20"/>
        </w:rPr>
        <w:t xml:space="preserve">Anthropology Honors Projects, </w:t>
      </w:r>
      <w:r>
        <w:rPr>
          <w:sz w:val="20"/>
          <w:szCs w:val="20"/>
        </w:rPr>
        <w:t xml:space="preserve">5 (2013), Paper 18. Pg 2. </w:t>
      </w:r>
    </w:p>
  </w:footnote>
  <w:footnote w:id="78">
    <w:p w14:paraId="2C765793" w14:textId="2BC4BB4D" w:rsidR="00A16F79" w:rsidRDefault="00A16F79">
      <w:pPr>
        <w:spacing w:line="240" w:lineRule="auto"/>
        <w:rPr>
          <w:sz w:val="20"/>
          <w:szCs w:val="20"/>
        </w:rPr>
      </w:pPr>
      <w:r>
        <w:rPr>
          <w:vertAlign w:val="superscript"/>
        </w:rPr>
        <w:footnoteRef/>
      </w:r>
      <w:r>
        <w:rPr>
          <w:sz w:val="20"/>
          <w:szCs w:val="20"/>
        </w:rPr>
        <w:t xml:space="preserve"> Njoku, </w:t>
      </w:r>
      <w:r>
        <w:rPr>
          <w:i/>
          <w:iCs/>
          <w:sz w:val="20"/>
          <w:szCs w:val="20"/>
        </w:rPr>
        <w:t xml:space="preserve">West African Masking Traditions, </w:t>
      </w:r>
      <w:r>
        <w:rPr>
          <w:sz w:val="20"/>
          <w:szCs w:val="20"/>
        </w:rPr>
        <w:t>pg</w:t>
      </w:r>
      <w:r w:rsidR="00D27F84">
        <w:rPr>
          <w:sz w:val="20"/>
          <w:szCs w:val="20"/>
        </w:rPr>
        <w:t>.</w:t>
      </w:r>
      <w:r>
        <w:rPr>
          <w:sz w:val="20"/>
          <w:szCs w:val="20"/>
        </w:rPr>
        <w:t xml:space="preserve"> 35.</w:t>
      </w:r>
    </w:p>
  </w:footnote>
  <w:footnote w:id="79">
    <w:p w14:paraId="530A77BF" w14:textId="5ADA4903" w:rsidR="00A16F79" w:rsidRDefault="00A16F79">
      <w:pPr>
        <w:spacing w:line="240" w:lineRule="auto"/>
        <w:rPr>
          <w:sz w:val="20"/>
          <w:szCs w:val="20"/>
        </w:rPr>
      </w:pPr>
      <w:r>
        <w:rPr>
          <w:vertAlign w:val="superscript"/>
        </w:rPr>
        <w:footnoteRef/>
      </w:r>
      <w:r>
        <w:rPr>
          <w:sz w:val="20"/>
          <w:szCs w:val="20"/>
        </w:rPr>
        <w:t xml:space="preserve"> </w:t>
      </w:r>
      <w:r w:rsidR="00001DE6" w:rsidRPr="00C369E2">
        <w:rPr>
          <w:i/>
          <w:iCs/>
          <w:sz w:val="20"/>
          <w:szCs w:val="20"/>
        </w:rPr>
        <w:t>Ibid</w:t>
      </w:r>
      <w:r w:rsidR="00001DE6" w:rsidRPr="00C369E2">
        <w:rPr>
          <w:sz w:val="20"/>
          <w:szCs w:val="20"/>
        </w:rPr>
        <w:t>.</w:t>
      </w:r>
      <w:r w:rsidR="00001DE6">
        <w:rPr>
          <w:i/>
          <w:iCs/>
          <w:sz w:val="20"/>
          <w:szCs w:val="20"/>
        </w:rPr>
        <w:t>,</w:t>
      </w:r>
      <w:r>
        <w:rPr>
          <w:sz w:val="20"/>
          <w:szCs w:val="20"/>
        </w:rPr>
        <w:t xml:space="preserve"> pg</w:t>
      </w:r>
      <w:r w:rsidR="00D27F84">
        <w:rPr>
          <w:sz w:val="20"/>
          <w:szCs w:val="20"/>
        </w:rPr>
        <w:t>.</w:t>
      </w:r>
      <w:r>
        <w:rPr>
          <w:sz w:val="20"/>
          <w:szCs w:val="20"/>
        </w:rPr>
        <w:t xml:space="preserve"> 36.</w:t>
      </w:r>
    </w:p>
  </w:footnote>
  <w:footnote w:id="80">
    <w:p w14:paraId="53A0AFF4" w14:textId="22E89C6A" w:rsidR="00A16F79" w:rsidRDefault="00A16F79">
      <w:pPr>
        <w:spacing w:line="240" w:lineRule="auto"/>
        <w:rPr>
          <w:sz w:val="20"/>
          <w:szCs w:val="20"/>
        </w:rPr>
      </w:pPr>
      <w:r>
        <w:rPr>
          <w:vertAlign w:val="superscript"/>
        </w:rPr>
        <w:footnoteRef/>
      </w:r>
      <w:r>
        <w:rPr>
          <w:sz w:val="20"/>
          <w:szCs w:val="20"/>
        </w:rPr>
        <w:t xml:space="preserve"> Tonkin, </w:t>
      </w:r>
      <w:r>
        <w:rPr>
          <w:i/>
          <w:iCs/>
          <w:sz w:val="20"/>
          <w:szCs w:val="20"/>
        </w:rPr>
        <w:t>Masks and Powers,</w:t>
      </w:r>
      <w:r>
        <w:rPr>
          <w:sz w:val="20"/>
          <w:szCs w:val="20"/>
        </w:rPr>
        <w:t xml:space="preserve"> pgs</w:t>
      </w:r>
      <w:r w:rsidR="00D27F84">
        <w:rPr>
          <w:sz w:val="20"/>
          <w:szCs w:val="20"/>
        </w:rPr>
        <w:t>.</w:t>
      </w:r>
      <w:r>
        <w:rPr>
          <w:sz w:val="20"/>
          <w:szCs w:val="20"/>
        </w:rPr>
        <w:t xml:space="preserve"> 240 &amp; 242.</w:t>
      </w:r>
    </w:p>
  </w:footnote>
  <w:footnote w:id="81">
    <w:p w14:paraId="568B0E1D" w14:textId="55EBBDD1" w:rsidR="00A16F79" w:rsidRDefault="00A16F79">
      <w:pPr>
        <w:spacing w:line="240" w:lineRule="auto"/>
        <w:rPr>
          <w:sz w:val="20"/>
          <w:szCs w:val="20"/>
        </w:rPr>
      </w:pPr>
      <w:r>
        <w:rPr>
          <w:vertAlign w:val="superscript"/>
        </w:rPr>
        <w:footnoteRef/>
      </w:r>
      <w:r>
        <w:rPr>
          <w:sz w:val="20"/>
          <w:szCs w:val="20"/>
        </w:rPr>
        <w:t xml:space="preserve"> Bilby, </w:t>
      </w:r>
      <w:r>
        <w:rPr>
          <w:i/>
          <w:iCs/>
          <w:sz w:val="20"/>
          <w:szCs w:val="20"/>
        </w:rPr>
        <w:t>Christmas with the Ancestors</w:t>
      </w:r>
      <w:r w:rsidR="00001DE6">
        <w:rPr>
          <w:i/>
          <w:iCs/>
          <w:sz w:val="20"/>
          <w:szCs w:val="20"/>
          <w:lang w:val="en-US"/>
        </w:rPr>
        <w:t>,</w:t>
      </w:r>
      <w:r>
        <w:rPr>
          <w:sz w:val="20"/>
          <w:szCs w:val="20"/>
        </w:rPr>
        <w:t xml:space="preserve"> pg</w:t>
      </w:r>
      <w:r w:rsidR="00D27F84">
        <w:rPr>
          <w:sz w:val="20"/>
          <w:szCs w:val="20"/>
        </w:rPr>
        <w:t>.</w:t>
      </w:r>
      <w:r>
        <w:rPr>
          <w:sz w:val="20"/>
          <w:szCs w:val="20"/>
        </w:rPr>
        <w:t xml:space="preserve"> 4. </w:t>
      </w:r>
    </w:p>
  </w:footnote>
  <w:footnote w:id="82">
    <w:p w14:paraId="2FA94CA5" w14:textId="5C983387" w:rsidR="00A16F79" w:rsidRDefault="00A16F79">
      <w:pPr>
        <w:spacing w:line="240" w:lineRule="auto"/>
        <w:rPr>
          <w:sz w:val="20"/>
          <w:szCs w:val="20"/>
        </w:rPr>
      </w:pPr>
      <w:r>
        <w:rPr>
          <w:vertAlign w:val="superscript"/>
        </w:rPr>
        <w:footnoteRef/>
      </w:r>
      <w:r>
        <w:rPr>
          <w:sz w:val="20"/>
          <w:szCs w:val="20"/>
        </w:rPr>
        <w:t xml:space="preserve"> </w:t>
      </w:r>
      <w:r w:rsidR="00001DE6" w:rsidRPr="00C369E2">
        <w:rPr>
          <w:i/>
          <w:iCs/>
          <w:sz w:val="20"/>
          <w:szCs w:val="20"/>
        </w:rPr>
        <w:t>Ibid</w:t>
      </w:r>
      <w:r w:rsidR="00001DE6" w:rsidRPr="00C369E2">
        <w:rPr>
          <w:sz w:val="20"/>
          <w:szCs w:val="20"/>
        </w:rPr>
        <w:t>.</w:t>
      </w:r>
      <w:r w:rsidR="00001DE6">
        <w:rPr>
          <w:i/>
          <w:iCs/>
          <w:sz w:val="20"/>
          <w:szCs w:val="20"/>
        </w:rPr>
        <w:t>,</w:t>
      </w:r>
      <w:r w:rsidR="00001DE6">
        <w:rPr>
          <w:sz w:val="20"/>
          <w:szCs w:val="20"/>
        </w:rPr>
        <w:t xml:space="preserve"> </w:t>
      </w:r>
      <w:r>
        <w:rPr>
          <w:sz w:val="20"/>
          <w:szCs w:val="20"/>
        </w:rPr>
        <w:t>pg</w:t>
      </w:r>
      <w:r w:rsidR="00D27F84">
        <w:rPr>
          <w:sz w:val="20"/>
          <w:szCs w:val="20"/>
        </w:rPr>
        <w:t>.</w:t>
      </w:r>
      <w:r>
        <w:rPr>
          <w:sz w:val="20"/>
          <w:szCs w:val="20"/>
        </w:rPr>
        <w:t xml:space="preserve"> 5.</w:t>
      </w:r>
    </w:p>
  </w:footnote>
  <w:footnote w:id="83">
    <w:p w14:paraId="0CEE352E" w14:textId="2995804A" w:rsidR="00A16F79" w:rsidRDefault="00A16F79">
      <w:pPr>
        <w:spacing w:line="240" w:lineRule="auto"/>
        <w:rPr>
          <w:sz w:val="20"/>
          <w:szCs w:val="20"/>
        </w:rPr>
      </w:pPr>
      <w:r>
        <w:rPr>
          <w:vertAlign w:val="superscript"/>
        </w:rPr>
        <w:footnoteRef/>
      </w:r>
      <w:r>
        <w:rPr>
          <w:sz w:val="20"/>
          <w:szCs w:val="20"/>
        </w:rPr>
        <w:t xml:space="preserve"> Herbert M. Cole and Chike Cyril Aniakor, </w:t>
      </w:r>
      <w:r>
        <w:rPr>
          <w:i/>
          <w:iCs/>
          <w:sz w:val="20"/>
          <w:szCs w:val="20"/>
        </w:rPr>
        <w:t>Igbo Art</w:t>
      </w:r>
      <w:r w:rsidR="00D27F84">
        <w:rPr>
          <w:i/>
          <w:iCs/>
          <w:sz w:val="20"/>
          <w:szCs w:val="20"/>
        </w:rPr>
        <w:t>s</w:t>
      </w:r>
      <w:r>
        <w:rPr>
          <w:i/>
          <w:iCs/>
          <w:sz w:val="20"/>
          <w:szCs w:val="20"/>
        </w:rPr>
        <w:t>: Community and Cosmos</w:t>
      </w:r>
      <w:r>
        <w:rPr>
          <w:sz w:val="20"/>
          <w:szCs w:val="20"/>
        </w:rPr>
        <w:t xml:space="preserve"> (Los Angeles: Museum of Cultural History, University of California, 1984). Pg 14.</w:t>
      </w:r>
    </w:p>
  </w:footnote>
  <w:footnote w:id="84">
    <w:p w14:paraId="297AD405" w14:textId="0BD39968" w:rsidR="00A16F79" w:rsidRDefault="00A16F79">
      <w:pPr>
        <w:spacing w:line="240" w:lineRule="auto"/>
        <w:rPr>
          <w:sz w:val="20"/>
          <w:szCs w:val="20"/>
        </w:rPr>
      </w:pPr>
      <w:r>
        <w:rPr>
          <w:vertAlign w:val="superscript"/>
        </w:rPr>
        <w:footnoteRef/>
      </w:r>
      <w:r>
        <w:rPr>
          <w:sz w:val="20"/>
          <w:szCs w:val="20"/>
        </w:rPr>
        <w:t xml:space="preserve"> </w:t>
      </w:r>
      <w:r w:rsidR="00001DE6" w:rsidRPr="00C369E2">
        <w:rPr>
          <w:i/>
          <w:iCs/>
          <w:sz w:val="20"/>
          <w:szCs w:val="20"/>
        </w:rPr>
        <w:t>Ibid</w:t>
      </w:r>
      <w:r w:rsidR="00001DE6" w:rsidRPr="00C369E2">
        <w:rPr>
          <w:sz w:val="20"/>
          <w:szCs w:val="20"/>
        </w:rPr>
        <w:t>.</w:t>
      </w:r>
      <w:r w:rsidR="00001DE6">
        <w:rPr>
          <w:i/>
          <w:iCs/>
          <w:sz w:val="20"/>
          <w:szCs w:val="20"/>
        </w:rPr>
        <w:t>,</w:t>
      </w:r>
      <w:r w:rsidR="00D27F84">
        <w:rPr>
          <w:sz w:val="20"/>
          <w:szCs w:val="20"/>
        </w:rPr>
        <w:t>.</w:t>
      </w:r>
      <w:r>
        <w:rPr>
          <w:sz w:val="20"/>
          <w:szCs w:val="20"/>
        </w:rPr>
        <w:t xml:space="preserve"> 16.</w:t>
      </w:r>
    </w:p>
  </w:footnote>
  <w:footnote w:id="85">
    <w:p w14:paraId="68248108" w14:textId="77777777" w:rsidR="00A16F79" w:rsidRDefault="00A16F79">
      <w:pPr>
        <w:spacing w:line="240" w:lineRule="auto"/>
        <w:rPr>
          <w:sz w:val="20"/>
          <w:szCs w:val="20"/>
        </w:rPr>
      </w:pPr>
      <w:r>
        <w:rPr>
          <w:vertAlign w:val="superscript"/>
        </w:rPr>
        <w:footnoteRef/>
      </w:r>
      <w:r>
        <w:rPr>
          <w:sz w:val="20"/>
          <w:szCs w:val="20"/>
        </w:rPr>
        <w:t xml:space="preserve"> Bess Reed, 'Spirits Incarnate: Cultural Revitalization in a Nigerian Masquerade Festival', </w:t>
      </w:r>
      <w:r>
        <w:rPr>
          <w:i/>
          <w:iCs/>
          <w:sz w:val="20"/>
          <w:szCs w:val="20"/>
        </w:rPr>
        <w:t xml:space="preserve">African Arts, </w:t>
      </w:r>
      <w:r>
        <w:rPr>
          <w:sz w:val="20"/>
          <w:szCs w:val="20"/>
        </w:rPr>
        <w:t>38 (2005), 50–95</w:t>
      </w:r>
      <w:r>
        <w:rPr>
          <w:i/>
          <w:iCs/>
          <w:sz w:val="20"/>
          <w:szCs w:val="20"/>
        </w:rPr>
        <w:t>, in JSTOR</w:t>
      </w:r>
      <w:r>
        <w:rPr>
          <w:sz w:val="20"/>
          <w:szCs w:val="20"/>
        </w:rPr>
        <w:t xml:space="preserve"> &lt;http://www.jstor.org/stable/3338067&gt;. Pg 50.</w:t>
      </w:r>
    </w:p>
  </w:footnote>
  <w:footnote w:id="86">
    <w:p w14:paraId="5B76F91B" w14:textId="77777777" w:rsidR="00A16F79" w:rsidRDefault="00A16F79">
      <w:pPr>
        <w:rPr>
          <w:sz w:val="20"/>
          <w:szCs w:val="20"/>
        </w:rPr>
      </w:pPr>
      <w:r>
        <w:rPr>
          <w:vertAlign w:val="superscript"/>
        </w:rPr>
        <w:footnoteRef/>
      </w:r>
      <w:r>
        <w:rPr>
          <w:sz w:val="20"/>
          <w:szCs w:val="20"/>
        </w:rPr>
        <w:t xml:space="preserve"> Simon Ottenberg, </w:t>
      </w:r>
      <w:r>
        <w:rPr>
          <w:i/>
          <w:iCs/>
          <w:sz w:val="20"/>
          <w:szCs w:val="20"/>
        </w:rPr>
        <w:t>Masked Rituals of Afikpo, the Context of an African Art</w:t>
      </w:r>
      <w:r>
        <w:rPr>
          <w:sz w:val="20"/>
          <w:szCs w:val="20"/>
        </w:rPr>
        <w:t xml:space="preserve"> (Seattle: University of Washington Press, 1975)</w:t>
      </w:r>
      <w:r>
        <w:rPr>
          <w:i/>
          <w:iCs/>
          <w:sz w:val="20"/>
          <w:szCs w:val="20"/>
        </w:rPr>
        <w:t>, in Internet Archive</w:t>
      </w:r>
      <w:r>
        <w:rPr>
          <w:sz w:val="20"/>
          <w:szCs w:val="20"/>
        </w:rPr>
        <w:t>. Pg 11-12.</w:t>
      </w:r>
    </w:p>
  </w:footnote>
  <w:footnote w:id="87">
    <w:p w14:paraId="7E3F5B8B" w14:textId="77777777" w:rsidR="00A16F79" w:rsidRDefault="00A16F79">
      <w:pPr>
        <w:spacing w:line="240" w:lineRule="auto"/>
        <w:rPr>
          <w:sz w:val="20"/>
          <w:szCs w:val="20"/>
        </w:rPr>
      </w:pPr>
      <w:r>
        <w:rPr>
          <w:vertAlign w:val="superscript"/>
        </w:rPr>
        <w:footnoteRef/>
      </w:r>
      <w:r>
        <w:rPr>
          <w:sz w:val="20"/>
          <w:szCs w:val="20"/>
        </w:rPr>
        <w:t xml:space="preserve"> Austin C. Okigbo, ''Ahịajiọkụ' in Chicago: Festival, Music, and the Performance of Nigerian Igbo Identity in a North American City', </w:t>
      </w:r>
      <w:r>
        <w:rPr>
          <w:i/>
          <w:iCs/>
          <w:sz w:val="20"/>
          <w:szCs w:val="20"/>
        </w:rPr>
        <w:t xml:space="preserve">The World of Music, </w:t>
      </w:r>
      <w:r>
        <w:rPr>
          <w:sz w:val="20"/>
          <w:szCs w:val="20"/>
        </w:rPr>
        <w:t>4 (2015), 99–118</w:t>
      </w:r>
      <w:r>
        <w:rPr>
          <w:i/>
          <w:iCs/>
          <w:sz w:val="20"/>
          <w:szCs w:val="20"/>
        </w:rPr>
        <w:t>, in JSTOR</w:t>
      </w:r>
      <w:r>
        <w:rPr>
          <w:sz w:val="20"/>
          <w:szCs w:val="20"/>
        </w:rPr>
        <w:t xml:space="preserve"> &lt;http://www.jstor.org.ezproxy.uwtsd.ac.uk/stable/43774596&gt;. Pg 112.</w:t>
      </w:r>
    </w:p>
  </w:footnote>
  <w:footnote w:id="88">
    <w:p w14:paraId="5FA7E26C" w14:textId="77777777" w:rsidR="00A16F79" w:rsidRDefault="00A16F79">
      <w:pPr>
        <w:spacing w:line="240" w:lineRule="auto"/>
        <w:rPr>
          <w:sz w:val="20"/>
          <w:szCs w:val="20"/>
        </w:rPr>
      </w:pPr>
      <w:r>
        <w:rPr>
          <w:vertAlign w:val="superscript"/>
        </w:rPr>
        <w:footnoteRef/>
      </w:r>
      <w:r>
        <w:rPr>
          <w:sz w:val="20"/>
          <w:szCs w:val="20"/>
        </w:rPr>
        <w:t xml:space="preserve"> Glory N. Nnam, 'Beyond Ritual and Entertainment: Ethnography of Egwu Ogene in Enugu South East, Nigeria', </w:t>
      </w:r>
      <w:r>
        <w:rPr>
          <w:i/>
          <w:iCs/>
          <w:sz w:val="20"/>
          <w:szCs w:val="20"/>
        </w:rPr>
        <w:t xml:space="preserve">Journal of Nigerian Music Education, </w:t>
      </w:r>
      <w:r>
        <w:rPr>
          <w:sz w:val="20"/>
          <w:szCs w:val="20"/>
        </w:rPr>
        <w:t>13 (201), 190–215. Pg 201.</w:t>
      </w:r>
    </w:p>
  </w:footnote>
  <w:footnote w:id="89">
    <w:p w14:paraId="46A63E0C" w14:textId="65575006" w:rsidR="00A16F79" w:rsidRDefault="00A16F79">
      <w:pPr>
        <w:spacing w:line="240" w:lineRule="auto"/>
        <w:rPr>
          <w:sz w:val="20"/>
          <w:szCs w:val="20"/>
        </w:rPr>
      </w:pPr>
      <w:r>
        <w:rPr>
          <w:vertAlign w:val="superscript"/>
        </w:rPr>
        <w:footnoteRef/>
      </w:r>
      <w:r>
        <w:rPr>
          <w:sz w:val="20"/>
          <w:szCs w:val="20"/>
        </w:rPr>
        <w:t xml:space="preserve"> Okigbo, </w:t>
      </w:r>
      <w:r>
        <w:rPr>
          <w:i/>
          <w:iCs/>
          <w:sz w:val="20"/>
          <w:szCs w:val="20"/>
        </w:rPr>
        <w:t>Performance of Nigerian Igbo Identity,</w:t>
      </w:r>
      <w:r>
        <w:rPr>
          <w:sz w:val="20"/>
          <w:szCs w:val="20"/>
        </w:rPr>
        <w:t xml:space="preserve"> pg</w:t>
      </w:r>
      <w:r w:rsidR="009B10C8">
        <w:rPr>
          <w:sz w:val="20"/>
          <w:szCs w:val="20"/>
        </w:rPr>
        <w:t>.</w:t>
      </w:r>
      <w:r>
        <w:rPr>
          <w:sz w:val="20"/>
          <w:szCs w:val="20"/>
        </w:rPr>
        <w:t xml:space="preserve"> 105 &amp; 107.</w:t>
      </w:r>
    </w:p>
  </w:footnote>
  <w:footnote w:id="90">
    <w:p w14:paraId="72A73304" w14:textId="61A5F388" w:rsidR="00A16F79" w:rsidRDefault="00A16F79">
      <w:pPr>
        <w:spacing w:line="240" w:lineRule="auto"/>
        <w:rPr>
          <w:sz w:val="20"/>
          <w:szCs w:val="20"/>
        </w:rPr>
      </w:pPr>
      <w:r>
        <w:rPr>
          <w:vertAlign w:val="superscript"/>
        </w:rPr>
        <w:footnoteRef/>
      </w:r>
      <w:r>
        <w:rPr>
          <w:sz w:val="20"/>
          <w:szCs w:val="20"/>
        </w:rPr>
        <w:t xml:space="preserve"> Mueller, </w:t>
      </w:r>
      <w:r>
        <w:rPr>
          <w:i/>
          <w:iCs/>
          <w:sz w:val="20"/>
          <w:szCs w:val="20"/>
        </w:rPr>
        <w:t>Women and the Rab Cult</w:t>
      </w:r>
      <w:r>
        <w:rPr>
          <w:sz w:val="20"/>
          <w:szCs w:val="20"/>
        </w:rPr>
        <w:t>, pg</w:t>
      </w:r>
      <w:r w:rsidR="009B10C8">
        <w:rPr>
          <w:sz w:val="20"/>
          <w:szCs w:val="20"/>
        </w:rPr>
        <w:t>.</w:t>
      </w:r>
      <w:r>
        <w:rPr>
          <w:sz w:val="20"/>
          <w:szCs w:val="20"/>
        </w:rPr>
        <w:t xml:space="preserve"> 2-3.</w:t>
      </w:r>
    </w:p>
  </w:footnote>
  <w:footnote w:id="91">
    <w:p w14:paraId="135D066F" w14:textId="77777777" w:rsidR="00A16F79" w:rsidRDefault="00A16F79">
      <w:pPr>
        <w:spacing w:line="240" w:lineRule="auto"/>
        <w:rPr>
          <w:sz w:val="20"/>
          <w:szCs w:val="20"/>
        </w:rPr>
      </w:pPr>
      <w:r>
        <w:rPr>
          <w:vertAlign w:val="superscript"/>
        </w:rPr>
        <w:footnoteRef/>
      </w:r>
      <w:r>
        <w:rPr>
          <w:sz w:val="20"/>
          <w:szCs w:val="20"/>
        </w:rPr>
        <w:t xml:space="preserve"> Caitlin McKinley, 'Treating the Spirit: An Ethnographic Portrait of</w:t>
      </w:r>
      <w:r>
        <w:rPr>
          <w:sz w:val="20"/>
          <w:szCs w:val="20"/>
        </w:rPr>
        <w:br/>
        <w:t>Senegalese Animist Mental Health Practices and</w:t>
      </w:r>
      <w:r>
        <w:rPr>
          <w:sz w:val="20"/>
          <w:szCs w:val="20"/>
        </w:rPr>
        <w:br/>
        <w:t xml:space="preserve">Practitioners in Dakar and the Surrounding Area', </w:t>
      </w:r>
      <w:r>
        <w:rPr>
          <w:i/>
          <w:iCs/>
          <w:sz w:val="20"/>
          <w:szCs w:val="20"/>
        </w:rPr>
        <w:t xml:space="preserve">Independent Study Project (ISP) Collection, </w:t>
      </w:r>
      <w:r>
        <w:rPr>
          <w:sz w:val="20"/>
          <w:szCs w:val="20"/>
        </w:rPr>
        <w:t xml:space="preserve">(2012) &lt;https://digitalcollections.sit.edu/isp_collection/1403&gt;. Pg 8. </w:t>
      </w:r>
    </w:p>
  </w:footnote>
  <w:footnote w:id="92">
    <w:p w14:paraId="72CC8C0A" w14:textId="77777777" w:rsidR="00A16F79" w:rsidRDefault="00A16F79">
      <w:pPr>
        <w:spacing w:line="240" w:lineRule="auto"/>
        <w:rPr>
          <w:sz w:val="20"/>
          <w:szCs w:val="20"/>
        </w:rPr>
      </w:pPr>
      <w:r>
        <w:rPr>
          <w:vertAlign w:val="superscript"/>
        </w:rPr>
        <w:footnoteRef/>
      </w:r>
      <w:r>
        <w:rPr>
          <w:sz w:val="20"/>
          <w:szCs w:val="20"/>
        </w:rPr>
        <w:t xml:space="preserve"> Angelo Miramonti, 'Amina: Shaking Boundaries of a Woman Inhabited</w:t>
      </w:r>
      <w:r>
        <w:rPr>
          <w:sz w:val="20"/>
          <w:szCs w:val="20"/>
        </w:rPr>
        <w:br/>
        <w:t xml:space="preserve">by the Spirits (Senegal)', </w:t>
      </w:r>
      <w:r>
        <w:rPr>
          <w:i/>
          <w:iCs/>
          <w:sz w:val="20"/>
          <w:szCs w:val="20"/>
        </w:rPr>
        <w:t xml:space="preserve">Culture, Medicine, and Psychiatry, </w:t>
      </w:r>
      <w:r>
        <w:rPr>
          <w:sz w:val="20"/>
          <w:szCs w:val="20"/>
        </w:rPr>
        <w:t>49 (2025), 239–255 &lt;https://doi.org/10.1007/s11013-024-09879-z&gt;. Pg 246–247.</w:t>
      </w:r>
    </w:p>
  </w:footnote>
  <w:footnote w:id="93">
    <w:p w14:paraId="2C2552EC" w14:textId="47954BBD" w:rsidR="00A16F79" w:rsidRDefault="00A16F79">
      <w:pPr>
        <w:spacing w:line="240" w:lineRule="auto"/>
        <w:rPr>
          <w:sz w:val="20"/>
          <w:szCs w:val="20"/>
        </w:rPr>
      </w:pPr>
      <w:r>
        <w:rPr>
          <w:vertAlign w:val="superscript"/>
        </w:rPr>
        <w:footnoteRef/>
      </w:r>
      <w:r>
        <w:rPr>
          <w:sz w:val="20"/>
          <w:szCs w:val="20"/>
        </w:rPr>
        <w:t xml:space="preserve"> McKinley,</w:t>
      </w:r>
      <w:r w:rsidR="009B10C8">
        <w:rPr>
          <w:sz w:val="20"/>
          <w:szCs w:val="20"/>
        </w:rPr>
        <w:t xml:space="preserve"> </w:t>
      </w:r>
      <w:r>
        <w:rPr>
          <w:i/>
          <w:iCs/>
          <w:sz w:val="20"/>
          <w:szCs w:val="20"/>
        </w:rPr>
        <w:t>Treating the Spirit</w:t>
      </w:r>
      <w:r>
        <w:rPr>
          <w:sz w:val="20"/>
          <w:szCs w:val="20"/>
        </w:rPr>
        <w:t>, pg</w:t>
      </w:r>
      <w:r w:rsidR="009B10C8">
        <w:rPr>
          <w:sz w:val="20"/>
          <w:szCs w:val="20"/>
        </w:rPr>
        <w:t>.</w:t>
      </w:r>
      <w:r>
        <w:rPr>
          <w:sz w:val="20"/>
          <w:szCs w:val="20"/>
        </w:rPr>
        <w:t xml:space="preserve"> 8. </w:t>
      </w:r>
    </w:p>
  </w:footnote>
  <w:footnote w:id="94">
    <w:p w14:paraId="2EEAE1CE" w14:textId="0ADADCC7" w:rsidR="00A16F79" w:rsidRDefault="00A16F79">
      <w:pPr>
        <w:spacing w:line="240" w:lineRule="auto"/>
        <w:rPr>
          <w:sz w:val="20"/>
          <w:szCs w:val="20"/>
        </w:rPr>
      </w:pPr>
      <w:r>
        <w:rPr>
          <w:vertAlign w:val="superscript"/>
        </w:rPr>
        <w:footnoteRef/>
      </w:r>
      <w:r>
        <w:rPr>
          <w:sz w:val="20"/>
          <w:szCs w:val="20"/>
        </w:rPr>
        <w:t xml:space="preserve"> Miramonti, </w:t>
      </w:r>
      <w:r>
        <w:rPr>
          <w:i/>
          <w:iCs/>
          <w:sz w:val="20"/>
          <w:szCs w:val="20"/>
        </w:rPr>
        <w:t>Shaking Boundaries of a Woman Inhabited by the Spirits</w:t>
      </w:r>
      <w:r>
        <w:rPr>
          <w:sz w:val="20"/>
          <w:szCs w:val="20"/>
        </w:rPr>
        <w:t>, pg</w:t>
      </w:r>
      <w:r w:rsidR="009B10C8">
        <w:rPr>
          <w:sz w:val="20"/>
          <w:szCs w:val="20"/>
        </w:rPr>
        <w:t>.</w:t>
      </w:r>
      <w:r>
        <w:rPr>
          <w:sz w:val="20"/>
          <w:szCs w:val="20"/>
        </w:rPr>
        <w:t xml:space="preserve"> 242-4. </w:t>
      </w:r>
    </w:p>
  </w:footnote>
  <w:footnote w:id="95">
    <w:p w14:paraId="03E56CEA" w14:textId="45877876" w:rsidR="00A16F79" w:rsidRDefault="00A16F79">
      <w:pPr>
        <w:spacing w:line="240" w:lineRule="auto"/>
        <w:rPr>
          <w:sz w:val="20"/>
          <w:szCs w:val="20"/>
        </w:rPr>
      </w:pPr>
      <w:r>
        <w:rPr>
          <w:vertAlign w:val="superscript"/>
        </w:rPr>
        <w:footnoteRef/>
      </w:r>
      <w:r>
        <w:rPr>
          <w:sz w:val="20"/>
          <w:szCs w:val="20"/>
        </w:rPr>
        <w:t xml:space="preserve"> Mueller, </w:t>
      </w:r>
      <w:r>
        <w:rPr>
          <w:i/>
          <w:iCs/>
          <w:sz w:val="20"/>
          <w:szCs w:val="20"/>
        </w:rPr>
        <w:t>Women and the Rab Cult,</w:t>
      </w:r>
      <w:r>
        <w:rPr>
          <w:sz w:val="20"/>
          <w:szCs w:val="20"/>
        </w:rPr>
        <w:t xml:space="preserve"> pg</w:t>
      </w:r>
      <w:r w:rsidR="009B10C8">
        <w:rPr>
          <w:sz w:val="20"/>
          <w:szCs w:val="20"/>
        </w:rPr>
        <w:t>.</w:t>
      </w:r>
      <w:r>
        <w:rPr>
          <w:sz w:val="20"/>
          <w:szCs w:val="20"/>
        </w:rPr>
        <w:t xml:space="preserve"> 1. </w:t>
      </w:r>
    </w:p>
  </w:footnote>
  <w:footnote w:id="96">
    <w:p w14:paraId="138FEEA7" w14:textId="77777777" w:rsidR="00A16F79" w:rsidRDefault="00A16F79">
      <w:pPr>
        <w:spacing w:line="240" w:lineRule="auto"/>
        <w:rPr>
          <w:sz w:val="20"/>
          <w:szCs w:val="20"/>
        </w:rPr>
      </w:pPr>
      <w:r>
        <w:rPr>
          <w:vertAlign w:val="superscript"/>
        </w:rPr>
        <w:footnoteRef/>
      </w:r>
      <w:r>
        <w:rPr>
          <w:sz w:val="20"/>
          <w:szCs w:val="20"/>
        </w:rPr>
        <w:t xml:space="preserve"> Robert Farris Thompson, 'Face of the Gods: The Artists and their Altars', </w:t>
      </w:r>
      <w:r>
        <w:rPr>
          <w:i/>
          <w:iCs/>
          <w:sz w:val="20"/>
          <w:szCs w:val="20"/>
        </w:rPr>
        <w:t xml:space="preserve">African Arts, </w:t>
      </w:r>
      <w:r>
        <w:rPr>
          <w:sz w:val="20"/>
          <w:szCs w:val="20"/>
        </w:rPr>
        <w:t>28 (1995), 50–61</w:t>
      </w:r>
      <w:r>
        <w:rPr>
          <w:i/>
          <w:iCs/>
          <w:sz w:val="20"/>
          <w:szCs w:val="20"/>
        </w:rPr>
        <w:t>, in JSTOR</w:t>
      </w:r>
      <w:r>
        <w:rPr>
          <w:sz w:val="20"/>
          <w:szCs w:val="20"/>
        </w:rPr>
        <w:t xml:space="preserve"> &lt;http://www.jstor.org/stable/3337250&gt;. Pg 57. </w:t>
      </w:r>
    </w:p>
  </w:footnote>
  <w:footnote w:id="97">
    <w:p w14:paraId="13C34580" w14:textId="0A8302E0" w:rsidR="00A16F79" w:rsidRDefault="00A16F79">
      <w:pPr>
        <w:spacing w:line="240" w:lineRule="auto"/>
        <w:rPr>
          <w:sz w:val="20"/>
          <w:szCs w:val="20"/>
        </w:rPr>
      </w:pPr>
      <w:r>
        <w:rPr>
          <w:vertAlign w:val="superscript"/>
        </w:rPr>
        <w:footnoteRef/>
      </w:r>
      <w:r>
        <w:rPr>
          <w:sz w:val="20"/>
          <w:szCs w:val="20"/>
        </w:rPr>
        <w:t xml:space="preserve"> Benjamin C. Ray, </w:t>
      </w:r>
      <w:r>
        <w:rPr>
          <w:i/>
          <w:iCs/>
          <w:sz w:val="20"/>
          <w:szCs w:val="20"/>
        </w:rPr>
        <w:t xml:space="preserve">African </w:t>
      </w:r>
      <w:r w:rsidR="009B10C8">
        <w:rPr>
          <w:i/>
          <w:iCs/>
          <w:sz w:val="20"/>
          <w:szCs w:val="20"/>
        </w:rPr>
        <w:t>Religions:</w:t>
      </w:r>
      <w:r>
        <w:rPr>
          <w:i/>
          <w:iCs/>
          <w:sz w:val="20"/>
          <w:szCs w:val="20"/>
        </w:rPr>
        <w:t xml:space="preserve"> Symbol, Ritual, and Community</w:t>
      </w:r>
      <w:r>
        <w:rPr>
          <w:sz w:val="20"/>
          <w:szCs w:val="20"/>
        </w:rPr>
        <w:t xml:space="preserve"> (New Jersey: Prentice Hall, 1999)</w:t>
      </w:r>
      <w:r>
        <w:rPr>
          <w:i/>
          <w:iCs/>
          <w:sz w:val="20"/>
          <w:szCs w:val="20"/>
        </w:rPr>
        <w:t>, in Internet Archive</w:t>
      </w:r>
      <w:r>
        <w:rPr>
          <w:sz w:val="20"/>
          <w:szCs w:val="20"/>
        </w:rPr>
        <w:t>. Pg 124.</w:t>
      </w:r>
    </w:p>
  </w:footnote>
  <w:footnote w:id="98">
    <w:p w14:paraId="454E0841" w14:textId="77777777" w:rsidR="00A16F79" w:rsidRDefault="00A16F79">
      <w:pPr>
        <w:spacing w:line="240" w:lineRule="auto"/>
        <w:rPr>
          <w:sz w:val="20"/>
          <w:szCs w:val="20"/>
        </w:rPr>
      </w:pPr>
      <w:r>
        <w:rPr>
          <w:vertAlign w:val="superscript"/>
        </w:rPr>
        <w:footnoteRef/>
      </w:r>
      <w:r>
        <w:rPr>
          <w:sz w:val="20"/>
          <w:szCs w:val="20"/>
        </w:rPr>
        <w:t xml:space="preserve"> Wyatt MacGaffey, </w:t>
      </w:r>
      <w:r>
        <w:rPr>
          <w:i/>
          <w:iCs/>
          <w:sz w:val="20"/>
          <w:szCs w:val="20"/>
        </w:rPr>
        <w:t>An Anthology of Kongo Religion: Primary Texts from Lower Zaïre</w:t>
      </w:r>
      <w:r>
        <w:rPr>
          <w:sz w:val="20"/>
          <w:szCs w:val="20"/>
        </w:rPr>
        <w:t xml:space="preserve"> (University of Chicago press, 1986)</w:t>
      </w:r>
      <w:r>
        <w:rPr>
          <w:i/>
          <w:iCs/>
          <w:sz w:val="20"/>
          <w:szCs w:val="20"/>
        </w:rPr>
        <w:t>, in Internet Archive</w:t>
      </w:r>
      <w:r>
        <w:rPr>
          <w:sz w:val="20"/>
          <w:szCs w:val="20"/>
        </w:rPr>
        <w:t xml:space="preserve"> &lt;https://archive.org/details/religionsocietyi0000macg&gt;. Pg 197.</w:t>
      </w:r>
    </w:p>
  </w:footnote>
  <w:footnote w:id="99">
    <w:p w14:paraId="5D9F8DC3" w14:textId="39FBA73A" w:rsidR="00A16F79" w:rsidRDefault="00A16F79">
      <w:pPr>
        <w:spacing w:line="240" w:lineRule="auto"/>
        <w:rPr>
          <w:sz w:val="20"/>
          <w:szCs w:val="20"/>
        </w:rPr>
      </w:pPr>
      <w:r>
        <w:rPr>
          <w:vertAlign w:val="superscript"/>
        </w:rPr>
        <w:footnoteRef/>
      </w:r>
      <w:r>
        <w:rPr>
          <w:sz w:val="20"/>
          <w:szCs w:val="20"/>
        </w:rPr>
        <w:t xml:space="preserve"> Thompson, </w:t>
      </w:r>
      <w:r>
        <w:rPr>
          <w:i/>
          <w:iCs/>
          <w:sz w:val="20"/>
          <w:szCs w:val="20"/>
        </w:rPr>
        <w:t xml:space="preserve">Face of the Gods, </w:t>
      </w:r>
      <w:r>
        <w:rPr>
          <w:sz w:val="20"/>
          <w:szCs w:val="20"/>
        </w:rPr>
        <w:t>pg</w:t>
      </w:r>
      <w:r w:rsidR="009B10C8">
        <w:rPr>
          <w:sz w:val="20"/>
          <w:szCs w:val="20"/>
        </w:rPr>
        <w:t>.</w:t>
      </w:r>
      <w:r>
        <w:rPr>
          <w:sz w:val="20"/>
          <w:szCs w:val="20"/>
        </w:rPr>
        <w:t xml:space="preserve"> 57.</w:t>
      </w:r>
    </w:p>
  </w:footnote>
  <w:footnote w:id="100">
    <w:p w14:paraId="4D0E5E1C" w14:textId="0A41ABB7" w:rsidR="00A16F79" w:rsidRDefault="00A16F79">
      <w:pPr>
        <w:spacing w:line="240" w:lineRule="auto"/>
        <w:rPr>
          <w:sz w:val="20"/>
          <w:szCs w:val="20"/>
        </w:rPr>
      </w:pPr>
      <w:r>
        <w:rPr>
          <w:vertAlign w:val="superscript"/>
        </w:rPr>
        <w:footnoteRef/>
      </w:r>
      <w:r>
        <w:rPr>
          <w:sz w:val="20"/>
          <w:szCs w:val="20"/>
        </w:rPr>
        <w:t xml:space="preserve"> Robert Farris Thompson, </w:t>
      </w:r>
      <w:r>
        <w:rPr>
          <w:i/>
          <w:iCs/>
          <w:sz w:val="20"/>
          <w:szCs w:val="20"/>
        </w:rPr>
        <w:t>Flash of the Spirit: African and Afro-American Art and Philosophy</w:t>
      </w:r>
      <w:r>
        <w:rPr>
          <w:sz w:val="20"/>
          <w:szCs w:val="20"/>
        </w:rPr>
        <w:t xml:space="preserve"> (Vintage Books, 1984). </w:t>
      </w:r>
      <w:r w:rsidR="009B10C8">
        <w:rPr>
          <w:sz w:val="20"/>
          <w:szCs w:val="20"/>
        </w:rPr>
        <w:t>P</w:t>
      </w:r>
      <w:r>
        <w:rPr>
          <w:sz w:val="20"/>
          <w:szCs w:val="20"/>
        </w:rPr>
        <w:t>g</w:t>
      </w:r>
      <w:r w:rsidR="009B10C8">
        <w:rPr>
          <w:sz w:val="20"/>
          <w:szCs w:val="20"/>
        </w:rPr>
        <w:t>.</w:t>
      </w:r>
      <w:r>
        <w:rPr>
          <w:sz w:val="20"/>
          <w:szCs w:val="20"/>
        </w:rPr>
        <w:t xml:space="preserve"> 124.</w:t>
      </w:r>
    </w:p>
  </w:footnote>
  <w:footnote w:id="101">
    <w:p w14:paraId="3B3D4412" w14:textId="74431A5B" w:rsidR="00A16F79" w:rsidRDefault="00A16F79">
      <w:pPr>
        <w:spacing w:line="240" w:lineRule="auto"/>
        <w:rPr>
          <w:sz w:val="20"/>
          <w:szCs w:val="20"/>
        </w:rPr>
      </w:pPr>
      <w:r>
        <w:rPr>
          <w:vertAlign w:val="superscript"/>
        </w:rPr>
        <w:footnoteRef/>
      </w:r>
      <w:r>
        <w:rPr>
          <w:sz w:val="20"/>
          <w:szCs w:val="20"/>
        </w:rPr>
        <w:t xml:space="preserve"> DeCosmo, </w:t>
      </w:r>
      <w:r>
        <w:rPr>
          <w:i/>
          <w:iCs/>
          <w:sz w:val="20"/>
          <w:szCs w:val="20"/>
        </w:rPr>
        <w:t>The African Cultural Connection</w:t>
      </w:r>
      <w:r>
        <w:rPr>
          <w:sz w:val="20"/>
          <w:szCs w:val="20"/>
        </w:rPr>
        <w:t>, pg</w:t>
      </w:r>
      <w:r w:rsidR="009B10C8">
        <w:rPr>
          <w:sz w:val="20"/>
          <w:szCs w:val="20"/>
        </w:rPr>
        <w:t>.</w:t>
      </w:r>
      <w:r>
        <w:rPr>
          <w:sz w:val="20"/>
          <w:szCs w:val="20"/>
        </w:rPr>
        <w:t xml:space="preserve"> 248.</w:t>
      </w:r>
    </w:p>
  </w:footnote>
  <w:footnote w:id="102">
    <w:p w14:paraId="03A352BF" w14:textId="77777777" w:rsidR="00D83F91" w:rsidRDefault="00D83F91" w:rsidP="00D83F91">
      <w:pPr>
        <w:spacing w:line="240" w:lineRule="auto"/>
        <w:rPr>
          <w:sz w:val="20"/>
          <w:szCs w:val="20"/>
        </w:rPr>
      </w:pPr>
      <w:r>
        <w:rPr>
          <w:vertAlign w:val="superscript"/>
        </w:rPr>
        <w:footnoteRef/>
      </w:r>
      <w:r>
        <w:rPr>
          <w:sz w:val="20"/>
          <w:szCs w:val="20"/>
        </w:rPr>
        <w:t xml:space="preserve"> Ressa Mackey, '"All that Glitters is Not Junkanoo": The National Junkanoo Museum and the Politics of Tourism and Identity.' (Master of Arts, Florida State University, 2009) [accessed December 8th, 2025]. Pg 3. </w:t>
      </w:r>
    </w:p>
  </w:footnote>
  <w:footnote w:id="103">
    <w:p w14:paraId="3653B7E1" w14:textId="6E9B89F0" w:rsidR="00A16F79" w:rsidRDefault="00A16F79">
      <w:pPr>
        <w:spacing w:line="240" w:lineRule="auto"/>
        <w:rPr>
          <w:sz w:val="20"/>
          <w:szCs w:val="20"/>
        </w:rPr>
      </w:pPr>
      <w:r>
        <w:rPr>
          <w:vertAlign w:val="superscript"/>
        </w:rPr>
        <w:footnoteRef/>
      </w:r>
      <w:r>
        <w:rPr>
          <w:sz w:val="20"/>
          <w:szCs w:val="20"/>
        </w:rPr>
        <w:t xml:space="preserve"> Bilby, </w:t>
      </w:r>
      <w:r w:rsidR="009B10C8">
        <w:rPr>
          <w:i/>
          <w:iCs/>
          <w:sz w:val="20"/>
          <w:szCs w:val="20"/>
        </w:rPr>
        <w:t>Surviving</w:t>
      </w:r>
      <w:r>
        <w:rPr>
          <w:i/>
          <w:iCs/>
          <w:sz w:val="20"/>
          <w:szCs w:val="20"/>
        </w:rPr>
        <w:t xml:space="preserve"> Secularization</w:t>
      </w:r>
      <w:r>
        <w:rPr>
          <w:sz w:val="20"/>
          <w:szCs w:val="20"/>
        </w:rPr>
        <w:t xml:space="preserve"> Pg 182. </w:t>
      </w:r>
    </w:p>
  </w:footnote>
  <w:footnote w:id="104">
    <w:p w14:paraId="44C20E87" w14:textId="3BA59DE5" w:rsidR="00A16F79" w:rsidRDefault="00A16F79">
      <w:pPr>
        <w:spacing w:line="240" w:lineRule="auto"/>
        <w:rPr>
          <w:sz w:val="20"/>
          <w:szCs w:val="20"/>
        </w:rPr>
      </w:pPr>
      <w:r>
        <w:rPr>
          <w:vertAlign w:val="superscript"/>
        </w:rPr>
        <w:footnoteRef/>
      </w:r>
      <w:r>
        <w:rPr>
          <w:sz w:val="20"/>
          <w:szCs w:val="20"/>
        </w:rPr>
        <w:t xml:space="preserve"> Etienne E. Bowleg, 'Liturgical Implications of Junkanoo', in </w:t>
      </w:r>
      <w:r>
        <w:rPr>
          <w:i/>
          <w:iCs/>
          <w:sz w:val="20"/>
          <w:szCs w:val="20"/>
        </w:rPr>
        <w:t>Junkanoo and Religio</w:t>
      </w:r>
      <w:r w:rsidR="009B10C8">
        <w:rPr>
          <w:i/>
          <w:iCs/>
          <w:sz w:val="20"/>
          <w:szCs w:val="20"/>
        </w:rPr>
        <w:t>n</w:t>
      </w:r>
      <w:r>
        <w:rPr>
          <w:i/>
          <w:iCs/>
          <w:sz w:val="20"/>
          <w:szCs w:val="20"/>
        </w:rPr>
        <w:t>: Christianity and Cultural Identity in the Bahama : Papers Presented at the Junkanoo Symposium, March 2002</w:t>
      </w:r>
      <w:r>
        <w:rPr>
          <w:sz w:val="20"/>
          <w:szCs w:val="20"/>
        </w:rPr>
        <w:t xml:space="preserve">, ed. by Jessica Minnis (Media Enterprises Ltd, 2003), pp. 89–95 &lt;https://archive.org/details/junkanooreligion0000junk&gt;. </w:t>
      </w:r>
      <w:r w:rsidR="009B10C8">
        <w:rPr>
          <w:sz w:val="20"/>
          <w:szCs w:val="20"/>
        </w:rPr>
        <w:t>P</w:t>
      </w:r>
      <w:r>
        <w:rPr>
          <w:sz w:val="20"/>
          <w:szCs w:val="20"/>
        </w:rPr>
        <w:t>g</w:t>
      </w:r>
      <w:r w:rsidR="009B10C8">
        <w:rPr>
          <w:sz w:val="20"/>
          <w:szCs w:val="20"/>
        </w:rPr>
        <w:t>.</w:t>
      </w:r>
      <w:r>
        <w:rPr>
          <w:sz w:val="20"/>
          <w:szCs w:val="20"/>
        </w:rPr>
        <w:t xml:space="preserve"> 93. </w:t>
      </w:r>
    </w:p>
  </w:footnote>
  <w:footnote w:id="105">
    <w:p w14:paraId="63B41813" w14:textId="77777777" w:rsidR="00A16F79" w:rsidRDefault="00A16F79">
      <w:pPr>
        <w:spacing w:line="240" w:lineRule="auto"/>
        <w:rPr>
          <w:sz w:val="20"/>
          <w:szCs w:val="20"/>
        </w:rPr>
      </w:pPr>
      <w:r>
        <w:rPr>
          <w:vertAlign w:val="superscript"/>
        </w:rPr>
        <w:footnoteRef/>
      </w:r>
      <w:r>
        <w:rPr>
          <w:sz w:val="20"/>
          <w:szCs w:val="20"/>
        </w:rPr>
        <w:t xml:space="preserve"> Arlene Nash Ferguson, </w:t>
      </w:r>
      <w:r>
        <w:rPr>
          <w:i/>
          <w:iCs/>
          <w:sz w:val="20"/>
          <w:szCs w:val="20"/>
        </w:rPr>
        <w:t>I Come to Get Me! : An Inside Look at the Junkanoo Festival</w:t>
      </w:r>
      <w:r>
        <w:rPr>
          <w:sz w:val="20"/>
          <w:szCs w:val="20"/>
        </w:rPr>
        <w:t xml:space="preserve"> (Nassau, Bahamas.: Doongalik Studios, 2000). Pg 2. </w:t>
      </w:r>
    </w:p>
  </w:footnote>
  <w:footnote w:id="106">
    <w:p w14:paraId="0F0C723D" w14:textId="7FEB5F28" w:rsidR="00A16F79" w:rsidRDefault="00A16F79">
      <w:pPr>
        <w:spacing w:line="240" w:lineRule="auto"/>
        <w:rPr>
          <w:sz w:val="20"/>
          <w:szCs w:val="20"/>
        </w:rPr>
      </w:pPr>
      <w:r>
        <w:rPr>
          <w:vertAlign w:val="superscript"/>
        </w:rPr>
        <w:footnoteRef/>
      </w:r>
      <w:r>
        <w:rPr>
          <w:sz w:val="20"/>
          <w:szCs w:val="20"/>
        </w:rPr>
        <w:t xml:space="preserve"> Bilby, </w:t>
      </w:r>
      <w:r w:rsidR="009B10C8">
        <w:rPr>
          <w:i/>
          <w:iCs/>
          <w:sz w:val="20"/>
          <w:szCs w:val="20"/>
        </w:rPr>
        <w:t>Surviving</w:t>
      </w:r>
      <w:r>
        <w:rPr>
          <w:i/>
          <w:iCs/>
          <w:sz w:val="20"/>
          <w:szCs w:val="20"/>
        </w:rPr>
        <w:t xml:space="preserve"> Secularization</w:t>
      </w:r>
      <w:r>
        <w:rPr>
          <w:sz w:val="20"/>
          <w:szCs w:val="20"/>
        </w:rPr>
        <w:t xml:space="preserve"> pg</w:t>
      </w:r>
      <w:r w:rsidR="009B10C8">
        <w:rPr>
          <w:sz w:val="20"/>
          <w:szCs w:val="20"/>
        </w:rPr>
        <w:t>.</w:t>
      </w:r>
      <w:r>
        <w:rPr>
          <w:sz w:val="20"/>
          <w:szCs w:val="20"/>
        </w:rPr>
        <w:t xml:space="preserve"> 184</w:t>
      </w:r>
      <w:r w:rsidR="009B10C8">
        <w:rPr>
          <w:sz w:val="20"/>
          <w:szCs w:val="20"/>
        </w:rPr>
        <w:t>.</w:t>
      </w:r>
    </w:p>
  </w:footnote>
  <w:footnote w:id="107">
    <w:p w14:paraId="6B873FC3" w14:textId="5695B2F0" w:rsidR="00A16F79" w:rsidRDefault="00A16F79">
      <w:pPr>
        <w:spacing w:line="240" w:lineRule="auto"/>
        <w:rPr>
          <w:sz w:val="20"/>
          <w:szCs w:val="20"/>
        </w:rPr>
      </w:pPr>
      <w:r>
        <w:rPr>
          <w:vertAlign w:val="superscript"/>
        </w:rPr>
        <w:footnoteRef/>
      </w:r>
      <w:r>
        <w:rPr>
          <w:sz w:val="20"/>
          <w:szCs w:val="20"/>
        </w:rPr>
        <w:t xml:space="preserve"> </w:t>
      </w:r>
      <w:r w:rsidR="0058668D" w:rsidRPr="00C369E2">
        <w:rPr>
          <w:i/>
          <w:iCs/>
          <w:sz w:val="20"/>
          <w:szCs w:val="20"/>
        </w:rPr>
        <w:t>Ibid</w:t>
      </w:r>
      <w:r w:rsidR="0058668D" w:rsidRPr="00C369E2">
        <w:rPr>
          <w:sz w:val="20"/>
          <w:szCs w:val="20"/>
        </w:rPr>
        <w:t>.</w:t>
      </w:r>
      <w:r w:rsidR="0058668D">
        <w:rPr>
          <w:i/>
          <w:iCs/>
          <w:sz w:val="20"/>
          <w:szCs w:val="20"/>
        </w:rPr>
        <w:t>,</w:t>
      </w:r>
      <w:r w:rsidR="0058668D">
        <w:rPr>
          <w:sz w:val="20"/>
          <w:szCs w:val="20"/>
        </w:rPr>
        <w:t xml:space="preserve"> </w:t>
      </w:r>
      <w:r>
        <w:rPr>
          <w:sz w:val="20"/>
          <w:szCs w:val="20"/>
        </w:rPr>
        <w:t>184</w:t>
      </w:r>
      <w:r w:rsidR="009B10C8">
        <w:rPr>
          <w:sz w:val="20"/>
          <w:szCs w:val="20"/>
        </w:rPr>
        <w:t>.</w:t>
      </w:r>
    </w:p>
  </w:footnote>
  <w:footnote w:id="108">
    <w:p w14:paraId="3EA5FF1F" w14:textId="0683560A" w:rsidR="00A16F79" w:rsidRDefault="00A16F79">
      <w:pPr>
        <w:spacing w:line="240" w:lineRule="auto"/>
        <w:rPr>
          <w:sz w:val="20"/>
          <w:szCs w:val="20"/>
        </w:rPr>
      </w:pPr>
      <w:r>
        <w:rPr>
          <w:vertAlign w:val="superscript"/>
        </w:rPr>
        <w:footnoteRef/>
      </w:r>
      <w:r>
        <w:rPr>
          <w:sz w:val="20"/>
          <w:szCs w:val="20"/>
        </w:rPr>
        <w:t xml:space="preserve"> </w:t>
      </w:r>
      <w:r w:rsidR="0058668D" w:rsidRPr="00C369E2">
        <w:rPr>
          <w:i/>
          <w:iCs/>
          <w:sz w:val="20"/>
          <w:szCs w:val="20"/>
        </w:rPr>
        <w:t>Ibid</w:t>
      </w:r>
      <w:r w:rsidR="0058668D" w:rsidRPr="00C369E2">
        <w:rPr>
          <w:sz w:val="20"/>
          <w:szCs w:val="20"/>
        </w:rPr>
        <w:t>.</w:t>
      </w:r>
      <w:r w:rsidR="0058668D">
        <w:rPr>
          <w:i/>
          <w:iCs/>
          <w:sz w:val="20"/>
          <w:szCs w:val="20"/>
        </w:rPr>
        <w:t>,</w:t>
      </w:r>
      <w:r w:rsidR="0058668D">
        <w:rPr>
          <w:sz w:val="20"/>
          <w:szCs w:val="20"/>
        </w:rPr>
        <w:t xml:space="preserve"> </w:t>
      </w:r>
      <w:r>
        <w:rPr>
          <w:sz w:val="20"/>
          <w:szCs w:val="20"/>
        </w:rPr>
        <w:t>pg</w:t>
      </w:r>
      <w:r w:rsidR="009B10C8">
        <w:rPr>
          <w:sz w:val="20"/>
          <w:szCs w:val="20"/>
        </w:rPr>
        <w:t>.</w:t>
      </w:r>
      <w:r>
        <w:rPr>
          <w:sz w:val="20"/>
          <w:szCs w:val="20"/>
        </w:rPr>
        <w:t xml:space="preserve"> 185. </w:t>
      </w:r>
    </w:p>
  </w:footnote>
  <w:footnote w:id="109">
    <w:p w14:paraId="013915AB" w14:textId="75C1DE5A" w:rsidR="00A16F79" w:rsidRDefault="00A16F79">
      <w:pPr>
        <w:spacing w:line="240" w:lineRule="auto"/>
        <w:rPr>
          <w:sz w:val="20"/>
          <w:szCs w:val="20"/>
        </w:rPr>
      </w:pPr>
      <w:r>
        <w:rPr>
          <w:vertAlign w:val="superscript"/>
        </w:rPr>
        <w:footnoteRef/>
      </w:r>
      <w:r>
        <w:rPr>
          <w:sz w:val="20"/>
          <w:szCs w:val="20"/>
        </w:rPr>
        <w:t xml:space="preserve"> </w:t>
      </w:r>
      <w:r w:rsidR="0058668D" w:rsidRPr="00C369E2">
        <w:rPr>
          <w:i/>
          <w:iCs/>
          <w:sz w:val="20"/>
          <w:szCs w:val="20"/>
        </w:rPr>
        <w:t>Ibid</w:t>
      </w:r>
      <w:r w:rsidR="0058668D" w:rsidRPr="00C369E2">
        <w:rPr>
          <w:sz w:val="20"/>
          <w:szCs w:val="20"/>
        </w:rPr>
        <w:t>.</w:t>
      </w:r>
      <w:r w:rsidR="0058668D">
        <w:rPr>
          <w:i/>
          <w:iCs/>
          <w:sz w:val="20"/>
          <w:szCs w:val="20"/>
        </w:rPr>
        <w:t>,</w:t>
      </w:r>
      <w:r w:rsidR="009B10C8">
        <w:rPr>
          <w:sz w:val="20"/>
          <w:szCs w:val="20"/>
        </w:rPr>
        <w:t>.</w:t>
      </w:r>
      <w:r>
        <w:rPr>
          <w:sz w:val="20"/>
          <w:szCs w:val="20"/>
        </w:rPr>
        <w:t xml:space="preserve">185. </w:t>
      </w:r>
    </w:p>
  </w:footnote>
  <w:footnote w:id="110">
    <w:p w14:paraId="0600E697" w14:textId="70E6F09A" w:rsidR="00A16F79" w:rsidRDefault="00A16F79">
      <w:pPr>
        <w:spacing w:line="240" w:lineRule="auto"/>
        <w:rPr>
          <w:sz w:val="20"/>
          <w:szCs w:val="20"/>
        </w:rPr>
      </w:pPr>
      <w:r>
        <w:rPr>
          <w:vertAlign w:val="superscript"/>
        </w:rPr>
        <w:footnoteRef/>
      </w:r>
      <w:r>
        <w:rPr>
          <w:sz w:val="20"/>
          <w:szCs w:val="20"/>
        </w:rPr>
        <w:t xml:space="preserve"> </w:t>
      </w:r>
      <w:r w:rsidR="0058668D" w:rsidRPr="00C369E2">
        <w:rPr>
          <w:i/>
          <w:iCs/>
          <w:sz w:val="20"/>
          <w:szCs w:val="20"/>
        </w:rPr>
        <w:t>Ibid</w:t>
      </w:r>
      <w:r w:rsidR="0058668D" w:rsidRPr="00C369E2">
        <w:rPr>
          <w:sz w:val="20"/>
          <w:szCs w:val="20"/>
        </w:rPr>
        <w:t>.</w:t>
      </w:r>
      <w:r w:rsidR="0058668D">
        <w:rPr>
          <w:i/>
          <w:iCs/>
          <w:sz w:val="20"/>
          <w:szCs w:val="20"/>
        </w:rPr>
        <w:t>,</w:t>
      </w:r>
      <w:r w:rsidR="0058668D">
        <w:rPr>
          <w:sz w:val="20"/>
          <w:szCs w:val="20"/>
        </w:rPr>
        <w:t xml:space="preserve"> </w:t>
      </w:r>
      <w:r>
        <w:rPr>
          <w:sz w:val="20"/>
          <w:szCs w:val="20"/>
        </w:rPr>
        <w:t>pg</w:t>
      </w:r>
      <w:r w:rsidR="009B10C8">
        <w:rPr>
          <w:sz w:val="20"/>
          <w:szCs w:val="20"/>
        </w:rPr>
        <w:t>.</w:t>
      </w:r>
      <w:r>
        <w:rPr>
          <w:sz w:val="20"/>
          <w:szCs w:val="20"/>
        </w:rPr>
        <w:t xml:space="preserve"> 193</w:t>
      </w:r>
      <w:r w:rsidR="009B10C8">
        <w:rPr>
          <w:sz w:val="20"/>
          <w:szCs w:val="20"/>
        </w:rPr>
        <w:t>.</w:t>
      </w:r>
    </w:p>
  </w:footnote>
  <w:footnote w:id="111">
    <w:p w14:paraId="6B9ADB70" w14:textId="77777777" w:rsidR="00A16F79" w:rsidRDefault="00A16F79">
      <w:pPr>
        <w:spacing w:line="240" w:lineRule="auto"/>
        <w:rPr>
          <w:sz w:val="20"/>
          <w:szCs w:val="20"/>
        </w:rPr>
      </w:pPr>
      <w:r>
        <w:rPr>
          <w:vertAlign w:val="superscript"/>
        </w:rPr>
        <w:footnoteRef/>
      </w:r>
      <w:r>
        <w:rPr>
          <w:sz w:val="20"/>
          <w:szCs w:val="20"/>
        </w:rPr>
        <w:t xml:space="preserve"> Afe Adogame, 'Cosmology', in </w:t>
      </w:r>
      <w:r>
        <w:rPr>
          <w:i/>
          <w:iCs/>
          <w:sz w:val="20"/>
          <w:szCs w:val="20"/>
        </w:rPr>
        <w:t>Enclyopedia of African Religion</w:t>
      </w:r>
      <w:r>
        <w:rPr>
          <w:sz w:val="20"/>
          <w:szCs w:val="20"/>
        </w:rPr>
        <w:t>, ed. by Molefi Kete Asante and Ama Mazama (United States: Sage Publications, 2009), pp. 178–181. Pg 178.</w:t>
      </w:r>
    </w:p>
  </w:footnote>
  <w:footnote w:id="112">
    <w:p w14:paraId="2EE13FF2" w14:textId="77777777" w:rsidR="00A16F79" w:rsidRDefault="00A16F79">
      <w:pPr>
        <w:spacing w:line="240" w:lineRule="auto"/>
        <w:rPr>
          <w:sz w:val="20"/>
          <w:szCs w:val="20"/>
        </w:rPr>
      </w:pPr>
      <w:r>
        <w:rPr>
          <w:vertAlign w:val="superscript"/>
        </w:rPr>
        <w:footnoteRef/>
      </w:r>
      <w:r>
        <w:rPr>
          <w:sz w:val="20"/>
          <w:szCs w:val="20"/>
        </w:rPr>
        <w:t>Melville J. Herskovits, The Myth of the Negro Past (New York and London: Harper &amp; Brothers Publishers, 1941). Pg 143.</w:t>
      </w:r>
    </w:p>
  </w:footnote>
  <w:footnote w:id="113">
    <w:p w14:paraId="125F02DB" w14:textId="25EB119A" w:rsidR="00A16F79" w:rsidRDefault="00A16F79">
      <w:pPr>
        <w:spacing w:line="240" w:lineRule="auto"/>
        <w:rPr>
          <w:sz w:val="20"/>
          <w:szCs w:val="20"/>
        </w:rPr>
      </w:pPr>
      <w:r>
        <w:rPr>
          <w:vertAlign w:val="superscript"/>
        </w:rPr>
        <w:footnoteRef/>
      </w:r>
      <w:r>
        <w:rPr>
          <w:sz w:val="20"/>
          <w:szCs w:val="20"/>
        </w:rPr>
        <w:t xml:space="preserve"> Abiodun,</w:t>
      </w:r>
      <w:r w:rsidR="009B10C8">
        <w:rPr>
          <w:sz w:val="20"/>
          <w:szCs w:val="20"/>
        </w:rPr>
        <w:t xml:space="preserve"> </w:t>
      </w:r>
      <w:r>
        <w:rPr>
          <w:i/>
          <w:iCs/>
          <w:sz w:val="20"/>
          <w:szCs w:val="20"/>
        </w:rPr>
        <w:t xml:space="preserve">Verbalizing and Visualizing, </w:t>
      </w:r>
      <w:r>
        <w:rPr>
          <w:sz w:val="20"/>
          <w:szCs w:val="20"/>
        </w:rPr>
        <w:t xml:space="preserve">Pg 311. </w:t>
      </w:r>
    </w:p>
  </w:footnote>
  <w:footnote w:id="114">
    <w:p w14:paraId="61FD3A2A" w14:textId="3BAD0AF5" w:rsidR="00A16F79" w:rsidRDefault="00A16F79">
      <w:pPr>
        <w:spacing w:line="240" w:lineRule="auto"/>
        <w:rPr>
          <w:sz w:val="20"/>
          <w:szCs w:val="20"/>
        </w:rPr>
      </w:pPr>
      <w:r>
        <w:rPr>
          <w:vertAlign w:val="superscript"/>
        </w:rPr>
        <w:footnoteRef/>
      </w:r>
      <w:r>
        <w:rPr>
          <w:sz w:val="20"/>
          <w:szCs w:val="20"/>
        </w:rPr>
        <w:t xml:space="preserve"> Patrick McNaughton, 'Agency in Artistry: Comments on ‘Art and the Individual in African Masquerades’', </w:t>
      </w:r>
      <w:r>
        <w:rPr>
          <w:i/>
          <w:iCs/>
          <w:sz w:val="20"/>
          <w:szCs w:val="20"/>
        </w:rPr>
        <w:t xml:space="preserve">Africa, </w:t>
      </w:r>
      <w:r>
        <w:rPr>
          <w:sz w:val="20"/>
          <w:szCs w:val="20"/>
        </w:rPr>
        <w:t>88 (2018), 824–839 &lt;doi:10.1017/S0001972018000487&gt;</w:t>
      </w:r>
      <w:r w:rsidR="00FA3048">
        <w:rPr>
          <w:sz w:val="20"/>
          <w:szCs w:val="20"/>
        </w:rPr>
        <w:t>,</w:t>
      </w:r>
      <w:r>
        <w:rPr>
          <w:sz w:val="20"/>
          <w:szCs w:val="20"/>
        </w:rPr>
        <w:t xml:space="preserve"> pg</w:t>
      </w:r>
      <w:r w:rsidR="009B10C8">
        <w:rPr>
          <w:sz w:val="20"/>
          <w:szCs w:val="20"/>
        </w:rPr>
        <w:t>.</w:t>
      </w:r>
      <w:r>
        <w:rPr>
          <w:sz w:val="20"/>
          <w:szCs w:val="20"/>
        </w:rPr>
        <w:t xml:space="preserve"> 825.</w:t>
      </w:r>
    </w:p>
  </w:footnote>
  <w:footnote w:id="115">
    <w:p w14:paraId="4AAD3659" w14:textId="77777777" w:rsidR="00A16F79" w:rsidRDefault="00A16F79">
      <w:pPr>
        <w:spacing w:line="240" w:lineRule="auto"/>
        <w:rPr>
          <w:sz w:val="20"/>
          <w:szCs w:val="20"/>
        </w:rPr>
      </w:pPr>
      <w:r>
        <w:rPr>
          <w:vertAlign w:val="superscript"/>
        </w:rPr>
        <w:footnoteRef/>
      </w:r>
      <w:r>
        <w:rPr>
          <w:sz w:val="20"/>
          <w:szCs w:val="20"/>
        </w:rPr>
        <w:t>Nicholas Campion, Astrology and Cosmology in the Worlds Religions (NYU Press, 2012), in JSTOR &lt;http://www.jstor.org/stable/j.ctt9qg5q5&gt;.pg 71.</w:t>
      </w:r>
    </w:p>
  </w:footnote>
  <w:footnote w:id="116">
    <w:p w14:paraId="720ACD0B" w14:textId="25A9B1EE" w:rsidR="00A16F79" w:rsidRDefault="00A16F79">
      <w:pPr>
        <w:spacing w:line="240" w:lineRule="auto"/>
        <w:rPr>
          <w:sz w:val="20"/>
          <w:szCs w:val="20"/>
        </w:rPr>
      </w:pPr>
      <w:r>
        <w:rPr>
          <w:vertAlign w:val="superscript"/>
        </w:rPr>
        <w:footnoteRef/>
      </w:r>
      <w:r>
        <w:rPr>
          <w:sz w:val="20"/>
          <w:szCs w:val="20"/>
        </w:rPr>
        <w:t xml:space="preserve"> Carlton Turner, </w:t>
      </w:r>
      <w:r>
        <w:rPr>
          <w:i/>
          <w:iCs/>
          <w:sz w:val="20"/>
          <w:szCs w:val="20"/>
        </w:rPr>
        <w:t>Overcoming Self-Negation: The Church and Junkanoo in Contemporary Bahamian Society</w:t>
      </w:r>
      <w:r>
        <w:rPr>
          <w:sz w:val="20"/>
          <w:szCs w:val="20"/>
        </w:rPr>
        <w:t xml:space="preserve"> (Eugene, Oregon: Pickwick Publications, 2020). </w:t>
      </w:r>
      <w:r w:rsidR="00FA3048">
        <w:rPr>
          <w:sz w:val="20"/>
          <w:szCs w:val="20"/>
        </w:rPr>
        <w:t>P</w:t>
      </w:r>
      <w:r>
        <w:rPr>
          <w:sz w:val="20"/>
          <w:szCs w:val="20"/>
        </w:rPr>
        <w:t>g</w:t>
      </w:r>
      <w:r w:rsidR="00FA3048">
        <w:rPr>
          <w:sz w:val="20"/>
          <w:szCs w:val="20"/>
        </w:rPr>
        <w:t>.</w:t>
      </w:r>
      <w:r>
        <w:rPr>
          <w:sz w:val="20"/>
          <w:szCs w:val="20"/>
        </w:rPr>
        <w:t xml:space="preserve"> 6. </w:t>
      </w:r>
    </w:p>
  </w:footnote>
  <w:footnote w:id="117">
    <w:p w14:paraId="23692199" w14:textId="7A1BC875" w:rsidR="00A16F79" w:rsidRDefault="00A16F79">
      <w:pPr>
        <w:spacing w:line="240" w:lineRule="auto"/>
        <w:rPr>
          <w:sz w:val="20"/>
          <w:szCs w:val="20"/>
        </w:rPr>
      </w:pPr>
      <w:r>
        <w:rPr>
          <w:vertAlign w:val="superscript"/>
        </w:rPr>
        <w:footnoteRef/>
      </w:r>
      <w:r>
        <w:rPr>
          <w:sz w:val="20"/>
          <w:szCs w:val="20"/>
        </w:rPr>
        <w:t xml:space="preserve"> Turner, </w:t>
      </w:r>
      <w:r>
        <w:rPr>
          <w:i/>
          <w:iCs/>
          <w:sz w:val="20"/>
          <w:szCs w:val="20"/>
        </w:rPr>
        <w:t xml:space="preserve">Overcoming Self-Negation </w:t>
      </w:r>
      <w:r>
        <w:rPr>
          <w:sz w:val="20"/>
          <w:szCs w:val="20"/>
        </w:rPr>
        <w:t>pg</w:t>
      </w:r>
      <w:r w:rsidR="00FA3048">
        <w:rPr>
          <w:sz w:val="20"/>
          <w:szCs w:val="20"/>
        </w:rPr>
        <w:t>.</w:t>
      </w:r>
      <w:r>
        <w:rPr>
          <w:sz w:val="20"/>
          <w:szCs w:val="20"/>
        </w:rPr>
        <w:t xml:space="preserve"> 28, 32. </w:t>
      </w:r>
    </w:p>
  </w:footnote>
  <w:footnote w:id="118">
    <w:p w14:paraId="133AB524" w14:textId="2FE6B96F" w:rsidR="00A16F79" w:rsidRDefault="00A16F79">
      <w:pPr>
        <w:spacing w:line="240" w:lineRule="auto"/>
        <w:rPr>
          <w:sz w:val="20"/>
          <w:szCs w:val="20"/>
        </w:rPr>
      </w:pPr>
      <w:r>
        <w:rPr>
          <w:vertAlign w:val="superscript"/>
        </w:rPr>
        <w:footnoteRef/>
      </w:r>
      <w:r>
        <w:rPr>
          <w:sz w:val="20"/>
          <w:szCs w:val="20"/>
        </w:rPr>
        <w:t xml:space="preserve"> Turner, </w:t>
      </w:r>
      <w:r>
        <w:rPr>
          <w:i/>
          <w:iCs/>
          <w:sz w:val="20"/>
          <w:szCs w:val="20"/>
        </w:rPr>
        <w:t>Overcoming Self-Negation</w:t>
      </w:r>
      <w:r w:rsidR="0058668D">
        <w:rPr>
          <w:i/>
          <w:iCs/>
          <w:sz w:val="20"/>
          <w:szCs w:val="20"/>
          <w:lang w:val="en-US"/>
        </w:rPr>
        <w:t>,</w:t>
      </w:r>
      <w:r>
        <w:rPr>
          <w:i/>
          <w:iCs/>
          <w:sz w:val="20"/>
          <w:szCs w:val="20"/>
        </w:rPr>
        <w:t xml:space="preserve"> </w:t>
      </w:r>
      <w:r>
        <w:rPr>
          <w:sz w:val="20"/>
          <w:szCs w:val="20"/>
        </w:rPr>
        <w:t>pg</w:t>
      </w:r>
      <w:r w:rsidR="00FA3048">
        <w:rPr>
          <w:sz w:val="20"/>
          <w:szCs w:val="20"/>
        </w:rPr>
        <w:t>.</w:t>
      </w:r>
      <w:r>
        <w:rPr>
          <w:sz w:val="20"/>
          <w:szCs w:val="20"/>
        </w:rPr>
        <w:t xml:space="preserve"> 88, 43</w:t>
      </w:r>
    </w:p>
  </w:footnote>
  <w:footnote w:id="119">
    <w:p w14:paraId="4E43CF4A" w14:textId="13C962F9" w:rsidR="00A16F79" w:rsidRDefault="00A16F79">
      <w:pPr>
        <w:spacing w:line="240" w:lineRule="auto"/>
        <w:rPr>
          <w:sz w:val="20"/>
          <w:szCs w:val="20"/>
        </w:rPr>
      </w:pPr>
      <w:r>
        <w:rPr>
          <w:vertAlign w:val="superscript"/>
        </w:rPr>
        <w:footnoteRef/>
      </w:r>
      <w:r>
        <w:rPr>
          <w:sz w:val="20"/>
          <w:szCs w:val="20"/>
        </w:rPr>
        <w:t xml:space="preserve"> Bilby, </w:t>
      </w:r>
      <w:r>
        <w:rPr>
          <w:i/>
          <w:iCs/>
          <w:sz w:val="20"/>
          <w:szCs w:val="20"/>
        </w:rPr>
        <w:t>Religious Background of Jonkonnu in Jamaica</w:t>
      </w:r>
      <w:r w:rsidR="0058668D">
        <w:rPr>
          <w:i/>
          <w:iCs/>
          <w:sz w:val="20"/>
          <w:szCs w:val="20"/>
          <w:lang w:val="en-US"/>
        </w:rPr>
        <w:t>,</w:t>
      </w:r>
      <w:r>
        <w:rPr>
          <w:i/>
          <w:iCs/>
          <w:sz w:val="20"/>
          <w:szCs w:val="20"/>
        </w:rPr>
        <w:t xml:space="preserve"> </w:t>
      </w:r>
      <w:r>
        <w:rPr>
          <w:sz w:val="20"/>
          <w:szCs w:val="20"/>
        </w:rPr>
        <w:t>pg</w:t>
      </w:r>
      <w:r w:rsidR="00FA3048">
        <w:rPr>
          <w:sz w:val="20"/>
          <w:szCs w:val="20"/>
        </w:rPr>
        <w:t>.</w:t>
      </w:r>
      <w:r>
        <w:rPr>
          <w:sz w:val="20"/>
          <w:szCs w:val="20"/>
        </w:rPr>
        <w:t xml:space="preserve"> 47.</w:t>
      </w:r>
    </w:p>
  </w:footnote>
  <w:footnote w:id="120">
    <w:p w14:paraId="1A741FFA" w14:textId="4BC2CE66" w:rsidR="00A16F79" w:rsidRDefault="00A16F79">
      <w:pPr>
        <w:spacing w:line="240" w:lineRule="auto"/>
        <w:rPr>
          <w:sz w:val="20"/>
          <w:szCs w:val="20"/>
        </w:rPr>
      </w:pPr>
      <w:r>
        <w:rPr>
          <w:vertAlign w:val="superscript"/>
        </w:rPr>
        <w:footnoteRef/>
      </w:r>
      <w:r>
        <w:rPr>
          <w:sz w:val="20"/>
          <w:szCs w:val="20"/>
        </w:rPr>
        <w:t xml:space="preserve"> </w:t>
      </w:r>
      <w:r w:rsidR="0058668D" w:rsidRPr="00C369E2">
        <w:rPr>
          <w:i/>
          <w:iCs/>
          <w:sz w:val="20"/>
          <w:szCs w:val="20"/>
        </w:rPr>
        <w:t>Ibid</w:t>
      </w:r>
      <w:r w:rsidR="0058668D" w:rsidRPr="00C369E2">
        <w:rPr>
          <w:sz w:val="20"/>
          <w:szCs w:val="20"/>
        </w:rPr>
        <w:t>.</w:t>
      </w:r>
      <w:r w:rsidR="0058668D">
        <w:rPr>
          <w:i/>
          <w:iCs/>
          <w:sz w:val="20"/>
          <w:szCs w:val="20"/>
        </w:rPr>
        <w:t>,</w:t>
      </w:r>
      <w:r w:rsidR="0058668D">
        <w:rPr>
          <w:sz w:val="20"/>
          <w:szCs w:val="20"/>
        </w:rPr>
        <w:t xml:space="preserve"> </w:t>
      </w:r>
      <w:r>
        <w:rPr>
          <w:sz w:val="20"/>
          <w:szCs w:val="20"/>
        </w:rPr>
        <w:t>pg</w:t>
      </w:r>
      <w:r w:rsidR="00FA3048">
        <w:rPr>
          <w:sz w:val="20"/>
          <w:szCs w:val="20"/>
        </w:rPr>
        <w:t>.</w:t>
      </w:r>
      <w:r>
        <w:rPr>
          <w:sz w:val="20"/>
          <w:szCs w:val="20"/>
        </w:rPr>
        <w:t xml:space="preserve"> 65.</w:t>
      </w:r>
    </w:p>
  </w:footnote>
  <w:footnote w:id="121">
    <w:p w14:paraId="73FB8858" w14:textId="77777777" w:rsidR="00A16F79" w:rsidRDefault="00A16F79">
      <w:pPr>
        <w:spacing w:line="240" w:lineRule="auto"/>
        <w:rPr>
          <w:sz w:val="20"/>
          <w:szCs w:val="20"/>
        </w:rPr>
      </w:pPr>
      <w:r w:rsidRPr="004A2F82">
        <w:rPr>
          <w:sz w:val="20"/>
          <w:szCs w:val="20"/>
          <w:vertAlign w:val="superscript"/>
        </w:rPr>
        <w:footnoteRef/>
      </w:r>
      <w:r w:rsidRPr="004A2F82">
        <w:rPr>
          <w:sz w:val="20"/>
          <w:szCs w:val="20"/>
        </w:rPr>
        <w:t xml:space="preserve">Ama Mazama, 'The Afrocentric Paradigm: Contours and Definitions', </w:t>
      </w:r>
      <w:r w:rsidRPr="004A2F82">
        <w:rPr>
          <w:i/>
          <w:iCs/>
          <w:sz w:val="20"/>
          <w:szCs w:val="20"/>
        </w:rPr>
        <w:t xml:space="preserve">Journal of Black Studies, </w:t>
      </w:r>
      <w:r w:rsidRPr="004A2F82">
        <w:rPr>
          <w:sz w:val="20"/>
          <w:szCs w:val="20"/>
        </w:rPr>
        <w:t>31 (2001), 387–405 &lt;https://doi.org/10.1177/002193470103100401&gt;.</w:t>
      </w:r>
      <w:r>
        <w:rPr>
          <w:sz w:val="20"/>
          <w:szCs w:val="20"/>
        </w:rPr>
        <w:t xml:space="preserve"> Pg 388.</w:t>
      </w:r>
    </w:p>
  </w:footnote>
  <w:footnote w:id="122">
    <w:p w14:paraId="13AA7F99" w14:textId="1D24B4E2" w:rsidR="00A16F79" w:rsidRDefault="00A16F79">
      <w:pPr>
        <w:spacing w:line="240" w:lineRule="auto"/>
        <w:rPr>
          <w:sz w:val="20"/>
          <w:szCs w:val="20"/>
        </w:rPr>
      </w:pPr>
      <w:r>
        <w:rPr>
          <w:vertAlign w:val="superscript"/>
        </w:rPr>
        <w:footnoteRef/>
      </w:r>
      <w:r>
        <w:rPr>
          <w:sz w:val="20"/>
          <w:szCs w:val="20"/>
        </w:rPr>
        <w:t xml:space="preserve"> Mazama, </w:t>
      </w:r>
      <w:r>
        <w:rPr>
          <w:i/>
          <w:iCs/>
          <w:sz w:val="20"/>
          <w:szCs w:val="20"/>
        </w:rPr>
        <w:t>The Afrocentric Paradigm,</w:t>
      </w:r>
      <w:r>
        <w:rPr>
          <w:sz w:val="20"/>
          <w:szCs w:val="20"/>
        </w:rPr>
        <w:t xml:space="preserve"> </w:t>
      </w:r>
      <w:r w:rsidR="004A2F82">
        <w:rPr>
          <w:sz w:val="20"/>
          <w:szCs w:val="20"/>
        </w:rPr>
        <w:t>pg.</w:t>
      </w:r>
      <w:r>
        <w:rPr>
          <w:sz w:val="20"/>
          <w:szCs w:val="20"/>
        </w:rPr>
        <w:t xml:space="preserve"> 393-4.</w:t>
      </w:r>
    </w:p>
  </w:footnote>
  <w:footnote w:id="123">
    <w:p w14:paraId="0EEDCC27" w14:textId="7ACBFE33" w:rsidR="00A16F79" w:rsidRDefault="00A16F79">
      <w:pPr>
        <w:spacing w:line="240" w:lineRule="auto"/>
        <w:rPr>
          <w:sz w:val="20"/>
          <w:szCs w:val="20"/>
        </w:rPr>
      </w:pPr>
      <w:r>
        <w:rPr>
          <w:vertAlign w:val="superscript"/>
        </w:rPr>
        <w:footnoteRef/>
      </w:r>
      <w:r>
        <w:rPr>
          <w:sz w:val="20"/>
          <w:szCs w:val="20"/>
        </w:rPr>
        <w:t xml:space="preserve"> </w:t>
      </w:r>
      <w:r w:rsidR="0058668D" w:rsidRPr="00C369E2">
        <w:rPr>
          <w:i/>
          <w:iCs/>
          <w:sz w:val="20"/>
          <w:szCs w:val="20"/>
        </w:rPr>
        <w:t>Ibid</w:t>
      </w:r>
      <w:r w:rsidR="0058668D" w:rsidRPr="00C369E2">
        <w:rPr>
          <w:sz w:val="20"/>
          <w:szCs w:val="20"/>
        </w:rPr>
        <w:t>.</w:t>
      </w:r>
      <w:r w:rsidR="0058668D">
        <w:rPr>
          <w:i/>
          <w:iCs/>
          <w:sz w:val="20"/>
          <w:szCs w:val="20"/>
        </w:rPr>
        <w:t>,</w:t>
      </w:r>
      <w:r w:rsidR="0058668D">
        <w:rPr>
          <w:sz w:val="20"/>
          <w:szCs w:val="20"/>
        </w:rPr>
        <w:t xml:space="preserve"> </w:t>
      </w:r>
      <w:r w:rsidR="004A2F82">
        <w:rPr>
          <w:sz w:val="20"/>
          <w:szCs w:val="20"/>
        </w:rPr>
        <w:t>pg.</w:t>
      </w:r>
      <w:r>
        <w:rPr>
          <w:sz w:val="20"/>
          <w:szCs w:val="20"/>
        </w:rPr>
        <w:t xml:space="preserve"> 396.</w:t>
      </w:r>
    </w:p>
  </w:footnote>
  <w:footnote w:id="124">
    <w:p w14:paraId="53BDB727" w14:textId="1B0C5E90" w:rsidR="00A16F79" w:rsidRDefault="00A16F79">
      <w:pPr>
        <w:spacing w:line="240" w:lineRule="auto"/>
        <w:rPr>
          <w:sz w:val="20"/>
          <w:szCs w:val="20"/>
        </w:rPr>
      </w:pPr>
      <w:r>
        <w:rPr>
          <w:vertAlign w:val="superscript"/>
        </w:rPr>
        <w:footnoteRef/>
      </w:r>
      <w:r>
        <w:rPr>
          <w:sz w:val="20"/>
          <w:szCs w:val="20"/>
        </w:rPr>
        <w:t xml:space="preserve"> </w:t>
      </w:r>
      <w:r w:rsidR="0058668D" w:rsidRPr="00C369E2">
        <w:rPr>
          <w:i/>
          <w:iCs/>
          <w:sz w:val="20"/>
          <w:szCs w:val="20"/>
        </w:rPr>
        <w:t>Ibid</w:t>
      </w:r>
      <w:r w:rsidR="0058668D" w:rsidRPr="00C369E2">
        <w:rPr>
          <w:sz w:val="20"/>
          <w:szCs w:val="20"/>
        </w:rPr>
        <w:t>.</w:t>
      </w:r>
      <w:r w:rsidR="0058668D">
        <w:rPr>
          <w:i/>
          <w:iCs/>
          <w:sz w:val="20"/>
          <w:szCs w:val="20"/>
        </w:rPr>
        <w:t>,</w:t>
      </w:r>
      <w:r w:rsidR="0058668D">
        <w:rPr>
          <w:sz w:val="20"/>
          <w:szCs w:val="20"/>
        </w:rPr>
        <w:t xml:space="preserve"> </w:t>
      </w:r>
      <w:r w:rsidR="004A2F82">
        <w:rPr>
          <w:sz w:val="20"/>
          <w:szCs w:val="20"/>
        </w:rPr>
        <w:t>pg.</w:t>
      </w:r>
      <w:r>
        <w:rPr>
          <w:sz w:val="20"/>
          <w:szCs w:val="20"/>
        </w:rPr>
        <w:t xml:space="preserve"> 398.</w:t>
      </w:r>
    </w:p>
  </w:footnote>
  <w:footnote w:id="125">
    <w:p w14:paraId="30283BD8" w14:textId="1B506298" w:rsidR="00A16F79" w:rsidRDefault="00A16F79">
      <w:pPr>
        <w:spacing w:line="240" w:lineRule="auto"/>
        <w:rPr>
          <w:sz w:val="20"/>
          <w:szCs w:val="20"/>
        </w:rPr>
      </w:pPr>
      <w:r>
        <w:rPr>
          <w:vertAlign w:val="superscript"/>
        </w:rPr>
        <w:footnoteRef/>
      </w:r>
      <w:r>
        <w:rPr>
          <w:sz w:val="20"/>
          <w:szCs w:val="20"/>
        </w:rPr>
        <w:t xml:space="preserve"> Mazama, </w:t>
      </w:r>
      <w:r>
        <w:rPr>
          <w:i/>
          <w:iCs/>
          <w:sz w:val="20"/>
          <w:szCs w:val="20"/>
        </w:rPr>
        <w:t>The Afrocentric Paradigm,</w:t>
      </w:r>
      <w:r>
        <w:rPr>
          <w:sz w:val="20"/>
          <w:szCs w:val="20"/>
        </w:rPr>
        <w:t xml:space="preserve"> pg</w:t>
      </w:r>
      <w:r w:rsidR="004A2F82">
        <w:rPr>
          <w:sz w:val="20"/>
          <w:szCs w:val="20"/>
        </w:rPr>
        <w:t>.</w:t>
      </w:r>
      <w:r>
        <w:rPr>
          <w:sz w:val="20"/>
          <w:szCs w:val="20"/>
        </w:rPr>
        <w:t xml:space="preserve"> 398-9. </w:t>
      </w:r>
    </w:p>
  </w:footnote>
  <w:footnote w:id="126">
    <w:p w14:paraId="128C9DCC" w14:textId="311767DD" w:rsidR="00A16F79" w:rsidRDefault="00A16F79">
      <w:pPr>
        <w:spacing w:line="240" w:lineRule="auto"/>
        <w:rPr>
          <w:sz w:val="20"/>
          <w:szCs w:val="20"/>
        </w:rPr>
      </w:pPr>
      <w:r>
        <w:rPr>
          <w:vertAlign w:val="superscript"/>
        </w:rPr>
        <w:footnoteRef/>
      </w:r>
      <w:r>
        <w:rPr>
          <w:sz w:val="20"/>
          <w:szCs w:val="20"/>
        </w:rPr>
        <w:t xml:space="preserve"> </w:t>
      </w:r>
      <w:r w:rsidR="0058668D" w:rsidRPr="00C369E2">
        <w:rPr>
          <w:i/>
          <w:iCs/>
          <w:sz w:val="20"/>
          <w:szCs w:val="20"/>
        </w:rPr>
        <w:t>Ibid</w:t>
      </w:r>
      <w:r w:rsidR="0058668D" w:rsidRPr="00C369E2">
        <w:rPr>
          <w:sz w:val="20"/>
          <w:szCs w:val="20"/>
        </w:rPr>
        <w:t>.</w:t>
      </w:r>
      <w:r w:rsidR="0058668D">
        <w:rPr>
          <w:i/>
          <w:iCs/>
          <w:sz w:val="20"/>
          <w:szCs w:val="20"/>
        </w:rPr>
        <w:t>,</w:t>
      </w:r>
      <w:r w:rsidR="004A2F82">
        <w:rPr>
          <w:sz w:val="20"/>
          <w:szCs w:val="20"/>
        </w:rPr>
        <w:t>.</w:t>
      </w:r>
      <w:r>
        <w:rPr>
          <w:sz w:val="20"/>
          <w:szCs w:val="20"/>
        </w:rPr>
        <w:t xml:space="preserve"> 399.</w:t>
      </w:r>
    </w:p>
  </w:footnote>
  <w:footnote w:id="127">
    <w:p w14:paraId="378E43CC" w14:textId="77777777" w:rsidR="00A16F79" w:rsidRDefault="00A16F79">
      <w:pPr>
        <w:spacing w:line="240" w:lineRule="auto"/>
        <w:rPr>
          <w:sz w:val="20"/>
          <w:szCs w:val="20"/>
        </w:rPr>
      </w:pPr>
      <w:r>
        <w:rPr>
          <w:vertAlign w:val="superscript"/>
        </w:rPr>
        <w:footnoteRef/>
      </w:r>
      <w:r>
        <w:rPr>
          <w:sz w:val="20"/>
          <w:szCs w:val="20"/>
        </w:rPr>
        <w:t xml:space="preserve"> Joshua D. Atkinson, 'Qualitative Methods', in </w:t>
      </w:r>
      <w:r>
        <w:rPr>
          <w:i/>
          <w:iCs/>
          <w:sz w:val="20"/>
          <w:szCs w:val="20"/>
        </w:rPr>
        <w:t>Journey into Social Activism</w:t>
      </w:r>
      <w:r>
        <w:rPr>
          <w:sz w:val="20"/>
          <w:szCs w:val="20"/>
        </w:rPr>
        <w:t xml:space="preserve"> (Fordham University Press, 2017), pp. 65–98</w:t>
      </w:r>
      <w:r>
        <w:rPr>
          <w:i/>
          <w:iCs/>
          <w:sz w:val="20"/>
          <w:szCs w:val="20"/>
        </w:rPr>
        <w:t>, in JSTOR</w:t>
      </w:r>
      <w:r>
        <w:rPr>
          <w:sz w:val="20"/>
          <w:szCs w:val="20"/>
        </w:rPr>
        <w:t xml:space="preserve"> &lt;http://www.jstor.org/stable/j.ctt1hfr0rk.6&gt;. Pg 65.</w:t>
      </w:r>
    </w:p>
  </w:footnote>
  <w:footnote w:id="128">
    <w:p w14:paraId="67CBB4C9" w14:textId="210C32E2" w:rsidR="00A16F79" w:rsidRDefault="00A16F79">
      <w:pPr>
        <w:spacing w:line="240" w:lineRule="auto"/>
        <w:rPr>
          <w:sz w:val="20"/>
          <w:szCs w:val="20"/>
        </w:rPr>
      </w:pPr>
      <w:r>
        <w:rPr>
          <w:vertAlign w:val="superscript"/>
        </w:rPr>
        <w:footnoteRef/>
      </w:r>
      <w:r>
        <w:rPr>
          <w:sz w:val="20"/>
          <w:szCs w:val="20"/>
        </w:rPr>
        <w:t xml:space="preserve"> P. Gill and others, 'Methods of Data Collection</w:t>
      </w:r>
      <w:r>
        <w:rPr>
          <w:sz w:val="20"/>
          <w:szCs w:val="20"/>
        </w:rPr>
        <w:br/>
        <w:t>in Qualitative Research:</w:t>
      </w:r>
      <w:r>
        <w:rPr>
          <w:sz w:val="20"/>
          <w:szCs w:val="20"/>
        </w:rPr>
        <w:br/>
        <w:t xml:space="preserve">Interviews and Focus Groups', </w:t>
      </w:r>
      <w:r>
        <w:rPr>
          <w:i/>
          <w:iCs/>
          <w:sz w:val="20"/>
          <w:szCs w:val="20"/>
        </w:rPr>
        <w:t xml:space="preserve">British Dental Journal, </w:t>
      </w:r>
      <w:r>
        <w:rPr>
          <w:sz w:val="20"/>
          <w:szCs w:val="20"/>
        </w:rPr>
        <w:t xml:space="preserve">204 (2008), 291–295. </w:t>
      </w:r>
      <w:r w:rsidR="004A2F82">
        <w:rPr>
          <w:sz w:val="20"/>
          <w:szCs w:val="20"/>
        </w:rPr>
        <w:t>P</w:t>
      </w:r>
      <w:r>
        <w:rPr>
          <w:sz w:val="20"/>
          <w:szCs w:val="20"/>
        </w:rPr>
        <w:t>g</w:t>
      </w:r>
      <w:r w:rsidR="004A2F82">
        <w:rPr>
          <w:sz w:val="20"/>
          <w:szCs w:val="20"/>
        </w:rPr>
        <w:t>.</w:t>
      </w:r>
      <w:r>
        <w:rPr>
          <w:sz w:val="20"/>
          <w:szCs w:val="20"/>
        </w:rPr>
        <w:t xml:space="preserve"> 292</w:t>
      </w:r>
    </w:p>
  </w:footnote>
  <w:footnote w:id="129">
    <w:p w14:paraId="0CE36E65" w14:textId="60A047D4" w:rsidR="00A16F79" w:rsidRDefault="00A16F79">
      <w:pPr>
        <w:spacing w:line="240" w:lineRule="auto"/>
        <w:rPr>
          <w:sz w:val="20"/>
          <w:szCs w:val="20"/>
        </w:rPr>
      </w:pPr>
      <w:r>
        <w:rPr>
          <w:vertAlign w:val="superscript"/>
        </w:rPr>
        <w:footnoteRef/>
      </w:r>
      <w:r>
        <w:rPr>
          <w:sz w:val="20"/>
          <w:szCs w:val="20"/>
        </w:rPr>
        <w:t xml:space="preserve"> Gill and others,</w:t>
      </w:r>
      <w:r w:rsidR="004A2F82">
        <w:rPr>
          <w:sz w:val="20"/>
          <w:szCs w:val="20"/>
        </w:rPr>
        <w:t xml:space="preserve"> </w:t>
      </w:r>
      <w:r>
        <w:rPr>
          <w:i/>
          <w:iCs/>
          <w:sz w:val="20"/>
          <w:szCs w:val="20"/>
        </w:rPr>
        <w:t xml:space="preserve">'Methods of Data Collection in Qualitative Research, </w:t>
      </w:r>
      <w:r>
        <w:rPr>
          <w:sz w:val="20"/>
          <w:szCs w:val="20"/>
        </w:rPr>
        <w:t>pg</w:t>
      </w:r>
      <w:r w:rsidR="004A2F82">
        <w:rPr>
          <w:sz w:val="20"/>
          <w:szCs w:val="20"/>
        </w:rPr>
        <w:t>.</w:t>
      </w:r>
      <w:r>
        <w:rPr>
          <w:sz w:val="20"/>
          <w:szCs w:val="20"/>
        </w:rPr>
        <w:t xml:space="preserve"> 291. </w:t>
      </w:r>
    </w:p>
  </w:footnote>
  <w:footnote w:id="130">
    <w:p w14:paraId="0C0ED756" w14:textId="6D6ADA0A" w:rsidR="00A16F79" w:rsidRDefault="00A16F79">
      <w:pPr>
        <w:spacing w:line="240" w:lineRule="auto"/>
        <w:rPr>
          <w:sz w:val="20"/>
          <w:szCs w:val="20"/>
        </w:rPr>
      </w:pPr>
      <w:r>
        <w:rPr>
          <w:vertAlign w:val="superscript"/>
        </w:rPr>
        <w:footnoteRef/>
      </w:r>
      <w:r>
        <w:rPr>
          <w:sz w:val="20"/>
          <w:szCs w:val="20"/>
        </w:rPr>
        <w:t xml:space="preserve"> Hanna Kallio and others, 'Systematic Methodological Review: Developing a Framework for a Qualitative Semi-Structured Interview Guide', </w:t>
      </w:r>
      <w:r>
        <w:rPr>
          <w:i/>
          <w:iCs/>
          <w:sz w:val="20"/>
          <w:szCs w:val="20"/>
        </w:rPr>
        <w:t xml:space="preserve">Journal of Advanced Nursing, </w:t>
      </w:r>
      <w:r>
        <w:rPr>
          <w:sz w:val="20"/>
          <w:szCs w:val="20"/>
        </w:rPr>
        <w:t xml:space="preserve">72 (2016), 2954–2965. </w:t>
      </w:r>
      <w:r w:rsidR="004A2F82">
        <w:rPr>
          <w:sz w:val="20"/>
          <w:szCs w:val="20"/>
        </w:rPr>
        <w:t>pg.</w:t>
      </w:r>
      <w:r>
        <w:rPr>
          <w:sz w:val="20"/>
          <w:szCs w:val="20"/>
        </w:rPr>
        <w:t xml:space="preserve"> 2954</w:t>
      </w:r>
    </w:p>
  </w:footnote>
  <w:footnote w:id="131">
    <w:p w14:paraId="3067AC06" w14:textId="3D62DABA" w:rsidR="00A16F79" w:rsidRDefault="00A16F79">
      <w:pPr>
        <w:spacing w:line="240" w:lineRule="auto"/>
        <w:rPr>
          <w:sz w:val="20"/>
          <w:szCs w:val="20"/>
        </w:rPr>
      </w:pPr>
      <w:r>
        <w:rPr>
          <w:vertAlign w:val="superscript"/>
        </w:rPr>
        <w:footnoteRef/>
      </w:r>
      <w:r>
        <w:rPr>
          <w:sz w:val="20"/>
          <w:szCs w:val="20"/>
        </w:rPr>
        <w:t xml:space="preserve"> </w:t>
      </w:r>
      <w:r w:rsidR="0082142A" w:rsidRPr="00C369E2">
        <w:rPr>
          <w:i/>
          <w:iCs/>
          <w:sz w:val="20"/>
          <w:szCs w:val="20"/>
        </w:rPr>
        <w:t>Ibid</w:t>
      </w:r>
      <w:r w:rsidR="0082142A" w:rsidRPr="00C369E2">
        <w:rPr>
          <w:sz w:val="20"/>
          <w:szCs w:val="20"/>
        </w:rPr>
        <w:t>.</w:t>
      </w:r>
      <w:r w:rsidR="0082142A">
        <w:rPr>
          <w:i/>
          <w:iCs/>
          <w:sz w:val="20"/>
          <w:szCs w:val="20"/>
        </w:rPr>
        <w:t>,</w:t>
      </w:r>
      <w:r w:rsidR="0082142A">
        <w:rPr>
          <w:sz w:val="20"/>
          <w:szCs w:val="20"/>
        </w:rPr>
        <w:t xml:space="preserve"> </w:t>
      </w:r>
      <w:r w:rsidR="004A2F82">
        <w:rPr>
          <w:sz w:val="20"/>
          <w:szCs w:val="20"/>
        </w:rPr>
        <w:t>pg.</w:t>
      </w:r>
      <w:r>
        <w:rPr>
          <w:sz w:val="20"/>
          <w:szCs w:val="20"/>
        </w:rPr>
        <w:t xml:space="preserve"> 2954.</w:t>
      </w:r>
    </w:p>
  </w:footnote>
  <w:footnote w:id="132">
    <w:p w14:paraId="143F3B59" w14:textId="77777777" w:rsidR="00A16F79" w:rsidRDefault="00A16F79">
      <w:pPr>
        <w:spacing w:line="240" w:lineRule="auto"/>
        <w:rPr>
          <w:sz w:val="20"/>
          <w:szCs w:val="20"/>
        </w:rPr>
      </w:pPr>
      <w:r>
        <w:rPr>
          <w:vertAlign w:val="superscript"/>
        </w:rPr>
        <w:footnoteRef/>
      </w:r>
      <w:r>
        <w:rPr>
          <w:sz w:val="20"/>
          <w:szCs w:val="20"/>
        </w:rPr>
        <w:t xml:space="preserve"> Virginia Braun and Victoria Clarke, 'Using Thematic Analysis in Psychology', </w:t>
      </w:r>
      <w:r>
        <w:rPr>
          <w:i/>
          <w:iCs/>
          <w:sz w:val="20"/>
          <w:szCs w:val="20"/>
        </w:rPr>
        <w:t xml:space="preserve">Qualitative Research in Psychology, </w:t>
      </w:r>
      <w:r>
        <w:rPr>
          <w:sz w:val="20"/>
          <w:szCs w:val="20"/>
        </w:rPr>
        <w:t xml:space="preserve">3 (2006). Pg 6. </w:t>
      </w:r>
    </w:p>
  </w:footnote>
  <w:footnote w:id="133">
    <w:p w14:paraId="58D47EA7" w14:textId="4D6C43AC" w:rsidR="00A16F79" w:rsidRDefault="00A16F79">
      <w:pPr>
        <w:spacing w:line="240" w:lineRule="auto"/>
        <w:rPr>
          <w:sz w:val="20"/>
          <w:szCs w:val="20"/>
        </w:rPr>
      </w:pPr>
      <w:r>
        <w:rPr>
          <w:vertAlign w:val="superscript"/>
        </w:rPr>
        <w:footnoteRef/>
      </w:r>
      <w:r>
        <w:rPr>
          <w:sz w:val="20"/>
          <w:szCs w:val="20"/>
        </w:rPr>
        <w:t xml:space="preserve"> Braun and Clarke, </w:t>
      </w:r>
      <w:r>
        <w:rPr>
          <w:i/>
          <w:iCs/>
          <w:sz w:val="20"/>
          <w:szCs w:val="20"/>
        </w:rPr>
        <w:t>Using Thematic Analysis,</w:t>
      </w:r>
      <w:r>
        <w:rPr>
          <w:sz w:val="20"/>
          <w:szCs w:val="20"/>
        </w:rPr>
        <w:t xml:space="preserve"> </w:t>
      </w:r>
      <w:r w:rsidR="004A2F82">
        <w:rPr>
          <w:sz w:val="20"/>
          <w:szCs w:val="20"/>
        </w:rPr>
        <w:t>pg.</w:t>
      </w:r>
      <w:r>
        <w:rPr>
          <w:sz w:val="20"/>
          <w:szCs w:val="20"/>
        </w:rPr>
        <w:t xml:space="preserve"> 5. </w:t>
      </w:r>
    </w:p>
  </w:footnote>
  <w:footnote w:id="134">
    <w:p w14:paraId="6B0BA4C8" w14:textId="245E6445" w:rsidR="00A16F79" w:rsidRDefault="00A16F79">
      <w:pPr>
        <w:spacing w:line="240" w:lineRule="auto"/>
        <w:rPr>
          <w:sz w:val="20"/>
          <w:szCs w:val="20"/>
        </w:rPr>
      </w:pPr>
      <w:r>
        <w:rPr>
          <w:vertAlign w:val="superscript"/>
        </w:rPr>
        <w:footnoteRef/>
      </w:r>
      <w:r>
        <w:rPr>
          <w:sz w:val="20"/>
          <w:szCs w:val="20"/>
        </w:rPr>
        <w:t xml:space="preserve"> </w:t>
      </w:r>
      <w:r w:rsidR="0082142A" w:rsidRPr="00C369E2">
        <w:rPr>
          <w:i/>
          <w:iCs/>
          <w:sz w:val="20"/>
          <w:szCs w:val="20"/>
        </w:rPr>
        <w:t>Ibid</w:t>
      </w:r>
      <w:r w:rsidR="0082142A" w:rsidRPr="00C369E2">
        <w:rPr>
          <w:sz w:val="20"/>
          <w:szCs w:val="20"/>
        </w:rPr>
        <w:t>.</w:t>
      </w:r>
      <w:r w:rsidR="0082142A">
        <w:rPr>
          <w:i/>
          <w:iCs/>
          <w:sz w:val="20"/>
          <w:szCs w:val="20"/>
        </w:rPr>
        <w:t>,</w:t>
      </w:r>
      <w:r w:rsidR="0082142A">
        <w:rPr>
          <w:sz w:val="20"/>
          <w:szCs w:val="20"/>
        </w:rPr>
        <w:t xml:space="preserve"> </w:t>
      </w:r>
      <w:r w:rsidR="004A2F82">
        <w:rPr>
          <w:sz w:val="20"/>
          <w:szCs w:val="20"/>
        </w:rPr>
        <w:t>pg.</w:t>
      </w:r>
      <w:r>
        <w:rPr>
          <w:sz w:val="20"/>
          <w:szCs w:val="20"/>
        </w:rPr>
        <w:t xml:space="preserve"> 13.</w:t>
      </w:r>
    </w:p>
  </w:footnote>
  <w:footnote w:id="135">
    <w:p w14:paraId="38BD7DE0" w14:textId="480C1B38" w:rsidR="00A16F79" w:rsidRDefault="00A16F79">
      <w:pPr>
        <w:spacing w:line="240" w:lineRule="auto"/>
        <w:rPr>
          <w:sz w:val="20"/>
          <w:szCs w:val="20"/>
        </w:rPr>
      </w:pPr>
      <w:r>
        <w:rPr>
          <w:vertAlign w:val="superscript"/>
        </w:rPr>
        <w:footnoteRef/>
      </w:r>
      <w:r>
        <w:rPr>
          <w:sz w:val="20"/>
          <w:szCs w:val="20"/>
        </w:rPr>
        <w:t xml:space="preserve"> </w:t>
      </w:r>
      <w:r w:rsidR="0082142A" w:rsidRPr="00C369E2">
        <w:rPr>
          <w:i/>
          <w:iCs/>
          <w:sz w:val="20"/>
          <w:szCs w:val="20"/>
        </w:rPr>
        <w:t>Ibid</w:t>
      </w:r>
      <w:r w:rsidR="0082142A" w:rsidRPr="00C369E2">
        <w:rPr>
          <w:sz w:val="20"/>
          <w:szCs w:val="20"/>
        </w:rPr>
        <w:t>.</w:t>
      </w:r>
      <w:r w:rsidR="0082142A">
        <w:rPr>
          <w:i/>
          <w:iCs/>
          <w:sz w:val="20"/>
          <w:szCs w:val="20"/>
        </w:rPr>
        <w:t>,</w:t>
      </w:r>
      <w:r>
        <w:rPr>
          <w:i/>
          <w:iCs/>
          <w:sz w:val="20"/>
          <w:szCs w:val="20"/>
        </w:rPr>
        <w:t>,</w:t>
      </w:r>
      <w:r>
        <w:rPr>
          <w:sz w:val="20"/>
          <w:szCs w:val="20"/>
        </w:rPr>
        <w:t xml:space="preserve"> </w:t>
      </w:r>
      <w:r w:rsidR="004A2F82">
        <w:rPr>
          <w:sz w:val="20"/>
          <w:szCs w:val="20"/>
        </w:rPr>
        <w:t>pg.</w:t>
      </w:r>
      <w:r>
        <w:rPr>
          <w:sz w:val="20"/>
          <w:szCs w:val="20"/>
        </w:rPr>
        <w:t xml:space="preserve"> 23.</w:t>
      </w:r>
    </w:p>
  </w:footnote>
  <w:footnote w:id="136">
    <w:p w14:paraId="10CAB759" w14:textId="08406096" w:rsidR="00A16F79" w:rsidRDefault="00A16F79">
      <w:pPr>
        <w:spacing w:line="240" w:lineRule="auto"/>
        <w:rPr>
          <w:sz w:val="20"/>
          <w:szCs w:val="20"/>
        </w:rPr>
      </w:pPr>
      <w:r>
        <w:rPr>
          <w:vertAlign w:val="superscript"/>
        </w:rPr>
        <w:footnoteRef/>
      </w:r>
      <w:r>
        <w:rPr>
          <w:sz w:val="20"/>
          <w:szCs w:val="20"/>
        </w:rPr>
        <w:t>Sonya C. Dwyer and Jennifer L. Buckle, 'The Space between:</w:t>
      </w:r>
      <w:r w:rsidR="0082142A">
        <w:rPr>
          <w:sz w:val="20"/>
          <w:szCs w:val="20"/>
          <w:lang w:val="en-US"/>
        </w:rPr>
        <w:t xml:space="preserve"> </w:t>
      </w:r>
      <w:r>
        <w:rPr>
          <w:sz w:val="20"/>
          <w:szCs w:val="20"/>
        </w:rPr>
        <w:t xml:space="preserve">On being an Insider-Outsider in Qualitative Research', International Journal of Qualititive Methods, (2009), 54–63. </w:t>
      </w:r>
      <w:r w:rsidR="006E6C7A">
        <w:rPr>
          <w:sz w:val="20"/>
          <w:szCs w:val="20"/>
        </w:rPr>
        <w:t>pg.</w:t>
      </w:r>
      <w:r>
        <w:rPr>
          <w:sz w:val="20"/>
          <w:szCs w:val="20"/>
        </w:rPr>
        <w:t xml:space="preserve"> 55.</w:t>
      </w:r>
    </w:p>
  </w:footnote>
  <w:footnote w:id="137">
    <w:p w14:paraId="4BE89D3C" w14:textId="77777777" w:rsidR="00A16F79" w:rsidRDefault="00A16F79">
      <w:pPr>
        <w:spacing w:line="240" w:lineRule="auto"/>
        <w:rPr>
          <w:sz w:val="20"/>
          <w:szCs w:val="20"/>
        </w:rPr>
      </w:pPr>
      <w:r>
        <w:rPr>
          <w:vertAlign w:val="superscript"/>
        </w:rPr>
        <w:footnoteRef/>
      </w:r>
      <w:r>
        <w:rPr>
          <w:sz w:val="20"/>
          <w:szCs w:val="20"/>
        </w:rPr>
        <w:t xml:space="preserve"> Gagan Chhabra, 'Insider, Outsider Or an in-Betweener? Epistemological</w:t>
      </w:r>
      <w:r>
        <w:rPr>
          <w:sz w:val="20"/>
          <w:szCs w:val="20"/>
        </w:rPr>
        <w:br/>
        <w:t>Reflections of a Legally Blind Researcher on Conducting</w:t>
      </w:r>
      <w:r>
        <w:rPr>
          <w:sz w:val="20"/>
          <w:szCs w:val="20"/>
        </w:rPr>
        <w:br/>
        <w:t xml:space="preserve">Cross-National Disability Research', </w:t>
      </w:r>
      <w:r>
        <w:rPr>
          <w:i/>
          <w:iCs/>
          <w:sz w:val="20"/>
          <w:szCs w:val="20"/>
        </w:rPr>
        <w:t xml:space="preserve">Scandinavian Journal of Disability Research, </w:t>
      </w:r>
      <w:r>
        <w:rPr>
          <w:sz w:val="20"/>
          <w:szCs w:val="20"/>
        </w:rPr>
        <w:t>22 (2020), 307–317. Pg 308</w:t>
      </w:r>
    </w:p>
  </w:footnote>
  <w:footnote w:id="138">
    <w:p w14:paraId="35E4E0B6" w14:textId="6596F066" w:rsidR="00A16F79" w:rsidRDefault="00A16F79">
      <w:pPr>
        <w:spacing w:line="240" w:lineRule="auto"/>
        <w:rPr>
          <w:sz w:val="20"/>
          <w:szCs w:val="20"/>
        </w:rPr>
      </w:pPr>
      <w:r>
        <w:rPr>
          <w:vertAlign w:val="superscript"/>
        </w:rPr>
        <w:footnoteRef/>
      </w:r>
      <w:r>
        <w:rPr>
          <w:sz w:val="20"/>
          <w:szCs w:val="20"/>
        </w:rPr>
        <w:t xml:space="preserve">Dwyer and Buckle, </w:t>
      </w:r>
      <w:r>
        <w:rPr>
          <w:i/>
          <w:iCs/>
          <w:sz w:val="20"/>
          <w:szCs w:val="20"/>
        </w:rPr>
        <w:t>The Space Between,</w:t>
      </w:r>
      <w:r>
        <w:rPr>
          <w:sz w:val="20"/>
          <w:szCs w:val="20"/>
        </w:rPr>
        <w:t xml:space="preserve"> pg</w:t>
      </w:r>
      <w:r w:rsidR="006E6C7A">
        <w:rPr>
          <w:sz w:val="20"/>
          <w:szCs w:val="20"/>
        </w:rPr>
        <w:t>.</w:t>
      </w:r>
      <w:r>
        <w:rPr>
          <w:sz w:val="20"/>
          <w:szCs w:val="20"/>
        </w:rPr>
        <w:t xml:space="preserve"> 58</w:t>
      </w:r>
    </w:p>
  </w:footnote>
  <w:footnote w:id="139">
    <w:p w14:paraId="288D7EC2" w14:textId="50A579AE" w:rsidR="00A16F79" w:rsidRDefault="00A16F79">
      <w:pPr>
        <w:spacing w:line="240" w:lineRule="auto"/>
        <w:rPr>
          <w:sz w:val="20"/>
          <w:szCs w:val="20"/>
        </w:rPr>
      </w:pPr>
      <w:r>
        <w:rPr>
          <w:vertAlign w:val="superscript"/>
        </w:rPr>
        <w:footnoteRef/>
      </w:r>
      <w:r>
        <w:rPr>
          <w:sz w:val="20"/>
          <w:szCs w:val="20"/>
        </w:rPr>
        <w:t xml:space="preserve"> </w:t>
      </w:r>
      <w:r w:rsidR="0082142A" w:rsidRPr="00C369E2">
        <w:rPr>
          <w:i/>
          <w:iCs/>
          <w:sz w:val="20"/>
          <w:szCs w:val="20"/>
        </w:rPr>
        <w:t>Ibid</w:t>
      </w:r>
      <w:r w:rsidR="0082142A" w:rsidRPr="00C369E2">
        <w:rPr>
          <w:sz w:val="20"/>
          <w:szCs w:val="20"/>
        </w:rPr>
        <w:t>.</w:t>
      </w:r>
      <w:r w:rsidR="0082142A">
        <w:rPr>
          <w:i/>
          <w:iCs/>
          <w:sz w:val="20"/>
          <w:szCs w:val="20"/>
        </w:rPr>
        <w:t>,</w:t>
      </w:r>
      <w:r w:rsidR="0082142A">
        <w:rPr>
          <w:sz w:val="20"/>
          <w:szCs w:val="20"/>
        </w:rPr>
        <w:t xml:space="preserve"> </w:t>
      </w:r>
      <w:r>
        <w:rPr>
          <w:sz w:val="20"/>
          <w:szCs w:val="20"/>
        </w:rPr>
        <w:t xml:space="preserve">Pg 55. </w:t>
      </w:r>
    </w:p>
  </w:footnote>
  <w:footnote w:id="140">
    <w:p w14:paraId="5744ADBE" w14:textId="3938BE1B" w:rsidR="00A16F79" w:rsidRDefault="00A16F79">
      <w:pPr>
        <w:spacing w:line="240" w:lineRule="auto"/>
        <w:rPr>
          <w:sz w:val="20"/>
          <w:szCs w:val="20"/>
        </w:rPr>
      </w:pPr>
      <w:r>
        <w:rPr>
          <w:vertAlign w:val="superscript"/>
        </w:rPr>
        <w:footnoteRef/>
      </w:r>
      <w:r>
        <w:rPr>
          <w:sz w:val="20"/>
          <w:szCs w:val="20"/>
        </w:rPr>
        <w:t xml:space="preserve"> Dwyer and Buckle, </w:t>
      </w:r>
      <w:r>
        <w:rPr>
          <w:i/>
          <w:iCs/>
          <w:sz w:val="20"/>
          <w:szCs w:val="20"/>
        </w:rPr>
        <w:t>The Space Between,</w:t>
      </w:r>
      <w:r>
        <w:rPr>
          <w:sz w:val="20"/>
          <w:szCs w:val="20"/>
        </w:rPr>
        <w:t xml:space="preserve"> pg</w:t>
      </w:r>
      <w:r w:rsidR="006E6C7A">
        <w:rPr>
          <w:sz w:val="20"/>
          <w:szCs w:val="20"/>
        </w:rPr>
        <w:t>.</w:t>
      </w:r>
      <w:r>
        <w:rPr>
          <w:sz w:val="20"/>
          <w:szCs w:val="20"/>
        </w:rPr>
        <w:t xml:space="preserve"> 58. </w:t>
      </w:r>
    </w:p>
  </w:footnote>
  <w:footnote w:id="141">
    <w:p w14:paraId="00CA46FE" w14:textId="4BC1D4CD" w:rsidR="00A16F79" w:rsidRDefault="00A16F79">
      <w:pPr>
        <w:spacing w:line="240" w:lineRule="auto"/>
        <w:rPr>
          <w:sz w:val="20"/>
          <w:szCs w:val="20"/>
        </w:rPr>
      </w:pPr>
      <w:r>
        <w:rPr>
          <w:vertAlign w:val="superscript"/>
        </w:rPr>
        <w:footnoteRef/>
      </w:r>
      <w:r>
        <w:rPr>
          <w:sz w:val="20"/>
          <w:szCs w:val="20"/>
        </w:rPr>
        <w:t xml:space="preserve"> Christina Chavez, 'Conceptualizing from the Inside: Advantages, Complications, and</w:t>
      </w:r>
      <w:r w:rsidR="00B27C5C">
        <w:rPr>
          <w:sz w:val="20"/>
          <w:szCs w:val="20"/>
          <w:lang w:val="en-US"/>
        </w:rPr>
        <w:t xml:space="preserve"> </w:t>
      </w:r>
      <w:r>
        <w:rPr>
          <w:sz w:val="20"/>
          <w:szCs w:val="20"/>
        </w:rPr>
        <w:t xml:space="preserve">Demands on Insider Positionality', </w:t>
      </w:r>
      <w:r>
        <w:rPr>
          <w:i/>
          <w:iCs/>
          <w:sz w:val="20"/>
          <w:szCs w:val="20"/>
        </w:rPr>
        <w:t xml:space="preserve">The Qualitative Report, </w:t>
      </w:r>
      <w:r>
        <w:rPr>
          <w:sz w:val="20"/>
          <w:szCs w:val="20"/>
        </w:rPr>
        <w:t>13 (2008), 474–494, pg</w:t>
      </w:r>
      <w:r w:rsidR="006E6C7A">
        <w:rPr>
          <w:sz w:val="20"/>
          <w:szCs w:val="20"/>
        </w:rPr>
        <w:t>.</w:t>
      </w:r>
      <w:r>
        <w:rPr>
          <w:sz w:val="20"/>
          <w:szCs w:val="20"/>
        </w:rPr>
        <w:t xml:space="preserve"> 475.</w:t>
      </w:r>
    </w:p>
  </w:footnote>
  <w:footnote w:id="142">
    <w:p w14:paraId="6B122024" w14:textId="55B33DB6" w:rsidR="00A16F79" w:rsidRDefault="00A16F79">
      <w:pPr>
        <w:spacing w:line="240" w:lineRule="auto"/>
        <w:rPr>
          <w:sz w:val="20"/>
          <w:szCs w:val="20"/>
        </w:rPr>
      </w:pPr>
      <w:r>
        <w:rPr>
          <w:vertAlign w:val="superscript"/>
        </w:rPr>
        <w:footnoteRef/>
      </w:r>
      <w:r>
        <w:rPr>
          <w:sz w:val="20"/>
          <w:szCs w:val="20"/>
        </w:rPr>
        <w:t xml:space="preserve"> Chhabra,</w:t>
      </w:r>
      <w:r>
        <w:rPr>
          <w:i/>
          <w:iCs/>
          <w:sz w:val="20"/>
          <w:szCs w:val="20"/>
        </w:rPr>
        <w:t xml:space="preserve"> Insider, Outsider Or an in-Betweener,</w:t>
      </w:r>
      <w:r>
        <w:rPr>
          <w:sz w:val="20"/>
          <w:szCs w:val="20"/>
        </w:rPr>
        <w:t xml:space="preserve"> pg</w:t>
      </w:r>
      <w:r w:rsidR="00C57532">
        <w:rPr>
          <w:sz w:val="20"/>
          <w:szCs w:val="20"/>
        </w:rPr>
        <w:t>.</w:t>
      </w:r>
      <w:r>
        <w:rPr>
          <w:sz w:val="20"/>
          <w:szCs w:val="20"/>
        </w:rPr>
        <w:t xml:space="preserve"> 308.</w:t>
      </w:r>
    </w:p>
  </w:footnote>
  <w:footnote w:id="143">
    <w:p w14:paraId="3167E2D1" w14:textId="2671DC26" w:rsidR="00A16F79" w:rsidRDefault="00A16F79">
      <w:pPr>
        <w:spacing w:line="240" w:lineRule="auto"/>
        <w:rPr>
          <w:sz w:val="20"/>
          <w:szCs w:val="20"/>
        </w:rPr>
      </w:pPr>
      <w:r>
        <w:rPr>
          <w:vertAlign w:val="superscript"/>
        </w:rPr>
        <w:footnoteRef/>
      </w:r>
      <w:r>
        <w:rPr>
          <w:sz w:val="20"/>
          <w:szCs w:val="20"/>
        </w:rPr>
        <w:t xml:space="preserve"> Okorie Igodo Eze, '</w:t>
      </w:r>
      <w:r w:rsidR="00CA266A">
        <w:rPr>
          <w:sz w:val="20"/>
          <w:szCs w:val="20"/>
        </w:rPr>
        <w:t>Challenges</w:t>
      </w:r>
      <w:r>
        <w:rPr>
          <w:sz w:val="20"/>
          <w:szCs w:val="20"/>
        </w:rPr>
        <w:t xml:space="preserve"> to Igbo Traditional Religio-Cultural Renaissance in the Midst of Globalization' (Doctor of Philosophy, Nnamdi Azikiwe University, 2019). </w:t>
      </w:r>
      <w:r w:rsidR="00B671AB" w:rsidRPr="00B671AB">
        <w:rPr>
          <w:sz w:val="20"/>
          <w:szCs w:val="20"/>
        </w:rPr>
        <w:t>[accessed January 20th 2026]</w:t>
      </w:r>
      <w:r w:rsidR="00B671AB">
        <w:rPr>
          <w:sz w:val="20"/>
          <w:szCs w:val="20"/>
        </w:rPr>
        <w:t xml:space="preserve">, </w:t>
      </w:r>
      <w:r>
        <w:rPr>
          <w:sz w:val="20"/>
          <w:szCs w:val="20"/>
        </w:rPr>
        <w:t xml:space="preserve">Pg 21. </w:t>
      </w:r>
    </w:p>
  </w:footnote>
  <w:footnote w:id="144">
    <w:p w14:paraId="797533EE" w14:textId="77777777" w:rsidR="00A16F79" w:rsidRDefault="00A16F79">
      <w:pPr>
        <w:spacing w:line="240" w:lineRule="auto"/>
        <w:rPr>
          <w:sz w:val="20"/>
          <w:szCs w:val="20"/>
        </w:rPr>
      </w:pPr>
      <w:r>
        <w:rPr>
          <w:vertAlign w:val="superscript"/>
        </w:rPr>
        <w:footnoteRef/>
      </w:r>
      <w:r>
        <w:rPr>
          <w:sz w:val="20"/>
          <w:szCs w:val="20"/>
        </w:rPr>
        <w:t xml:space="preserve"> Abiodun, </w:t>
      </w:r>
      <w:r>
        <w:rPr>
          <w:i/>
          <w:iCs/>
          <w:sz w:val="20"/>
          <w:szCs w:val="20"/>
        </w:rPr>
        <w:t>Understanding Yoruba Art and Aesthetics</w:t>
      </w:r>
      <w:r>
        <w:rPr>
          <w:sz w:val="20"/>
          <w:szCs w:val="20"/>
        </w:rPr>
        <w:t xml:space="preserve">. Pg 71. </w:t>
      </w:r>
    </w:p>
  </w:footnote>
  <w:footnote w:id="145">
    <w:p w14:paraId="205620A8" w14:textId="71E06B12" w:rsidR="00A16F79" w:rsidRDefault="00A16F79">
      <w:pPr>
        <w:spacing w:line="240" w:lineRule="auto"/>
        <w:rPr>
          <w:sz w:val="20"/>
          <w:szCs w:val="20"/>
        </w:rPr>
      </w:pPr>
      <w:r>
        <w:rPr>
          <w:vertAlign w:val="superscript"/>
        </w:rPr>
        <w:footnoteRef/>
      </w:r>
      <w:r>
        <w:rPr>
          <w:sz w:val="20"/>
          <w:szCs w:val="20"/>
        </w:rPr>
        <w:t xml:space="preserve">  Vega, </w:t>
      </w:r>
      <w:r>
        <w:rPr>
          <w:i/>
          <w:iCs/>
          <w:sz w:val="20"/>
          <w:szCs w:val="20"/>
        </w:rPr>
        <w:t>Ase, the Nexus of the Black Global Aesthetic,</w:t>
      </w:r>
      <w:r>
        <w:rPr>
          <w:sz w:val="20"/>
          <w:szCs w:val="20"/>
        </w:rPr>
        <w:t xml:space="preserve"> pg</w:t>
      </w:r>
      <w:r w:rsidR="005818E8">
        <w:rPr>
          <w:sz w:val="20"/>
          <w:szCs w:val="20"/>
        </w:rPr>
        <w:t>.</w:t>
      </w:r>
      <w:r>
        <w:rPr>
          <w:sz w:val="20"/>
          <w:szCs w:val="20"/>
        </w:rPr>
        <w:t xml:space="preserve"> 56.  </w:t>
      </w:r>
    </w:p>
  </w:footnote>
  <w:footnote w:id="146">
    <w:p w14:paraId="232F95CA" w14:textId="77777777" w:rsidR="00A16F79" w:rsidRDefault="00A16F79">
      <w:pPr>
        <w:spacing w:line="240" w:lineRule="auto"/>
        <w:rPr>
          <w:sz w:val="20"/>
          <w:szCs w:val="20"/>
        </w:rPr>
      </w:pPr>
      <w:r>
        <w:rPr>
          <w:vertAlign w:val="superscript"/>
        </w:rPr>
        <w:footnoteRef/>
      </w:r>
      <w:r>
        <w:rPr>
          <w:sz w:val="20"/>
          <w:szCs w:val="20"/>
        </w:rPr>
        <w:t xml:space="preserve"> Participant 5, Interview with India Sweeting, January 8th 2026.</w:t>
      </w:r>
    </w:p>
  </w:footnote>
  <w:footnote w:id="147">
    <w:p w14:paraId="7392282B" w14:textId="77777777" w:rsidR="00A16F79" w:rsidRDefault="00A16F79">
      <w:pPr>
        <w:spacing w:line="240" w:lineRule="auto"/>
        <w:rPr>
          <w:sz w:val="20"/>
          <w:szCs w:val="20"/>
        </w:rPr>
      </w:pPr>
      <w:r>
        <w:rPr>
          <w:vertAlign w:val="superscript"/>
        </w:rPr>
        <w:footnoteRef/>
      </w:r>
      <w:r>
        <w:rPr>
          <w:sz w:val="20"/>
          <w:szCs w:val="20"/>
        </w:rPr>
        <w:t xml:space="preserve"> Participant 4, Interview with India Sweeting, January 8th 2026.</w:t>
      </w:r>
    </w:p>
    <w:p w14:paraId="1BD8C689" w14:textId="551C1818" w:rsidR="008553ED" w:rsidRDefault="008553ED">
      <w:pPr>
        <w:spacing w:line="240" w:lineRule="auto"/>
        <w:rPr>
          <w:sz w:val="20"/>
          <w:szCs w:val="20"/>
        </w:rPr>
      </w:pPr>
      <w:r>
        <w:rPr>
          <w:sz w:val="20"/>
          <w:szCs w:val="20"/>
        </w:rPr>
        <w:t xml:space="preserve">‘Rush’ in this context refers to dancing, specifically in the contexts of Junkanoo. </w:t>
      </w:r>
    </w:p>
  </w:footnote>
  <w:footnote w:id="148">
    <w:p w14:paraId="491BE5E4" w14:textId="77777777" w:rsidR="00A16F79" w:rsidRDefault="00A16F79">
      <w:pPr>
        <w:spacing w:line="240" w:lineRule="auto"/>
        <w:rPr>
          <w:sz w:val="20"/>
          <w:szCs w:val="20"/>
        </w:rPr>
      </w:pPr>
      <w:r>
        <w:rPr>
          <w:vertAlign w:val="superscript"/>
        </w:rPr>
        <w:footnoteRef/>
      </w:r>
      <w:r>
        <w:rPr>
          <w:sz w:val="20"/>
          <w:szCs w:val="20"/>
        </w:rPr>
        <w:t xml:space="preserve"> Participant 7, Interview with India Sweeting, January 8th 2026.</w:t>
      </w:r>
    </w:p>
  </w:footnote>
  <w:footnote w:id="149">
    <w:p w14:paraId="4E4F47CD" w14:textId="7073C88A" w:rsidR="00A16F79" w:rsidRDefault="00A16F79">
      <w:pPr>
        <w:spacing w:line="240" w:lineRule="auto"/>
        <w:rPr>
          <w:sz w:val="20"/>
          <w:szCs w:val="20"/>
        </w:rPr>
      </w:pPr>
      <w:r>
        <w:rPr>
          <w:vertAlign w:val="superscript"/>
        </w:rPr>
        <w:footnoteRef/>
      </w:r>
      <w:r>
        <w:rPr>
          <w:sz w:val="20"/>
          <w:szCs w:val="20"/>
        </w:rPr>
        <w:t xml:space="preserve"> Participant 1, Interview with India Sweeting, January 4th</w:t>
      </w:r>
      <w:r w:rsidR="005818E8">
        <w:rPr>
          <w:sz w:val="20"/>
          <w:szCs w:val="20"/>
        </w:rPr>
        <w:t>, 2026</w:t>
      </w:r>
      <w:r>
        <w:rPr>
          <w:sz w:val="20"/>
          <w:szCs w:val="20"/>
        </w:rPr>
        <w:t>.</w:t>
      </w:r>
    </w:p>
  </w:footnote>
  <w:footnote w:id="150">
    <w:p w14:paraId="5282537F" w14:textId="77777777" w:rsidR="00A16F79" w:rsidRDefault="00A16F79">
      <w:pPr>
        <w:spacing w:line="240" w:lineRule="auto"/>
        <w:rPr>
          <w:sz w:val="20"/>
          <w:szCs w:val="20"/>
        </w:rPr>
      </w:pPr>
      <w:r>
        <w:rPr>
          <w:vertAlign w:val="superscript"/>
        </w:rPr>
        <w:footnoteRef/>
      </w:r>
      <w:r>
        <w:rPr>
          <w:sz w:val="20"/>
          <w:szCs w:val="20"/>
        </w:rPr>
        <w:t xml:space="preserve"> Participant 7, Interview with India Sweeting.</w:t>
      </w:r>
    </w:p>
  </w:footnote>
  <w:footnote w:id="151">
    <w:p w14:paraId="6CCA08AC" w14:textId="77777777" w:rsidR="00A16F79" w:rsidRDefault="00A16F79">
      <w:pPr>
        <w:spacing w:line="240" w:lineRule="auto"/>
        <w:rPr>
          <w:sz w:val="20"/>
          <w:szCs w:val="20"/>
        </w:rPr>
      </w:pPr>
      <w:r>
        <w:rPr>
          <w:vertAlign w:val="superscript"/>
        </w:rPr>
        <w:footnoteRef/>
      </w:r>
      <w:r>
        <w:rPr>
          <w:sz w:val="20"/>
          <w:szCs w:val="20"/>
        </w:rPr>
        <w:t xml:space="preserve"> Participant 1, Interview with India Sweeting.</w:t>
      </w:r>
    </w:p>
  </w:footnote>
  <w:footnote w:id="152">
    <w:p w14:paraId="1DBBB103" w14:textId="77777777" w:rsidR="00A16F79" w:rsidRDefault="00A16F79">
      <w:pPr>
        <w:spacing w:line="240" w:lineRule="auto"/>
        <w:rPr>
          <w:sz w:val="20"/>
          <w:szCs w:val="20"/>
        </w:rPr>
      </w:pPr>
      <w:r>
        <w:rPr>
          <w:vertAlign w:val="superscript"/>
        </w:rPr>
        <w:footnoteRef/>
      </w:r>
      <w:r>
        <w:rPr>
          <w:sz w:val="20"/>
          <w:szCs w:val="20"/>
        </w:rPr>
        <w:t xml:space="preserve"> Participant 5, Interview with India Sweeting.</w:t>
      </w:r>
    </w:p>
  </w:footnote>
  <w:footnote w:id="153">
    <w:p w14:paraId="448283C0" w14:textId="0BF4ECF6" w:rsidR="00A16F79" w:rsidRDefault="00A16F79">
      <w:pPr>
        <w:spacing w:line="240" w:lineRule="auto"/>
        <w:rPr>
          <w:sz w:val="20"/>
          <w:szCs w:val="20"/>
        </w:rPr>
      </w:pPr>
      <w:r>
        <w:rPr>
          <w:vertAlign w:val="superscript"/>
        </w:rPr>
        <w:footnoteRef/>
      </w:r>
      <w:r>
        <w:rPr>
          <w:sz w:val="20"/>
          <w:szCs w:val="20"/>
        </w:rPr>
        <w:t xml:space="preserve"> Participant 2, Interview with India Sweeting, January 4th</w:t>
      </w:r>
      <w:r w:rsidR="005818E8">
        <w:rPr>
          <w:sz w:val="20"/>
          <w:szCs w:val="20"/>
        </w:rPr>
        <w:t>, 2026</w:t>
      </w:r>
      <w:r>
        <w:rPr>
          <w:sz w:val="20"/>
          <w:szCs w:val="20"/>
        </w:rPr>
        <w:t>.</w:t>
      </w:r>
    </w:p>
  </w:footnote>
  <w:footnote w:id="154">
    <w:p w14:paraId="5E053769" w14:textId="3BC5513B" w:rsidR="00A16F79" w:rsidRDefault="00A16F79">
      <w:pPr>
        <w:spacing w:line="240" w:lineRule="auto"/>
        <w:rPr>
          <w:sz w:val="20"/>
          <w:szCs w:val="20"/>
        </w:rPr>
      </w:pPr>
      <w:r>
        <w:rPr>
          <w:vertAlign w:val="superscript"/>
        </w:rPr>
        <w:footnoteRef/>
      </w:r>
      <w:r>
        <w:rPr>
          <w:sz w:val="20"/>
          <w:szCs w:val="20"/>
        </w:rPr>
        <w:t xml:space="preserve"> Participant 3, Interview with India Sweeting, January 7th</w:t>
      </w:r>
      <w:r w:rsidR="005818E8">
        <w:rPr>
          <w:sz w:val="20"/>
          <w:szCs w:val="20"/>
        </w:rPr>
        <w:t>,</w:t>
      </w:r>
      <w:r>
        <w:rPr>
          <w:sz w:val="20"/>
          <w:szCs w:val="20"/>
        </w:rPr>
        <w:t xml:space="preserve"> 2026.</w:t>
      </w:r>
    </w:p>
  </w:footnote>
  <w:footnote w:id="155">
    <w:p w14:paraId="092BAF1C" w14:textId="77777777" w:rsidR="00A16F79" w:rsidRDefault="00A16F79">
      <w:pPr>
        <w:spacing w:line="240" w:lineRule="auto"/>
        <w:rPr>
          <w:sz w:val="20"/>
          <w:szCs w:val="20"/>
        </w:rPr>
      </w:pPr>
      <w:r>
        <w:rPr>
          <w:vertAlign w:val="superscript"/>
        </w:rPr>
        <w:footnoteRef/>
      </w:r>
      <w:r>
        <w:rPr>
          <w:sz w:val="20"/>
          <w:szCs w:val="20"/>
        </w:rPr>
        <w:t xml:space="preserve"> Participant 2, Interview with India Sweeting.</w:t>
      </w:r>
    </w:p>
  </w:footnote>
  <w:footnote w:id="156">
    <w:p w14:paraId="6BE9713A" w14:textId="77777777" w:rsidR="00A16F79" w:rsidRDefault="00A16F79">
      <w:pPr>
        <w:spacing w:line="240" w:lineRule="auto"/>
        <w:rPr>
          <w:sz w:val="20"/>
          <w:szCs w:val="20"/>
        </w:rPr>
      </w:pPr>
      <w:r>
        <w:rPr>
          <w:vertAlign w:val="superscript"/>
        </w:rPr>
        <w:footnoteRef/>
      </w:r>
      <w:r>
        <w:rPr>
          <w:sz w:val="20"/>
          <w:szCs w:val="20"/>
        </w:rPr>
        <w:t xml:space="preserve"> Participant 3, Interview with India Sweeting.</w:t>
      </w:r>
    </w:p>
  </w:footnote>
  <w:footnote w:id="157">
    <w:p w14:paraId="75A9B6C7" w14:textId="77777777" w:rsidR="00A16F79" w:rsidRDefault="00A16F79">
      <w:pPr>
        <w:spacing w:line="240" w:lineRule="auto"/>
        <w:rPr>
          <w:sz w:val="20"/>
          <w:szCs w:val="20"/>
        </w:rPr>
      </w:pPr>
      <w:r>
        <w:rPr>
          <w:vertAlign w:val="superscript"/>
        </w:rPr>
        <w:footnoteRef/>
      </w:r>
      <w:r>
        <w:rPr>
          <w:sz w:val="20"/>
          <w:szCs w:val="20"/>
        </w:rPr>
        <w:t xml:space="preserve"> Participant 1, Interview with India Sweeting.</w:t>
      </w:r>
    </w:p>
  </w:footnote>
  <w:footnote w:id="158">
    <w:p w14:paraId="0AD5E21D" w14:textId="77777777" w:rsidR="00A16F79" w:rsidRDefault="00A16F79">
      <w:pPr>
        <w:spacing w:line="240" w:lineRule="auto"/>
        <w:rPr>
          <w:sz w:val="20"/>
          <w:szCs w:val="20"/>
        </w:rPr>
      </w:pPr>
      <w:r>
        <w:rPr>
          <w:vertAlign w:val="superscript"/>
        </w:rPr>
        <w:footnoteRef/>
      </w:r>
      <w:r>
        <w:rPr>
          <w:sz w:val="20"/>
          <w:szCs w:val="20"/>
        </w:rPr>
        <w:t xml:space="preserve"> Participant 2, Interview with India Sweeting.</w:t>
      </w:r>
    </w:p>
  </w:footnote>
  <w:footnote w:id="159">
    <w:p w14:paraId="4A5022B7" w14:textId="77777777" w:rsidR="00A16F79" w:rsidRDefault="00A16F79">
      <w:pPr>
        <w:spacing w:line="240" w:lineRule="auto"/>
        <w:rPr>
          <w:sz w:val="20"/>
          <w:szCs w:val="20"/>
        </w:rPr>
      </w:pPr>
      <w:r>
        <w:rPr>
          <w:vertAlign w:val="superscript"/>
        </w:rPr>
        <w:footnoteRef/>
      </w:r>
      <w:r>
        <w:rPr>
          <w:sz w:val="20"/>
          <w:szCs w:val="20"/>
        </w:rPr>
        <w:t xml:space="preserve"> Participant 3, Interview with India Sweeting.</w:t>
      </w:r>
    </w:p>
  </w:footnote>
  <w:footnote w:id="160">
    <w:p w14:paraId="7F509873" w14:textId="77777777" w:rsidR="00A16F79" w:rsidRDefault="00A16F79">
      <w:pPr>
        <w:spacing w:line="240" w:lineRule="auto"/>
        <w:rPr>
          <w:sz w:val="20"/>
          <w:szCs w:val="20"/>
        </w:rPr>
      </w:pPr>
      <w:r>
        <w:rPr>
          <w:vertAlign w:val="superscript"/>
        </w:rPr>
        <w:footnoteRef/>
      </w:r>
      <w:r>
        <w:rPr>
          <w:sz w:val="20"/>
          <w:szCs w:val="20"/>
        </w:rPr>
        <w:t xml:space="preserve"> Participant 5, Interview with India Sweeting.</w:t>
      </w:r>
    </w:p>
  </w:footnote>
  <w:footnote w:id="161">
    <w:p w14:paraId="51F5690A" w14:textId="77777777" w:rsidR="00A16F79" w:rsidRDefault="00A16F79">
      <w:pPr>
        <w:spacing w:line="240" w:lineRule="auto"/>
        <w:rPr>
          <w:sz w:val="20"/>
          <w:szCs w:val="20"/>
        </w:rPr>
      </w:pPr>
      <w:r>
        <w:rPr>
          <w:vertAlign w:val="superscript"/>
        </w:rPr>
        <w:footnoteRef/>
      </w:r>
      <w:r>
        <w:rPr>
          <w:sz w:val="20"/>
          <w:szCs w:val="20"/>
        </w:rPr>
        <w:t xml:space="preserve"> Participant 5, Interview with India Sweeting.</w:t>
      </w:r>
    </w:p>
  </w:footnote>
  <w:footnote w:id="162">
    <w:p w14:paraId="4ECB88D0" w14:textId="77777777" w:rsidR="00A16F79" w:rsidRDefault="00A16F79">
      <w:pPr>
        <w:spacing w:line="240" w:lineRule="auto"/>
        <w:rPr>
          <w:sz w:val="20"/>
          <w:szCs w:val="20"/>
        </w:rPr>
      </w:pPr>
      <w:r>
        <w:rPr>
          <w:vertAlign w:val="superscript"/>
        </w:rPr>
        <w:footnoteRef/>
      </w:r>
      <w:r>
        <w:rPr>
          <w:sz w:val="20"/>
          <w:szCs w:val="20"/>
        </w:rPr>
        <w:t xml:space="preserve"> Participant 4, Interview with India Sweeting.</w:t>
      </w:r>
    </w:p>
  </w:footnote>
  <w:footnote w:id="163">
    <w:p w14:paraId="714C67C7" w14:textId="77777777" w:rsidR="00A16F79" w:rsidRDefault="00A16F79">
      <w:pPr>
        <w:spacing w:line="240" w:lineRule="auto"/>
        <w:rPr>
          <w:sz w:val="20"/>
          <w:szCs w:val="20"/>
        </w:rPr>
      </w:pPr>
      <w:r>
        <w:rPr>
          <w:vertAlign w:val="superscript"/>
        </w:rPr>
        <w:footnoteRef/>
      </w:r>
      <w:r>
        <w:rPr>
          <w:sz w:val="20"/>
          <w:szCs w:val="20"/>
        </w:rPr>
        <w:t xml:space="preserve"> Participant 5, Interview with India Sweeting.</w:t>
      </w:r>
    </w:p>
  </w:footnote>
  <w:footnote w:id="164">
    <w:p w14:paraId="1B3643CB" w14:textId="77777777" w:rsidR="00A16F79" w:rsidRDefault="00A16F79">
      <w:pPr>
        <w:spacing w:line="240" w:lineRule="auto"/>
        <w:rPr>
          <w:sz w:val="20"/>
          <w:szCs w:val="20"/>
        </w:rPr>
      </w:pPr>
      <w:r>
        <w:rPr>
          <w:vertAlign w:val="superscript"/>
        </w:rPr>
        <w:footnoteRef/>
      </w:r>
      <w:r>
        <w:rPr>
          <w:sz w:val="20"/>
          <w:szCs w:val="20"/>
        </w:rPr>
        <w:t xml:space="preserve"> Participant 2, Interview with India Sweeting.</w:t>
      </w:r>
    </w:p>
  </w:footnote>
  <w:footnote w:id="165">
    <w:p w14:paraId="0BD37806" w14:textId="77777777" w:rsidR="00A16F79" w:rsidRDefault="00A16F79">
      <w:pPr>
        <w:spacing w:line="240" w:lineRule="auto"/>
        <w:rPr>
          <w:sz w:val="20"/>
          <w:szCs w:val="20"/>
        </w:rPr>
      </w:pPr>
      <w:r>
        <w:rPr>
          <w:vertAlign w:val="superscript"/>
        </w:rPr>
        <w:footnoteRef/>
      </w:r>
      <w:r>
        <w:rPr>
          <w:sz w:val="20"/>
          <w:szCs w:val="20"/>
        </w:rPr>
        <w:t xml:space="preserve"> Janice Boddy, 'Spirit Possession Revisited: Beyond Instrumentality', </w:t>
      </w:r>
      <w:r>
        <w:rPr>
          <w:i/>
          <w:iCs/>
          <w:sz w:val="20"/>
          <w:szCs w:val="20"/>
        </w:rPr>
        <w:t xml:space="preserve">Annual Review of Anthropology, </w:t>
      </w:r>
      <w:r>
        <w:rPr>
          <w:sz w:val="20"/>
          <w:szCs w:val="20"/>
        </w:rPr>
        <w:t>23 (1994), 407–434</w:t>
      </w:r>
      <w:r>
        <w:rPr>
          <w:i/>
          <w:iCs/>
          <w:sz w:val="20"/>
          <w:szCs w:val="20"/>
        </w:rPr>
        <w:t>, in JSTOR</w:t>
      </w:r>
      <w:r>
        <w:rPr>
          <w:sz w:val="20"/>
          <w:szCs w:val="20"/>
        </w:rPr>
        <w:t xml:space="preserve"> &lt;http://www.jstor.org/stable/2156020&gt;. Pg 407.</w:t>
      </w:r>
    </w:p>
  </w:footnote>
  <w:footnote w:id="166">
    <w:p w14:paraId="4AB03746" w14:textId="4D884192" w:rsidR="00A16F79" w:rsidRDefault="00A16F79">
      <w:pPr>
        <w:spacing w:line="240" w:lineRule="auto"/>
        <w:rPr>
          <w:sz w:val="20"/>
          <w:szCs w:val="20"/>
        </w:rPr>
      </w:pPr>
      <w:r>
        <w:rPr>
          <w:vertAlign w:val="superscript"/>
        </w:rPr>
        <w:footnoteRef/>
      </w:r>
      <w:r>
        <w:rPr>
          <w:sz w:val="20"/>
          <w:szCs w:val="20"/>
        </w:rPr>
        <w:t xml:space="preserve">Michael S. Merrill, 'Masks, Metaphor and Transformation: The Communication of Belief in Ritual Performance', </w:t>
      </w:r>
      <w:r>
        <w:rPr>
          <w:i/>
          <w:iCs/>
          <w:sz w:val="20"/>
          <w:szCs w:val="20"/>
        </w:rPr>
        <w:t xml:space="preserve">Journal of Ritual Studies, </w:t>
      </w:r>
      <w:r>
        <w:rPr>
          <w:sz w:val="20"/>
          <w:szCs w:val="20"/>
        </w:rPr>
        <w:t>18 (2004), 16–33</w:t>
      </w:r>
      <w:r>
        <w:rPr>
          <w:i/>
          <w:iCs/>
          <w:sz w:val="20"/>
          <w:szCs w:val="20"/>
        </w:rPr>
        <w:t>, in JSTOR</w:t>
      </w:r>
      <w:r>
        <w:rPr>
          <w:sz w:val="20"/>
          <w:szCs w:val="20"/>
        </w:rPr>
        <w:t xml:space="preserve"> &lt;http://www.jstor.org/stable/44368668&gt;. </w:t>
      </w:r>
      <w:r w:rsidR="007A27AA">
        <w:rPr>
          <w:sz w:val="20"/>
          <w:szCs w:val="20"/>
        </w:rPr>
        <w:t>P</w:t>
      </w:r>
      <w:r>
        <w:rPr>
          <w:sz w:val="20"/>
          <w:szCs w:val="20"/>
        </w:rPr>
        <w:t>g</w:t>
      </w:r>
      <w:r w:rsidR="007A27AA">
        <w:rPr>
          <w:sz w:val="20"/>
          <w:szCs w:val="20"/>
        </w:rPr>
        <w:t>.</w:t>
      </w:r>
      <w:r>
        <w:rPr>
          <w:sz w:val="20"/>
          <w:szCs w:val="20"/>
        </w:rPr>
        <w:t xml:space="preserve"> 16-17.</w:t>
      </w:r>
    </w:p>
  </w:footnote>
  <w:footnote w:id="167">
    <w:p w14:paraId="65456200" w14:textId="77777777" w:rsidR="00A16F79" w:rsidRDefault="00A16F79">
      <w:pPr>
        <w:spacing w:line="240" w:lineRule="auto"/>
        <w:rPr>
          <w:sz w:val="20"/>
          <w:szCs w:val="20"/>
        </w:rPr>
      </w:pPr>
      <w:r>
        <w:rPr>
          <w:vertAlign w:val="superscript"/>
        </w:rPr>
        <w:footnoteRef/>
      </w:r>
      <w:r>
        <w:rPr>
          <w:sz w:val="20"/>
          <w:szCs w:val="20"/>
        </w:rPr>
        <w:t xml:space="preserve"> Participant 3, Interview with India Sweeting.</w:t>
      </w:r>
    </w:p>
  </w:footnote>
  <w:footnote w:id="168">
    <w:p w14:paraId="7BC01DDA" w14:textId="77777777" w:rsidR="00F139B9" w:rsidRDefault="00F139B9" w:rsidP="00F139B9">
      <w:pPr>
        <w:spacing w:line="240" w:lineRule="auto"/>
        <w:rPr>
          <w:sz w:val="20"/>
          <w:szCs w:val="20"/>
        </w:rPr>
      </w:pPr>
      <w:r>
        <w:rPr>
          <w:vertAlign w:val="superscript"/>
        </w:rPr>
        <w:footnoteRef/>
      </w:r>
      <w:r>
        <w:rPr>
          <w:sz w:val="20"/>
          <w:szCs w:val="20"/>
        </w:rPr>
        <w:t xml:space="preserve"> Participant 7, Interview with India Sweeting.</w:t>
      </w:r>
    </w:p>
  </w:footnote>
  <w:footnote w:id="169">
    <w:p w14:paraId="373CF317" w14:textId="77777777" w:rsidR="00A16F79" w:rsidRDefault="00A16F79">
      <w:pPr>
        <w:spacing w:line="240" w:lineRule="auto"/>
        <w:rPr>
          <w:sz w:val="20"/>
          <w:szCs w:val="20"/>
        </w:rPr>
      </w:pPr>
      <w:r>
        <w:rPr>
          <w:vertAlign w:val="superscript"/>
        </w:rPr>
        <w:footnoteRef/>
      </w:r>
      <w:r>
        <w:rPr>
          <w:sz w:val="20"/>
          <w:szCs w:val="20"/>
        </w:rPr>
        <w:t xml:space="preserve"> Participant 1, Interview with India Sweeting.</w:t>
      </w:r>
    </w:p>
  </w:footnote>
  <w:footnote w:id="170">
    <w:p w14:paraId="38468988" w14:textId="77777777" w:rsidR="00A16F79" w:rsidRDefault="00A16F79">
      <w:pPr>
        <w:spacing w:line="240" w:lineRule="auto"/>
        <w:rPr>
          <w:sz w:val="20"/>
          <w:szCs w:val="20"/>
        </w:rPr>
      </w:pPr>
      <w:r>
        <w:rPr>
          <w:vertAlign w:val="superscript"/>
        </w:rPr>
        <w:footnoteRef/>
      </w:r>
      <w:r>
        <w:rPr>
          <w:sz w:val="20"/>
          <w:szCs w:val="20"/>
        </w:rPr>
        <w:t xml:space="preserve"> Participant 3, Interview with India Sweeting.</w:t>
      </w:r>
    </w:p>
  </w:footnote>
  <w:footnote w:id="171">
    <w:p w14:paraId="0516E786" w14:textId="77777777" w:rsidR="00A16F79" w:rsidRDefault="00A16F79">
      <w:pPr>
        <w:spacing w:line="240" w:lineRule="auto"/>
        <w:rPr>
          <w:sz w:val="20"/>
          <w:szCs w:val="20"/>
        </w:rPr>
      </w:pPr>
      <w:r>
        <w:rPr>
          <w:vertAlign w:val="superscript"/>
        </w:rPr>
        <w:footnoteRef/>
      </w:r>
      <w:r>
        <w:rPr>
          <w:sz w:val="20"/>
          <w:szCs w:val="20"/>
        </w:rPr>
        <w:t xml:space="preserve"> Participant 1, Interview with India Sweeting.</w:t>
      </w:r>
    </w:p>
  </w:footnote>
  <w:footnote w:id="172">
    <w:p w14:paraId="5ABCAD3C" w14:textId="77777777" w:rsidR="00A16F79" w:rsidRDefault="00A16F79">
      <w:pPr>
        <w:spacing w:line="240" w:lineRule="auto"/>
        <w:rPr>
          <w:sz w:val="20"/>
          <w:szCs w:val="20"/>
        </w:rPr>
      </w:pPr>
      <w:r>
        <w:rPr>
          <w:vertAlign w:val="superscript"/>
        </w:rPr>
        <w:footnoteRef/>
      </w:r>
      <w:r>
        <w:rPr>
          <w:sz w:val="20"/>
          <w:szCs w:val="20"/>
        </w:rPr>
        <w:t xml:space="preserve"> Participant 1, Interview with India Sweeting.</w:t>
      </w:r>
    </w:p>
  </w:footnote>
  <w:footnote w:id="173">
    <w:p w14:paraId="134EC16C" w14:textId="77777777" w:rsidR="00A16F79" w:rsidRDefault="00A16F79">
      <w:pPr>
        <w:spacing w:line="240" w:lineRule="auto"/>
        <w:rPr>
          <w:sz w:val="20"/>
          <w:szCs w:val="20"/>
        </w:rPr>
      </w:pPr>
      <w:r>
        <w:rPr>
          <w:vertAlign w:val="superscript"/>
        </w:rPr>
        <w:footnoteRef/>
      </w:r>
      <w:r>
        <w:rPr>
          <w:sz w:val="20"/>
          <w:szCs w:val="20"/>
        </w:rPr>
        <w:t xml:space="preserve"> Participant 1, Interview with India Sweeting.</w:t>
      </w:r>
    </w:p>
  </w:footnote>
  <w:footnote w:id="174">
    <w:p w14:paraId="4F5F11EB" w14:textId="77777777" w:rsidR="00A16F79" w:rsidRDefault="00A16F79">
      <w:pPr>
        <w:spacing w:line="240" w:lineRule="auto"/>
        <w:rPr>
          <w:sz w:val="20"/>
          <w:szCs w:val="20"/>
        </w:rPr>
      </w:pPr>
      <w:r>
        <w:rPr>
          <w:vertAlign w:val="superscript"/>
        </w:rPr>
        <w:footnoteRef/>
      </w:r>
      <w:r>
        <w:rPr>
          <w:sz w:val="20"/>
          <w:szCs w:val="20"/>
        </w:rPr>
        <w:t xml:space="preserve"> Participant 2, Interview with India Sweeting.</w:t>
      </w:r>
    </w:p>
  </w:footnote>
  <w:footnote w:id="175">
    <w:p w14:paraId="0D3F3B5E" w14:textId="77777777" w:rsidR="00A16F79" w:rsidRDefault="00A16F79">
      <w:pPr>
        <w:spacing w:line="240" w:lineRule="auto"/>
        <w:rPr>
          <w:sz w:val="20"/>
          <w:szCs w:val="20"/>
        </w:rPr>
      </w:pPr>
      <w:r>
        <w:rPr>
          <w:vertAlign w:val="superscript"/>
        </w:rPr>
        <w:footnoteRef/>
      </w:r>
      <w:r>
        <w:rPr>
          <w:sz w:val="20"/>
          <w:szCs w:val="20"/>
        </w:rPr>
        <w:t xml:space="preserve"> Anthony B. (Tony) Carroll, </w:t>
      </w:r>
      <w:r>
        <w:rPr>
          <w:i/>
          <w:iCs/>
          <w:sz w:val="20"/>
          <w:szCs w:val="20"/>
        </w:rPr>
        <w:t>The History of Junkanoo Part One: My Way all the Way</w:t>
      </w:r>
      <w:r>
        <w:rPr>
          <w:sz w:val="20"/>
          <w:szCs w:val="20"/>
        </w:rPr>
        <w:t xml:space="preserve"> (Bloomington: AuthorHouse, 2007). Pg 49.</w:t>
      </w:r>
    </w:p>
  </w:footnote>
  <w:footnote w:id="176">
    <w:p w14:paraId="4DD53434" w14:textId="77777777" w:rsidR="00A16F79" w:rsidRDefault="00A16F79">
      <w:pPr>
        <w:spacing w:line="240" w:lineRule="auto"/>
        <w:rPr>
          <w:sz w:val="20"/>
          <w:szCs w:val="20"/>
        </w:rPr>
      </w:pPr>
      <w:r>
        <w:rPr>
          <w:vertAlign w:val="superscript"/>
        </w:rPr>
        <w:footnoteRef/>
      </w:r>
      <w:r>
        <w:rPr>
          <w:sz w:val="20"/>
          <w:szCs w:val="20"/>
        </w:rPr>
        <w:t xml:space="preserve"> Participant 5, Interview with India Sweeting.</w:t>
      </w:r>
    </w:p>
  </w:footnote>
  <w:footnote w:id="177">
    <w:p w14:paraId="07408B6E" w14:textId="07D6DD70" w:rsidR="00A16F79" w:rsidRDefault="00A16F79">
      <w:pPr>
        <w:spacing w:line="240" w:lineRule="auto"/>
        <w:rPr>
          <w:sz w:val="20"/>
          <w:szCs w:val="20"/>
        </w:rPr>
      </w:pPr>
      <w:r>
        <w:rPr>
          <w:vertAlign w:val="superscript"/>
        </w:rPr>
        <w:footnoteRef/>
      </w:r>
      <w:r>
        <w:rPr>
          <w:sz w:val="20"/>
          <w:szCs w:val="20"/>
        </w:rPr>
        <w:t xml:space="preserve"> Participant 6, Interview with India Sweeting, January 8th</w:t>
      </w:r>
      <w:r w:rsidR="00327DDA">
        <w:rPr>
          <w:sz w:val="20"/>
          <w:szCs w:val="20"/>
        </w:rPr>
        <w:t>,</w:t>
      </w:r>
      <w:r>
        <w:rPr>
          <w:sz w:val="20"/>
          <w:szCs w:val="20"/>
        </w:rPr>
        <w:t xml:space="preserve"> 2026.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C6865"/>
    <w:multiLevelType w:val="multilevel"/>
    <w:tmpl w:val="942C09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51F3114"/>
    <w:multiLevelType w:val="multilevel"/>
    <w:tmpl w:val="29FAAF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C18239B"/>
    <w:multiLevelType w:val="multilevel"/>
    <w:tmpl w:val="4B2C6C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3270F0E"/>
    <w:multiLevelType w:val="hybridMultilevel"/>
    <w:tmpl w:val="F1B41E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43D41F0"/>
    <w:multiLevelType w:val="multilevel"/>
    <w:tmpl w:val="BD4A4698"/>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15:restartNumberingAfterBreak="0">
    <w:nsid w:val="47926D9E"/>
    <w:multiLevelType w:val="multilevel"/>
    <w:tmpl w:val="27A07678"/>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6" w15:restartNumberingAfterBreak="0">
    <w:nsid w:val="61390B1C"/>
    <w:multiLevelType w:val="multilevel"/>
    <w:tmpl w:val="AA44A0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5D9020A"/>
    <w:multiLevelType w:val="multilevel"/>
    <w:tmpl w:val="EB84A5E8"/>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8" w15:restartNumberingAfterBreak="0">
    <w:nsid w:val="66632527"/>
    <w:multiLevelType w:val="multilevel"/>
    <w:tmpl w:val="E76EF526"/>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9" w15:restartNumberingAfterBreak="0">
    <w:nsid w:val="7B413542"/>
    <w:multiLevelType w:val="multilevel"/>
    <w:tmpl w:val="C5000E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E3210F0"/>
    <w:multiLevelType w:val="hybridMultilevel"/>
    <w:tmpl w:val="DECE20B2"/>
    <w:lvl w:ilvl="0" w:tplc="0809000F">
      <w:start w:val="1"/>
      <w:numFmt w:val="decimal"/>
      <w:lvlText w:val="%1."/>
      <w:lvlJc w:val="left"/>
      <w:pPr>
        <w:tabs>
          <w:tab w:val="num" w:pos="720"/>
        </w:tabs>
        <w:ind w:left="720" w:hanging="36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EF66752"/>
    <w:multiLevelType w:val="hybridMultilevel"/>
    <w:tmpl w:val="346206A0"/>
    <w:lvl w:ilvl="0" w:tplc="63E6C78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9682831">
    <w:abstractNumId w:val="10"/>
  </w:num>
  <w:num w:numId="2" w16cid:durableId="383062339">
    <w:abstractNumId w:val="3"/>
  </w:num>
  <w:num w:numId="3" w16cid:durableId="2006974918">
    <w:abstractNumId w:val="11"/>
  </w:num>
  <w:num w:numId="4" w16cid:durableId="129061736">
    <w:abstractNumId w:val="7"/>
  </w:num>
  <w:num w:numId="5" w16cid:durableId="1161043552">
    <w:abstractNumId w:val="8"/>
  </w:num>
  <w:num w:numId="6" w16cid:durableId="481047772">
    <w:abstractNumId w:val="4"/>
  </w:num>
  <w:num w:numId="7" w16cid:durableId="2055540782">
    <w:abstractNumId w:val="5"/>
  </w:num>
  <w:num w:numId="8" w16cid:durableId="300694152">
    <w:abstractNumId w:val="9"/>
  </w:num>
  <w:num w:numId="9" w16cid:durableId="1626814582">
    <w:abstractNumId w:val="6"/>
  </w:num>
  <w:num w:numId="10" w16cid:durableId="589511946">
    <w:abstractNumId w:val="0"/>
  </w:num>
  <w:num w:numId="11" w16cid:durableId="811139507">
    <w:abstractNumId w:val="2"/>
  </w:num>
  <w:num w:numId="12" w16cid:durableId="210046706">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India Sweeting (1803400)">
    <w15:presenceInfo w15:providerId="AD" w15:userId="S::1803400@student.uwtsd.ac.uk::2f566dd3-6ea9-4add-9d9d-79c7e84435e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F79"/>
    <w:rsid w:val="0000156C"/>
    <w:rsid w:val="00001DE6"/>
    <w:rsid w:val="00015499"/>
    <w:rsid w:val="00020161"/>
    <w:rsid w:val="00024867"/>
    <w:rsid w:val="00056237"/>
    <w:rsid w:val="00057F53"/>
    <w:rsid w:val="000863E8"/>
    <w:rsid w:val="00090F79"/>
    <w:rsid w:val="00092FA8"/>
    <w:rsid w:val="00095248"/>
    <w:rsid w:val="000D1A0D"/>
    <w:rsid w:val="000D4DD5"/>
    <w:rsid w:val="000F6783"/>
    <w:rsid w:val="00106CA9"/>
    <w:rsid w:val="00123A96"/>
    <w:rsid w:val="00125000"/>
    <w:rsid w:val="0012733E"/>
    <w:rsid w:val="00131F65"/>
    <w:rsid w:val="00136C87"/>
    <w:rsid w:val="0014175E"/>
    <w:rsid w:val="00154E5C"/>
    <w:rsid w:val="00160102"/>
    <w:rsid w:val="001A75C1"/>
    <w:rsid w:val="001C2D7A"/>
    <w:rsid w:val="001F3C9D"/>
    <w:rsid w:val="00206BDA"/>
    <w:rsid w:val="00211697"/>
    <w:rsid w:val="0024150D"/>
    <w:rsid w:val="002513B5"/>
    <w:rsid w:val="0027694F"/>
    <w:rsid w:val="00280E05"/>
    <w:rsid w:val="00292972"/>
    <w:rsid w:val="002C6C2A"/>
    <w:rsid w:val="002F45A8"/>
    <w:rsid w:val="00301808"/>
    <w:rsid w:val="00312BAF"/>
    <w:rsid w:val="003247C8"/>
    <w:rsid w:val="00327DDA"/>
    <w:rsid w:val="00387577"/>
    <w:rsid w:val="003C2776"/>
    <w:rsid w:val="00421D3B"/>
    <w:rsid w:val="00443D37"/>
    <w:rsid w:val="0047010D"/>
    <w:rsid w:val="0049723A"/>
    <w:rsid w:val="004A2F82"/>
    <w:rsid w:val="004E0DD0"/>
    <w:rsid w:val="004E373B"/>
    <w:rsid w:val="004F56DD"/>
    <w:rsid w:val="00502BA5"/>
    <w:rsid w:val="0051019D"/>
    <w:rsid w:val="00511B7C"/>
    <w:rsid w:val="00530E02"/>
    <w:rsid w:val="00531685"/>
    <w:rsid w:val="0054211A"/>
    <w:rsid w:val="00543F17"/>
    <w:rsid w:val="0056389C"/>
    <w:rsid w:val="00567C2B"/>
    <w:rsid w:val="005818E8"/>
    <w:rsid w:val="0058668D"/>
    <w:rsid w:val="005A21A5"/>
    <w:rsid w:val="005E23DE"/>
    <w:rsid w:val="005F3522"/>
    <w:rsid w:val="00627C1F"/>
    <w:rsid w:val="006642D3"/>
    <w:rsid w:val="006831A6"/>
    <w:rsid w:val="00684C6A"/>
    <w:rsid w:val="006D41C8"/>
    <w:rsid w:val="006E052C"/>
    <w:rsid w:val="006E67ED"/>
    <w:rsid w:val="006E6C7A"/>
    <w:rsid w:val="00704CC4"/>
    <w:rsid w:val="007075A6"/>
    <w:rsid w:val="00720230"/>
    <w:rsid w:val="0072421B"/>
    <w:rsid w:val="007360B9"/>
    <w:rsid w:val="00737207"/>
    <w:rsid w:val="00740DE6"/>
    <w:rsid w:val="007602A6"/>
    <w:rsid w:val="00771DF6"/>
    <w:rsid w:val="0077231B"/>
    <w:rsid w:val="00780697"/>
    <w:rsid w:val="00782BDB"/>
    <w:rsid w:val="007874D3"/>
    <w:rsid w:val="00795989"/>
    <w:rsid w:val="007A1586"/>
    <w:rsid w:val="007A27AA"/>
    <w:rsid w:val="007A289E"/>
    <w:rsid w:val="007C155A"/>
    <w:rsid w:val="007D1327"/>
    <w:rsid w:val="007D14BF"/>
    <w:rsid w:val="007D44D0"/>
    <w:rsid w:val="007D6790"/>
    <w:rsid w:val="00803728"/>
    <w:rsid w:val="00814761"/>
    <w:rsid w:val="0082142A"/>
    <w:rsid w:val="0082629C"/>
    <w:rsid w:val="008553ED"/>
    <w:rsid w:val="00874893"/>
    <w:rsid w:val="00875A4F"/>
    <w:rsid w:val="00880DFF"/>
    <w:rsid w:val="00892F7A"/>
    <w:rsid w:val="008A452F"/>
    <w:rsid w:val="008C444A"/>
    <w:rsid w:val="008E2331"/>
    <w:rsid w:val="008F4CDF"/>
    <w:rsid w:val="009B10C8"/>
    <w:rsid w:val="009C6ECE"/>
    <w:rsid w:val="009D0ABE"/>
    <w:rsid w:val="009E39EA"/>
    <w:rsid w:val="009F5F59"/>
    <w:rsid w:val="00A16F79"/>
    <w:rsid w:val="00A20D2C"/>
    <w:rsid w:val="00A23995"/>
    <w:rsid w:val="00A26BF6"/>
    <w:rsid w:val="00A41234"/>
    <w:rsid w:val="00A45151"/>
    <w:rsid w:val="00A555C5"/>
    <w:rsid w:val="00A816CD"/>
    <w:rsid w:val="00A861DC"/>
    <w:rsid w:val="00A90E8D"/>
    <w:rsid w:val="00AB1CFF"/>
    <w:rsid w:val="00AE08D8"/>
    <w:rsid w:val="00AE0ED6"/>
    <w:rsid w:val="00AE5E01"/>
    <w:rsid w:val="00B0601B"/>
    <w:rsid w:val="00B27C5C"/>
    <w:rsid w:val="00B636C5"/>
    <w:rsid w:val="00B671AB"/>
    <w:rsid w:val="00B7781C"/>
    <w:rsid w:val="00BB13DD"/>
    <w:rsid w:val="00BB2376"/>
    <w:rsid w:val="00BB3448"/>
    <w:rsid w:val="00C16F42"/>
    <w:rsid w:val="00C369E2"/>
    <w:rsid w:val="00C43719"/>
    <w:rsid w:val="00C57532"/>
    <w:rsid w:val="00C64BAD"/>
    <w:rsid w:val="00C850FA"/>
    <w:rsid w:val="00CA266A"/>
    <w:rsid w:val="00CD1A95"/>
    <w:rsid w:val="00CD1B03"/>
    <w:rsid w:val="00CE411C"/>
    <w:rsid w:val="00D10039"/>
    <w:rsid w:val="00D27F84"/>
    <w:rsid w:val="00D410F0"/>
    <w:rsid w:val="00D44B91"/>
    <w:rsid w:val="00D469A6"/>
    <w:rsid w:val="00D51B36"/>
    <w:rsid w:val="00D7413D"/>
    <w:rsid w:val="00D83F91"/>
    <w:rsid w:val="00DA2F33"/>
    <w:rsid w:val="00DA6C8E"/>
    <w:rsid w:val="00DB1797"/>
    <w:rsid w:val="00DB74CB"/>
    <w:rsid w:val="00DC35E2"/>
    <w:rsid w:val="00DD1992"/>
    <w:rsid w:val="00DE4CD4"/>
    <w:rsid w:val="00DF7456"/>
    <w:rsid w:val="00E04B53"/>
    <w:rsid w:val="00E41CC8"/>
    <w:rsid w:val="00E44B78"/>
    <w:rsid w:val="00E6083D"/>
    <w:rsid w:val="00E75B47"/>
    <w:rsid w:val="00E808B7"/>
    <w:rsid w:val="00E95902"/>
    <w:rsid w:val="00E97AE9"/>
    <w:rsid w:val="00EA1DBA"/>
    <w:rsid w:val="00EC7ED0"/>
    <w:rsid w:val="00ED3916"/>
    <w:rsid w:val="00EE0F67"/>
    <w:rsid w:val="00EF097B"/>
    <w:rsid w:val="00EF4D28"/>
    <w:rsid w:val="00F101D3"/>
    <w:rsid w:val="00F139B9"/>
    <w:rsid w:val="00F31455"/>
    <w:rsid w:val="00F66F27"/>
    <w:rsid w:val="00F74B18"/>
    <w:rsid w:val="00F758A5"/>
    <w:rsid w:val="00F80082"/>
    <w:rsid w:val="00F818B5"/>
    <w:rsid w:val="00F8435E"/>
    <w:rsid w:val="00F914A3"/>
    <w:rsid w:val="00F940CB"/>
    <w:rsid w:val="00FA3048"/>
    <w:rsid w:val="00FA78A8"/>
    <w:rsid w:val="00FD1EBD"/>
    <w:rsid w:val="00FD20EA"/>
    <w:rsid w:val="00FD4668"/>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88E879"/>
  <w15:chartTrackingRefBased/>
  <w15:docId w15:val="{A9C91A43-FED8-48C9-AD25-A7D076CF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6F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autoRedefine/>
    <w:uiPriority w:val="9"/>
    <w:unhideWhenUsed/>
    <w:qFormat/>
    <w:rsid w:val="00FA78A8"/>
    <w:pPr>
      <w:keepNext/>
      <w:keepLines/>
      <w:spacing w:before="160" w:after="80"/>
      <w:jc w:val="center"/>
      <w:outlineLvl w:val="1"/>
    </w:pPr>
    <w:rPr>
      <w:rFonts w:asciiTheme="majorHAnsi" w:eastAsiaTheme="majorEastAsia" w:hAnsiTheme="majorHAnsi" w:cstheme="majorBidi"/>
      <w:b/>
      <w:sz w:val="32"/>
      <w:szCs w:val="32"/>
      <w:u w:val="single"/>
    </w:rPr>
  </w:style>
  <w:style w:type="paragraph" w:styleId="Heading3">
    <w:name w:val="heading 3"/>
    <w:basedOn w:val="Normal"/>
    <w:next w:val="Normal"/>
    <w:link w:val="Heading3Char"/>
    <w:autoRedefine/>
    <w:unhideWhenUsed/>
    <w:qFormat/>
    <w:rsid w:val="00704CC4"/>
    <w:pPr>
      <w:keepNext/>
      <w:keepLines/>
      <w:spacing w:before="160" w:after="80"/>
      <w:jc w:val="center"/>
      <w:outlineLvl w:val="2"/>
    </w:pPr>
    <w:rPr>
      <w:rFonts w:eastAsiaTheme="majorEastAsia" w:cstheme="majorBidi"/>
      <w:b/>
      <w:color w:val="000000" w:themeColor="text1"/>
      <w:sz w:val="32"/>
      <w:szCs w:val="28"/>
      <w:u w:val="single"/>
    </w:rPr>
  </w:style>
  <w:style w:type="paragraph" w:styleId="Heading4">
    <w:name w:val="heading 4"/>
    <w:basedOn w:val="Normal"/>
    <w:next w:val="Normal"/>
    <w:link w:val="Heading4Char"/>
    <w:autoRedefine/>
    <w:uiPriority w:val="9"/>
    <w:unhideWhenUsed/>
    <w:qFormat/>
    <w:rsid w:val="0054211A"/>
    <w:pPr>
      <w:keepNext/>
      <w:keepLines/>
      <w:spacing w:before="80" w:after="40" w:line="360" w:lineRule="auto"/>
      <w:jc w:val="center"/>
      <w:outlineLvl w:val="3"/>
    </w:pPr>
    <w:rPr>
      <w:rFonts w:eastAsiaTheme="majorEastAsia" w:cstheme="majorBidi"/>
      <w:iCs/>
      <w:color w:val="000000" w:themeColor="text1"/>
      <w:sz w:val="28"/>
      <w:u w:val="single"/>
    </w:rPr>
  </w:style>
  <w:style w:type="paragraph" w:styleId="Heading5">
    <w:name w:val="heading 5"/>
    <w:basedOn w:val="Normal"/>
    <w:next w:val="Normal"/>
    <w:link w:val="Heading5Char"/>
    <w:autoRedefine/>
    <w:uiPriority w:val="9"/>
    <w:unhideWhenUsed/>
    <w:qFormat/>
    <w:rsid w:val="00704CC4"/>
    <w:pPr>
      <w:keepNext/>
      <w:keepLines/>
      <w:spacing w:before="80" w:after="40"/>
      <w:jc w:val="center"/>
      <w:outlineLvl w:val="4"/>
    </w:pPr>
    <w:rPr>
      <w:rFonts w:eastAsiaTheme="majorEastAsia" w:cstheme="majorBidi"/>
      <w:b/>
    </w:rPr>
  </w:style>
  <w:style w:type="paragraph" w:styleId="Heading6">
    <w:name w:val="heading 6"/>
    <w:basedOn w:val="Normal"/>
    <w:next w:val="Normal"/>
    <w:link w:val="Heading6Char"/>
    <w:uiPriority w:val="9"/>
    <w:semiHidden/>
    <w:unhideWhenUsed/>
    <w:qFormat/>
    <w:rsid w:val="00A16F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6F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6F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6F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6F7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A78A8"/>
    <w:rPr>
      <w:rFonts w:asciiTheme="majorHAnsi" w:eastAsiaTheme="majorEastAsia" w:hAnsiTheme="majorHAnsi" w:cstheme="majorBidi"/>
      <w:b/>
      <w:sz w:val="32"/>
      <w:szCs w:val="32"/>
      <w:u w:val="single"/>
    </w:rPr>
  </w:style>
  <w:style w:type="character" w:customStyle="1" w:styleId="Heading3Char">
    <w:name w:val="Heading 3 Char"/>
    <w:basedOn w:val="DefaultParagraphFont"/>
    <w:link w:val="Heading3"/>
    <w:uiPriority w:val="9"/>
    <w:rsid w:val="00704CC4"/>
    <w:rPr>
      <w:rFonts w:eastAsiaTheme="majorEastAsia" w:cstheme="majorBidi"/>
      <w:b/>
      <w:color w:val="000000" w:themeColor="text1"/>
      <w:sz w:val="32"/>
      <w:szCs w:val="28"/>
      <w:u w:val="single"/>
    </w:rPr>
  </w:style>
  <w:style w:type="character" w:customStyle="1" w:styleId="Heading4Char">
    <w:name w:val="Heading 4 Char"/>
    <w:basedOn w:val="DefaultParagraphFont"/>
    <w:link w:val="Heading4"/>
    <w:uiPriority w:val="9"/>
    <w:rsid w:val="0054211A"/>
    <w:rPr>
      <w:rFonts w:eastAsiaTheme="majorEastAsia" w:cstheme="majorBidi"/>
      <w:iCs/>
      <w:color w:val="000000" w:themeColor="text1"/>
      <w:sz w:val="28"/>
      <w:u w:val="single"/>
    </w:rPr>
  </w:style>
  <w:style w:type="character" w:customStyle="1" w:styleId="Heading5Char">
    <w:name w:val="Heading 5 Char"/>
    <w:basedOn w:val="DefaultParagraphFont"/>
    <w:link w:val="Heading5"/>
    <w:uiPriority w:val="9"/>
    <w:rsid w:val="00704CC4"/>
    <w:rPr>
      <w:rFonts w:eastAsiaTheme="majorEastAsia" w:cstheme="majorBidi"/>
      <w:b/>
    </w:rPr>
  </w:style>
  <w:style w:type="character" w:customStyle="1" w:styleId="Heading6Char">
    <w:name w:val="Heading 6 Char"/>
    <w:basedOn w:val="DefaultParagraphFont"/>
    <w:link w:val="Heading6"/>
    <w:uiPriority w:val="9"/>
    <w:semiHidden/>
    <w:rsid w:val="00A16F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6F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6F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6F79"/>
    <w:rPr>
      <w:rFonts w:eastAsiaTheme="majorEastAsia" w:cstheme="majorBidi"/>
      <w:color w:val="272727" w:themeColor="text1" w:themeTint="D8"/>
    </w:rPr>
  </w:style>
  <w:style w:type="paragraph" w:styleId="Title">
    <w:name w:val="Title"/>
    <w:basedOn w:val="Normal"/>
    <w:next w:val="Normal"/>
    <w:link w:val="TitleChar"/>
    <w:uiPriority w:val="10"/>
    <w:qFormat/>
    <w:rsid w:val="00A16F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6F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6F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6F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6F79"/>
    <w:pPr>
      <w:spacing w:before="160"/>
      <w:jc w:val="center"/>
    </w:pPr>
    <w:rPr>
      <w:i/>
      <w:iCs/>
      <w:color w:val="404040" w:themeColor="text1" w:themeTint="BF"/>
    </w:rPr>
  </w:style>
  <w:style w:type="character" w:customStyle="1" w:styleId="QuoteChar">
    <w:name w:val="Quote Char"/>
    <w:basedOn w:val="DefaultParagraphFont"/>
    <w:link w:val="Quote"/>
    <w:uiPriority w:val="29"/>
    <w:rsid w:val="00A16F79"/>
    <w:rPr>
      <w:i/>
      <w:iCs/>
      <w:color w:val="404040" w:themeColor="text1" w:themeTint="BF"/>
    </w:rPr>
  </w:style>
  <w:style w:type="paragraph" w:styleId="ListParagraph">
    <w:name w:val="List Paragraph"/>
    <w:basedOn w:val="Normal"/>
    <w:uiPriority w:val="34"/>
    <w:qFormat/>
    <w:rsid w:val="00A16F79"/>
    <w:pPr>
      <w:ind w:left="720"/>
      <w:contextualSpacing/>
    </w:pPr>
  </w:style>
  <w:style w:type="character" w:styleId="IntenseEmphasis">
    <w:name w:val="Intense Emphasis"/>
    <w:basedOn w:val="DefaultParagraphFont"/>
    <w:uiPriority w:val="21"/>
    <w:qFormat/>
    <w:rsid w:val="00A16F79"/>
    <w:rPr>
      <w:i/>
      <w:iCs/>
      <w:color w:val="0F4761" w:themeColor="accent1" w:themeShade="BF"/>
    </w:rPr>
  </w:style>
  <w:style w:type="paragraph" w:styleId="IntenseQuote">
    <w:name w:val="Intense Quote"/>
    <w:basedOn w:val="Normal"/>
    <w:next w:val="Normal"/>
    <w:link w:val="IntenseQuoteChar"/>
    <w:uiPriority w:val="30"/>
    <w:qFormat/>
    <w:rsid w:val="00A16F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16F79"/>
    <w:rPr>
      <w:i/>
      <w:iCs/>
      <w:color w:val="0F4761" w:themeColor="accent1" w:themeShade="BF"/>
    </w:rPr>
  </w:style>
  <w:style w:type="character" w:styleId="IntenseReference">
    <w:name w:val="Intense Reference"/>
    <w:basedOn w:val="DefaultParagraphFont"/>
    <w:uiPriority w:val="32"/>
    <w:qFormat/>
    <w:rsid w:val="00A16F79"/>
    <w:rPr>
      <w:b/>
      <w:bCs/>
      <w:smallCaps/>
      <w:color w:val="0F4761" w:themeColor="accent1" w:themeShade="BF"/>
      <w:spacing w:val="5"/>
    </w:rPr>
  </w:style>
  <w:style w:type="table" w:customStyle="1" w:styleId="TableNormal0">
    <w:name w:val="TableNormal"/>
    <w:rsid w:val="00A16F79"/>
    <w:pPr>
      <w:spacing w:after="0" w:line="276" w:lineRule="auto"/>
      <w:ind w:firstLine="720"/>
    </w:pPr>
    <w:rPr>
      <w:rFonts w:ascii="Arial" w:eastAsia="Arial" w:hAnsi="Arial" w:cs="Arial"/>
      <w:kern w:val="0"/>
      <w:sz w:val="22"/>
      <w:szCs w:val="22"/>
      <w:lang w:val="en-GB"/>
      <w14:ligatures w14:val="none"/>
    </w:rPr>
    <w:tblPr>
      <w:tblCellMar>
        <w:top w:w="100" w:type="dxa"/>
        <w:left w:w="100" w:type="dxa"/>
        <w:bottom w:w="100" w:type="dxa"/>
        <w:right w:w="100" w:type="dxa"/>
      </w:tblCellMar>
    </w:tblPr>
  </w:style>
  <w:style w:type="character" w:styleId="CommentReference">
    <w:name w:val="annotation reference"/>
    <w:basedOn w:val="DefaultParagraphFont"/>
    <w:uiPriority w:val="99"/>
    <w:semiHidden/>
    <w:unhideWhenUsed/>
    <w:rsid w:val="007A27AA"/>
    <w:rPr>
      <w:sz w:val="16"/>
      <w:szCs w:val="16"/>
    </w:rPr>
  </w:style>
  <w:style w:type="paragraph" w:styleId="CommentText">
    <w:name w:val="annotation text"/>
    <w:basedOn w:val="Normal"/>
    <w:link w:val="CommentTextChar"/>
    <w:uiPriority w:val="99"/>
    <w:unhideWhenUsed/>
    <w:rsid w:val="007A27AA"/>
    <w:pPr>
      <w:spacing w:line="240" w:lineRule="auto"/>
    </w:pPr>
    <w:rPr>
      <w:sz w:val="20"/>
      <w:szCs w:val="20"/>
    </w:rPr>
  </w:style>
  <w:style w:type="character" w:customStyle="1" w:styleId="CommentTextChar">
    <w:name w:val="Comment Text Char"/>
    <w:basedOn w:val="DefaultParagraphFont"/>
    <w:link w:val="CommentText"/>
    <w:uiPriority w:val="99"/>
    <w:rsid w:val="007A27AA"/>
    <w:rPr>
      <w:sz w:val="20"/>
      <w:szCs w:val="20"/>
    </w:rPr>
  </w:style>
  <w:style w:type="paragraph" w:styleId="CommentSubject">
    <w:name w:val="annotation subject"/>
    <w:basedOn w:val="CommentText"/>
    <w:next w:val="CommentText"/>
    <w:link w:val="CommentSubjectChar"/>
    <w:uiPriority w:val="99"/>
    <w:semiHidden/>
    <w:unhideWhenUsed/>
    <w:rsid w:val="007A27AA"/>
    <w:rPr>
      <w:b/>
      <w:bCs/>
    </w:rPr>
  </w:style>
  <w:style w:type="character" w:customStyle="1" w:styleId="CommentSubjectChar">
    <w:name w:val="Comment Subject Char"/>
    <w:basedOn w:val="CommentTextChar"/>
    <w:link w:val="CommentSubject"/>
    <w:uiPriority w:val="99"/>
    <w:semiHidden/>
    <w:rsid w:val="007A27AA"/>
    <w:rPr>
      <w:b/>
      <w:bCs/>
      <w:sz w:val="20"/>
      <w:szCs w:val="20"/>
    </w:rPr>
  </w:style>
  <w:style w:type="paragraph" w:styleId="Header">
    <w:name w:val="header"/>
    <w:basedOn w:val="Normal"/>
    <w:link w:val="HeaderChar"/>
    <w:uiPriority w:val="99"/>
    <w:unhideWhenUsed/>
    <w:rsid w:val="005F35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3522"/>
  </w:style>
  <w:style w:type="paragraph" w:styleId="Footer">
    <w:name w:val="footer"/>
    <w:basedOn w:val="Normal"/>
    <w:link w:val="FooterChar"/>
    <w:uiPriority w:val="99"/>
    <w:unhideWhenUsed/>
    <w:rsid w:val="005F35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3522"/>
  </w:style>
  <w:style w:type="paragraph" w:styleId="TOCHeading">
    <w:name w:val="TOC Heading"/>
    <w:basedOn w:val="Heading1"/>
    <w:next w:val="Normal"/>
    <w:uiPriority w:val="39"/>
    <w:unhideWhenUsed/>
    <w:qFormat/>
    <w:rsid w:val="00092FA8"/>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092FA8"/>
    <w:pPr>
      <w:spacing w:after="100"/>
    </w:pPr>
  </w:style>
  <w:style w:type="paragraph" w:styleId="TOC2">
    <w:name w:val="toc 2"/>
    <w:basedOn w:val="Normal"/>
    <w:next w:val="Normal"/>
    <w:autoRedefine/>
    <w:uiPriority w:val="39"/>
    <w:unhideWhenUsed/>
    <w:rsid w:val="00092FA8"/>
    <w:pPr>
      <w:spacing w:after="100"/>
      <w:ind w:left="240"/>
    </w:pPr>
  </w:style>
  <w:style w:type="paragraph" w:styleId="TOC3">
    <w:name w:val="toc 3"/>
    <w:basedOn w:val="Normal"/>
    <w:next w:val="Normal"/>
    <w:autoRedefine/>
    <w:uiPriority w:val="39"/>
    <w:unhideWhenUsed/>
    <w:rsid w:val="00092FA8"/>
    <w:pPr>
      <w:spacing w:after="100"/>
      <w:ind w:left="480"/>
    </w:pPr>
  </w:style>
  <w:style w:type="character" w:styleId="Hyperlink">
    <w:name w:val="Hyperlink"/>
    <w:basedOn w:val="DefaultParagraphFont"/>
    <w:uiPriority w:val="99"/>
    <w:unhideWhenUsed/>
    <w:rsid w:val="00092FA8"/>
    <w:rPr>
      <w:color w:val="467886" w:themeColor="hyperlink"/>
      <w:u w:val="single"/>
    </w:rPr>
  </w:style>
  <w:style w:type="paragraph" w:styleId="TOC5">
    <w:name w:val="toc 5"/>
    <w:basedOn w:val="Normal"/>
    <w:next w:val="Normal"/>
    <w:autoRedefine/>
    <w:uiPriority w:val="39"/>
    <w:unhideWhenUsed/>
    <w:rsid w:val="00092FA8"/>
    <w:pPr>
      <w:spacing w:after="100"/>
      <w:ind w:left="960"/>
    </w:pPr>
  </w:style>
  <w:style w:type="paragraph" w:styleId="TOC4">
    <w:name w:val="toc 4"/>
    <w:basedOn w:val="Normal"/>
    <w:next w:val="Normal"/>
    <w:autoRedefine/>
    <w:uiPriority w:val="39"/>
    <w:unhideWhenUsed/>
    <w:rsid w:val="00092FA8"/>
    <w:pPr>
      <w:spacing w:after="100"/>
      <w:ind w:left="720"/>
    </w:pPr>
  </w:style>
  <w:style w:type="paragraph" w:customStyle="1" w:styleId="Default">
    <w:name w:val="Default"/>
    <w:rsid w:val="000863E8"/>
    <w:pPr>
      <w:autoSpaceDE w:val="0"/>
      <w:autoSpaceDN w:val="0"/>
      <w:adjustRightInd w:val="0"/>
      <w:spacing w:after="0" w:line="240" w:lineRule="auto"/>
    </w:pPr>
    <w:rPr>
      <w:rFonts w:ascii="Arial" w:eastAsia="Times New Roman" w:hAnsi="Arial" w:cs="Arial"/>
      <w:color w:val="000000"/>
      <w:kern w:val="0"/>
      <w:lang w:val="en-GB" w:eastAsia="en-GB"/>
      <w14:ligatures w14:val="none"/>
    </w:rPr>
  </w:style>
  <w:style w:type="character" w:styleId="UnresolvedMention">
    <w:name w:val="Unresolved Mention"/>
    <w:basedOn w:val="DefaultParagraphFont"/>
    <w:uiPriority w:val="99"/>
    <w:semiHidden/>
    <w:unhideWhenUsed/>
    <w:rsid w:val="00A555C5"/>
    <w:rPr>
      <w:color w:val="605E5C"/>
      <w:shd w:val="clear" w:color="auto" w:fill="E1DFDD"/>
    </w:rPr>
  </w:style>
  <w:style w:type="paragraph" w:styleId="NormalWeb">
    <w:name w:val="Normal (Web)"/>
    <w:basedOn w:val="Normal"/>
    <w:rsid w:val="00DA6C8E"/>
    <w:pPr>
      <w:spacing w:before="100" w:beforeAutospacing="1" w:after="100" w:afterAutospacing="1" w:line="240" w:lineRule="auto"/>
    </w:pPr>
    <w:rPr>
      <w:rFonts w:ascii="Georgia" w:eastAsia="SimSun" w:hAnsi="Georgia" w:cs="Times New Roman"/>
      <w:color w:val="000000"/>
      <w:kern w:val="0"/>
      <w:sz w:val="21"/>
      <w:szCs w:val="21"/>
      <w:lang w:val="en-GB" w:eastAsia="zh-CN"/>
      <w14:ligatures w14:val="none"/>
    </w:rPr>
  </w:style>
  <w:style w:type="paragraph" w:styleId="FootnoteText">
    <w:name w:val="footnote text"/>
    <w:basedOn w:val="Normal"/>
    <w:link w:val="FootnoteTextChar"/>
    <w:uiPriority w:val="99"/>
    <w:semiHidden/>
    <w:unhideWhenUsed/>
    <w:rsid w:val="0030180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01808"/>
    <w:rPr>
      <w:sz w:val="20"/>
      <w:szCs w:val="20"/>
    </w:rPr>
  </w:style>
  <w:style w:type="character" w:styleId="FootnoteReference">
    <w:name w:val="footnote reference"/>
    <w:basedOn w:val="DefaultParagraphFont"/>
    <w:uiPriority w:val="99"/>
    <w:semiHidden/>
    <w:unhideWhenUsed/>
    <w:rsid w:val="00301808"/>
    <w:rPr>
      <w:vertAlign w:val="superscript"/>
    </w:rPr>
  </w:style>
  <w:style w:type="paragraph" w:styleId="Revision">
    <w:name w:val="Revision"/>
    <w:hidden/>
    <w:uiPriority w:val="99"/>
    <w:semiHidden/>
    <w:rsid w:val="007D14B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www.jstor.org/stable/1581339" TargetMode="External"/><Relationship Id="rId26" Type="http://schemas.openxmlformats.org/officeDocument/2006/relationships/hyperlink" Target="http://www.jstor.org/stable/2156020" TargetMode="External"/><Relationship Id="rId39" Type="http://schemas.openxmlformats.org/officeDocument/2006/relationships/hyperlink" Target="https://doi.org/10.1007/s11013-024-09879-z" TargetMode="External"/><Relationship Id="rId21" Type="http://schemas.openxmlformats.org/officeDocument/2006/relationships/hyperlink" Target="https://archive.org/details/storyofbahamas0000albu" TargetMode="External"/><Relationship Id="rId34" Type="http://schemas.openxmlformats.org/officeDocument/2006/relationships/hyperlink" Target="https://doi.org/10.1177/002193470103100401" TargetMode="External"/><Relationship Id="rId42" Type="http://schemas.openxmlformats.org/officeDocument/2006/relationships/hyperlink" Target="http://www.jstor.org.ezproxy.uwtsd.ac.uk/stable/43774596" TargetMode="External"/><Relationship Id="rId47" Type="http://schemas.openxmlformats.org/officeDocument/2006/relationships/hyperlink" Target="http://www.jstor.org/stable/3337250" TargetMode="External"/><Relationship Id="rId50" Type="http://schemas.openxmlformats.org/officeDocument/2006/relationships/hyperlink" Target="http://www.jstor.org/stable/4177077" TargetMode="External"/><Relationship Id="rId55"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microsoft.com/office/2018/08/relationships/commentsExtensible" Target="commentsExtensible.xml"/><Relationship Id="rId29" Type="http://schemas.openxmlformats.org/officeDocument/2006/relationships/hyperlink" Target="https://archive.org/details/historyofbahamas0000crat/" TargetMode="External"/><Relationship Id="rId11" Type="http://schemas.openxmlformats.org/officeDocument/2006/relationships/footer" Target="footer1.xml"/><Relationship Id="rId24" Type="http://schemas.openxmlformats.org/officeDocument/2006/relationships/hyperlink" Target="https://digitalcollections.sit.edu/isp_collection/1511" TargetMode="External"/><Relationship Id="rId32" Type="http://schemas.openxmlformats.org/officeDocument/2006/relationships/hyperlink" Target="http://www.jstor.org/stable/3491466" TargetMode="External"/><Relationship Id="rId37" Type="http://schemas.openxmlformats.org/officeDocument/2006/relationships/hyperlink" Target="http://www.jstor.org/stable/44368668" TargetMode="External"/><Relationship Id="rId40" Type="http://schemas.openxmlformats.org/officeDocument/2006/relationships/hyperlink" Target="http://www.jstor.org.ezproxy.uwtsd.ac.uk/stable/3821153" TargetMode="External"/><Relationship Id="rId45" Type="http://schemas.openxmlformats.org/officeDocument/2006/relationships/hyperlink" Target="http://www.jstor.org/stable/2784243" TargetMode="External"/><Relationship Id="rId53" Type="http://schemas.openxmlformats.org/officeDocument/2006/relationships/hyperlink" Target="mailto:1803400@student.uwtsd.ac.uk" TargetMode="External"/><Relationship Id="rId5" Type="http://schemas.openxmlformats.org/officeDocument/2006/relationships/numbering" Target="numbering.xml"/><Relationship Id="rId19" Type="http://schemas.openxmlformats.org/officeDocument/2006/relationships/hyperlink" Target="http://www.jstor.org/stable/3337203"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1/relationships/commentsExtended" Target="commentsExtended.xml"/><Relationship Id="rId22" Type="http://schemas.openxmlformats.org/officeDocument/2006/relationships/hyperlink" Target="https://www.cambridge.org/core/journals/african-studies-review/article/abs/power-and-responsibility-royalty-and-the-performing-arts-in-asanteghana/375D875339EEF8A962EE6D55CFCD1CB7" TargetMode="External"/><Relationship Id="rId27" Type="http://schemas.openxmlformats.org/officeDocument/2006/relationships/hyperlink" Target="https://archive.org/details/junkanooreligion0000junk" TargetMode="External"/><Relationship Id="rId30" Type="http://schemas.openxmlformats.org/officeDocument/2006/relationships/hyperlink" Target="https://www.slavevoyages.org/" TargetMode="External"/><Relationship Id="rId35" Type="http://schemas.openxmlformats.org/officeDocument/2006/relationships/hyperlink" Target="https://digitalcollections.sit.edu/isp_collection/1403" TargetMode="External"/><Relationship Id="rId43" Type="http://schemas.openxmlformats.org/officeDocument/2006/relationships/hyperlink" Target="http://www.jstor.org/stable/1166258" TargetMode="External"/><Relationship Id="rId48" Type="http://schemas.openxmlformats.org/officeDocument/2006/relationships/hyperlink" Target="http://www.jstor.org.ezproxy.uwtsd.ac.uk/stable/2801565" TargetMode="External"/><Relationship Id="rId56" Type="http://schemas.microsoft.com/office/2011/relationships/people" Target="people.xml"/><Relationship Id="rId8" Type="http://schemas.openxmlformats.org/officeDocument/2006/relationships/webSettings" Target="webSettings.xml"/><Relationship Id="rId51" Type="http://schemas.openxmlformats.org/officeDocument/2006/relationships/hyperlink" Target="http://www.jstor.org/stable/23795403" TargetMode="Externa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https://ufdc.ufl.edu/aa00076890/00084" TargetMode="External"/><Relationship Id="rId25" Type="http://schemas.openxmlformats.org/officeDocument/2006/relationships/hyperlink" Target="https://archive.org/details/junkanooreligion0000junk" TargetMode="External"/><Relationship Id="rId33" Type="http://schemas.openxmlformats.org/officeDocument/2006/relationships/hyperlink" Target="https://archive.org/details/religionsocietyi0000macg" TargetMode="External"/><Relationship Id="rId38" Type="http://schemas.openxmlformats.org/officeDocument/2006/relationships/hyperlink" Target="http://www.jstor.org/stable/1159010" TargetMode="External"/><Relationship Id="rId46" Type="http://schemas.openxmlformats.org/officeDocument/2006/relationships/hyperlink" Target="https://www.jstor.org/stable/27105242" TargetMode="External"/><Relationship Id="rId20" Type="http://schemas.openxmlformats.org/officeDocument/2006/relationships/hyperlink" Target="http://www.jstor.org/stable/3084659" TargetMode="External"/><Relationship Id="rId41" Type="http://schemas.openxmlformats.org/officeDocument/2006/relationships/hyperlink" Target="http://www.jstor.org/stable/j.ctv114c79k" TargetMode="External"/><Relationship Id="rId54" Type="http://schemas.openxmlformats.org/officeDocument/2006/relationships/hyperlink" Target="mailto:f.clynes@uwtsd.ac.uk" TargetMode="External"/><Relationship Id="rId1" Type="http://schemas.openxmlformats.org/officeDocument/2006/relationships/customXml" Target="../customXml/item1.xml"/><Relationship Id="rId6" Type="http://schemas.openxmlformats.org/officeDocument/2006/relationships/styles" Target="styles.xml"/><Relationship Id="rId15" Type="http://schemas.microsoft.com/office/2016/09/relationships/commentsIds" Target="commentsIds.xml"/><Relationship Id="rId23" Type="http://schemas.openxmlformats.org/officeDocument/2006/relationships/hyperlink" Target="http://www.jstor.org/stable/j.ctt1hfr0rk.6" TargetMode="External"/><Relationship Id="rId28" Type="http://schemas.openxmlformats.org/officeDocument/2006/relationships/hyperlink" Target="http://www.jstor.org/stable/j.ctt9qg5q5" TargetMode="External"/><Relationship Id="rId36" Type="http://schemas.openxmlformats.org/officeDocument/2006/relationships/hyperlink" Target="https://doi:10.1017/S0001972018000487" TargetMode="External"/><Relationship Id="rId49" Type="http://schemas.openxmlformats.org/officeDocument/2006/relationships/hyperlink" Target="http://www.jstor.org/stable/1159143" TargetMode="External"/><Relationship Id="rId57" Type="http://schemas.openxmlformats.org/officeDocument/2006/relationships/theme" Target="theme/theme1.xml"/><Relationship Id="rId10" Type="http://schemas.openxmlformats.org/officeDocument/2006/relationships/endnotes" Target="endnotes.xml"/><Relationship Id="rId31" Type="http://schemas.openxmlformats.org/officeDocument/2006/relationships/hyperlink" Target="https://archive.org/details/essayonafricanph0000gyek_n3h5" TargetMode="External"/><Relationship Id="rId44" Type="http://schemas.openxmlformats.org/officeDocument/2006/relationships/hyperlink" Target="http://www.jstor.org/stable/3338067" TargetMode="External"/><Relationship Id="rId52" Type="http://schemas.openxmlformats.org/officeDocument/2006/relationships/hyperlink" Target="https://ia801209.us.archive.org/34/items/1994festivalofam1994fest/1994festivalofam1994fest.pdf"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jstor.org/stable/4177077" TargetMode="External"/><Relationship Id="rId2" Type="http://schemas.openxmlformats.org/officeDocument/2006/relationships/hyperlink" Target="http://www.jstor.org/stable/j.ctv114c79k" TargetMode="External"/><Relationship Id="rId1" Type="http://schemas.openxmlformats.org/officeDocument/2006/relationships/hyperlink" Target="http://www.jstor.org/stable/1581339" TargetMode="External"/><Relationship Id="rId4"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9" ma:contentTypeDescription="Create a new document." ma:contentTypeScope="" ma:versionID="470623db20c78c566b000f2d9ccdddc1">
  <xsd:schema xmlns:xsd="http://www.w3.org/2001/XMLSchema" xmlns:xs="http://www.w3.org/2001/XMLSchema" xmlns:p="http://schemas.microsoft.com/office/2006/metadata/properties" xmlns:ns3="ed25a739-d205-4a8f-b117-2566f909cb60" xmlns:ns4="58f7e881-cc1d-4294-8008-c54da3573a5f" targetNamespace="http://schemas.microsoft.com/office/2006/metadata/properties" ma:root="true" ma:fieldsID="0020569342f59806f232c99f3e1c3cfa" ns3:_="" ns4:_="">
    <xsd:import namespace="ed25a739-d205-4a8f-b117-2566f909cb60"/>
    <xsd:import namespace="58f7e881-cc1d-4294-8008-c54da3573a5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_activity" minOccurs="0"/>
                <xsd:element ref="ns3:MediaServiceBillingMetadata"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8f7e881-cc1d-4294-8008-c54da3573a5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ed25a739-d205-4a8f-b117-2566f909cb60"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119A9FD-BA03-4A6A-868A-24178C8CE132}">
  <ds:schemaRefs>
    <ds:schemaRef ds:uri="http://schemas.openxmlformats.org/officeDocument/2006/bibliography"/>
  </ds:schemaRefs>
</ds:datastoreItem>
</file>

<file path=customXml/itemProps2.xml><?xml version="1.0" encoding="utf-8"?>
<ds:datastoreItem xmlns:ds="http://schemas.openxmlformats.org/officeDocument/2006/customXml" ds:itemID="{03F36770-98FA-4316-B75A-819C0F4F7A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58f7e881-cc1d-4294-8008-c54da3573a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985C867-B229-4C1D-8978-A9D5B71A0F8F}">
  <ds:schemaRefs>
    <ds:schemaRef ds:uri="http://schemas.microsoft.com/office/2006/metadata/properties"/>
    <ds:schemaRef ds:uri="http://schemas.microsoft.com/office/infopath/2007/PartnerControls"/>
    <ds:schemaRef ds:uri="ed25a739-d205-4a8f-b117-2566f909cb60"/>
  </ds:schemaRefs>
</ds:datastoreItem>
</file>

<file path=customXml/itemProps4.xml><?xml version="1.0" encoding="utf-8"?>
<ds:datastoreItem xmlns:ds="http://schemas.openxmlformats.org/officeDocument/2006/customXml" ds:itemID="{919A9F4C-454B-4661-8D66-D4486974FA6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89</Pages>
  <Words>20572</Words>
  <Characters>117261</Characters>
  <Application>Microsoft Office Word</Application>
  <DocSecurity>0</DocSecurity>
  <Lines>977</Lines>
  <Paragraphs>275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India Sweeting (1803400)</dc:creator>
  <cp:keywords/>
  <dc:description/>
  <cp:lastModifiedBy>Frances Clynes</cp:lastModifiedBy>
  <cp:revision>2</cp:revision>
  <cp:lastPrinted>2026-02-06T01:30:00Z</cp:lastPrinted>
  <dcterms:created xsi:type="dcterms:W3CDTF">2026-02-06T08:22:00Z</dcterms:created>
  <dcterms:modified xsi:type="dcterms:W3CDTF">2026-02-06T08:22:00Z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