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149CB"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b/>
          <w:bCs/>
          <w:szCs w:val="28"/>
        </w:rPr>
        <w:t>Separation Of Power </w:t>
      </w:r>
    </w:p>
    <w:p w14:paraId="2F58A4E6"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p>
    <w:p w14:paraId="76BACF37" w14:textId="614E1C19"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 xml:space="preserve">Separation of power is the democratic government system to function correctly, and it is vital to have a separation of power. This means that power is divided into different branches within the government to protect freedoms, </w:t>
      </w:r>
      <w:r w:rsidRPr="0049280B">
        <w:rPr>
          <w:rFonts w:asciiTheme="minorHAnsi" w:eastAsia="Times New Roman" w:hAnsiTheme="minorHAnsi" w:cstheme="minorHAnsi"/>
          <w:szCs w:val="28"/>
        </w:rPr>
        <w:t>rights,</w:t>
      </w:r>
      <w:r w:rsidRPr="0049280B">
        <w:rPr>
          <w:rFonts w:asciiTheme="minorHAnsi" w:eastAsia="Times New Roman" w:hAnsiTheme="minorHAnsi" w:cstheme="minorHAnsi"/>
          <w:szCs w:val="28"/>
        </w:rPr>
        <w:t xml:space="preserve"> and guard against tyranny. Power is distributed to three separate branches; traditionally, these branches are executive, legislative, and Judiciary, all of which work independently. Separation of power is commonly found in majorities of modern democratic governments. The separation of power limits the abuse of power within the government by using the system of check and balance. No member of one branch sits in the other branch to prevent the abuse of power.</w:t>
      </w:r>
    </w:p>
    <w:p w14:paraId="77AC5A07"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  </w:t>
      </w:r>
    </w:p>
    <w:p w14:paraId="2A06B1DC"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  </w:t>
      </w:r>
    </w:p>
    <w:p w14:paraId="5DE20D60" w14:textId="5919C6B0"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Aristotle first mentioned the doctrine of separation of power in his treatise entitled politics, where he stated that: there are three elements in each constitution with respect of which every serious lawgiver must look for what is advantageous to it, if these are well arranged, the constitution is bound to be well arranged, and the differences in constitutions are bound to correspond to the differences between each of these three elements. The three are, first, the deliberative, which discusses everything of common importance; second, the officials and third, the judicial elements.</w:t>
      </w:r>
      <w:r>
        <w:rPr>
          <w:rFonts w:asciiTheme="minorHAnsi" w:eastAsia="Times New Roman" w:hAnsiTheme="minorHAnsi" w:cstheme="minorHAnsi"/>
          <w:szCs w:val="28"/>
          <w:vertAlign w:val="superscript"/>
        </w:rPr>
        <w:t>1</w:t>
      </w:r>
      <w:r>
        <w:rPr>
          <w:rFonts w:asciiTheme="minorHAnsi" w:eastAsia="Times New Roman" w:hAnsiTheme="minorHAnsi" w:cstheme="minorHAnsi"/>
          <w:szCs w:val="28"/>
        </w:rPr>
        <w:t xml:space="preserve"> </w:t>
      </w:r>
      <w:r w:rsidRPr="0049280B">
        <w:rPr>
          <w:rFonts w:asciiTheme="minorHAnsi" w:eastAsia="Times New Roman" w:hAnsiTheme="minorHAnsi" w:cstheme="minorHAnsi"/>
          <w:szCs w:val="28"/>
        </w:rPr>
        <w:t> </w:t>
      </w:r>
    </w:p>
    <w:p w14:paraId="44280E84"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p>
    <w:p w14:paraId="4FC1B458" w14:textId="442AF1C3"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Later in 1689, The English philosopher John Locke defined his thoughts on separations of power or also known as the theory of separation of powers, in his book Two Treatises on Civil Government, published in 1689. Locke argued that there should be a separation of power between government organs that perform a different function. In this case, the third working separately. John Locke mentions three government agencies based on the theory of separation of powers, namely executive, legislative, and federative (John Locke, 1689).</w:t>
      </w:r>
      <w:r>
        <w:rPr>
          <w:rFonts w:asciiTheme="minorHAnsi" w:eastAsia="Times New Roman" w:hAnsiTheme="minorHAnsi" w:cstheme="minorHAnsi"/>
          <w:szCs w:val="28"/>
          <w:vertAlign w:val="superscript"/>
        </w:rPr>
        <w:t>2</w:t>
      </w:r>
      <w:r w:rsidRPr="0049280B">
        <w:rPr>
          <w:rFonts w:asciiTheme="minorHAnsi" w:eastAsia="Times New Roman" w:hAnsiTheme="minorHAnsi" w:cstheme="minorHAnsi"/>
          <w:szCs w:val="28"/>
        </w:rPr>
        <w:t xml:space="preserve"> Locke’s third power is called the “federative power”, and it consists of the right to act internationally according to the law of nature.</w:t>
      </w:r>
    </w:p>
    <w:p w14:paraId="55307E5E"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Since countries are still in the state of nature concerning each other, they must follow the dictates of natural law and can punish one another for violations of that law in order to protect the rights of their citizens.</w:t>
      </w:r>
    </w:p>
    <w:p w14:paraId="406CB34A"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He also thinks that the federative power and the executive power are normally placed in the hands of the executive, so it is possible for the same person to exercise more than one power.</w:t>
      </w:r>
    </w:p>
    <w:p w14:paraId="2527013D"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 xml:space="preserve">In the modern sense, a federation is a form of government in which several states work together and form a unitary state. However, it would be a mistake </w:t>
      </w:r>
      <w:r w:rsidRPr="0049280B">
        <w:rPr>
          <w:rFonts w:asciiTheme="minorHAnsi" w:eastAsia="Times New Roman" w:hAnsiTheme="minorHAnsi" w:cstheme="minorHAnsi"/>
          <w:szCs w:val="28"/>
        </w:rPr>
        <w:lastRenderedPageBreak/>
        <w:t>to say that each government uses the policy of separation of power to the same extent, every government has its own needs and therefore, the extent to which this concept is used differently from one government to other an example two different states: UK and USA.</w:t>
      </w:r>
    </w:p>
    <w:p w14:paraId="64675574"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p>
    <w:p w14:paraId="6B462A3D"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b/>
          <w:bCs/>
          <w:szCs w:val="28"/>
        </w:rPr>
        <w:t>How does separation of power apply in the UK? </w:t>
      </w:r>
    </w:p>
    <w:p w14:paraId="7DCF63F6"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  </w:t>
      </w:r>
    </w:p>
    <w:p w14:paraId="183AD3AC"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The UK is one of the particular countries in the world. It is one of those few countries which do not have a written constitution. The UK parliament has an unwritten constitution that is not made of a single document but instead derives from historical documents (UK Parliament, 2021). The constitution is the rule guiding the principle about which one is required in complex modern society. These constitutions, when written, are usually difficult to change. Usually, the procedure is required beyond many votes in the states of the legislature.  </w:t>
      </w:r>
    </w:p>
    <w:p w14:paraId="23D73857"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Due to the absence of a formal written constitution, it is possible to claim that there is no formal separation of powers in the UK or there are no official documents that outline the legality of separation of power. However, one should not presume that it does not exist. They do exist but in a weak form because they overlap and work together.</w:t>
      </w:r>
    </w:p>
    <w:p w14:paraId="129926B1"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  </w:t>
      </w:r>
    </w:p>
    <w:p w14:paraId="186E19E9"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b/>
          <w:bCs/>
          <w:szCs w:val="28"/>
        </w:rPr>
        <w:t>Branches of the powers in the United Kingdom</w:t>
      </w:r>
      <w:r w:rsidRPr="0049280B">
        <w:rPr>
          <w:rFonts w:asciiTheme="minorHAnsi" w:eastAsia="Times New Roman" w:hAnsiTheme="minorHAnsi" w:cstheme="minorHAnsi"/>
          <w:szCs w:val="28"/>
        </w:rPr>
        <w:t> </w:t>
      </w:r>
    </w:p>
    <w:p w14:paraId="52E4CFAB"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  </w:t>
      </w:r>
    </w:p>
    <w:p w14:paraId="2EFFACA9"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b/>
          <w:bCs/>
          <w:szCs w:val="28"/>
        </w:rPr>
        <w:t>Legislative: </w:t>
      </w:r>
    </w:p>
    <w:p w14:paraId="218FAB8F" w14:textId="6504F73A"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 xml:space="preserve">The legislative is the organ that approves the government’s laws and </w:t>
      </w:r>
      <w:r w:rsidRPr="0049280B">
        <w:rPr>
          <w:rFonts w:asciiTheme="minorHAnsi" w:eastAsia="Times New Roman" w:hAnsiTheme="minorHAnsi" w:cstheme="minorHAnsi"/>
          <w:szCs w:val="28"/>
        </w:rPr>
        <w:t>law-making</w:t>
      </w:r>
      <w:r w:rsidRPr="0049280B">
        <w:rPr>
          <w:rFonts w:asciiTheme="minorHAnsi" w:eastAsia="Times New Roman" w:hAnsiTheme="minorHAnsi" w:cstheme="minorHAnsi"/>
          <w:szCs w:val="28"/>
        </w:rPr>
        <w:t xml:space="preserve"> body that included the house of commons and house of Lords the Parliament of the United Kingdom is the supreme legislative body for the United Kingdom.  </w:t>
      </w:r>
    </w:p>
    <w:p w14:paraId="1FB55076"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p>
    <w:p w14:paraId="09DC8B99"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b/>
          <w:bCs/>
          <w:szCs w:val="28"/>
        </w:rPr>
        <w:t>Executive: </w:t>
      </w:r>
    </w:p>
    <w:p w14:paraId="6CE4200E"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The executive organ of the government is to execute the laws and make sure they are followed prime minister and cabinet members are the ultimate decision-making group.  </w:t>
      </w:r>
    </w:p>
    <w:p w14:paraId="06AEB120"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p>
    <w:p w14:paraId="76CDCBCC"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b/>
          <w:bCs/>
          <w:szCs w:val="28"/>
        </w:rPr>
        <w:t>Judiciary: </w:t>
      </w:r>
    </w:p>
    <w:p w14:paraId="501053A2"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The judicial organ of government is mainly made up of professional judges. Their primary function is to decide the disputed question of fact and interpret the laws according to the law laid down by Parliament.</w:t>
      </w:r>
    </w:p>
    <w:p w14:paraId="1D6557E1"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p>
    <w:p w14:paraId="53E9070A"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p>
    <w:p w14:paraId="2DBFDC3B"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lastRenderedPageBreak/>
        <w:t>The question which now arises is whether or not there should be a strict separation of each of the above functions?</w:t>
      </w:r>
    </w:p>
    <w:p w14:paraId="347095DB"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p>
    <w:p w14:paraId="5E31C4E7"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The French philosopher Montesquieu further developed the concept in his book” the spirit of law” in 1748.</w:t>
      </w:r>
    </w:p>
    <w:p w14:paraId="365BC3A9"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p>
    <w:p w14:paraId="796DF9E4"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 xml:space="preserve">He said,” ‘When the legislative and executive powers are united in the same person, or in the same body of magistrates, there can be no liberty... there is no liberty if the power of judging is not separated from the legislative and executive... there would be an end to everything if the same man or the same body... were to exercise those three powers (De </w:t>
      </w:r>
      <w:proofErr w:type="spellStart"/>
      <w:r w:rsidRPr="0049280B">
        <w:rPr>
          <w:rFonts w:asciiTheme="minorHAnsi" w:eastAsia="Times New Roman" w:hAnsiTheme="minorHAnsi" w:cstheme="minorHAnsi"/>
          <w:szCs w:val="28"/>
        </w:rPr>
        <w:t>l’Esprit</w:t>
      </w:r>
      <w:proofErr w:type="spellEnd"/>
      <w:r w:rsidRPr="0049280B">
        <w:rPr>
          <w:rFonts w:asciiTheme="minorHAnsi" w:eastAsia="Times New Roman" w:hAnsiTheme="minorHAnsi" w:cstheme="minorHAnsi"/>
          <w:szCs w:val="28"/>
        </w:rPr>
        <w:t xml:space="preserve"> des Lois, 1748)’ According to a strict interpretation of the separation of powers, none of the three branches may exercise the power of the other, nor should any person be a member of any two of the branches. </w:t>
      </w:r>
    </w:p>
    <w:p w14:paraId="0B189552"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p>
    <w:p w14:paraId="49251712"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Furthermore, the overlap of the legislative and executive is shown in the fact that government ministers in the executive branch can also sit and made decisions in Parliament (legislative branch) executive is fused with legislators. Another model of overlap is the lord chancellor, as the lord chancellor held the position in all three branches of the government, and the lord chancellor is the perfect example of the fusion of power rather than separation of power. Since 2003 there have been efforts to reform this However, after the “Constitutional Reform Act 2005″ was passed, the Lord Chancellor was removed from his position in the Judiciary.</w:t>
      </w:r>
    </w:p>
    <w:p w14:paraId="2EF2F4CB"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And the “Constitutional Reform Act 2005″ section 2 The Prime minister can appoint a Lord chancellor.</w:t>
      </w:r>
    </w:p>
    <w:p w14:paraId="39A5CEC3"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Moreover, He no longer acts as the Speaker of the House of Lords. In future, the Lord Chancellor can be a part of either of the Houses.</w:t>
      </w:r>
    </w:p>
    <w:p w14:paraId="28F9DF77"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The “Constitutional Reform Act 2005″ led the British government towards having a well-defined division among the powers.</w:t>
      </w:r>
    </w:p>
    <w:p w14:paraId="14FE9CCB"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  </w:t>
      </w:r>
    </w:p>
    <w:p w14:paraId="06D1D2F1"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This indicates a shift towards a clearer separation of powers in line with the view of Montesquieu, thus completing the doctrine within the UK constitution. It is possible to declare that in the UK constitution, it is impossible to have a complete separation of powers because if each branch regulated its own actions, it could possibly lead to an abuse of power and so could lead to the violation of the rights and freedom of the Public. This has led to the development of a system of checks and balances whereby each branch can monitor the actions of the other branches while still being limited to their specific limits of power.</w:t>
      </w:r>
    </w:p>
    <w:p w14:paraId="3A962E0F"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p>
    <w:p w14:paraId="2E71CC5E"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As William Blackstone stated, the UK has a unique system because it does not represent any standard structure. In fact, it is a mixture. This can be proved by looking closely at the interrelation between the three powers (Blackstone,</w:t>
      </w:r>
    </w:p>
    <w:p w14:paraId="5EBA0099"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William </w:t>
      </w:r>
      <w:r w:rsidRPr="0049280B">
        <w:rPr>
          <w:rFonts w:asciiTheme="minorHAnsi" w:eastAsia="Times New Roman" w:hAnsiTheme="minorHAnsi" w:cstheme="minorHAnsi"/>
          <w:i/>
          <w:iCs/>
          <w:szCs w:val="28"/>
        </w:rPr>
        <w:t>1765—1769)</w:t>
      </w:r>
      <w:r w:rsidRPr="0049280B">
        <w:rPr>
          <w:rFonts w:asciiTheme="minorHAnsi" w:eastAsia="Times New Roman" w:hAnsiTheme="minorHAnsi" w:cstheme="minorHAnsi"/>
          <w:szCs w:val="28"/>
        </w:rPr>
        <w:t>.4</w:t>
      </w:r>
    </w:p>
    <w:p w14:paraId="20B5CE3E"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  </w:t>
      </w:r>
    </w:p>
    <w:p w14:paraId="79B5E022"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  </w:t>
      </w:r>
    </w:p>
    <w:p w14:paraId="516480B8"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b/>
          <w:bCs/>
          <w:szCs w:val="28"/>
        </w:rPr>
        <w:t>How does separation of power apply in the USA? </w:t>
      </w:r>
    </w:p>
    <w:p w14:paraId="17AB032A"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  </w:t>
      </w:r>
    </w:p>
    <w:p w14:paraId="16A52073"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Article two of the USA constitution executive branch consisting of a president. The president approves and carries out the law, which made by the legislative branch. Article 3, judicial branch means the law is passed by legislative branch means Judiciary (Sacramento, 1893).  </w:t>
      </w:r>
    </w:p>
    <w:p w14:paraId="57DAAC79"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The president power and also the supreme court may declare the law unconstitutional.</w:t>
      </w:r>
    </w:p>
    <w:p w14:paraId="7B178FD8"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Congress has two houses of representative, which can override the president vote in both houses. Congress can conduct the president for a high crime like treason or bribery.</w:t>
      </w:r>
    </w:p>
    <w:p w14:paraId="51F65544"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The leading roles in the separation of power are to divide govern between power the executive and the Judiciary (Rosenblum, 2020).</w:t>
      </w:r>
    </w:p>
    <w:p w14:paraId="7231FF05"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Each group should work in specific areas to keep a check on the action of others.</w:t>
      </w:r>
    </w:p>
    <w:p w14:paraId="0311638C"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Exception of principle Australia does not have separation of power because some of the role of the Parliament, the executive, and the judiciary overlap (PEO, 2020).</w:t>
      </w:r>
    </w:p>
    <w:p w14:paraId="4D24A7BB"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  </w:t>
      </w:r>
    </w:p>
    <w:p w14:paraId="1243A1C8"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In conclusion, it can be seen there are significant relationships between each branch of government, and this shows that the separation of powers is not an idea to which the United Kingdom fully followed. However, the view of the courts is one of conclusive separation. It is a feature of the mainly British idea of the separation of powers that Parliament, the executive and the Judiciary have their clear and essentially exclusive field.</w:t>
      </w:r>
    </w:p>
    <w:p w14:paraId="47A22EE7"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At the same time, the courts endure this view, and whilst the tree branches, while they overlap in many ways, remain clear and largely separate, we can say there is at least an incomplete separation of powers in the UK.</w:t>
      </w:r>
    </w:p>
    <w:p w14:paraId="33EE2511"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The recent changes to the constitution as a result of the Constitutional Reform Act 2005 develop that the concept is still firmly trusted in, and while not always valued.</w:t>
      </w:r>
    </w:p>
    <w:p w14:paraId="5210CC26"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p>
    <w:p w14:paraId="6974B8E0"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  </w:t>
      </w:r>
    </w:p>
    <w:p w14:paraId="3DE558DE"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lastRenderedPageBreak/>
        <w:t>  </w:t>
      </w:r>
    </w:p>
    <w:p w14:paraId="228F2147" w14:textId="77777777" w:rsidR="0049280B" w:rsidRPr="0049280B" w:rsidRDefault="0049280B" w:rsidP="0049280B">
      <w:pPr>
        <w:spacing w:after="0" w:line="240" w:lineRule="auto"/>
        <w:ind w:left="0" w:firstLine="0"/>
        <w:rPr>
          <w:rFonts w:asciiTheme="minorHAnsi" w:eastAsia="Times New Roman" w:hAnsiTheme="minorHAnsi" w:cstheme="minorHAnsi"/>
          <w:i/>
          <w:iCs/>
          <w:sz w:val="24"/>
          <w:szCs w:val="24"/>
        </w:rPr>
      </w:pPr>
      <w:r w:rsidRPr="0049280B">
        <w:rPr>
          <w:rFonts w:asciiTheme="minorHAnsi" w:eastAsia="Times New Roman" w:hAnsiTheme="minorHAnsi" w:cstheme="minorHAnsi"/>
          <w:i/>
          <w:iCs/>
          <w:sz w:val="24"/>
          <w:szCs w:val="24"/>
        </w:rPr>
        <w:t>1 ARISTOTLE, POLITICS book IV, Ch, 14. See generally Robinson, The Division of Governmental Power in Ancient Greece. 18 POL. SCI. Q. 614 (1903).</w:t>
      </w:r>
    </w:p>
    <w:p w14:paraId="67FC7875" w14:textId="77777777" w:rsidR="0049280B" w:rsidRPr="0049280B" w:rsidRDefault="0049280B" w:rsidP="0049280B">
      <w:pPr>
        <w:spacing w:after="0" w:line="240" w:lineRule="auto"/>
        <w:ind w:left="0" w:firstLine="0"/>
        <w:rPr>
          <w:rFonts w:asciiTheme="minorHAnsi" w:eastAsia="Times New Roman" w:hAnsiTheme="minorHAnsi" w:cstheme="minorHAnsi"/>
          <w:i/>
          <w:iCs/>
          <w:sz w:val="24"/>
          <w:szCs w:val="24"/>
        </w:rPr>
      </w:pPr>
      <w:r w:rsidRPr="0049280B">
        <w:rPr>
          <w:rFonts w:asciiTheme="minorHAnsi" w:eastAsia="Times New Roman" w:hAnsiTheme="minorHAnsi" w:cstheme="minorHAnsi"/>
          <w:i/>
          <w:iCs/>
          <w:sz w:val="24"/>
          <w:szCs w:val="24"/>
        </w:rPr>
        <w:t>  </w:t>
      </w:r>
    </w:p>
    <w:p w14:paraId="5BA60E46" w14:textId="77777777" w:rsidR="0049280B" w:rsidRPr="0049280B" w:rsidRDefault="0049280B" w:rsidP="0049280B">
      <w:pPr>
        <w:spacing w:after="0" w:line="240" w:lineRule="auto"/>
        <w:ind w:left="0" w:firstLine="0"/>
        <w:rPr>
          <w:rFonts w:asciiTheme="minorHAnsi" w:eastAsia="Times New Roman" w:hAnsiTheme="minorHAnsi" w:cstheme="minorHAnsi"/>
          <w:i/>
          <w:iCs/>
          <w:sz w:val="24"/>
          <w:szCs w:val="24"/>
        </w:rPr>
      </w:pPr>
      <w:r w:rsidRPr="0049280B">
        <w:rPr>
          <w:rFonts w:asciiTheme="minorHAnsi" w:eastAsia="Times New Roman" w:hAnsiTheme="minorHAnsi" w:cstheme="minorHAnsi"/>
          <w:i/>
          <w:iCs/>
          <w:sz w:val="24"/>
          <w:szCs w:val="24"/>
        </w:rPr>
        <w:t>2 ‘J. LOCKE, TREATISE OF CIVIL GOVERNMENT AND LETTER CONCERNING TOLERATION 97-99 (Sherman ed, 1937). </w:t>
      </w:r>
    </w:p>
    <w:p w14:paraId="0C7E713E" w14:textId="77777777" w:rsidR="0049280B" w:rsidRPr="0049280B" w:rsidRDefault="0049280B" w:rsidP="0049280B">
      <w:pPr>
        <w:spacing w:after="0" w:line="240" w:lineRule="auto"/>
        <w:ind w:left="0" w:firstLine="0"/>
        <w:rPr>
          <w:rFonts w:asciiTheme="minorHAnsi" w:eastAsia="Times New Roman" w:hAnsiTheme="minorHAnsi" w:cstheme="minorHAnsi"/>
          <w:i/>
          <w:iCs/>
          <w:sz w:val="24"/>
          <w:szCs w:val="24"/>
        </w:rPr>
      </w:pPr>
    </w:p>
    <w:p w14:paraId="69CB1AE2" w14:textId="77777777" w:rsidR="0049280B" w:rsidRPr="0049280B" w:rsidRDefault="0049280B" w:rsidP="0049280B">
      <w:pPr>
        <w:spacing w:after="0" w:line="240" w:lineRule="auto"/>
        <w:ind w:left="0" w:firstLine="0"/>
        <w:rPr>
          <w:rFonts w:asciiTheme="minorHAnsi" w:eastAsia="Times New Roman" w:hAnsiTheme="minorHAnsi" w:cstheme="minorHAnsi"/>
          <w:i/>
          <w:iCs/>
          <w:sz w:val="24"/>
          <w:szCs w:val="24"/>
        </w:rPr>
      </w:pPr>
      <w:r w:rsidRPr="0049280B">
        <w:rPr>
          <w:rFonts w:asciiTheme="minorHAnsi" w:eastAsia="Times New Roman" w:hAnsiTheme="minorHAnsi" w:cstheme="minorHAnsi"/>
          <w:i/>
          <w:iCs/>
          <w:sz w:val="24"/>
          <w:szCs w:val="24"/>
        </w:rPr>
        <w:t>The Founders’ Constitution Volume 1, Chapter 10, Document 6 </w:t>
      </w:r>
    </w:p>
    <w:p w14:paraId="2FD33542" w14:textId="77777777" w:rsidR="0049280B" w:rsidRPr="0049280B" w:rsidRDefault="0049280B" w:rsidP="0049280B">
      <w:pPr>
        <w:spacing w:after="0" w:line="240" w:lineRule="auto"/>
        <w:ind w:left="0" w:firstLine="0"/>
        <w:rPr>
          <w:rFonts w:asciiTheme="minorHAnsi" w:eastAsia="Times New Roman" w:hAnsiTheme="minorHAnsi" w:cstheme="minorHAnsi"/>
          <w:i/>
          <w:iCs/>
          <w:sz w:val="24"/>
          <w:szCs w:val="24"/>
        </w:rPr>
      </w:pPr>
      <w:r w:rsidRPr="0049280B">
        <w:rPr>
          <w:rFonts w:asciiTheme="minorHAnsi" w:eastAsia="Times New Roman" w:hAnsiTheme="minorHAnsi" w:cstheme="minorHAnsi"/>
          <w:i/>
          <w:iCs/>
          <w:sz w:val="24"/>
          <w:szCs w:val="24"/>
        </w:rPr>
        <w:t> http://press-pubs.uchicago.edu/founders/documents/v1ch10s6.html </w:t>
      </w:r>
    </w:p>
    <w:p w14:paraId="54AEE0B2" w14:textId="77777777" w:rsidR="0049280B" w:rsidRPr="0049280B" w:rsidRDefault="0049280B" w:rsidP="0049280B">
      <w:pPr>
        <w:spacing w:after="0" w:line="240" w:lineRule="auto"/>
        <w:ind w:left="0" w:firstLine="0"/>
        <w:rPr>
          <w:rFonts w:asciiTheme="minorHAnsi" w:eastAsia="Times New Roman" w:hAnsiTheme="minorHAnsi" w:cstheme="minorHAnsi"/>
          <w:i/>
          <w:iCs/>
          <w:sz w:val="24"/>
          <w:szCs w:val="24"/>
        </w:rPr>
      </w:pPr>
      <w:r w:rsidRPr="0049280B">
        <w:rPr>
          <w:rFonts w:asciiTheme="minorHAnsi" w:eastAsia="Times New Roman" w:hAnsiTheme="minorHAnsi" w:cstheme="minorHAnsi"/>
          <w:i/>
          <w:iCs/>
          <w:sz w:val="24"/>
          <w:szCs w:val="24"/>
        </w:rPr>
        <w:t> The University of Chicago Press </w:t>
      </w:r>
    </w:p>
    <w:p w14:paraId="53EEDD96" w14:textId="77777777" w:rsidR="0049280B" w:rsidRPr="0049280B" w:rsidRDefault="0049280B" w:rsidP="0049280B">
      <w:pPr>
        <w:spacing w:after="0" w:line="240" w:lineRule="auto"/>
        <w:ind w:left="0" w:firstLine="0"/>
        <w:rPr>
          <w:rFonts w:asciiTheme="minorHAnsi" w:eastAsia="Times New Roman" w:hAnsiTheme="minorHAnsi" w:cstheme="minorHAnsi"/>
          <w:i/>
          <w:iCs/>
          <w:sz w:val="24"/>
          <w:szCs w:val="24"/>
        </w:rPr>
      </w:pPr>
      <w:r w:rsidRPr="0049280B">
        <w:rPr>
          <w:rFonts w:asciiTheme="minorHAnsi" w:eastAsia="Times New Roman" w:hAnsiTheme="minorHAnsi" w:cstheme="minorHAnsi"/>
          <w:i/>
          <w:iCs/>
          <w:sz w:val="24"/>
          <w:szCs w:val="24"/>
        </w:rPr>
        <w:t>Blackstone, William. Commentaries on the Laws of England: A Facsimile of the First Edition of 1765--1769. Chicago: University of Chicago Press, 1979. </w:t>
      </w:r>
    </w:p>
    <w:p w14:paraId="0DB7A3EE" w14:textId="77777777" w:rsidR="0049280B" w:rsidRPr="0049280B" w:rsidRDefault="0049280B" w:rsidP="0049280B">
      <w:pPr>
        <w:spacing w:after="0" w:line="240" w:lineRule="auto"/>
        <w:ind w:left="0" w:firstLine="0"/>
        <w:rPr>
          <w:rFonts w:asciiTheme="minorHAnsi" w:eastAsia="Times New Roman" w:hAnsiTheme="minorHAnsi" w:cstheme="minorHAnsi"/>
          <w:i/>
          <w:iCs/>
          <w:sz w:val="24"/>
          <w:szCs w:val="24"/>
        </w:rPr>
      </w:pPr>
    </w:p>
    <w:p w14:paraId="59188C2B"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p>
    <w:p w14:paraId="1DC63BFE"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p>
    <w:p w14:paraId="58F8481A"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p>
    <w:p w14:paraId="47F2FC90"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p>
    <w:p w14:paraId="4FD00876"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p>
    <w:p w14:paraId="7AE18323"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p>
    <w:p w14:paraId="3870C19D"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p>
    <w:p w14:paraId="58C06D17"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p>
    <w:p w14:paraId="6925E903"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p>
    <w:p w14:paraId="6E691A3D"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p>
    <w:p w14:paraId="5120838E" w14:textId="77777777" w:rsidR="0049280B" w:rsidRPr="0049280B" w:rsidRDefault="0049280B" w:rsidP="0049280B">
      <w:pPr>
        <w:spacing w:after="0" w:line="240" w:lineRule="auto"/>
        <w:ind w:left="0" w:firstLine="0"/>
        <w:rPr>
          <w:rFonts w:asciiTheme="minorHAnsi" w:eastAsia="Times New Roman" w:hAnsiTheme="minorHAnsi" w:cstheme="minorHAnsi"/>
          <w:b/>
          <w:bCs/>
          <w:szCs w:val="28"/>
        </w:rPr>
      </w:pPr>
      <w:r w:rsidRPr="0049280B">
        <w:rPr>
          <w:rFonts w:asciiTheme="minorHAnsi" w:eastAsia="Times New Roman" w:hAnsiTheme="minorHAnsi" w:cstheme="minorHAnsi"/>
          <w:szCs w:val="28"/>
        </w:rPr>
        <w:t> </w:t>
      </w:r>
      <w:r w:rsidRPr="0049280B">
        <w:rPr>
          <w:rFonts w:asciiTheme="minorHAnsi" w:eastAsia="Times New Roman" w:hAnsiTheme="minorHAnsi" w:cstheme="minorHAnsi"/>
          <w:b/>
          <w:bCs/>
          <w:szCs w:val="28"/>
        </w:rPr>
        <w:t>PART TWO</w:t>
      </w:r>
    </w:p>
    <w:p w14:paraId="6763BFEA"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p>
    <w:p w14:paraId="78C67255"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Does the chief constable have any powers to control or prohibit the intended march?</w:t>
      </w:r>
    </w:p>
    <w:p w14:paraId="701D3085"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p>
    <w:p w14:paraId="2ADB5215"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 </w:t>
      </w:r>
    </w:p>
    <w:p w14:paraId="3AE8BB88" w14:textId="30593C3E"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 xml:space="preserve">The chief constable of </w:t>
      </w:r>
      <w:proofErr w:type="spellStart"/>
      <w:r w:rsidRPr="0049280B">
        <w:rPr>
          <w:rFonts w:asciiTheme="minorHAnsi" w:eastAsia="Times New Roman" w:hAnsiTheme="minorHAnsi" w:cstheme="minorHAnsi"/>
          <w:szCs w:val="28"/>
        </w:rPr>
        <w:t>Mold</w:t>
      </w:r>
      <w:proofErr w:type="spellEnd"/>
      <w:r w:rsidRPr="0049280B">
        <w:rPr>
          <w:rFonts w:asciiTheme="minorHAnsi" w:eastAsia="Times New Roman" w:hAnsiTheme="minorHAnsi" w:cstheme="minorHAnsi"/>
          <w:szCs w:val="28"/>
        </w:rPr>
        <w:t xml:space="preserve"> may take the following steps if he has reasonable grounds for believing that the march in the area has resulted, or is likely to result, in members of the Public being frightened, harassed, alarmed, or upset, the intended route is through town centre busiest time of the </w:t>
      </w:r>
      <w:r w:rsidRPr="0049280B">
        <w:rPr>
          <w:rFonts w:asciiTheme="minorHAnsi" w:eastAsia="Times New Roman" w:hAnsiTheme="minorHAnsi" w:cstheme="minorHAnsi"/>
          <w:szCs w:val="28"/>
        </w:rPr>
        <w:t>week,</w:t>
      </w:r>
      <w:r w:rsidRPr="0049280B">
        <w:rPr>
          <w:rFonts w:asciiTheme="minorHAnsi" w:eastAsia="Times New Roman" w:hAnsiTheme="minorHAnsi" w:cstheme="minorHAnsi"/>
          <w:szCs w:val="28"/>
        </w:rPr>
        <w:t xml:space="preserve"> and it will be disruption of some member of the Public.</w:t>
      </w:r>
    </w:p>
    <w:p w14:paraId="0D6F2A53"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A senior police officer can give a direction forcing the group to disperse, also instantly or within a specific time.</w:t>
      </w:r>
    </w:p>
    <w:p w14:paraId="2294A53B" w14:textId="52D1FFE2"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A senior police officer can give a direction requiring any persons in the group who live outside the area to leave the area, instantly or within a specific time.</w:t>
      </w:r>
    </w:p>
    <w:p w14:paraId="3B93972F"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the senior police officer can give a direction barring any of those persons from</w:t>
      </w:r>
    </w:p>
    <w:p w14:paraId="281BBC3E"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returning to the area for a period of up to 24 hours.</w:t>
      </w:r>
    </w:p>
    <w:p w14:paraId="4B116C04"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 </w:t>
      </w:r>
    </w:p>
    <w:p w14:paraId="7669B8F4"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lastRenderedPageBreak/>
        <w:t>However,</w:t>
      </w:r>
    </w:p>
    <w:p w14:paraId="50E9713C"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such directions cannot be given in respect of persons involved in a lawful and</w:t>
      </w:r>
    </w:p>
    <w:p w14:paraId="26A9E9BC"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peaceful march as part of an industrial dispute, or those taking part in a</w:t>
      </w:r>
    </w:p>
    <w:p w14:paraId="5F788A17"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lawful public march according to section 11 of the </w:t>
      </w:r>
      <w:hyperlink r:id="rId5" w:tgtFrame="_blank" w:history="1">
        <w:r w:rsidRPr="0049280B">
          <w:rPr>
            <w:rFonts w:asciiTheme="minorHAnsi" w:eastAsia="Times New Roman" w:hAnsiTheme="minorHAnsi" w:cstheme="minorHAnsi"/>
            <w:color w:val="4A6EE0"/>
            <w:szCs w:val="28"/>
            <w:u w:val="single"/>
          </w:rPr>
          <w:t>Public</w:t>
        </w:r>
      </w:hyperlink>
    </w:p>
    <w:p w14:paraId="2E56886C"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hyperlink r:id="rId6" w:tgtFrame="_blank" w:history="1">
        <w:r w:rsidRPr="0049280B">
          <w:rPr>
            <w:rFonts w:asciiTheme="minorHAnsi" w:eastAsia="Times New Roman" w:hAnsiTheme="minorHAnsi" w:cstheme="minorHAnsi"/>
            <w:color w:val="4A6EE0"/>
            <w:szCs w:val="28"/>
            <w:u w:val="single"/>
          </w:rPr>
          <w:t>Order Act 1986</w:t>
        </w:r>
      </w:hyperlink>
      <w:r w:rsidRPr="0049280B">
        <w:rPr>
          <w:rFonts w:asciiTheme="minorHAnsi" w:eastAsia="Times New Roman" w:hAnsiTheme="minorHAnsi" w:cstheme="minorHAnsi"/>
          <w:szCs w:val="28"/>
        </w:rPr>
        <w:t>.</w:t>
      </w:r>
    </w:p>
    <w:p w14:paraId="48BC5892"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 </w:t>
      </w:r>
    </w:p>
    <w:p w14:paraId="7C9EC1DC"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proofErr w:type="spellStart"/>
      <w:r w:rsidRPr="0049280B">
        <w:rPr>
          <w:rFonts w:asciiTheme="minorHAnsi" w:eastAsia="Times New Roman" w:hAnsiTheme="minorHAnsi" w:cstheme="minorHAnsi"/>
          <w:szCs w:val="28"/>
        </w:rPr>
        <w:t>Menna</w:t>
      </w:r>
      <w:proofErr w:type="spellEnd"/>
      <w:r w:rsidRPr="0049280B">
        <w:rPr>
          <w:rFonts w:asciiTheme="minorHAnsi" w:eastAsia="Times New Roman" w:hAnsiTheme="minorHAnsi" w:cstheme="minorHAnsi"/>
          <w:szCs w:val="28"/>
        </w:rPr>
        <w:t xml:space="preserve"> has the right to organise the protest march, and she also gave notice to the local police station. Though, any effort by the Police to stop or restrict lawful protest would involve Article 11 of the Convention which provides: </w:t>
      </w:r>
    </w:p>
    <w:p w14:paraId="7180198B"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 </w:t>
      </w:r>
    </w:p>
    <w:p w14:paraId="5A60D6D1"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1. Everyone has the right to freedom of peaceful protest and freedom of association with others, including the right to form and join trade unions to protect his interests.</w:t>
      </w:r>
    </w:p>
    <w:p w14:paraId="501DEA5D"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 </w:t>
      </w:r>
    </w:p>
    <w:p w14:paraId="26B4D4D8"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2.</w:t>
      </w:r>
    </w:p>
    <w:p w14:paraId="02561AE5"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No restrictions shall be placed on the exercise of these rights other than such</w:t>
      </w:r>
    </w:p>
    <w:p w14:paraId="3C526E0D"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as are prescribed by law and are necessary in a democratic society in the</w:t>
      </w:r>
    </w:p>
    <w:p w14:paraId="4154BEAB"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interests of national security or public safety, for the prevention of disorder</w:t>
      </w:r>
    </w:p>
    <w:p w14:paraId="6B237DB6"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or crime, for the protection of health or morals or the protection of the</w:t>
      </w:r>
    </w:p>
    <w:p w14:paraId="4B9A95EB"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rights and freedoms of others. </w:t>
      </w:r>
    </w:p>
    <w:p w14:paraId="04763A4E"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This Article shall not prevent the imposition of lawful restrictions on the exercise of these rights by members of the armed forces, of the Police or the administration of the state.</w:t>
      </w:r>
    </w:p>
    <w:p w14:paraId="46A78552"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Therefore,</w:t>
      </w:r>
    </w:p>
    <w:p w14:paraId="23B28377"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Police have the power to impose conditions on public assemblies. The relevant provision is section 14 of the Public Order Act 1986.</w:t>
      </w:r>
    </w:p>
    <w:p w14:paraId="126A3C8F"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If there are reasonable grounds to believe that such an assembly will result in serious public chaos, serious damage to property or serious disturbance to the life of the Public, or that the purpose of those organising it is the fear of the Public, then the most senior police officer on the scene may give directions imposing conditions as to the place at which the march may be held; the maximum time, period of the march, and the maximum number of people who may be it, in order to avoid such disorder, damage, disruption or fear.</w:t>
      </w:r>
    </w:p>
    <w:p w14:paraId="10A1E2A3"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 </w:t>
      </w:r>
    </w:p>
    <w:p w14:paraId="2D8052E5"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The shop owners rightly claiming that the march will cause too much disruption and prevent people from being able to get to the shop and the local home interior shop’s car park is private land.</w:t>
      </w:r>
    </w:p>
    <w:p w14:paraId="2EF8E034"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Therefore, the rights to freedom of expression (ECHR Article 10) and peaceful assembly (ECHR Article 11) generally can only apply in PUBLIC places.</w:t>
      </w:r>
    </w:p>
    <w:p w14:paraId="1CBDE988"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lastRenderedPageBreak/>
        <w:t>There is no freedom of forum (choice of venue) or right of entry to private property to exercise the right to freedom of expression.</w:t>
      </w:r>
    </w:p>
    <w:p w14:paraId="3CB4DA8D"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If intended, march, go ahead and end up into the home interior shop’s car park that is illegal and trespassing.</w:t>
      </w:r>
    </w:p>
    <w:p w14:paraId="01312C64"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Trespass is the wrong of illegally entering another person’s property. In some cases, the act of entering the property may have been lawful if permission was given originally but later become trespass if that permission ends or is withdrawn. </w:t>
      </w:r>
    </w:p>
    <w:p w14:paraId="5680B1A6"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The word trespass covers much more than people usually realise. All land in the UK belongs to someone. If you go on to land without the owner’s permission, you are trespassing unless there is some right of access for the Public, or for you specifically if you have obtained a right to pass over the land to reach some land of your own. An example of this would be the person who has a ticket to attend a performance, enters the theatre and then, having caused a disturbance, refuses to leave the premises.</w:t>
      </w:r>
    </w:p>
    <w:p w14:paraId="222C056C"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 </w:t>
      </w:r>
    </w:p>
    <w:p w14:paraId="0DD8D68E"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Therefore, Chief Constable may apply to the council for an order barring the holding of trespassory assemblies in the particular area for a specified period. Public Order Act 1986 section 14A.</w:t>
      </w:r>
    </w:p>
    <w:p w14:paraId="52ABC2A7"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 </w:t>
      </w:r>
    </w:p>
    <w:p w14:paraId="22575BEF" w14:textId="62B0E433"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 xml:space="preserve">Furthermore, </w:t>
      </w:r>
      <w:r w:rsidRPr="0049280B">
        <w:rPr>
          <w:rFonts w:asciiTheme="minorHAnsi" w:eastAsia="Times New Roman" w:hAnsiTheme="minorHAnsi" w:cstheme="minorHAnsi"/>
          <w:szCs w:val="28"/>
        </w:rPr>
        <w:t>the</w:t>
      </w:r>
      <w:r w:rsidRPr="0049280B">
        <w:rPr>
          <w:rFonts w:asciiTheme="minorHAnsi" w:eastAsia="Times New Roman" w:hAnsiTheme="minorHAnsi" w:cstheme="minorHAnsi"/>
          <w:szCs w:val="28"/>
        </w:rPr>
        <w:t xml:space="preserve"> right to protest and freedom of association can be limited in certain events. </w:t>
      </w:r>
    </w:p>
    <w:p w14:paraId="0C6E9C72"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 To the protection of others’ rights and freedoms.</w:t>
      </w:r>
    </w:p>
    <w:p w14:paraId="0A7472DF"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 </w:t>
      </w:r>
    </w:p>
    <w:p w14:paraId="306783FE"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Furthermore, Police have the powers to remove persons participating in aggravated trespass. Criminal Justice and Public Order Act 1994 section.69</w:t>
      </w:r>
    </w:p>
    <w:p w14:paraId="0E3F7CD8"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 </w:t>
      </w:r>
    </w:p>
    <w:p w14:paraId="34A52E94"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 </w:t>
      </w:r>
    </w:p>
    <w:p w14:paraId="3FF8C1E0"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So, there are now two ways in which the chief constable might request to interfere with a group of people who are in a public place – either on the ground that they are involved in anti-social behaviour or as a public order measure to deal with public gathering, despite the fact that section 14 is much more clearly meant to govern the regulating of protest.</w:t>
      </w:r>
    </w:p>
    <w:p w14:paraId="45328D9C"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The Section of the Public Order Act 1986 lays out rules for how Police can control “public assemblies” – defined as a gathering of two or more people in a public place. Police officers can issue them if they reasonably believe that the protest may result in serious public disorder, serious damage to property or serious disruption to the life of the community.</w:t>
      </w:r>
    </w:p>
    <w:p w14:paraId="3F6F6E57"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It can also do so if it believes the reason of the organisers is to intimidate others.</w:t>
      </w:r>
    </w:p>
    <w:p w14:paraId="30E8E330"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lastRenderedPageBreak/>
        <w:t> </w:t>
      </w:r>
    </w:p>
    <w:p w14:paraId="71606B45"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 </w:t>
      </w:r>
    </w:p>
    <w:p w14:paraId="1B00372C" w14:textId="1FBE10B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The courts have endorsed the use of section 30 against protesters. In the case</w:t>
      </w:r>
      <w:r>
        <w:rPr>
          <w:rFonts w:asciiTheme="minorHAnsi" w:eastAsia="Times New Roman" w:hAnsiTheme="minorHAnsi" w:cstheme="minorHAnsi"/>
          <w:szCs w:val="28"/>
        </w:rPr>
        <w:t xml:space="preserve"> of </w:t>
      </w:r>
      <w:hyperlink r:id="rId7" w:tgtFrame="_blank" w:history="1">
        <w:r w:rsidRPr="0049280B">
          <w:rPr>
            <w:rFonts w:asciiTheme="minorHAnsi" w:eastAsia="Times New Roman" w:hAnsiTheme="minorHAnsi" w:cstheme="minorHAnsi"/>
            <w:color w:val="4A6EE0"/>
            <w:szCs w:val="28"/>
            <w:u w:val="single"/>
          </w:rPr>
          <w:t>R (Singh) v Chief</w:t>
        </w:r>
      </w:hyperlink>
    </w:p>
    <w:p w14:paraId="72514542"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hyperlink r:id="rId8" w:tgtFrame="_blank" w:history="1">
        <w:r w:rsidRPr="0049280B">
          <w:rPr>
            <w:rFonts w:asciiTheme="minorHAnsi" w:eastAsia="Times New Roman" w:hAnsiTheme="minorHAnsi" w:cstheme="minorHAnsi"/>
            <w:color w:val="4A6EE0"/>
            <w:szCs w:val="28"/>
            <w:u w:val="single"/>
          </w:rPr>
          <w:t>Constable of West Midlands</w:t>
        </w:r>
      </w:hyperlink>
      <w:r w:rsidRPr="0049280B">
        <w:rPr>
          <w:rFonts w:asciiTheme="minorHAnsi" w:eastAsia="Times New Roman" w:hAnsiTheme="minorHAnsi" w:cstheme="minorHAnsi"/>
          <w:szCs w:val="28"/>
        </w:rPr>
        <w:t> the</w:t>
      </w:r>
    </w:p>
    <w:p w14:paraId="32DAF09C"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court of appeal found that it was not unlawful for the Police to issue dispersal</w:t>
      </w:r>
    </w:p>
    <w:p w14:paraId="144D5F6D"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directions under section 30 against a group of Sikh protesters who were </w:t>
      </w:r>
      <w:hyperlink r:id="rId9" w:tgtFrame="_blank" w:history="1">
        <w:r w:rsidRPr="0049280B">
          <w:rPr>
            <w:rFonts w:asciiTheme="minorHAnsi" w:eastAsia="Times New Roman" w:hAnsiTheme="minorHAnsi" w:cstheme="minorHAnsi"/>
            <w:color w:val="4A6EE0"/>
            <w:szCs w:val="28"/>
            <w:u w:val="single"/>
          </w:rPr>
          <w:t>protesting against the</w:t>
        </w:r>
      </w:hyperlink>
    </w:p>
    <w:p w14:paraId="3447ACEA" w14:textId="68AD74C6" w:rsidR="0049280B" w:rsidRPr="0049280B" w:rsidRDefault="0049280B" w:rsidP="0049280B">
      <w:pPr>
        <w:spacing w:after="0" w:line="240" w:lineRule="auto"/>
        <w:ind w:left="0" w:firstLine="0"/>
        <w:rPr>
          <w:rFonts w:asciiTheme="minorHAnsi" w:eastAsia="Times New Roman" w:hAnsiTheme="minorHAnsi" w:cstheme="minorHAnsi"/>
          <w:szCs w:val="28"/>
        </w:rPr>
      </w:pPr>
      <w:hyperlink r:id="rId10" w:tgtFrame="_blank" w:history="1">
        <w:r w:rsidRPr="0049280B">
          <w:rPr>
            <w:rFonts w:asciiTheme="minorHAnsi" w:eastAsia="Times New Roman" w:hAnsiTheme="minorHAnsi" w:cstheme="minorHAnsi"/>
            <w:color w:val="4A6EE0"/>
            <w:szCs w:val="28"/>
            <w:u w:val="single"/>
          </w:rPr>
          <w:t>staging of a play at a theatre in Birmingham</w:t>
        </w:r>
      </w:hyperlink>
      <w:r w:rsidRPr="0049280B">
        <w:rPr>
          <w:rFonts w:asciiTheme="minorHAnsi" w:eastAsia="Times New Roman" w:hAnsiTheme="minorHAnsi" w:cstheme="minorHAnsi"/>
          <w:szCs w:val="28"/>
        </w:rPr>
        <w:t>, which they thought to be insulting to their</w:t>
      </w:r>
      <w:r>
        <w:rPr>
          <w:rFonts w:asciiTheme="minorHAnsi" w:eastAsia="Times New Roman" w:hAnsiTheme="minorHAnsi" w:cstheme="minorHAnsi"/>
          <w:szCs w:val="28"/>
        </w:rPr>
        <w:t xml:space="preserve"> </w:t>
      </w:r>
      <w:r w:rsidRPr="0049280B">
        <w:rPr>
          <w:rFonts w:asciiTheme="minorHAnsi" w:eastAsia="Times New Roman" w:hAnsiTheme="minorHAnsi" w:cstheme="minorHAnsi"/>
          <w:szCs w:val="28"/>
        </w:rPr>
        <w:t>religion.</w:t>
      </w:r>
    </w:p>
    <w:p w14:paraId="381BC3AB" w14:textId="77777777" w:rsid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Because section 30 exactly exempted lawful public protest but said nothing about other types of protests. The court decided that Parliament must have planned that section 30 could be used against people involved in other types of protest.</w:t>
      </w:r>
    </w:p>
    <w:p w14:paraId="3E718005" w14:textId="38F8B2A0"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Whether</w:t>
      </w:r>
      <w:r>
        <w:rPr>
          <w:rFonts w:asciiTheme="minorHAnsi" w:eastAsia="Times New Roman" w:hAnsiTheme="minorHAnsi" w:cstheme="minorHAnsi"/>
          <w:szCs w:val="28"/>
        </w:rPr>
        <w:t xml:space="preserve"> </w:t>
      </w:r>
      <w:r w:rsidRPr="0049280B">
        <w:rPr>
          <w:rFonts w:asciiTheme="minorHAnsi" w:eastAsia="Times New Roman" w:hAnsiTheme="minorHAnsi" w:cstheme="minorHAnsi"/>
          <w:szCs w:val="28"/>
        </w:rPr>
        <w:t>the police use section 14 or section 30, then, the conditions imposed, or</w:t>
      </w:r>
    </w:p>
    <w:p w14:paraId="23491862"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directions given in any individual case would have to be balanced to the Public</w:t>
      </w:r>
    </w:p>
    <w:p w14:paraId="463935E7"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safety concerns in order to comply with Article 11.</w:t>
      </w:r>
    </w:p>
    <w:p w14:paraId="1BD5B1A4" w14:textId="77777777" w:rsidR="0049280B" w:rsidRPr="0049280B" w:rsidRDefault="0049280B" w:rsidP="0049280B">
      <w:pPr>
        <w:spacing w:after="0" w:line="240" w:lineRule="auto"/>
        <w:ind w:left="0" w:firstLine="0"/>
        <w:rPr>
          <w:rFonts w:asciiTheme="minorHAnsi" w:eastAsia="Times New Roman" w:hAnsiTheme="minorHAnsi" w:cstheme="minorHAnsi"/>
          <w:b/>
          <w:bCs/>
          <w:szCs w:val="28"/>
        </w:rPr>
      </w:pPr>
      <w:r w:rsidRPr="0049280B">
        <w:rPr>
          <w:rFonts w:asciiTheme="minorHAnsi" w:eastAsia="Times New Roman" w:hAnsiTheme="minorHAnsi" w:cstheme="minorHAnsi"/>
          <w:szCs w:val="28"/>
        </w:rPr>
        <w:t> </w:t>
      </w:r>
    </w:p>
    <w:p w14:paraId="700CA86F" w14:textId="77777777" w:rsidR="0049280B" w:rsidRPr="0049280B" w:rsidRDefault="0049280B" w:rsidP="0049280B">
      <w:pPr>
        <w:spacing w:after="0" w:line="240" w:lineRule="auto"/>
        <w:ind w:left="0" w:firstLine="0"/>
        <w:rPr>
          <w:rFonts w:asciiTheme="minorHAnsi" w:eastAsia="Times New Roman" w:hAnsiTheme="minorHAnsi" w:cstheme="minorHAnsi"/>
          <w:b/>
          <w:bCs/>
          <w:szCs w:val="28"/>
        </w:rPr>
      </w:pPr>
      <w:r w:rsidRPr="0049280B">
        <w:rPr>
          <w:rFonts w:asciiTheme="minorHAnsi" w:eastAsia="Times New Roman" w:hAnsiTheme="minorHAnsi" w:cstheme="minorHAnsi"/>
          <w:b/>
          <w:bCs/>
          <w:szCs w:val="28"/>
        </w:rPr>
        <w:t>Legality Of PC Hemp’s Actions.</w:t>
      </w:r>
    </w:p>
    <w:p w14:paraId="30A68B95"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p>
    <w:p w14:paraId="0045A448"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PC Hemp’s can arrest Tim under section 4 Public Order Act (1986</w:t>
      </w:r>
      <w:proofErr w:type="gramStart"/>
      <w:r w:rsidRPr="0049280B">
        <w:rPr>
          <w:rFonts w:asciiTheme="minorHAnsi" w:eastAsia="Times New Roman" w:hAnsiTheme="minorHAnsi" w:cstheme="minorHAnsi"/>
          <w:szCs w:val="28"/>
        </w:rPr>
        <w:t>)</w:t>
      </w:r>
      <w:proofErr w:type="gramEnd"/>
      <w:r w:rsidRPr="0049280B">
        <w:rPr>
          <w:rFonts w:asciiTheme="minorHAnsi" w:eastAsia="Times New Roman" w:hAnsiTheme="minorHAnsi" w:cstheme="minorHAnsi"/>
          <w:szCs w:val="28"/>
        </w:rPr>
        <w:t xml:space="preserve"> But PC Hemp must inform Tim that why he is arresting him and what offence Tim committed.</w:t>
      </w:r>
    </w:p>
    <w:p w14:paraId="0ABC06C5"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The Police Caution When Arresting must read, </w:t>
      </w:r>
      <w:r w:rsidRPr="0049280B">
        <w:rPr>
          <w:rFonts w:asciiTheme="minorHAnsi" w:eastAsia="Times New Roman" w:hAnsiTheme="minorHAnsi" w:cstheme="minorHAnsi"/>
          <w:i/>
          <w:iCs/>
          <w:szCs w:val="28"/>
        </w:rPr>
        <w:t>“You do not have to say anything. But it may harm your defence if you do not mention when questioned something which you later rely on in court. Anything you do say may be given in evidence.”</w:t>
      </w:r>
    </w:p>
    <w:p w14:paraId="6A5C7846"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p>
    <w:p w14:paraId="787F134C"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According to the Code of Practice for the Statutory Power of Arrest by Police Officers, the use of the power must be defended, and officers using the power should consider if the essential purposes can be met by other, less interfering means. An arrest must never be used simply because it can be used. </w:t>
      </w:r>
    </w:p>
    <w:p w14:paraId="3E144185"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The absence of justification for exercising the powers of arrest may lead to challenges that should be preceded to court.</w:t>
      </w:r>
    </w:p>
    <w:p w14:paraId="2A226F59"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 xml:space="preserve">When the power of arrest is used, it is essential that it is used in a non-biased and fair manner. In order to carry this role effectively, Police are given some power over the people. They are given the power to arrest those who do not act according to the requirements of the law. But in doing so, they are guided by some codes which ensure that they keep ethics in their work. It does not </w:t>
      </w:r>
      <w:r w:rsidRPr="0049280B">
        <w:rPr>
          <w:rFonts w:asciiTheme="minorHAnsi" w:eastAsia="Times New Roman" w:hAnsiTheme="minorHAnsi" w:cstheme="minorHAnsi"/>
          <w:szCs w:val="28"/>
        </w:rPr>
        <w:lastRenderedPageBreak/>
        <w:t>mean that because a police officer is given power over a citizen, they have to randomly come and arrest people. They have to be guided by some principles in their work.</w:t>
      </w:r>
    </w:p>
    <w:p w14:paraId="06166F9E"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p>
    <w:p w14:paraId="25C4C26A"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In this case, caution must be given to Tim before arresting him Police, and criminal evidence Act 1984 highlights the power and duties of the Police. According to ‘2.2, arresting officers are required to inform the person arrested that they have been arrested and of the appropriate circumstances of the arrest in relation to both components and to notify the custody officer of these on arrival at the police station.</w:t>
      </w:r>
    </w:p>
    <w:p w14:paraId="086310F6"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And in this case, PC Hemp failed to informed Tim that he had been arrested under section 4, public order act 1986.</w:t>
      </w:r>
    </w:p>
    <w:p w14:paraId="5B8E6689"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p>
    <w:p w14:paraId="01008651" w14:textId="77777777" w:rsidR="0049280B" w:rsidRPr="0049280B" w:rsidRDefault="0049280B" w:rsidP="0049280B">
      <w:pPr>
        <w:spacing w:after="0" w:line="240" w:lineRule="auto"/>
        <w:ind w:left="0" w:firstLine="0"/>
        <w:rPr>
          <w:rFonts w:asciiTheme="minorHAnsi" w:eastAsia="Times New Roman" w:hAnsiTheme="minorHAnsi" w:cstheme="minorHAnsi"/>
          <w:szCs w:val="28"/>
        </w:rPr>
      </w:pPr>
      <w:r w:rsidRPr="0049280B">
        <w:rPr>
          <w:rFonts w:asciiTheme="minorHAnsi" w:eastAsia="Times New Roman" w:hAnsiTheme="minorHAnsi" w:cstheme="minorHAnsi"/>
          <w:szCs w:val="28"/>
        </w:rPr>
        <w:t>The provision of PACE requires the police officer to record their decision in writing, what they are entitled to.</w:t>
      </w:r>
    </w:p>
    <w:p w14:paraId="608D2978" w14:textId="2569436E" w:rsidR="00A834C5" w:rsidRPr="0049280B" w:rsidRDefault="00A834C5" w:rsidP="006D6E06">
      <w:pPr>
        <w:spacing w:after="0" w:line="259" w:lineRule="auto"/>
        <w:ind w:left="0" w:firstLine="0"/>
        <w:rPr>
          <w:rFonts w:asciiTheme="minorHAnsi" w:hAnsiTheme="minorHAnsi" w:cstheme="minorHAnsi"/>
          <w:szCs w:val="28"/>
        </w:rPr>
      </w:pPr>
    </w:p>
    <w:sectPr w:rsidR="00A834C5" w:rsidRPr="0049280B">
      <w:pgSz w:w="11906" w:h="16838"/>
      <w:pgMar w:top="1496" w:right="1439" w:bottom="157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785AC9"/>
    <w:multiLevelType w:val="multilevel"/>
    <w:tmpl w:val="254E7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40F42BF"/>
    <w:multiLevelType w:val="hybridMultilevel"/>
    <w:tmpl w:val="DB82A3B6"/>
    <w:lvl w:ilvl="0" w:tplc="F44228A0">
      <w:start w:val="1"/>
      <w:numFmt w:val="decimal"/>
      <w:lvlText w:val="%1"/>
      <w:lvlJc w:val="left"/>
      <w:pPr>
        <w:ind w:left="10"/>
      </w:pPr>
      <w:rPr>
        <w:rFonts w:ascii="Calibri" w:eastAsia="Calibri" w:hAnsi="Calibri" w:cs="Calibri"/>
        <w:b w:val="0"/>
        <w:i w:val="0"/>
        <w:strike w:val="0"/>
        <w:dstrike w:val="0"/>
        <w:color w:val="0E101A"/>
        <w:sz w:val="24"/>
        <w:szCs w:val="24"/>
        <w:u w:val="none" w:color="000000"/>
        <w:bdr w:val="none" w:sz="0" w:space="0" w:color="auto"/>
        <w:shd w:val="clear" w:color="auto" w:fill="auto"/>
        <w:vertAlign w:val="superscript"/>
      </w:rPr>
    </w:lvl>
    <w:lvl w:ilvl="1" w:tplc="F5FA0BEA">
      <w:start w:val="1"/>
      <w:numFmt w:val="lowerLetter"/>
      <w:lvlText w:val="%2"/>
      <w:lvlJc w:val="left"/>
      <w:pPr>
        <w:ind w:left="1080"/>
      </w:pPr>
      <w:rPr>
        <w:rFonts w:ascii="Calibri" w:eastAsia="Calibri" w:hAnsi="Calibri" w:cs="Calibri"/>
        <w:b w:val="0"/>
        <w:i w:val="0"/>
        <w:strike w:val="0"/>
        <w:dstrike w:val="0"/>
        <w:color w:val="0E101A"/>
        <w:sz w:val="24"/>
        <w:szCs w:val="24"/>
        <w:u w:val="none" w:color="000000"/>
        <w:bdr w:val="none" w:sz="0" w:space="0" w:color="auto"/>
        <w:shd w:val="clear" w:color="auto" w:fill="auto"/>
        <w:vertAlign w:val="superscript"/>
      </w:rPr>
    </w:lvl>
    <w:lvl w:ilvl="2" w:tplc="57DE339E">
      <w:start w:val="1"/>
      <w:numFmt w:val="lowerRoman"/>
      <w:lvlText w:val="%3"/>
      <w:lvlJc w:val="left"/>
      <w:pPr>
        <w:ind w:left="1800"/>
      </w:pPr>
      <w:rPr>
        <w:rFonts w:ascii="Calibri" w:eastAsia="Calibri" w:hAnsi="Calibri" w:cs="Calibri"/>
        <w:b w:val="0"/>
        <w:i w:val="0"/>
        <w:strike w:val="0"/>
        <w:dstrike w:val="0"/>
        <w:color w:val="0E101A"/>
        <w:sz w:val="24"/>
        <w:szCs w:val="24"/>
        <w:u w:val="none" w:color="000000"/>
        <w:bdr w:val="none" w:sz="0" w:space="0" w:color="auto"/>
        <w:shd w:val="clear" w:color="auto" w:fill="auto"/>
        <w:vertAlign w:val="superscript"/>
      </w:rPr>
    </w:lvl>
    <w:lvl w:ilvl="3" w:tplc="7DF46EA8">
      <w:start w:val="1"/>
      <w:numFmt w:val="decimal"/>
      <w:lvlText w:val="%4"/>
      <w:lvlJc w:val="left"/>
      <w:pPr>
        <w:ind w:left="2520"/>
      </w:pPr>
      <w:rPr>
        <w:rFonts w:ascii="Calibri" w:eastAsia="Calibri" w:hAnsi="Calibri" w:cs="Calibri"/>
        <w:b w:val="0"/>
        <w:i w:val="0"/>
        <w:strike w:val="0"/>
        <w:dstrike w:val="0"/>
        <w:color w:val="0E101A"/>
        <w:sz w:val="24"/>
        <w:szCs w:val="24"/>
        <w:u w:val="none" w:color="000000"/>
        <w:bdr w:val="none" w:sz="0" w:space="0" w:color="auto"/>
        <w:shd w:val="clear" w:color="auto" w:fill="auto"/>
        <w:vertAlign w:val="superscript"/>
      </w:rPr>
    </w:lvl>
    <w:lvl w:ilvl="4" w:tplc="904E744C">
      <w:start w:val="1"/>
      <w:numFmt w:val="lowerLetter"/>
      <w:lvlText w:val="%5"/>
      <w:lvlJc w:val="left"/>
      <w:pPr>
        <w:ind w:left="3240"/>
      </w:pPr>
      <w:rPr>
        <w:rFonts w:ascii="Calibri" w:eastAsia="Calibri" w:hAnsi="Calibri" w:cs="Calibri"/>
        <w:b w:val="0"/>
        <w:i w:val="0"/>
        <w:strike w:val="0"/>
        <w:dstrike w:val="0"/>
        <w:color w:val="0E101A"/>
        <w:sz w:val="24"/>
        <w:szCs w:val="24"/>
        <w:u w:val="none" w:color="000000"/>
        <w:bdr w:val="none" w:sz="0" w:space="0" w:color="auto"/>
        <w:shd w:val="clear" w:color="auto" w:fill="auto"/>
        <w:vertAlign w:val="superscript"/>
      </w:rPr>
    </w:lvl>
    <w:lvl w:ilvl="5" w:tplc="1D048B6A">
      <w:start w:val="1"/>
      <w:numFmt w:val="lowerRoman"/>
      <w:lvlText w:val="%6"/>
      <w:lvlJc w:val="left"/>
      <w:pPr>
        <w:ind w:left="3960"/>
      </w:pPr>
      <w:rPr>
        <w:rFonts w:ascii="Calibri" w:eastAsia="Calibri" w:hAnsi="Calibri" w:cs="Calibri"/>
        <w:b w:val="0"/>
        <w:i w:val="0"/>
        <w:strike w:val="0"/>
        <w:dstrike w:val="0"/>
        <w:color w:val="0E101A"/>
        <w:sz w:val="24"/>
        <w:szCs w:val="24"/>
        <w:u w:val="none" w:color="000000"/>
        <w:bdr w:val="none" w:sz="0" w:space="0" w:color="auto"/>
        <w:shd w:val="clear" w:color="auto" w:fill="auto"/>
        <w:vertAlign w:val="superscript"/>
      </w:rPr>
    </w:lvl>
    <w:lvl w:ilvl="6" w:tplc="D51E7F74">
      <w:start w:val="1"/>
      <w:numFmt w:val="decimal"/>
      <w:lvlText w:val="%7"/>
      <w:lvlJc w:val="left"/>
      <w:pPr>
        <w:ind w:left="4680"/>
      </w:pPr>
      <w:rPr>
        <w:rFonts w:ascii="Calibri" w:eastAsia="Calibri" w:hAnsi="Calibri" w:cs="Calibri"/>
        <w:b w:val="0"/>
        <w:i w:val="0"/>
        <w:strike w:val="0"/>
        <w:dstrike w:val="0"/>
        <w:color w:val="0E101A"/>
        <w:sz w:val="24"/>
        <w:szCs w:val="24"/>
        <w:u w:val="none" w:color="000000"/>
        <w:bdr w:val="none" w:sz="0" w:space="0" w:color="auto"/>
        <w:shd w:val="clear" w:color="auto" w:fill="auto"/>
        <w:vertAlign w:val="superscript"/>
      </w:rPr>
    </w:lvl>
    <w:lvl w:ilvl="7" w:tplc="06623EE0">
      <w:start w:val="1"/>
      <w:numFmt w:val="lowerLetter"/>
      <w:lvlText w:val="%8"/>
      <w:lvlJc w:val="left"/>
      <w:pPr>
        <w:ind w:left="5400"/>
      </w:pPr>
      <w:rPr>
        <w:rFonts w:ascii="Calibri" w:eastAsia="Calibri" w:hAnsi="Calibri" w:cs="Calibri"/>
        <w:b w:val="0"/>
        <w:i w:val="0"/>
        <w:strike w:val="0"/>
        <w:dstrike w:val="0"/>
        <w:color w:val="0E101A"/>
        <w:sz w:val="24"/>
        <w:szCs w:val="24"/>
        <w:u w:val="none" w:color="000000"/>
        <w:bdr w:val="none" w:sz="0" w:space="0" w:color="auto"/>
        <w:shd w:val="clear" w:color="auto" w:fill="auto"/>
        <w:vertAlign w:val="superscript"/>
      </w:rPr>
    </w:lvl>
    <w:lvl w:ilvl="8" w:tplc="6216762A">
      <w:start w:val="1"/>
      <w:numFmt w:val="lowerRoman"/>
      <w:lvlText w:val="%9"/>
      <w:lvlJc w:val="left"/>
      <w:pPr>
        <w:ind w:left="6120"/>
      </w:pPr>
      <w:rPr>
        <w:rFonts w:ascii="Calibri" w:eastAsia="Calibri" w:hAnsi="Calibri" w:cs="Calibri"/>
        <w:b w:val="0"/>
        <w:i w:val="0"/>
        <w:strike w:val="0"/>
        <w:dstrike w:val="0"/>
        <w:color w:val="0E101A"/>
        <w:sz w:val="24"/>
        <w:szCs w:val="24"/>
        <w:u w:val="none" w:color="000000"/>
        <w:bdr w:val="none" w:sz="0" w:space="0" w:color="auto"/>
        <w:shd w:val="clear" w:color="auto" w:fill="auto"/>
        <w:vertAlign w:val="superscrip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662D"/>
    <w:rsid w:val="00053DAA"/>
    <w:rsid w:val="000B5240"/>
    <w:rsid w:val="000B724F"/>
    <w:rsid w:val="000E4B43"/>
    <w:rsid w:val="001F621A"/>
    <w:rsid w:val="0020488F"/>
    <w:rsid w:val="0021045F"/>
    <w:rsid w:val="0024102C"/>
    <w:rsid w:val="002D693A"/>
    <w:rsid w:val="002D701D"/>
    <w:rsid w:val="00384562"/>
    <w:rsid w:val="00475D93"/>
    <w:rsid w:val="0049280B"/>
    <w:rsid w:val="00517CB4"/>
    <w:rsid w:val="00556FCB"/>
    <w:rsid w:val="005F76B1"/>
    <w:rsid w:val="006A1F55"/>
    <w:rsid w:val="006D6E06"/>
    <w:rsid w:val="008C6820"/>
    <w:rsid w:val="009C1562"/>
    <w:rsid w:val="00A308E1"/>
    <w:rsid w:val="00A74A18"/>
    <w:rsid w:val="00A834C5"/>
    <w:rsid w:val="00A86CE3"/>
    <w:rsid w:val="00AC35E5"/>
    <w:rsid w:val="00B45989"/>
    <w:rsid w:val="00BD04FF"/>
    <w:rsid w:val="00C41560"/>
    <w:rsid w:val="00C50775"/>
    <w:rsid w:val="00C738FE"/>
    <w:rsid w:val="00D14A4C"/>
    <w:rsid w:val="00D43BD1"/>
    <w:rsid w:val="00DD5671"/>
    <w:rsid w:val="00DE58FD"/>
    <w:rsid w:val="00E019BB"/>
    <w:rsid w:val="00E4662D"/>
    <w:rsid w:val="00EA358B"/>
    <w:rsid w:val="00ED0AAB"/>
    <w:rsid w:val="00F01222"/>
    <w:rsid w:val="00F2433A"/>
    <w:rsid w:val="00F336A8"/>
    <w:rsid w:val="00F56F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C93399"/>
  <w15:docId w15:val="{7430A90A-DB80-4491-828D-821FBB395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248" w:lineRule="auto"/>
      <w:ind w:left="10" w:hanging="10"/>
    </w:pPr>
    <w:rPr>
      <w:rFonts w:ascii="Calibri" w:eastAsia="Calibri" w:hAnsi="Calibri" w:cs="Calibri"/>
      <w:color w:val="0E101A"/>
      <w:sz w:val="28"/>
    </w:rPr>
  </w:style>
  <w:style w:type="paragraph" w:styleId="Heading1">
    <w:name w:val="heading 1"/>
    <w:basedOn w:val="Normal"/>
    <w:next w:val="Normal"/>
    <w:link w:val="Heading1Char"/>
    <w:uiPriority w:val="9"/>
    <w:qFormat/>
    <w:rsid w:val="00A834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E4B43"/>
    <w:pPr>
      <w:spacing w:before="100" w:beforeAutospacing="1" w:after="100" w:afterAutospacing="1" w:line="240" w:lineRule="auto"/>
      <w:ind w:left="0" w:firstLine="0"/>
    </w:pPr>
    <w:rPr>
      <w:rFonts w:ascii="Times New Roman" w:eastAsia="Times New Roman" w:hAnsi="Times New Roman" w:cs="Times New Roman"/>
      <w:color w:val="auto"/>
      <w:sz w:val="24"/>
      <w:szCs w:val="24"/>
    </w:rPr>
  </w:style>
  <w:style w:type="character" w:styleId="Hyperlink">
    <w:name w:val="Hyperlink"/>
    <w:basedOn w:val="DefaultParagraphFont"/>
    <w:uiPriority w:val="99"/>
    <w:semiHidden/>
    <w:unhideWhenUsed/>
    <w:rsid w:val="000E4B43"/>
    <w:rPr>
      <w:color w:val="0000FF"/>
      <w:u w:val="single"/>
    </w:rPr>
  </w:style>
  <w:style w:type="character" w:customStyle="1" w:styleId="Heading1Char">
    <w:name w:val="Heading 1 Char"/>
    <w:basedOn w:val="DefaultParagraphFont"/>
    <w:link w:val="Heading1"/>
    <w:uiPriority w:val="9"/>
    <w:rsid w:val="00A834C5"/>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D43BD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382892">
      <w:bodyDiv w:val="1"/>
      <w:marLeft w:val="0"/>
      <w:marRight w:val="0"/>
      <w:marTop w:val="0"/>
      <w:marBottom w:val="0"/>
      <w:divBdr>
        <w:top w:val="none" w:sz="0" w:space="0" w:color="auto"/>
        <w:left w:val="none" w:sz="0" w:space="0" w:color="auto"/>
        <w:bottom w:val="none" w:sz="0" w:space="0" w:color="auto"/>
        <w:right w:val="none" w:sz="0" w:space="0" w:color="auto"/>
      </w:divBdr>
    </w:div>
    <w:div w:id="496967854">
      <w:bodyDiv w:val="1"/>
      <w:marLeft w:val="0"/>
      <w:marRight w:val="0"/>
      <w:marTop w:val="0"/>
      <w:marBottom w:val="0"/>
      <w:divBdr>
        <w:top w:val="none" w:sz="0" w:space="0" w:color="auto"/>
        <w:left w:val="none" w:sz="0" w:space="0" w:color="auto"/>
        <w:bottom w:val="none" w:sz="0" w:space="0" w:color="auto"/>
        <w:right w:val="none" w:sz="0" w:space="0" w:color="auto"/>
      </w:divBdr>
    </w:div>
    <w:div w:id="515464477">
      <w:bodyDiv w:val="1"/>
      <w:marLeft w:val="0"/>
      <w:marRight w:val="0"/>
      <w:marTop w:val="0"/>
      <w:marBottom w:val="0"/>
      <w:divBdr>
        <w:top w:val="none" w:sz="0" w:space="0" w:color="auto"/>
        <w:left w:val="none" w:sz="0" w:space="0" w:color="auto"/>
        <w:bottom w:val="none" w:sz="0" w:space="0" w:color="auto"/>
        <w:right w:val="none" w:sz="0" w:space="0" w:color="auto"/>
      </w:divBdr>
    </w:div>
    <w:div w:id="646739352">
      <w:bodyDiv w:val="1"/>
      <w:marLeft w:val="0"/>
      <w:marRight w:val="0"/>
      <w:marTop w:val="0"/>
      <w:marBottom w:val="0"/>
      <w:divBdr>
        <w:top w:val="none" w:sz="0" w:space="0" w:color="auto"/>
        <w:left w:val="none" w:sz="0" w:space="0" w:color="auto"/>
        <w:bottom w:val="none" w:sz="0" w:space="0" w:color="auto"/>
        <w:right w:val="none" w:sz="0" w:space="0" w:color="auto"/>
      </w:divBdr>
    </w:div>
    <w:div w:id="741368580">
      <w:bodyDiv w:val="1"/>
      <w:marLeft w:val="0"/>
      <w:marRight w:val="0"/>
      <w:marTop w:val="0"/>
      <w:marBottom w:val="0"/>
      <w:divBdr>
        <w:top w:val="none" w:sz="0" w:space="0" w:color="auto"/>
        <w:left w:val="none" w:sz="0" w:space="0" w:color="auto"/>
        <w:bottom w:val="none" w:sz="0" w:space="0" w:color="auto"/>
        <w:right w:val="none" w:sz="0" w:space="0" w:color="auto"/>
      </w:divBdr>
    </w:div>
    <w:div w:id="7934067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www.bailii.org/ew/cases/EWCA/Civ/2006/1118.html" TargetMode="External"/><Relationship Id="rId3" Type="http://schemas.openxmlformats.org/officeDocument/2006/relationships/settings" Target="settings.xml"/><Relationship Id="rId7" Type="http://schemas.openxmlformats.org/officeDocument/2006/relationships/hyperlink" Target="http://www.bailii.org/ew/cases/EWCA/Civ/2006/1118.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docs.google.com/viewer?a=v&amp;q=cache:wKOdqX4JvWcJ:www.opsi.gov.uk/Acts/acts1986/PDF/ukpga_19860064_en.pdf+Public+Order+Act+1986&amp;hl=en&amp;gl=uk&amp;pid=bl&amp;srcid=ADGEESibT95VAaDMoXXm9JzUchcadkhKEV-NUNHnTgvgWl_fMVVF8mnPiFSkqhLwIKWh13DxUpWU_1RwsCBhuDiLD2SUs_s8MzyCCvhnDCKBnX0IT0jlc941fII-62CRLn1PQUlmSeFn&amp;sig=AHIEtbTUVaW87swTVdVuE1k_ZyWD2OGnXA" TargetMode="External"/><Relationship Id="rId11" Type="http://schemas.openxmlformats.org/officeDocument/2006/relationships/fontTable" Target="fontTable.xml"/><Relationship Id="rId5" Type="http://schemas.openxmlformats.org/officeDocument/2006/relationships/hyperlink" Target="http://docs.google.com/viewer?a=v&amp;q=cache:wKOdqX4JvWcJ:www.opsi.gov.uk/Acts/acts1986/PDF/ukpga_19860064_en.pdf+Public+Order+Act+1986&amp;hl=en&amp;gl=uk&amp;pid=bl&amp;srcid=ADGEESibT95VAaDMoXXm9JzUchcadkhKEV-NUNHnTgvgWl_fMVVF8mnPiFSkqhLwIKWh13DxUpWU_1RwsCBhuDiLD2SUs_s8MzyCCvhnDCKBnX0IT0jlc941fII-62CRLn1PQUlmSeFn&amp;sig=AHIEtbTUVaW87swTVdVuE1k_ZyWD2OGnXA" TargetMode="External"/><Relationship Id="rId10" Type="http://schemas.openxmlformats.org/officeDocument/2006/relationships/hyperlink" Target="https://www.theguardian.com/uk/2004/dec/20/arts.religion1" TargetMode="External"/><Relationship Id="rId4" Type="http://schemas.openxmlformats.org/officeDocument/2006/relationships/webSettings" Target="webSettings.xml"/><Relationship Id="rId9" Type="http://schemas.openxmlformats.org/officeDocument/2006/relationships/hyperlink" Target="https://www.theguardian.com/uk/2004/dec/20/arts.religion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9</Pages>
  <Words>2824</Words>
  <Characters>16101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shabbir ahmad</dc:creator>
  <cp:keywords/>
  <cp:lastModifiedBy>shabbir ahmad</cp:lastModifiedBy>
  <cp:revision>2</cp:revision>
  <dcterms:created xsi:type="dcterms:W3CDTF">2021-06-24T22:47:00Z</dcterms:created>
  <dcterms:modified xsi:type="dcterms:W3CDTF">2021-06-24T22:47:00Z</dcterms:modified>
</cp:coreProperties>
</file>