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DCF" w:rsidRPr="008B00D1" w:rsidRDefault="00FD4DCF" w:rsidP="000C6E03">
      <w:pPr>
        <w:pStyle w:val="NormalWeb"/>
        <w:rPr>
          <w:rFonts w:asciiTheme="minorHAnsi" w:hAnsiTheme="minorHAnsi" w:cstheme="minorHAnsi"/>
          <w:b/>
        </w:rPr>
      </w:pPr>
      <w:r w:rsidRPr="008B00D1">
        <w:rPr>
          <w:rFonts w:asciiTheme="minorHAnsi" w:hAnsiTheme="minorHAnsi" w:cstheme="minorHAnsi"/>
          <w:b/>
        </w:rPr>
        <w:t>Critical Film Analysis: The Pianist</w:t>
      </w:r>
    </w:p>
    <w:p w:rsidR="000C6E03" w:rsidRPr="008B00D1" w:rsidRDefault="000C6E03" w:rsidP="000C6E03">
      <w:pPr>
        <w:pStyle w:val="NormalWeb"/>
        <w:rPr>
          <w:rFonts w:asciiTheme="minorHAnsi" w:hAnsiTheme="minorHAnsi" w:cstheme="minorHAnsi"/>
        </w:rPr>
      </w:pPr>
      <w:r w:rsidRPr="008B00D1">
        <w:rPr>
          <w:rFonts w:asciiTheme="minorHAnsi" w:hAnsiTheme="minorHAnsi" w:cstheme="minorHAnsi"/>
          <w:b/>
        </w:rPr>
        <w:t>How does the piano scene in The Pianist use sound and silence to construct Holocaust memory and cinematic realism?</w:t>
      </w:r>
    </w:p>
    <w:p w:rsidR="000A4496" w:rsidRDefault="00F14F45" w:rsidP="000C6E03">
      <w:pPr>
        <w:pStyle w:val="NormalWeb"/>
        <w:rPr>
          <w:rFonts w:asciiTheme="minorHAnsi" w:hAnsiTheme="minorHAnsi" w:cstheme="minorHAnsi"/>
        </w:rPr>
      </w:pPr>
      <w:r>
        <w:rPr>
          <w:noProof/>
        </w:rPr>
        <w:drawing>
          <wp:inline distT="0" distB="0" distL="0" distR="0">
            <wp:extent cx="5731510" cy="3081005"/>
            <wp:effectExtent l="19050" t="0" r="2540" b="0"/>
            <wp:docPr id="1" name="Picture 1" descr="Hosenfeld watches as Szpilman tries to play the pi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senfeld watches as Szpilman tries to play the piano."/>
                    <pic:cNvPicPr>
                      <a:picLocks noChangeAspect="1" noChangeArrowheads="1"/>
                    </pic:cNvPicPr>
                  </pic:nvPicPr>
                  <pic:blipFill>
                    <a:blip r:embed="rId7" cstate="print"/>
                    <a:srcRect/>
                    <a:stretch>
                      <a:fillRect/>
                    </a:stretch>
                  </pic:blipFill>
                  <pic:spPr bwMode="auto">
                    <a:xfrm>
                      <a:off x="0" y="0"/>
                      <a:ext cx="5731510" cy="3081005"/>
                    </a:xfrm>
                    <a:prstGeom prst="rect">
                      <a:avLst/>
                    </a:prstGeom>
                    <a:noFill/>
                    <a:ln w="9525">
                      <a:noFill/>
                      <a:miter lim="800000"/>
                      <a:headEnd/>
                      <a:tailEnd/>
                    </a:ln>
                  </pic:spPr>
                </pic:pic>
              </a:graphicData>
            </a:graphic>
          </wp:inline>
        </w:drawing>
      </w:r>
    </w:p>
    <w:p w:rsidR="00F14F45" w:rsidRPr="000A4496" w:rsidRDefault="000A4496" w:rsidP="000C6E03">
      <w:pPr>
        <w:pStyle w:val="NormalWeb"/>
        <w:rPr>
          <w:rFonts w:asciiTheme="minorHAnsi" w:hAnsiTheme="minorHAnsi" w:cstheme="minorHAnsi"/>
        </w:rPr>
      </w:pPr>
      <w:r w:rsidRPr="000A4496">
        <w:rPr>
          <w:rFonts w:asciiTheme="minorHAnsi" w:hAnsiTheme="minorHAnsi" w:cstheme="minorHAnsi"/>
          <w:sz w:val="20"/>
          <w:szCs w:val="20"/>
        </w:rPr>
        <w:t>Figure: Image of the Piano sc</w:t>
      </w:r>
      <w:r w:rsidR="00C61461">
        <w:rPr>
          <w:rFonts w:asciiTheme="minorHAnsi" w:hAnsiTheme="minorHAnsi" w:cstheme="minorHAnsi"/>
          <w:sz w:val="20"/>
          <w:szCs w:val="20"/>
        </w:rPr>
        <w:t xml:space="preserve">ene encounter in the abandoned building with both the protagonist </w:t>
      </w:r>
      <w:proofErr w:type="spellStart"/>
      <w:r w:rsidR="00C61461">
        <w:rPr>
          <w:rFonts w:asciiTheme="minorHAnsi" w:hAnsiTheme="minorHAnsi" w:cstheme="minorHAnsi"/>
          <w:sz w:val="20"/>
          <w:szCs w:val="20"/>
        </w:rPr>
        <w:t>Szpilman</w:t>
      </w:r>
      <w:proofErr w:type="spellEnd"/>
      <w:r w:rsidR="00C61461">
        <w:rPr>
          <w:rFonts w:asciiTheme="minorHAnsi" w:hAnsiTheme="minorHAnsi" w:cstheme="minorHAnsi"/>
          <w:sz w:val="20"/>
          <w:szCs w:val="20"/>
        </w:rPr>
        <w:t xml:space="preserve"> and the German officer</w:t>
      </w:r>
      <w:r w:rsidRPr="000A4496">
        <w:rPr>
          <w:rFonts w:asciiTheme="minorHAnsi" w:hAnsiTheme="minorHAnsi" w:cstheme="minorHAnsi"/>
          <w:sz w:val="20"/>
          <w:szCs w:val="20"/>
        </w:rPr>
        <w:t>.</w:t>
      </w:r>
      <w:r>
        <w:rPr>
          <w:rStyle w:val="FootnoteReference"/>
          <w:rFonts w:asciiTheme="minorHAnsi" w:hAnsiTheme="minorHAnsi" w:cstheme="minorHAnsi"/>
          <w:sz w:val="20"/>
          <w:szCs w:val="20"/>
        </w:rPr>
        <w:footnoteReference w:id="1"/>
      </w:r>
      <w:r w:rsidRPr="000A4496">
        <w:rPr>
          <w:rFonts w:asciiTheme="minorHAnsi" w:hAnsiTheme="minorHAnsi" w:cstheme="minorHAnsi"/>
          <w:sz w:val="20"/>
          <w:szCs w:val="20"/>
        </w:rPr>
        <w:t xml:space="preserve"> </w:t>
      </w:r>
    </w:p>
    <w:p w:rsidR="000C6E03" w:rsidRDefault="00873992" w:rsidP="000C6E03">
      <w:pPr>
        <w:pStyle w:val="NormalWeb"/>
        <w:rPr>
          <w:rFonts w:asciiTheme="minorHAnsi" w:hAnsiTheme="minorHAnsi" w:cstheme="minorHAnsi"/>
        </w:rPr>
      </w:pPr>
      <w:r>
        <w:rPr>
          <w:rFonts w:asciiTheme="minorHAnsi" w:hAnsiTheme="minorHAnsi" w:cstheme="minorHAnsi"/>
        </w:rPr>
        <w:t xml:space="preserve">The Pianist by Roman Polanski, released in 2002 and considered one of the most important Holocaust films ever made, constructs Holocaust memory namely through restraint, not only visually but also </w:t>
      </w:r>
      <w:proofErr w:type="spellStart"/>
      <w:r>
        <w:rPr>
          <w:rFonts w:asciiTheme="minorHAnsi" w:hAnsiTheme="minorHAnsi" w:cstheme="minorHAnsi"/>
        </w:rPr>
        <w:t>narratively</w:t>
      </w:r>
      <w:proofErr w:type="spellEnd"/>
      <w:r>
        <w:rPr>
          <w:rFonts w:asciiTheme="minorHAnsi" w:hAnsiTheme="minorHAnsi" w:cstheme="minorHAnsi"/>
        </w:rPr>
        <w:t xml:space="preserve"> and most importantly, through careful usage of sound and silence. </w:t>
      </w:r>
      <w:r w:rsidR="00D06106">
        <w:rPr>
          <w:rFonts w:asciiTheme="minorHAnsi" w:hAnsiTheme="minorHAnsi" w:cstheme="minorHAnsi"/>
        </w:rPr>
        <w:t xml:space="preserve">The scene in which </w:t>
      </w:r>
      <w:proofErr w:type="spellStart"/>
      <w:r w:rsidR="00D06106">
        <w:rPr>
          <w:rFonts w:asciiTheme="minorHAnsi" w:hAnsiTheme="minorHAnsi" w:cstheme="minorHAnsi"/>
        </w:rPr>
        <w:t>Wladyslaw</w:t>
      </w:r>
      <w:proofErr w:type="spellEnd"/>
      <w:r w:rsidR="00D06106">
        <w:rPr>
          <w:rFonts w:asciiTheme="minorHAnsi" w:hAnsiTheme="minorHAnsi" w:cstheme="minorHAnsi"/>
        </w:rPr>
        <w:t xml:space="preserve"> </w:t>
      </w:r>
      <w:proofErr w:type="spellStart"/>
      <w:r w:rsidR="00D06106">
        <w:rPr>
          <w:rFonts w:asciiTheme="minorHAnsi" w:hAnsiTheme="minorHAnsi" w:cstheme="minorHAnsi"/>
        </w:rPr>
        <w:t>Szpillman</w:t>
      </w:r>
      <w:proofErr w:type="spellEnd"/>
      <w:r w:rsidR="00D06106">
        <w:rPr>
          <w:rFonts w:asciiTheme="minorHAnsi" w:hAnsiTheme="minorHAnsi" w:cstheme="minorHAnsi"/>
        </w:rPr>
        <w:t>, the main protagonist</w:t>
      </w:r>
      <w:r w:rsidR="00D02CCB">
        <w:rPr>
          <w:rFonts w:asciiTheme="minorHAnsi" w:hAnsiTheme="minorHAnsi" w:cstheme="minorHAnsi"/>
        </w:rPr>
        <w:t xml:space="preserve"> and Jewish survivor</w:t>
      </w:r>
      <w:r w:rsidR="00D06106">
        <w:rPr>
          <w:rFonts w:asciiTheme="minorHAnsi" w:hAnsiTheme="minorHAnsi" w:cstheme="minorHAnsi"/>
        </w:rPr>
        <w:t xml:space="preserve">, is found </w:t>
      </w:r>
      <w:r w:rsidR="00D02CCB">
        <w:rPr>
          <w:rFonts w:asciiTheme="minorHAnsi" w:hAnsiTheme="minorHAnsi" w:cstheme="minorHAnsi"/>
        </w:rPr>
        <w:t xml:space="preserve">in hiding </w:t>
      </w:r>
      <w:r w:rsidR="00D06106">
        <w:rPr>
          <w:rFonts w:asciiTheme="minorHAnsi" w:hAnsiTheme="minorHAnsi" w:cstheme="minorHAnsi"/>
        </w:rPr>
        <w:t xml:space="preserve">by a German officer in an abandoned and bombed </w:t>
      </w:r>
      <w:r w:rsidR="00D02CCB">
        <w:rPr>
          <w:rFonts w:asciiTheme="minorHAnsi" w:hAnsiTheme="minorHAnsi" w:cstheme="minorHAnsi"/>
        </w:rPr>
        <w:t xml:space="preserve">building, and is surprisingly asked to play the piano, results in the creation of a deeply moving encounter. </w:t>
      </w:r>
      <w:r w:rsidR="004836E2">
        <w:rPr>
          <w:rFonts w:asciiTheme="minorHAnsi" w:hAnsiTheme="minorHAnsi" w:cstheme="minorHAnsi"/>
        </w:rPr>
        <w:t xml:space="preserve">In this scene, darkness, silence, and sound are not random stylistic choices but rather a very intelligent, sophisticated and carefully </w:t>
      </w:r>
      <w:proofErr w:type="spellStart"/>
      <w:r w:rsidR="004836E2">
        <w:rPr>
          <w:rFonts w:asciiTheme="minorHAnsi" w:hAnsiTheme="minorHAnsi" w:cstheme="minorHAnsi"/>
        </w:rPr>
        <w:t>curated</w:t>
      </w:r>
      <w:proofErr w:type="spellEnd"/>
      <w:r w:rsidR="004836E2">
        <w:rPr>
          <w:rFonts w:asciiTheme="minorHAnsi" w:hAnsiTheme="minorHAnsi" w:cstheme="minorHAnsi"/>
        </w:rPr>
        <w:t xml:space="preserve"> </w:t>
      </w:r>
      <w:r w:rsidR="00AD7DBC">
        <w:rPr>
          <w:rFonts w:asciiTheme="minorHAnsi" w:hAnsiTheme="minorHAnsi" w:cstheme="minorHAnsi"/>
        </w:rPr>
        <w:t>editorial decisions that shape how Holocaust memory is preserved and felt as opposed to simply understood. The scene is where realism, trauma an</w:t>
      </w:r>
      <w:r w:rsidR="001A5E3B">
        <w:rPr>
          <w:rFonts w:asciiTheme="minorHAnsi" w:hAnsiTheme="minorHAnsi" w:cstheme="minorHAnsi"/>
        </w:rPr>
        <w:t xml:space="preserve">d cinematic execution intersect. This raised questions about </w:t>
      </w:r>
      <w:r w:rsidR="00AD7DBC">
        <w:rPr>
          <w:rFonts w:asciiTheme="minorHAnsi" w:hAnsiTheme="minorHAnsi" w:cstheme="minorHAnsi"/>
        </w:rPr>
        <w:t>how the medium of film produces historical experience</w:t>
      </w:r>
      <w:r w:rsidR="001A5E3B">
        <w:rPr>
          <w:rFonts w:asciiTheme="minorHAnsi" w:hAnsiTheme="minorHAnsi" w:cstheme="minorHAnsi"/>
        </w:rPr>
        <w:t xml:space="preserve"> and memory through its careful usage of sound. </w:t>
      </w:r>
    </w:p>
    <w:p w:rsidR="00C15AE0" w:rsidRDefault="00C15AE0" w:rsidP="000C6E03">
      <w:pPr>
        <w:pStyle w:val="NormalWeb"/>
        <w:rPr>
          <w:rFonts w:asciiTheme="minorHAnsi" w:hAnsiTheme="minorHAnsi" w:cstheme="minorHAnsi"/>
        </w:rPr>
      </w:pPr>
      <w:r>
        <w:rPr>
          <w:rFonts w:asciiTheme="minorHAnsi" w:hAnsiTheme="minorHAnsi" w:cstheme="minorHAnsi"/>
        </w:rPr>
        <w:t>As a directorial choice, Polanski uses</w:t>
      </w:r>
      <w:r w:rsidR="00484D26">
        <w:rPr>
          <w:rFonts w:asciiTheme="minorHAnsi" w:hAnsiTheme="minorHAnsi" w:cstheme="minorHAnsi"/>
        </w:rPr>
        <w:t xml:space="preserve"> </w:t>
      </w:r>
      <w:r w:rsidR="0033034C">
        <w:rPr>
          <w:rFonts w:asciiTheme="minorHAnsi" w:hAnsiTheme="minorHAnsi" w:cstheme="minorHAnsi"/>
        </w:rPr>
        <w:t>lighting that is saturated and a colour palette that is muted</w:t>
      </w:r>
      <w:r w:rsidR="00484D26">
        <w:rPr>
          <w:rFonts w:asciiTheme="minorHAnsi" w:hAnsiTheme="minorHAnsi" w:cstheme="minorHAnsi"/>
        </w:rPr>
        <w:t xml:space="preserve">. The abandoned building scene reflects this directorial approach particularly well. The greyish walls, shadows and dark colours make the environment dull and reflective of difficulty, pain and hardship as opposed to warm colours and visual comfort. Instead of this being a random stylistic choice in terms of </w:t>
      </w:r>
      <w:proofErr w:type="spellStart"/>
      <w:r w:rsidR="00484D26">
        <w:rPr>
          <w:rFonts w:asciiTheme="minorHAnsi" w:hAnsiTheme="minorHAnsi" w:cstheme="minorHAnsi"/>
        </w:rPr>
        <w:t>Mise</w:t>
      </w:r>
      <w:proofErr w:type="spellEnd"/>
      <w:r w:rsidR="00484D26">
        <w:rPr>
          <w:rFonts w:asciiTheme="minorHAnsi" w:hAnsiTheme="minorHAnsi" w:cstheme="minorHAnsi"/>
        </w:rPr>
        <w:t xml:space="preserve"> en Scene, it is actually a conscious attempt to make the viewer feel in a sensory way, the deprived living conditions which </w:t>
      </w:r>
      <w:proofErr w:type="spellStart"/>
      <w:r w:rsidR="00484D26">
        <w:rPr>
          <w:rFonts w:asciiTheme="minorHAnsi" w:hAnsiTheme="minorHAnsi" w:cstheme="minorHAnsi"/>
        </w:rPr>
        <w:t>Szpillman</w:t>
      </w:r>
      <w:proofErr w:type="spellEnd"/>
      <w:r w:rsidR="00484D26">
        <w:rPr>
          <w:rFonts w:asciiTheme="minorHAnsi" w:hAnsiTheme="minorHAnsi" w:cstheme="minorHAnsi"/>
        </w:rPr>
        <w:t xml:space="preserve"> </w:t>
      </w:r>
      <w:r w:rsidR="0011383F">
        <w:rPr>
          <w:rFonts w:asciiTheme="minorHAnsi" w:hAnsiTheme="minorHAnsi" w:cstheme="minorHAnsi"/>
        </w:rPr>
        <w:t>has</w:t>
      </w:r>
      <w:r w:rsidR="00484D26">
        <w:rPr>
          <w:rFonts w:asciiTheme="minorHAnsi" w:hAnsiTheme="minorHAnsi" w:cstheme="minorHAnsi"/>
        </w:rPr>
        <w:t xml:space="preserve"> to endure. Film scholar Andre </w:t>
      </w:r>
      <w:proofErr w:type="spellStart"/>
      <w:r w:rsidR="00484D26">
        <w:rPr>
          <w:rFonts w:asciiTheme="minorHAnsi" w:hAnsiTheme="minorHAnsi" w:cstheme="minorHAnsi"/>
        </w:rPr>
        <w:t>Bazin</w:t>
      </w:r>
      <w:proofErr w:type="spellEnd"/>
      <w:r w:rsidR="00484D26">
        <w:rPr>
          <w:rFonts w:asciiTheme="minorHAnsi" w:hAnsiTheme="minorHAnsi" w:cstheme="minorHAnsi"/>
        </w:rPr>
        <w:t xml:space="preserve"> claims that </w:t>
      </w:r>
      <w:r w:rsidR="00C64FF0">
        <w:rPr>
          <w:rFonts w:asciiTheme="minorHAnsi" w:hAnsiTheme="minorHAnsi" w:cstheme="minorHAnsi"/>
        </w:rPr>
        <w:t>‘</w:t>
      </w:r>
      <w:r w:rsidR="00484D26">
        <w:rPr>
          <w:rFonts w:asciiTheme="minorHAnsi" w:hAnsiTheme="minorHAnsi" w:cstheme="minorHAnsi"/>
        </w:rPr>
        <w:t>depth of focus</w:t>
      </w:r>
      <w:r w:rsidR="00C64FF0">
        <w:rPr>
          <w:rFonts w:asciiTheme="minorHAnsi" w:hAnsiTheme="minorHAnsi" w:cstheme="minorHAnsi"/>
        </w:rPr>
        <w:t>’</w:t>
      </w:r>
      <w:r w:rsidR="00484D26">
        <w:rPr>
          <w:rFonts w:asciiTheme="minorHAnsi" w:hAnsiTheme="minorHAnsi" w:cstheme="minorHAnsi"/>
        </w:rPr>
        <w:t xml:space="preserve"> and unembellished realism bring the spectator into a closer and more intimate u</w:t>
      </w:r>
      <w:r w:rsidR="00C64FF0">
        <w:rPr>
          <w:rFonts w:asciiTheme="minorHAnsi" w:hAnsiTheme="minorHAnsi" w:cstheme="minorHAnsi"/>
        </w:rPr>
        <w:t xml:space="preserve">nderstanding and </w:t>
      </w:r>
      <w:r w:rsidR="00484D26">
        <w:rPr>
          <w:rFonts w:asciiTheme="minorHAnsi" w:hAnsiTheme="minorHAnsi" w:cstheme="minorHAnsi"/>
        </w:rPr>
        <w:t xml:space="preserve">appreciation of the </w:t>
      </w:r>
      <w:r w:rsidR="00484D26">
        <w:rPr>
          <w:rFonts w:asciiTheme="minorHAnsi" w:hAnsiTheme="minorHAnsi" w:cstheme="minorHAnsi"/>
        </w:rPr>
        <w:lastRenderedPageBreak/>
        <w:t xml:space="preserve">reality, </w:t>
      </w:r>
      <w:r w:rsidR="00C64FF0">
        <w:rPr>
          <w:rFonts w:asciiTheme="minorHAnsi" w:hAnsiTheme="minorHAnsi" w:cstheme="minorHAnsi"/>
        </w:rPr>
        <w:t>when highlighting that for the viewer, ‘its structure is more realistic’.</w:t>
      </w:r>
      <w:r w:rsidR="00AD54A5">
        <w:rPr>
          <w:rStyle w:val="FootnoteReference"/>
          <w:rFonts w:asciiTheme="minorHAnsi" w:hAnsiTheme="minorHAnsi" w:cstheme="minorHAnsi"/>
        </w:rPr>
        <w:footnoteReference w:id="2"/>
      </w:r>
      <w:r w:rsidR="00C64FF0">
        <w:rPr>
          <w:rFonts w:asciiTheme="minorHAnsi" w:hAnsiTheme="minorHAnsi" w:cstheme="minorHAnsi"/>
        </w:rPr>
        <w:t xml:space="preserve"> </w:t>
      </w:r>
      <w:proofErr w:type="spellStart"/>
      <w:r w:rsidR="00A70774">
        <w:rPr>
          <w:rFonts w:asciiTheme="minorHAnsi" w:hAnsiTheme="minorHAnsi" w:cstheme="minorHAnsi"/>
        </w:rPr>
        <w:t>Polanski’s</w:t>
      </w:r>
      <w:proofErr w:type="spellEnd"/>
      <w:r w:rsidR="00A70774">
        <w:rPr>
          <w:rFonts w:asciiTheme="minorHAnsi" w:hAnsiTheme="minorHAnsi" w:cstheme="minorHAnsi"/>
        </w:rPr>
        <w:t xml:space="preserve"> decision to avoid warm stylistic choices and dramatic lighting supports this </w:t>
      </w:r>
      <w:proofErr w:type="spellStart"/>
      <w:r w:rsidR="00A70774">
        <w:rPr>
          <w:rFonts w:asciiTheme="minorHAnsi" w:hAnsiTheme="minorHAnsi" w:cstheme="minorHAnsi"/>
        </w:rPr>
        <w:t>Bazinian</w:t>
      </w:r>
      <w:proofErr w:type="spellEnd"/>
      <w:r w:rsidR="00A70774">
        <w:rPr>
          <w:rFonts w:asciiTheme="minorHAnsi" w:hAnsiTheme="minorHAnsi" w:cstheme="minorHAnsi"/>
        </w:rPr>
        <w:t xml:space="preserve"> realism, where the viewer draws meaning from duration, texture, and physical space rather than through cinematic manipulation. </w:t>
      </w:r>
    </w:p>
    <w:p w:rsidR="00C15AE0" w:rsidRDefault="00D0476E" w:rsidP="000C6E03">
      <w:pPr>
        <w:pStyle w:val="NormalWeb"/>
        <w:rPr>
          <w:rFonts w:asciiTheme="minorHAnsi" w:hAnsiTheme="minorHAnsi" w:cstheme="minorHAnsi"/>
        </w:rPr>
      </w:pPr>
      <w:r>
        <w:rPr>
          <w:rFonts w:asciiTheme="minorHAnsi" w:hAnsiTheme="minorHAnsi" w:cstheme="minorHAnsi"/>
        </w:rPr>
        <w:t xml:space="preserve">The building itself denotes ruined materiality as opposed to simply being a backdrop. The crumbling walls, broken furniture, and dust-covered surfaces are given extended screen time and focus. The idea highlighted by Siegfried </w:t>
      </w:r>
      <w:proofErr w:type="spellStart"/>
      <w:r>
        <w:rPr>
          <w:rFonts w:asciiTheme="minorHAnsi" w:hAnsiTheme="minorHAnsi" w:cstheme="minorHAnsi"/>
        </w:rPr>
        <w:t>Kracauer</w:t>
      </w:r>
      <w:proofErr w:type="spellEnd"/>
      <w:r>
        <w:rPr>
          <w:rFonts w:asciiTheme="minorHAnsi" w:hAnsiTheme="minorHAnsi" w:cstheme="minorHAnsi"/>
        </w:rPr>
        <w:t xml:space="preserve"> that film reveals overlooked physical reality is quite salient here, ‘many objects remain unnoticed simply because it never occurs to us to look their way.’</w:t>
      </w:r>
      <w:r>
        <w:rPr>
          <w:rStyle w:val="FootnoteReference"/>
          <w:rFonts w:asciiTheme="minorHAnsi" w:hAnsiTheme="minorHAnsi" w:cstheme="minorHAnsi"/>
        </w:rPr>
        <w:footnoteReference w:id="3"/>
      </w:r>
      <w:r>
        <w:rPr>
          <w:rFonts w:asciiTheme="minorHAnsi" w:hAnsiTheme="minorHAnsi" w:cstheme="minorHAnsi"/>
        </w:rPr>
        <w:t xml:space="preserve"> </w:t>
      </w:r>
      <w:r w:rsidR="00695681">
        <w:rPr>
          <w:rFonts w:asciiTheme="minorHAnsi" w:hAnsiTheme="minorHAnsi" w:cstheme="minorHAnsi"/>
        </w:rPr>
        <w:t>I</w:t>
      </w:r>
      <w:r w:rsidR="008D2596">
        <w:rPr>
          <w:rFonts w:asciiTheme="minorHAnsi" w:hAnsiTheme="minorHAnsi" w:cstheme="minorHAnsi"/>
        </w:rPr>
        <w:t>n this scene, objects like the p</w:t>
      </w:r>
      <w:r w:rsidR="00695681">
        <w:rPr>
          <w:rFonts w:asciiTheme="minorHAnsi" w:hAnsiTheme="minorHAnsi" w:cstheme="minorHAnsi"/>
        </w:rPr>
        <w:t xml:space="preserve">iano are not introduced for narrative convenience, but instead exist within the decay of the building. </w:t>
      </w:r>
      <w:proofErr w:type="spellStart"/>
      <w:r w:rsidR="00695681">
        <w:rPr>
          <w:rFonts w:asciiTheme="minorHAnsi" w:hAnsiTheme="minorHAnsi" w:cstheme="minorHAnsi"/>
        </w:rPr>
        <w:t>Kracauer</w:t>
      </w:r>
      <w:proofErr w:type="spellEnd"/>
      <w:r w:rsidR="00695681">
        <w:rPr>
          <w:rFonts w:asciiTheme="minorHAnsi" w:hAnsiTheme="minorHAnsi" w:cstheme="minorHAnsi"/>
        </w:rPr>
        <w:t xml:space="preserve"> also argues that film captures reality ‘as it evolves in time,’ and </w:t>
      </w:r>
      <w:proofErr w:type="spellStart"/>
      <w:r w:rsidR="00695681">
        <w:rPr>
          <w:rFonts w:asciiTheme="minorHAnsi" w:hAnsiTheme="minorHAnsi" w:cstheme="minorHAnsi"/>
        </w:rPr>
        <w:t>Polanski’s</w:t>
      </w:r>
      <w:proofErr w:type="spellEnd"/>
      <w:r w:rsidR="00695681">
        <w:rPr>
          <w:rFonts w:asciiTheme="minorHAnsi" w:hAnsiTheme="minorHAnsi" w:cstheme="minorHAnsi"/>
        </w:rPr>
        <w:t xml:space="preserve"> long and unbroken takes reinforce this sens</w:t>
      </w:r>
      <w:r w:rsidR="00CE6A61">
        <w:rPr>
          <w:rFonts w:asciiTheme="minorHAnsi" w:hAnsiTheme="minorHAnsi" w:cstheme="minorHAnsi"/>
        </w:rPr>
        <w:t>e of temporal survival.</w:t>
      </w:r>
      <w:r w:rsidR="00CE6A61">
        <w:rPr>
          <w:rStyle w:val="FootnoteReference"/>
          <w:rFonts w:asciiTheme="minorHAnsi" w:hAnsiTheme="minorHAnsi" w:cstheme="minorHAnsi"/>
        </w:rPr>
        <w:footnoteReference w:id="4"/>
      </w:r>
    </w:p>
    <w:p w:rsidR="000D4156" w:rsidRDefault="00301B64" w:rsidP="000C6E03">
      <w:pPr>
        <w:pStyle w:val="NormalWeb"/>
        <w:rPr>
          <w:rFonts w:asciiTheme="minorHAnsi" w:hAnsiTheme="minorHAnsi" w:cstheme="minorHAnsi"/>
        </w:rPr>
      </w:pPr>
      <w:r>
        <w:rPr>
          <w:rFonts w:asciiTheme="minorHAnsi" w:hAnsiTheme="minorHAnsi" w:cstheme="minorHAnsi"/>
        </w:rPr>
        <w:t xml:space="preserve">When the officer discovers </w:t>
      </w:r>
      <w:proofErr w:type="spellStart"/>
      <w:r>
        <w:rPr>
          <w:rFonts w:asciiTheme="minorHAnsi" w:hAnsiTheme="minorHAnsi" w:cstheme="minorHAnsi"/>
        </w:rPr>
        <w:t>Szpilman</w:t>
      </w:r>
      <w:proofErr w:type="spellEnd"/>
      <w:r>
        <w:rPr>
          <w:rFonts w:asciiTheme="minorHAnsi" w:hAnsiTheme="minorHAnsi" w:cstheme="minorHAnsi"/>
        </w:rPr>
        <w:t>, the editing remains restrained. There is no rapid cutting or musical cue to show danger or relief. Instead, silence dominates. This silence is strategically employed, not as emptiness but as an editorial decision that forced the viewer into an uncertain state. The German officer’s unexpected level of restraint complicates the narrative of expectation, since a violent response which the viewer may be expec</w:t>
      </w:r>
      <w:r w:rsidR="001A5E3B">
        <w:rPr>
          <w:rFonts w:asciiTheme="minorHAnsi" w:hAnsiTheme="minorHAnsi" w:cstheme="minorHAnsi"/>
        </w:rPr>
        <w:t>ting, is withheld, but in a tense way. This withholding is pivotal to the scene’s ethical tension. Polanski refuses to resolve the encounter into either brutality or redemption.</w:t>
      </w:r>
    </w:p>
    <w:p w:rsidR="008B00D1" w:rsidRDefault="00571BB8" w:rsidP="008B00D1">
      <w:pPr>
        <w:pStyle w:val="NormalWeb"/>
        <w:tabs>
          <w:tab w:val="left" w:pos="5989"/>
        </w:tabs>
        <w:rPr>
          <w:rFonts w:asciiTheme="minorHAnsi" w:hAnsiTheme="minorHAnsi" w:cstheme="minorHAnsi"/>
        </w:rPr>
      </w:pPr>
      <w:r>
        <w:rPr>
          <w:rFonts w:asciiTheme="minorHAnsi" w:hAnsiTheme="minorHAnsi" w:cstheme="minorHAnsi"/>
        </w:rPr>
        <w:t xml:space="preserve">Polanski includes sound gradually, and this transition in and out of sound, can be understood through Michel </w:t>
      </w:r>
      <w:proofErr w:type="spellStart"/>
      <w:r>
        <w:rPr>
          <w:rFonts w:asciiTheme="minorHAnsi" w:hAnsiTheme="minorHAnsi" w:cstheme="minorHAnsi"/>
        </w:rPr>
        <w:t>Chion’s</w:t>
      </w:r>
      <w:proofErr w:type="spellEnd"/>
      <w:r>
        <w:rPr>
          <w:rFonts w:asciiTheme="minorHAnsi" w:hAnsiTheme="minorHAnsi" w:cstheme="minorHAnsi"/>
        </w:rPr>
        <w:t xml:space="preserve"> concept of ‘added value,’ where sound ‘enriches a given image so as to create the definitive impression.’</w:t>
      </w:r>
      <w:r w:rsidR="00901E28">
        <w:rPr>
          <w:rStyle w:val="FootnoteReference"/>
          <w:rFonts w:asciiTheme="minorHAnsi" w:hAnsiTheme="minorHAnsi" w:cstheme="minorHAnsi"/>
        </w:rPr>
        <w:footnoteReference w:id="5"/>
      </w:r>
      <w:r>
        <w:rPr>
          <w:rFonts w:asciiTheme="minorHAnsi" w:hAnsiTheme="minorHAnsi" w:cstheme="minorHAnsi"/>
        </w:rPr>
        <w:t xml:space="preserve"> </w:t>
      </w:r>
      <w:r w:rsidR="00025AC9">
        <w:rPr>
          <w:rFonts w:asciiTheme="minorHAnsi" w:hAnsiTheme="minorHAnsi" w:cstheme="minorHAnsi"/>
        </w:rPr>
        <w:t xml:space="preserve">Instead of simply accompanying the image, the piano scene, reconfigures it. </w:t>
      </w:r>
      <w:r w:rsidR="008D2596">
        <w:rPr>
          <w:rFonts w:asciiTheme="minorHAnsi" w:hAnsiTheme="minorHAnsi" w:cstheme="minorHAnsi"/>
        </w:rPr>
        <w:t xml:space="preserve">The dusty and ruined room is </w:t>
      </w:r>
      <w:r w:rsidR="00025AC9">
        <w:rPr>
          <w:rFonts w:asciiTheme="minorHAnsi" w:hAnsiTheme="minorHAnsi" w:cstheme="minorHAnsi"/>
        </w:rPr>
        <w:t xml:space="preserve">brought to life acoustically and with a slight glimmer of light shining through the window as an additional prop for the life the music is injecting into the scene. </w:t>
      </w:r>
      <w:proofErr w:type="spellStart"/>
      <w:r w:rsidR="00025AC9">
        <w:rPr>
          <w:rFonts w:asciiTheme="minorHAnsi" w:hAnsiTheme="minorHAnsi" w:cstheme="minorHAnsi"/>
        </w:rPr>
        <w:t>Chion’s</w:t>
      </w:r>
      <w:proofErr w:type="spellEnd"/>
      <w:r w:rsidR="00025AC9">
        <w:rPr>
          <w:rFonts w:asciiTheme="minorHAnsi" w:hAnsiTheme="minorHAnsi" w:cstheme="minorHAnsi"/>
        </w:rPr>
        <w:t xml:space="preserve"> idea of </w:t>
      </w:r>
      <w:proofErr w:type="spellStart"/>
      <w:r w:rsidR="00025AC9">
        <w:rPr>
          <w:rFonts w:asciiTheme="minorHAnsi" w:hAnsiTheme="minorHAnsi" w:cstheme="minorHAnsi"/>
        </w:rPr>
        <w:t>synchresis</w:t>
      </w:r>
      <w:proofErr w:type="spellEnd"/>
      <w:r w:rsidR="00025AC9">
        <w:rPr>
          <w:rFonts w:asciiTheme="minorHAnsi" w:hAnsiTheme="minorHAnsi" w:cstheme="minorHAnsi"/>
        </w:rPr>
        <w:t>, the connection between the sound and image, explains why the performance feels historically ‘real’ even though it is carefully constructed.</w:t>
      </w:r>
      <w:r w:rsidR="00025AC9">
        <w:rPr>
          <w:rStyle w:val="FootnoteReference"/>
          <w:rFonts w:asciiTheme="minorHAnsi" w:hAnsiTheme="minorHAnsi" w:cstheme="minorHAnsi"/>
        </w:rPr>
        <w:footnoteReference w:id="6"/>
      </w:r>
      <w:r w:rsidR="00025AC9">
        <w:rPr>
          <w:rFonts w:asciiTheme="minorHAnsi" w:hAnsiTheme="minorHAnsi" w:cstheme="minorHAnsi"/>
        </w:rPr>
        <w:t xml:space="preserve"> </w:t>
      </w:r>
      <w:r w:rsidR="001366DE">
        <w:rPr>
          <w:rFonts w:asciiTheme="minorHAnsi" w:hAnsiTheme="minorHAnsi" w:cstheme="minorHAnsi"/>
        </w:rPr>
        <w:t xml:space="preserve">It becomes impossible to separate the sound from </w:t>
      </w:r>
      <w:proofErr w:type="spellStart"/>
      <w:r w:rsidR="001366DE">
        <w:rPr>
          <w:rFonts w:asciiTheme="minorHAnsi" w:hAnsiTheme="minorHAnsi" w:cstheme="minorHAnsi"/>
        </w:rPr>
        <w:t>Szpilman</w:t>
      </w:r>
      <w:proofErr w:type="spellEnd"/>
      <w:r w:rsidR="001366DE">
        <w:rPr>
          <w:rFonts w:asciiTheme="minorHAnsi" w:hAnsiTheme="minorHAnsi" w:cstheme="minorHAnsi"/>
        </w:rPr>
        <w:t xml:space="preserve"> and the immediate space, which strengthens emotional realism. </w:t>
      </w:r>
      <w:r w:rsidR="00FE2052">
        <w:rPr>
          <w:rFonts w:asciiTheme="minorHAnsi" w:hAnsiTheme="minorHAnsi" w:cstheme="minorHAnsi"/>
        </w:rPr>
        <w:tab/>
      </w:r>
    </w:p>
    <w:p w:rsidR="00BD6731" w:rsidRDefault="00BD6731" w:rsidP="008B00D1">
      <w:pPr>
        <w:pStyle w:val="NormalWeb"/>
        <w:tabs>
          <w:tab w:val="left" w:pos="5989"/>
        </w:tabs>
        <w:rPr>
          <w:rFonts w:asciiTheme="minorHAnsi" w:hAnsiTheme="minorHAnsi" w:cstheme="minorHAnsi"/>
        </w:rPr>
      </w:pPr>
      <w:proofErr w:type="spellStart"/>
      <w:r>
        <w:rPr>
          <w:rFonts w:asciiTheme="minorHAnsi" w:hAnsiTheme="minorHAnsi" w:cstheme="minorHAnsi"/>
        </w:rPr>
        <w:t>Polanski’s</w:t>
      </w:r>
      <w:proofErr w:type="spellEnd"/>
      <w:r>
        <w:rPr>
          <w:rFonts w:asciiTheme="minorHAnsi" w:hAnsiTheme="minorHAnsi" w:cstheme="minorHAnsi"/>
        </w:rPr>
        <w:t xml:space="preserve"> editorial restraint, the long takes, minimal and carefully used score, and absence of non-</w:t>
      </w:r>
      <w:proofErr w:type="spellStart"/>
      <w:r>
        <w:rPr>
          <w:rFonts w:asciiTheme="minorHAnsi" w:hAnsiTheme="minorHAnsi" w:cstheme="minorHAnsi"/>
        </w:rPr>
        <w:t>diegetic</w:t>
      </w:r>
      <w:proofErr w:type="spellEnd"/>
      <w:r>
        <w:rPr>
          <w:rFonts w:asciiTheme="minorHAnsi" w:hAnsiTheme="minorHAnsi" w:cstheme="minorHAnsi"/>
        </w:rPr>
        <w:t xml:space="preserve"> music, also plays a salient role in creating historical memory. By opting out of using emotional manipulation through background score, the film embodies what Ian Gwinn describes as the production of historical meaning through ‘authenticity, empathy, </w:t>
      </w:r>
      <w:r>
        <w:rPr>
          <w:rFonts w:asciiTheme="minorHAnsi" w:hAnsiTheme="minorHAnsi" w:cstheme="minorHAnsi"/>
        </w:rPr>
        <w:lastRenderedPageBreak/>
        <w:t>and experience.’</w:t>
      </w:r>
      <w:r>
        <w:rPr>
          <w:rStyle w:val="FootnoteReference"/>
          <w:rFonts w:asciiTheme="minorHAnsi" w:hAnsiTheme="minorHAnsi" w:cstheme="minorHAnsi"/>
        </w:rPr>
        <w:footnoteReference w:id="7"/>
      </w:r>
      <w:r w:rsidR="00022C38">
        <w:rPr>
          <w:rFonts w:asciiTheme="minorHAnsi" w:hAnsiTheme="minorHAnsi" w:cstheme="minorHAnsi"/>
        </w:rPr>
        <w:t xml:space="preserve"> The viewer is not told how to feel through the music, but rather, emotion emerges from the raw interaction between performance, silence, and space. </w:t>
      </w:r>
    </w:p>
    <w:p w:rsidR="00BD6731" w:rsidRDefault="001521FE" w:rsidP="000C6E03">
      <w:pPr>
        <w:pStyle w:val="NormalWeb"/>
        <w:rPr>
          <w:rFonts w:asciiTheme="minorHAnsi" w:hAnsiTheme="minorHAnsi" w:cstheme="minorHAnsi"/>
        </w:rPr>
      </w:pPr>
      <w:r>
        <w:rPr>
          <w:rFonts w:asciiTheme="minorHAnsi" w:hAnsiTheme="minorHAnsi" w:cstheme="minorHAnsi"/>
        </w:rPr>
        <w:t xml:space="preserve">However, at the same time, this realism is not neutral. </w:t>
      </w:r>
      <w:proofErr w:type="spellStart"/>
      <w:r>
        <w:rPr>
          <w:rFonts w:asciiTheme="minorHAnsi" w:hAnsiTheme="minorHAnsi" w:cstheme="minorHAnsi"/>
        </w:rPr>
        <w:t>Oybek</w:t>
      </w:r>
      <w:proofErr w:type="spellEnd"/>
      <w:r>
        <w:rPr>
          <w:rFonts w:asciiTheme="minorHAnsi" w:hAnsiTheme="minorHAnsi" w:cstheme="minorHAnsi"/>
        </w:rPr>
        <w:t xml:space="preserve"> </w:t>
      </w:r>
      <w:proofErr w:type="spellStart"/>
      <w:r>
        <w:rPr>
          <w:rFonts w:asciiTheme="minorHAnsi" w:hAnsiTheme="minorHAnsi" w:cstheme="minorHAnsi"/>
        </w:rPr>
        <w:t>Aliqulovich</w:t>
      </w:r>
      <w:proofErr w:type="spellEnd"/>
      <w:r>
        <w:rPr>
          <w:rFonts w:asciiTheme="minorHAnsi" w:hAnsiTheme="minorHAnsi" w:cstheme="minorHAnsi"/>
        </w:rPr>
        <w:t xml:space="preserve"> </w:t>
      </w:r>
      <w:proofErr w:type="spellStart"/>
      <w:r>
        <w:rPr>
          <w:rFonts w:asciiTheme="minorHAnsi" w:hAnsiTheme="minorHAnsi" w:cstheme="minorHAnsi"/>
        </w:rPr>
        <w:t>Ostonov</w:t>
      </w:r>
      <w:proofErr w:type="spellEnd"/>
      <w:r>
        <w:rPr>
          <w:rFonts w:asciiTheme="minorHAnsi" w:hAnsiTheme="minorHAnsi" w:cstheme="minorHAnsi"/>
        </w:rPr>
        <w:t xml:space="preserve"> reminds us that ‘films are not always accurate or objective representations of historical events.’</w:t>
      </w:r>
      <w:r>
        <w:rPr>
          <w:rStyle w:val="FootnoteReference"/>
          <w:rFonts w:asciiTheme="minorHAnsi" w:hAnsiTheme="minorHAnsi" w:cstheme="minorHAnsi"/>
        </w:rPr>
        <w:footnoteReference w:id="8"/>
      </w:r>
      <w:r w:rsidR="00225617">
        <w:rPr>
          <w:rFonts w:asciiTheme="minorHAnsi" w:hAnsiTheme="minorHAnsi" w:cstheme="minorHAnsi"/>
        </w:rPr>
        <w:t xml:space="preserve"> </w:t>
      </w:r>
      <w:r w:rsidR="008270DF">
        <w:rPr>
          <w:rFonts w:asciiTheme="minorHAnsi" w:hAnsiTheme="minorHAnsi" w:cstheme="minorHAnsi"/>
        </w:rPr>
        <w:t xml:space="preserve">The decision to incorporate an encounter that is morally ambiguous as this, where a Nazi officer becomes the listener as opposed to executioner, raises interpretive tensions. The scene risks </w:t>
      </w:r>
      <w:proofErr w:type="spellStart"/>
      <w:r w:rsidR="008270DF">
        <w:rPr>
          <w:rFonts w:asciiTheme="minorHAnsi" w:hAnsiTheme="minorHAnsi" w:cstheme="minorHAnsi"/>
        </w:rPr>
        <w:t>aestheticisng</w:t>
      </w:r>
      <w:proofErr w:type="spellEnd"/>
      <w:r w:rsidR="008270DF">
        <w:rPr>
          <w:rFonts w:asciiTheme="minorHAnsi" w:hAnsiTheme="minorHAnsi" w:cstheme="minorHAnsi"/>
        </w:rPr>
        <w:t xml:space="preserve"> and humanising historical violence by including a moment of artistic resonance within the backdrop of genocide. </w:t>
      </w:r>
      <w:r w:rsidR="0007752A">
        <w:rPr>
          <w:rFonts w:asciiTheme="minorHAnsi" w:hAnsiTheme="minorHAnsi" w:cstheme="minorHAnsi"/>
        </w:rPr>
        <w:t xml:space="preserve">However, Polanski avoids projecting a definitively romantic conclusion. The officer’s restraint is not framed as redemption as though it is unsettling it remains temporary and within the wider context and backdrop of the more harrowing war frame on the outside. </w:t>
      </w:r>
    </w:p>
    <w:p w:rsidR="00225617" w:rsidRDefault="003109D7" w:rsidP="000C6E03">
      <w:pPr>
        <w:pStyle w:val="NormalWeb"/>
        <w:rPr>
          <w:rFonts w:asciiTheme="minorHAnsi" w:hAnsiTheme="minorHAnsi" w:cstheme="minorHAnsi"/>
        </w:rPr>
      </w:pPr>
      <w:r>
        <w:rPr>
          <w:rFonts w:asciiTheme="minorHAnsi" w:hAnsiTheme="minorHAnsi" w:cstheme="minorHAnsi"/>
        </w:rPr>
        <w:t xml:space="preserve">This tension is central to Holocaust memory in cinematic representation. Alison </w:t>
      </w:r>
      <w:proofErr w:type="spellStart"/>
      <w:r>
        <w:rPr>
          <w:rFonts w:asciiTheme="minorHAnsi" w:hAnsiTheme="minorHAnsi" w:cstheme="minorHAnsi"/>
        </w:rPr>
        <w:t>Landsberg’s</w:t>
      </w:r>
      <w:proofErr w:type="spellEnd"/>
      <w:r>
        <w:rPr>
          <w:rFonts w:asciiTheme="minorHAnsi" w:hAnsiTheme="minorHAnsi" w:cstheme="minorHAnsi"/>
        </w:rPr>
        <w:t xml:space="preserve"> concept of ‘prosthetic memory’ is particularly useful her</w:t>
      </w:r>
      <w:r w:rsidR="00EE318E">
        <w:rPr>
          <w:rFonts w:asciiTheme="minorHAnsi" w:hAnsiTheme="minorHAnsi" w:cstheme="minorHAnsi"/>
        </w:rPr>
        <w:t>e</w:t>
      </w:r>
      <w:r>
        <w:rPr>
          <w:rFonts w:asciiTheme="minorHAnsi" w:hAnsiTheme="minorHAnsi" w:cstheme="minorHAnsi"/>
        </w:rPr>
        <w:t>, which in a nutshell is that film allows the viewer to ‘suture himself or herself into a larger history,’ forming  ‘a more personal, deeply felt memory of a past event through which he or she did not live.’</w:t>
      </w:r>
      <w:r>
        <w:rPr>
          <w:rStyle w:val="FootnoteReference"/>
          <w:rFonts w:asciiTheme="minorHAnsi" w:hAnsiTheme="minorHAnsi" w:cstheme="minorHAnsi"/>
        </w:rPr>
        <w:footnoteReference w:id="9"/>
      </w:r>
      <w:r>
        <w:rPr>
          <w:rFonts w:asciiTheme="minorHAnsi" w:hAnsiTheme="minorHAnsi" w:cstheme="minorHAnsi"/>
        </w:rPr>
        <w:t xml:space="preserve"> </w:t>
      </w:r>
      <w:r w:rsidR="0091521C">
        <w:rPr>
          <w:rFonts w:asciiTheme="minorHAnsi" w:hAnsiTheme="minorHAnsi" w:cstheme="minorHAnsi"/>
        </w:rPr>
        <w:t>The piano scene has exactl</w:t>
      </w:r>
      <w:r w:rsidR="009657A8">
        <w:rPr>
          <w:rFonts w:asciiTheme="minorHAnsi" w:hAnsiTheme="minorHAnsi" w:cstheme="minorHAnsi"/>
        </w:rPr>
        <w:t xml:space="preserve">y this impact. Through </w:t>
      </w:r>
      <w:proofErr w:type="spellStart"/>
      <w:r w:rsidR="009657A8">
        <w:rPr>
          <w:rFonts w:asciiTheme="minorHAnsi" w:hAnsiTheme="minorHAnsi" w:cstheme="minorHAnsi"/>
        </w:rPr>
        <w:t>Polanski’s</w:t>
      </w:r>
      <w:proofErr w:type="spellEnd"/>
      <w:r w:rsidR="009657A8">
        <w:rPr>
          <w:rFonts w:asciiTheme="minorHAnsi" w:hAnsiTheme="minorHAnsi" w:cstheme="minorHAnsi"/>
        </w:rPr>
        <w:t xml:space="preserve"> execution of sound</w:t>
      </w:r>
      <w:r w:rsidR="0091521C">
        <w:rPr>
          <w:rFonts w:asciiTheme="minorHAnsi" w:hAnsiTheme="minorHAnsi" w:cstheme="minorHAnsi"/>
        </w:rPr>
        <w:t>, the view</w:t>
      </w:r>
      <w:r w:rsidR="003B0523">
        <w:rPr>
          <w:rFonts w:asciiTheme="minorHAnsi" w:hAnsiTheme="minorHAnsi" w:cstheme="minorHAnsi"/>
        </w:rPr>
        <w:t xml:space="preserve">er is encapsulated into a cinematically produced memory of survival that feels both </w:t>
      </w:r>
      <w:r w:rsidR="0008009A">
        <w:rPr>
          <w:rFonts w:asciiTheme="minorHAnsi" w:hAnsiTheme="minorHAnsi" w:cstheme="minorHAnsi"/>
        </w:rPr>
        <w:t xml:space="preserve">emotionally </w:t>
      </w:r>
      <w:r w:rsidR="003B0523">
        <w:rPr>
          <w:rFonts w:asciiTheme="minorHAnsi" w:hAnsiTheme="minorHAnsi" w:cstheme="minorHAnsi"/>
        </w:rPr>
        <w:t xml:space="preserve">intimate but historically distant at the same time. The realist aesthetic helps to boost the emotional impact of the scene, especially when considering the physical details.  </w:t>
      </w:r>
    </w:p>
    <w:p w:rsidR="000C6E03" w:rsidRDefault="00B84D0C" w:rsidP="000C6E03">
      <w:pPr>
        <w:pStyle w:val="NormalWeb"/>
        <w:rPr>
          <w:rFonts w:asciiTheme="minorHAnsi" w:hAnsiTheme="minorHAnsi" w:cstheme="minorHAnsi"/>
        </w:rPr>
      </w:pPr>
      <w:r>
        <w:rPr>
          <w:rFonts w:asciiTheme="minorHAnsi" w:hAnsiTheme="minorHAnsi" w:cstheme="minorHAnsi"/>
        </w:rPr>
        <w:t xml:space="preserve">However, </w:t>
      </w:r>
      <w:proofErr w:type="spellStart"/>
      <w:r>
        <w:rPr>
          <w:rFonts w:asciiTheme="minorHAnsi" w:hAnsiTheme="minorHAnsi" w:cstheme="minorHAnsi"/>
        </w:rPr>
        <w:t>Landsberg</w:t>
      </w:r>
      <w:proofErr w:type="spellEnd"/>
      <w:r>
        <w:rPr>
          <w:rFonts w:asciiTheme="minorHAnsi" w:hAnsiTheme="minorHAnsi" w:cstheme="minorHAnsi"/>
        </w:rPr>
        <w:t xml:space="preserve"> also notes that such cinematic memory production carries ethical risk, especially when focussing on distortion and repetition, as ‘</w:t>
      </w:r>
      <w:r w:rsidR="00893AED">
        <w:rPr>
          <w:rFonts w:asciiTheme="minorHAnsi" w:hAnsiTheme="minorHAnsi" w:cstheme="minorHAnsi"/>
        </w:rPr>
        <w:t>historical</w:t>
      </w:r>
      <w:r>
        <w:rPr>
          <w:rFonts w:asciiTheme="minorHAnsi" w:hAnsiTheme="minorHAnsi" w:cstheme="minorHAnsi"/>
        </w:rPr>
        <w:t xml:space="preserve"> revisionism has been a powerful enemy of Holocaust memory.’</w:t>
      </w:r>
      <w:r>
        <w:rPr>
          <w:rStyle w:val="FootnoteReference"/>
          <w:rFonts w:asciiTheme="minorHAnsi" w:hAnsiTheme="minorHAnsi" w:cstheme="minorHAnsi"/>
        </w:rPr>
        <w:footnoteReference w:id="10"/>
      </w:r>
      <w:r w:rsidR="008B00D1">
        <w:rPr>
          <w:rFonts w:asciiTheme="minorHAnsi" w:hAnsiTheme="minorHAnsi" w:cstheme="minorHAnsi"/>
        </w:rPr>
        <w:t xml:space="preserve"> The beauty of the scene and its fragile music within the ruin and backdrop of </w:t>
      </w:r>
      <w:r w:rsidR="00A546FD">
        <w:rPr>
          <w:rFonts w:asciiTheme="minorHAnsi" w:hAnsiTheme="minorHAnsi" w:cstheme="minorHAnsi"/>
        </w:rPr>
        <w:t>genocide</w:t>
      </w:r>
      <w:r w:rsidR="008B00D1">
        <w:rPr>
          <w:rFonts w:asciiTheme="minorHAnsi" w:hAnsiTheme="minorHAnsi" w:cstheme="minorHAnsi"/>
        </w:rPr>
        <w:t xml:space="preserve"> could be seen as a softening of </w:t>
      </w:r>
      <w:r w:rsidR="00A546FD">
        <w:rPr>
          <w:rFonts w:asciiTheme="minorHAnsi" w:hAnsiTheme="minorHAnsi" w:cstheme="minorHAnsi"/>
        </w:rPr>
        <w:t>a brutal</w:t>
      </w:r>
      <w:r w:rsidR="008B00D1">
        <w:rPr>
          <w:rFonts w:asciiTheme="minorHAnsi" w:hAnsiTheme="minorHAnsi" w:cstheme="minorHAnsi"/>
        </w:rPr>
        <w:t xml:space="preserve"> historical memory.  </w:t>
      </w:r>
      <w:r w:rsidR="000E0E7D">
        <w:rPr>
          <w:rFonts w:asciiTheme="minorHAnsi" w:hAnsiTheme="minorHAnsi" w:cstheme="minorHAnsi"/>
        </w:rPr>
        <w:t xml:space="preserve">In addition, </w:t>
      </w:r>
      <w:proofErr w:type="spellStart"/>
      <w:r w:rsidR="000E0E7D">
        <w:rPr>
          <w:rFonts w:asciiTheme="minorHAnsi" w:hAnsiTheme="minorHAnsi" w:cstheme="minorHAnsi"/>
        </w:rPr>
        <w:t>Landsberg</w:t>
      </w:r>
      <w:proofErr w:type="spellEnd"/>
      <w:r w:rsidR="000E0E7D">
        <w:rPr>
          <w:rFonts w:asciiTheme="minorHAnsi" w:hAnsiTheme="minorHAnsi" w:cstheme="minorHAnsi"/>
        </w:rPr>
        <w:t xml:space="preserve"> also argues that cin</w:t>
      </w:r>
      <w:r w:rsidR="00893AED">
        <w:rPr>
          <w:rFonts w:asciiTheme="minorHAnsi" w:hAnsiTheme="minorHAnsi" w:cstheme="minorHAnsi"/>
        </w:rPr>
        <w:t>ema can</w:t>
      </w:r>
      <w:r w:rsidR="000E0E7D">
        <w:rPr>
          <w:rFonts w:asciiTheme="minorHAnsi" w:hAnsiTheme="minorHAnsi" w:cstheme="minorHAnsi"/>
        </w:rPr>
        <w:t xml:space="preserve"> create ‘the possibility of a responsible mass cultural transmission of memory.’</w:t>
      </w:r>
      <w:r w:rsidR="000E0E7D">
        <w:rPr>
          <w:rStyle w:val="FootnoteReference"/>
          <w:rFonts w:asciiTheme="minorHAnsi" w:hAnsiTheme="minorHAnsi" w:cstheme="minorHAnsi"/>
        </w:rPr>
        <w:footnoteReference w:id="11"/>
      </w:r>
      <w:r w:rsidR="000E0E7D">
        <w:rPr>
          <w:rFonts w:asciiTheme="minorHAnsi" w:hAnsiTheme="minorHAnsi" w:cstheme="minorHAnsi"/>
        </w:rPr>
        <w:t xml:space="preserve"> </w:t>
      </w:r>
      <w:r w:rsidR="00723898">
        <w:rPr>
          <w:rFonts w:asciiTheme="minorHAnsi" w:hAnsiTheme="minorHAnsi" w:cstheme="minorHAnsi"/>
        </w:rPr>
        <w:t xml:space="preserve">This scene lies within this tension. While it is emotionally accessible, it remains unsettling and unstable, and therefore it refuses closure. </w:t>
      </w:r>
    </w:p>
    <w:p w:rsidR="001628B3" w:rsidRDefault="00C009F4" w:rsidP="000C6E03">
      <w:pPr>
        <w:pStyle w:val="NormalWeb"/>
        <w:rPr>
          <w:rFonts w:asciiTheme="minorHAnsi" w:hAnsiTheme="minorHAnsi" w:cstheme="minorHAnsi"/>
        </w:rPr>
      </w:pPr>
      <w:r>
        <w:rPr>
          <w:rFonts w:asciiTheme="minorHAnsi" w:hAnsiTheme="minorHAnsi" w:cstheme="minorHAnsi"/>
        </w:rPr>
        <w:t xml:space="preserve">This clearly reinforces the relationship between sound and silence. Cathy </w:t>
      </w:r>
      <w:proofErr w:type="spellStart"/>
      <w:r>
        <w:rPr>
          <w:rFonts w:asciiTheme="minorHAnsi" w:hAnsiTheme="minorHAnsi" w:cstheme="minorHAnsi"/>
        </w:rPr>
        <w:t>Caruth’s</w:t>
      </w:r>
      <w:proofErr w:type="spellEnd"/>
      <w:r>
        <w:rPr>
          <w:rFonts w:asciiTheme="minorHAnsi" w:hAnsiTheme="minorHAnsi" w:cstheme="minorHAnsi"/>
        </w:rPr>
        <w:t xml:space="preserve"> trauma theory is helpful here, especially her claim that catastrophic events ‘seem to repeat themselves for those who have passed through them.’</w:t>
      </w:r>
      <w:r>
        <w:rPr>
          <w:rStyle w:val="FootnoteReference"/>
          <w:rFonts w:asciiTheme="minorHAnsi" w:hAnsiTheme="minorHAnsi" w:cstheme="minorHAnsi"/>
        </w:rPr>
        <w:footnoteReference w:id="12"/>
      </w:r>
      <w:r>
        <w:rPr>
          <w:rFonts w:asciiTheme="minorHAnsi" w:hAnsiTheme="minorHAnsi" w:cstheme="minorHAnsi"/>
        </w:rPr>
        <w:t xml:space="preserve"> </w:t>
      </w:r>
      <w:proofErr w:type="spellStart"/>
      <w:r>
        <w:rPr>
          <w:rFonts w:asciiTheme="minorHAnsi" w:hAnsiTheme="minorHAnsi" w:cstheme="minorHAnsi"/>
        </w:rPr>
        <w:t>Szpilman’s</w:t>
      </w:r>
      <w:proofErr w:type="spellEnd"/>
      <w:r>
        <w:rPr>
          <w:rFonts w:asciiTheme="minorHAnsi" w:hAnsiTheme="minorHAnsi" w:cstheme="minorHAnsi"/>
        </w:rPr>
        <w:t xml:space="preserve"> performance is not simply expressive but actually a compulsive repetition of a pre-war condition and identity that no longer exists but that there is a longing for. His musical performance is rooted in a </w:t>
      </w:r>
      <w:r>
        <w:rPr>
          <w:rFonts w:asciiTheme="minorHAnsi" w:hAnsiTheme="minorHAnsi" w:cstheme="minorHAnsi"/>
        </w:rPr>
        <w:lastRenderedPageBreak/>
        <w:t xml:space="preserve">survival instinct as opposed to recovery. </w:t>
      </w:r>
      <w:proofErr w:type="spellStart"/>
      <w:r>
        <w:rPr>
          <w:rFonts w:asciiTheme="minorHAnsi" w:hAnsiTheme="minorHAnsi" w:cstheme="minorHAnsi"/>
        </w:rPr>
        <w:t>Caruth’s</w:t>
      </w:r>
      <w:proofErr w:type="spellEnd"/>
      <w:r>
        <w:rPr>
          <w:rFonts w:asciiTheme="minorHAnsi" w:hAnsiTheme="minorHAnsi" w:cstheme="minorHAnsi"/>
        </w:rPr>
        <w:t xml:space="preserve"> description of memory as ‘a series of painful events… entirely outside their wish or control’ resonates strongly</w:t>
      </w:r>
      <w:r w:rsidR="00985192">
        <w:rPr>
          <w:rFonts w:asciiTheme="minorHAnsi" w:hAnsiTheme="minorHAnsi" w:cstheme="minorHAnsi"/>
        </w:rPr>
        <w:t xml:space="preserve"> here.</w:t>
      </w:r>
      <w:r w:rsidR="00985192">
        <w:rPr>
          <w:rStyle w:val="FootnoteReference"/>
          <w:rFonts w:asciiTheme="minorHAnsi" w:hAnsiTheme="minorHAnsi" w:cstheme="minorHAnsi"/>
        </w:rPr>
        <w:footnoteReference w:id="13"/>
      </w:r>
      <w:r w:rsidR="00985192">
        <w:rPr>
          <w:rFonts w:asciiTheme="minorHAnsi" w:hAnsiTheme="minorHAnsi" w:cstheme="minorHAnsi"/>
        </w:rPr>
        <w:t xml:space="preserve"> </w:t>
      </w:r>
      <w:proofErr w:type="spellStart"/>
      <w:r w:rsidR="00985192">
        <w:rPr>
          <w:rFonts w:asciiTheme="minorHAnsi" w:hAnsiTheme="minorHAnsi" w:cstheme="minorHAnsi"/>
        </w:rPr>
        <w:t>Szpilman</w:t>
      </w:r>
      <w:proofErr w:type="spellEnd"/>
      <w:r w:rsidR="00985192">
        <w:rPr>
          <w:rFonts w:asciiTheme="minorHAnsi" w:hAnsiTheme="minorHAnsi" w:cstheme="minorHAnsi"/>
        </w:rPr>
        <w:t xml:space="preserve"> does not willingly or freely choose performance as a healing mechanism, but rather as a necessity within a broader unpredictable encounter and context. </w:t>
      </w:r>
    </w:p>
    <w:p w:rsidR="00BF7967" w:rsidRDefault="00BF7967" w:rsidP="000C6E03">
      <w:pPr>
        <w:pStyle w:val="NormalWeb"/>
        <w:rPr>
          <w:rFonts w:asciiTheme="minorHAnsi" w:hAnsiTheme="minorHAnsi" w:cstheme="minorHAnsi"/>
        </w:rPr>
      </w:pPr>
      <w:r>
        <w:rPr>
          <w:rFonts w:asciiTheme="minorHAnsi" w:hAnsiTheme="minorHAnsi" w:cstheme="minorHAnsi"/>
        </w:rPr>
        <w:t xml:space="preserve">The reaction of the officer further complicates interpretation. </w:t>
      </w:r>
      <w:r w:rsidR="003B7B0C">
        <w:rPr>
          <w:rFonts w:asciiTheme="minorHAnsi" w:hAnsiTheme="minorHAnsi" w:cstheme="minorHAnsi"/>
        </w:rPr>
        <w:t xml:space="preserve">His silence during the performance becomes part of the wider </w:t>
      </w:r>
      <w:proofErr w:type="spellStart"/>
      <w:r w:rsidR="003B7B0C">
        <w:rPr>
          <w:rFonts w:asciiTheme="minorHAnsi" w:hAnsiTheme="minorHAnsi" w:cstheme="minorHAnsi"/>
        </w:rPr>
        <w:t>soundscape</w:t>
      </w:r>
      <w:proofErr w:type="spellEnd"/>
      <w:r w:rsidR="003B7B0C">
        <w:rPr>
          <w:rFonts w:asciiTheme="minorHAnsi" w:hAnsiTheme="minorHAnsi" w:cstheme="minorHAnsi"/>
        </w:rPr>
        <w:t xml:space="preserve"> of the scene. But the silence is not framed as absence but rather as power. It frames the music as something that is being temporarily allowed, observes, and most importantly judged. The talent of </w:t>
      </w:r>
      <w:proofErr w:type="spellStart"/>
      <w:r w:rsidR="003B7B0C">
        <w:rPr>
          <w:rFonts w:asciiTheme="minorHAnsi" w:hAnsiTheme="minorHAnsi" w:cstheme="minorHAnsi"/>
        </w:rPr>
        <w:t>Szpilman</w:t>
      </w:r>
      <w:proofErr w:type="spellEnd"/>
      <w:r w:rsidR="003B7B0C">
        <w:rPr>
          <w:rFonts w:asciiTheme="minorHAnsi" w:hAnsiTheme="minorHAnsi" w:cstheme="minorHAnsi"/>
        </w:rPr>
        <w:t xml:space="preserve"> creates a dichotomy of power in which the piano performance now questions whether the German officer is actually more powerful than </w:t>
      </w:r>
      <w:proofErr w:type="spellStart"/>
      <w:r w:rsidR="003B7B0C">
        <w:rPr>
          <w:rFonts w:asciiTheme="minorHAnsi" w:hAnsiTheme="minorHAnsi" w:cstheme="minorHAnsi"/>
        </w:rPr>
        <w:t>Szpilman</w:t>
      </w:r>
      <w:proofErr w:type="spellEnd"/>
      <w:r w:rsidR="003B7B0C">
        <w:rPr>
          <w:rFonts w:asciiTheme="minorHAnsi" w:hAnsiTheme="minorHAnsi" w:cstheme="minorHAnsi"/>
        </w:rPr>
        <w:t xml:space="preserve">. There is an oscillating power imbalance that can be tipped either way depending on how one views the scene and the protagonists. However, within this imbalance, sound creates a fragile shared space and connection. </w:t>
      </w:r>
      <w:proofErr w:type="spellStart"/>
      <w:r w:rsidR="003B7B0C">
        <w:rPr>
          <w:rFonts w:asciiTheme="minorHAnsi" w:hAnsiTheme="minorHAnsi" w:cstheme="minorHAnsi"/>
        </w:rPr>
        <w:t>Abrams</w:t>
      </w:r>
      <w:proofErr w:type="spellEnd"/>
      <w:r w:rsidR="003B7B0C">
        <w:rPr>
          <w:rFonts w:asciiTheme="minorHAnsi" w:hAnsiTheme="minorHAnsi" w:cstheme="minorHAnsi"/>
        </w:rPr>
        <w:t xml:space="preserve">’ argument that Holocaust cinema can include ‘acts of Jewish resistance’ </w:t>
      </w:r>
      <w:r w:rsidR="006A0408">
        <w:rPr>
          <w:rFonts w:asciiTheme="minorHAnsi" w:hAnsiTheme="minorHAnsi" w:cstheme="minorHAnsi"/>
        </w:rPr>
        <w:t>is helpful here.</w:t>
      </w:r>
      <w:r w:rsidR="006A0408">
        <w:rPr>
          <w:rStyle w:val="FootnoteReference"/>
          <w:rFonts w:asciiTheme="minorHAnsi" w:hAnsiTheme="minorHAnsi" w:cstheme="minorHAnsi"/>
        </w:rPr>
        <w:footnoteReference w:id="14"/>
      </w:r>
      <w:r w:rsidR="006A0408">
        <w:rPr>
          <w:rFonts w:asciiTheme="minorHAnsi" w:hAnsiTheme="minorHAnsi" w:cstheme="minorHAnsi"/>
        </w:rPr>
        <w:t xml:space="preserve"> </w:t>
      </w:r>
      <w:proofErr w:type="spellStart"/>
      <w:r w:rsidR="006A0408">
        <w:rPr>
          <w:rFonts w:asciiTheme="minorHAnsi" w:hAnsiTheme="minorHAnsi" w:cstheme="minorHAnsi"/>
        </w:rPr>
        <w:t>Szpilman’s</w:t>
      </w:r>
      <w:proofErr w:type="spellEnd"/>
      <w:r w:rsidR="006A0408">
        <w:rPr>
          <w:rFonts w:asciiTheme="minorHAnsi" w:hAnsiTheme="minorHAnsi" w:cstheme="minorHAnsi"/>
        </w:rPr>
        <w:t xml:space="preserve"> performance acts as a form of resistance, not through confrontation, but instead through cultural survival. Music indicates presence and survival where political existence is no longer an option. </w:t>
      </w:r>
    </w:p>
    <w:p w:rsidR="002E2F47" w:rsidRDefault="002E2F47" w:rsidP="000C6E03">
      <w:pPr>
        <w:pStyle w:val="NormalWeb"/>
        <w:rPr>
          <w:rFonts w:asciiTheme="minorHAnsi" w:hAnsiTheme="minorHAnsi" w:cstheme="minorHAnsi"/>
        </w:rPr>
      </w:pPr>
      <w:proofErr w:type="spellStart"/>
      <w:r>
        <w:rPr>
          <w:rFonts w:asciiTheme="minorHAnsi" w:hAnsiTheme="minorHAnsi" w:cstheme="minorHAnsi"/>
        </w:rPr>
        <w:t>Kracauer’s</w:t>
      </w:r>
      <w:proofErr w:type="spellEnd"/>
      <w:r>
        <w:rPr>
          <w:rFonts w:asciiTheme="minorHAnsi" w:hAnsiTheme="minorHAnsi" w:cstheme="minorHAnsi"/>
        </w:rPr>
        <w:t xml:space="preserve"> idea that the view enters a ‘dream-like state’ is also relevant here.</w:t>
      </w:r>
      <w:r>
        <w:rPr>
          <w:rStyle w:val="FootnoteReference"/>
          <w:rFonts w:asciiTheme="minorHAnsi" w:hAnsiTheme="minorHAnsi" w:cstheme="minorHAnsi"/>
        </w:rPr>
        <w:footnoteReference w:id="15"/>
      </w:r>
      <w:r>
        <w:rPr>
          <w:rFonts w:asciiTheme="minorHAnsi" w:hAnsiTheme="minorHAnsi" w:cstheme="minorHAnsi"/>
        </w:rPr>
        <w:t xml:space="preserve"> </w:t>
      </w:r>
      <w:r w:rsidR="00D70D44">
        <w:rPr>
          <w:rFonts w:asciiTheme="minorHAnsi" w:hAnsiTheme="minorHAnsi" w:cstheme="minorHAnsi"/>
        </w:rPr>
        <w:t>The scene is not so concerned with narrative urgency, and so draws the viewer into an extended attentiveness. A simple piano melody becomes elongated cinematic time, where ‘</w:t>
      </w:r>
      <w:proofErr w:type="gramStart"/>
      <w:r w:rsidR="00D70D44">
        <w:rPr>
          <w:rFonts w:asciiTheme="minorHAnsi" w:hAnsiTheme="minorHAnsi" w:cstheme="minorHAnsi"/>
        </w:rPr>
        <w:t>a face… a street serving as a background… open</w:t>
      </w:r>
      <w:proofErr w:type="gramEnd"/>
      <w:r w:rsidR="00D70D44">
        <w:rPr>
          <w:rFonts w:asciiTheme="minorHAnsi" w:hAnsiTheme="minorHAnsi" w:cstheme="minorHAnsi"/>
        </w:rPr>
        <w:t xml:space="preserve"> up a dimension much wider </w:t>
      </w:r>
      <w:r w:rsidR="00FE5817">
        <w:rPr>
          <w:rFonts w:asciiTheme="minorHAnsi" w:hAnsiTheme="minorHAnsi" w:cstheme="minorHAnsi"/>
        </w:rPr>
        <w:t xml:space="preserve">than that of the plots which they sustain.’ </w:t>
      </w:r>
      <w:r w:rsidR="00FE5817">
        <w:rPr>
          <w:rStyle w:val="FootnoteReference"/>
          <w:rFonts w:asciiTheme="minorHAnsi" w:hAnsiTheme="minorHAnsi" w:cstheme="minorHAnsi"/>
        </w:rPr>
        <w:footnoteReference w:id="16"/>
      </w:r>
      <w:r w:rsidR="008B6E06">
        <w:rPr>
          <w:rFonts w:asciiTheme="minorHAnsi" w:hAnsiTheme="minorHAnsi" w:cstheme="minorHAnsi"/>
        </w:rPr>
        <w:t xml:space="preserve"> The piano, the room and the two figures seem bigger than simple historical narrative and instead become historical remnants that are made both visible and audible. </w:t>
      </w:r>
    </w:p>
    <w:p w:rsidR="002E2F47" w:rsidRDefault="00346855" w:rsidP="000C6E03">
      <w:pPr>
        <w:pStyle w:val="NormalWeb"/>
        <w:rPr>
          <w:rFonts w:asciiTheme="minorHAnsi" w:hAnsiTheme="minorHAnsi" w:cstheme="minorHAnsi"/>
        </w:rPr>
      </w:pPr>
      <w:r>
        <w:rPr>
          <w:rFonts w:asciiTheme="minorHAnsi" w:hAnsiTheme="minorHAnsi" w:cstheme="minorHAnsi"/>
        </w:rPr>
        <w:t xml:space="preserve">Ultimately, </w:t>
      </w:r>
      <w:proofErr w:type="spellStart"/>
      <w:r>
        <w:rPr>
          <w:rFonts w:asciiTheme="minorHAnsi" w:hAnsiTheme="minorHAnsi" w:cstheme="minorHAnsi"/>
        </w:rPr>
        <w:t>Polanski’s</w:t>
      </w:r>
      <w:proofErr w:type="spellEnd"/>
      <w:r>
        <w:rPr>
          <w:rFonts w:asciiTheme="minorHAnsi" w:hAnsiTheme="minorHAnsi" w:cstheme="minorHAnsi"/>
        </w:rPr>
        <w:t xml:space="preserve"> editorial and directorial choices which include muted colour grading, restrained editing, </w:t>
      </w:r>
      <w:proofErr w:type="spellStart"/>
      <w:r>
        <w:rPr>
          <w:rFonts w:asciiTheme="minorHAnsi" w:hAnsiTheme="minorHAnsi" w:cstheme="minorHAnsi"/>
        </w:rPr>
        <w:t>diegetic</w:t>
      </w:r>
      <w:proofErr w:type="spellEnd"/>
      <w:r>
        <w:rPr>
          <w:rFonts w:asciiTheme="minorHAnsi" w:hAnsiTheme="minorHAnsi" w:cstheme="minorHAnsi"/>
        </w:rPr>
        <w:t xml:space="preserve"> sound focus, and the refusal of musical underscoring, construct a specific mode of Holocaust representation that is found in sensory realism. This aligns with </w:t>
      </w:r>
      <w:proofErr w:type="spellStart"/>
      <w:r>
        <w:rPr>
          <w:rFonts w:asciiTheme="minorHAnsi" w:hAnsiTheme="minorHAnsi" w:cstheme="minorHAnsi"/>
        </w:rPr>
        <w:t>Bazin’s</w:t>
      </w:r>
      <w:proofErr w:type="spellEnd"/>
      <w:r>
        <w:rPr>
          <w:rFonts w:asciiTheme="minorHAnsi" w:hAnsiTheme="minorHAnsi" w:cstheme="minorHAnsi"/>
        </w:rPr>
        <w:t xml:space="preserve"> idea of cinema evolving toward techniques that ‘respect reality,’ but also it exposes the limits of that realism.</w:t>
      </w:r>
      <w:r w:rsidR="00B17368">
        <w:rPr>
          <w:rStyle w:val="FootnoteReference"/>
          <w:rFonts w:asciiTheme="minorHAnsi" w:hAnsiTheme="minorHAnsi" w:cstheme="minorHAnsi"/>
        </w:rPr>
        <w:footnoteReference w:id="17"/>
      </w:r>
      <w:r>
        <w:rPr>
          <w:rFonts w:asciiTheme="minorHAnsi" w:hAnsiTheme="minorHAnsi" w:cstheme="minorHAnsi"/>
        </w:rPr>
        <w:t xml:space="preserve"> The scene is not reality itself, but a carefully </w:t>
      </w:r>
      <w:proofErr w:type="spellStart"/>
      <w:r>
        <w:rPr>
          <w:rFonts w:asciiTheme="minorHAnsi" w:hAnsiTheme="minorHAnsi" w:cstheme="minorHAnsi"/>
        </w:rPr>
        <w:t>curated</w:t>
      </w:r>
      <w:proofErr w:type="spellEnd"/>
      <w:r>
        <w:rPr>
          <w:rFonts w:asciiTheme="minorHAnsi" w:hAnsiTheme="minorHAnsi" w:cstheme="minorHAnsi"/>
        </w:rPr>
        <w:t xml:space="preserve"> and structured intervention that creates and produces emotional truth and empathy through aesthetic and cinematic control and mechanisms. </w:t>
      </w:r>
    </w:p>
    <w:p w:rsidR="00EB5933" w:rsidRDefault="00EB5933" w:rsidP="000C6E03">
      <w:pPr>
        <w:pStyle w:val="NormalWeb"/>
        <w:rPr>
          <w:rFonts w:asciiTheme="minorHAnsi" w:hAnsiTheme="minorHAnsi" w:cstheme="minorHAnsi"/>
        </w:rPr>
      </w:pPr>
      <w:r>
        <w:rPr>
          <w:rFonts w:asciiTheme="minorHAnsi" w:hAnsiTheme="minorHAnsi" w:cstheme="minorHAnsi"/>
        </w:rPr>
        <w:t xml:space="preserve">The piano sequence or scene therefore functions as a meeting point between silence and sound, history and film, trauma and performance. It demonstrates how Holocaust memory is not only preserved through narrative but constructed through sensory experience. Under </w:t>
      </w:r>
      <w:proofErr w:type="spellStart"/>
      <w:r>
        <w:rPr>
          <w:rFonts w:asciiTheme="minorHAnsi" w:hAnsiTheme="minorHAnsi" w:cstheme="minorHAnsi"/>
        </w:rPr>
        <w:t>Polanski’s</w:t>
      </w:r>
      <w:proofErr w:type="spellEnd"/>
      <w:r>
        <w:rPr>
          <w:rFonts w:asciiTheme="minorHAnsi" w:hAnsiTheme="minorHAnsi" w:cstheme="minorHAnsi"/>
        </w:rPr>
        <w:t xml:space="preserve"> direction and editorial choices, the abandoned building becomes an acoustic space of historical tension, where music does not heal or resolve trauma, but instead briefly suspends it for a short time</w:t>
      </w:r>
    </w:p>
    <w:p w:rsidR="00DD0ADF" w:rsidRPr="00C009F4" w:rsidRDefault="00C009F4" w:rsidP="00C009F4">
      <w:pPr>
        <w:rPr>
          <w:rFonts w:cstheme="minorHAnsi"/>
          <w:b/>
        </w:rPr>
      </w:pPr>
      <w:r w:rsidRPr="00C009F4">
        <w:rPr>
          <w:rFonts w:cstheme="minorHAnsi"/>
          <w:b/>
        </w:rPr>
        <w:lastRenderedPageBreak/>
        <w:t>Bibliography:</w:t>
      </w:r>
    </w:p>
    <w:p w:rsidR="001B331D" w:rsidRPr="001B331D" w:rsidRDefault="001B331D" w:rsidP="001B331D">
      <w:pPr>
        <w:pStyle w:val="pdq2pgselectionanchorcontainer"/>
        <w:rPr>
          <w:rFonts w:asciiTheme="minorHAnsi" w:hAnsiTheme="minorHAnsi" w:cstheme="minorHAnsi"/>
        </w:rPr>
      </w:pPr>
      <w:proofErr w:type="spellStart"/>
      <w:r w:rsidRPr="001B331D">
        <w:rPr>
          <w:rFonts w:asciiTheme="minorHAnsi" w:hAnsiTheme="minorHAnsi" w:cstheme="minorHAnsi"/>
        </w:rPr>
        <w:t>Ayufa</w:t>
      </w:r>
      <w:proofErr w:type="spellEnd"/>
      <w:r w:rsidRPr="001B331D">
        <w:rPr>
          <w:rFonts w:asciiTheme="minorHAnsi" w:hAnsiTheme="minorHAnsi" w:cstheme="minorHAnsi"/>
        </w:rPr>
        <w:t xml:space="preserve">, </w:t>
      </w:r>
      <w:proofErr w:type="spellStart"/>
      <w:r w:rsidRPr="001B331D">
        <w:rPr>
          <w:rFonts w:asciiTheme="minorHAnsi" w:hAnsiTheme="minorHAnsi" w:cstheme="minorHAnsi"/>
        </w:rPr>
        <w:t>Radya</w:t>
      </w:r>
      <w:proofErr w:type="spellEnd"/>
      <w:r w:rsidRPr="001B331D">
        <w:rPr>
          <w:rFonts w:asciiTheme="minorHAnsi" w:hAnsiTheme="minorHAnsi" w:cstheme="minorHAnsi"/>
        </w:rPr>
        <w:t xml:space="preserve">, ‘The Pianist – Finding Light </w:t>
      </w:r>
      <w:proofErr w:type="gramStart"/>
      <w:r w:rsidRPr="001B331D">
        <w:rPr>
          <w:rFonts w:asciiTheme="minorHAnsi" w:hAnsiTheme="minorHAnsi" w:cstheme="minorHAnsi"/>
        </w:rPr>
        <w:t>Among</w:t>
      </w:r>
      <w:proofErr w:type="gramEnd"/>
      <w:r w:rsidRPr="001B331D">
        <w:rPr>
          <w:rFonts w:asciiTheme="minorHAnsi" w:hAnsiTheme="minorHAnsi" w:cstheme="minorHAnsi"/>
        </w:rPr>
        <w:t xml:space="preserve"> the Dark’, EDSA UNAIR (16 April 2021) https://www.edsa-unair.com/2021/04/the-pianist-finding-light-among-dark.html [accessed 1 July 2026]</w:t>
      </w:r>
    </w:p>
    <w:p w:rsidR="001B331D" w:rsidRPr="001B331D" w:rsidRDefault="001B331D" w:rsidP="001B331D">
      <w:pPr>
        <w:pStyle w:val="NormalWeb"/>
        <w:rPr>
          <w:rFonts w:asciiTheme="minorHAnsi" w:hAnsiTheme="minorHAnsi" w:cstheme="minorHAnsi"/>
        </w:rPr>
      </w:pPr>
      <w:proofErr w:type="spellStart"/>
      <w:r w:rsidRPr="001B331D">
        <w:rPr>
          <w:rFonts w:asciiTheme="minorHAnsi" w:hAnsiTheme="minorHAnsi" w:cstheme="minorHAnsi"/>
        </w:rPr>
        <w:t>Abrams</w:t>
      </w:r>
      <w:proofErr w:type="spellEnd"/>
      <w:r w:rsidRPr="001B331D">
        <w:rPr>
          <w:rFonts w:asciiTheme="minorHAnsi" w:hAnsiTheme="minorHAnsi" w:cstheme="minorHAnsi"/>
        </w:rPr>
        <w:t xml:space="preserve">, Nathan, </w:t>
      </w:r>
      <w:proofErr w:type="gramStart"/>
      <w:r w:rsidRPr="001B331D">
        <w:rPr>
          <w:rStyle w:val="Emphasis"/>
          <w:rFonts w:asciiTheme="minorHAnsi" w:hAnsiTheme="minorHAnsi" w:cstheme="minorHAnsi"/>
        </w:rPr>
        <w:t>The</w:t>
      </w:r>
      <w:proofErr w:type="gramEnd"/>
      <w:r w:rsidRPr="001B331D">
        <w:rPr>
          <w:rStyle w:val="Emphasis"/>
          <w:rFonts w:asciiTheme="minorHAnsi" w:hAnsiTheme="minorHAnsi" w:cstheme="minorHAnsi"/>
        </w:rPr>
        <w:t xml:space="preserve"> New Jew in Film: Exploring </w:t>
      </w:r>
      <w:proofErr w:type="spellStart"/>
      <w:r w:rsidRPr="001B331D">
        <w:rPr>
          <w:rStyle w:val="Emphasis"/>
          <w:rFonts w:asciiTheme="minorHAnsi" w:hAnsiTheme="minorHAnsi" w:cstheme="minorHAnsi"/>
        </w:rPr>
        <w:t>Jewishness</w:t>
      </w:r>
      <w:proofErr w:type="spellEnd"/>
      <w:r w:rsidRPr="001B331D">
        <w:rPr>
          <w:rStyle w:val="Emphasis"/>
          <w:rFonts w:asciiTheme="minorHAnsi" w:hAnsiTheme="minorHAnsi" w:cstheme="minorHAnsi"/>
        </w:rPr>
        <w:t xml:space="preserve"> and Judaism in Contemporary Cinema</w:t>
      </w:r>
      <w:r w:rsidRPr="001B331D">
        <w:rPr>
          <w:rFonts w:asciiTheme="minorHAnsi" w:hAnsiTheme="minorHAnsi" w:cstheme="minorHAnsi"/>
        </w:rPr>
        <w:t xml:space="preserve"> (London: I.B. </w:t>
      </w:r>
      <w:proofErr w:type="spellStart"/>
      <w:r w:rsidRPr="001B331D">
        <w:rPr>
          <w:rFonts w:asciiTheme="minorHAnsi" w:hAnsiTheme="minorHAnsi" w:cstheme="minorHAnsi"/>
        </w:rPr>
        <w:t>Tauris</w:t>
      </w:r>
      <w:proofErr w:type="spellEnd"/>
      <w:r w:rsidRPr="001B331D">
        <w:rPr>
          <w:rFonts w:asciiTheme="minorHAnsi" w:hAnsiTheme="minorHAnsi" w:cstheme="minorHAnsi"/>
        </w:rPr>
        <w:t>, 2012)</w:t>
      </w:r>
    </w:p>
    <w:p w:rsidR="001B331D" w:rsidRPr="001B331D" w:rsidRDefault="001B331D" w:rsidP="001B331D">
      <w:pPr>
        <w:pStyle w:val="NormalWeb"/>
        <w:rPr>
          <w:rFonts w:asciiTheme="minorHAnsi" w:hAnsiTheme="minorHAnsi" w:cstheme="minorHAnsi"/>
        </w:rPr>
      </w:pPr>
      <w:proofErr w:type="spellStart"/>
      <w:r w:rsidRPr="001B331D">
        <w:rPr>
          <w:rFonts w:asciiTheme="minorHAnsi" w:hAnsiTheme="minorHAnsi" w:cstheme="minorHAnsi"/>
        </w:rPr>
        <w:t>Bazin</w:t>
      </w:r>
      <w:proofErr w:type="spellEnd"/>
      <w:r w:rsidRPr="001B331D">
        <w:rPr>
          <w:rFonts w:asciiTheme="minorHAnsi" w:hAnsiTheme="minorHAnsi" w:cstheme="minorHAnsi"/>
        </w:rPr>
        <w:t xml:space="preserve">, André, </w:t>
      </w:r>
      <w:r w:rsidRPr="001B331D">
        <w:rPr>
          <w:rStyle w:val="Emphasis"/>
          <w:rFonts w:asciiTheme="minorHAnsi" w:hAnsiTheme="minorHAnsi" w:cstheme="minorHAnsi"/>
        </w:rPr>
        <w:t>What Is Cinema</w:t>
      </w:r>
      <w:proofErr w:type="gramStart"/>
      <w:r w:rsidRPr="001B331D">
        <w:rPr>
          <w:rStyle w:val="Emphasis"/>
          <w:rFonts w:asciiTheme="minorHAnsi" w:hAnsiTheme="minorHAnsi" w:cstheme="minorHAnsi"/>
        </w:rPr>
        <w:t>?</w:t>
      </w:r>
      <w:r w:rsidRPr="001B331D">
        <w:rPr>
          <w:rFonts w:asciiTheme="minorHAnsi" w:hAnsiTheme="minorHAnsi" w:cstheme="minorHAnsi"/>
        </w:rPr>
        <w:t>,</w:t>
      </w:r>
      <w:proofErr w:type="gramEnd"/>
      <w:r w:rsidRPr="001B331D">
        <w:rPr>
          <w:rFonts w:asciiTheme="minorHAnsi" w:hAnsiTheme="minorHAnsi" w:cstheme="minorHAnsi"/>
        </w:rPr>
        <w:t xml:space="preserve"> trans. by Hugh Gray, 2 </w:t>
      </w:r>
      <w:proofErr w:type="spellStart"/>
      <w:r w:rsidRPr="001B331D">
        <w:rPr>
          <w:rFonts w:asciiTheme="minorHAnsi" w:hAnsiTheme="minorHAnsi" w:cstheme="minorHAnsi"/>
        </w:rPr>
        <w:t>vols</w:t>
      </w:r>
      <w:proofErr w:type="spellEnd"/>
      <w:r w:rsidRPr="001B331D">
        <w:rPr>
          <w:rFonts w:asciiTheme="minorHAnsi" w:hAnsiTheme="minorHAnsi" w:cstheme="minorHAnsi"/>
        </w:rPr>
        <w:t xml:space="preserve"> (Berkeley: University of California Press, 1967), I</w:t>
      </w:r>
    </w:p>
    <w:p w:rsidR="001B331D" w:rsidRPr="001B331D" w:rsidRDefault="001B331D" w:rsidP="001B331D">
      <w:pPr>
        <w:pStyle w:val="NormalWeb"/>
        <w:rPr>
          <w:rFonts w:asciiTheme="minorHAnsi" w:hAnsiTheme="minorHAnsi" w:cstheme="minorHAnsi"/>
        </w:rPr>
      </w:pPr>
      <w:proofErr w:type="spellStart"/>
      <w:r w:rsidRPr="001B331D">
        <w:rPr>
          <w:rFonts w:asciiTheme="minorHAnsi" w:hAnsiTheme="minorHAnsi" w:cstheme="minorHAnsi"/>
        </w:rPr>
        <w:t>Bazin</w:t>
      </w:r>
      <w:proofErr w:type="spellEnd"/>
      <w:r w:rsidRPr="001B331D">
        <w:rPr>
          <w:rFonts w:asciiTheme="minorHAnsi" w:hAnsiTheme="minorHAnsi" w:cstheme="minorHAnsi"/>
        </w:rPr>
        <w:t xml:space="preserve">, André, </w:t>
      </w:r>
      <w:r w:rsidRPr="001B331D">
        <w:rPr>
          <w:rStyle w:val="Emphasis"/>
          <w:rFonts w:asciiTheme="minorHAnsi" w:hAnsiTheme="minorHAnsi" w:cstheme="minorHAnsi"/>
        </w:rPr>
        <w:t>What Is Cinema</w:t>
      </w:r>
      <w:proofErr w:type="gramStart"/>
      <w:r w:rsidRPr="001B331D">
        <w:rPr>
          <w:rStyle w:val="Emphasis"/>
          <w:rFonts w:asciiTheme="minorHAnsi" w:hAnsiTheme="minorHAnsi" w:cstheme="minorHAnsi"/>
        </w:rPr>
        <w:t>?</w:t>
      </w:r>
      <w:r w:rsidRPr="001B331D">
        <w:rPr>
          <w:rFonts w:asciiTheme="minorHAnsi" w:hAnsiTheme="minorHAnsi" w:cstheme="minorHAnsi"/>
        </w:rPr>
        <w:t>,</w:t>
      </w:r>
      <w:proofErr w:type="gramEnd"/>
      <w:r w:rsidRPr="001B331D">
        <w:rPr>
          <w:rFonts w:asciiTheme="minorHAnsi" w:hAnsiTheme="minorHAnsi" w:cstheme="minorHAnsi"/>
        </w:rPr>
        <w:t xml:space="preserve"> trans. by Hugh Gray, 2 </w:t>
      </w:r>
      <w:proofErr w:type="spellStart"/>
      <w:r w:rsidRPr="001B331D">
        <w:rPr>
          <w:rFonts w:asciiTheme="minorHAnsi" w:hAnsiTheme="minorHAnsi" w:cstheme="minorHAnsi"/>
        </w:rPr>
        <w:t>vols</w:t>
      </w:r>
      <w:proofErr w:type="spellEnd"/>
      <w:r w:rsidRPr="001B331D">
        <w:rPr>
          <w:rFonts w:asciiTheme="minorHAnsi" w:hAnsiTheme="minorHAnsi" w:cstheme="minorHAnsi"/>
        </w:rPr>
        <w:t xml:space="preserve"> (Berkeley: University of California Press, 1971), II</w:t>
      </w:r>
    </w:p>
    <w:p w:rsidR="001B331D" w:rsidRPr="001B331D" w:rsidRDefault="001B331D" w:rsidP="001B331D">
      <w:pPr>
        <w:pStyle w:val="NormalWeb"/>
        <w:rPr>
          <w:rFonts w:asciiTheme="minorHAnsi" w:hAnsiTheme="minorHAnsi" w:cstheme="minorHAnsi"/>
        </w:rPr>
      </w:pPr>
      <w:proofErr w:type="spellStart"/>
      <w:r w:rsidRPr="001B331D">
        <w:rPr>
          <w:rFonts w:asciiTheme="minorHAnsi" w:hAnsiTheme="minorHAnsi" w:cstheme="minorHAnsi"/>
        </w:rPr>
        <w:t>Caruth</w:t>
      </w:r>
      <w:proofErr w:type="spellEnd"/>
      <w:r w:rsidRPr="001B331D">
        <w:rPr>
          <w:rFonts w:asciiTheme="minorHAnsi" w:hAnsiTheme="minorHAnsi" w:cstheme="minorHAnsi"/>
        </w:rPr>
        <w:t xml:space="preserve">, Cathy, </w:t>
      </w:r>
      <w:r w:rsidRPr="001B331D">
        <w:rPr>
          <w:rStyle w:val="Emphasis"/>
          <w:rFonts w:asciiTheme="minorHAnsi" w:hAnsiTheme="minorHAnsi" w:cstheme="minorHAnsi"/>
        </w:rPr>
        <w:t>Unclaimed Experience: Trauma, Narrative, and History</w:t>
      </w:r>
      <w:r w:rsidRPr="001B331D">
        <w:rPr>
          <w:rFonts w:asciiTheme="minorHAnsi" w:hAnsiTheme="minorHAnsi" w:cstheme="minorHAnsi"/>
        </w:rPr>
        <w:t xml:space="preserve"> (Baltimore, MD: Johns Hopkins University Press, 1996)</w:t>
      </w:r>
    </w:p>
    <w:p w:rsidR="008B1F2D" w:rsidRPr="008B1F2D" w:rsidRDefault="008B1F2D" w:rsidP="008B1F2D">
      <w:pPr>
        <w:pStyle w:val="pdq2pgselectionanchorcontainer"/>
      </w:pPr>
      <w:proofErr w:type="spellStart"/>
      <w:r>
        <w:t>Chion</w:t>
      </w:r>
      <w:proofErr w:type="spellEnd"/>
      <w:r>
        <w:t xml:space="preserve">, Michel, </w:t>
      </w:r>
      <w:r>
        <w:rPr>
          <w:rStyle w:val="Emphasis"/>
        </w:rPr>
        <w:t>Audio-Vision: Sound on Screen</w:t>
      </w:r>
      <w:r>
        <w:t xml:space="preserve">, trans. by Claudia </w:t>
      </w:r>
      <w:proofErr w:type="spellStart"/>
      <w:r>
        <w:t>Gorbman</w:t>
      </w:r>
      <w:proofErr w:type="spellEnd"/>
      <w:r>
        <w:t xml:space="preserve"> (New York: Columbia University Press, 1994)</w:t>
      </w:r>
    </w:p>
    <w:p w:rsidR="001B331D" w:rsidRPr="001B331D" w:rsidRDefault="001B331D" w:rsidP="001B331D">
      <w:pPr>
        <w:pStyle w:val="NormalWeb"/>
        <w:rPr>
          <w:rFonts w:asciiTheme="minorHAnsi" w:hAnsiTheme="minorHAnsi" w:cstheme="minorHAnsi"/>
        </w:rPr>
      </w:pPr>
      <w:r w:rsidRPr="001B331D">
        <w:rPr>
          <w:rFonts w:asciiTheme="minorHAnsi" w:hAnsiTheme="minorHAnsi" w:cstheme="minorHAnsi"/>
        </w:rPr>
        <w:t xml:space="preserve">Gwinn, Ian, review of Jerome De </w:t>
      </w:r>
      <w:proofErr w:type="spellStart"/>
      <w:r w:rsidRPr="001B331D">
        <w:rPr>
          <w:rFonts w:asciiTheme="minorHAnsi" w:hAnsiTheme="minorHAnsi" w:cstheme="minorHAnsi"/>
        </w:rPr>
        <w:t>Groot</w:t>
      </w:r>
      <w:proofErr w:type="spellEnd"/>
      <w:r w:rsidRPr="001B331D">
        <w:rPr>
          <w:rFonts w:asciiTheme="minorHAnsi" w:hAnsiTheme="minorHAnsi" w:cstheme="minorHAnsi"/>
        </w:rPr>
        <w:t xml:space="preserve">, </w:t>
      </w:r>
      <w:r w:rsidRPr="001B331D">
        <w:rPr>
          <w:rStyle w:val="Emphasis"/>
          <w:rFonts w:asciiTheme="minorHAnsi" w:hAnsiTheme="minorHAnsi" w:cstheme="minorHAnsi"/>
        </w:rPr>
        <w:t>Consuming History: Historians and Heritage in Contemporary Popular Culture</w:t>
      </w:r>
      <w:r w:rsidRPr="001B331D">
        <w:rPr>
          <w:rFonts w:asciiTheme="minorHAnsi" w:hAnsiTheme="minorHAnsi" w:cstheme="minorHAnsi"/>
        </w:rPr>
        <w:t xml:space="preserve">, </w:t>
      </w:r>
      <w:r w:rsidRPr="001B331D">
        <w:rPr>
          <w:rStyle w:val="Emphasis"/>
          <w:rFonts w:asciiTheme="minorHAnsi" w:hAnsiTheme="minorHAnsi" w:cstheme="minorHAnsi"/>
        </w:rPr>
        <w:t>Reviews in History</w:t>
      </w:r>
      <w:r w:rsidRPr="001B331D">
        <w:rPr>
          <w:rFonts w:asciiTheme="minorHAnsi" w:hAnsiTheme="minorHAnsi" w:cstheme="minorHAnsi"/>
        </w:rPr>
        <w:t>, no. 825 (31 October 2009) https://reviews.history.ac.uk/review/825 [accessed 1 July 2026]</w:t>
      </w:r>
    </w:p>
    <w:p w:rsidR="001B331D" w:rsidRPr="001B331D" w:rsidRDefault="001B331D" w:rsidP="001B331D">
      <w:pPr>
        <w:pStyle w:val="NormalWeb"/>
        <w:rPr>
          <w:rFonts w:asciiTheme="minorHAnsi" w:hAnsiTheme="minorHAnsi" w:cstheme="minorHAnsi"/>
        </w:rPr>
      </w:pPr>
      <w:proofErr w:type="spellStart"/>
      <w:r w:rsidRPr="001B331D">
        <w:rPr>
          <w:rFonts w:asciiTheme="minorHAnsi" w:hAnsiTheme="minorHAnsi" w:cstheme="minorHAnsi"/>
        </w:rPr>
        <w:t>Kracauer</w:t>
      </w:r>
      <w:proofErr w:type="spellEnd"/>
      <w:r w:rsidRPr="001B331D">
        <w:rPr>
          <w:rFonts w:asciiTheme="minorHAnsi" w:hAnsiTheme="minorHAnsi" w:cstheme="minorHAnsi"/>
        </w:rPr>
        <w:t xml:space="preserve">, Siegfried, </w:t>
      </w:r>
      <w:r w:rsidRPr="001B331D">
        <w:rPr>
          <w:rStyle w:val="Emphasis"/>
          <w:rFonts w:asciiTheme="minorHAnsi" w:hAnsiTheme="minorHAnsi" w:cstheme="minorHAnsi"/>
        </w:rPr>
        <w:t>Theory of Film: The Redemption of Physical Reality</w:t>
      </w:r>
      <w:r w:rsidRPr="001B331D">
        <w:rPr>
          <w:rFonts w:asciiTheme="minorHAnsi" w:hAnsiTheme="minorHAnsi" w:cstheme="minorHAnsi"/>
        </w:rPr>
        <w:t xml:space="preserve"> (Princeton, NJ: Princeton University Press, 1997)</w:t>
      </w:r>
    </w:p>
    <w:p w:rsidR="001B331D" w:rsidRPr="001B331D" w:rsidRDefault="001B331D" w:rsidP="001B331D">
      <w:pPr>
        <w:pStyle w:val="NormalWeb"/>
        <w:rPr>
          <w:rFonts w:asciiTheme="minorHAnsi" w:hAnsiTheme="minorHAnsi" w:cstheme="minorHAnsi"/>
        </w:rPr>
      </w:pPr>
      <w:proofErr w:type="spellStart"/>
      <w:r w:rsidRPr="001B331D">
        <w:rPr>
          <w:rFonts w:asciiTheme="minorHAnsi" w:hAnsiTheme="minorHAnsi" w:cstheme="minorHAnsi"/>
        </w:rPr>
        <w:t>Landsberg</w:t>
      </w:r>
      <w:proofErr w:type="spellEnd"/>
      <w:r w:rsidRPr="001B331D">
        <w:rPr>
          <w:rFonts w:asciiTheme="minorHAnsi" w:hAnsiTheme="minorHAnsi" w:cstheme="minorHAnsi"/>
        </w:rPr>
        <w:t xml:space="preserve">, Alison, </w:t>
      </w:r>
      <w:r w:rsidRPr="001B331D">
        <w:rPr>
          <w:rStyle w:val="Emphasis"/>
          <w:rFonts w:asciiTheme="minorHAnsi" w:hAnsiTheme="minorHAnsi" w:cstheme="minorHAnsi"/>
        </w:rPr>
        <w:t>Prosthetic Memory: The Transformation of American Remembrance in the Age of Mass Culture</w:t>
      </w:r>
      <w:r w:rsidRPr="001B331D">
        <w:rPr>
          <w:rFonts w:asciiTheme="minorHAnsi" w:hAnsiTheme="minorHAnsi" w:cstheme="minorHAnsi"/>
        </w:rPr>
        <w:t xml:space="preserve"> (New York: Columbia University Press, 2004)</w:t>
      </w:r>
    </w:p>
    <w:p w:rsidR="001B331D" w:rsidRPr="001B331D" w:rsidRDefault="001B331D" w:rsidP="001B331D">
      <w:pPr>
        <w:pStyle w:val="NormalWeb"/>
        <w:rPr>
          <w:rFonts w:asciiTheme="minorHAnsi" w:hAnsiTheme="minorHAnsi" w:cstheme="minorHAnsi"/>
        </w:rPr>
      </w:pPr>
      <w:proofErr w:type="spellStart"/>
      <w:r w:rsidRPr="001B331D">
        <w:rPr>
          <w:rFonts w:asciiTheme="minorHAnsi" w:hAnsiTheme="minorHAnsi" w:cstheme="minorHAnsi"/>
        </w:rPr>
        <w:t>Ostonov</w:t>
      </w:r>
      <w:proofErr w:type="spellEnd"/>
      <w:r w:rsidRPr="001B331D">
        <w:rPr>
          <w:rFonts w:asciiTheme="minorHAnsi" w:hAnsiTheme="minorHAnsi" w:cstheme="minorHAnsi"/>
        </w:rPr>
        <w:t xml:space="preserve">, </w:t>
      </w:r>
      <w:proofErr w:type="spellStart"/>
      <w:r w:rsidRPr="001B331D">
        <w:rPr>
          <w:rFonts w:asciiTheme="minorHAnsi" w:hAnsiTheme="minorHAnsi" w:cstheme="minorHAnsi"/>
        </w:rPr>
        <w:t>Oybek</w:t>
      </w:r>
      <w:proofErr w:type="spellEnd"/>
      <w:r w:rsidRPr="001B331D">
        <w:rPr>
          <w:rFonts w:asciiTheme="minorHAnsi" w:hAnsiTheme="minorHAnsi" w:cstheme="minorHAnsi"/>
        </w:rPr>
        <w:t xml:space="preserve"> </w:t>
      </w:r>
      <w:proofErr w:type="spellStart"/>
      <w:r w:rsidRPr="001B331D">
        <w:rPr>
          <w:rFonts w:asciiTheme="minorHAnsi" w:hAnsiTheme="minorHAnsi" w:cstheme="minorHAnsi"/>
        </w:rPr>
        <w:t>Aliqulovich</w:t>
      </w:r>
      <w:proofErr w:type="spellEnd"/>
      <w:r w:rsidRPr="001B331D">
        <w:rPr>
          <w:rFonts w:asciiTheme="minorHAnsi" w:hAnsiTheme="minorHAnsi" w:cstheme="minorHAnsi"/>
        </w:rPr>
        <w:t xml:space="preserve">, </w:t>
      </w:r>
      <w:proofErr w:type="spellStart"/>
      <w:r w:rsidRPr="001B331D">
        <w:rPr>
          <w:rFonts w:asciiTheme="minorHAnsi" w:hAnsiTheme="minorHAnsi" w:cstheme="minorHAnsi"/>
        </w:rPr>
        <w:t>Mukaddas</w:t>
      </w:r>
      <w:proofErr w:type="spellEnd"/>
      <w:r w:rsidRPr="001B331D">
        <w:rPr>
          <w:rFonts w:asciiTheme="minorHAnsi" w:hAnsiTheme="minorHAnsi" w:cstheme="minorHAnsi"/>
        </w:rPr>
        <w:t xml:space="preserve"> </w:t>
      </w:r>
      <w:proofErr w:type="spellStart"/>
      <w:r w:rsidRPr="001B331D">
        <w:rPr>
          <w:rFonts w:asciiTheme="minorHAnsi" w:hAnsiTheme="minorHAnsi" w:cstheme="minorHAnsi"/>
        </w:rPr>
        <w:t>Ergashovna</w:t>
      </w:r>
      <w:proofErr w:type="spellEnd"/>
      <w:r w:rsidRPr="001B331D">
        <w:rPr>
          <w:rFonts w:asciiTheme="minorHAnsi" w:hAnsiTheme="minorHAnsi" w:cstheme="minorHAnsi"/>
        </w:rPr>
        <w:t xml:space="preserve"> </w:t>
      </w:r>
      <w:proofErr w:type="spellStart"/>
      <w:r w:rsidRPr="001B331D">
        <w:rPr>
          <w:rFonts w:asciiTheme="minorHAnsi" w:hAnsiTheme="minorHAnsi" w:cstheme="minorHAnsi"/>
        </w:rPr>
        <w:t>Abduraimova</w:t>
      </w:r>
      <w:proofErr w:type="spellEnd"/>
      <w:r w:rsidRPr="001B331D">
        <w:rPr>
          <w:rFonts w:asciiTheme="minorHAnsi" w:hAnsiTheme="minorHAnsi" w:cstheme="minorHAnsi"/>
        </w:rPr>
        <w:t xml:space="preserve">, </w:t>
      </w:r>
      <w:proofErr w:type="spellStart"/>
      <w:r w:rsidRPr="001B331D">
        <w:rPr>
          <w:rFonts w:asciiTheme="minorHAnsi" w:hAnsiTheme="minorHAnsi" w:cstheme="minorHAnsi"/>
        </w:rPr>
        <w:t>Kuyliyev</w:t>
      </w:r>
      <w:proofErr w:type="spellEnd"/>
      <w:r w:rsidRPr="001B331D">
        <w:rPr>
          <w:rFonts w:asciiTheme="minorHAnsi" w:hAnsiTheme="minorHAnsi" w:cstheme="minorHAnsi"/>
        </w:rPr>
        <w:t xml:space="preserve"> </w:t>
      </w:r>
      <w:proofErr w:type="spellStart"/>
      <w:r w:rsidRPr="001B331D">
        <w:rPr>
          <w:rFonts w:asciiTheme="minorHAnsi" w:hAnsiTheme="minorHAnsi" w:cstheme="minorHAnsi"/>
        </w:rPr>
        <w:t>Tulkin</w:t>
      </w:r>
      <w:proofErr w:type="spellEnd"/>
      <w:r w:rsidRPr="001B331D">
        <w:rPr>
          <w:rFonts w:asciiTheme="minorHAnsi" w:hAnsiTheme="minorHAnsi" w:cstheme="minorHAnsi"/>
        </w:rPr>
        <w:t xml:space="preserve">, and </w:t>
      </w:r>
      <w:proofErr w:type="spellStart"/>
      <w:r w:rsidRPr="001B331D">
        <w:rPr>
          <w:rFonts w:asciiTheme="minorHAnsi" w:hAnsiTheme="minorHAnsi" w:cstheme="minorHAnsi"/>
        </w:rPr>
        <w:t>Dilrabo</w:t>
      </w:r>
      <w:proofErr w:type="spellEnd"/>
      <w:r w:rsidRPr="001B331D">
        <w:rPr>
          <w:rFonts w:asciiTheme="minorHAnsi" w:hAnsiTheme="minorHAnsi" w:cstheme="minorHAnsi"/>
        </w:rPr>
        <w:t xml:space="preserve"> </w:t>
      </w:r>
      <w:proofErr w:type="spellStart"/>
      <w:r w:rsidRPr="001B331D">
        <w:rPr>
          <w:rFonts w:asciiTheme="minorHAnsi" w:hAnsiTheme="minorHAnsi" w:cstheme="minorHAnsi"/>
        </w:rPr>
        <w:t>Rominovna</w:t>
      </w:r>
      <w:proofErr w:type="spellEnd"/>
      <w:r w:rsidRPr="001B331D">
        <w:rPr>
          <w:rFonts w:asciiTheme="minorHAnsi" w:hAnsiTheme="minorHAnsi" w:cstheme="minorHAnsi"/>
        </w:rPr>
        <w:t xml:space="preserve"> </w:t>
      </w:r>
      <w:proofErr w:type="spellStart"/>
      <w:r w:rsidRPr="001B331D">
        <w:rPr>
          <w:rFonts w:asciiTheme="minorHAnsi" w:hAnsiTheme="minorHAnsi" w:cstheme="minorHAnsi"/>
        </w:rPr>
        <w:t>Kenjayeva</w:t>
      </w:r>
      <w:proofErr w:type="spellEnd"/>
      <w:r w:rsidRPr="001B331D">
        <w:rPr>
          <w:rFonts w:asciiTheme="minorHAnsi" w:hAnsiTheme="minorHAnsi" w:cstheme="minorHAnsi"/>
        </w:rPr>
        <w:t xml:space="preserve">, ‘The Role and Importance of Films in the Study of Historical Processes’, </w:t>
      </w:r>
      <w:r w:rsidRPr="001B331D">
        <w:rPr>
          <w:rStyle w:val="Emphasis"/>
          <w:rFonts w:asciiTheme="minorHAnsi" w:hAnsiTheme="minorHAnsi" w:cstheme="minorHAnsi"/>
        </w:rPr>
        <w:t>E3S Web of Conferences</w:t>
      </w:r>
      <w:r w:rsidRPr="001B331D">
        <w:rPr>
          <w:rFonts w:asciiTheme="minorHAnsi" w:hAnsiTheme="minorHAnsi" w:cstheme="minorHAnsi"/>
        </w:rPr>
        <w:t>, 420 (2023), p. 1498</w:t>
      </w:r>
    </w:p>
    <w:p w:rsidR="001B331D" w:rsidRPr="001B331D" w:rsidRDefault="001B331D" w:rsidP="001B331D">
      <w:pPr>
        <w:pStyle w:val="NormalWeb"/>
        <w:rPr>
          <w:rFonts w:asciiTheme="minorHAnsi" w:hAnsiTheme="minorHAnsi" w:cstheme="minorHAnsi"/>
        </w:rPr>
      </w:pPr>
      <w:r w:rsidRPr="001B331D">
        <w:rPr>
          <w:rFonts w:asciiTheme="minorHAnsi" w:hAnsiTheme="minorHAnsi" w:cstheme="minorHAnsi"/>
        </w:rPr>
        <w:t xml:space="preserve">Polanski, Roman, </w:t>
      </w:r>
      <w:r w:rsidRPr="001B331D">
        <w:rPr>
          <w:rStyle w:val="Emphasis"/>
          <w:rFonts w:asciiTheme="minorHAnsi" w:hAnsiTheme="minorHAnsi" w:cstheme="minorHAnsi"/>
        </w:rPr>
        <w:t>The Pianist</w:t>
      </w:r>
      <w:r w:rsidRPr="001B331D">
        <w:rPr>
          <w:rFonts w:asciiTheme="minorHAnsi" w:hAnsiTheme="minorHAnsi" w:cstheme="minorHAnsi"/>
        </w:rPr>
        <w:t xml:space="preserve"> (2002) [film] (France, Germany, Poland and United Kingdom: R.P. Productions, </w:t>
      </w:r>
      <w:proofErr w:type="spellStart"/>
      <w:r w:rsidRPr="001B331D">
        <w:rPr>
          <w:rFonts w:asciiTheme="minorHAnsi" w:hAnsiTheme="minorHAnsi" w:cstheme="minorHAnsi"/>
        </w:rPr>
        <w:t>StudioCanal</w:t>
      </w:r>
      <w:proofErr w:type="spellEnd"/>
      <w:r w:rsidRPr="001B331D">
        <w:rPr>
          <w:rFonts w:asciiTheme="minorHAnsi" w:hAnsiTheme="minorHAnsi" w:cstheme="minorHAnsi"/>
        </w:rPr>
        <w:t>, Heritage Films and Universal Pictures, 2002)</w:t>
      </w:r>
    </w:p>
    <w:p w:rsidR="00C009F4" w:rsidRPr="00C009F4" w:rsidRDefault="00C009F4" w:rsidP="00C009F4">
      <w:pPr>
        <w:rPr>
          <w:rFonts w:cstheme="minorHAnsi"/>
        </w:rPr>
      </w:pPr>
    </w:p>
    <w:sectPr w:rsidR="00C009F4" w:rsidRPr="00C009F4" w:rsidSect="00DD0AD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400" w:rsidRDefault="00724400" w:rsidP="00AD54A5">
      <w:pPr>
        <w:spacing w:after="0" w:line="240" w:lineRule="auto"/>
      </w:pPr>
      <w:r>
        <w:separator/>
      </w:r>
    </w:p>
  </w:endnote>
  <w:endnote w:type="continuationSeparator" w:id="0">
    <w:p w:rsidR="00724400" w:rsidRDefault="00724400" w:rsidP="00AD54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400" w:rsidRDefault="00724400" w:rsidP="00AD54A5">
      <w:pPr>
        <w:spacing w:after="0" w:line="240" w:lineRule="auto"/>
      </w:pPr>
      <w:r>
        <w:separator/>
      </w:r>
    </w:p>
  </w:footnote>
  <w:footnote w:type="continuationSeparator" w:id="0">
    <w:p w:rsidR="00724400" w:rsidRDefault="00724400" w:rsidP="00AD54A5">
      <w:pPr>
        <w:spacing w:after="0" w:line="240" w:lineRule="auto"/>
      </w:pPr>
      <w:r>
        <w:continuationSeparator/>
      </w:r>
    </w:p>
  </w:footnote>
  <w:footnote w:id="1">
    <w:p w:rsidR="000A4496" w:rsidRDefault="000A4496">
      <w:pPr>
        <w:pStyle w:val="FootnoteText"/>
      </w:pPr>
      <w:r>
        <w:rPr>
          <w:rStyle w:val="FootnoteReference"/>
        </w:rPr>
        <w:footnoteRef/>
      </w:r>
      <w:r>
        <w:t xml:space="preserve"> </w:t>
      </w:r>
      <w:proofErr w:type="spellStart"/>
      <w:r>
        <w:t>Radya</w:t>
      </w:r>
      <w:proofErr w:type="spellEnd"/>
      <w:r>
        <w:t xml:space="preserve"> </w:t>
      </w:r>
      <w:proofErr w:type="spellStart"/>
      <w:r>
        <w:t>Ayufa</w:t>
      </w:r>
      <w:proofErr w:type="spellEnd"/>
      <w:r>
        <w:t xml:space="preserve">, ‘The Pianist – Finding Light </w:t>
      </w:r>
      <w:proofErr w:type="gramStart"/>
      <w:r>
        <w:t>Among</w:t>
      </w:r>
      <w:proofErr w:type="gramEnd"/>
      <w:r>
        <w:t xml:space="preserve"> the Dark’, </w:t>
      </w:r>
      <w:r>
        <w:rPr>
          <w:rStyle w:val="Emphasis"/>
        </w:rPr>
        <w:t>EDSA UNAIR</w:t>
      </w:r>
      <w:r>
        <w:t xml:space="preserve"> (16 April 2021) </w:t>
      </w:r>
      <w:r w:rsidRPr="000A4496">
        <w:t>https://www.edsa-unair.com/2021/04/the-pianist-finding-light-among-dark.html</w:t>
      </w:r>
      <w:r>
        <w:t xml:space="preserve"> [accessed 1 July 2026].</w:t>
      </w:r>
    </w:p>
  </w:footnote>
  <w:footnote w:id="2">
    <w:p w:rsidR="00AD54A5" w:rsidRDefault="00AD54A5" w:rsidP="000A4496">
      <w:pPr>
        <w:pStyle w:val="FootnoteText"/>
        <w:tabs>
          <w:tab w:val="left" w:pos="7680"/>
        </w:tabs>
      </w:pPr>
      <w:r>
        <w:rPr>
          <w:rStyle w:val="FootnoteReference"/>
        </w:rPr>
        <w:footnoteRef/>
      </w:r>
      <w:r w:rsidR="003A1B9E">
        <w:t xml:space="preserve"> André </w:t>
      </w:r>
      <w:proofErr w:type="spellStart"/>
      <w:r w:rsidR="003A1B9E">
        <w:t>Bazin</w:t>
      </w:r>
      <w:proofErr w:type="spellEnd"/>
      <w:r w:rsidR="003A1B9E">
        <w:t xml:space="preserve">, </w:t>
      </w:r>
      <w:r w:rsidR="003A1B9E">
        <w:rPr>
          <w:rStyle w:val="Emphasis"/>
        </w:rPr>
        <w:t>What Is Cinema</w:t>
      </w:r>
      <w:proofErr w:type="gramStart"/>
      <w:r w:rsidR="003A1B9E">
        <w:rPr>
          <w:rStyle w:val="Emphasis"/>
        </w:rPr>
        <w:t>?</w:t>
      </w:r>
      <w:r w:rsidR="003A1B9E">
        <w:t>,</w:t>
      </w:r>
      <w:proofErr w:type="gramEnd"/>
      <w:r w:rsidR="003A1B9E">
        <w:t xml:space="preserve"> trans. by Hugh Gray, 2 </w:t>
      </w:r>
      <w:proofErr w:type="spellStart"/>
      <w:r w:rsidR="003A1B9E">
        <w:t>vols</w:t>
      </w:r>
      <w:proofErr w:type="spellEnd"/>
      <w:r w:rsidR="003A1B9E">
        <w:t xml:space="preserve"> (Berkeley: University of California Press, 1967), I, p. 35.</w:t>
      </w:r>
      <w:r w:rsidR="000A4496">
        <w:tab/>
      </w:r>
    </w:p>
  </w:footnote>
  <w:footnote w:id="3">
    <w:p w:rsidR="00D0476E" w:rsidRDefault="00D0476E">
      <w:pPr>
        <w:pStyle w:val="FootnoteText"/>
      </w:pPr>
      <w:r>
        <w:rPr>
          <w:rStyle w:val="FootnoteReference"/>
        </w:rPr>
        <w:footnoteRef/>
      </w:r>
      <w:r w:rsidR="006F0A19">
        <w:t xml:space="preserve"> Siegfried </w:t>
      </w:r>
      <w:proofErr w:type="spellStart"/>
      <w:r w:rsidR="006F0A19">
        <w:t>Kracauer</w:t>
      </w:r>
      <w:proofErr w:type="spellEnd"/>
      <w:r w:rsidR="006F0A19">
        <w:t xml:space="preserve">, </w:t>
      </w:r>
      <w:r w:rsidR="006F0A19">
        <w:rPr>
          <w:rStyle w:val="Emphasis"/>
        </w:rPr>
        <w:t>Theory of Film: The Redemption of Physical Reality</w:t>
      </w:r>
      <w:r w:rsidR="006F0A19">
        <w:t xml:space="preserve"> (Princeton, NJ: Princeton University Press, 1997), p. 54.</w:t>
      </w:r>
    </w:p>
  </w:footnote>
  <w:footnote w:id="4">
    <w:p w:rsidR="00CE6A61" w:rsidRDefault="00CE6A61">
      <w:pPr>
        <w:pStyle w:val="FootnoteText"/>
      </w:pPr>
      <w:r>
        <w:rPr>
          <w:rStyle w:val="FootnoteReference"/>
        </w:rPr>
        <w:footnoteRef/>
      </w:r>
      <w:r>
        <w:t xml:space="preserve"> </w:t>
      </w:r>
      <w:proofErr w:type="gramStart"/>
      <w:r>
        <w:t>Ibid.,</w:t>
      </w:r>
      <w:proofErr w:type="gramEnd"/>
      <w:r>
        <w:t xml:space="preserve"> p. 41</w:t>
      </w:r>
      <w:r w:rsidR="00B84D0C">
        <w:t>.</w:t>
      </w:r>
    </w:p>
  </w:footnote>
  <w:footnote w:id="5">
    <w:p w:rsidR="00901E28" w:rsidRDefault="00901E28">
      <w:pPr>
        <w:pStyle w:val="FootnoteText"/>
      </w:pPr>
      <w:r>
        <w:rPr>
          <w:rStyle w:val="FootnoteReference"/>
        </w:rPr>
        <w:footnoteRef/>
      </w:r>
      <w:r w:rsidR="00083B41">
        <w:t xml:space="preserve"> Michel </w:t>
      </w:r>
      <w:proofErr w:type="spellStart"/>
      <w:r w:rsidR="00083B41">
        <w:t>Chion</w:t>
      </w:r>
      <w:proofErr w:type="spellEnd"/>
      <w:r w:rsidR="00083B41">
        <w:t xml:space="preserve">, </w:t>
      </w:r>
      <w:r w:rsidR="00083B41">
        <w:rPr>
          <w:rStyle w:val="Emphasis"/>
        </w:rPr>
        <w:t>Audio-Vision: Sound on Screen</w:t>
      </w:r>
      <w:r w:rsidR="00083B41">
        <w:t xml:space="preserve">, trans. by Claudia </w:t>
      </w:r>
      <w:proofErr w:type="spellStart"/>
      <w:r w:rsidR="00083B41">
        <w:t>Gorbman</w:t>
      </w:r>
      <w:proofErr w:type="spellEnd"/>
      <w:r w:rsidR="00083B41">
        <w:t xml:space="preserve"> (New York: Columbia University Press, 1994), p. 5.</w:t>
      </w:r>
    </w:p>
  </w:footnote>
  <w:footnote w:id="6">
    <w:p w:rsidR="00025AC9" w:rsidRDefault="00025AC9">
      <w:pPr>
        <w:pStyle w:val="FootnoteText"/>
      </w:pPr>
      <w:r>
        <w:rPr>
          <w:rStyle w:val="FootnoteReference"/>
        </w:rPr>
        <w:footnoteRef/>
      </w:r>
      <w:r>
        <w:t xml:space="preserve"> </w:t>
      </w:r>
      <w:proofErr w:type="gramStart"/>
      <w:r>
        <w:t>Ibid.,</w:t>
      </w:r>
      <w:proofErr w:type="gramEnd"/>
      <w:r>
        <w:t xml:space="preserve"> p. 5-11</w:t>
      </w:r>
      <w:r w:rsidR="00B84D0C">
        <w:t>.</w:t>
      </w:r>
    </w:p>
  </w:footnote>
  <w:footnote w:id="7">
    <w:p w:rsidR="00BD6731" w:rsidRDefault="00BD6731">
      <w:pPr>
        <w:pStyle w:val="FootnoteText"/>
      </w:pPr>
      <w:r>
        <w:rPr>
          <w:rStyle w:val="FootnoteReference"/>
        </w:rPr>
        <w:footnoteRef/>
      </w:r>
      <w:r w:rsidR="003332FD">
        <w:t xml:space="preserve"> </w:t>
      </w:r>
      <w:proofErr w:type="gramStart"/>
      <w:r w:rsidR="003332FD">
        <w:t xml:space="preserve">Ian Gwinn, review of </w:t>
      </w:r>
      <w:r w:rsidR="003332FD">
        <w:rPr>
          <w:rStyle w:val="Emphasis"/>
        </w:rPr>
        <w:t>Consuming History: Historians and Heritage in Contemporary Popular Culture</w:t>
      </w:r>
      <w:r w:rsidR="003332FD">
        <w:t xml:space="preserve">, by Jerome De </w:t>
      </w:r>
      <w:proofErr w:type="spellStart"/>
      <w:r w:rsidR="003332FD">
        <w:t>Groot</w:t>
      </w:r>
      <w:proofErr w:type="spellEnd"/>
      <w:r w:rsidR="003332FD">
        <w:t xml:space="preserve">, </w:t>
      </w:r>
      <w:r w:rsidR="003332FD">
        <w:rPr>
          <w:rStyle w:val="Emphasis"/>
        </w:rPr>
        <w:t>Reviews in History</w:t>
      </w:r>
      <w:r w:rsidR="003332FD">
        <w:t xml:space="preserve">, no. 825 (31 October 2009) </w:t>
      </w:r>
      <w:r w:rsidR="003332FD" w:rsidRPr="0091521C">
        <w:t>https://reviews.history.ac.uk/review/825</w:t>
      </w:r>
      <w:r w:rsidR="003332FD">
        <w:t xml:space="preserve"> [acces</w:t>
      </w:r>
      <w:r w:rsidR="003534D3">
        <w:t>sed 1</w:t>
      </w:r>
      <w:r w:rsidR="003332FD">
        <w:t xml:space="preserve"> July 2026].</w:t>
      </w:r>
      <w:proofErr w:type="gramEnd"/>
    </w:p>
  </w:footnote>
  <w:footnote w:id="8">
    <w:p w:rsidR="001521FE" w:rsidRDefault="001521FE">
      <w:pPr>
        <w:pStyle w:val="FootnoteText"/>
      </w:pPr>
      <w:r>
        <w:rPr>
          <w:rStyle w:val="FootnoteReference"/>
        </w:rPr>
        <w:footnoteRef/>
      </w:r>
      <w:r>
        <w:t xml:space="preserve"> </w:t>
      </w:r>
      <w:proofErr w:type="spellStart"/>
      <w:r>
        <w:t>Oybek</w:t>
      </w:r>
      <w:proofErr w:type="spellEnd"/>
      <w:r>
        <w:t xml:space="preserve"> </w:t>
      </w:r>
      <w:proofErr w:type="spellStart"/>
      <w:r>
        <w:t>Aliqulovich</w:t>
      </w:r>
      <w:proofErr w:type="spellEnd"/>
      <w:r>
        <w:t xml:space="preserve"> </w:t>
      </w:r>
      <w:proofErr w:type="spellStart"/>
      <w:r>
        <w:t>Ostonov</w:t>
      </w:r>
      <w:proofErr w:type="spellEnd"/>
      <w:r>
        <w:t xml:space="preserve">, </w:t>
      </w:r>
      <w:proofErr w:type="spellStart"/>
      <w:r>
        <w:t>Mukaddas</w:t>
      </w:r>
      <w:proofErr w:type="spellEnd"/>
      <w:r>
        <w:t xml:space="preserve"> </w:t>
      </w:r>
      <w:proofErr w:type="spellStart"/>
      <w:r>
        <w:t>Ergashovna</w:t>
      </w:r>
      <w:proofErr w:type="spellEnd"/>
      <w:r>
        <w:t xml:space="preserve"> </w:t>
      </w:r>
      <w:proofErr w:type="spellStart"/>
      <w:r>
        <w:t>Abduraimova</w:t>
      </w:r>
      <w:proofErr w:type="spellEnd"/>
      <w:r>
        <w:t xml:space="preserve">, </w:t>
      </w:r>
      <w:proofErr w:type="spellStart"/>
      <w:r>
        <w:t>Kuyliyev</w:t>
      </w:r>
      <w:proofErr w:type="spellEnd"/>
      <w:r>
        <w:t xml:space="preserve"> </w:t>
      </w:r>
      <w:proofErr w:type="spellStart"/>
      <w:r>
        <w:t>Tulkin</w:t>
      </w:r>
      <w:proofErr w:type="spellEnd"/>
      <w:r>
        <w:t xml:space="preserve">, and </w:t>
      </w:r>
      <w:proofErr w:type="spellStart"/>
      <w:r>
        <w:t>Dilrabo</w:t>
      </w:r>
      <w:proofErr w:type="spellEnd"/>
      <w:r>
        <w:t xml:space="preserve"> </w:t>
      </w:r>
      <w:proofErr w:type="spellStart"/>
      <w:r>
        <w:t>Rominovna</w:t>
      </w:r>
      <w:proofErr w:type="spellEnd"/>
      <w:r>
        <w:t xml:space="preserve"> </w:t>
      </w:r>
      <w:proofErr w:type="spellStart"/>
      <w:r>
        <w:t>Kenjayeva</w:t>
      </w:r>
      <w:proofErr w:type="spellEnd"/>
      <w:r>
        <w:t xml:space="preserve">, ‘The Role and Importance of Films in the Study of Historical Processes’, </w:t>
      </w:r>
      <w:r>
        <w:rPr>
          <w:rStyle w:val="Emphasis"/>
        </w:rPr>
        <w:t>E3S Web of Conferences</w:t>
      </w:r>
      <w:r>
        <w:t>, 420 (2023), p. 1498.</w:t>
      </w:r>
    </w:p>
  </w:footnote>
  <w:footnote w:id="9">
    <w:p w:rsidR="003109D7" w:rsidRDefault="003109D7">
      <w:pPr>
        <w:pStyle w:val="FootnoteText"/>
      </w:pPr>
      <w:r>
        <w:rPr>
          <w:rStyle w:val="FootnoteReference"/>
        </w:rPr>
        <w:footnoteRef/>
      </w:r>
      <w:r>
        <w:t xml:space="preserve"> Alison </w:t>
      </w:r>
      <w:proofErr w:type="spellStart"/>
      <w:r>
        <w:t>Landsberg</w:t>
      </w:r>
      <w:proofErr w:type="spellEnd"/>
      <w:r>
        <w:t xml:space="preserve">, </w:t>
      </w:r>
      <w:r>
        <w:rPr>
          <w:rStyle w:val="Emphasis"/>
        </w:rPr>
        <w:t>Prosthetic Memory: The Transformation of American Remembrance in the Age of Mass Culture</w:t>
      </w:r>
      <w:r>
        <w:t xml:space="preserve"> (New York: Columbia University Press, 2004), p. 2.</w:t>
      </w:r>
    </w:p>
  </w:footnote>
  <w:footnote w:id="10">
    <w:p w:rsidR="00B84D0C" w:rsidRDefault="00B84D0C">
      <w:pPr>
        <w:pStyle w:val="FootnoteText"/>
      </w:pPr>
      <w:r>
        <w:rPr>
          <w:rStyle w:val="FootnoteReference"/>
        </w:rPr>
        <w:footnoteRef/>
      </w:r>
      <w:r>
        <w:t xml:space="preserve"> </w:t>
      </w:r>
      <w:proofErr w:type="gramStart"/>
      <w:r>
        <w:t>Ibid.,</w:t>
      </w:r>
      <w:proofErr w:type="gramEnd"/>
      <w:r>
        <w:t xml:space="preserve"> p. 113.</w:t>
      </w:r>
    </w:p>
  </w:footnote>
  <w:footnote w:id="11">
    <w:p w:rsidR="000E0E7D" w:rsidRDefault="000E0E7D">
      <w:pPr>
        <w:pStyle w:val="FootnoteText"/>
      </w:pPr>
      <w:r>
        <w:rPr>
          <w:rStyle w:val="FootnoteReference"/>
        </w:rPr>
        <w:footnoteRef/>
      </w:r>
      <w:r>
        <w:t xml:space="preserve"> </w:t>
      </w:r>
      <w:proofErr w:type="gramStart"/>
      <w:r>
        <w:t>Ibid.,</w:t>
      </w:r>
      <w:proofErr w:type="gramEnd"/>
      <w:r>
        <w:t xml:space="preserve"> p. 111.</w:t>
      </w:r>
    </w:p>
  </w:footnote>
  <w:footnote w:id="12">
    <w:p w:rsidR="00C009F4" w:rsidRDefault="00C009F4">
      <w:pPr>
        <w:pStyle w:val="FootnoteText"/>
      </w:pPr>
      <w:r>
        <w:rPr>
          <w:rStyle w:val="FootnoteReference"/>
        </w:rPr>
        <w:footnoteRef/>
      </w:r>
      <w:r>
        <w:t xml:space="preserve"> Cathy </w:t>
      </w:r>
      <w:proofErr w:type="spellStart"/>
      <w:r>
        <w:t>Caruth</w:t>
      </w:r>
      <w:proofErr w:type="spellEnd"/>
      <w:r>
        <w:t xml:space="preserve">, </w:t>
      </w:r>
      <w:r>
        <w:rPr>
          <w:rStyle w:val="Emphasis"/>
        </w:rPr>
        <w:t>Unclaimed Experience: Trauma, Narrative, and History</w:t>
      </w:r>
      <w:r>
        <w:t xml:space="preserve"> (Baltimore, MD: Johns Hopkins University Press, 1996), p. 1.</w:t>
      </w:r>
    </w:p>
  </w:footnote>
  <w:footnote w:id="13">
    <w:p w:rsidR="00985192" w:rsidRDefault="00985192">
      <w:pPr>
        <w:pStyle w:val="FootnoteText"/>
      </w:pPr>
      <w:r>
        <w:rPr>
          <w:rStyle w:val="FootnoteReference"/>
        </w:rPr>
        <w:footnoteRef/>
      </w:r>
      <w:r>
        <w:t xml:space="preserve"> </w:t>
      </w:r>
      <w:proofErr w:type="gramStart"/>
      <w:r>
        <w:t>Ibid.,</w:t>
      </w:r>
      <w:proofErr w:type="gramEnd"/>
      <w:r>
        <w:t xml:space="preserve"> p. 2.</w:t>
      </w:r>
    </w:p>
  </w:footnote>
  <w:footnote w:id="14">
    <w:p w:rsidR="006A0408" w:rsidRDefault="006A0408">
      <w:pPr>
        <w:pStyle w:val="FootnoteText"/>
      </w:pPr>
      <w:r>
        <w:rPr>
          <w:rStyle w:val="FootnoteReference"/>
        </w:rPr>
        <w:footnoteRef/>
      </w:r>
      <w:r>
        <w:t xml:space="preserve"> Nathan </w:t>
      </w:r>
      <w:proofErr w:type="spellStart"/>
      <w:r>
        <w:t>Abrams</w:t>
      </w:r>
      <w:proofErr w:type="spellEnd"/>
      <w:r>
        <w:t xml:space="preserve">, </w:t>
      </w:r>
      <w:proofErr w:type="gramStart"/>
      <w:r>
        <w:rPr>
          <w:rStyle w:val="Emphasis"/>
        </w:rPr>
        <w:t>The</w:t>
      </w:r>
      <w:proofErr w:type="gramEnd"/>
      <w:r>
        <w:rPr>
          <w:rStyle w:val="Emphasis"/>
        </w:rPr>
        <w:t xml:space="preserve"> New Jew in Film: Exploring </w:t>
      </w:r>
      <w:proofErr w:type="spellStart"/>
      <w:r>
        <w:rPr>
          <w:rStyle w:val="Emphasis"/>
        </w:rPr>
        <w:t>Jewishness</w:t>
      </w:r>
      <w:proofErr w:type="spellEnd"/>
      <w:r>
        <w:rPr>
          <w:rStyle w:val="Emphasis"/>
        </w:rPr>
        <w:t xml:space="preserve"> and Judaism in Contemporary Cinema</w:t>
      </w:r>
      <w:r>
        <w:t xml:space="preserve"> (London: I.B. </w:t>
      </w:r>
      <w:proofErr w:type="spellStart"/>
      <w:r>
        <w:t>Tauris</w:t>
      </w:r>
      <w:proofErr w:type="spellEnd"/>
      <w:r>
        <w:t>, 2012), p. 94.</w:t>
      </w:r>
    </w:p>
  </w:footnote>
  <w:footnote w:id="15">
    <w:p w:rsidR="002E2F47" w:rsidRDefault="002E2F47">
      <w:pPr>
        <w:pStyle w:val="FootnoteText"/>
      </w:pPr>
      <w:r>
        <w:rPr>
          <w:rStyle w:val="FootnoteReference"/>
        </w:rPr>
        <w:footnoteRef/>
      </w:r>
      <w:r>
        <w:t xml:space="preserve"> Siegfried </w:t>
      </w:r>
      <w:proofErr w:type="spellStart"/>
      <w:r>
        <w:t>Kracauer</w:t>
      </w:r>
      <w:proofErr w:type="spellEnd"/>
      <w:r>
        <w:t xml:space="preserve">, </w:t>
      </w:r>
      <w:r>
        <w:rPr>
          <w:rStyle w:val="Emphasis"/>
        </w:rPr>
        <w:t>Theory of Film: The Redemption of Physical Reality</w:t>
      </w:r>
      <w:r>
        <w:t xml:space="preserve"> (Princeton, NJ: Princeton University Press, 1997), p. 303.</w:t>
      </w:r>
    </w:p>
  </w:footnote>
  <w:footnote w:id="16">
    <w:p w:rsidR="00FE5817" w:rsidRDefault="00FE5817">
      <w:pPr>
        <w:pStyle w:val="FootnoteText"/>
      </w:pPr>
      <w:r>
        <w:rPr>
          <w:rStyle w:val="FootnoteReference"/>
        </w:rPr>
        <w:footnoteRef/>
      </w:r>
      <w:r>
        <w:t xml:space="preserve"> </w:t>
      </w:r>
      <w:proofErr w:type="gramStart"/>
      <w:r>
        <w:t>Ibid.</w:t>
      </w:r>
      <w:proofErr w:type="gramEnd"/>
      <w:r>
        <w:t xml:space="preserve"> </w:t>
      </w:r>
    </w:p>
  </w:footnote>
  <w:footnote w:id="17">
    <w:p w:rsidR="00B17368" w:rsidRPr="00B17368" w:rsidRDefault="00B17368">
      <w:pPr>
        <w:pStyle w:val="FootnoteText"/>
        <w:rPr>
          <w:b/>
        </w:rPr>
      </w:pPr>
      <w:r>
        <w:rPr>
          <w:rStyle w:val="FootnoteReference"/>
        </w:rPr>
        <w:footnoteRef/>
      </w:r>
      <w:r>
        <w:t xml:space="preserve"> André </w:t>
      </w:r>
      <w:proofErr w:type="spellStart"/>
      <w:r>
        <w:t>Bazin</w:t>
      </w:r>
      <w:proofErr w:type="spellEnd"/>
      <w:r>
        <w:t xml:space="preserve">, </w:t>
      </w:r>
      <w:r>
        <w:rPr>
          <w:rStyle w:val="Emphasis"/>
        </w:rPr>
        <w:t>What Is Cinema</w:t>
      </w:r>
      <w:proofErr w:type="gramStart"/>
      <w:r>
        <w:rPr>
          <w:rStyle w:val="Emphasis"/>
        </w:rPr>
        <w:t>?</w:t>
      </w:r>
      <w:r>
        <w:t>,</w:t>
      </w:r>
      <w:proofErr w:type="gramEnd"/>
      <w:r>
        <w:t xml:space="preserve"> trans. by Hugh Gray, 2 </w:t>
      </w:r>
      <w:proofErr w:type="spellStart"/>
      <w:r>
        <w:t>vols</w:t>
      </w:r>
      <w:proofErr w:type="spellEnd"/>
      <w:r>
        <w:t xml:space="preserve"> (Berkeley: University of California Press, 1971), </w:t>
      </w:r>
      <w:r w:rsidRPr="00B17368">
        <w:rPr>
          <w:rStyle w:val="Strong"/>
          <w:b w:val="0"/>
        </w:rPr>
        <w:t xml:space="preserve">II, p. 12.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35511A"/>
    <w:rsid w:val="00022C38"/>
    <w:rsid w:val="00025AC9"/>
    <w:rsid w:val="0007752A"/>
    <w:rsid w:val="0008009A"/>
    <w:rsid w:val="00083B41"/>
    <w:rsid w:val="000A4496"/>
    <w:rsid w:val="000C6E03"/>
    <w:rsid w:val="000D4156"/>
    <w:rsid w:val="000E0E7D"/>
    <w:rsid w:val="0011383F"/>
    <w:rsid w:val="001366DE"/>
    <w:rsid w:val="001521FE"/>
    <w:rsid w:val="00153184"/>
    <w:rsid w:val="001628B3"/>
    <w:rsid w:val="001A5E3B"/>
    <w:rsid w:val="001B331D"/>
    <w:rsid w:val="00213AD0"/>
    <w:rsid w:val="00225617"/>
    <w:rsid w:val="002E2F47"/>
    <w:rsid w:val="00301B64"/>
    <w:rsid w:val="003109D7"/>
    <w:rsid w:val="0033034C"/>
    <w:rsid w:val="003332FD"/>
    <w:rsid w:val="00346855"/>
    <w:rsid w:val="003534D3"/>
    <w:rsid w:val="0035511A"/>
    <w:rsid w:val="00361A2A"/>
    <w:rsid w:val="00395D6B"/>
    <w:rsid w:val="003A1B9E"/>
    <w:rsid w:val="003B0523"/>
    <w:rsid w:val="003B7B0C"/>
    <w:rsid w:val="004836E2"/>
    <w:rsid w:val="00484D26"/>
    <w:rsid w:val="00571BB8"/>
    <w:rsid w:val="005D4D68"/>
    <w:rsid w:val="00695681"/>
    <w:rsid w:val="006A0408"/>
    <w:rsid w:val="006A2D2D"/>
    <w:rsid w:val="006F0A19"/>
    <w:rsid w:val="00723898"/>
    <w:rsid w:val="00724400"/>
    <w:rsid w:val="00733FE4"/>
    <w:rsid w:val="007D6140"/>
    <w:rsid w:val="007F2611"/>
    <w:rsid w:val="00801F3D"/>
    <w:rsid w:val="008270DF"/>
    <w:rsid w:val="00860309"/>
    <w:rsid w:val="00873992"/>
    <w:rsid w:val="00893AED"/>
    <w:rsid w:val="008B00D1"/>
    <w:rsid w:val="008B1F2D"/>
    <w:rsid w:val="008B6E06"/>
    <w:rsid w:val="008D2596"/>
    <w:rsid w:val="00901E28"/>
    <w:rsid w:val="0091521C"/>
    <w:rsid w:val="009657A8"/>
    <w:rsid w:val="00985192"/>
    <w:rsid w:val="009A0C5A"/>
    <w:rsid w:val="009F72C3"/>
    <w:rsid w:val="00A546FD"/>
    <w:rsid w:val="00A61DCF"/>
    <w:rsid w:val="00A70774"/>
    <w:rsid w:val="00AD54A5"/>
    <w:rsid w:val="00AD7DBC"/>
    <w:rsid w:val="00B17368"/>
    <w:rsid w:val="00B63E29"/>
    <w:rsid w:val="00B84D0C"/>
    <w:rsid w:val="00B91EC8"/>
    <w:rsid w:val="00BD1318"/>
    <w:rsid w:val="00BD6731"/>
    <w:rsid w:val="00BF7967"/>
    <w:rsid w:val="00C009F4"/>
    <w:rsid w:val="00C15AE0"/>
    <w:rsid w:val="00C2264D"/>
    <w:rsid w:val="00C61461"/>
    <w:rsid w:val="00C64FF0"/>
    <w:rsid w:val="00CE6A61"/>
    <w:rsid w:val="00D02CCB"/>
    <w:rsid w:val="00D0476E"/>
    <w:rsid w:val="00D06106"/>
    <w:rsid w:val="00D70D44"/>
    <w:rsid w:val="00DD0ADF"/>
    <w:rsid w:val="00EB5933"/>
    <w:rsid w:val="00EE318E"/>
    <w:rsid w:val="00F00B6D"/>
    <w:rsid w:val="00F14F45"/>
    <w:rsid w:val="00FD4DCF"/>
    <w:rsid w:val="00FE2052"/>
    <w:rsid w:val="00FE581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0A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51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5511A"/>
    <w:rPr>
      <w:i/>
      <w:iCs/>
    </w:rPr>
  </w:style>
  <w:style w:type="paragraph" w:styleId="FootnoteText">
    <w:name w:val="footnote text"/>
    <w:basedOn w:val="Normal"/>
    <w:link w:val="FootnoteTextChar"/>
    <w:uiPriority w:val="99"/>
    <w:semiHidden/>
    <w:unhideWhenUsed/>
    <w:rsid w:val="00AD54A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54A5"/>
    <w:rPr>
      <w:sz w:val="20"/>
      <w:szCs w:val="20"/>
    </w:rPr>
  </w:style>
  <w:style w:type="character" w:styleId="FootnoteReference">
    <w:name w:val="footnote reference"/>
    <w:basedOn w:val="DefaultParagraphFont"/>
    <w:uiPriority w:val="99"/>
    <w:semiHidden/>
    <w:unhideWhenUsed/>
    <w:rsid w:val="00AD54A5"/>
    <w:rPr>
      <w:vertAlign w:val="superscript"/>
    </w:rPr>
  </w:style>
  <w:style w:type="paragraph" w:styleId="BalloonText">
    <w:name w:val="Balloon Text"/>
    <w:basedOn w:val="Normal"/>
    <w:link w:val="BalloonTextChar"/>
    <w:uiPriority w:val="99"/>
    <w:semiHidden/>
    <w:unhideWhenUsed/>
    <w:rsid w:val="00F14F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4F45"/>
    <w:rPr>
      <w:rFonts w:ascii="Tahoma" w:hAnsi="Tahoma" w:cs="Tahoma"/>
      <w:sz w:val="16"/>
      <w:szCs w:val="16"/>
    </w:rPr>
  </w:style>
  <w:style w:type="character" w:styleId="Hyperlink">
    <w:name w:val="Hyperlink"/>
    <w:basedOn w:val="DefaultParagraphFont"/>
    <w:uiPriority w:val="99"/>
    <w:semiHidden/>
    <w:unhideWhenUsed/>
    <w:rsid w:val="000A4496"/>
    <w:rPr>
      <w:color w:val="0000FF"/>
      <w:u w:val="single"/>
    </w:rPr>
  </w:style>
  <w:style w:type="paragraph" w:customStyle="1" w:styleId="pdq2pgselectionanchorcontainer">
    <w:name w:val="pdq2pg_selectionanchorcontainer"/>
    <w:basedOn w:val="Normal"/>
    <w:rsid w:val="003109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B1736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17368"/>
  </w:style>
  <w:style w:type="paragraph" w:styleId="Footer">
    <w:name w:val="footer"/>
    <w:basedOn w:val="Normal"/>
    <w:link w:val="FooterChar"/>
    <w:uiPriority w:val="99"/>
    <w:semiHidden/>
    <w:unhideWhenUsed/>
    <w:rsid w:val="00B1736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17368"/>
  </w:style>
  <w:style w:type="character" w:styleId="Strong">
    <w:name w:val="Strong"/>
    <w:basedOn w:val="DefaultParagraphFont"/>
    <w:uiPriority w:val="22"/>
    <w:qFormat/>
    <w:rsid w:val="00B17368"/>
    <w:rPr>
      <w:b/>
      <w:bCs/>
    </w:rPr>
  </w:style>
</w:styles>
</file>

<file path=word/webSettings.xml><?xml version="1.0" encoding="utf-8"?>
<w:webSettings xmlns:r="http://schemas.openxmlformats.org/officeDocument/2006/relationships" xmlns:w="http://schemas.openxmlformats.org/wordprocessingml/2006/main">
  <w:divs>
    <w:div w:id="363217225">
      <w:bodyDiv w:val="1"/>
      <w:marLeft w:val="0"/>
      <w:marRight w:val="0"/>
      <w:marTop w:val="0"/>
      <w:marBottom w:val="0"/>
      <w:divBdr>
        <w:top w:val="none" w:sz="0" w:space="0" w:color="auto"/>
        <w:left w:val="none" w:sz="0" w:space="0" w:color="auto"/>
        <w:bottom w:val="none" w:sz="0" w:space="0" w:color="auto"/>
        <w:right w:val="none" w:sz="0" w:space="0" w:color="auto"/>
      </w:divBdr>
      <w:divsChild>
        <w:div w:id="4332085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9270278">
      <w:bodyDiv w:val="1"/>
      <w:marLeft w:val="0"/>
      <w:marRight w:val="0"/>
      <w:marTop w:val="0"/>
      <w:marBottom w:val="0"/>
      <w:divBdr>
        <w:top w:val="none" w:sz="0" w:space="0" w:color="auto"/>
        <w:left w:val="none" w:sz="0" w:space="0" w:color="auto"/>
        <w:bottom w:val="none" w:sz="0" w:space="0" w:color="auto"/>
        <w:right w:val="none" w:sz="0" w:space="0" w:color="auto"/>
      </w:divBdr>
    </w:div>
    <w:div w:id="518391215">
      <w:bodyDiv w:val="1"/>
      <w:marLeft w:val="0"/>
      <w:marRight w:val="0"/>
      <w:marTop w:val="0"/>
      <w:marBottom w:val="0"/>
      <w:divBdr>
        <w:top w:val="none" w:sz="0" w:space="0" w:color="auto"/>
        <w:left w:val="none" w:sz="0" w:space="0" w:color="auto"/>
        <w:bottom w:val="none" w:sz="0" w:space="0" w:color="auto"/>
        <w:right w:val="none" w:sz="0" w:space="0" w:color="auto"/>
      </w:divBdr>
      <w:divsChild>
        <w:div w:id="21126977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5098481">
      <w:bodyDiv w:val="1"/>
      <w:marLeft w:val="0"/>
      <w:marRight w:val="0"/>
      <w:marTop w:val="0"/>
      <w:marBottom w:val="0"/>
      <w:divBdr>
        <w:top w:val="none" w:sz="0" w:space="0" w:color="auto"/>
        <w:left w:val="none" w:sz="0" w:space="0" w:color="auto"/>
        <w:bottom w:val="none" w:sz="0" w:space="0" w:color="auto"/>
        <w:right w:val="none" w:sz="0" w:space="0" w:color="auto"/>
      </w:divBdr>
      <w:divsChild>
        <w:div w:id="3733167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7161391">
      <w:bodyDiv w:val="1"/>
      <w:marLeft w:val="0"/>
      <w:marRight w:val="0"/>
      <w:marTop w:val="0"/>
      <w:marBottom w:val="0"/>
      <w:divBdr>
        <w:top w:val="none" w:sz="0" w:space="0" w:color="auto"/>
        <w:left w:val="none" w:sz="0" w:space="0" w:color="auto"/>
        <w:bottom w:val="none" w:sz="0" w:space="0" w:color="auto"/>
        <w:right w:val="none" w:sz="0" w:space="0" w:color="auto"/>
      </w:divBdr>
    </w:div>
    <w:div w:id="592710911">
      <w:bodyDiv w:val="1"/>
      <w:marLeft w:val="0"/>
      <w:marRight w:val="0"/>
      <w:marTop w:val="0"/>
      <w:marBottom w:val="0"/>
      <w:divBdr>
        <w:top w:val="none" w:sz="0" w:space="0" w:color="auto"/>
        <w:left w:val="none" w:sz="0" w:space="0" w:color="auto"/>
        <w:bottom w:val="none" w:sz="0" w:space="0" w:color="auto"/>
        <w:right w:val="none" w:sz="0" w:space="0" w:color="auto"/>
      </w:divBdr>
      <w:divsChild>
        <w:div w:id="1425758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8522990">
      <w:bodyDiv w:val="1"/>
      <w:marLeft w:val="0"/>
      <w:marRight w:val="0"/>
      <w:marTop w:val="0"/>
      <w:marBottom w:val="0"/>
      <w:divBdr>
        <w:top w:val="none" w:sz="0" w:space="0" w:color="auto"/>
        <w:left w:val="none" w:sz="0" w:space="0" w:color="auto"/>
        <w:bottom w:val="none" w:sz="0" w:space="0" w:color="auto"/>
        <w:right w:val="none" w:sz="0" w:space="0" w:color="auto"/>
      </w:divBdr>
    </w:div>
    <w:div w:id="1892840070">
      <w:bodyDiv w:val="1"/>
      <w:marLeft w:val="0"/>
      <w:marRight w:val="0"/>
      <w:marTop w:val="0"/>
      <w:marBottom w:val="0"/>
      <w:divBdr>
        <w:top w:val="none" w:sz="0" w:space="0" w:color="auto"/>
        <w:left w:val="none" w:sz="0" w:space="0" w:color="auto"/>
        <w:bottom w:val="none" w:sz="0" w:space="0" w:color="auto"/>
        <w:right w:val="none" w:sz="0" w:space="0" w:color="auto"/>
      </w:divBdr>
    </w:div>
    <w:div w:id="2034382230">
      <w:bodyDiv w:val="1"/>
      <w:marLeft w:val="0"/>
      <w:marRight w:val="0"/>
      <w:marTop w:val="0"/>
      <w:marBottom w:val="0"/>
      <w:divBdr>
        <w:top w:val="none" w:sz="0" w:space="0" w:color="auto"/>
        <w:left w:val="none" w:sz="0" w:space="0" w:color="auto"/>
        <w:bottom w:val="none" w:sz="0" w:space="0" w:color="auto"/>
        <w:right w:val="none" w:sz="0" w:space="0" w:color="auto"/>
      </w:divBdr>
      <w:divsChild>
        <w:div w:id="7747856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4723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50C670-CCAA-4022-99B5-1A776A2CC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5</Pages>
  <Words>1820</Words>
  <Characters>10305</Characters>
  <Application>Microsoft Office Word</Application>
  <DocSecurity>0</DocSecurity>
  <Lines>145</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90</cp:revision>
  <dcterms:created xsi:type="dcterms:W3CDTF">2026-07-03T17:39:00Z</dcterms:created>
  <dcterms:modified xsi:type="dcterms:W3CDTF">2026-07-03T22:52:00Z</dcterms:modified>
</cp:coreProperties>
</file>