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30850327"/>
        <w:docPartObj>
          <w:docPartGallery w:val="Cover Pages"/>
          <w:docPartUnique/>
        </w:docPartObj>
      </w:sdtPr>
      <w:sdtEndPr/>
      <w:sdtContent>
        <w:p w14:paraId="597E70F9" w14:textId="5BA16FF8" w:rsidR="003772F0" w:rsidRDefault="003772F0">
          <w:r>
            <w:rPr>
              <w:noProof/>
            </w:rPr>
            <mc:AlternateContent>
              <mc:Choice Requires="wps">
                <w:drawing>
                  <wp:anchor distT="0" distB="0" distL="114300" distR="114300" simplePos="0" relativeHeight="251659264" behindDoc="0" locked="0" layoutInCell="1" allowOverlap="1" wp14:anchorId="1B77E7CD" wp14:editId="620466FB">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sz w:val="72"/>
                                    <w:szCs w:val="7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D15DFF1" w14:textId="4BFB1B16" w:rsidR="003772F0" w:rsidRPr="004708FE" w:rsidRDefault="003772F0" w:rsidP="004708FE">
                                    <w:pPr>
                                      <w:pStyle w:val="Title"/>
                                      <w:rPr>
                                        <w:caps/>
                                        <w:color w:val="FFFFFF" w:themeColor="background1"/>
                                        <w:sz w:val="72"/>
                                        <w:szCs w:val="72"/>
                                      </w:rPr>
                                    </w:pPr>
                                    <w:r w:rsidRPr="004708FE">
                                      <w:rPr>
                                        <w:sz w:val="72"/>
                                        <w:szCs w:val="72"/>
                                      </w:rPr>
                                      <w:t>Developing a Zero Trust Cyber Security Framework for (VTAM)</w:t>
                                    </w:r>
                                  </w:p>
                                </w:sdtContent>
                              </w:sdt>
                              <w:p w14:paraId="0B3CFAEB" w14:textId="77777777" w:rsidR="003772F0" w:rsidRDefault="003772F0">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3D72BF18" w14:textId="6739E60C" w:rsidR="003772F0" w:rsidRDefault="00312488">
                                    <w:pPr>
                                      <w:spacing w:before="240"/>
                                      <w:ind w:left="1008"/>
                                      <w:jc w:val="right"/>
                                      <w:rPr>
                                        <w:color w:val="FFFFFF" w:themeColor="background1"/>
                                      </w:rPr>
                                    </w:pPr>
                                    <w:r>
                                      <w:t>Morgan Discombe-Hughes [2416860]</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B77E7CD"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f81bd [3204]" stroked="f">
                    <v:textbox inset="21.6pt,1in,21.6pt">
                      <w:txbxContent>
                        <w:sdt>
                          <w:sdtPr>
                            <w:rPr>
                              <w:sz w:val="72"/>
                              <w:szCs w:val="7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D15DFF1" w14:textId="4BFB1B16" w:rsidR="003772F0" w:rsidRPr="004708FE" w:rsidRDefault="003772F0" w:rsidP="004708FE">
                              <w:pPr>
                                <w:pStyle w:val="Title"/>
                                <w:rPr>
                                  <w:caps/>
                                  <w:color w:val="FFFFFF" w:themeColor="background1"/>
                                  <w:sz w:val="72"/>
                                  <w:szCs w:val="72"/>
                                </w:rPr>
                              </w:pPr>
                              <w:r w:rsidRPr="004708FE">
                                <w:rPr>
                                  <w:sz w:val="72"/>
                                  <w:szCs w:val="72"/>
                                </w:rPr>
                                <w:t>Developing a Zero Trust Cyber Security Framework for (VTAM)</w:t>
                              </w:r>
                            </w:p>
                          </w:sdtContent>
                        </w:sdt>
                        <w:p w14:paraId="0B3CFAEB" w14:textId="77777777" w:rsidR="003772F0" w:rsidRDefault="003772F0">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3D72BF18" w14:textId="6739E60C" w:rsidR="003772F0" w:rsidRDefault="00312488">
                              <w:pPr>
                                <w:spacing w:before="240"/>
                                <w:ind w:left="1008"/>
                                <w:jc w:val="right"/>
                                <w:rPr>
                                  <w:color w:val="FFFFFF" w:themeColor="background1"/>
                                </w:rPr>
                              </w:pPr>
                              <w:r>
                                <w:t>Morgan Discombe-Hughes [2416860]</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DEF9E46" wp14:editId="4C97BD45">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7619DE9F" w14:textId="4E657522" w:rsidR="003772F0" w:rsidRDefault="0052733F">
                                    <w:pPr>
                                      <w:pStyle w:val="Subtitle"/>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DEF9E46"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" fillcolor="#1f497d [3215]" stroked="f" strokeweight="2p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7619DE9F" w14:textId="4E657522" w:rsidR="003772F0" w:rsidRDefault="0052733F">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p>
        <w:p w14:paraId="62C0D9FF" w14:textId="77777777" w:rsidR="003772F0" w:rsidRDefault="003772F0"/>
        <w:p w14:paraId="4590EBD6" w14:textId="09872ED6" w:rsidR="003772F0" w:rsidRDefault="003772F0">
          <w:r>
            <w:br w:type="page"/>
          </w:r>
        </w:p>
      </w:sdtContent>
    </w:sdt>
    <w:p w14:paraId="15E05057" w14:textId="22905557" w:rsidR="00ED5AAE" w:rsidRDefault="00ED5AAE">
      <w:pPr>
        <w:rPr>
          <w:rFonts w:asciiTheme="majorHAnsi" w:hAnsiTheme="majorHAnsi" w:cstheme="majorHAnsi"/>
        </w:rPr>
      </w:pPr>
    </w:p>
    <w:sdt>
      <w:sdtPr>
        <w:rPr>
          <w:rFonts w:asciiTheme="minorHAnsi" w:eastAsiaTheme="minorEastAsia" w:hAnsiTheme="minorHAnsi" w:cstheme="minorBidi"/>
          <w:b w:val="0"/>
          <w:bCs w:val="0"/>
          <w:sz w:val="22"/>
          <w:szCs w:val="22"/>
        </w:rPr>
        <w:id w:val="-1653828296"/>
        <w:docPartObj>
          <w:docPartGallery w:val="Table of Contents"/>
          <w:docPartUnique/>
        </w:docPartObj>
      </w:sdtPr>
      <w:sdtEndPr>
        <w:rPr>
          <w:rFonts w:cs="Times New Roman"/>
          <w:noProof/>
          <w:kern w:val="0"/>
          <w:sz w:val="24"/>
          <w:szCs w:val="24"/>
        </w:rPr>
      </w:sdtEndPr>
      <w:sdtContent>
        <w:p w14:paraId="193D9016" w14:textId="1BF986D6" w:rsidR="00ED5AAE" w:rsidRDefault="00ED5AAE">
          <w:pPr>
            <w:pStyle w:val="TOCHeading"/>
          </w:pPr>
          <w:r>
            <w:t>Table of Contents</w:t>
          </w:r>
        </w:p>
        <w:p w14:paraId="79517941" w14:textId="472D2E67" w:rsidR="00D316A1" w:rsidRDefault="00ED5AAE">
          <w:pPr>
            <w:pStyle w:val="TOC1"/>
            <w:tabs>
              <w:tab w:val="right" w:leader="dot" w:pos="8630"/>
            </w:tabs>
            <w:rPr>
              <w:noProof/>
              <w:kern w:val="2"/>
              <w:lang w:val="en-GB" w:eastAsia="en-GB"/>
              <w14:ligatures w14:val="standardContextual"/>
            </w:rPr>
          </w:pPr>
          <w:r>
            <w:fldChar w:fldCharType="begin"/>
          </w:r>
          <w:r>
            <w:instrText xml:space="preserve"> TOC \o "1-3" \h \z \u </w:instrText>
          </w:r>
          <w:r>
            <w:fldChar w:fldCharType="separate"/>
          </w:r>
          <w:hyperlink w:anchor="_Toc228267514" w:history="1">
            <w:r w:rsidR="00D316A1" w:rsidRPr="00F26715">
              <w:rPr>
                <w:rStyle w:val="Hyperlink"/>
                <w:noProof/>
              </w:rPr>
              <w:t>1. Introduction</w:t>
            </w:r>
            <w:r w:rsidR="00D316A1">
              <w:rPr>
                <w:noProof/>
                <w:webHidden/>
              </w:rPr>
              <w:tab/>
            </w:r>
            <w:r w:rsidR="00D316A1">
              <w:rPr>
                <w:noProof/>
                <w:webHidden/>
              </w:rPr>
              <w:fldChar w:fldCharType="begin"/>
            </w:r>
            <w:r w:rsidR="00D316A1">
              <w:rPr>
                <w:noProof/>
                <w:webHidden/>
              </w:rPr>
              <w:instrText xml:space="preserve"> PAGEREF _Toc228267514 \h </w:instrText>
            </w:r>
            <w:r w:rsidR="00D316A1">
              <w:rPr>
                <w:noProof/>
                <w:webHidden/>
              </w:rPr>
            </w:r>
            <w:r w:rsidR="00D316A1">
              <w:rPr>
                <w:noProof/>
                <w:webHidden/>
              </w:rPr>
              <w:fldChar w:fldCharType="separate"/>
            </w:r>
            <w:r w:rsidR="00D316A1">
              <w:rPr>
                <w:noProof/>
                <w:webHidden/>
              </w:rPr>
              <w:t>2</w:t>
            </w:r>
            <w:r w:rsidR="00D316A1">
              <w:rPr>
                <w:noProof/>
                <w:webHidden/>
              </w:rPr>
              <w:fldChar w:fldCharType="end"/>
            </w:r>
          </w:hyperlink>
        </w:p>
        <w:p w14:paraId="45A5BA02" w14:textId="36717AD9" w:rsidR="00D316A1" w:rsidRDefault="00D316A1">
          <w:pPr>
            <w:pStyle w:val="TOC1"/>
            <w:tabs>
              <w:tab w:val="right" w:leader="dot" w:pos="8630"/>
            </w:tabs>
            <w:rPr>
              <w:noProof/>
              <w:kern w:val="2"/>
              <w:lang w:val="en-GB" w:eastAsia="en-GB"/>
              <w14:ligatures w14:val="standardContextual"/>
            </w:rPr>
          </w:pPr>
          <w:hyperlink w:anchor="_Toc228267515" w:history="1">
            <w:r w:rsidRPr="00F26715">
              <w:rPr>
                <w:rStyle w:val="Hyperlink"/>
                <w:noProof/>
              </w:rPr>
              <w:t>2. Identification of Modern Cyber Threats</w:t>
            </w:r>
            <w:r>
              <w:rPr>
                <w:noProof/>
                <w:webHidden/>
              </w:rPr>
              <w:tab/>
            </w:r>
            <w:r>
              <w:rPr>
                <w:noProof/>
                <w:webHidden/>
              </w:rPr>
              <w:fldChar w:fldCharType="begin"/>
            </w:r>
            <w:r>
              <w:rPr>
                <w:noProof/>
                <w:webHidden/>
              </w:rPr>
              <w:instrText xml:space="preserve"> PAGEREF _Toc228267515 \h </w:instrText>
            </w:r>
            <w:r>
              <w:rPr>
                <w:noProof/>
                <w:webHidden/>
              </w:rPr>
            </w:r>
            <w:r>
              <w:rPr>
                <w:noProof/>
                <w:webHidden/>
              </w:rPr>
              <w:fldChar w:fldCharType="separate"/>
            </w:r>
            <w:r>
              <w:rPr>
                <w:noProof/>
                <w:webHidden/>
              </w:rPr>
              <w:t>2</w:t>
            </w:r>
            <w:r>
              <w:rPr>
                <w:noProof/>
                <w:webHidden/>
              </w:rPr>
              <w:fldChar w:fldCharType="end"/>
            </w:r>
          </w:hyperlink>
        </w:p>
        <w:p w14:paraId="01DDC143" w14:textId="41AF7471" w:rsidR="00D316A1" w:rsidRDefault="00D316A1">
          <w:pPr>
            <w:pStyle w:val="TOC1"/>
            <w:tabs>
              <w:tab w:val="right" w:leader="dot" w:pos="8630"/>
            </w:tabs>
            <w:rPr>
              <w:noProof/>
              <w:kern w:val="2"/>
              <w:lang w:val="en-GB" w:eastAsia="en-GB"/>
              <w14:ligatures w14:val="standardContextual"/>
            </w:rPr>
          </w:pPr>
          <w:hyperlink w:anchor="_Toc228267516" w:history="1">
            <w:r w:rsidRPr="00F26715">
              <w:rPr>
                <w:rStyle w:val="Hyperlink"/>
                <w:noProof/>
              </w:rPr>
              <w:t>3. Zero Trust Security Policies</w:t>
            </w:r>
            <w:r>
              <w:rPr>
                <w:noProof/>
                <w:webHidden/>
              </w:rPr>
              <w:tab/>
            </w:r>
            <w:r>
              <w:rPr>
                <w:noProof/>
                <w:webHidden/>
              </w:rPr>
              <w:fldChar w:fldCharType="begin"/>
            </w:r>
            <w:r>
              <w:rPr>
                <w:noProof/>
                <w:webHidden/>
              </w:rPr>
              <w:instrText xml:space="preserve"> PAGEREF _Toc228267516 \h </w:instrText>
            </w:r>
            <w:r>
              <w:rPr>
                <w:noProof/>
                <w:webHidden/>
              </w:rPr>
            </w:r>
            <w:r>
              <w:rPr>
                <w:noProof/>
                <w:webHidden/>
              </w:rPr>
              <w:fldChar w:fldCharType="separate"/>
            </w:r>
            <w:r>
              <w:rPr>
                <w:noProof/>
                <w:webHidden/>
              </w:rPr>
              <w:t>3</w:t>
            </w:r>
            <w:r>
              <w:rPr>
                <w:noProof/>
                <w:webHidden/>
              </w:rPr>
              <w:fldChar w:fldCharType="end"/>
            </w:r>
          </w:hyperlink>
        </w:p>
        <w:p w14:paraId="334BD559" w14:textId="09334BB3" w:rsidR="00D316A1" w:rsidRDefault="00D316A1">
          <w:pPr>
            <w:pStyle w:val="TOC1"/>
            <w:tabs>
              <w:tab w:val="right" w:leader="dot" w:pos="8630"/>
            </w:tabs>
            <w:rPr>
              <w:noProof/>
              <w:kern w:val="2"/>
              <w:lang w:val="en-GB" w:eastAsia="en-GB"/>
              <w14:ligatures w14:val="standardContextual"/>
            </w:rPr>
          </w:pPr>
          <w:hyperlink w:anchor="_Toc228267517" w:history="1">
            <w:r w:rsidRPr="00F26715">
              <w:rPr>
                <w:rStyle w:val="Hyperlink"/>
                <w:noProof/>
              </w:rPr>
              <w:t>4. Technical Mitigation Measures</w:t>
            </w:r>
            <w:r>
              <w:rPr>
                <w:noProof/>
                <w:webHidden/>
              </w:rPr>
              <w:tab/>
            </w:r>
            <w:r>
              <w:rPr>
                <w:noProof/>
                <w:webHidden/>
              </w:rPr>
              <w:fldChar w:fldCharType="begin"/>
            </w:r>
            <w:r>
              <w:rPr>
                <w:noProof/>
                <w:webHidden/>
              </w:rPr>
              <w:instrText xml:space="preserve"> PAGEREF _Toc228267517 \h </w:instrText>
            </w:r>
            <w:r>
              <w:rPr>
                <w:noProof/>
                <w:webHidden/>
              </w:rPr>
            </w:r>
            <w:r>
              <w:rPr>
                <w:noProof/>
                <w:webHidden/>
              </w:rPr>
              <w:fldChar w:fldCharType="separate"/>
            </w:r>
            <w:r>
              <w:rPr>
                <w:noProof/>
                <w:webHidden/>
              </w:rPr>
              <w:t>4</w:t>
            </w:r>
            <w:r>
              <w:rPr>
                <w:noProof/>
                <w:webHidden/>
              </w:rPr>
              <w:fldChar w:fldCharType="end"/>
            </w:r>
          </w:hyperlink>
        </w:p>
        <w:p w14:paraId="7F447F0A" w14:textId="650D171E" w:rsidR="00D316A1" w:rsidRDefault="00D316A1">
          <w:pPr>
            <w:pStyle w:val="TOC1"/>
            <w:tabs>
              <w:tab w:val="right" w:leader="dot" w:pos="8630"/>
            </w:tabs>
            <w:rPr>
              <w:noProof/>
              <w:kern w:val="2"/>
              <w:lang w:val="en-GB" w:eastAsia="en-GB"/>
              <w14:ligatures w14:val="standardContextual"/>
            </w:rPr>
          </w:pPr>
          <w:hyperlink w:anchor="_Toc228267518" w:history="1">
            <w:r w:rsidRPr="00F26715">
              <w:rPr>
                <w:rStyle w:val="Hyperlink"/>
                <w:noProof/>
              </w:rPr>
              <w:t>5. Proactive Monitoring and Incident Response</w:t>
            </w:r>
            <w:r>
              <w:rPr>
                <w:noProof/>
                <w:webHidden/>
              </w:rPr>
              <w:tab/>
            </w:r>
            <w:r>
              <w:rPr>
                <w:noProof/>
                <w:webHidden/>
              </w:rPr>
              <w:fldChar w:fldCharType="begin"/>
            </w:r>
            <w:r>
              <w:rPr>
                <w:noProof/>
                <w:webHidden/>
              </w:rPr>
              <w:instrText xml:space="preserve"> PAGEREF _Toc228267518 \h </w:instrText>
            </w:r>
            <w:r>
              <w:rPr>
                <w:noProof/>
                <w:webHidden/>
              </w:rPr>
            </w:r>
            <w:r>
              <w:rPr>
                <w:noProof/>
                <w:webHidden/>
              </w:rPr>
              <w:fldChar w:fldCharType="separate"/>
            </w:r>
            <w:r>
              <w:rPr>
                <w:noProof/>
                <w:webHidden/>
              </w:rPr>
              <w:t>5</w:t>
            </w:r>
            <w:r>
              <w:rPr>
                <w:noProof/>
                <w:webHidden/>
              </w:rPr>
              <w:fldChar w:fldCharType="end"/>
            </w:r>
          </w:hyperlink>
        </w:p>
        <w:p w14:paraId="01CA8CF6" w14:textId="33051EF7" w:rsidR="00D316A1" w:rsidRDefault="00D316A1">
          <w:pPr>
            <w:pStyle w:val="TOC1"/>
            <w:tabs>
              <w:tab w:val="right" w:leader="dot" w:pos="8630"/>
            </w:tabs>
            <w:rPr>
              <w:noProof/>
              <w:kern w:val="2"/>
              <w:lang w:val="en-GB" w:eastAsia="en-GB"/>
              <w14:ligatures w14:val="standardContextual"/>
            </w:rPr>
          </w:pPr>
          <w:hyperlink w:anchor="_Toc228267519" w:history="1">
            <w:r w:rsidRPr="00F26715">
              <w:rPr>
                <w:rStyle w:val="Hyperlink"/>
                <w:noProof/>
              </w:rPr>
              <w:t>6. Continuous Training and Awareness</w:t>
            </w:r>
            <w:r>
              <w:rPr>
                <w:noProof/>
                <w:webHidden/>
              </w:rPr>
              <w:tab/>
            </w:r>
            <w:r>
              <w:rPr>
                <w:noProof/>
                <w:webHidden/>
              </w:rPr>
              <w:fldChar w:fldCharType="begin"/>
            </w:r>
            <w:r>
              <w:rPr>
                <w:noProof/>
                <w:webHidden/>
              </w:rPr>
              <w:instrText xml:space="preserve"> PAGEREF _Toc228267519 \h </w:instrText>
            </w:r>
            <w:r>
              <w:rPr>
                <w:noProof/>
                <w:webHidden/>
              </w:rPr>
            </w:r>
            <w:r>
              <w:rPr>
                <w:noProof/>
                <w:webHidden/>
              </w:rPr>
              <w:fldChar w:fldCharType="separate"/>
            </w:r>
            <w:r>
              <w:rPr>
                <w:noProof/>
                <w:webHidden/>
              </w:rPr>
              <w:t>5</w:t>
            </w:r>
            <w:r>
              <w:rPr>
                <w:noProof/>
                <w:webHidden/>
              </w:rPr>
              <w:fldChar w:fldCharType="end"/>
            </w:r>
          </w:hyperlink>
        </w:p>
        <w:p w14:paraId="528E6340" w14:textId="19FC57F0" w:rsidR="00D316A1" w:rsidRDefault="00D316A1">
          <w:pPr>
            <w:pStyle w:val="TOC1"/>
            <w:tabs>
              <w:tab w:val="right" w:leader="dot" w:pos="8630"/>
            </w:tabs>
            <w:rPr>
              <w:noProof/>
              <w:kern w:val="2"/>
              <w:lang w:val="en-GB" w:eastAsia="en-GB"/>
              <w14:ligatures w14:val="standardContextual"/>
            </w:rPr>
          </w:pPr>
          <w:hyperlink w:anchor="_Toc228267520" w:history="1">
            <w:r w:rsidRPr="00F26715">
              <w:rPr>
                <w:rStyle w:val="Hyperlink"/>
                <w:noProof/>
              </w:rPr>
              <w:t>7. Business Impact and Strategic Value</w:t>
            </w:r>
            <w:r>
              <w:rPr>
                <w:noProof/>
                <w:webHidden/>
              </w:rPr>
              <w:tab/>
            </w:r>
            <w:r>
              <w:rPr>
                <w:noProof/>
                <w:webHidden/>
              </w:rPr>
              <w:fldChar w:fldCharType="begin"/>
            </w:r>
            <w:r>
              <w:rPr>
                <w:noProof/>
                <w:webHidden/>
              </w:rPr>
              <w:instrText xml:space="preserve"> PAGEREF _Toc228267520 \h </w:instrText>
            </w:r>
            <w:r>
              <w:rPr>
                <w:noProof/>
                <w:webHidden/>
              </w:rPr>
            </w:r>
            <w:r>
              <w:rPr>
                <w:noProof/>
                <w:webHidden/>
              </w:rPr>
              <w:fldChar w:fldCharType="separate"/>
            </w:r>
            <w:r>
              <w:rPr>
                <w:noProof/>
                <w:webHidden/>
              </w:rPr>
              <w:t>6</w:t>
            </w:r>
            <w:r>
              <w:rPr>
                <w:noProof/>
                <w:webHidden/>
              </w:rPr>
              <w:fldChar w:fldCharType="end"/>
            </w:r>
          </w:hyperlink>
        </w:p>
        <w:p w14:paraId="3B827CB2" w14:textId="560BA725" w:rsidR="00D316A1" w:rsidRDefault="00D316A1">
          <w:pPr>
            <w:pStyle w:val="TOC1"/>
            <w:tabs>
              <w:tab w:val="right" w:leader="dot" w:pos="8630"/>
            </w:tabs>
            <w:rPr>
              <w:noProof/>
              <w:kern w:val="2"/>
              <w:lang w:val="en-GB" w:eastAsia="en-GB"/>
              <w14:ligatures w14:val="standardContextual"/>
            </w:rPr>
          </w:pPr>
          <w:hyperlink w:anchor="_Toc228267521" w:history="1">
            <w:r w:rsidRPr="00F26715">
              <w:rPr>
                <w:rStyle w:val="Hyperlink"/>
                <w:noProof/>
              </w:rPr>
              <w:t>8. Conclusion</w:t>
            </w:r>
            <w:r>
              <w:rPr>
                <w:noProof/>
                <w:webHidden/>
              </w:rPr>
              <w:tab/>
            </w:r>
            <w:r>
              <w:rPr>
                <w:noProof/>
                <w:webHidden/>
              </w:rPr>
              <w:fldChar w:fldCharType="begin"/>
            </w:r>
            <w:r>
              <w:rPr>
                <w:noProof/>
                <w:webHidden/>
              </w:rPr>
              <w:instrText xml:space="preserve"> PAGEREF _Toc228267521 \h </w:instrText>
            </w:r>
            <w:r>
              <w:rPr>
                <w:noProof/>
                <w:webHidden/>
              </w:rPr>
            </w:r>
            <w:r>
              <w:rPr>
                <w:noProof/>
                <w:webHidden/>
              </w:rPr>
              <w:fldChar w:fldCharType="separate"/>
            </w:r>
            <w:r>
              <w:rPr>
                <w:noProof/>
                <w:webHidden/>
              </w:rPr>
              <w:t>6</w:t>
            </w:r>
            <w:r>
              <w:rPr>
                <w:noProof/>
                <w:webHidden/>
              </w:rPr>
              <w:fldChar w:fldCharType="end"/>
            </w:r>
          </w:hyperlink>
        </w:p>
        <w:p w14:paraId="17F69F78" w14:textId="726886EC" w:rsidR="00D316A1" w:rsidRDefault="00D316A1">
          <w:pPr>
            <w:pStyle w:val="TOC1"/>
            <w:tabs>
              <w:tab w:val="right" w:leader="dot" w:pos="8630"/>
            </w:tabs>
            <w:rPr>
              <w:noProof/>
              <w:kern w:val="2"/>
              <w:lang w:val="en-GB" w:eastAsia="en-GB"/>
              <w14:ligatures w14:val="standardContextual"/>
            </w:rPr>
          </w:pPr>
          <w:hyperlink w:anchor="_Toc228267522" w:history="1">
            <w:r w:rsidRPr="00F26715">
              <w:rPr>
                <w:rStyle w:val="Hyperlink"/>
                <w:noProof/>
              </w:rPr>
              <w:t>9. References</w:t>
            </w:r>
            <w:r>
              <w:rPr>
                <w:noProof/>
                <w:webHidden/>
              </w:rPr>
              <w:tab/>
            </w:r>
            <w:r>
              <w:rPr>
                <w:noProof/>
                <w:webHidden/>
              </w:rPr>
              <w:fldChar w:fldCharType="begin"/>
            </w:r>
            <w:r>
              <w:rPr>
                <w:noProof/>
                <w:webHidden/>
              </w:rPr>
              <w:instrText xml:space="preserve"> PAGEREF _Toc228267522 \h </w:instrText>
            </w:r>
            <w:r>
              <w:rPr>
                <w:noProof/>
                <w:webHidden/>
              </w:rPr>
            </w:r>
            <w:r>
              <w:rPr>
                <w:noProof/>
                <w:webHidden/>
              </w:rPr>
              <w:fldChar w:fldCharType="separate"/>
            </w:r>
            <w:r>
              <w:rPr>
                <w:noProof/>
                <w:webHidden/>
              </w:rPr>
              <w:t>7</w:t>
            </w:r>
            <w:r>
              <w:rPr>
                <w:noProof/>
                <w:webHidden/>
              </w:rPr>
              <w:fldChar w:fldCharType="end"/>
            </w:r>
          </w:hyperlink>
        </w:p>
        <w:p w14:paraId="5A66E4F9" w14:textId="0DE34283" w:rsidR="00335EB9" w:rsidRPr="00335EB9" w:rsidRDefault="00ED5AAE">
          <w:r>
            <w:rPr>
              <w:b/>
              <w:bCs/>
              <w:noProof/>
            </w:rPr>
            <w:fldChar w:fldCharType="end"/>
          </w:r>
        </w:p>
      </w:sdtContent>
    </w:sdt>
    <w:p w14:paraId="5BFAC35B" w14:textId="77777777" w:rsidR="00335EB9" w:rsidRPr="00460550" w:rsidRDefault="00335EB9">
      <w:pPr>
        <w:rPr>
          <w:rFonts w:asciiTheme="majorHAnsi" w:hAnsiTheme="majorHAnsi" w:cstheme="majorHAnsi"/>
        </w:rPr>
      </w:pPr>
    </w:p>
    <w:p w14:paraId="5976D014" w14:textId="77777777" w:rsidR="00C776ED" w:rsidRPr="00460550" w:rsidRDefault="00252DA0" w:rsidP="00E577AB">
      <w:pPr>
        <w:pStyle w:val="Heading1"/>
      </w:pPr>
      <w:bookmarkStart w:id="0" w:name="_Toc228267514"/>
      <w:r w:rsidRPr="00460550">
        <w:t>1. Introduction</w:t>
      </w:r>
      <w:bookmarkEnd w:id="0"/>
    </w:p>
    <w:p w14:paraId="36AAEF93" w14:textId="77777777" w:rsidR="000573E7" w:rsidRPr="000573E7" w:rsidRDefault="000573E7" w:rsidP="000573E7">
      <w:pPr>
        <w:spacing w:after="200" w:line="276" w:lineRule="auto"/>
        <w:rPr>
          <w:rFonts w:asciiTheme="majorHAnsi" w:hAnsiTheme="majorHAnsi" w:cstheme="majorHAnsi"/>
          <w:lang w:val="en-GB"/>
        </w:rPr>
      </w:pPr>
      <w:r w:rsidRPr="000573E7">
        <w:rPr>
          <w:rFonts w:asciiTheme="majorHAnsi" w:hAnsiTheme="majorHAnsi" w:cstheme="majorHAnsi"/>
        </w:rPr>
        <w:t>Cyber security represents a strategic and operational risk for financial services </w:t>
      </w:r>
      <w:proofErr w:type="spellStart"/>
      <w:r w:rsidRPr="000573E7">
        <w:rPr>
          <w:rFonts w:asciiTheme="majorHAnsi" w:hAnsiTheme="majorHAnsi" w:cstheme="majorHAnsi"/>
        </w:rPr>
        <w:t>organisations</w:t>
      </w:r>
      <w:proofErr w:type="spellEnd"/>
      <w:r w:rsidRPr="000573E7">
        <w:rPr>
          <w:rFonts w:asciiTheme="majorHAnsi" w:hAnsiTheme="majorHAnsi" w:cstheme="majorHAnsi"/>
        </w:rPr>
        <w:t> due to the increasing sophistication of cybercrime, the accelerated adoption of cloud technologies, and the widespread shift to hybrid working models. Financial institutions are consistently targeted because successful </w:t>
      </w:r>
      <w:proofErr w:type="spellStart"/>
      <w:r w:rsidRPr="000573E7">
        <w:rPr>
          <w:rFonts w:asciiTheme="majorHAnsi" w:hAnsiTheme="majorHAnsi" w:cstheme="majorHAnsi"/>
        </w:rPr>
        <w:t>cyber attacks</w:t>
      </w:r>
      <w:proofErr w:type="spellEnd"/>
      <w:r w:rsidRPr="000573E7">
        <w:rPr>
          <w:rFonts w:asciiTheme="majorHAnsi" w:hAnsiTheme="majorHAnsi" w:cstheme="majorHAnsi"/>
        </w:rPr>
        <w:t> can result in direct financial loss, regulatory penalties, prolonged operational disruption, and severe reputational damage. Vigilant Trust &amp; Asset Management (VTAM), as a medium</w:t>
      </w:r>
      <w:r w:rsidRPr="000573E7">
        <w:rPr>
          <w:rFonts w:asciiTheme="majorHAnsi" w:hAnsiTheme="majorHAnsi" w:cstheme="majorHAnsi"/>
        </w:rPr>
        <w:noBreakHyphen/>
        <w:t>sized financial services firm, operates in an environment where trust, availability, and confidentiality of data are fundamental to business success.</w:t>
      </w:r>
      <w:r w:rsidRPr="000573E7">
        <w:rPr>
          <w:rFonts w:asciiTheme="majorHAnsi" w:hAnsiTheme="majorHAnsi" w:cstheme="majorHAnsi"/>
          <w:lang w:val="en-GB"/>
        </w:rPr>
        <w:t> </w:t>
      </w:r>
    </w:p>
    <w:p w14:paraId="56B5A58F" w14:textId="77777777" w:rsidR="000573E7" w:rsidRPr="000573E7" w:rsidRDefault="000573E7" w:rsidP="000573E7">
      <w:pPr>
        <w:spacing w:after="200" w:line="276" w:lineRule="auto"/>
        <w:rPr>
          <w:rFonts w:asciiTheme="majorHAnsi" w:hAnsiTheme="majorHAnsi" w:cstheme="majorHAnsi"/>
          <w:lang w:val="en-GB"/>
        </w:rPr>
      </w:pPr>
      <w:r w:rsidRPr="000573E7">
        <w:rPr>
          <w:rFonts w:asciiTheme="majorHAnsi" w:hAnsiTheme="majorHAnsi" w:cstheme="majorHAnsi"/>
          <w:lang w:val="en-GB"/>
        </w:rPr>
        <w:t> </w:t>
      </w:r>
    </w:p>
    <w:p w14:paraId="119D308D" w14:textId="77777777" w:rsidR="000573E7" w:rsidRPr="000573E7" w:rsidRDefault="000573E7" w:rsidP="000573E7">
      <w:pPr>
        <w:spacing w:after="200" w:line="276" w:lineRule="auto"/>
        <w:rPr>
          <w:rFonts w:asciiTheme="majorHAnsi" w:hAnsiTheme="majorHAnsi" w:cstheme="majorHAnsi"/>
          <w:lang w:val="en-GB"/>
        </w:rPr>
      </w:pPr>
      <w:r w:rsidRPr="000573E7">
        <w:rPr>
          <w:rFonts w:asciiTheme="majorHAnsi" w:hAnsiTheme="majorHAnsi" w:cstheme="majorHAnsi"/>
        </w:rPr>
        <w:t>VTAM has recently experienced a sophisticated phishing campaign that bypassed traditional email filtering controls and an attempted ransomware infection. These incidents highlight the limitations of perimeter</w:t>
      </w:r>
      <w:r w:rsidRPr="000573E7">
        <w:rPr>
          <w:rFonts w:asciiTheme="majorHAnsi" w:hAnsiTheme="majorHAnsi" w:cstheme="majorHAnsi"/>
        </w:rPr>
        <w:noBreakHyphen/>
        <w:t>based security models that rely on implicit trust within corporate networks. In response, the board has mandated the development of a modern security framework built on the Zero Trust model.</w:t>
      </w:r>
      <w:r w:rsidRPr="000573E7">
        <w:rPr>
          <w:rFonts w:asciiTheme="majorHAnsi" w:hAnsiTheme="majorHAnsi" w:cstheme="majorHAnsi"/>
          <w:lang w:val="en-GB"/>
        </w:rPr>
        <w:t> </w:t>
      </w:r>
    </w:p>
    <w:p w14:paraId="565C3D48" w14:textId="77777777" w:rsidR="000573E7" w:rsidRPr="000573E7" w:rsidRDefault="000573E7" w:rsidP="000573E7">
      <w:pPr>
        <w:spacing w:after="200" w:line="276" w:lineRule="auto"/>
        <w:rPr>
          <w:rFonts w:asciiTheme="majorHAnsi" w:hAnsiTheme="majorHAnsi" w:cstheme="majorHAnsi"/>
          <w:lang w:val="en-GB"/>
        </w:rPr>
      </w:pPr>
      <w:r w:rsidRPr="000573E7">
        <w:rPr>
          <w:rFonts w:asciiTheme="majorHAnsi" w:hAnsiTheme="majorHAnsi" w:cstheme="majorHAnsi"/>
          <w:lang w:val="en-GB"/>
        </w:rPr>
        <w:t> </w:t>
      </w:r>
    </w:p>
    <w:p w14:paraId="2BA7C581" w14:textId="77777777" w:rsidR="000573E7" w:rsidRPr="000573E7" w:rsidRDefault="000573E7" w:rsidP="000573E7">
      <w:pPr>
        <w:spacing w:after="200" w:line="276" w:lineRule="auto"/>
        <w:rPr>
          <w:rFonts w:asciiTheme="majorHAnsi" w:hAnsiTheme="majorHAnsi" w:cstheme="majorHAnsi"/>
          <w:lang w:val="en-GB"/>
        </w:rPr>
      </w:pPr>
      <w:r w:rsidRPr="000573E7">
        <w:rPr>
          <w:rFonts w:asciiTheme="majorHAnsi" w:hAnsiTheme="majorHAnsi" w:cstheme="majorHAnsi"/>
        </w:rPr>
        <w:t>This report proposes a comprehensive Zero Trust cyber security framework aligned with NIST Special Publication 800</w:t>
      </w:r>
      <w:r w:rsidRPr="000573E7">
        <w:rPr>
          <w:rFonts w:asciiTheme="majorHAnsi" w:hAnsiTheme="majorHAnsi" w:cstheme="majorHAnsi"/>
        </w:rPr>
        <w:noBreakHyphen/>
        <w:t xml:space="preserve">207, the NIST Cybersecurity Framework (CSF), ISO/IEC 27001, and guidance from the Cybersecurity and Infrastructure Security Agency (CISA) and the European Union Agency for Cybersecurity (ENISA). The objective is to enhance </w:t>
      </w:r>
      <w:r w:rsidRPr="000573E7">
        <w:rPr>
          <w:rFonts w:asciiTheme="majorHAnsi" w:hAnsiTheme="majorHAnsi" w:cstheme="majorHAnsi"/>
        </w:rPr>
        <w:lastRenderedPageBreak/>
        <w:t>VTAM’s cyber resilience while supporting regulatory compliance, operational continuity, and long</w:t>
      </w:r>
      <w:r w:rsidRPr="000573E7">
        <w:rPr>
          <w:rFonts w:asciiTheme="majorHAnsi" w:hAnsiTheme="majorHAnsi" w:cstheme="majorHAnsi"/>
        </w:rPr>
        <w:noBreakHyphen/>
        <w:t>term business sustainability</w:t>
      </w:r>
    </w:p>
    <w:p w14:paraId="72380558" w14:textId="77777777" w:rsidR="00C776ED" w:rsidRPr="000573E7" w:rsidRDefault="00C776ED">
      <w:pPr>
        <w:rPr>
          <w:rFonts w:asciiTheme="majorHAnsi" w:hAnsiTheme="majorHAnsi" w:cstheme="majorHAnsi"/>
          <w:lang w:val="en-GB"/>
        </w:rPr>
      </w:pPr>
    </w:p>
    <w:p w14:paraId="6A31EA17" w14:textId="77777777" w:rsidR="00C776ED" w:rsidRPr="00460550" w:rsidRDefault="00252DA0" w:rsidP="00E577AB">
      <w:pPr>
        <w:pStyle w:val="Heading1"/>
      </w:pPr>
      <w:bookmarkStart w:id="1" w:name="_Toc228267515"/>
      <w:r w:rsidRPr="00460550">
        <w:t>2. Identification of Modern Cyber Threats</w:t>
      </w:r>
      <w:bookmarkEnd w:id="1"/>
    </w:p>
    <w:p w14:paraId="07820C54" w14:textId="77777777" w:rsidR="00540823" w:rsidRDefault="00540823" w:rsidP="00540823">
      <w:pPr>
        <w:rPr>
          <w:rFonts w:asciiTheme="majorHAnsi" w:hAnsiTheme="majorHAnsi" w:cstheme="majorHAnsi"/>
          <w:lang w:val="en-GB"/>
        </w:rPr>
      </w:pPr>
      <w:r w:rsidRPr="00540823">
        <w:rPr>
          <w:rFonts w:asciiTheme="majorHAnsi" w:hAnsiTheme="majorHAnsi" w:cstheme="majorHAnsi"/>
        </w:rPr>
        <w:t>Modern cyber threats facing VTAM can be </w:t>
      </w:r>
      <w:proofErr w:type="spellStart"/>
      <w:r w:rsidRPr="00540823">
        <w:rPr>
          <w:rFonts w:asciiTheme="majorHAnsi" w:hAnsiTheme="majorHAnsi" w:cstheme="majorHAnsi"/>
        </w:rPr>
        <w:t>categorised</w:t>
      </w:r>
      <w:proofErr w:type="spellEnd"/>
      <w:r w:rsidRPr="00540823">
        <w:rPr>
          <w:rFonts w:asciiTheme="majorHAnsi" w:hAnsiTheme="majorHAnsi" w:cstheme="majorHAnsi"/>
        </w:rPr>
        <w:t> into external and internal threats, both of which have been amplified by cloud adoption and remote working practices. Ransomware</w:t>
      </w:r>
      <w:r w:rsidRPr="00540823">
        <w:rPr>
          <w:rFonts w:asciiTheme="majorHAnsi" w:hAnsiTheme="majorHAnsi" w:cstheme="majorHAnsi"/>
        </w:rPr>
        <w:noBreakHyphen/>
        <w:t>as</w:t>
      </w:r>
      <w:r w:rsidRPr="00540823">
        <w:rPr>
          <w:rFonts w:asciiTheme="majorHAnsi" w:hAnsiTheme="majorHAnsi" w:cstheme="majorHAnsi"/>
        </w:rPr>
        <w:noBreakHyphen/>
        <w:t>a</w:t>
      </w:r>
      <w:r w:rsidRPr="00540823">
        <w:rPr>
          <w:rFonts w:asciiTheme="majorHAnsi" w:hAnsiTheme="majorHAnsi" w:cstheme="majorHAnsi"/>
        </w:rPr>
        <w:noBreakHyphen/>
        <w:t>Service (RaaS) represents one of the most significant external threats to the financial sector. RaaS platforms enable affiliates to deploy sophisticated ransomware using commercial toolkits, resulting in increased attack frequency and severity. ENISA identifies ransomware as a dominant threat within the financial sector, often involving double or triple extortion through data encryption, data theft, and reputational pressure.</w:t>
      </w:r>
      <w:r w:rsidRPr="00540823">
        <w:rPr>
          <w:rFonts w:asciiTheme="majorHAnsi" w:hAnsiTheme="majorHAnsi" w:cstheme="majorHAnsi"/>
          <w:lang w:val="en-GB"/>
        </w:rPr>
        <w:t> </w:t>
      </w:r>
    </w:p>
    <w:p w14:paraId="0470FCE0" w14:textId="5CE39409" w:rsidR="002F41C8" w:rsidRPr="00540823" w:rsidRDefault="002F41C8" w:rsidP="00540823">
      <w:pPr>
        <w:spacing w:after="200" w:line="276" w:lineRule="auto"/>
        <w:rPr>
          <w:rFonts w:asciiTheme="majorHAnsi" w:hAnsiTheme="majorHAnsi" w:cstheme="majorHAnsi"/>
          <w:lang w:val="en-GB"/>
        </w:rPr>
      </w:pPr>
      <w:r>
        <w:rPr>
          <w:noProof/>
        </w:rPr>
        <w:drawing>
          <wp:inline distT="0" distB="0" distL="0" distR="0" wp14:anchorId="450DFA14" wp14:editId="535261BD">
            <wp:extent cx="3802380" cy="1990528"/>
            <wp:effectExtent l="0" t="0" r="7620" b="0"/>
            <wp:docPr id="577422164" name="Picture 3" descr="What You Need to Know About the Cyber Threat Landscape in 2023 | Flash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You Need to Know About the Cyber Threat Landscape in 2023 | Flashpoi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9241" cy="1994120"/>
                    </a:xfrm>
                    <a:prstGeom prst="rect">
                      <a:avLst/>
                    </a:prstGeom>
                    <a:noFill/>
                    <a:ln>
                      <a:noFill/>
                    </a:ln>
                  </pic:spPr>
                </pic:pic>
              </a:graphicData>
            </a:graphic>
          </wp:inline>
        </w:drawing>
      </w:r>
    </w:p>
    <w:p w14:paraId="231F9AD4" w14:textId="77777777" w:rsidR="00540823" w:rsidRPr="00540823" w:rsidRDefault="00540823" w:rsidP="00540823">
      <w:pPr>
        <w:spacing w:after="200" w:line="276" w:lineRule="auto"/>
        <w:rPr>
          <w:rFonts w:asciiTheme="majorHAnsi" w:hAnsiTheme="majorHAnsi" w:cstheme="majorHAnsi"/>
          <w:lang w:val="en-GB"/>
        </w:rPr>
      </w:pPr>
      <w:r w:rsidRPr="00540823">
        <w:rPr>
          <w:rFonts w:asciiTheme="majorHAnsi" w:hAnsiTheme="majorHAnsi" w:cstheme="majorHAnsi"/>
          <w:lang w:val="en-GB"/>
        </w:rPr>
        <w:t> </w:t>
      </w:r>
    </w:p>
    <w:p w14:paraId="0E838638" w14:textId="77777777" w:rsidR="00540823" w:rsidRPr="00540823" w:rsidRDefault="00540823" w:rsidP="00540823">
      <w:pPr>
        <w:spacing w:after="200" w:line="276" w:lineRule="auto"/>
        <w:rPr>
          <w:rFonts w:asciiTheme="majorHAnsi" w:hAnsiTheme="majorHAnsi" w:cstheme="majorHAnsi"/>
          <w:lang w:val="en-GB"/>
        </w:rPr>
      </w:pPr>
      <w:r w:rsidRPr="00540823">
        <w:rPr>
          <w:rFonts w:asciiTheme="majorHAnsi" w:hAnsiTheme="majorHAnsi" w:cstheme="majorHAnsi"/>
        </w:rPr>
        <w:t>AI</w:t>
      </w:r>
      <w:r w:rsidRPr="00540823">
        <w:rPr>
          <w:rFonts w:asciiTheme="majorHAnsi" w:hAnsiTheme="majorHAnsi" w:cstheme="majorHAnsi"/>
        </w:rPr>
        <w:noBreakHyphen/>
        <w:t>powered social engineering attacks, including phishing, smishing, and vishing, are increasingly successful in bypassing traditional technical controls. Threat actors employ generative artificial intelligence to craft highly </w:t>
      </w:r>
      <w:proofErr w:type="spellStart"/>
      <w:r w:rsidRPr="00540823">
        <w:rPr>
          <w:rFonts w:asciiTheme="majorHAnsi" w:hAnsiTheme="majorHAnsi" w:cstheme="majorHAnsi"/>
        </w:rPr>
        <w:t>personalised</w:t>
      </w:r>
      <w:proofErr w:type="spellEnd"/>
      <w:r w:rsidRPr="00540823">
        <w:rPr>
          <w:rFonts w:asciiTheme="majorHAnsi" w:hAnsiTheme="majorHAnsi" w:cstheme="majorHAnsi"/>
        </w:rPr>
        <w:t> messages and </w:t>
      </w:r>
      <w:proofErr w:type="gramStart"/>
      <w:r w:rsidRPr="00540823">
        <w:rPr>
          <w:rFonts w:asciiTheme="majorHAnsi" w:hAnsiTheme="majorHAnsi" w:cstheme="majorHAnsi"/>
        </w:rPr>
        <w:t>deepfake</w:t>
      </w:r>
      <w:proofErr w:type="gramEnd"/>
      <w:r w:rsidRPr="00540823">
        <w:rPr>
          <w:rFonts w:asciiTheme="majorHAnsi" w:hAnsiTheme="majorHAnsi" w:cstheme="majorHAnsi"/>
        </w:rPr>
        <w:t> voice calls that impersonate trusted executives or IT support staff. These attacks exploit human trust and time pressure, making them difficult to detect through technical controls alone.</w:t>
      </w:r>
      <w:r w:rsidRPr="00540823">
        <w:rPr>
          <w:rFonts w:asciiTheme="majorHAnsi" w:hAnsiTheme="majorHAnsi" w:cstheme="majorHAnsi"/>
          <w:lang w:val="en-GB"/>
        </w:rPr>
        <w:t> </w:t>
      </w:r>
    </w:p>
    <w:p w14:paraId="66C0C598" w14:textId="77777777" w:rsidR="00540823" w:rsidRPr="00540823" w:rsidRDefault="00540823" w:rsidP="00540823">
      <w:pPr>
        <w:spacing w:after="200" w:line="276" w:lineRule="auto"/>
        <w:rPr>
          <w:rFonts w:asciiTheme="majorHAnsi" w:hAnsiTheme="majorHAnsi" w:cstheme="majorHAnsi"/>
          <w:lang w:val="en-GB"/>
        </w:rPr>
      </w:pPr>
      <w:r w:rsidRPr="00540823">
        <w:rPr>
          <w:rFonts w:asciiTheme="majorHAnsi" w:hAnsiTheme="majorHAnsi" w:cstheme="majorHAnsi"/>
          <w:lang w:val="en-GB"/>
        </w:rPr>
        <w:t> </w:t>
      </w:r>
    </w:p>
    <w:p w14:paraId="0C693B5A" w14:textId="77777777" w:rsidR="00540823" w:rsidRPr="00540823" w:rsidRDefault="00540823" w:rsidP="00540823">
      <w:pPr>
        <w:spacing w:after="200" w:line="276" w:lineRule="auto"/>
        <w:rPr>
          <w:rFonts w:asciiTheme="majorHAnsi" w:hAnsiTheme="majorHAnsi" w:cstheme="majorHAnsi"/>
          <w:lang w:val="en-GB"/>
        </w:rPr>
      </w:pPr>
      <w:r w:rsidRPr="00540823">
        <w:rPr>
          <w:rFonts w:asciiTheme="majorHAnsi" w:hAnsiTheme="majorHAnsi" w:cstheme="majorHAnsi"/>
        </w:rPr>
        <w:t>Supply chain compromises present another major risk. High</w:t>
      </w:r>
      <w:r w:rsidRPr="00540823">
        <w:rPr>
          <w:rFonts w:asciiTheme="majorHAnsi" w:hAnsiTheme="majorHAnsi" w:cstheme="majorHAnsi"/>
        </w:rPr>
        <w:noBreakHyphen/>
        <w:t>profile incidents such as the </w:t>
      </w:r>
      <w:proofErr w:type="spellStart"/>
      <w:r w:rsidRPr="00540823">
        <w:rPr>
          <w:rFonts w:asciiTheme="majorHAnsi" w:hAnsiTheme="majorHAnsi" w:cstheme="majorHAnsi"/>
        </w:rPr>
        <w:t>MOVEit</w:t>
      </w:r>
      <w:proofErr w:type="spellEnd"/>
      <w:r w:rsidRPr="00540823">
        <w:rPr>
          <w:rFonts w:asciiTheme="majorHAnsi" w:hAnsiTheme="majorHAnsi" w:cstheme="majorHAnsi"/>
        </w:rPr>
        <w:t> managed file transfer breach demonstrate how vulnerabilities in trusted third</w:t>
      </w:r>
      <w:r w:rsidRPr="00540823">
        <w:rPr>
          <w:rFonts w:asciiTheme="majorHAnsi" w:hAnsiTheme="majorHAnsi" w:cstheme="majorHAnsi"/>
        </w:rPr>
        <w:noBreakHyphen/>
        <w:t>party software can lead to large</w:t>
      </w:r>
      <w:r w:rsidRPr="00540823">
        <w:rPr>
          <w:rFonts w:asciiTheme="majorHAnsi" w:hAnsiTheme="majorHAnsi" w:cstheme="majorHAnsi"/>
        </w:rPr>
        <w:noBreakHyphen/>
        <w:t>scale data exposure affecting thousands of </w:t>
      </w:r>
      <w:proofErr w:type="spellStart"/>
      <w:r w:rsidRPr="00540823">
        <w:rPr>
          <w:rFonts w:asciiTheme="majorHAnsi" w:hAnsiTheme="majorHAnsi" w:cstheme="majorHAnsi"/>
        </w:rPr>
        <w:t>organisations</w:t>
      </w:r>
      <w:proofErr w:type="spellEnd"/>
      <w:r w:rsidRPr="00540823">
        <w:rPr>
          <w:rFonts w:asciiTheme="majorHAnsi" w:hAnsiTheme="majorHAnsi" w:cstheme="majorHAnsi"/>
        </w:rPr>
        <w:t> simultaneously. For financial institutions, these attacks introduce regulatory and reputational risks even when internal security controls are robust.</w:t>
      </w:r>
      <w:r w:rsidRPr="00540823">
        <w:rPr>
          <w:rFonts w:asciiTheme="majorHAnsi" w:hAnsiTheme="majorHAnsi" w:cstheme="majorHAnsi"/>
          <w:lang w:val="en-GB"/>
        </w:rPr>
        <w:t> </w:t>
      </w:r>
    </w:p>
    <w:p w14:paraId="3C16AB16" w14:textId="77777777" w:rsidR="00540823" w:rsidRPr="00540823" w:rsidRDefault="00540823" w:rsidP="00540823">
      <w:pPr>
        <w:spacing w:after="200" w:line="276" w:lineRule="auto"/>
        <w:rPr>
          <w:rFonts w:asciiTheme="majorHAnsi" w:hAnsiTheme="majorHAnsi" w:cstheme="majorHAnsi"/>
          <w:lang w:val="en-GB"/>
        </w:rPr>
      </w:pPr>
      <w:r w:rsidRPr="00540823">
        <w:rPr>
          <w:rFonts w:asciiTheme="majorHAnsi" w:hAnsiTheme="majorHAnsi" w:cstheme="majorHAnsi"/>
          <w:lang w:val="en-GB"/>
        </w:rPr>
        <w:lastRenderedPageBreak/>
        <w:t> </w:t>
      </w:r>
    </w:p>
    <w:p w14:paraId="4CAE3818" w14:textId="77777777" w:rsidR="00540823" w:rsidRPr="00540823" w:rsidRDefault="00540823" w:rsidP="00540823">
      <w:pPr>
        <w:spacing w:after="200" w:line="276" w:lineRule="auto"/>
        <w:rPr>
          <w:rFonts w:asciiTheme="majorHAnsi" w:hAnsiTheme="majorHAnsi" w:cstheme="majorHAnsi"/>
          <w:lang w:val="en-GB"/>
        </w:rPr>
      </w:pPr>
      <w:r w:rsidRPr="00540823">
        <w:rPr>
          <w:rFonts w:asciiTheme="majorHAnsi" w:hAnsiTheme="majorHAnsi" w:cstheme="majorHAnsi"/>
        </w:rPr>
        <w:t>Internal threats have also increased with hybrid working. Insider threats may be malicious or accidental and are often enabled by excessive access privileges, poor identity governance, or compromised credentials. In cloud environments, misconfigurations such as publicly exposed storage, weak application programming interface permissions, and lack of monitoring remain leading causes of data breaches in the financial services sector.</w:t>
      </w:r>
    </w:p>
    <w:p w14:paraId="2011D44A" w14:textId="77777777" w:rsidR="00C776ED" w:rsidRPr="00540823" w:rsidRDefault="00C776ED">
      <w:pPr>
        <w:rPr>
          <w:rFonts w:asciiTheme="majorHAnsi" w:hAnsiTheme="majorHAnsi" w:cstheme="majorHAnsi"/>
          <w:lang w:val="en-GB"/>
        </w:rPr>
      </w:pPr>
    </w:p>
    <w:p w14:paraId="6709EA88" w14:textId="3107496C" w:rsidR="00C776ED" w:rsidRDefault="00B27896" w:rsidP="00E577AB">
      <w:pPr>
        <w:pStyle w:val="Heading1"/>
      </w:pPr>
      <w:bookmarkStart w:id="2" w:name="_Toc228267516"/>
      <w:r>
        <w:rPr>
          <w:noProof/>
        </w:rPr>
        <w:drawing>
          <wp:anchor distT="0" distB="0" distL="114300" distR="114300" simplePos="0" relativeHeight="251658240" behindDoc="1" locked="0" layoutInCell="1" allowOverlap="1" wp14:anchorId="7CFDC5C0" wp14:editId="1764E4FD">
            <wp:simplePos x="0" y="0"/>
            <wp:positionH relativeFrom="column">
              <wp:posOffset>853440</wp:posOffset>
            </wp:positionH>
            <wp:positionV relativeFrom="paragraph">
              <wp:posOffset>711200</wp:posOffset>
            </wp:positionV>
            <wp:extent cx="3775710" cy="3543300"/>
            <wp:effectExtent l="0" t="0" r="0" b="0"/>
            <wp:wrapTopAndBottom/>
            <wp:docPr id="1949884495" name="Picture 4" descr="NIST CSF vs. ISO 27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IST CSF vs. ISO 2700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5710" cy="3543300"/>
                    </a:xfrm>
                    <a:prstGeom prst="rect">
                      <a:avLst/>
                    </a:prstGeom>
                    <a:noFill/>
                    <a:ln>
                      <a:noFill/>
                    </a:ln>
                  </pic:spPr>
                </pic:pic>
              </a:graphicData>
            </a:graphic>
          </wp:anchor>
        </w:drawing>
      </w:r>
      <w:r w:rsidR="00252DA0" w:rsidRPr="00460550">
        <w:t>3. Zero Trust Security Policies</w:t>
      </w:r>
      <w:bookmarkEnd w:id="2"/>
    </w:p>
    <w:p w14:paraId="58D88570" w14:textId="77777777" w:rsidR="00B27896" w:rsidRDefault="00B27896" w:rsidP="00B27896"/>
    <w:p w14:paraId="32E8AACB" w14:textId="36CEA7C7" w:rsidR="00B27896" w:rsidRPr="00B27896" w:rsidRDefault="00B27896" w:rsidP="00B27896"/>
    <w:p w14:paraId="080020BE" w14:textId="77777777" w:rsidR="00540823" w:rsidRPr="00540823" w:rsidRDefault="00540823" w:rsidP="00540823">
      <w:pPr>
        <w:spacing w:after="200" w:line="276" w:lineRule="auto"/>
        <w:rPr>
          <w:rFonts w:asciiTheme="majorHAnsi" w:hAnsiTheme="majorHAnsi" w:cstheme="majorHAnsi"/>
          <w:lang w:val="en-GB"/>
        </w:rPr>
      </w:pPr>
      <w:r w:rsidRPr="00540823">
        <w:rPr>
          <w:rFonts w:asciiTheme="majorHAnsi" w:hAnsiTheme="majorHAnsi" w:cstheme="majorHAnsi"/>
        </w:rPr>
        <w:t>Zero Trust is defined by NIST SP 800</w:t>
      </w:r>
      <w:r w:rsidRPr="00540823">
        <w:rPr>
          <w:rFonts w:asciiTheme="majorHAnsi" w:hAnsiTheme="majorHAnsi" w:cstheme="majorHAnsi"/>
        </w:rPr>
        <w:noBreakHyphen/>
        <w:t>207 as a cyber security model where no user, device, or application is trusted by default, regardless of network location. Every access request must be explicitly authenticated, </w:t>
      </w:r>
      <w:proofErr w:type="spellStart"/>
      <w:r w:rsidRPr="00540823">
        <w:rPr>
          <w:rFonts w:asciiTheme="majorHAnsi" w:hAnsiTheme="majorHAnsi" w:cstheme="majorHAnsi"/>
        </w:rPr>
        <w:t>authorised</w:t>
      </w:r>
      <w:proofErr w:type="spellEnd"/>
      <w:r w:rsidRPr="00540823">
        <w:rPr>
          <w:rFonts w:asciiTheme="majorHAnsi" w:hAnsiTheme="majorHAnsi" w:cstheme="majorHAnsi"/>
        </w:rPr>
        <w:t>, and continuously evaluated throughout the session. Zero Trust shifts the security focus from defending the perimeter to protecting individual resources.</w:t>
      </w:r>
      <w:r w:rsidRPr="00540823">
        <w:rPr>
          <w:rFonts w:asciiTheme="majorHAnsi" w:hAnsiTheme="majorHAnsi" w:cstheme="majorHAnsi"/>
          <w:lang w:val="en-GB"/>
        </w:rPr>
        <w:t> </w:t>
      </w:r>
    </w:p>
    <w:p w14:paraId="07F4CB61" w14:textId="77777777" w:rsidR="00540823" w:rsidRPr="00540823" w:rsidRDefault="00540823" w:rsidP="00540823">
      <w:pPr>
        <w:spacing w:after="200" w:line="276" w:lineRule="auto"/>
        <w:rPr>
          <w:rFonts w:asciiTheme="majorHAnsi" w:hAnsiTheme="majorHAnsi" w:cstheme="majorHAnsi"/>
          <w:lang w:val="en-GB"/>
        </w:rPr>
      </w:pPr>
      <w:r w:rsidRPr="00540823">
        <w:rPr>
          <w:rFonts w:asciiTheme="majorHAnsi" w:hAnsiTheme="majorHAnsi" w:cstheme="majorHAnsi"/>
          <w:lang w:val="en-GB"/>
        </w:rPr>
        <w:t> </w:t>
      </w:r>
    </w:p>
    <w:p w14:paraId="552AFE1C" w14:textId="77777777" w:rsidR="00540823" w:rsidRPr="00540823" w:rsidRDefault="00540823" w:rsidP="00540823">
      <w:pPr>
        <w:spacing w:after="200" w:line="276" w:lineRule="auto"/>
        <w:rPr>
          <w:rFonts w:asciiTheme="majorHAnsi" w:hAnsiTheme="majorHAnsi" w:cstheme="majorHAnsi"/>
          <w:lang w:val="en-GB"/>
        </w:rPr>
      </w:pPr>
      <w:r w:rsidRPr="00540823">
        <w:rPr>
          <w:rFonts w:asciiTheme="majorHAnsi" w:hAnsiTheme="majorHAnsi" w:cstheme="majorHAnsi"/>
        </w:rPr>
        <w:lastRenderedPageBreak/>
        <w:t>To support this approach, VTAM will implement a suite of Zero Trust</w:t>
      </w:r>
      <w:r w:rsidRPr="00540823">
        <w:rPr>
          <w:rFonts w:asciiTheme="majorHAnsi" w:hAnsiTheme="majorHAnsi" w:cstheme="majorHAnsi"/>
        </w:rPr>
        <w:noBreakHyphen/>
        <w:t>aligned security policies. An Identity and Access Management policy will enforce least</w:t>
      </w:r>
      <w:r w:rsidRPr="00540823">
        <w:rPr>
          <w:rFonts w:asciiTheme="majorHAnsi" w:hAnsiTheme="majorHAnsi" w:cstheme="majorHAnsi"/>
        </w:rPr>
        <w:noBreakHyphen/>
        <w:t>privilege access, strong authentication, and mandatory multi</w:t>
      </w:r>
      <w:r w:rsidRPr="00540823">
        <w:rPr>
          <w:rFonts w:asciiTheme="majorHAnsi" w:hAnsiTheme="majorHAnsi" w:cstheme="majorHAnsi"/>
        </w:rPr>
        <w:noBreakHyphen/>
        <w:t>factor authentication for all users, including privileged administrators. A Device Security policy will require endpoint posture validation, ensuring that devices meet security standards before access is granted.</w:t>
      </w:r>
      <w:r w:rsidRPr="00540823">
        <w:rPr>
          <w:rFonts w:asciiTheme="majorHAnsi" w:hAnsiTheme="majorHAnsi" w:cstheme="majorHAnsi"/>
          <w:lang w:val="en-GB"/>
        </w:rPr>
        <w:t> </w:t>
      </w:r>
    </w:p>
    <w:p w14:paraId="6D636903" w14:textId="77777777" w:rsidR="00540823" w:rsidRPr="00540823" w:rsidRDefault="00540823" w:rsidP="00540823">
      <w:pPr>
        <w:spacing w:after="200" w:line="276" w:lineRule="auto"/>
        <w:rPr>
          <w:rFonts w:asciiTheme="majorHAnsi" w:hAnsiTheme="majorHAnsi" w:cstheme="majorHAnsi"/>
          <w:lang w:val="en-GB"/>
        </w:rPr>
      </w:pPr>
      <w:r w:rsidRPr="00540823">
        <w:rPr>
          <w:rFonts w:asciiTheme="majorHAnsi" w:hAnsiTheme="majorHAnsi" w:cstheme="majorHAnsi"/>
          <w:lang w:val="en-GB"/>
        </w:rPr>
        <w:t> </w:t>
      </w:r>
    </w:p>
    <w:p w14:paraId="19C08710" w14:textId="77777777" w:rsidR="00540823" w:rsidRPr="00540823" w:rsidRDefault="00540823" w:rsidP="00540823">
      <w:pPr>
        <w:spacing w:after="200" w:line="276" w:lineRule="auto"/>
        <w:rPr>
          <w:rFonts w:asciiTheme="majorHAnsi" w:hAnsiTheme="majorHAnsi" w:cstheme="majorHAnsi"/>
          <w:lang w:val="en-GB"/>
        </w:rPr>
      </w:pPr>
      <w:r w:rsidRPr="00540823">
        <w:rPr>
          <w:rFonts w:asciiTheme="majorHAnsi" w:hAnsiTheme="majorHAnsi" w:cstheme="majorHAnsi"/>
        </w:rPr>
        <w:t>A Data Classification and Protection policy will define sensitivity levels and enforce encryption for data at rest and in transit. Logging and monitoring requirements will be embedded into all policies to support continuous verification. These controls align with the NIST CSF Protect function and ISO/IEC 27001 Annex A access and cryptographic controls.</w:t>
      </w:r>
      <w:r w:rsidRPr="00540823">
        <w:rPr>
          <w:rFonts w:asciiTheme="majorHAnsi" w:hAnsiTheme="majorHAnsi" w:cstheme="majorHAnsi"/>
          <w:lang w:val="en-GB"/>
        </w:rPr>
        <w:t> </w:t>
      </w:r>
    </w:p>
    <w:p w14:paraId="0A0A24BE" w14:textId="77777777" w:rsidR="00540823" w:rsidRPr="00540823" w:rsidRDefault="00540823" w:rsidP="00540823">
      <w:pPr>
        <w:spacing w:after="200" w:line="276" w:lineRule="auto"/>
        <w:rPr>
          <w:rFonts w:asciiTheme="majorHAnsi" w:hAnsiTheme="majorHAnsi" w:cstheme="majorHAnsi"/>
          <w:lang w:val="en-GB"/>
        </w:rPr>
      </w:pPr>
      <w:r w:rsidRPr="00540823">
        <w:rPr>
          <w:rFonts w:asciiTheme="majorHAnsi" w:hAnsiTheme="majorHAnsi" w:cstheme="majorHAnsi"/>
          <w:lang w:val="en-GB"/>
        </w:rPr>
        <w:t> </w:t>
      </w:r>
    </w:p>
    <w:p w14:paraId="42303BC7" w14:textId="77777777" w:rsidR="00540823" w:rsidRPr="00540823" w:rsidRDefault="00540823" w:rsidP="00540823">
      <w:pPr>
        <w:spacing w:after="200" w:line="276" w:lineRule="auto"/>
        <w:rPr>
          <w:rFonts w:asciiTheme="majorHAnsi" w:hAnsiTheme="majorHAnsi" w:cstheme="majorHAnsi"/>
          <w:lang w:val="en-GB"/>
        </w:rPr>
      </w:pPr>
      <w:r w:rsidRPr="00540823">
        <w:rPr>
          <w:rFonts w:asciiTheme="majorHAnsi" w:hAnsiTheme="majorHAnsi" w:cstheme="majorHAnsi"/>
        </w:rPr>
        <w:t>A Patch and Vulnerability Management policy will </w:t>
      </w:r>
      <w:proofErr w:type="spellStart"/>
      <w:r w:rsidRPr="00540823">
        <w:rPr>
          <w:rFonts w:asciiTheme="majorHAnsi" w:hAnsiTheme="majorHAnsi" w:cstheme="majorHAnsi"/>
        </w:rPr>
        <w:t>prioritise</w:t>
      </w:r>
      <w:proofErr w:type="spellEnd"/>
      <w:r w:rsidRPr="00540823">
        <w:rPr>
          <w:rFonts w:asciiTheme="majorHAnsi" w:hAnsiTheme="majorHAnsi" w:cstheme="majorHAnsi"/>
        </w:rPr>
        <w:t> remediation using the CISA Known Exploited Vulnerabilities (KEV) catalogue. This ensures that vulnerabilities actively exploited in real</w:t>
      </w:r>
      <w:r w:rsidRPr="00540823">
        <w:rPr>
          <w:rFonts w:asciiTheme="majorHAnsi" w:hAnsiTheme="majorHAnsi" w:cstheme="majorHAnsi"/>
        </w:rPr>
        <w:noBreakHyphen/>
        <w:t>world attacks are addressed before lower</w:t>
      </w:r>
      <w:r w:rsidRPr="00540823">
        <w:rPr>
          <w:rFonts w:asciiTheme="majorHAnsi" w:hAnsiTheme="majorHAnsi" w:cstheme="majorHAnsi"/>
        </w:rPr>
        <w:noBreakHyphen/>
        <w:t>risk issues. Third</w:t>
      </w:r>
      <w:r w:rsidRPr="00540823">
        <w:rPr>
          <w:rFonts w:asciiTheme="majorHAnsi" w:hAnsiTheme="majorHAnsi" w:cstheme="majorHAnsi"/>
        </w:rPr>
        <w:noBreakHyphen/>
        <w:t>party risk management policies will require continuous assurance of vendor security practices, contractual security requirements, and incident notification obligations.</w:t>
      </w:r>
      <w:r w:rsidRPr="00540823">
        <w:rPr>
          <w:rFonts w:asciiTheme="majorHAnsi" w:hAnsiTheme="majorHAnsi" w:cstheme="majorHAnsi"/>
          <w:lang w:val="en-GB"/>
        </w:rPr>
        <w:t> </w:t>
      </w:r>
    </w:p>
    <w:p w14:paraId="1EA2F68D" w14:textId="77777777" w:rsidR="00C776ED" w:rsidRDefault="00C776ED">
      <w:pPr>
        <w:rPr>
          <w:rFonts w:asciiTheme="majorHAnsi" w:hAnsiTheme="majorHAnsi" w:cstheme="majorHAnsi"/>
          <w:lang w:val="en-GB"/>
        </w:rPr>
      </w:pPr>
    </w:p>
    <w:p w14:paraId="625B148A" w14:textId="77777777" w:rsidR="001B3BFB" w:rsidRDefault="001B3BFB">
      <w:pPr>
        <w:rPr>
          <w:rFonts w:asciiTheme="majorHAnsi" w:hAnsiTheme="majorHAnsi" w:cstheme="majorHAnsi"/>
          <w:lang w:val="en-GB"/>
        </w:rPr>
      </w:pPr>
    </w:p>
    <w:p w14:paraId="57B03316" w14:textId="77777777" w:rsidR="001B3BFB" w:rsidRDefault="001B3BFB">
      <w:pPr>
        <w:rPr>
          <w:rFonts w:asciiTheme="majorHAnsi" w:hAnsiTheme="majorHAnsi" w:cstheme="majorHAnsi"/>
          <w:lang w:val="en-GB"/>
        </w:rPr>
      </w:pPr>
    </w:p>
    <w:p w14:paraId="73F475DB" w14:textId="77777777" w:rsidR="001B3BFB" w:rsidRDefault="001B3BFB">
      <w:pPr>
        <w:rPr>
          <w:rFonts w:asciiTheme="majorHAnsi" w:hAnsiTheme="majorHAnsi" w:cstheme="majorHAnsi"/>
          <w:lang w:val="en-GB"/>
        </w:rPr>
      </w:pPr>
    </w:p>
    <w:p w14:paraId="2002AE27" w14:textId="77777777" w:rsidR="001B3BFB" w:rsidRPr="00540823" w:rsidRDefault="001B3BFB">
      <w:pPr>
        <w:rPr>
          <w:rFonts w:asciiTheme="majorHAnsi" w:hAnsiTheme="majorHAnsi" w:cstheme="majorHAnsi"/>
          <w:lang w:val="en-GB"/>
        </w:rPr>
      </w:pPr>
    </w:p>
    <w:p w14:paraId="0E50C32B" w14:textId="5116859E" w:rsidR="001B3BFB" w:rsidRDefault="00252DA0" w:rsidP="009876C0">
      <w:pPr>
        <w:pStyle w:val="Heading1"/>
      </w:pPr>
      <w:bookmarkStart w:id="3" w:name="_Toc228267517"/>
      <w:r w:rsidRPr="00460550">
        <w:t>4. Technical Mitigation Measures</w:t>
      </w:r>
      <w:bookmarkEnd w:id="3"/>
    </w:p>
    <w:p w14:paraId="6C410B6E" w14:textId="77777777" w:rsidR="009876C0" w:rsidRPr="009876C0" w:rsidRDefault="009876C0" w:rsidP="009876C0"/>
    <w:p w14:paraId="0CA2365D" w14:textId="4D88A5E3" w:rsidR="001B3BFB" w:rsidRPr="00B27896" w:rsidRDefault="001B3BFB" w:rsidP="00B27896">
      <w:r>
        <w:rPr>
          <w:noProof/>
        </w:rPr>
        <w:lastRenderedPageBreak/>
        <w:drawing>
          <wp:inline distT="0" distB="0" distL="0" distR="0" wp14:anchorId="23BEC773" wp14:editId="7F53D112">
            <wp:extent cx="4480560" cy="3436620"/>
            <wp:effectExtent l="0" t="0" r="0" b="0"/>
            <wp:docPr id="2123081641" name="Picture 5" descr="Securing the Digital Frontier: Detecting &amp; Addressing Cyber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curing the Digital Frontier: Detecting &amp; Addressing Cyber Threats"/>
                    <pic:cNvPicPr>
                      <a:picLocks noChangeAspect="1" noChangeArrowheads="1"/>
                    </pic:cNvPicPr>
                  </pic:nvPicPr>
                  <pic:blipFill rotWithShape="1">
                    <a:blip r:embed="rId9">
                      <a:extLst>
                        <a:ext uri="{28A0092B-C50C-407E-A947-70E740481C1C}">
                          <a14:useLocalDpi xmlns:a14="http://schemas.microsoft.com/office/drawing/2010/main" val="0"/>
                        </a:ext>
                      </a:extLst>
                    </a:blip>
                    <a:srcRect l="8953" t="12213" r="10056" b="4959"/>
                    <a:stretch>
                      <a:fillRect/>
                    </a:stretch>
                  </pic:blipFill>
                  <pic:spPr bwMode="auto">
                    <a:xfrm>
                      <a:off x="0" y="0"/>
                      <a:ext cx="4480560" cy="3436620"/>
                    </a:xfrm>
                    <a:prstGeom prst="rect">
                      <a:avLst/>
                    </a:prstGeom>
                    <a:noFill/>
                    <a:ln>
                      <a:noFill/>
                    </a:ln>
                    <a:extLst>
                      <a:ext uri="{53640926-AAD7-44D8-BBD7-CCE9431645EC}">
                        <a14:shadowObscured xmlns:a14="http://schemas.microsoft.com/office/drawing/2010/main"/>
                      </a:ext>
                    </a:extLst>
                  </pic:spPr>
                </pic:pic>
              </a:graphicData>
            </a:graphic>
          </wp:inline>
        </w:drawing>
      </w:r>
    </w:p>
    <w:p w14:paraId="667D2C0A" w14:textId="77777777" w:rsidR="00C776ED" w:rsidRPr="00460550" w:rsidRDefault="00252DA0">
      <w:pPr>
        <w:rPr>
          <w:rFonts w:asciiTheme="majorHAnsi" w:hAnsiTheme="majorHAnsi" w:cstheme="majorHAnsi"/>
        </w:rPr>
      </w:pPr>
      <w:r w:rsidRPr="00460550">
        <w:rPr>
          <w:rFonts w:asciiTheme="majorHAnsi" w:hAnsiTheme="majorHAnsi" w:cstheme="majorHAnsi"/>
        </w:rPr>
        <w:t>Technical controls are essential to enforce Zero Trust principles across VTAM’s environment. Multi</w:t>
      </w:r>
      <w:r w:rsidRPr="00460550">
        <w:rPr>
          <w:rFonts w:ascii="Cambria Math" w:hAnsi="Cambria Math" w:cs="Cambria Math"/>
        </w:rPr>
        <w:t>‑</w:t>
      </w:r>
      <w:r w:rsidRPr="00460550">
        <w:rPr>
          <w:rFonts w:asciiTheme="majorHAnsi" w:hAnsiTheme="majorHAnsi" w:cstheme="majorHAnsi"/>
        </w:rPr>
        <w:t>Factor Authentication (MFA) will be enforced across remote access, cloud services, and privileged accounts to mitigate credential</w:t>
      </w:r>
      <w:r w:rsidRPr="00460550">
        <w:rPr>
          <w:rFonts w:ascii="Cambria Math" w:hAnsi="Cambria Math" w:cs="Cambria Math"/>
        </w:rPr>
        <w:t>‑</w:t>
      </w:r>
      <w:r w:rsidRPr="00460550">
        <w:rPr>
          <w:rFonts w:asciiTheme="majorHAnsi" w:hAnsiTheme="majorHAnsi" w:cstheme="majorHAnsi"/>
        </w:rPr>
        <w:t>based attacks. Privileged Access Management will eliminate standing administrative privileges and reduce the blast radius of compromise.</w:t>
      </w:r>
    </w:p>
    <w:p w14:paraId="6B0F5D43" w14:textId="77777777" w:rsidR="00C776ED" w:rsidRPr="00460550" w:rsidRDefault="00C776ED">
      <w:pPr>
        <w:rPr>
          <w:rFonts w:asciiTheme="majorHAnsi" w:hAnsiTheme="majorHAnsi" w:cstheme="majorHAnsi"/>
        </w:rPr>
      </w:pPr>
    </w:p>
    <w:p w14:paraId="4779C72E" w14:textId="77777777" w:rsidR="00C776ED" w:rsidRPr="00460550" w:rsidRDefault="00252DA0">
      <w:pPr>
        <w:rPr>
          <w:rFonts w:asciiTheme="majorHAnsi" w:hAnsiTheme="majorHAnsi" w:cstheme="majorHAnsi"/>
        </w:rPr>
      </w:pPr>
      <w:r w:rsidRPr="00460550">
        <w:rPr>
          <w:rFonts w:asciiTheme="majorHAnsi" w:hAnsiTheme="majorHAnsi" w:cstheme="majorHAnsi"/>
        </w:rPr>
        <w:t>Endpoint Detection and Response (EDR) technology will provide behavioural monitoring of endpoints to detect ransomware activity, privilege escalation, and lateral movement. Network segmentation and application</w:t>
      </w:r>
      <w:r w:rsidRPr="00460550">
        <w:rPr>
          <w:rFonts w:ascii="Cambria Math" w:hAnsi="Cambria Math" w:cs="Cambria Math"/>
        </w:rPr>
        <w:t>‑</w:t>
      </w:r>
      <w:r w:rsidRPr="00460550">
        <w:rPr>
          <w:rFonts w:asciiTheme="majorHAnsi" w:hAnsiTheme="majorHAnsi" w:cstheme="majorHAnsi"/>
        </w:rPr>
        <w:t>level access controls will limit attacker movement even if an endpoint is compromised.</w:t>
      </w:r>
    </w:p>
    <w:p w14:paraId="25DB02A9" w14:textId="77777777" w:rsidR="00C776ED" w:rsidRPr="00460550" w:rsidRDefault="00C776ED">
      <w:pPr>
        <w:rPr>
          <w:rFonts w:asciiTheme="majorHAnsi" w:hAnsiTheme="majorHAnsi" w:cstheme="majorHAnsi"/>
        </w:rPr>
      </w:pPr>
    </w:p>
    <w:p w14:paraId="5E01C3CA" w14:textId="77777777" w:rsidR="00C776ED" w:rsidRPr="00460550" w:rsidRDefault="00252DA0">
      <w:pPr>
        <w:rPr>
          <w:rFonts w:asciiTheme="majorHAnsi" w:hAnsiTheme="majorHAnsi" w:cstheme="majorHAnsi"/>
        </w:rPr>
      </w:pPr>
      <w:r w:rsidRPr="00460550">
        <w:rPr>
          <w:rFonts w:asciiTheme="majorHAnsi" w:hAnsiTheme="majorHAnsi" w:cstheme="majorHAnsi"/>
        </w:rPr>
        <w:t>A Security Information and Event Management (SIEM) platform will centralise logs and telemetry from endpoints, cloud platforms, network devices, and applications. This enables correlation of suspicious activity that would otherwise remain undetected. Security Orchestration, Automation and Response (SOAR) will automate containment actions such as disabling compromised accounts, isolating endpoints, and blocking malicious indicators.</w:t>
      </w:r>
    </w:p>
    <w:p w14:paraId="04C117A5" w14:textId="77777777" w:rsidR="00C776ED" w:rsidRPr="00460550" w:rsidRDefault="00C776ED">
      <w:pPr>
        <w:rPr>
          <w:rFonts w:asciiTheme="majorHAnsi" w:hAnsiTheme="majorHAnsi" w:cstheme="majorHAnsi"/>
        </w:rPr>
      </w:pPr>
    </w:p>
    <w:p w14:paraId="7EB4C0B2" w14:textId="77777777" w:rsidR="00C776ED" w:rsidRPr="00460550" w:rsidRDefault="00252DA0">
      <w:pPr>
        <w:rPr>
          <w:rFonts w:asciiTheme="majorHAnsi" w:hAnsiTheme="majorHAnsi" w:cstheme="majorHAnsi"/>
        </w:rPr>
      </w:pPr>
      <w:r w:rsidRPr="00460550">
        <w:rPr>
          <w:rFonts w:asciiTheme="majorHAnsi" w:hAnsiTheme="majorHAnsi" w:cstheme="majorHAnsi"/>
        </w:rPr>
        <w:t>Cloud Security Posture Management (CSPM) tools will continuously assess cloud configurations against best</w:t>
      </w:r>
      <w:r w:rsidRPr="00460550">
        <w:rPr>
          <w:rFonts w:ascii="Cambria Math" w:hAnsi="Cambria Math" w:cs="Cambria Math"/>
        </w:rPr>
        <w:t>‑</w:t>
      </w:r>
      <w:r w:rsidRPr="00460550">
        <w:rPr>
          <w:rFonts w:asciiTheme="majorHAnsi" w:hAnsiTheme="majorHAnsi" w:cstheme="majorHAnsi"/>
        </w:rPr>
        <w:t>practice baselines, reducing the risk of misconfiguration</w:t>
      </w:r>
      <w:r w:rsidRPr="00460550">
        <w:rPr>
          <w:rFonts w:ascii="Cambria Math" w:hAnsi="Cambria Math" w:cs="Cambria Math"/>
        </w:rPr>
        <w:t>‑</w:t>
      </w:r>
      <w:r w:rsidRPr="00460550">
        <w:rPr>
          <w:rFonts w:asciiTheme="majorHAnsi" w:hAnsiTheme="majorHAnsi" w:cstheme="majorHAnsi"/>
        </w:rPr>
        <w:t>based breaches. Immutable, offline backups will be maintained and regularly tested to ensure rapid recovery from ransomware without payment.</w:t>
      </w:r>
    </w:p>
    <w:p w14:paraId="77516FDC" w14:textId="77777777" w:rsidR="00C776ED" w:rsidRPr="00460550" w:rsidRDefault="00C776ED">
      <w:pPr>
        <w:rPr>
          <w:rFonts w:asciiTheme="majorHAnsi" w:hAnsiTheme="majorHAnsi" w:cstheme="majorHAnsi"/>
        </w:rPr>
      </w:pPr>
    </w:p>
    <w:p w14:paraId="0A3D4D3A" w14:textId="77777777" w:rsidR="00C776ED" w:rsidRDefault="00252DA0" w:rsidP="00E577AB">
      <w:pPr>
        <w:pStyle w:val="Heading1"/>
      </w:pPr>
      <w:bookmarkStart w:id="4" w:name="_Toc228267518"/>
      <w:r w:rsidRPr="00460550">
        <w:lastRenderedPageBreak/>
        <w:t>5. Proactive Monitoring and Incident Response</w:t>
      </w:r>
      <w:bookmarkEnd w:id="4"/>
    </w:p>
    <w:p w14:paraId="21619158" w14:textId="5F07982E" w:rsidR="001D33FE" w:rsidRDefault="00D90147" w:rsidP="001D33FE">
      <w:r>
        <w:rPr>
          <w:noProof/>
        </w:rPr>
        <w:drawing>
          <wp:inline distT="0" distB="0" distL="0" distR="0" wp14:anchorId="3E039888" wp14:editId="530766AD">
            <wp:extent cx="5486400" cy="2871470"/>
            <wp:effectExtent l="0" t="0" r="0" b="5080"/>
            <wp:docPr id="169959598" name="Picture 7" descr="SOAR Workflow: From Alert to Re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OAR Workflow: From Alert to Resolu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2871470"/>
                    </a:xfrm>
                    <a:prstGeom prst="rect">
                      <a:avLst/>
                    </a:prstGeom>
                    <a:noFill/>
                    <a:ln>
                      <a:noFill/>
                    </a:ln>
                  </pic:spPr>
                </pic:pic>
              </a:graphicData>
            </a:graphic>
          </wp:inline>
        </w:drawing>
      </w:r>
    </w:p>
    <w:p w14:paraId="7FA492ED" w14:textId="77777777" w:rsidR="00D90147" w:rsidRPr="001D33FE" w:rsidRDefault="00D90147" w:rsidP="001D33FE"/>
    <w:p w14:paraId="6CC858C0" w14:textId="77777777" w:rsidR="00C776ED" w:rsidRPr="00460550" w:rsidRDefault="00252DA0">
      <w:pPr>
        <w:rPr>
          <w:rFonts w:asciiTheme="majorHAnsi" w:hAnsiTheme="majorHAnsi" w:cstheme="majorHAnsi"/>
        </w:rPr>
      </w:pPr>
      <w:r w:rsidRPr="00460550">
        <w:rPr>
          <w:rFonts w:asciiTheme="majorHAnsi" w:hAnsiTheme="majorHAnsi" w:cstheme="majorHAnsi"/>
        </w:rPr>
        <w:t>VTAM will operate a continuous 24/7 monitoring capability using integrated SIEM and SOAR platforms. Security alerts will be triaged based on risk, context, and threat intelligence. Automated playbooks will handle common incidents, while complex events will be escalated to the security operations team.</w:t>
      </w:r>
    </w:p>
    <w:p w14:paraId="5D019DCE" w14:textId="77777777" w:rsidR="00C776ED" w:rsidRPr="00460550" w:rsidRDefault="00C776ED">
      <w:pPr>
        <w:rPr>
          <w:rFonts w:asciiTheme="majorHAnsi" w:hAnsiTheme="majorHAnsi" w:cstheme="majorHAnsi"/>
        </w:rPr>
      </w:pPr>
    </w:p>
    <w:p w14:paraId="220FE2F2" w14:textId="77777777" w:rsidR="00C776ED" w:rsidRPr="00460550" w:rsidRDefault="00252DA0">
      <w:pPr>
        <w:rPr>
          <w:rFonts w:asciiTheme="majorHAnsi" w:hAnsiTheme="majorHAnsi" w:cstheme="majorHAnsi"/>
        </w:rPr>
      </w:pPr>
      <w:r w:rsidRPr="00460550">
        <w:rPr>
          <w:rFonts w:asciiTheme="majorHAnsi" w:hAnsiTheme="majorHAnsi" w:cstheme="majorHAnsi"/>
        </w:rPr>
        <w:t>For ransomware incidents, response procedures will prioritise rapid isolation of affected systems, removal of attacker persistence, preservation of forensic evidence, and protection of backup assets. Regular incident response exercises and tabletop simulations will validate preparedness.</w:t>
      </w:r>
    </w:p>
    <w:p w14:paraId="56822219" w14:textId="77777777" w:rsidR="00C776ED" w:rsidRPr="00460550" w:rsidRDefault="00C776ED">
      <w:pPr>
        <w:rPr>
          <w:rFonts w:asciiTheme="majorHAnsi" w:hAnsiTheme="majorHAnsi" w:cstheme="majorHAnsi"/>
        </w:rPr>
      </w:pPr>
    </w:p>
    <w:p w14:paraId="5962FE29" w14:textId="77777777" w:rsidR="00C776ED" w:rsidRPr="00460550" w:rsidRDefault="00252DA0">
      <w:pPr>
        <w:rPr>
          <w:rFonts w:asciiTheme="majorHAnsi" w:hAnsiTheme="majorHAnsi" w:cstheme="majorHAnsi"/>
        </w:rPr>
      </w:pPr>
      <w:r w:rsidRPr="00460550">
        <w:rPr>
          <w:rFonts w:asciiTheme="majorHAnsi" w:hAnsiTheme="majorHAnsi" w:cstheme="majorHAnsi"/>
        </w:rPr>
        <w:t>This proactive approach supports the NIST CSF Detect, Respond, and Recover functions and significantly reduces mean</w:t>
      </w:r>
      <w:r w:rsidRPr="00460550">
        <w:rPr>
          <w:rFonts w:ascii="Cambria Math" w:hAnsi="Cambria Math" w:cs="Cambria Math"/>
        </w:rPr>
        <w:t>‑</w:t>
      </w:r>
      <w:r w:rsidRPr="00460550">
        <w:rPr>
          <w:rFonts w:asciiTheme="majorHAnsi" w:hAnsiTheme="majorHAnsi" w:cstheme="majorHAnsi"/>
        </w:rPr>
        <w:t>time</w:t>
      </w:r>
      <w:r w:rsidRPr="00460550">
        <w:rPr>
          <w:rFonts w:ascii="Cambria Math" w:hAnsi="Cambria Math" w:cs="Cambria Math"/>
        </w:rPr>
        <w:t>‑</w:t>
      </w:r>
      <w:r w:rsidRPr="00460550">
        <w:rPr>
          <w:rFonts w:asciiTheme="majorHAnsi" w:hAnsiTheme="majorHAnsi" w:cstheme="majorHAnsi"/>
        </w:rPr>
        <w:t>to</w:t>
      </w:r>
      <w:r w:rsidRPr="00460550">
        <w:rPr>
          <w:rFonts w:ascii="Cambria Math" w:hAnsi="Cambria Math" w:cs="Cambria Math"/>
        </w:rPr>
        <w:t>‑</w:t>
      </w:r>
      <w:r w:rsidRPr="00460550">
        <w:rPr>
          <w:rFonts w:asciiTheme="majorHAnsi" w:hAnsiTheme="majorHAnsi" w:cstheme="majorHAnsi"/>
        </w:rPr>
        <w:t>detect and mean</w:t>
      </w:r>
      <w:r w:rsidRPr="00460550">
        <w:rPr>
          <w:rFonts w:ascii="Cambria Math" w:hAnsi="Cambria Math" w:cs="Cambria Math"/>
        </w:rPr>
        <w:t>‑</w:t>
      </w:r>
      <w:r w:rsidRPr="00460550">
        <w:rPr>
          <w:rFonts w:asciiTheme="majorHAnsi" w:hAnsiTheme="majorHAnsi" w:cstheme="majorHAnsi"/>
        </w:rPr>
        <w:t>time</w:t>
      </w:r>
      <w:r w:rsidRPr="00460550">
        <w:rPr>
          <w:rFonts w:ascii="Cambria Math" w:hAnsi="Cambria Math" w:cs="Cambria Math"/>
        </w:rPr>
        <w:t>‑</w:t>
      </w:r>
      <w:r w:rsidRPr="00460550">
        <w:rPr>
          <w:rFonts w:asciiTheme="majorHAnsi" w:hAnsiTheme="majorHAnsi" w:cstheme="majorHAnsi"/>
        </w:rPr>
        <w:t>to</w:t>
      </w:r>
      <w:r w:rsidRPr="00460550">
        <w:rPr>
          <w:rFonts w:ascii="Cambria Math" w:hAnsi="Cambria Math" w:cs="Cambria Math"/>
        </w:rPr>
        <w:t>‑</w:t>
      </w:r>
      <w:r w:rsidRPr="00460550">
        <w:rPr>
          <w:rFonts w:asciiTheme="majorHAnsi" w:hAnsiTheme="majorHAnsi" w:cstheme="majorHAnsi"/>
        </w:rPr>
        <w:t>respond, limiting operational and financial impact.</w:t>
      </w:r>
    </w:p>
    <w:p w14:paraId="45BD4602" w14:textId="77777777" w:rsidR="00C776ED" w:rsidRPr="00460550" w:rsidRDefault="00C776ED">
      <w:pPr>
        <w:rPr>
          <w:rFonts w:asciiTheme="majorHAnsi" w:hAnsiTheme="majorHAnsi" w:cstheme="majorHAnsi"/>
        </w:rPr>
      </w:pPr>
    </w:p>
    <w:p w14:paraId="09338FC6" w14:textId="77777777" w:rsidR="00C776ED" w:rsidRDefault="00252DA0" w:rsidP="00E577AB">
      <w:pPr>
        <w:pStyle w:val="Heading1"/>
      </w:pPr>
      <w:bookmarkStart w:id="5" w:name="_Toc228267519"/>
      <w:r w:rsidRPr="00460550">
        <w:lastRenderedPageBreak/>
        <w:t>6. Continuous Training and Awareness</w:t>
      </w:r>
      <w:bookmarkEnd w:id="5"/>
    </w:p>
    <w:p w14:paraId="1F43E22C" w14:textId="365F85B7" w:rsidR="00145BF9" w:rsidRDefault="00145BF9" w:rsidP="00145BF9">
      <w:r>
        <w:rPr>
          <w:noProof/>
        </w:rPr>
        <w:drawing>
          <wp:inline distT="0" distB="0" distL="0" distR="0" wp14:anchorId="4FFABAF9" wp14:editId="313E698C">
            <wp:extent cx="5486400" cy="3657600"/>
            <wp:effectExtent l="0" t="0" r="0" b="0"/>
            <wp:docPr id="728145029" name="Picture 8" descr="CyberSecurity Awareness Training: Defend, Detect, Prevent | CyberPr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yberSecurity Awareness Training: Defend, Detect, Prevent | CyberPro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3657600"/>
                    </a:xfrm>
                    <a:prstGeom prst="rect">
                      <a:avLst/>
                    </a:prstGeom>
                    <a:noFill/>
                    <a:ln>
                      <a:noFill/>
                    </a:ln>
                  </pic:spPr>
                </pic:pic>
              </a:graphicData>
            </a:graphic>
          </wp:inline>
        </w:drawing>
      </w:r>
    </w:p>
    <w:p w14:paraId="15F91696" w14:textId="77777777" w:rsidR="00145BF9" w:rsidRPr="00145BF9" w:rsidRDefault="00145BF9" w:rsidP="00145BF9"/>
    <w:p w14:paraId="1A1F58A1" w14:textId="77777777" w:rsidR="00C776ED" w:rsidRPr="00460550" w:rsidRDefault="00252DA0">
      <w:pPr>
        <w:rPr>
          <w:rFonts w:asciiTheme="majorHAnsi" w:hAnsiTheme="majorHAnsi" w:cstheme="majorHAnsi"/>
        </w:rPr>
      </w:pPr>
      <w:r w:rsidRPr="00460550">
        <w:rPr>
          <w:rFonts w:asciiTheme="majorHAnsi" w:hAnsiTheme="majorHAnsi" w:cstheme="majorHAnsi"/>
        </w:rPr>
        <w:t>Human behaviour remains a critical security control. Traditional annual training is insufficient against modern social engineering threats. VTAM will implement a continuous security awareness programme featuring monthly phishing and vishing simulations, role</w:t>
      </w:r>
      <w:r w:rsidRPr="00460550">
        <w:rPr>
          <w:rFonts w:ascii="Cambria Math" w:hAnsi="Cambria Math" w:cs="Cambria Math"/>
        </w:rPr>
        <w:t>‑</w:t>
      </w:r>
      <w:r w:rsidRPr="00460550">
        <w:rPr>
          <w:rFonts w:asciiTheme="majorHAnsi" w:hAnsiTheme="majorHAnsi" w:cstheme="majorHAnsi"/>
        </w:rPr>
        <w:t>based training for executives and frontline staff, and targeted micro</w:t>
      </w:r>
      <w:r w:rsidRPr="00460550">
        <w:rPr>
          <w:rFonts w:ascii="Cambria Math" w:hAnsi="Cambria Math" w:cs="Cambria Math"/>
        </w:rPr>
        <w:t>‑</w:t>
      </w:r>
      <w:r w:rsidRPr="00460550">
        <w:rPr>
          <w:rFonts w:asciiTheme="majorHAnsi" w:hAnsiTheme="majorHAnsi" w:cstheme="majorHAnsi"/>
        </w:rPr>
        <w:t>learning following simulation failures.</w:t>
      </w:r>
    </w:p>
    <w:p w14:paraId="3F97C6B8" w14:textId="77777777" w:rsidR="00C776ED" w:rsidRPr="00460550" w:rsidRDefault="00C776ED">
      <w:pPr>
        <w:rPr>
          <w:rFonts w:asciiTheme="majorHAnsi" w:hAnsiTheme="majorHAnsi" w:cstheme="majorHAnsi"/>
        </w:rPr>
      </w:pPr>
    </w:p>
    <w:p w14:paraId="3CAF5D75" w14:textId="77777777" w:rsidR="00C776ED" w:rsidRPr="00460550" w:rsidRDefault="00252DA0">
      <w:pPr>
        <w:rPr>
          <w:rFonts w:asciiTheme="majorHAnsi" w:hAnsiTheme="majorHAnsi" w:cstheme="majorHAnsi"/>
        </w:rPr>
      </w:pPr>
      <w:r w:rsidRPr="00460550">
        <w:rPr>
          <w:rFonts w:asciiTheme="majorHAnsi" w:hAnsiTheme="majorHAnsi" w:cstheme="majorHAnsi"/>
        </w:rPr>
        <w:t>Gamified reporting mechanisms, positive reinforcement, and leadership participation will foster a culture where security is viewed as a shared responsibility rather than an IT obligation. ENISA identifies continuous training and simulation as among the most effective measures for reducing social engineering success rates.</w:t>
      </w:r>
    </w:p>
    <w:p w14:paraId="2EA11876" w14:textId="77777777" w:rsidR="00C776ED" w:rsidRPr="00460550" w:rsidRDefault="00C776ED">
      <w:pPr>
        <w:rPr>
          <w:rFonts w:asciiTheme="majorHAnsi" w:hAnsiTheme="majorHAnsi" w:cstheme="majorHAnsi"/>
        </w:rPr>
      </w:pPr>
    </w:p>
    <w:p w14:paraId="7534413A" w14:textId="77777777" w:rsidR="00C776ED" w:rsidRPr="00460550" w:rsidRDefault="00252DA0" w:rsidP="00E577AB">
      <w:pPr>
        <w:pStyle w:val="Heading1"/>
      </w:pPr>
      <w:bookmarkStart w:id="6" w:name="_Toc228267520"/>
      <w:r w:rsidRPr="00460550">
        <w:t>7. Business Impact and Strategic Value</w:t>
      </w:r>
      <w:bookmarkEnd w:id="6"/>
    </w:p>
    <w:p w14:paraId="70B75085" w14:textId="77777777" w:rsidR="00C776ED" w:rsidRPr="00460550" w:rsidRDefault="00252DA0">
      <w:pPr>
        <w:rPr>
          <w:rFonts w:asciiTheme="majorHAnsi" w:hAnsiTheme="majorHAnsi" w:cstheme="majorHAnsi"/>
        </w:rPr>
      </w:pPr>
      <w:r w:rsidRPr="00460550">
        <w:rPr>
          <w:rFonts w:asciiTheme="majorHAnsi" w:hAnsiTheme="majorHAnsi" w:cstheme="majorHAnsi"/>
        </w:rPr>
        <w:t>Cyber incidents directly affect VTAM’s financial performance, regulatory compliance, and client confidence. Implementing a Zero Trust framework reduces the likelihood and impact of breaches, improves operational resilience, and demonstrates robust governance to regulators, auditors, and investors. Cyber security investment should therefore be viewed as a strategic enabler rather than a cost centre.</w:t>
      </w:r>
    </w:p>
    <w:p w14:paraId="4398E14C" w14:textId="77777777" w:rsidR="00C776ED" w:rsidRPr="00460550" w:rsidRDefault="00C776ED">
      <w:pPr>
        <w:rPr>
          <w:rFonts w:asciiTheme="majorHAnsi" w:hAnsiTheme="majorHAnsi" w:cstheme="majorHAnsi"/>
        </w:rPr>
      </w:pPr>
    </w:p>
    <w:p w14:paraId="5B07F880" w14:textId="77777777" w:rsidR="00C776ED" w:rsidRPr="00460550" w:rsidRDefault="00252DA0" w:rsidP="00E577AB">
      <w:pPr>
        <w:pStyle w:val="Heading1"/>
      </w:pPr>
      <w:bookmarkStart w:id="7" w:name="_Toc228267521"/>
      <w:r w:rsidRPr="00460550">
        <w:lastRenderedPageBreak/>
        <w:t>8. Conclusion</w:t>
      </w:r>
      <w:bookmarkEnd w:id="7"/>
    </w:p>
    <w:p w14:paraId="5BD522CF" w14:textId="77777777" w:rsidR="00C776ED" w:rsidRPr="00460550" w:rsidRDefault="00252DA0">
      <w:pPr>
        <w:rPr>
          <w:rFonts w:asciiTheme="majorHAnsi" w:hAnsiTheme="majorHAnsi" w:cstheme="majorHAnsi"/>
        </w:rPr>
      </w:pPr>
      <w:r w:rsidRPr="00460550">
        <w:rPr>
          <w:rFonts w:asciiTheme="majorHAnsi" w:hAnsiTheme="majorHAnsi" w:cstheme="majorHAnsi"/>
        </w:rPr>
        <w:t>A Zero Trust security framework provides VTAM with a modern, resilient approach to cyber security that aligns with the realities of cloud adoption and hybrid work. By integrating policies, technical controls, proactive monitoring, and continuous training in line with NIST CSF, NIST SP 800</w:t>
      </w:r>
      <w:r w:rsidRPr="00460550">
        <w:rPr>
          <w:rFonts w:ascii="Cambria Math" w:hAnsi="Cambria Math" w:cs="Cambria Math"/>
        </w:rPr>
        <w:t>‑</w:t>
      </w:r>
      <w:r w:rsidRPr="00460550">
        <w:rPr>
          <w:rFonts w:asciiTheme="majorHAnsi" w:hAnsiTheme="majorHAnsi" w:cstheme="majorHAnsi"/>
        </w:rPr>
        <w:t>207, ISO/IEC 27001, and CISA guidance, VTAM can effectively mitigate contemporary cyber threats while supporting long</w:t>
      </w:r>
      <w:r w:rsidRPr="00460550">
        <w:rPr>
          <w:rFonts w:ascii="Cambria Math" w:hAnsi="Cambria Math" w:cs="Cambria Math"/>
        </w:rPr>
        <w:t>‑</w:t>
      </w:r>
      <w:r w:rsidRPr="00460550">
        <w:rPr>
          <w:rFonts w:asciiTheme="majorHAnsi" w:hAnsiTheme="majorHAnsi" w:cstheme="majorHAnsi"/>
        </w:rPr>
        <w:t>term business objectives and measurable organisational resilience across people processes technology governance assurance capabilities enterprise wide.</w:t>
      </w:r>
    </w:p>
    <w:p w14:paraId="1AA55703" w14:textId="77777777" w:rsidR="00C776ED" w:rsidRDefault="00C776ED">
      <w:pPr>
        <w:rPr>
          <w:rFonts w:asciiTheme="majorHAnsi" w:hAnsiTheme="majorHAnsi" w:cstheme="majorHAnsi"/>
        </w:rPr>
      </w:pPr>
    </w:p>
    <w:p w14:paraId="585AFAB1" w14:textId="77777777" w:rsidR="00E577AB" w:rsidRDefault="00E577AB">
      <w:pPr>
        <w:rPr>
          <w:rFonts w:asciiTheme="majorHAnsi" w:hAnsiTheme="majorHAnsi" w:cstheme="majorHAnsi"/>
        </w:rPr>
      </w:pPr>
    </w:p>
    <w:p w14:paraId="604D0480" w14:textId="77777777" w:rsidR="00E577AB" w:rsidRDefault="00E577AB">
      <w:pPr>
        <w:rPr>
          <w:rFonts w:asciiTheme="majorHAnsi" w:hAnsiTheme="majorHAnsi" w:cstheme="majorHAnsi"/>
        </w:rPr>
      </w:pPr>
    </w:p>
    <w:p w14:paraId="2BF1406D" w14:textId="77777777" w:rsidR="00E577AB" w:rsidRDefault="00E577AB">
      <w:pPr>
        <w:rPr>
          <w:rFonts w:asciiTheme="majorHAnsi" w:hAnsiTheme="majorHAnsi" w:cstheme="majorHAnsi"/>
        </w:rPr>
      </w:pPr>
    </w:p>
    <w:p w14:paraId="224F3C0C" w14:textId="77777777" w:rsidR="00E577AB" w:rsidRDefault="00E577AB">
      <w:pPr>
        <w:rPr>
          <w:rFonts w:asciiTheme="majorHAnsi" w:hAnsiTheme="majorHAnsi" w:cstheme="majorHAnsi"/>
        </w:rPr>
      </w:pPr>
    </w:p>
    <w:p w14:paraId="4E36CF97" w14:textId="77777777" w:rsidR="00E577AB" w:rsidRDefault="00E577AB">
      <w:pPr>
        <w:rPr>
          <w:rFonts w:asciiTheme="majorHAnsi" w:hAnsiTheme="majorHAnsi" w:cstheme="majorHAnsi"/>
        </w:rPr>
      </w:pPr>
    </w:p>
    <w:p w14:paraId="0AB20678" w14:textId="77777777" w:rsidR="00E577AB" w:rsidRDefault="00E577AB">
      <w:pPr>
        <w:rPr>
          <w:rFonts w:asciiTheme="majorHAnsi" w:hAnsiTheme="majorHAnsi" w:cstheme="majorHAnsi"/>
        </w:rPr>
      </w:pPr>
    </w:p>
    <w:p w14:paraId="5497085A" w14:textId="77777777" w:rsidR="00E577AB" w:rsidRPr="00460550" w:rsidRDefault="00E577AB">
      <w:pPr>
        <w:rPr>
          <w:rFonts w:asciiTheme="majorHAnsi" w:hAnsiTheme="majorHAnsi" w:cstheme="majorHAnsi"/>
        </w:rPr>
      </w:pPr>
    </w:p>
    <w:p w14:paraId="5407D293" w14:textId="7B78A3D4" w:rsidR="00C776ED" w:rsidRDefault="00D316A1" w:rsidP="00E577AB">
      <w:pPr>
        <w:pStyle w:val="Heading1"/>
      </w:pPr>
      <w:bookmarkStart w:id="8" w:name="_Toc228267522"/>
      <w:r>
        <w:t xml:space="preserve">9. </w:t>
      </w:r>
      <w:r w:rsidRPr="00460550">
        <w:t>References</w:t>
      </w:r>
      <w:bookmarkEnd w:id="8"/>
    </w:p>
    <w:p w14:paraId="19302640" w14:textId="77777777" w:rsidR="00E577AB" w:rsidRPr="00E577AB" w:rsidRDefault="00E577AB" w:rsidP="00E577AB"/>
    <w:p w14:paraId="4B262BFE" w14:textId="77777777" w:rsidR="00C776ED" w:rsidRPr="00460550" w:rsidRDefault="00252DA0">
      <w:pPr>
        <w:rPr>
          <w:rFonts w:asciiTheme="majorHAnsi" w:hAnsiTheme="majorHAnsi" w:cstheme="majorHAnsi"/>
        </w:rPr>
      </w:pPr>
      <w:r w:rsidRPr="00460550">
        <w:rPr>
          <w:rFonts w:asciiTheme="majorHAnsi" w:hAnsiTheme="majorHAnsi" w:cstheme="majorHAnsi"/>
        </w:rPr>
        <w:t>[1] ENISA, "Threat Landscape: Finance Sector," 2025.</w:t>
      </w:r>
    </w:p>
    <w:p w14:paraId="127279E8" w14:textId="77777777" w:rsidR="00C776ED" w:rsidRPr="00460550" w:rsidRDefault="00252DA0">
      <w:pPr>
        <w:rPr>
          <w:rFonts w:asciiTheme="majorHAnsi" w:hAnsiTheme="majorHAnsi" w:cstheme="majorHAnsi"/>
        </w:rPr>
      </w:pPr>
      <w:r w:rsidRPr="00460550">
        <w:rPr>
          <w:rFonts w:asciiTheme="majorHAnsi" w:hAnsiTheme="majorHAnsi" w:cstheme="majorHAnsi"/>
        </w:rPr>
        <w:t>[2] ENISA, "Rising Cyber Threats in Europe’s Financial Sector," 2024.</w:t>
      </w:r>
    </w:p>
    <w:p w14:paraId="4CBB6976" w14:textId="77777777" w:rsidR="00C776ED" w:rsidRPr="00460550" w:rsidRDefault="00252DA0">
      <w:pPr>
        <w:rPr>
          <w:rFonts w:asciiTheme="majorHAnsi" w:hAnsiTheme="majorHAnsi" w:cstheme="majorHAnsi"/>
        </w:rPr>
      </w:pPr>
      <w:r w:rsidRPr="00460550">
        <w:rPr>
          <w:rFonts w:asciiTheme="majorHAnsi" w:hAnsiTheme="majorHAnsi" w:cstheme="majorHAnsi"/>
        </w:rPr>
        <w:t>[3] M. Schaefer, "The MOVEit Data Breach: Understanding the Risks," University of Hawai’i, 2025.</w:t>
      </w:r>
    </w:p>
    <w:p w14:paraId="4CC9A5D7" w14:textId="77777777" w:rsidR="00C776ED" w:rsidRPr="00460550" w:rsidRDefault="00252DA0">
      <w:pPr>
        <w:rPr>
          <w:rFonts w:asciiTheme="majorHAnsi" w:hAnsiTheme="majorHAnsi" w:cstheme="majorHAnsi"/>
        </w:rPr>
      </w:pPr>
      <w:r w:rsidRPr="00460550">
        <w:rPr>
          <w:rFonts w:asciiTheme="majorHAnsi" w:hAnsiTheme="majorHAnsi" w:cstheme="majorHAnsi"/>
        </w:rPr>
        <w:t>[4] NIST, "SP 800</w:t>
      </w:r>
      <w:r w:rsidRPr="00460550">
        <w:rPr>
          <w:rFonts w:ascii="Cambria Math" w:hAnsi="Cambria Math" w:cs="Cambria Math"/>
        </w:rPr>
        <w:t>‑</w:t>
      </w:r>
      <w:r w:rsidRPr="00460550">
        <w:rPr>
          <w:rFonts w:asciiTheme="majorHAnsi" w:hAnsiTheme="majorHAnsi" w:cstheme="majorHAnsi"/>
        </w:rPr>
        <w:t>207: Zero Trust Architecture," 2020.</w:t>
      </w:r>
    </w:p>
    <w:p w14:paraId="6EEBF801" w14:textId="77777777" w:rsidR="00C776ED" w:rsidRPr="00460550" w:rsidRDefault="00252DA0">
      <w:pPr>
        <w:rPr>
          <w:rFonts w:asciiTheme="majorHAnsi" w:hAnsiTheme="majorHAnsi" w:cstheme="majorHAnsi"/>
        </w:rPr>
      </w:pPr>
      <w:r w:rsidRPr="00460550">
        <w:rPr>
          <w:rFonts w:asciiTheme="majorHAnsi" w:hAnsiTheme="majorHAnsi" w:cstheme="majorHAnsi"/>
        </w:rPr>
        <w:t>[5] CISA, "Known Exploited Vulnerabilities Catalog," 2026.</w:t>
      </w:r>
    </w:p>
    <w:p w14:paraId="6D962277" w14:textId="77777777" w:rsidR="00C776ED" w:rsidRPr="00460550" w:rsidRDefault="00252DA0">
      <w:pPr>
        <w:rPr>
          <w:rFonts w:asciiTheme="majorHAnsi" w:hAnsiTheme="majorHAnsi" w:cstheme="majorHAnsi"/>
        </w:rPr>
      </w:pPr>
      <w:r w:rsidRPr="00460550">
        <w:rPr>
          <w:rFonts w:asciiTheme="majorHAnsi" w:hAnsiTheme="majorHAnsi" w:cstheme="majorHAnsi"/>
        </w:rPr>
        <w:t>[6] NIST, "Cybersecurity Framework," 2024.</w:t>
      </w:r>
    </w:p>
    <w:p w14:paraId="33B522D9" w14:textId="77777777" w:rsidR="00C776ED" w:rsidRPr="00460550" w:rsidRDefault="00C776ED">
      <w:pPr>
        <w:rPr>
          <w:rFonts w:asciiTheme="majorHAnsi" w:hAnsiTheme="majorHAnsi" w:cstheme="majorHAnsi"/>
        </w:rPr>
      </w:pPr>
    </w:p>
    <w:sectPr w:rsidR="00C776ED" w:rsidRPr="00460550" w:rsidSect="003772F0">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29461747">
    <w:abstractNumId w:val="8"/>
  </w:num>
  <w:num w:numId="2" w16cid:durableId="1116288920">
    <w:abstractNumId w:val="6"/>
  </w:num>
  <w:num w:numId="3" w16cid:durableId="1667782333">
    <w:abstractNumId w:val="5"/>
  </w:num>
  <w:num w:numId="4" w16cid:durableId="1150438066">
    <w:abstractNumId w:val="4"/>
  </w:num>
  <w:num w:numId="5" w16cid:durableId="1277711436">
    <w:abstractNumId w:val="7"/>
  </w:num>
  <w:num w:numId="6" w16cid:durableId="1316838859">
    <w:abstractNumId w:val="3"/>
  </w:num>
  <w:num w:numId="7" w16cid:durableId="1422608325">
    <w:abstractNumId w:val="2"/>
  </w:num>
  <w:num w:numId="8" w16cid:durableId="243490893">
    <w:abstractNumId w:val="1"/>
  </w:num>
  <w:num w:numId="9" w16cid:durableId="276760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73E7"/>
    <w:rsid w:val="0006063C"/>
    <w:rsid w:val="00145BF9"/>
    <w:rsid w:val="0015074B"/>
    <w:rsid w:val="001B3BFB"/>
    <w:rsid w:val="001D33FE"/>
    <w:rsid w:val="00252DA0"/>
    <w:rsid w:val="0029639D"/>
    <w:rsid w:val="002F41C8"/>
    <w:rsid w:val="00312488"/>
    <w:rsid w:val="00326F90"/>
    <w:rsid w:val="00335EB9"/>
    <w:rsid w:val="003772F0"/>
    <w:rsid w:val="00457C49"/>
    <w:rsid w:val="00460550"/>
    <w:rsid w:val="004708FE"/>
    <w:rsid w:val="0052733F"/>
    <w:rsid w:val="00540823"/>
    <w:rsid w:val="00565BD9"/>
    <w:rsid w:val="00577EB9"/>
    <w:rsid w:val="008158FD"/>
    <w:rsid w:val="009876C0"/>
    <w:rsid w:val="0099116D"/>
    <w:rsid w:val="00AA1D8D"/>
    <w:rsid w:val="00B27896"/>
    <w:rsid w:val="00B47730"/>
    <w:rsid w:val="00C40DC0"/>
    <w:rsid w:val="00C776ED"/>
    <w:rsid w:val="00CB0664"/>
    <w:rsid w:val="00D316A1"/>
    <w:rsid w:val="00D90147"/>
    <w:rsid w:val="00DC26EC"/>
    <w:rsid w:val="00E577AB"/>
    <w:rsid w:val="00ED5AA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8FC14186-CAAA-467B-B1E5-4F63CAE9C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imes New Roman"/>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EB9"/>
    <w:rPr>
      <w:sz w:val="24"/>
      <w:szCs w:val="24"/>
    </w:rPr>
  </w:style>
  <w:style w:type="paragraph" w:styleId="Heading1">
    <w:name w:val="heading 1"/>
    <w:basedOn w:val="Normal"/>
    <w:next w:val="Normal"/>
    <w:link w:val="Heading1Char"/>
    <w:uiPriority w:val="9"/>
    <w:qFormat/>
    <w:rsid w:val="00577EB9"/>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577EB9"/>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577EB9"/>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577EB9"/>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577EB9"/>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577EB9"/>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577EB9"/>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577EB9"/>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577EB9"/>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pPr>
  </w:style>
  <w:style w:type="character" w:customStyle="1" w:styleId="FooterChar">
    <w:name w:val="Footer Char"/>
    <w:basedOn w:val="DefaultParagraphFont"/>
    <w:link w:val="Footer"/>
    <w:uiPriority w:val="99"/>
    <w:rsid w:val="00E618BF"/>
  </w:style>
  <w:style w:type="paragraph" w:styleId="NoSpacing">
    <w:name w:val="No Spacing"/>
    <w:basedOn w:val="Normal"/>
    <w:link w:val="NoSpacingChar"/>
    <w:uiPriority w:val="1"/>
    <w:qFormat/>
    <w:rsid w:val="00577EB9"/>
    <w:rPr>
      <w:szCs w:val="32"/>
    </w:rPr>
  </w:style>
  <w:style w:type="character" w:customStyle="1" w:styleId="Heading1Char">
    <w:name w:val="Heading 1 Char"/>
    <w:basedOn w:val="DefaultParagraphFont"/>
    <w:link w:val="Heading1"/>
    <w:uiPriority w:val="9"/>
    <w:rsid w:val="00577EB9"/>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577EB9"/>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577EB9"/>
    <w:rPr>
      <w:rFonts w:asciiTheme="majorHAnsi" w:eastAsiaTheme="majorEastAsia" w:hAnsiTheme="majorHAnsi" w:cstheme="majorBidi"/>
      <w:b/>
      <w:bCs/>
      <w:sz w:val="26"/>
      <w:szCs w:val="26"/>
    </w:rPr>
  </w:style>
  <w:style w:type="paragraph" w:styleId="Title">
    <w:name w:val="Title"/>
    <w:basedOn w:val="Normal"/>
    <w:next w:val="Normal"/>
    <w:link w:val="TitleChar"/>
    <w:uiPriority w:val="10"/>
    <w:qFormat/>
    <w:rsid w:val="00577EB9"/>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577EB9"/>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577EB9"/>
    <w:pPr>
      <w:spacing w:after="60"/>
      <w:jc w:val="center"/>
      <w:outlineLvl w:val="1"/>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577EB9"/>
    <w:rPr>
      <w:rFonts w:asciiTheme="majorHAnsi" w:eastAsiaTheme="majorEastAsia" w:hAnsiTheme="majorHAnsi" w:cstheme="majorBidi"/>
      <w:sz w:val="24"/>
      <w:szCs w:val="24"/>
    </w:rPr>
  </w:style>
  <w:style w:type="paragraph" w:styleId="ListParagraph">
    <w:name w:val="List Paragraph"/>
    <w:basedOn w:val="Normal"/>
    <w:uiPriority w:val="34"/>
    <w:qFormat/>
    <w:rsid w:val="00577EB9"/>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577EB9"/>
    <w:rPr>
      <w:i/>
    </w:rPr>
  </w:style>
  <w:style w:type="character" w:customStyle="1" w:styleId="QuoteChar">
    <w:name w:val="Quote Char"/>
    <w:basedOn w:val="DefaultParagraphFont"/>
    <w:link w:val="Quote"/>
    <w:uiPriority w:val="29"/>
    <w:rsid w:val="00577EB9"/>
    <w:rPr>
      <w:i/>
      <w:sz w:val="24"/>
      <w:szCs w:val="24"/>
    </w:rPr>
  </w:style>
  <w:style w:type="character" w:customStyle="1" w:styleId="Heading4Char">
    <w:name w:val="Heading 4 Char"/>
    <w:basedOn w:val="DefaultParagraphFont"/>
    <w:link w:val="Heading4"/>
    <w:uiPriority w:val="9"/>
    <w:semiHidden/>
    <w:rsid w:val="00577EB9"/>
    <w:rPr>
      <w:rFonts w:cstheme="majorBidi"/>
      <w:b/>
      <w:bCs/>
      <w:sz w:val="28"/>
      <w:szCs w:val="28"/>
    </w:rPr>
  </w:style>
  <w:style w:type="character" w:customStyle="1" w:styleId="Heading5Char">
    <w:name w:val="Heading 5 Char"/>
    <w:basedOn w:val="DefaultParagraphFont"/>
    <w:link w:val="Heading5"/>
    <w:uiPriority w:val="9"/>
    <w:semiHidden/>
    <w:rsid w:val="00577EB9"/>
    <w:rPr>
      <w:rFonts w:cstheme="majorBidi"/>
      <w:b/>
      <w:bCs/>
      <w:i/>
      <w:iCs/>
      <w:sz w:val="26"/>
      <w:szCs w:val="26"/>
    </w:rPr>
  </w:style>
  <w:style w:type="character" w:customStyle="1" w:styleId="Heading6Char">
    <w:name w:val="Heading 6 Char"/>
    <w:basedOn w:val="DefaultParagraphFont"/>
    <w:link w:val="Heading6"/>
    <w:uiPriority w:val="9"/>
    <w:semiHidden/>
    <w:rsid w:val="00577EB9"/>
    <w:rPr>
      <w:rFonts w:cstheme="majorBidi"/>
      <w:b/>
      <w:bCs/>
    </w:rPr>
  </w:style>
  <w:style w:type="character" w:customStyle="1" w:styleId="Heading7Char">
    <w:name w:val="Heading 7 Char"/>
    <w:basedOn w:val="DefaultParagraphFont"/>
    <w:link w:val="Heading7"/>
    <w:uiPriority w:val="9"/>
    <w:semiHidden/>
    <w:rsid w:val="00577EB9"/>
    <w:rPr>
      <w:rFonts w:cstheme="majorBidi"/>
      <w:sz w:val="24"/>
      <w:szCs w:val="24"/>
    </w:rPr>
  </w:style>
  <w:style w:type="character" w:customStyle="1" w:styleId="Heading8Char">
    <w:name w:val="Heading 8 Char"/>
    <w:basedOn w:val="DefaultParagraphFont"/>
    <w:link w:val="Heading8"/>
    <w:uiPriority w:val="9"/>
    <w:semiHidden/>
    <w:rsid w:val="00577EB9"/>
    <w:rPr>
      <w:rFonts w:cstheme="majorBidi"/>
      <w:i/>
      <w:iCs/>
      <w:sz w:val="24"/>
      <w:szCs w:val="24"/>
    </w:rPr>
  </w:style>
  <w:style w:type="character" w:customStyle="1" w:styleId="Heading9Char">
    <w:name w:val="Heading 9 Char"/>
    <w:basedOn w:val="DefaultParagraphFont"/>
    <w:link w:val="Heading9"/>
    <w:uiPriority w:val="9"/>
    <w:semiHidden/>
    <w:rsid w:val="00577EB9"/>
    <w:rPr>
      <w:rFonts w:asciiTheme="majorHAnsi" w:eastAsiaTheme="majorEastAsia" w:hAnsiTheme="majorHAnsi" w:cstheme="majorBidi"/>
    </w:rPr>
  </w:style>
  <w:style w:type="paragraph" w:styleId="Caption">
    <w:name w:val="caption"/>
    <w:basedOn w:val="Normal"/>
    <w:next w:val="Normal"/>
    <w:uiPriority w:val="35"/>
    <w:semiHidden/>
    <w:unhideWhenUsed/>
    <w:rsid w:val="00FC693F"/>
    <w:rPr>
      <w:b/>
      <w:bCs/>
      <w:color w:val="4F81BD" w:themeColor="accent1"/>
      <w:sz w:val="18"/>
      <w:szCs w:val="18"/>
    </w:rPr>
  </w:style>
  <w:style w:type="character" w:styleId="Strong">
    <w:name w:val="Strong"/>
    <w:basedOn w:val="DefaultParagraphFont"/>
    <w:uiPriority w:val="22"/>
    <w:qFormat/>
    <w:rsid w:val="00577EB9"/>
    <w:rPr>
      <w:b/>
      <w:bCs/>
    </w:rPr>
  </w:style>
  <w:style w:type="character" w:styleId="Emphasis">
    <w:name w:val="Emphasis"/>
    <w:basedOn w:val="DefaultParagraphFont"/>
    <w:uiPriority w:val="20"/>
    <w:qFormat/>
    <w:rsid w:val="00577EB9"/>
    <w:rPr>
      <w:rFonts w:asciiTheme="minorHAnsi" w:hAnsiTheme="minorHAnsi"/>
      <w:b/>
      <w:i/>
      <w:iCs/>
    </w:rPr>
  </w:style>
  <w:style w:type="paragraph" w:styleId="IntenseQuote">
    <w:name w:val="Intense Quote"/>
    <w:basedOn w:val="Normal"/>
    <w:next w:val="Normal"/>
    <w:link w:val="IntenseQuoteChar"/>
    <w:uiPriority w:val="30"/>
    <w:qFormat/>
    <w:rsid w:val="00577EB9"/>
    <w:pPr>
      <w:ind w:left="720" w:right="720"/>
    </w:pPr>
    <w:rPr>
      <w:b/>
      <w:i/>
      <w:szCs w:val="22"/>
    </w:rPr>
  </w:style>
  <w:style w:type="character" w:customStyle="1" w:styleId="IntenseQuoteChar">
    <w:name w:val="Intense Quote Char"/>
    <w:basedOn w:val="DefaultParagraphFont"/>
    <w:link w:val="IntenseQuote"/>
    <w:uiPriority w:val="30"/>
    <w:rsid w:val="00577EB9"/>
    <w:rPr>
      <w:b/>
      <w:i/>
      <w:sz w:val="24"/>
    </w:rPr>
  </w:style>
  <w:style w:type="character" w:styleId="SubtleEmphasis">
    <w:name w:val="Subtle Emphasis"/>
    <w:uiPriority w:val="19"/>
    <w:qFormat/>
    <w:rsid w:val="00577EB9"/>
    <w:rPr>
      <w:i/>
      <w:color w:val="5A5A5A" w:themeColor="text1" w:themeTint="A5"/>
    </w:rPr>
  </w:style>
  <w:style w:type="character" w:styleId="IntenseEmphasis">
    <w:name w:val="Intense Emphasis"/>
    <w:basedOn w:val="DefaultParagraphFont"/>
    <w:uiPriority w:val="21"/>
    <w:qFormat/>
    <w:rsid w:val="00577EB9"/>
    <w:rPr>
      <w:b/>
      <w:i/>
      <w:sz w:val="24"/>
      <w:szCs w:val="24"/>
      <w:u w:val="single"/>
    </w:rPr>
  </w:style>
  <w:style w:type="character" w:styleId="SubtleReference">
    <w:name w:val="Subtle Reference"/>
    <w:basedOn w:val="DefaultParagraphFont"/>
    <w:uiPriority w:val="31"/>
    <w:qFormat/>
    <w:rsid w:val="00577EB9"/>
    <w:rPr>
      <w:sz w:val="24"/>
      <w:szCs w:val="24"/>
      <w:u w:val="single"/>
    </w:rPr>
  </w:style>
  <w:style w:type="character" w:styleId="IntenseReference">
    <w:name w:val="Intense Reference"/>
    <w:basedOn w:val="DefaultParagraphFont"/>
    <w:uiPriority w:val="32"/>
    <w:qFormat/>
    <w:rsid w:val="00577EB9"/>
    <w:rPr>
      <w:b/>
      <w:sz w:val="24"/>
      <w:u w:val="single"/>
    </w:rPr>
  </w:style>
  <w:style w:type="character" w:styleId="BookTitle">
    <w:name w:val="Book Title"/>
    <w:basedOn w:val="DefaultParagraphFont"/>
    <w:uiPriority w:val="33"/>
    <w:qFormat/>
    <w:rsid w:val="00577EB9"/>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577EB9"/>
    <w:pPr>
      <w:outlineLvl w:val="9"/>
    </w:pPr>
  </w:style>
  <w:style w:type="table" w:styleId="TableGrid">
    <w:name w:val="Table Grid"/>
    <w:basedOn w:val="TableNormal"/>
    <w:uiPriority w:val="59"/>
    <w:rsid w:val="00FC69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3772F0"/>
    <w:rPr>
      <w:sz w:val="24"/>
      <w:szCs w:val="32"/>
    </w:rPr>
  </w:style>
  <w:style w:type="paragraph" w:styleId="TOC1">
    <w:name w:val="toc 1"/>
    <w:basedOn w:val="Normal"/>
    <w:next w:val="Normal"/>
    <w:autoRedefine/>
    <w:uiPriority w:val="39"/>
    <w:unhideWhenUsed/>
    <w:rsid w:val="00ED5AAE"/>
    <w:pPr>
      <w:spacing w:after="100"/>
    </w:pPr>
  </w:style>
  <w:style w:type="character" w:styleId="Hyperlink">
    <w:name w:val="Hyperlink"/>
    <w:basedOn w:val="DefaultParagraphFont"/>
    <w:uiPriority w:val="99"/>
    <w:unhideWhenUsed/>
    <w:rsid w:val="00ED5A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Morgan Discombe-Hughes [2416860]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Metadata/LabelInfo.xml><?xml version="1.0" encoding="utf-8"?>
<clbl:labelList xmlns:clbl="http://schemas.microsoft.com/office/2020/mipLabelMetadata">
  <clbl:label id="{99d20d2d-8923-45d8-b9ad-5038c97582e3}" enabled="0" method="" siteId="{99d20d2d-8923-45d8-b9ad-5038c97582e3}" removed="1"/>
</clbl:labelList>
</file>

<file path=docProps/app.xml><?xml version="1.0" encoding="utf-8"?>
<Properties xmlns="http://schemas.openxmlformats.org/officeDocument/2006/extended-properties" xmlns:vt="http://schemas.openxmlformats.org/officeDocument/2006/docPropsVTypes">
  <Template>Normal</Template>
  <TotalTime>0</TotalTime>
  <Pages>9</Pages>
  <Words>1567</Words>
  <Characters>8934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10481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Zero Trust Cyber Security Framework for (VTAM)</dc:title>
  <dc:subject/>
  <dc:creator>python-docx</dc:creator>
  <cp:keywords/>
  <dc:description>generated by python-docx</dc:description>
  <cp:lastModifiedBy>Morgan Discombe-Hughes</cp:lastModifiedBy>
  <cp:revision>2</cp:revision>
  <dcterms:created xsi:type="dcterms:W3CDTF">2026-05-15T05:36:00Z</dcterms:created>
  <dcterms:modified xsi:type="dcterms:W3CDTF">2026-05-15T05:36:00Z</dcterms:modified>
  <cp:category/>
</cp:coreProperties>
</file>