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33620" w14:textId="7F7292FE" w:rsidR="00830032" w:rsidRPr="00780682" w:rsidRDefault="00830032" w:rsidP="00830032">
      <w:pPr>
        <w:rPr>
          <w:rFonts w:ascii="Calibri" w:hAnsi="Calibri" w:cs="Calibri"/>
          <w:b/>
          <w:bCs/>
        </w:rPr>
      </w:pPr>
      <w:r w:rsidRPr="00780682">
        <w:rPr>
          <w:rFonts w:ascii="Calibri" w:hAnsi="Calibri" w:cs="Calibri"/>
          <w:b/>
          <w:bCs/>
        </w:rPr>
        <w:t xml:space="preserve">                                     </w:t>
      </w:r>
      <w:r w:rsidRPr="00780682">
        <w:rPr>
          <w:rFonts w:ascii="Calibri" w:hAnsi="Calibri" w:cs="Calibri"/>
          <w:b/>
          <w:bCs/>
          <w:noProof/>
        </w:rPr>
        <w:drawing>
          <wp:inline distT="0" distB="0" distL="0" distR="0" wp14:anchorId="31B1DF60" wp14:editId="50F26DFE">
            <wp:extent cx="3524250" cy="1400175"/>
            <wp:effectExtent l="0" t="0" r="0" b="9525"/>
            <wp:docPr id="1863210173"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2794449" descr="A close-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1400175"/>
                    </a:xfrm>
                    <a:prstGeom prst="rect">
                      <a:avLst/>
                    </a:prstGeom>
                    <a:noFill/>
                    <a:ln>
                      <a:noFill/>
                    </a:ln>
                  </pic:spPr>
                </pic:pic>
              </a:graphicData>
            </a:graphic>
          </wp:inline>
        </w:drawing>
      </w:r>
    </w:p>
    <w:p w14:paraId="34D031B5" w14:textId="77777777" w:rsidR="00830032" w:rsidRPr="00780682" w:rsidRDefault="00830032" w:rsidP="00830032">
      <w:pPr>
        <w:rPr>
          <w:rFonts w:ascii="Calibri" w:hAnsi="Calibri" w:cs="Calibri"/>
          <w:b/>
          <w:bCs/>
          <w:sz w:val="52"/>
          <w:szCs w:val="52"/>
        </w:rPr>
      </w:pPr>
    </w:p>
    <w:p w14:paraId="320FBC8E" w14:textId="77777777" w:rsidR="00830032" w:rsidRPr="00780682" w:rsidRDefault="00830032" w:rsidP="00830032">
      <w:pPr>
        <w:rPr>
          <w:rFonts w:ascii="Calibri" w:hAnsi="Calibri" w:cs="Calibri"/>
          <w:b/>
          <w:bCs/>
          <w:sz w:val="52"/>
          <w:szCs w:val="52"/>
        </w:rPr>
      </w:pPr>
    </w:p>
    <w:p w14:paraId="20C15839" w14:textId="778168B0" w:rsidR="00830032" w:rsidRPr="00780682" w:rsidRDefault="00830032" w:rsidP="00830032">
      <w:pPr>
        <w:rPr>
          <w:rFonts w:ascii="Calibri" w:hAnsi="Calibri" w:cs="Calibri"/>
          <w:b/>
          <w:bCs/>
          <w:sz w:val="52"/>
          <w:szCs w:val="52"/>
        </w:rPr>
      </w:pPr>
      <w:r w:rsidRPr="00780682">
        <w:rPr>
          <w:rFonts w:ascii="Calibri" w:hAnsi="Calibri" w:cs="Calibri"/>
          <w:b/>
          <w:bCs/>
          <w:sz w:val="52"/>
          <w:szCs w:val="52"/>
          <w:highlight w:val="yellow"/>
        </w:rPr>
        <w:t xml:space="preserve">Module Code:  ECDE7012 </w:t>
      </w:r>
      <w:r w:rsidR="00070101" w:rsidRPr="00780682">
        <w:rPr>
          <w:rFonts w:ascii="Calibri" w:hAnsi="Calibri" w:cs="Calibri"/>
          <w:b/>
          <w:bCs/>
          <w:sz w:val="52"/>
          <w:szCs w:val="52"/>
          <w:highlight w:val="yellow"/>
        </w:rPr>
        <w:br/>
      </w:r>
      <w:r w:rsidR="00070101" w:rsidRPr="00780682">
        <w:rPr>
          <w:rFonts w:ascii="Calibri" w:hAnsi="Calibri" w:cs="Calibri"/>
          <w:b/>
          <w:bCs/>
          <w:sz w:val="52"/>
          <w:szCs w:val="52"/>
          <w:highlight w:val="green"/>
        </w:rPr>
        <w:t>Research Design and Management in Education</w:t>
      </w:r>
      <w:r w:rsidRPr="00780682">
        <w:rPr>
          <w:rFonts w:ascii="Calibri" w:hAnsi="Calibri" w:cs="Calibri"/>
          <w:b/>
          <w:bCs/>
          <w:sz w:val="52"/>
          <w:szCs w:val="52"/>
        </w:rPr>
        <w:t xml:space="preserve">                                      </w:t>
      </w:r>
    </w:p>
    <w:p w14:paraId="69289A29" w14:textId="77777777" w:rsidR="00070101" w:rsidRPr="00780682" w:rsidRDefault="00070101" w:rsidP="00070101">
      <w:pPr>
        <w:rPr>
          <w:rFonts w:ascii="Calibri" w:hAnsi="Calibri" w:cs="Calibri"/>
          <w:b/>
          <w:bCs/>
          <w:sz w:val="44"/>
          <w:szCs w:val="44"/>
        </w:rPr>
      </w:pPr>
      <w:r w:rsidRPr="00780682">
        <w:rPr>
          <w:rFonts w:ascii="Calibri" w:hAnsi="Calibri" w:cs="Calibri"/>
          <w:b/>
          <w:bCs/>
          <w:sz w:val="44"/>
          <w:szCs w:val="44"/>
          <w:highlight w:val="green"/>
        </w:rPr>
        <w:t>Dr Julia Holloway and Mrs Nanna Ryder</w:t>
      </w:r>
    </w:p>
    <w:p w14:paraId="346244DF" w14:textId="7F2EA08D" w:rsidR="00830032" w:rsidRPr="00780682" w:rsidRDefault="00830032" w:rsidP="003B4755">
      <w:pPr>
        <w:rPr>
          <w:rFonts w:ascii="Calibri" w:hAnsi="Calibri" w:cs="Calibri"/>
          <w:b/>
          <w:bCs/>
          <w:sz w:val="28"/>
          <w:szCs w:val="28"/>
        </w:rPr>
      </w:pPr>
      <w:r w:rsidRPr="00780682">
        <w:rPr>
          <w:rFonts w:ascii="Calibri" w:hAnsi="Calibri" w:cs="Calibri"/>
          <w:b/>
          <w:bCs/>
          <w:sz w:val="52"/>
          <w:szCs w:val="52"/>
          <w:highlight w:val="cyan"/>
        </w:rPr>
        <w:t>Assignment Title: COMPONENT 2</w:t>
      </w:r>
      <w:r w:rsidRPr="00780682">
        <w:rPr>
          <w:rFonts w:ascii="Calibri" w:hAnsi="Calibri" w:cs="Calibri"/>
          <w:b/>
          <w:bCs/>
          <w:sz w:val="52"/>
          <w:szCs w:val="52"/>
        </w:rPr>
        <w:t xml:space="preserve"> </w:t>
      </w:r>
      <w:r w:rsidR="003B4755" w:rsidRPr="00780682">
        <w:rPr>
          <w:rFonts w:ascii="Calibri" w:hAnsi="Calibri" w:cs="Calibri"/>
          <w:b/>
          <w:bCs/>
          <w:sz w:val="52"/>
          <w:szCs w:val="52"/>
        </w:rPr>
        <w:br/>
      </w:r>
      <w:r w:rsidR="003B4755" w:rsidRPr="00780682">
        <w:rPr>
          <w:rFonts w:ascii="Calibri" w:hAnsi="Calibri" w:cs="Calibri"/>
          <w:b/>
          <w:bCs/>
          <w:sz w:val="28"/>
          <w:szCs w:val="28"/>
          <w:highlight w:val="cyan"/>
        </w:rPr>
        <w:t xml:space="preserve">Describe and critically evaluate the philosophical worldview that underpins your research, justifying why it is appropriate. Present a plan for an appropriate data collection process and associated analysis of the data, reflecting on its strengths and limitations. </w:t>
      </w:r>
      <w:r w:rsidR="003B4755" w:rsidRPr="00780682">
        <w:rPr>
          <w:rFonts w:ascii="Calibri" w:hAnsi="Calibri" w:cs="Calibri"/>
          <w:b/>
          <w:bCs/>
          <w:sz w:val="28"/>
          <w:szCs w:val="28"/>
          <w:highlight w:val="cyan"/>
        </w:rPr>
        <w:br/>
        <w:t>Written Assignment: 3200 words</w:t>
      </w:r>
    </w:p>
    <w:p w14:paraId="40D45864" w14:textId="77777777" w:rsidR="00830032" w:rsidRPr="00780682" w:rsidRDefault="00830032" w:rsidP="00830032">
      <w:pPr>
        <w:rPr>
          <w:rFonts w:ascii="Calibri" w:hAnsi="Calibri" w:cs="Calibri"/>
          <w:b/>
          <w:bCs/>
          <w:sz w:val="52"/>
          <w:szCs w:val="52"/>
        </w:rPr>
      </w:pPr>
    </w:p>
    <w:p w14:paraId="2D4FDC41" w14:textId="77777777" w:rsidR="00830032" w:rsidRPr="00780682" w:rsidRDefault="00830032" w:rsidP="00830032">
      <w:pPr>
        <w:rPr>
          <w:rFonts w:ascii="Calibri" w:hAnsi="Calibri" w:cs="Calibri"/>
          <w:b/>
          <w:bCs/>
          <w:sz w:val="52"/>
          <w:szCs w:val="52"/>
          <w:highlight w:val="magenta"/>
        </w:rPr>
      </w:pPr>
      <w:r w:rsidRPr="00780682">
        <w:rPr>
          <w:rFonts w:ascii="Calibri" w:hAnsi="Calibri" w:cs="Calibri"/>
          <w:b/>
          <w:bCs/>
          <w:sz w:val="52"/>
          <w:szCs w:val="52"/>
          <w:highlight w:val="magenta"/>
        </w:rPr>
        <w:t>Student Name: Laura Emanuel</w:t>
      </w:r>
    </w:p>
    <w:p w14:paraId="6BC180FA" w14:textId="77777777" w:rsidR="00830032" w:rsidRPr="00780682" w:rsidRDefault="00830032" w:rsidP="00830032">
      <w:pPr>
        <w:rPr>
          <w:rFonts w:ascii="Calibri" w:hAnsi="Calibri" w:cs="Calibri"/>
          <w:b/>
          <w:bCs/>
          <w:sz w:val="52"/>
          <w:szCs w:val="52"/>
        </w:rPr>
      </w:pPr>
      <w:r w:rsidRPr="00780682">
        <w:rPr>
          <w:rFonts w:ascii="Calibri" w:hAnsi="Calibri" w:cs="Calibri"/>
          <w:b/>
          <w:bCs/>
          <w:sz w:val="52"/>
          <w:szCs w:val="52"/>
          <w:highlight w:val="magenta"/>
        </w:rPr>
        <w:t>Student Number: 2308139</w:t>
      </w:r>
    </w:p>
    <w:p w14:paraId="3C8D08F7" w14:textId="32EFF1F7" w:rsidR="00005B5A" w:rsidRPr="00780682" w:rsidRDefault="00005B5A" w:rsidP="00005B5A">
      <w:pPr>
        <w:spacing w:line="360" w:lineRule="auto"/>
        <w:rPr>
          <w:rFonts w:ascii="Calibri" w:hAnsi="Calibri" w:cs="Calibri"/>
          <w:b/>
          <w:bCs/>
          <w:sz w:val="36"/>
          <w:szCs w:val="36"/>
        </w:rPr>
      </w:pPr>
      <w:r w:rsidRPr="00780682">
        <w:rPr>
          <w:rFonts w:ascii="Calibri" w:hAnsi="Calibri" w:cs="Calibri"/>
          <w:b/>
          <w:bCs/>
          <w:sz w:val="36"/>
          <w:szCs w:val="36"/>
          <w:highlight w:val="darkMagenta"/>
        </w:rPr>
        <w:t>Word Count: 3</w:t>
      </w:r>
      <w:r w:rsidR="008C64DD">
        <w:rPr>
          <w:rFonts w:ascii="Calibri" w:hAnsi="Calibri" w:cs="Calibri"/>
          <w:b/>
          <w:bCs/>
          <w:sz w:val="36"/>
          <w:szCs w:val="36"/>
          <w:highlight w:val="darkMagenta"/>
        </w:rPr>
        <w:t>478</w:t>
      </w:r>
      <w:r w:rsidRPr="00780682">
        <w:rPr>
          <w:rFonts w:ascii="Calibri" w:hAnsi="Calibri" w:cs="Calibri"/>
          <w:b/>
          <w:bCs/>
          <w:sz w:val="36"/>
          <w:szCs w:val="36"/>
          <w:highlight w:val="darkMagenta"/>
        </w:rPr>
        <w:t xml:space="preserve"> words</w:t>
      </w:r>
      <w:r w:rsidR="00F367B5">
        <w:rPr>
          <w:rFonts w:ascii="Calibri" w:hAnsi="Calibri" w:cs="Calibri"/>
          <w:b/>
          <w:bCs/>
          <w:sz w:val="36"/>
          <w:szCs w:val="36"/>
        </w:rPr>
        <w:t xml:space="preserve">  </w:t>
      </w:r>
    </w:p>
    <w:p w14:paraId="0D1D2A08" w14:textId="77777777" w:rsidR="00F367B5" w:rsidRDefault="00F367B5" w:rsidP="009E0ADD">
      <w:pPr>
        <w:pStyle w:val="Heading1"/>
        <w:spacing w:line="360" w:lineRule="auto"/>
        <w:rPr>
          <w:rFonts w:ascii="Calibri" w:hAnsi="Calibri" w:cs="Calibri"/>
        </w:rPr>
      </w:pPr>
    </w:p>
    <w:p w14:paraId="292E52C1" w14:textId="4D172CC4" w:rsidR="009E0ADD" w:rsidRPr="00780682" w:rsidRDefault="009E0ADD" w:rsidP="009E0ADD">
      <w:pPr>
        <w:pStyle w:val="Heading1"/>
        <w:spacing w:line="360" w:lineRule="auto"/>
        <w:rPr>
          <w:rFonts w:ascii="Calibri" w:hAnsi="Calibri" w:cs="Calibri"/>
        </w:rPr>
      </w:pPr>
      <w:r w:rsidRPr="00780682">
        <w:rPr>
          <w:rFonts w:ascii="Calibri" w:hAnsi="Calibri" w:cs="Calibri"/>
        </w:rPr>
        <w:t>Contents</w:t>
      </w:r>
    </w:p>
    <w:p w14:paraId="5F4B6766" w14:textId="35BF1A4E" w:rsidR="00BD772D" w:rsidRDefault="00102F4B" w:rsidP="008C64DD">
      <w:pPr>
        <w:spacing w:line="360" w:lineRule="auto"/>
        <w:rPr>
          <w:rStyle w:val="Heading1Char"/>
          <w:rFonts w:ascii="Calibri" w:hAnsi="Calibri" w:cs="Calibri"/>
          <w:sz w:val="24"/>
          <w:szCs w:val="24"/>
        </w:rPr>
      </w:pPr>
      <w:r w:rsidRPr="00780682">
        <w:rPr>
          <w:rStyle w:val="Heading1Char"/>
          <w:rFonts w:ascii="Calibri" w:hAnsi="Calibri" w:cs="Calibri"/>
          <w:sz w:val="24"/>
          <w:szCs w:val="24"/>
        </w:rPr>
        <w:t>Research Context</w:t>
      </w:r>
      <w:r w:rsidRPr="00780682">
        <w:rPr>
          <w:rStyle w:val="Heading1Char"/>
          <w:rFonts w:ascii="Calibri" w:hAnsi="Calibri" w:cs="Calibri"/>
          <w:sz w:val="24"/>
          <w:szCs w:val="24"/>
        </w:rPr>
        <w:tab/>
      </w:r>
      <w:r w:rsidRPr="00780682">
        <w:rPr>
          <w:rStyle w:val="Heading1Char"/>
          <w:rFonts w:ascii="Calibri" w:hAnsi="Calibri" w:cs="Calibri"/>
          <w:sz w:val="24"/>
          <w:szCs w:val="24"/>
        </w:rPr>
        <w:tab/>
      </w:r>
      <w:r w:rsidRPr="00780682">
        <w:rPr>
          <w:rStyle w:val="Heading1Char"/>
          <w:rFonts w:ascii="Calibri" w:hAnsi="Calibri" w:cs="Calibri"/>
          <w:sz w:val="24"/>
          <w:szCs w:val="24"/>
        </w:rPr>
        <w:tab/>
      </w:r>
      <w:r w:rsidRPr="00780682">
        <w:rPr>
          <w:rStyle w:val="Heading1Char"/>
          <w:rFonts w:ascii="Calibri" w:hAnsi="Calibri" w:cs="Calibri"/>
          <w:sz w:val="24"/>
          <w:szCs w:val="24"/>
        </w:rPr>
        <w:tab/>
      </w:r>
      <w:r w:rsidR="009E0ADD" w:rsidRPr="00780682">
        <w:rPr>
          <w:rStyle w:val="Heading1Char"/>
          <w:rFonts w:ascii="Calibri" w:hAnsi="Calibri" w:cs="Calibri"/>
          <w:sz w:val="24"/>
          <w:szCs w:val="24"/>
        </w:rPr>
        <w:tab/>
      </w:r>
      <w:r w:rsidR="009E0ADD" w:rsidRPr="00780682">
        <w:rPr>
          <w:rStyle w:val="Heading1Char"/>
          <w:rFonts w:ascii="Calibri" w:hAnsi="Calibri" w:cs="Calibri"/>
          <w:sz w:val="24"/>
          <w:szCs w:val="24"/>
        </w:rPr>
        <w:tab/>
      </w:r>
      <w:r w:rsidR="009E0ADD" w:rsidRPr="00780682">
        <w:rPr>
          <w:rStyle w:val="Heading1Char"/>
          <w:rFonts w:ascii="Calibri" w:hAnsi="Calibri" w:cs="Calibri"/>
          <w:sz w:val="24"/>
          <w:szCs w:val="24"/>
        </w:rPr>
        <w:tab/>
        <w:t>p3</w:t>
      </w:r>
      <w:r w:rsidR="003D7899">
        <w:rPr>
          <w:rStyle w:val="Heading1Char"/>
          <w:rFonts w:ascii="Calibri" w:hAnsi="Calibri" w:cs="Calibri"/>
          <w:sz w:val="24"/>
          <w:szCs w:val="24"/>
        </w:rPr>
        <w:tab/>
      </w:r>
      <w:bookmarkStart w:id="0" w:name="_Overview_of_relevant"/>
      <w:bookmarkEnd w:id="0"/>
      <w:r w:rsidR="00911D5A">
        <w:rPr>
          <w:rFonts w:ascii="Calibri" w:hAnsi="Calibri" w:cs="Calibri"/>
          <w:b/>
          <w:bCs/>
          <w:sz w:val="52"/>
          <w:szCs w:val="52"/>
        </w:rPr>
        <w:br/>
      </w:r>
      <w:r w:rsidRPr="00780682">
        <w:rPr>
          <w:rStyle w:val="Heading1Char"/>
          <w:rFonts w:ascii="Calibri" w:hAnsi="Calibri" w:cs="Calibri"/>
          <w:sz w:val="24"/>
          <w:szCs w:val="24"/>
        </w:rPr>
        <w:t>Research Design and Methodology</w:t>
      </w:r>
      <w:r w:rsidR="009E0ADD" w:rsidRPr="00780682">
        <w:rPr>
          <w:rStyle w:val="Heading1Char"/>
          <w:rFonts w:ascii="Calibri" w:hAnsi="Calibri" w:cs="Calibri"/>
          <w:sz w:val="24"/>
          <w:szCs w:val="24"/>
        </w:rPr>
        <w:tab/>
      </w:r>
      <w:r w:rsidR="009E0ADD" w:rsidRPr="00780682">
        <w:rPr>
          <w:rStyle w:val="Heading1Char"/>
          <w:rFonts w:ascii="Calibri" w:hAnsi="Calibri" w:cs="Calibri"/>
          <w:sz w:val="24"/>
          <w:szCs w:val="24"/>
        </w:rPr>
        <w:tab/>
      </w:r>
      <w:r w:rsidR="009E0ADD" w:rsidRPr="00780682">
        <w:rPr>
          <w:rStyle w:val="Heading1Char"/>
          <w:rFonts w:ascii="Calibri" w:hAnsi="Calibri" w:cs="Calibri"/>
          <w:sz w:val="24"/>
          <w:szCs w:val="24"/>
        </w:rPr>
        <w:tab/>
      </w:r>
      <w:r w:rsidR="009E0ADD" w:rsidRPr="00780682">
        <w:rPr>
          <w:rStyle w:val="Heading1Char"/>
          <w:rFonts w:ascii="Calibri" w:hAnsi="Calibri" w:cs="Calibri"/>
          <w:sz w:val="24"/>
          <w:szCs w:val="24"/>
        </w:rPr>
        <w:tab/>
      </w:r>
      <w:r w:rsidR="009E0ADD" w:rsidRPr="00780682">
        <w:rPr>
          <w:rStyle w:val="Heading1Char"/>
          <w:rFonts w:ascii="Calibri" w:hAnsi="Calibri" w:cs="Calibri"/>
          <w:sz w:val="24"/>
          <w:szCs w:val="24"/>
        </w:rPr>
        <w:tab/>
        <w:t>p</w:t>
      </w:r>
      <w:r w:rsidR="00E1407C">
        <w:rPr>
          <w:rStyle w:val="Heading1Char"/>
          <w:rFonts w:ascii="Calibri" w:hAnsi="Calibri" w:cs="Calibri"/>
          <w:sz w:val="24"/>
          <w:szCs w:val="24"/>
        </w:rPr>
        <w:t>4</w:t>
      </w:r>
      <w:r w:rsidR="00911D5A">
        <w:rPr>
          <w:rStyle w:val="Heading1Char"/>
          <w:rFonts w:ascii="Calibri" w:hAnsi="Calibri" w:cs="Calibri"/>
          <w:sz w:val="24"/>
          <w:szCs w:val="24"/>
        </w:rPr>
        <w:tab/>
      </w:r>
      <w:r w:rsidR="00911D5A">
        <w:rPr>
          <w:rStyle w:val="Heading1Char"/>
          <w:rFonts w:ascii="Calibri" w:eastAsiaTheme="minorEastAsia" w:hAnsi="Calibri" w:cs="Calibri"/>
          <w:b/>
          <w:bCs/>
          <w:color w:val="auto"/>
          <w:sz w:val="52"/>
          <w:szCs w:val="52"/>
        </w:rPr>
        <w:br/>
      </w:r>
      <w:r w:rsidRPr="00780682">
        <w:rPr>
          <w:rStyle w:val="Heading1Char"/>
          <w:rFonts w:ascii="Calibri" w:hAnsi="Calibri" w:cs="Calibri"/>
          <w:sz w:val="24"/>
          <w:szCs w:val="24"/>
        </w:rPr>
        <w:t>Research Methods and Tool</w:t>
      </w:r>
      <w:r w:rsidR="00421564" w:rsidRPr="00780682">
        <w:rPr>
          <w:rStyle w:val="Heading1Char"/>
          <w:rFonts w:ascii="Calibri" w:hAnsi="Calibri" w:cs="Calibri"/>
          <w:sz w:val="24"/>
          <w:szCs w:val="24"/>
        </w:rPr>
        <w:t>s</w:t>
      </w:r>
      <w:r w:rsidR="00421564" w:rsidRPr="00780682">
        <w:rPr>
          <w:rStyle w:val="Heading1Char"/>
          <w:rFonts w:ascii="Calibri" w:hAnsi="Calibri" w:cs="Calibri"/>
          <w:sz w:val="24"/>
          <w:szCs w:val="24"/>
        </w:rPr>
        <w:tab/>
      </w:r>
      <w:r w:rsidR="00421564" w:rsidRPr="00780682">
        <w:rPr>
          <w:rStyle w:val="Heading1Char"/>
          <w:rFonts w:ascii="Calibri" w:hAnsi="Calibri" w:cs="Calibri"/>
          <w:sz w:val="24"/>
          <w:szCs w:val="24"/>
        </w:rPr>
        <w:tab/>
      </w:r>
      <w:r w:rsidR="00421564" w:rsidRPr="00780682">
        <w:rPr>
          <w:rStyle w:val="Heading1Char"/>
          <w:rFonts w:ascii="Calibri" w:hAnsi="Calibri" w:cs="Calibri"/>
          <w:sz w:val="24"/>
          <w:szCs w:val="24"/>
        </w:rPr>
        <w:tab/>
      </w:r>
      <w:r w:rsidR="00421564" w:rsidRPr="00780682">
        <w:rPr>
          <w:rStyle w:val="Heading1Char"/>
          <w:rFonts w:ascii="Calibri" w:hAnsi="Calibri" w:cs="Calibri"/>
          <w:sz w:val="24"/>
          <w:szCs w:val="24"/>
        </w:rPr>
        <w:tab/>
      </w:r>
      <w:r w:rsidR="00421564" w:rsidRPr="00780682">
        <w:rPr>
          <w:rStyle w:val="Heading1Char"/>
          <w:rFonts w:ascii="Calibri" w:hAnsi="Calibri" w:cs="Calibri"/>
          <w:sz w:val="24"/>
          <w:szCs w:val="24"/>
        </w:rPr>
        <w:tab/>
      </w:r>
      <w:r w:rsidR="00421564" w:rsidRPr="00780682">
        <w:rPr>
          <w:rStyle w:val="Heading1Char"/>
          <w:rFonts w:ascii="Calibri" w:hAnsi="Calibri" w:cs="Calibri"/>
          <w:sz w:val="24"/>
          <w:szCs w:val="24"/>
        </w:rPr>
        <w:tab/>
        <w:t>p</w:t>
      </w:r>
      <w:r w:rsidR="002E43D1">
        <w:rPr>
          <w:rStyle w:val="Heading1Char"/>
          <w:rFonts w:ascii="Calibri" w:hAnsi="Calibri" w:cs="Calibri"/>
          <w:sz w:val="24"/>
          <w:szCs w:val="24"/>
        </w:rPr>
        <w:t>7</w:t>
      </w:r>
      <w:r w:rsidR="002E43D1">
        <w:rPr>
          <w:rStyle w:val="Heading1Char"/>
          <w:rFonts w:ascii="Calibri" w:hAnsi="Calibri" w:cs="Calibri"/>
          <w:sz w:val="24"/>
          <w:szCs w:val="24"/>
        </w:rPr>
        <w:tab/>
      </w:r>
      <w:r w:rsidR="00911D5A">
        <w:rPr>
          <w:rStyle w:val="Heading1Char"/>
          <w:rFonts w:ascii="Calibri" w:eastAsiaTheme="minorEastAsia" w:hAnsi="Calibri" w:cs="Calibri"/>
          <w:b/>
          <w:bCs/>
          <w:color w:val="auto"/>
          <w:sz w:val="52"/>
          <w:szCs w:val="52"/>
        </w:rPr>
        <w:br/>
      </w:r>
      <w:r w:rsidR="00421564" w:rsidRPr="00780682">
        <w:rPr>
          <w:rStyle w:val="Heading1Char"/>
          <w:rFonts w:ascii="Calibri" w:hAnsi="Calibri" w:cs="Calibri"/>
          <w:sz w:val="24"/>
          <w:szCs w:val="24"/>
        </w:rPr>
        <w:t>Applying the Research Onion</w:t>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2E43D1">
        <w:rPr>
          <w:rStyle w:val="Heading1Char"/>
          <w:rFonts w:ascii="Calibri" w:hAnsi="Calibri" w:cs="Calibri"/>
          <w:sz w:val="24"/>
          <w:szCs w:val="24"/>
        </w:rPr>
        <w:t>p7</w:t>
      </w:r>
      <w:r w:rsidR="00911D5A">
        <w:rPr>
          <w:rStyle w:val="Heading1Char"/>
          <w:rFonts w:ascii="Calibri" w:hAnsi="Calibri" w:cs="Calibri"/>
          <w:sz w:val="24"/>
          <w:szCs w:val="24"/>
        </w:rPr>
        <w:br/>
      </w:r>
      <w:r w:rsidR="003864B0" w:rsidRPr="00780682">
        <w:rPr>
          <w:rStyle w:val="Heading1Char"/>
          <w:rFonts w:ascii="Calibri" w:hAnsi="Calibri" w:cs="Calibri"/>
          <w:sz w:val="24"/>
          <w:szCs w:val="24"/>
        </w:rPr>
        <w:t>Description and Structure of the Research Tools</w:t>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t>p</w:t>
      </w:r>
      <w:r w:rsidR="00373B9D">
        <w:rPr>
          <w:rStyle w:val="Heading1Char"/>
          <w:rFonts w:ascii="Calibri" w:hAnsi="Calibri" w:cs="Calibri"/>
          <w:sz w:val="24"/>
          <w:szCs w:val="24"/>
        </w:rPr>
        <w:t>8</w:t>
      </w:r>
      <w:r w:rsidR="00994311">
        <w:rPr>
          <w:rStyle w:val="Heading1Char"/>
          <w:rFonts w:ascii="Calibri" w:hAnsi="Calibri" w:cs="Calibri"/>
          <w:sz w:val="24"/>
          <w:szCs w:val="24"/>
        </w:rPr>
        <w:tab/>
      </w:r>
      <w:r w:rsidR="008C64DD">
        <w:rPr>
          <w:rStyle w:val="Heading1Char"/>
          <w:rFonts w:ascii="Calibri" w:hAnsi="Calibri" w:cs="Calibri"/>
          <w:sz w:val="24"/>
          <w:szCs w:val="24"/>
        </w:rPr>
        <w:br/>
      </w:r>
      <w:r w:rsidR="003864B0" w:rsidRPr="00780682">
        <w:rPr>
          <w:rStyle w:val="Heading1Char"/>
          <w:rFonts w:ascii="Calibri" w:hAnsi="Calibri" w:cs="Calibri"/>
          <w:sz w:val="24"/>
          <w:szCs w:val="24"/>
        </w:rPr>
        <w:t>Sampling Strategy and Context</w:t>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r>
      <w:r w:rsidR="003864B0" w:rsidRPr="00780682">
        <w:rPr>
          <w:rStyle w:val="Heading1Char"/>
          <w:rFonts w:ascii="Calibri" w:hAnsi="Calibri" w:cs="Calibri"/>
          <w:sz w:val="24"/>
          <w:szCs w:val="24"/>
        </w:rPr>
        <w:tab/>
        <w:t>p</w:t>
      </w:r>
      <w:r w:rsidR="000F5722">
        <w:rPr>
          <w:rStyle w:val="Heading1Char"/>
          <w:rFonts w:ascii="Calibri" w:hAnsi="Calibri" w:cs="Calibri"/>
          <w:sz w:val="24"/>
          <w:szCs w:val="24"/>
        </w:rPr>
        <w:t xml:space="preserve">9 </w:t>
      </w:r>
      <w:r w:rsidR="00911D5A">
        <w:rPr>
          <w:rStyle w:val="Heading1Char"/>
          <w:rFonts w:ascii="Calibri" w:eastAsiaTheme="minorEastAsia" w:hAnsi="Calibri" w:cs="Calibri"/>
          <w:b/>
          <w:bCs/>
          <w:color w:val="auto"/>
          <w:sz w:val="52"/>
          <w:szCs w:val="52"/>
        </w:rPr>
        <w:br/>
      </w:r>
      <w:r w:rsidR="006F3249" w:rsidRPr="00780682">
        <w:rPr>
          <w:rStyle w:val="Heading1Char"/>
          <w:rFonts w:ascii="Calibri" w:hAnsi="Calibri" w:cs="Calibri"/>
          <w:sz w:val="24"/>
          <w:szCs w:val="24"/>
        </w:rPr>
        <w:t>Strengths and Limitations of the Method</w:t>
      </w:r>
      <w:r w:rsidR="006F3249" w:rsidRPr="00780682">
        <w:rPr>
          <w:rStyle w:val="Heading1Char"/>
          <w:rFonts w:ascii="Calibri" w:hAnsi="Calibri" w:cs="Calibri"/>
          <w:sz w:val="24"/>
          <w:szCs w:val="24"/>
        </w:rPr>
        <w:tab/>
      </w:r>
      <w:r w:rsidR="006F3249" w:rsidRPr="00780682">
        <w:rPr>
          <w:rStyle w:val="Heading1Char"/>
          <w:rFonts w:ascii="Calibri" w:hAnsi="Calibri" w:cs="Calibri"/>
          <w:sz w:val="24"/>
          <w:szCs w:val="24"/>
        </w:rPr>
        <w:tab/>
      </w:r>
      <w:r w:rsidR="006F3249" w:rsidRPr="00780682">
        <w:rPr>
          <w:rStyle w:val="Heading1Char"/>
          <w:rFonts w:ascii="Calibri" w:hAnsi="Calibri" w:cs="Calibri"/>
          <w:sz w:val="24"/>
          <w:szCs w:val="24"/>
        </w:rPr>
        <w:tab/>
      </w:r>
      <w:r w:rsidR="006F3249" w:rsidRPr="00780682">
        <w:rPr>
          <w:rStyle w:val="Heading1Char"/>
          <w:rFonts w:ascii="Calibri" w:hAnsi="Calibri" w:cs="Calibri"/>
          <w:sz w:val="24"/>
          <w:szCs w:val="24"/>
        </w:rPr>
        <w:tab/>
        <w:t>p9</w:t>
      </w:r>
      <w:r w:rsidR="001F3094">
        <w:rPr>
          <w:rStyle w:val="Heading1Char"/>
          <w:rFonts w:ascii="Calibri" w:hAnsi="Calibri" w:cs="Calibri"/>
          <w:sz w:val="24"/>
          <w:szCs w:val="24"/>
        </w:rPr>
        <w:t xml:space="preserve"> </w:t>
      </w:r>
      <w:r w:rsidR="008C64DD">
        <w:rPr>
          <w:rStyle w:val="Heading1Char"/>
          <w:rFonts w:ascii="Calibri" w:hAnsi="Calibri" w:cs="Calibri"/>
          <w:sz w:val="24"/>
          <w:szCs w:val="24"/>
        </w:rPr>
        <w:br/>
      </w:r>
      <w:r w:rsidR="006F3249" w:rsidRPr="00780682">
        <w:rPr>
          <w:rStyle w:val="Heading1Char"/>
          <w:rFonts w:ascii="Calibri" w:hAnsi="Calibri" w:cs="Calibri"/>
          <w:sz w:val="24"/>
          <w:szCs w:val="24"/>
        </w:rPr>
        <w:t>Data Presentation and Analysis Methods</w:t>
      </w:r>
      <w:r w:rsidR="008C64DD">
        <w:rPr>
          <w:rStyle w:val="Heading1Char"/>
          <w:rFonts w:ascii="Calibri" w:hAnsi="Calibri" w:cs="Calibri"/>
          <w:sz w:val="24"/>
          <w:szCs w:val="24"/>
        </w:rPr>
        <w:t xml:space="preserve"> and Conclusion</w:t>
      </w:r>
      <w:r w:rsidR="006F3249" w:rsidRPr="00780682">
        <w:rPr>
          <w:rStyle w:val="Heading1Char"/>
          <w:rFonts w:ascii="Calibri" w:hAnsi="Calibri" w:cs="Calibri"/>
          <w:sz w:val="24"/>
          <w:szCs w:val="24"/>
        </w:rPr>
        <w:tab/>
      </w:r>
      <w:r w:rsidR="006F3249" w:rsidRPr="00780682">
        <w:rPr>
          <w:rStyle w:val="Heading1Char"/>
          <w:rFonts w:ascii="Calibri" w:hAnsi="Calibri" w:cs="Calibri"/>
          <w:sz w:val="24"/>
          <w:szCs w:val="24"/>
        </w:rPr>
        <w:tab/>
        <w:t>p10</w:t>
      </w:r>
      <w:r w:rsidR="00911D5A">
        <w:rPr>
          <w:rStyle w:val="Heading1Char"/>
          <w:rFonts w:ascii="Calibri" w:eastAsiaTheme="minorEastAsia" w:hAnsi="Calibri" w:cs="Calibri"/>
          <w:b/>
          <w:bCs/>
          <w:color w:val="auto"/>
          <w:sz w:val="52"/>
          <w:szCs w:val="52"/>
        </w:rPr>
        <w:br/>
      </w:r>
      <w:r w:rsidR="00BD772D" w:rsidRPr="00780682">
        <w:rPr>
          <w:rStyle w:val="Heading1Char"/>
          <w:rFonts w:ascii="Calibri" w:hAnsi="Calibri" w:cs="Calibri"/>
          <w:sz w:val="24"/>
          <w:szCs w:val="24"/>
        </w:rPr>
        <w:t>Reference List</w:t>
      </w:r>
      <w:r w:rsidR="00BD772D" w:rsidRPr="00780682">
        <w:rPr>
          <w:rStyle w:val="Heading1Char"/>
          <w:rFonts w:ascii="Calibri" w:hAnsi="Calibri" w:cs="Calibri"/>
          <w:sz w:val="24"/>
          <w:szCs w:val="24"/>
        </w:rPr>
        <w:tab/>
      </w:r>
      <w:r w:rsidR="00BD772D" w:rsidRPr="00780682">
        <w:rPr>
          <w:rStyle w:val="Heading1Char"/>
          <w:rFonts w:ascii="Calibri" w:hAnsi="Calibri" w:cs="Calibri"/>
          <w:sz w:val="24"/>
          <w:szCs w:val="24"/>
        </w:rPr>
        <w:tab/>
      </w:r>
      <w:r w:rsidR="00BD772D" w:rsidRPr="00780682">
        <w:rPr>
          <w:rStyle w:val="Heading1Char"/>
          <w:rFonts w:ascii="Calibri" w:hAnsi="Calibri" w:cs="Calibri"/>
          <w:sz w:val="24"/>
          <w:szCs w:val="24"/>
        </w:rPr>
        <w:tab/>
      </w:r>
      <w:r w:rsidR="00BD772D" w:rsidRPr="00780682">
        <w:rPr>
          <w:rStyle w:val="Heading1Char"/>
          <w:rFonts w:ascii="Calibri" w:hAnsi="Calibri" w:cs="Calibri"/>
          <w:sz w:val="24"/>
          <w:szCs w:val="24"/>
        </w:rPr>
        <w:tab/>
      </w:r>
      <w:r w:rsidR="00BD772D" w:rsidRPr="00780682">
        <w:rPr>
          <w:rStyle w:val="Heading1Char"/>
          <w:rFonts w:ascii="Calibri" w:hAnsi="Calibri" w:cs="Calibri"/>
          <w:sz w:val="24"/>
          <w:szCs w:val="24"/>
        </w:rPr>
        <w:tab/>
      </w:r>
      <w:r w:rsidR="00BD772D" w:rsidRPr="00780682">
        <w:rPr>
          <w:rStyle w:val="Heading1Char"/>
          <w:rFonts w:ascii="Calibri" w:hAnsi="Calibri" w:cs="Calibri"/>
          <w:sz w:val="24"/>
          <w:szCs w:val="24"/>
        </w:rPr>
        <w:tab/>
      </w:r>
      <w:r w:rsidR="00BD772D" w:rsidRPr="00780682">
        <w:rPr>
          <w:rStyle w:val="Heading1Char"/>
          <w:rFonts w:ascii="Calibri" w:hAnsi="Calibri" w:cs="Calibri"/>
          <w:sz w:val="24"/>
          <w:szCs w:val="24"/>
        </w:rPr>
        <w:tab/>
      </w:r>
      <w:r w:rsidR="00BD772D" w:rsidRPr="00780682">
        <w:rPr>
          <w:rStyle w:val="Heading1Char"/>
          <w:rFonts w:ascii="Calibri" w:hAnsi="Calibri" w:cs="Calibri"/>
          <w:sz w:val="24"/>
          <w:szCs w:val="24"/>
        </w:rPr>
        <w:tab/>
        <w:t>p1</w:t>
      </w:r>
      <w:r w:rsidR="008C64DD">
        <w:rPr>
          <w:rStyle w:val="Heading1Char"/>
          <w:rFonts w:ascii="Calibri" w:hAnsi="Calibri" w:cs="Calibri"/>
          <w:sz w:val="24"/>
          <w:szCs w:val="24"/>
        </w:rPr>
        <w:t>2</w:t>
      </w:r>
    </w:p>
    <w:p w14:paraId="7DD073EC" w14:textId="21A0B619" w:rsidR="000E6D22" w:rsidRPr="008C64DD" w:rsidRDefault="000E6D22" w:rsidP="008C64DD">
      <w:pPr>
        <w:spacing w:line="360" w:lineRule="auto"/>
        <w:rPr>
          <w:rStyle w:val="Heading1Char"/>
          <w:rFonts w:ascii="Calibri" w:hAnsi="Calibri" w:cs="Calibri"/>
          <w:sz w:val="24"/>
          <w:szCs w:val="24"/>
        </w:rPr>
      </w:pPr>
      <w:r>
        <w:rPr>
          <w:rStyle w:val="Heading1Char"/>
          <w:rFonts w:ascii="Calibri" w:hAnsi="Calibri" w:cs="Calibri"/>
          <w:sz w:val="24"/>
          <w:szCs w:val="24"/>
        </w:rPr>
        <w:t xml:space="preserve">Appendix 1 </w:t>
      </w:r>
      <w:r>
        <w:rPr>
          <w:rStyle w:val="Heading1Char"/>
          <w:rFonts w:ascii="Calibri" w:hAnsi="Calibri" w:cs="Calibri"/>
          <w:sz w:val="24"/>
          <w:szCs w:val="24"/>
        </w:rPr>
        <w:tab/>
      </w:r>
      <w:r>
        <w:rPr>
          <w:rStyle w:val="Heading1Char"/>
          <w:rFonts w:ascii="Calibri" w:hAnsi="Calibri" w:cs="Calibri"/>
          <w:sz w:val="24"/>
          <w:szCs w:val="24"/>
        </w:rPr>
        <w:tab/>
      </w:r>
      <w:r>
        <w:rPr>
          <w:rStyle w:val="Heading1Char"/>
          <w:rFonts w:ascii="Calibri" w:hAnsi="Calibri" w:cs="Calibri"/>
          <w:sz w:val="24"/>
          <w:szCs w:val="24"/>
        </w:rPr>
        <w:tab/>
      </w:r>
      <w:r>
        <w:rPr>
          <w:rStyle w:val="Heading1Char"/>
          <w:rFonts w:ascii="Calibri" w:hAnsi="Calibri" w:cs="Calibri"/>
          <w:sz w:val="24"/>
          <w:szCs w:val="24"/>
        </w:rPr>
        <w:tab/>
      </w:r>
      <w:r>
        <w:rPr>
          <w:rStyle w:val="Heading1Char"/>
          <w:rFonts w:ascii="Calibri" w:hAnsi="Calibri" w:cs="Calibri"/>
          <w:sz w:val="24"/>
          <w:szCs w:val="24"/>
        </w:rPr>
        <w:tab/>
      </w:r>
      <w:r>
        <w:rPr>
          <w:rStyle w:val="Heading1Char"/>
          <w:rFonts w:ascii="Calibri" w:hAnsi="Calibri" w:cs="Calibri"/>
          <w:sz w:val="24"/>
          <w:szCs w:val="24"/>
        </w:rPr>
        <w:tab/>
      </w:r>
      <w:r>
        <w:rPr>
          <w:rStyle w:val="Heading1Char"/>
          <w:rFonts w:ascii="Calibri" w:hAnsi="Calibri" w:cs="Calibri"/>
          <w:sz w:val="24"/>
          <w:szCs w:val="24"/>
        </w:rPr>
        <w:tab/>
      </w:r>
      <w:r>
        <w:rPr>
          <w:rStyle w:val="Heading1Char"/>
          <w:rFonts w:ascii="Calibri" w:hAnsi="Calibri" w:cs="Calibri"/>
          <w:sz w:val="24"/>
          <w:szCs w:val="24"/>
        </w:rPr>
        <w:tab/>
        <w:t>p15</w:t>
      </w:r>
    </w:p>
    <w:p w14:paraId="72024CA9" w14:textId="3A1EA1FC" w:rsidR="00830032" w:rsidRPr="00780682" w:rsidRDefault="00830032" w:rsidP="00421564">
      <w:pPr>
        <w:rPr>
          <w:rFonts w:ascii="Calibri" w:hAnsi="Calibri" w:cs="Calibri"/>
          <w:b/>
          <w:bCs/>
          <w:sz w:val="52"/>
          <w:szCs w:val="52"/>
        </w:rPr>
      </w:pPr>
    </w:p>
    <w:p w14:paraId="0FFE4CEB" w14:textId="77777777" w:rsidR="00830032" w:rsidRPr="00780682" w:rsidRDefault="00830032" w:rsidP="00830032">
      <w:pPr>
        <w:rPr>
          <w:rFonts w:ascii="Calibri" w:hAnsi="Calibri" w:cs="Calibri"/>
          <w:b/>
          <w:bCs/>
        </w:rPr>
      </w:pPr>
    </w:p>
    <w:p w14:paraId="1B3C0BCE" w14:textId="77777777" w:rsidR="00830032" w:rsidRPr="00780682" w:rsidRDefault="00830032" w:rsidP="00830032">
      <w:pPr>
        <w:rPr>
          <w:rFonts w:ascii="Calibri" w:hAnsi="Calibri" w:cs="Calibri"/>
          <w:b/>
          <w:bCs/>
        </w:rPr>
      </w:pPr>
    </w:p>
    <w:p w14:paraId="5F913C91" w14:textId="77777777" w:rsidR="00830032" w:rsidRPr="00780682" w:rsidRDefault="00830032" w:rsidP="00830032">
      <w:pPr>
        <w:rPr>
          <w:rFonts w:ascii="Calibri" w:hAnsi="Calibri" w:cs="Calibri"/>
          <w:b/>
          <w:bCs/>
        </w:rPr>
      </w:pPr>
    </w:p>
    <w:p w14:paraId="2E339FEE" w14:textId="77777777" w:rsidR="004D7113" w:rsidRPr="00780682" w:rsidRDefault="004D7113" w:rsidP="00920CE7">
      <w:pPr>
        <w:rPr>
          <w:rFonts w:ascii="Calibri" w:hAnsi="Calibri" w:cs="Calibri"/>
          <w:b/>
          <w:bCs/>
        </w:rPr>
      </w:pPr>
    </w:p>
    <w:p w14:paraId="3007EB81" w14:textId="77777777" w:rsidR="004D7113" w:rsidRPr="00780682" w:rsidRDefault="004D7113" w:rsidP="00920CE7">
      <w:pPr>
        <w:rPr>
          <w:rFonts w:ascii="Calibri" w:hAnsi="Calibri" w:cs="Calibri"/>
          <w:b/>
          <w:bCs/>
        </w:rPr>
      </w:pPr>
    </w:p>
    <w:p w14:paraId="1E1B7E51" w14:textId="77777777" w:rsidR="004D7113" w:rsidRPr="00780682" w:rsidRDefault="004D7113" w:rsidP="00920CE7">
      <w:pPr>
        <w:rPr>
          <w:rFonts w:ascii="Calibri" w:hAnsi="Calibri" w:cs="Calibri"/>
          <w:b/>
          <w:bCs/>
        </w:rPr>
      </w:pPr>
    </w:p>
    <w:p w14:paraId="192706F5" w14:textId="77777777" w:rsidR="004D7113" w:rsidRPr="00780682" w:rsidRDefault="004D7113" w:rsidP="00920CE7">
      <w:pPr>
        <w:rPr>
          <w:rFonts w:ascii="Calibri" w:hAnsi="Calibri" w:cs="Calibri"/>
          <w:b/>
          <w:bCs/>
        </w:rPr>
      </w:pPr>
    </w:p>
    <w:p w14:paraId="5C6A46A3" w14:textId="77777777" w:rsidR="004D7113" w:rsidRDefault="004D7113" w:rsidP="00920CE7">
      <w:pPr>
        <w:rPr>
          <w:rFonts w:ascii="Calibri" w:hAnsi="Calibri" w:cs="Calibri"/>
          <w:b/>
          <w:bCs/>
        </w:rPr>
      </w:pPr>
    </w:p>
    <w:p w14:paraId="7D076AFA" w14:textId="77777777" w:rsidR="008C64DD" w:rsidRPr="00780682" w:rsidRDefault="008C64DD" w:rsidP="00920CE7">
      <w:pPr>
        <w:rPr>
          <w:rFonts w:ascii="Calibri" w:hAnsi="Calibri" w:cs="Calibri"/>
          <w:b/>
          <w:bCs/>
        </w:rPr>
      </w:pPr>
    </w:p>
    <w:p w14:paraId="40D239C8" w14:textId="77777777" w:rsidR="004D7113" w:rsidRPr="00780682" w:rsidRDefault="004D7113" w:rsidP="00920CE7">
      <w:pPr>
        <w:rPr>
          <w:rFonts w:ascii="Calibri" w:hAnsi="Calibri" w:cs="Calibri"/>
          <w:b/>
          <w:bCs/>
        </w:rPr>
      </w:pPr>
    </w:p>
    <w:p w14:paraId="755420ED" w14:textId="77777777" w:rsidR="004D7113" w:rsidRPr="00780682" w:rsidRDefault="004D7113" w:rsidP="00920CE7">
      <w:pPr>
        <w:rPr>
          <w:rFonts w:ascii="Calibri" w:hAnsi="Calibri" w:cs="Calibri"/>
          <w:b/>
          <w:bCs/>
        </w:rPr>
      </w:pPr>
    </w:p>
    <w:p w14:paraId="48A47F3D" w14:textId="77777777" w:rsidR="004D7113" w:rsidRPr="00780682" w:rsidRDefault="004D7113" w:rsidP="00920CE7">
      <w:pPr>
        <w:rPr>
          <w:rFonts w:ascii="Calibri" w:hAnsi="Calibri" w:cs="Calibri"/>
          <w:b/>
          <w:bCs/>
        </w:rPr>
      </w:pPr>
    </w:p>
    <w:p w14:paraId="3EF47DA4" w14:textId="783D1047" w:rsidR="00920CE7" w:rsidRPr="00780682" w:rsidRDefault="003864B0" w:rsidP="000F5722">
      <w:pPr>
        <w:pStyle w:val="Heading2"/>
      </w:pPr>
      <w:r w:rsidRPr="00780682">
        <w:lastRenderedPageBreak/>
        <w:t>R</w:t>
      </w:r>
      <w:r w:rsidR="00920CE7" w:rsidRPr="00780682">
        <w:t>esearch Context</w:t>
      </w:r>
    </w:p>
    <w:p w14:paraId="1B00E6D4" w14:textId="37BB0527" w:rsidR="0054188A" w:rsidRDefault="0054188A" w:rsidP="0054188A">
      <w:pPr>
        <w:spacing w:line="360" w:lineRule="auto"/>
        <w:rPr>
          <w:rFonts w:ascii="Calibri" w:hAnsi="Calibri" w:cs="Calibri"/>
          <w:i/>
          <w:iCs/>
        </w:rPr>
      </w:pPr>
      <w:r w:rsidRPr="0054188A">
        <w:rPr>
          <w:rFonts w:ascii="Calibri" w:hAnsi="Calibri" w:cs="Calibri"/>
        </w:rPr>
        <w:t>Th</w:t>
      </w:r>
      <w:r w:rsidR="009616FF">
        <w:rPr>
          <w:rFonts w:ascii="Calibri" w:hAnsi="Calibri" w:cs="Calibri"/>
        </w:rPr>
        <w:t>e</w:t>
      </w:r>
      <w:r w:rsidRPr="0054188A">
        <w:rPr>
          <w:rFonts w:ascii="Calibri" w:hAnsi="Calibri" w:cs="Calibri"/>
        </w:rPr>
        <w:t xml:space="preserve"> proposed study explores how primary school teachers in Wales experience and reflect on their wellbeing before, during, and after residential educational visits. While teacher wellbeing is increasingly recognised as a national and international concern (OECD, 2021; </w:t>
      </w:r>
      <w:proofErr w:type="spellStart"/>
      <w:r w:rsidRPr="0054188A">
        <w:rPr>
          <w:rFonts w:ascii="Calibri" w:hAnsi="Calibri" w:cs="Calibri"/>
        </w:rPr>
        <w:t>Viac</w:t>
      </w:r>
      <w:proofErr w:type="spellEnd"/>
      <w:r w:rsidRPr="0054188A">
        <w:rPr>
          <w:rFonts w:ascii="Calibri" w:hAnsi="Calibri" w:cs="Calibri"/>
        </w:rPr>
        <w:t xml:space="preserve"> &amp; Fraser, 2020), much of the </w:t>
      </w:r>
      <w:r w:rsidR="0005353A">
        <w:rPr>
          <w:rFonts w:ascii="Calibri" w:hAnsi="Calibri" w:cs="Calibri"/>
        </w:rPr>
        <w:t xml:space="preserve">existing </w:t>
      </w:r>
      <w:r w:rsidRPr="0054188A">
        <w:rPr>
          <w:rFonts w:ascii="Calibri" w:hAnsi="Calibri" w:cs="Calibri"/>
        </w:rPr>
        <w:t xml:space="preserve">literature remains focused on alleviating negative pressures such as workload, accountability, and emotional labour (Day &amp; Gu, 2010; </w:t>
      </w:r>
      <w:proofErr w:type="spellStart"/>
      <w:r w:rsidRPr="0054188A">
        <w:rPr>
          <w:rFonts w:ascii="Calibri" w:hAnsi="Calibri" w:cs="Calibri"/>
        </w:rPr>
        <w:t>Skaalvik</w:t>
      </w:r>
      <w:proofErr w:type="spellEnd"/>
      <w:r w:rsidRPr="0054188A">
        <w:rPr>
          <w:rFonts w:ascii="Calibri" w:hAnsi="Calibri" w:cs="Calibri"/>
        </w:rPr>
        <w:t xml:space="preserve"> &amp; </w:t>
      </w:r>
      <w:proofErr w:type="spellStart"/>
      <w:r w:rsidRPr="0054188A">
        <w:rPr>
          <w:rFonts w:ascii="Calibri" w:hAnsi="Calibri" w:cs="Calibri"/>
        </w:rPr>
        <w:t>Skaalvik</w:t>
      </w:r>
      <w:proofErr w:type="spellEnd"/>
      <w:r w:rsidRPr="0054188A">
        <w:rPr>
          <w:rFonts w:ascii="Calibri" w:hAnsi="Calibri" w:cs="Calibri"/>
        </w:rPr>
        <w:t>, 2017), with less attention given to the positive, relational, or restorative aspects of teachers’ professional lives (Acton &amp; Glasgow, 2015; Stewart, 2014). In parallel</w:t>
      </w:r>
      <w:r w:rsidR="0005353A">
        <w:rPr>
          <w:rFonts w:ascii="Calibri" w:hAnsi="Calibri" w:cs="Calibri"/>
        </w:rPr>
        <w:t xml:space="preserve"> to this</w:t>
      </w:r>
      <w:r w:rsidRPr="0054188A">
        <w:rPr>
          <w:rFonts w:ascii="Calibri" w:hAnsi="Calibri" w:cs="Calibri"/>
        </w:rPr>
        <w:t xml:space="preserve">, research on residential educational visits typically centres on pupil outcomes, highlighting gains in confidence, engagement, and social development (Behrendt &amp; Franklin, 2014; </w:t>
      </w:r>
      <w:proofErr w:type="spellStart"/>
      <w:r w:rsidRPr="0054188A">
        <w:rPr>
          <w:rFonts w:ascii="Calibri" w:hAnsi="Calibri" w:cs="Calibri"/>
        </w:rPr>
        <w:t>Rickinson</w:t>
      </w:r>
      <w:proofErr w:type="spellEnd"/>
      <w:r w:rsidRPr="0054188A">
        <w:rPr>
          <w:rFonts w:ascii="Calibri" w:hAnsi="Calibri" w:cs="Calibri"/>
        </w:rPr>
        <w:t xml:space="preserve"> </w:t>
      </w:r>
      <w:r w:rsidRPr="008842A4">
        <w:rPr>
          <w:rFonts w:ascii="Calibri" w:hAnsi="Calibri" w:cs="Calibri"/>
          <w:i/>
          <w:iCs/>
        </w:rPr>
        <w:t>et al</w:t>
      </w:r>
      <w:r w:rsidRPr="0054188A">
        <w:rPr>
          <w:rFonts w:ascii="Calibri" w:hAnsi="Calibri" w:cs="Calibri"/>
        </w:rPr>
        <w:t>., 2004), while largely overlooking the experiences of the adults who lead them (Singh &amp; Thompson, 2024). This study seeks to address this gap by foregrounding teacher voice and reflection</w:t>
      </w:r>
      <w:r w:rsidR="008842A4">
        <w:rPr>
          <w:rFonts w:ascii="Calibri" w:hAnsi="Calibri" w:cs="Calibri"/>
        </w:rPr>
        <w:t>, through the</w:t>
      </w:r>
      <w:r w:rsidRPr="0054188A">
        <w:rPr>
          <w:rFonts w:ascii="Calibri" w:hAnsi="Calibri" w:cs="Calibri"/>
        </w:rPr>
        <w:t xml:space="preserve"> central research question</w:t>
      </w:r>
      <w:r w:rsidR="008842A4">
        <w:rPr>
          <w:rFonts w:ascii="Calibri" w:hAnsi="Calibri" w:cs="Calibri"/>
        </w:rPr>
        <w:t xml:space="preserve">; </w:t>
      </w:r>
      <w:r w:rsidR="0016025B">
        <w:rPr>
          <w:rFonts w:ascii="Calibri" w:hAnsi="Calibri" w:cs="Calibri"/>
        </w:rPr>
        <w:t>“</w:t>
      </w:r>
      <w:r w:rsidRPr="0054188A">
        <w:rPr>
          <w:rFonts w:ascii="Calibri" w:hAnsi="Calibri" w:cs="Calibri"/>
          <w:i/>
          <w:iCs/>
        </w:rPr>
        <w:t>How do primary school teachers perceive the impact of residential educational visits on their wellbeing?</w:t>
      </w:r>
      <w:r w:rsidR="0016025B">
        <w:rPr>
          <w:rFonts w:ascii="Calibri" w:hAnsi="Calibri" w:cs="Calibri"/>
          <w:i/>
          <w:iCs/>
        </w:rPr>
        <w:t>”.</w:t>
      </w:r>
    </w:p>
    <w:p w14:paraId="779BE1DE" w14:textId="2B18F4B4" w:rsidR="0005461E" w:rsidRDefault="0005461E" w:rsidP="0005461E">
      <w:pPr>
        <w:spacing w:line="360" w:lineRule="auto"/>
        <w:rPr>
          <w:rFonts w:ascii="Calibri" w:hAnsi="Calibri" w:cs="Calibri"/>
        </w:rPr>
      </w:pPr>
      <w:r w:rsidRPr="0005461E">
        <w:rPr>
          <w:rFonts w:ascii="Calibri" w:hAnsi="Calibri" w:cs="Calibri"/>
        </w:rPr>
        <w:t xml:space="preserve">In an educational context, residential visits refer to school-led experiences where pupils and staff stay overnight away from home. These visits typically involve outdoor learning, team-building, cultural enrichment, or curriculum-linked activities and may take place in venues such as national parks, museums, or heritage centres (Waite, 2011; </w:t>
      </w:r>
      <w:proofErr w:type="spellStart"/>
      <w:r w:rsidRPr="0005461E">
        <w:rPr>
          <w:rFonts w:ascii="Calibri" w:hAnsi="Calibri" w:cs="Calibri"/>
        </w:rPr>
        <w:t>Rickinson</w:t>
      </w:r>
      <w:proofErr w:type="spellEnd"/>
      <w:r w:rsidRPr="0005461E">
        <w:rPr>
          <w:rFonts w:ascii="Calibri" w:hAnsi="Calibri" w:cs="Calibri"/>
        </w:rPr>
        <w:t xml:space="preserve"> </w:t>
      </w:r>
      <w:r w:rsidRPr="0005461E">
        <w:rPr>
          <w:rFonts w:ascii="Calibri" w:hAnsi="Calibri" w:cs="Calibri"/>
          <w:i/>
          <w:iCs/>
        </w:rPr>
        <w:t>et al</w:t>
      </w:r>
      <w:r w:rsidRPr="0005461E">
        <w:rPr>
          <w:rFonts w:ascii="Calibri" w:hAnsi="Calibri" w:cs="Calibri"/>
        </w:rPr>
        <w:t>., 2004). In some cases, they also involve repeated engagement with a site over time, supporting deeper immersion and connection to place. Within the Welsh education system, residential visits are encouraged as part of a broader emphasis on meaningful, real-world learning. The Curriculum for Wales (Welsh Government, 2022) promotes “authentic and purposeful experiences” that engage learners actively in their communities and environments. This research is particularly aligned with the Health and Wellbeing Area of Learning and Experience (</w:t>
      </w:r>
      <w:proofErr w:type="spellStart"/>
      <w:r w:rsidRPr="0005461E">
        <w:rPr>
          <w:rFonts w:ascii="Calibri" w:hAnsi="Calibri" w:cs="Calibri"/>
        </w:rPr>
        <w:t>AoLE</w:t>
      </w:r>
      <w:proofErr w:type="spellEnd"/>
      <w:r w:rsidRPr="0005461E">
        <w:rPr>
          <w:rFonts w:ascii="Calibri" w:hAnsi="Calibri" w:cs="Calibri"/>
        </w:rPr>
        <w:t>), which prioritises emotional development, relationships, and resilience-building. Residential experiences also support two of the curriculum’s Four Purposes: helping learners to become healthy, confident individuals and ethical, informed citizens</w:t>
      </w:r>
      <w:r w:rsidR="009B429C" w:rsidRPr="009B429C">
        <w:rPr>
          <w:rFonts w:ascii="Calibri" w:hAnsi="Calibri" w:cs="Calibri"/>
        </w:rPr>
        <w:t xml:space="preserve"> (</w:t>
      </w:r>
      <w:r w:rsidR="00AE2049">
        <w:rPr>
          <w:rFonts w:ascii="Calibri" w:hAnsi="Calibri" w:cs="Calibri"/>
        </w:rPr>
        <w:t xml:space="preserve">Welsh </w:t>
      </w:r>
      <w:proofErr w:type="spellStart"/>
      <w:r w:rsidR="00AE2049">
        <w:rPr>
          <w:rFonts w:ascii="Calibri" w:hAnsi="Calibri" w:cs="Calibri"/>
        </w:rPr>
        <w:t>Goverment</w:t>
      </w:r>
      <w:proofErr w:type="spellEnd"/>
      <w:r w:rsidR="009B429C" w:rsidRPr="009B429C">
        <w:rPr>
          <w:rFonts w:ascii="Calibri" w:hAnsi="Calibri" w:cs="Calibri"/>
        </w:rPr>
        <w:t>, 2022)</w:t>
      </w:r>
      <w:r w:rsidRPr="0005461E">
        <w:rPr>
          <w:rFonts w:ascii="Calibri" w:hAnsi="Calibri" w:cs="Calibri"/>
        </w:rPr>
        <w:t xml:space="preserve">. The study </w:t>
      </w:r>
      <w:r w:rsidR="009B429C">
        <w:rPr>
          <w:rFonts w:ascii="Calibri" w:hAnsi="Calibri" w:cs="Calibri"/>
        </w:rPr>
        <w:t>aims to</w:t>
      </w:r>
      <w:r w:rsidRPr="0005461E">
        <w:rPr>
          <w:rFonts w:ascii="Calibri" w:hAnsi="Calibri" w:cs="Calibri"/>
        </w:rPr>
        <w:t xml:space="preserve"> gather teachers</w:t>
      </w:r>
      <w:r w:rsidR="009B429C">
        <w:rPr>
          <w:rFonts w:ascii="Calibri" w:hAnsi="Calibri" w:cs="Calibri"/>
        </w:rPr>
        <w:t xml:space="preserve"> in </w:t>
      </w:r>
      <w:r w:rsidR="00AE2049">
        <w:rPr>
          <w:rFonts w:ascii="Calibri" w:hAnsi="Calibri" w:cs="Calibri"/>
        </w:rPr>
        <w:t>Wales’s</w:t>
      </w:r>
      <w:r w:rsidRPr="0005461E">
        <w:rPr>
          <w:rFonts w:ascii="Calibri" w:hAnsi="Calibri" w:cs="Calibri"/>
        </w:rPr>
        <w:t xml:space="preserve"> perspectives on how such visits impact their own wellbeing and professional motivation</w:t>
      </w:r>
      <w:r w:rsidR="009B429C">
        <w:rPr>
          <w:rFonts w:ascii="Calibri" w:hAnsi="Calibri" w:cs="Calibri"/>
        </w:rPr>
        <w:t xml:space="preserve">; </w:t>
      </w:r>
      <w:r w:rsidRPr="0005461E">
        <w:rPr>
          <w:rFonts w:ascii="Calibri" w:hAnsi="Calibri" w:cs="Calibri"/>
        </w:rPr>
        <w:t>conducted ethically in line with BERA (2024) guidelines, with a clear focus on teacher voice and voluntary participation</w:t>
      </w:r>
      <w:r w:rsidR="009B429C">
        <w:rPr>
          <w:rFonts w:ascii="Calibri" w:hAnsi="Calibri" w:cs="Calibri"/>
        </w:rPr>
        <w:t xml:space="preserve"> able to withdraw at any time</w:t>
      </w:r>
      <w:r w:rsidRPr="0005461E">
        <w:rPr>
          <w:rFonts w:ascii="Calibri" w:hAnsi="Calibri" w:cs="Calibri"/>
        </w:rPr>
        <w:t>.</w:t>
      </w:r>
      <w:r w:rsidR="00E1407C">
        <w:rPr>
          <w:rFonts w:ascii="Calibri" w:hAnsi="Calibri" w:cs="Calibri"/>
        </w:rPr>
        <w:br/>
      </w:r>
    </w:p>
    <w:p w14:paraId="1D1DD977" w14:textId="77777777" w:rsidR="000F5722" w:rsidRPr="0005461E" w:rsidRDefault="000F5722" w:rsidP="0005461E">
      <w:pPr>
        <w:spacing w:line="360" w:lineRule="auto"/>
        <w:rPr>
          <w:rFonts w:ascii="Calibri" w:hAnsi="Calibri" w:cs="Calibri"/>
        </w:rPr>
      </w:pPr>
    </w:p>
    <w:p w14:paraId="67C96BF0" w14:textId="56363DE8" w:rsidR="00684FDD" w:rsidRPr="00780682" w:rsidRDefault="00F367B5" w:rsidP="000F5722">
      <w:pPr>
        <w:pStyle w:val="Heading2"/>
      </w:pPr>
      <w:r>
        <w:lastRenderedPageBreak/>
        <w:t>R</w:t>
      </w:r>
      <w:r w:rsidR="00684FDD" w:rsidRPr="00780682">
        <w:t xml:space="preserve">esearch Design </w:t>
      </w:r>
      <w:r w:rsidR="00AD22F0" w:rsidRPr="00780682">
        <w:t>and</w:t>
      </w:r>
      <w:r w:rsidR="00684FDD" w:rsidRPr="00780682">
        <w:t xml:space="preserve"> Methodology</w:t>
      </w:r>
    </w:p>
    <w:p w14:paraId="7AD8BC7C" w14:textId="4BCDA18A" w:rsidR="00911D5A" w:rsidRPr="00911D5A" w:rsidRDefault="00911D5A" w:rsidP="00911D5A">
      <w:pPr>
        <w:spacing w:line="360" w:lineRule="auto"/>
        <w:rPr>
          <w:rFonts w:ascii="Calibri" w:hAnsi="Calibri" w:cs="Calibri"/>
        </w:rPr>
      </w:pPr>
      <w:r w:rsidRPr="00911D5A">
        <w:rPr>
          <w:rFonts w:ascii="Calibri" w:hAnsi="Calibri" w:cs="Calibri"/>
        </w:rPr>
        <w:t xml:space="preserve">All research is shaped by an underlying philosophical worldview, which informs assumptions about knowledge, reality, and values (Cohen </w:t>
      </w:r>
      <w:r w:rsidR="00E1407C" w:rsidRPr="00E1407C">
        <w:rPr>
          <w:rFonts w:ascii="Calibri" w:hAnsi="Calibri" w:cs="Calibri"/>
          <w:i/>
          <w:iCs/>
        </w:rPr>
        <w:t>et al</w:t>
      </w:r>
      <w:r w:rsidR="00E1407C">
        <w:rPr>
          <w:rFonts w:ascii="Calibri" w:hAnsi="Calibri" w:cs="Calibri"/>
        </w:rPr>
        <w:t xml:space="preserve">., </w:t>
      </w:r>
      <w:r w:rsidRPr="00911D5A">
        <w:rPr>
          <w:rFonts w:ascii="Calibri" w:hAnsi="Calibri" w:cs="Calibri"/>
        </w:rPr>
        <w:t>2018). Th</w:t>
      </w:r>
      <w:r w:rsidR="00E1407C">
        <w:rPr>
          <w:rFonts w:ascii="Calibri" w:hAnsi="Calibri" w:cs="Calibri"/>
        </w:rPr>
        <w:t>e</w:t>
      </w:r>
      <w:r w:rsidRPr="00911D5A">
        <w:rPr>
          <w:rFonts w:ascii="Calibri" w:hAnsi="Calibri" w:cs="Calibri"/>
        </w:rPr>
        <w:t xml:space="preserve"> proposed </w:t>
      </w:r>
      <w:r w:rsidR="00E1407C">
        <w:rPr>
          <w:rFonts w:ascii="Calibri" w:hAnsi="Calibri" w:cs="Calibri"/>
        </w:rPr>
        <w:t>research</w:t>
      </w:r>
      <w:r w:rsidRPr="00911D5A">
        <w:rPr>
          <w:rFonts w:ascii="Calibri" w:hAnsi="Calibri" w:cs="Calibri"/>
        </w:rPr>
        <w:t xml:space="preserve"> adopts a constructivist stance, recognising that knowledge is constructed through subjective experience and interaction with the world</w:t>
      </w:r>
      <w:r w:rsidR="00E1407C">
        <w:rPr>
          <w:rFonts w:ascii="Calibri" w:hAnsi="Calibri" w:cs="Calibri"/>
        </w:rPr>
        <w:t xml:space="preserve"> - c</w:t>
      </w:r>
      <w:r w:rsidRPr="00911D5A">
        <w:rPr>
          <w:rFonts w:ascii="Calibri" w:hAnsi="Calibri" w:cs="Calibri"/>
        </w:rPr>
        <w:t xml:space="preserve">onstructivism assumes there is no single objective reality; instead, people make meaning based on their contexts, relationships, and interpretations (Creswell &amp; Creswell, 2023). For this </w:t>
      </w:r>
      <w:r w:rsidR="00E1407C">
        <w:rPr>
          <w:rFonts w:ascii="Calibri" w:hAnsi="Calibri" w:cs="Calibri"/>
        </w:rPr>
        <w:t>research</w:t>
      </w:r>
      <w:r w:rsidRPr="00911D5A">
        <w:rPr>
          <w:rFonts w:ascii="Calibri" w:hAnsi="Calibri" w:cs="Calibri"/>
        </w:rPr>
        <w:t xml:space="preserve">, teacher wellbeing is viewed as a dynamic, relational construct </w:t>
      </w:r>
      <w:r w:rsidR="00E1407C">
        <w:rPr>
          <w:rFonts w:ascii="Calibri" w:hAnsi="Calibri" w:cs="Calibri"/>
        </w:rPr>
        <w:t xml:space="preserve">that is </w:t>
      </w:r>
      <w:r w:rsidRPr="00911D5A">
        <w:rPr>
          <w:rFonts w:ascii="Calibri" w:hAnsi="Calibri" w:cs="Calibri"/>
        </w:rPr>
        <w:t>shaped by personal, emotional, and contextual factors that cannot be reduced to absolute truths or measured in isolation. The focus is not to test a hypothesis or identify ‘truths’, but to interpret the ways teachers make sense of their wellbeing through the lived experience of residential visits</w:t>
      </w:r>
      <w:r w:rsidR="00AF1A79">
        <w:rPr>
          <w:rFonts w:ascii="Calibri" w:hAnsi="Calibri" w:cs="Calibri"/>
        </w:rPr>
        <w:t xml:space="preserve"> (Roffey, 2012; Day &amp; Gu, 2010)</w:t>
      </w:r>
      <w:r w:rsidR="009727D6">
        <w:rPr>
          <w:rFonts w:ascii="Calibri" w:hAnsi="Calibri" w:cs="Calibri"/>
        </w:rPr>
        <w:t>.</w:t>
      </w:r>
    </w:p>
    <w:p w14:paraId="67C3E2BF" w14:textId="7D77E9F8" w:rsidR="00911D5A" w:rsidRPr="00911D5A" w:rsidRDefault="00911D5A" w:rsidP="00911D5A">
      <w:pPr>
        <w:spacing w:line="360" w:lineRule="auto"/>
        <w:rPr>
          <w:rFonts w:ascii="Calibri" w:hAnsi="Calibri" w:cs="Calibri"/>
        </w:rPr>
      </w:pPr>
      <w:r w:rsidRPr="00911D5A">
        <w:rPr>
          <w:rFonts w:ascii="Calibri" w:hAnsi="Calibri" w:cs="Calibri"/>
        </w:rPr>
        <w:t>Constructivism is particularly appropriate when exploring emotional experiences, where meaning is derived through reflection, narrative, and dialogue</w:t>
      </w:r>
      <w:r w:rsidR="007C4F7B">
        <w:rPr>
          <w:rFonts w:ascii="Calibri" w:hAnsi="Calibri" w:cs="Calibri"/>
        </w:rPr>
        <w:t xml:space="preserve"> (Bruner, 1990; Creswell &amp; </w:t>
      </w:r>
      <w:proofErr w:type="spellStart"/>
      <w:r w:rsidR="007C4F7B">
        <w:rPr>
          <w:rFonts w:ascii="Calibri" w:hAnsi="Calibri" w:cs="Calibri"/>
        </w:rPr>
        <w:t>Poth</w:t>
      </w:r>
      <w:proofErr w:type="spellEnd"/>
      <w:r w:rsidR="007C4F7B">
        <w:rPr>
          <w:rFonts w:ascii="Calibri" w:hAnsi="Calibri" w:cs="Calibri"/>
        </w:rPr>
        <w:t>, 2018)</w:t>
      </w:r>
      <w:r w:rsidRPr="00911D5A">
        <w:rPr>
          <w:rFonts w:ascii="Calibri" w:hAnsi="Calibri" w:cs="Calibri"/>
        </w:rPr>
        <w:t>. In this case, the research centres on teachers’ perceptions, feelings, and professional identity</w:t>
      </w:r>
      <w:r w:rsidR="007C4F7B">
        <w:rPr>
          <w:rFonts w:ascii="Calibri" w:hAnsi="Calibri" w:cs="Calibri"/>
        </w:rPr>
        <w:t>. As such, this is</w:t>
      </w:r>
      <w:r w:rsidRPr="00911D5A">
        <w:rPr>
          <w:rFonts w:ascii="Calibri" w:hAnsi="Calibri" w:cs="Calibri"/>
        </w:rPr>
        <w:t xml:space="preserve"> best approached through qualitative methods that </w:t>
      </w:r>
      <w:r w:rsidR="007C4F7B">
        <w:rPr>
          <w:rFonts w:ascii="Calibri" w:hAnsi="Calibri" w:cs="Calibri"/>
        </w:rPr>
        <w:t>consider</w:t>
      </w:r>
      <w:r w:rsidRPr="00911D5A">
        <w:rPr>
          <w:rFonts w:ascii="Calibri" w:hAnsi="Calibri" w:cs="Calibri"/>
        </w:rPr>
        <w:t xml:space="preserve"> subjectivity, diversity, and context (Lincoln &amp; Guba, 1985</w:t>
      </w:r>
      <w:r w:rsidR="0049407D">
        <w:rPr>
          <w:rFonts w:ascii="Calibri" w:hAnsi="Calibri" w:cs="Calibri"/>
        </w:rPr>
        <w:t>; Braun &amp; Clarke, 2022</w:t>
      </w:r>
      <w:r w:rsidRPr="00911D5A">
        <w:rPr>
          <w:rFonts w:ascii="Calibri" w:hAnsi="Calibri" w:cs="Calibri"/>
        </w:rPr>
        <w:t xml:space="preserve">). </w:t>
      </w:r>
      <w:r w:rsidR="003030CD">
        <w:rPr>
          <w:rFonts w:ascii="Calibri" w:hAnsi="Calibri" w:cs="Calibri"/>
        </w:rPr>
        <w:t>T</w:t>
      </w:r>
      <w:r w:rsidRPr="00911D5A">
        <w:rPr>
          <w:rFonts w:ascii="Calibri" w:hAnsi="Calibri" w:cs="Calibri"/>
        </w:rPr>
        <w:t>he goal</w:t>
      </w:r>
      <w:r w:rsidR="003030CD">
        <w:rPr>
          <w:rFonts w:ascii="Calibri" w:hAnsi="Calibri" w:cs="Calibri"/>
        </w:rPr>
        <w:t xml:space="preserve"> of this stance</w:t>
      </w:r>
      <w:r w:rsidRPr="00911D5A">
        <w:rPr>
          <w:rFonts w:ascii="Calibri" w:hAnsi="Calibri" w:cs="Calibri"/>
        </w:rPr>
        <w:t xml:space="preserve"> is transferability </w:t>
      </w:r>
      <w:r w:rsidR="003030CD">
        <w:rPr>
          <w:rFonts w:ascii="Calibri" w:hAnsi="Calibri" w:cs="Calibri"/>
        </w:rPr>
        <w:t>by</w:t>
      </w:r>
      <w:r w:rsidRPr="00911D5A">
        <w:rPr>
          <w:rFonts w:ascii="Calibri" w:hAnsi="Calibri" w:cs="Calibri"/>
        </w:rPr>
        <w:t xml:space="preserve"> providing rich, contextualised insights that may inform practice in similar educational settings (Patton, 2015)</w:t>
      </w:r>
      <w:r w:rsidR="003030CD">
        <w:rPr>
          <w:rFonts w:ascii="Calibri" w:hAnsi="Calibri" w:cs="Calibri"/>
        </w:rPr>
        <w:t>, possibly shaping future practice in Wales to align with the Curriculum for Wales (2022)</w:t>
      </w:r>
      <w:r w:rsidRPr="00911D5A">
        <w:rPr>
          <w:rFonts w:ascii="Calibri" w:hAnsi="Calibri" w:cs="Calibri"/>
        </w:rPr>
        <w:t>.</w:t>
      </w:r>
    </w:p>
    <w:p w14:paraId="60DEA369" w14:textId="6BD02145" w:rsidR="00911D5A" w:rsidRPr="00911D5A" w:rsidRDefault="00911D5A" w:rsidP="00311068">
      <w:pPr>
        <w:spacing w:line="360" w:lineRule="auto"/>
        <w:rPr>
          <w:rFonts w:ascii="Calibri" w:hAnsi="Calibri" w:cs="Calibri"/>
        </w:rPr>
      </w:pPr>
      <w:r w:rsidRPr="00911D5A">
        <w:rPr>
          <w:rFonts w:ascii="Calibri" w:hAnsi="Calibri" w:cs="Calibri"/>
        </w:rPr>
        <w:t xml:space="preserve">To explore these experiences, the research will use open-ended reflective prompts delivered via </w:t>
      </w:r>
      <w:r w:rsidR="009B1422">
        <w:rPr>
          <w:rFonts w:ascii="Calibri" w:hAnsi="Calibri" w:cs="Calibri"/>
        </w:rPr>
        <w:t>“</w:t>
      </w:r>
      <w:r w:rsidRPr="00911D5A">
        <w:rPr>
          <w:rFonts w:ascii="Calibri" w:hAnsi="Calibri" w:cs="Calibri"/>
        </w:rPr>
        <w:t>Qualtrics</w:t>
      </w:r>
      <w:r w:rsidR="009B1422">
        <w:rPr>
          <w:rFonts w:ascii="Calibri" w:hAnsi="Calibri" w:cs="Calibri"/>
        </w:rPr>
        <w:t>”</w:t>
      </w:r>
      <w:r w:rsidRPr="00911D5A">
        <w:rPr>
          <w:rFonts w:ascii="Calibri" w:hAnsi="Calibri" w:cs="Calibri"/>
        </w:rPr>
        <w:t xml:space="preserve">, an online tool that supports secure, anonymous participation and allows for flexible, qualitative data collection. While Qualtrics is commonly associated with surveys and quantitative methods, it also enables researchers to gather in-depth written reflections at scale (Roberts </w:t>
      </w:r>
      <w:r w:rsidRPr="00911D5A">
        <w:rPr>
          <w:rFonts w:ascii="Calibri" w:hAnsi="Calibri" w:cs="Calibri"/>
          <w:i/>
          <w:iCs/>
        </w:rPr>
        <w:t>et al.,</w:t>
      </w:r>
      <w:r w:rsidRPr="00911D5A">
        <w:rPr>
          <w:rFonts w:ascii="Calibri" w:hAnsi="Calibri" w:cs="Calibri"/>
        </w:rPr>
        <w:t xml:space="preserve"> 2021). </w:t>
      </w:r>
      <w:r w:rsidR="008130FB" w:rsidRPr="008130FB">
        <w:rPr>
          <w:rFonts w:ascii="Calibri" w:hAnsi="Calibri" w:cs="Calibri"/>
        </w:rPr>
        <w:t xml:space="preserve">Qualtrics is a suitable tool for collecting open-ended reflections from primary school teachers, particularly when researching sensitive topics like wellbeing. Its anonymous, flexible format can encourage honest, thoughtful responses from a broader range of participants who may not feel comfortable in face-to-face interviews (Evans &amp; Mathur, 2005; </w:t>
      </w:r>
      <w:r w:rsidR="00311068" w:rsidRPr="00311068">
        <w:rPr>
          <w:rFonts w:ascii="Calibri" w:hAnsi="Calibri" w:cs="Calibri"/>
        </w:rPr>
        <w:t xml:space="preserve">Archibald </w:t>
      </w:r>
      <w:r w:rsidR="00311068" w:rsidRPr="00311068">
        <w:rPr>
          <w:rFonts w:ascii="Calibri" w:hAnsi="Calibri" w:cs="Calibri"/>
          <w:i/>
          <w:iCs/>
        </w:rPr>
        <w:t>et al</w:t>
      </w:r>
      <w:r w:rsidR="00311068" w:rsidRPr="00311068">
        <w:rPr>
          <w:rFonts w:ascii="Calibri" w:hAnsi="Calibri" w:cs="Calibri"/>
        </w:rPr>
        <w:t>., 2019</w:t>
      </w:r>
      <w:r w:rsidR="00311068">
        <w:rPr>
          <w:rFonts w:ascii="Calibri" w:hAnsi="Calibri" w:cs="Calibri"/>
        </w:rPr>
        <w:t xml:space="preserve">; </w:t>
      </w:r>
      <w:r w:rsidR="008130FB" w:rsidRPr="008130FB">
        <w:rPr>
          <w:rFonts w:ascii="Calibri" w:hAnsi="Calibri" w:cs="Calibri"/>
        </w:rPr>
        <w:t>Braun &amp; Clarke, 2022). It also ensures clear consent procedures and ethical compliance in line with BERA (2024) guidelines</w:t>
      </w:r>
      <w:r w:rsidR="00D325C4">
        <w:rPr>
          <w:rFonts w:ascii="Calibri" w:hAnsi="Calibri" w:cs="Calibri"/>
        </w:rPr>
        <w:t xml:space="preserve"> </w:t>
      </w:r>
      <w:r w:rsidR="008130FB" w:rsidRPr="008130FB">
        <w:rPr>
          <w:rFonts w:ascii="Calibri" w:hAnsi="Calibri" w:cs="Calibri"/>
        </w:rPr>
        <w:t>.</w:t>
      </w:r>
      <w:r w:rsidR="00D325C4">
        <w:rPr>
          <w:rFonts w:ascii="Calibri" w:hAnsi="Calibri" w:cs="Calibri"/>
        </w:rPr>
        <w:t>However</w:t>
      </w:r>
      <w:r w:rsidR="008130FB" w:rsidRPr="008130FB">
        <w:rPr>
          <w:rFonts w:ascii="Calibri" w:hAnsi="Calibri" w:cs="Calibri"/>
        </w:rPr>
        <w:t xml:space="preserve">, one limitation is the lack of opportunity for follow-up or probing questions, which can restrict the depth and emotional nuance that live interviews might yield (King &amp; Horrocks, 2010). </w:t>
      </w:r>
      <w:r w:rsidR="00D325C4">
        <w:rPr>
          <w:rFonts w:ascii="Calibri" w:hAnsi="Calibri" w:cs="Calibri"/>
        </w:rPr>
        <w:t xml:space="preserve"> To mitigate this, </w:t>
      </w:r>
      <w:r w:rsidR="00D325C4">
        <w:rPr>
          <w:rFonts w:ascii="Calibri" w:hAnsi="Calibri" w:cs="Calibri"/>
        </w:rPr>
        <w:t>participants can participate in this initially and then be invited to comme</w:t>
      </w:r>
      <w:r w:rsidR="00D325C4">
        <w:rPr>
          <w:rFonts w:ascii="Calibri" w:hAnsi="Calibri" w:cs="Calibri"/>
        </w:rPr>
        <w:t xml:space="preserve">nt further in an optional face-to-face interview where they may wish to expand on their answers. </w:t>
      </w:r>
      <w:r w:rsidR="008130FB" w:rsidRPr="008130FB">
        <w:rPr>
          <w:rFonts w:ascii="Calibri" w:hAnsi="Calibri" w:cs="Calibri"/>
        </w:rPr>
        <w:t>While written responses may vary in richness, using Qualtrics allows for efficient, ethically sound data collection that supports thematic analysis and aligns with a constructivist approach to exploring teachers’ subjective experiences.</w:t>
      </w:r>
      <w:r w:rsidR="00CE7113">
        <w:rPr>
          <w:rFonts w:ascii="Calibri" w:hAnsi="Calibri" w:cs="Calibri"/>
        </w:rPr>
        <w:t xml:space="preserve"> Hence, p</w:t>
      </w:r>
      <w:r w:rsidRPr="00911D5A">
        <w:rPr>
          <w:rFonts w:ascii="Calibri" w:hAnsi="Calibri" w:cs="Calibri"/>
        </w:rPr>
        <w:t xml:space="preserve">articipants </w:t>
      </w:r>
      <w:r w:rsidRPr="00911D5A">
        <w:rPr>
          <w:rFonts w:ascii="Calibri" w:hAnsi="Calibri" w:cs="Calibri"/>
        </w:rPr>
        <w:lastRenderedPageBreak/>
        <w:t>will be invited to describe their experiences before, during, and after a residential visit, with prompts focusing on emotional responses, professional identity, relationships, and wellbeing. The use of written reflections provides a safe, thoughtful space for participants to process their experiences in their own words and time</w:t>
      </w:r>
      <w:r w:rsidR="00CE7113">
        <w:rPr>
          <w:rFonts w:ascii="Calibri" w:hAnsi="Calibri" w:cs="Calibri"/>
        </w:rPr>
        <w:t>;</w:t>
      </w:r>
      <w:r w:rsidRPr="00911D5A">
        <w:rPr>
          <w:rFonts w:ascii="Calibri" w:hAnsi="Calibri" w:cs="Calibri"/>
        </w:rPr>
        <w:t xml:space="preserve"> which is particularly valuable when discussing emotive or personal topics (Braun &amp; Clarke, 2022).</w:t>
      </w:r>
    </w:p>
    <w:p w14:paraId="582FCDCE" w14:textId="631ECF65" w:rsidR="00911D5A" w:rsidRPr="00911D5A" w:rsidRDefault="00166F10" w:rsidP="00CE67F4">
      <w:pPr>
        <w:spacing w:line="360" w:lineRule="auto"/>
        <w:rPr>
          <w:rFonts w:ascii="Calibri" w:hAnsi="Calibri" w:cs="Calibri"/>
        </w:rPr>
      </w:pPr>
      <w:r w:rsidRPr="00683D44">
        <w:rPr>
          <w:rFonts w:ascii="Calibri" w:hAnsi="Calibri" w:cs="Calibri"/>
        </w:rPr>
        <w:t xml:space="preserve">Ethical considerations are central to the research design, particularly in educational research where participant wellbeing, informed consent, and power dynamics must be carefully managed (BERA, 2024; Cohen </w:t>
      </w:r>
      <w:r w:rsidRPr="00683D44">
        <w:rPr>
          <w:rFonts w:ascii="Calibri" w:hAnsi="Calibri" w:cs="Calibri"/>
          <w:i/>
          <w:iCs/>
        </w:rPr>
        <w:t>et al</w:t>
      </w:r>
      <w:r w:rsidRPr="00683D44">
        <w:rPr>
          <w:rFonts w:ascii="Calibri" w:hAnsi="Calibri" w:cs="Calibri"/>
        </w:rPr>
        <w:t>., 2018).</w:t>
      </w:r>
      <w:r w:rsidR="00911D5A" w:rsidRPr="00911D5A">
        <w:rPr>
          <w:rFonts w:ascii="Calibri" w:hAnsi="Calibri" w:cs="Calibri"/>
        </w:rPr>
        <w:t xml:space="preserve"> While the study excludes children due to additional safeguarding and power-related concerns (Alderson &amp; Morrow, 2020), working with ad</w:t>
      </w:r>
      <w:r w:rsidR="00683D44">
        <w:rPr>
          <w:rFonts w:ascii="Calibri" w:hAnsi="Calibri" w:cs="Calibri"/>
        </w:rPr>
        <w:t>ult</w:t>
      </w:r>
      <w:r w:rsidR="00911D5A" w:rsidRPr="00911D5A">
        <w:rPr>
          <w:rFonts w:ascii="Calibri" w:hAnsi="Calibri" w:cs="Calibri"/>
        </w:rPr>
        <w:t xml:space="preserve"> professionals reflecting on wellbeing still requires care. In line with BERA guidelines (2024) and university ethics protocols, the study will ensure voluntary participation, informed consent, confidentiality, and the right to withdraw at any stage. Teacher wellbeing is an emotionally sensitive topic, so questions will be reviewed for potential distress, and participants will be provided with information on relevant support services</w:t>
      </w:r>
      <w:r w:rsidR="00CE67F4">
        <w:rPr>
          <w:rFonts w:ascii="Calibri" w:hAnsi="Calibri" w:cs="Calibri"/>
        </w:rPr>
        <w:t xml:space="preserve"> </w:t>
      </w:r>
      <w:r w:rsidR="00CE67F4" w:rsidRPr="00CE67F4">
        <w:rPr>
          <w:rFonts w:ascii="Calibri" w:hAnsi="Calibri" w:cs="Calibri"/>
        </w:rPr>
        <w:t xml:space="preserve">(Hammersley &amp; </w:t>
      </w:r>
      <w:proofErr w:type="spellStart"/>
      <w:r w:rsidR="00CE67F4" w:rsidRPr="00CE67F4">
        <w:rPr>
          <w:rFonts w:ascii="Calibri" w:hAnsi="Calibri" w:cs="Calibri"/>
        </w:rPr>
        <w:t>Traianou</w:t>
      </w:r>
      <w:proofErr w:type="spellEnd"/>
      <w:r w:rsidR="00CE67F4" w:rsidRPr="00CE67F4">
        <w:rPr>
          <w:rFonts w:ascii="Calibri" w:hAnsi="Calibri" w:cs="Calibri"/>
        </w:rPr>
        <w:t>, 2012; BERA, 2024)</w:t>
      </w:r>
      <w:r w:rsidR="00911D5A" w:rsidRPr="00911D5A">
        <w:rPr>
          <w:rFonts w:ascii="Calibri" w:hAnsi="Calibri" w:cs="Calibri"/>
        </w:rPr>
        <w:t>. Additionally, anonymous submission via Qualtrics reduces the potential for hierarchical pressure</w:t>
      </w:r>
      <w:r w:rsidR="00F0101F">
        <w:rPr>
          <w:rFonts w:ascii="Calibri" w:hAnsi="Calibri" w:cs="Calibri"/>
        </w:rPr>
        <w:t>, which could exist within a school setting,</w:t>
      </w:r>
      <w:r w:rsidR="00911D5A" w:rsidRPr="00911D5A">
        <w:rPr>
          <w:rFonts w:ascii="Calibri" w:hAnsi="Calibri" w:cs="Calibri"/>
        </w:rPr>
        <w:t xml:space="preserve"> and encourages honest, authentic responses (Greene </w:t>
      </w:r>
      <w:r w:rsidR="00911D5A" w:rsidRPr="00911D5A">
        <w:rPr>
          <w:rFonts w:ascii="Calibri" w:hAnsi="Calibri" w:cs="Calibri"/>
          <w:i/>
          <w:iCs/>
        </w:rPr>
        <w:t>et al</w:t>
      </w:r>
      <w:r w:rsidR="00911D5A" w:rsidRPr="00911D5A">
        <w:rPr>
          <w:rFonts w:ascii="Calibri" w:hAnsi="Calibri" w:cs="Calibri"/>
        </w:rPr>
        <w:t>., 2020).</w:t>
      </w:r>
    </w:p>
    <w:p w14:paraId="3CF74FCC" w14:textId="050ED1F7" w:rsidR="00911D5A" w:rsidRPr="00911D5A" w:rsidRDefault="00911D5A" w:rsidP="009E066F">
      <w:pPr>
        <w:spacing w:line="360" w:lineRule="auto"/>
        <w:rPr>
          <w:rFonts w:ascii="Calibri" w:hAnsi="Calibri" w:cs="Calibri"/>
        </w:rPr>
      </w:pPr>
      <w:r w:rsidRPr="00911D5A">
        <w:rPr>
          <w:rFonts w:ascii="Calibri" w:hAnsi="Calibri" w:cs="Calibri"/>
        </w:rPr>
        <w:t>The study also integrates an optional element: participants may choose to complete the Warwick-Edinburgh Mental Wellbeing Scale (WEMWBS)</w:t>
      </w:r>
      <w:r w:rsidR="00E13C61" w:rsidRPr="00E13C61">
        <w:rPr>
          <w:rFonts w:ascii="Calibri" w:hAnsi="Calibri" w:cs="Calibri"/>
        </w:rPr>
        <w:t xml:space="preserve"> (Appendix 1)</w:t>
      </w:r>
      <w:r w:rsidRPr="00911D5A">
        <w:rPr>
          <w:rFonts w:ascii="Calibri" w:hAnsi="Calibri" w:cs="Calibri"/>
        </w:rPr>
        <w:t xml:space="preserve">. </w:t>
      </w:r>
      <w:r w:rsidR="009E066F" w:rsidRPr="009E066F">
        <w:rPr>
          <w:rFonts w:ascii="Calibri" w:hAnsi="Calibri" w:cs="Calibri"/>
        </w:rPr>
        <w:t>The WEMWBS offers a brief, reliable measure of positive mental wellbeing, making it well-suited to research on teacher experience</w:t>
      </w:r>
      <w:r w:rsidR="009603BE">
        <w:rPr>
          <w:rFonts w:ascii="Calibri" w:hAnsi="Calibri" w:cs="Calibri"/>
        </w:rPr>
        <w:t xml:space="preserve"> as u</w:t>
      </w:r>
      <w:r w:rsidR="009E066F" w:rsidRPr="009E066F">
        <w:rPr>
          <w:rFonts w:ascii="Calibri" w:hAnsi="Calibri" w:cs="Calibri"/>
        </w:rPr>
        <w:t xml:space="preserve">nlike tools that focus on distress, WEMWBS is strengths-based, capturing elements such as energy, optimism, and social connection (Tennant </w:t>
      </w:r>
      <w:r w:rsidR="009E066F" w:rsidRPr="009603BE">
        <w:rPr>
          <w:rFonts w:ascii="Calibri" w:hAnsi="Calibri" w:cs="Calibri"/>
          <w:i/>
          <w:iCs/>
        </w:rPr>
        <w:t>et al.,</w:t>
      </w:r>
      <w:r w:rsidR="009E066F" w:rsidRPr="009E066F">
        <w:rPr>
          <w:rFonts w:ascii="Calibri" w:hAnsi="Calibri" w:cs="Calibri"/>
        </w:rPr>
        <w:t xml:space="preserve"> 2007). Its ease of use</w:t>
      </w:r>
      <w:r w:rsidR="00B54333">
        <w:rPr>
          <w:rFonts w:ascii="Calibri" w:hAnsi="Calibri" w:cs="Calibri"/>
        </w:rPr>
        <w:t xml:space="preserve"> and consistency</w:t>
      </w:r>
      <w:r w:rsidR="009E066F" w:rsidRPr="009E066F">
        <w:rPr>
          <w:rFonts w:ascii="Calibri" w:hAnsi="Calibri" w:cs="Calibri"/>
        </w:rPr>
        <w:t xml:space="preserve"> (Maheswaran </w:t>
      </w:r>
      <w:r w:rsidR="009E066F" w:rsidRPr="00B54333">
        <w:rPr>
          <w:rFonts w:ascii="Calibri" w:hAnsi="Calibri" w:cs="Calibri"/>
          <w:i/>
          <w:iCs/>
        </w:rPr>
        <w:t>et al.,</w:t>
      </w:r>
      <w:r w:rsidR="009E066F" w:rsidRPr="009E066F">
        <w:rPr>
          <w:rFonts w:ascii="Calibri" w:hAnsi="Calibri" w:cs="Calibri"/>
        </w:rPr>
        <w:t xml:space="preserve"> 2012) make it both practical and ethically appropriate for use with busy professionals. As part of a qualitatively driven study, WEMWBS can complement narrative accounts by providing a quantifiable snapshot of wellbeing, enhancing the trustworthiness of findings through data triangulation (Creswell &amp; Plano Clark, 2018).</w:t>
      </w:r>
      <w:r w:rsidR="009E066F" w:rsidRPr="009E066F">
        <w:rPr>
          <w:rFonts w:ascii="Calibri" w:hAnsi="Calibri" w:cs="Calibri"/>
        </w:rPr>
        <w:t xml:space="preserve"> </w:t>
      </w:r>
      <w:r w:rsidRPr="00911D5A">
        <w:rPr>
          <w:rFonts w:ascii="Calibri" w:hAnsi="Calibri" w:cs="Calibri"/>
        </w:rPr>
        <w:t xml:space="preserve">This allows those who are comfortable doing so to reflect on their wellbeing more formally, providing a broad sense of emotional wellbeing and functioning (Tennant </w:t>
      </w:r>
      <w:r w:rsidRPr="00911D5A">
        <w:rPr>
          <w:rFonts w:ascii="Calibri" w:hAnsi="Calibri" w:cs="Calibri"/>
          <w:i/>
          <w:iCs/>
        </w:rPr>
        <w:t>et al.,</w:t>
      </w:r>
      <w:r w:rsidRPr="00911D5A">
        <w:rPr>
          <w:rFonts w:ascii="Calibri" w:hAnsi="Calibri" w:cs="Calibri"/>
        </w:rPr>
        <w:t xml:space="preserve"> 2007). The scale is not central to the research design but is offered as a complementary reflective tool. This qualitative-first, optional quantitative </w:t>
      </w:r>
      <w:r w:rsidR="00792C74">
        <w:rPr>
          <w:rFonts w:ascii="Calibri" w:hAnsi="Calibri" w:cs="Calibri"/>
        </w:rPr>
        <w:t xml:space="preserve">small scale </w:t>
      </w:r>
      <w:r w:rsidRPr="00911D5A">
        <w:rPr>
          <w:rFonts w:ascii="Calibri" w:hAnsi="Calibri" w:cs="Calibri"/>
        </w:rPr>
        <w:t>inclusion aligns with a constructivist framework where meaning is interpreted contextually, and mixed data types can offer useful insights without reducing complexity (Creswell &amp; Clark, 2018).</w:t>
      </w:r>
    </w:p>
    <w:p w14:paraId="74FD8850" w14:textId="7852A394" w:rsidR="003421F3" w:rsidRPr="003421F3" w:rsidRDefault="00911D5A" w:rsidP="003421F3">
      <w:pPr>
        <w:spacing w:line="360" w:lineRule="auto"/>
        <w:rPr>
          <w:rFonts w:ascii="Calibri" w:hAnsi="Calibri" w:cs="Calibri"/>
        </w:rPr>
      </w:pPr>
      <w:r w:rsidRPr="00911D5A">
        <w:rPr>
          <w:rFonts w:ascii="Calibri" w:hAnsi="Calibri" w:cs="Calibri"/>
        </w:rPr>
        <w:t xml:space="preserve">To support interpretation of teacher responses, the study draws on PERMA (Seligman, 2011) and the Job Demands–Resources (JD-R) model (Bakker &amp; Demerouti, 2007) as conceptual lenses. PERMA outlines five elements of wellbeing: </w:t>
      </w:r>
      <w:r w:rsidR="007B13F8">
        <w:rPr>
          <w:rFonts w:ascii="Calibri" w:hAnsi="Calibri" w:cs="Calibri"/>
        </w:rPr>
        <w:t>P</w:t>
      </w:r>
      <w:r w:rsidRPr="00911D5A">
        <w:rPr>
          <w:rFonts w:ascii="Calibri" w:hAnsi="Calibri" w:cs="Calibri"/>
        </w:rPr>
        <w:t>ositive emotion, Engagement, Relationships, Meaning, and Accomplishment</w:t>
      </w:r>
      <w:r w:rsidR="007B13F8">
        <w:rPr>
          <w:rFonts w:ascii="Calibri" w:hAnsi="Calibri" w:cs="Calibri"/>
        </w:rPr>
        <w:t>;</w:t>
      </w:r>
      <w:r w:rsidRPr="00911D5A">
        <w:rPr>
          <w:rFonts w:ascii="Calibri" w:hAnsi="Calibri" w:cs="Calibri"/>
        </w:rPr>
        <w:t xml:space="preserve"> many of which are evident in educational visits that </w:t>
      </w:r>
      <w:r w:rsidR="006A4311" w:rsidRPr="006A4311">
        <w:rPr>
          <w:rFonts w:ascii="Calibri" w:hAnsi="Calibri" w:cs="Calibri"/>
        </w:rPr>
        <w:t>can encompass</w:t>
      </w:r>
      <w:r w:rsidRPr="00911D5A">
        <w:rPr>
          <w:rFonts w:ascii="Calibri" w:hAnsi="Calibri" w:cs="Calibri"/>
        </w:rPr>
        <w:t xml:space="preserve"> joy, shared experiences, and professional purpose</w:t>
      </w:r>
      <w:r w:rsidR="009A4192">
        <w:rPr>
          <w:rFonts w:ascii="Calibri" w:hAnsi="Calibri" w:cs="Calibri"/>
        </w:rPr>
        <w:t xml:space="preserve"> </w:t>
      </w:r>
      <w:r w:rsidR="009A4192">
        <w:rPr>
          <w:rFonts w:ascii="Calibri" w:hAnsi="Calibri" w:cs="Calibri"/>
        </w:rPr>
        <w:lastRenderedPageBreak/>
        <w:t>(Singh &amp; Thompson, 2024</w:t>
      </w:r>
      <w:r w:rsidR="009453BA">
        <w:rPr>
          <w:rFonts w:ascii="Calibri" w:hAnsi="Calibri" w:cs="Calibri"/>
        </w:rPr>
        <w:t xml:space="preserve">; Leather </w:t>
      </w:r>
      <w:r w:rsidR="009453BA" w:rsidRPr="009453BA">
        <w:rPr>
          <w:rFonts w:ascii="Calibri" w:hAnsi="Calibri" w:cs="Calibri"/>
          <w:i/>
          <w:iCs/>
        </w:rPr>
        <w:t>et al,</w:t>
      </w:r>
      <w:r w:rsidR="009453BA">
        <w:rPr>
          <w:rFonts w:ascii="Calibri" w:hAnsi="Calibri" w:cs="Calibri"/>
        </w:rPr>
        <w:t xml:space="preserve"> 2015</w:t>
      </w:r>
      <w:r w:rsidR="009A4192">
        <w:rPr>
          <w:rFonts w:ascii="Calibri" w:hAnsi="Calibri" w:cs="Calibri"/>
        </w:rPr>
        <w:t>)</w:t>
      </w:r>
      <w:r w:rsidRPr="00911D5A">
        <w:rPr>
          <w:rFonts w:ascii="Calibri" w:hAnsi="Calibri" w:cs="Calibri"/>
        </w:rPr>
        <w:t xml:space="preserve">. The JD-R model offers a structural lens, recognising that teacher wellbeing is influenced by both resources (e.g. positive experiences) and demands (e.g. workload). </w:t>
      </w:r>
      <w:r w:rsidR="003421F3" w:rsidRPr="003421F3">
        <w:rPr>
          <w:rFonts w:ascii="Calibri" w:hAnsi="Calibri" w:cs="Calibri"/>
        </w:rPr>
        <w:t xml:space="preserve">These models will not be used as rigid coding frameworks but rather as </w:t>
      </w:r>
      <w:r w:rsidR="003421F3">
        <w:rPr>
          <w:rFonts w:ascii="Calibri" w:hAnsi="Calibri" w:cs="Calibri"/>
        </w:rPr>
        <w:t>‘</w:t>
      </w:r>
      <w:r w:rsidR="003421F3" w:rsidRPr="003421F3">
        <w:rPr>
          <w:rFonts w:ascii="Calibri" w:hAnsi="Calibri" w:cs="Calibri"/>
        </w:rPr>
        <w:t>sensitising concepts</w:t>
      </w:r>
      <w:r w:rsidR="003421F3">
        <w:rPr>
          <w:rFonts w:ascii="Calibri" w:hAnsi="Calibri" w:cs="Calibri"/>
        </w:rPr>
        <w:t>’</w:t>
      </w:r>
      <w:r w:rsidR="003421F3" w:rsidRPr="003421F3">
        <w:rPr>
          <w:rFonts w:ascii="Calibri" w:hAnsi="Calibri" w:cs="Calibri"/>
        </w:rPr>
        <w:t xml:space="preserve"> (Blumer, 1969)</w:t>
      </w:r>
      <w:r w:rsidR="003421F3">
        <w:rPr>
          <w:rFonts w:ascii="Calibri" w:hAnsi="Calibri" w:cs="Calibri"/>
        </w:rPr>
        <w:t xml:space="preserve">, meaning </w:t>
      </w:r>
      <w:r w:rsidR="003421F3" w:rsidRPr="003421F3">
        <w:rPr>
          <w:rFonts w:ascii="Calibri" w:hAnsi="Calibri" w:cs="Calibri"/>
        </w:rPr>
        <w:t xml:space="preserve">they </w:t>
      </w:r>
      <w:r w:rsidR="003421F3">
        <w:rPr>
          <w:rFonts w:ascii="Calibri" w:hAnsi="Calibri" w:cs="Calibri"/>
        </w:rPr>
        <w:t xml:space="preserve">can </w:t>
      </w:r>
      <w:r w:rsidR="003421F3" w:rsidRPr="003421F3">
        <w:rPr>
          <w:rFonts w:ascii="Calibri" w:hAnsi="Calibri" w:cs="Calibri"/>
        </w:rPr>
        <w:t xml:space="preserve">provide a flexible conceptual lens through which to interpret the data, without imposing pre-determined categories. For example, ideas from the PERMA or JD-R models may guide </w:t>
      </w:r>
      <w:r w:rsidR="003421F3">
        <w:rPr>
          <w:rFonts w:ascii="Calibri" w:hAnsi="Calibri" w:cs="Calibri"/>
        </w:rPr>
        <w:t>my</w:t>
      </w:r>
      <w:r w:rsidR="003421F3" w:rsidRPr="003421F3">
        <w:rPr>
          <w:rFonts w:ascii="Calibri" w:hAnsi="Calibri" w:cs="Calibri"/>
        </w:rPr>
        <w:t xml:space="preserve"> awareness of potential themes</w:t>
      </w:r>
      <w:r w:rsidR="003421F3">
        <w:rPr>
          <w:rFonts w:ascii="Calibri" w:hAnsi="Calibri" w:cs="Calibri"/>
        </w:rPr>
        <w:t xml:space="preserve"> (e.g. </w:t>
      </w:r>
      <w:r w:rsidR="003421F3" w:rsidRPr="003421F3">
        <w:rPr>
          <w:rFonts w:ascii="Calibri" w:hAnsi="Calibri" w:cs="Calibri"/>
        </w:rPr>
        <w:t>meaning, engagement, or emotional demands</w:t>
      </w:r>
      <w:r w:rsidR="003421F3">
        <w:rPr>
          <w:rFonts w:ascii="Calibri" w:hAnsi="Calibri" w:cs="Calibri"/>
        </w:rPr>
        <w:t xml:space="preserve">) </w:t>
      </w:r>
      <w:r w:rsidR="003421F3" w:rsidRPr="003421F3">
        <w:rPr>
          <w:rFonts w:ascii="Calibri" w:hAnsi="Calibri" w:cs="Calibri"/>
        </w:rPr>
        <w:t>but they will not constrain analysis</w:t>
      </w:r>
      <w:r w:rsidR="003421F3">
        <w:rPr>
          <w:rFonts w:ascii="Calibri" w:hAnsi="Calibri" w:cs="Calibri"/>
        </w:rPr>
        <w:t xml:space="preserve"> and force the data into a certain </w:t>
      </w:r>
      <w:r w:rsidR="00FD3EEF">
        <w:rPr>
          <w:rFonts w:ascii="Calibri" w:hAnsi="Calibri" w:cs="Calibri"/>
        </w:rPr>
        <w:t>category</w:t>
      </w:r>
      <w:r w:rsidR="003421F3" w:rsidRPr="003421F3">
        <w:rPr>
          <w:rFonts w:ascii="Calibri" w:hAnsi="Calibri" w:cs="Calibri"/>
        </w:rPr>
        <w:t xml:space="preserve">. This approach aligns with </w:t>
      </w:r>
      <w:r w:rsidR="00FD3EEF">
        <w:rPr>
          <w:rFonts w:ascii="Calibri" w:hAnsi="Calibri" w:cs="Calibri"/>
        </w:rPr>
        <w:t xml:space="preserve">my </w:t>
      </w:r>
      <w:r w:rsidR="003421F3" w:rsidRPr="003421F3">
        <w:rPr>
          <w:rFonts w:ascii="Calibri" w:hAnsi="Calibri" w:cs="Calibri"/>
        </w:rPr>
        <w:t>constructivist qualitative research, which values emergent, participant-led meaning-making. Allowing themes to arise organically ensures that the analysis remains grounded in the lived experiences and authentic language of participants, rather than being shaped primarily by theoretical assumptions</w:t>
      </w:r>
      <w:r w:rsidR="00A80BB7">
        <w:rPr>
          <w:rFonts w:ascii="Calibri" w:hAnsi="Calibri" w:cs="Calibri"/>
        </w:rPr>
        <w:t xml:space="preserve"> (Braun &amp; Clarke, 2006).</w:t>
      </w:r>
    </w:p>
    <w:p w14:paraId="79F12512" w14:textId="77777777" w:rsidR="007C0E6E" w:rsidRPr="007C0E6E" w:rsidRDefault="007C0E6E" w:rsidP="007C0E6E">
      <w:pPr>
        <w:spacing w:line="360" w:lineRule="auto"/>
        <w:rPr>
          <w:rFonts w:ascii="Calibri" w:hAnsi="Calibri" w:cs="Calibri"/>
        </w:rPr>
      </w:pPr>
      <w:r w:rsidRPr="007C0E6E">
        <w:rPr>
          <w:rFonts w:ascii="Calibri" w:hAnsi="Calibri" w:cs="Calibri"/>
        </w:rPr>
        <w:t>Thematic Analysis (TA), guided by Braun and Clarke’s six-phase model (2006; 2022), will be employed to analyse the qualitative data. The process involves:</w:t>
      </w:r>
    </w:p>
    <w:p w14:paraId="3A40D985" w14:textId="04A3EF4D" w:rsidR="007C0E6E" w:rsidRPr="007C0E6E" w:rsidRDefault="007C0E6E" w:rsidP="00277A7A">
      <w:pPr>
        <w:spacing w:line="360" w:lineRule="auto"/>
        <w:ind w:left="720"/>
        <w:rPr>
          <w:rFonts w:ascii="Calibri" w:hAnsi="Calibri" w:cs="Calibri"/>
        </w:rPr>
      </w:pPr>
      <w:r w:rsidRPr="007C0E6E">
        <w:rPr>
          <w:rFonts w:ascii="Calibri" w:hAnsi="Calibri" w:cs="Calibri"/>
        </w:rPr>
        <w:t>Familiarisation with the data through repeated reading;</w:t>
      </w:r>
      <w:r>
        <w:rPr>
          <w:rFonts w:ascii="Calibri" w:hAnsi="Calibri" w:cs="Calibri"/>
        </w:rPr>
        <w:br/>
      </w:r>
      <w:r w:rsidRPr="007C0E6E">
        <w:rPr>
          <w:rFonts w:ascii="Calibri" w:hAnsi="Calibri" w:cs="Calibri"/>
        </w:rPr>
        <w:t>Generating initial codes from the responses;</w:t>
      </w:r>
      <w:r w:rsidR="00277A7A">
        <w:rPr>
          <w:rFonts w:ascii="Calibri" w:hAnsi="Calibri" w:cs="Calibri"/>
        </w:rPr>
        <w:br/>
      </w:r>
      <w:r w:rsidRPr="007C0E6E">
        <w:rPr>
          <w:rFonts w:ascii="Calibri" w:hAnsi="Calibri" w:cs="Calibri"/>
        </w:rPr>
        <w:t>Searching for themes by collating codes into patterns;</w:t>
      </w:r>
      <w:r w:rsidR="00277A7A">
        <w:rPr>
          <w:rFonts w:ascii="Calibri" w:hAnsi="Calibri" w:cs="Calibri"/>
        </w:rPr>
        <w:br/>
      </w:r>
      <w:r w:rsidRPr="007C0E6E">
        <w:rPr>
          <w:rFonts w:ascii="Calibri" w:hAnsi="Calibri" w:cs="Calibri"/>
        </w:rPr>
        <w:t>Reviewing themes to ensure coherence and distinction;</w:t>
      </w:r>
      <w:r w:rsidR="00277A7A">
        <w:rPr>
          <w:rFonts w:ascii="Calibri" w:hAnsi="Calibri" w:cs="Calibri"/>
        </w:rPr>
        <w:br/>
      </w:r>
      <w:r w:rsidRPr="007C0E6E">
        <w:rPr>
          <w:rFonts w:ascii="Calibri" w:hAnsi="Calibri" w:cs="Calibri"/>
        </w:rPr>
        <w:t>Defining and naming themes in relation to the research questions;</w:t>
      </w:r>
      <w:r w:rsidR="00277A7A">
        <w:rPr>
          <w:rFonts w:ascii="Calibri" w:hAnsi="Calibri" w:cs="Calibri"/>
        </w:rPr>
        <w:br/>
      </w:r>
      <w:r w:rsidRPr="007C0E6E">
        <w:rPr>
          <w:rFonts w:ascii="Calibri" w:hAnsi="Calibri" w:cs="Calibri"/>
        </w:rPr>
        <w:t>Producing the report, integrating data excerpts with theoretical insight.</w:t>
      </w:r>
    </w:p>
    <w:p w14:paraId="64E5A505" w14:textId="2A4ADB90" w:rsidR="007C0E6E" w:rsidRPr="007C0E6E" w:rsidRDefault="007C0E6E" w:rsidP="007C0E6E">
      <w:pPr>
        <w:spacing w:line="360" w:lineRule="auto"/>
        <w:rPr>
          <w:rFonts w:ascii="Calibri" w:hAnsi="Calibri" w:cs="Calibri"/>
        </w:rPr>
      </w:pPr>
      <w:r w:rsidRPr="007C0E6E">
        <w:rPr>
          <w:rFonts w:ascii="Calibri" w:hAnsi="Calibri" w:cs="Calibri"/>
        </w:rPr>
        <w:t>This flexible yet rigorous approach allows for rich, detailed analysis while remaining responsive to participants’ voices</w:t>
      </w:r>
      <w:r w:rsidR="00277A7A">
        <w:rPr>
          <w:rFonts w:ascii="Calibri" w:hAnsi="Calibri" w:cs="Calibri"/>
        </w:rPr>
        <w:t>, which is a</w:t>
      </w:r>
      <w:r w:rsidRPr="007C0E6E">
        <w:rPr>
          <w:rFonts w:ascii="Calibri" w:hAnsi="Calibri" w:cs="Calibri"/>
        </w:rPr>
        <w:t>n essential feature of constructivist research (Clarke &amp; Braun, 2017). It</w:t>
      </w:r>
      <w:r w:rsidR="00277A7A">
        <w:rPr>
          <w:rFonts w:ascii="Calibri" w:hAnsi="Calibri" w:cs="Calibri"/>
        </w:rPr>
        <w:t xml:space="preserve"> aims to</w:t>
      </w:r>
      <w:r w:rsidRPr="007C0E6E">
        <w:rPr>
          <w:rFonts w:ascii="Calibri" w:hAnsi="Calibri" w:cs="Calibri"/>
        </w:rPr>
        <w:t xml:space="preserve"> support inductive reasoning while acknowledging that researcher subjectivity is not a flaw but a resource when approached reflexively (Terry </w:t>
      </w:r>
      <w:r w:rsidRPr="007C0E6E">
        <w:rPr>
          <w:rFonts w:ascii="Calibri" w:hAnsi="Calibri" w:cs="Calibri"/>
          <w:i/>
          <w:iCs/>
        </w:rPr>
        <w:t>et al</w:t>
      </w:r>
      <w:r w:rsidRPr="007C0E6E">
        <w:rPr>
          <w:rFonts w:ascii="Calibri" w:hAnsi="Calibri" w:cs="Calibri"/>
        </w:rPr>
        <w:t xml:space="preserve">., 2017). However, thematic analysis is not without limitations. </w:t>
      </w:r>
      <w:r w:rsidR="005F649C">
        <w:rPr>
          <w:rFonts w:ascii="Calibri" w:hAnsi="Calibri" w:cs="Calibri"/>
        </w:rPr>
        <w:t>Critically, it may be that</w:t>
      </w:r>
      <w:r w:rsidRPr="007C0E6E">
        <w:rPr>
          <w:rFonts w:ascii="Calibri" w:hAnsi="Calibri" w:cs="Calibri"/>
        </w:rPr>
        <w:t xml:space="preserve"> without a clear theoretical anchor or consistent application, it risks becoming superficial or overly descriptive (Holloway &amp; Galvin, 2017). Therefore, clarity in analytic decisions and transparency in documentation are essential to maintain credibility</w:t>
      </w:r>
      <w:r w:rsidR="005F649C">
        <w:rPr>
          <w:rFonts w:ascii="Calibri" w:hAnsi="Calibri" w:cs="Calibri"/>
        </w:rPr>
        <w:t xml:space="preserve">, this will need to be a </w:t>
      </w:r>
      <w:r w:rsidR="00D8227B">
        <w:rPr>
          <w:rFonts w:ascii="Calibri" w:hAnsi="Calibri" w:cs="Calibri"/>
        </w:rPr>
        <w:t xml:space="preserve">consistent focus in the research to avoid straying into tangents. </w:t>
      </w:r>
    </w:p>
    <w:p w14:paraId="73DDBD13" w14:textId="7EA6F040" w:rsidR="00911D5A" w:rsidRPr="00911D5A" w:rsidRDefault="00911D5A" w:rsidP="00911D5A">
      <w:pPr>
        <w:spacing w:line="360" w:lineRule="auto"/>
        <w:rPr>
          <w:rFonts w:ascii="Calibri" w:hAnsi="Calibri" w:cs="Calibri"/>
        </w:rPr>
      </w:pPr>
      <w:r w:rsidRPr="00911D5A">
        <w:rPr>
          <w:rFonts w:ascii="Calibri" w:hAnsi="Calibri" w:cs="Calibri"/>
        </w:rPr>
        <w:t xml:space="preserve">As a practitioner-researcher, </w:t>
      </w:r>
      <w:r w:rsidR="002521F3">
        <w:rPr>
          <w:rFonts w:ascii="Calibri" w:hAnsi="Calibri" w:cs="Calibri"/>
        </w:rPr>
        <w:t>I</w:t>
      </w:r>
      <w:r w:rsidRPr="00911D5A">
        <w:rPr>
          <w:rFonts w:ascii="Calibri" w:hAnsi="Calibri" w:cs="Calibri"/>
        </w:rPr>
        <w:t xml:space="preserve"> hold existing beliefs about the value of residential visits. These insights can be valuable, but also carry the risk of bias. It is important to acknowledge how previous experience or relationships with schools and participants could influence interpretation. Ongoing reflexive practice, alongside anonymised participation and critical peer feedback, will help manage this influence and strengthen </w:t>
      </w:r>
      <w:r w:rsidRPr="00911D5A">
        <w:rPr>
          <w:rFonts w:ascii="Calibri" w:hAnsi="Calibri" w:cs="Calibri"/>
        </w:rPr>
        <w:lastRenderedPageBreak/>
        <w:t xml:space="preserve">the credibility of the research (Creswell &amp; </w:t>
      </w:r>
      <w:proofErr w:type="spellStart"/>
      <w:r w:rsidRPr="00911D5A">
        <w:rPr>
          <w:rFonts w:ascii="Calibri" w:hAnsi="Calibri" w:cs="Calibri"/>
        </w:rPr>
        <w:t>Poth</w:t>
      </w:r>
      <w:proofErr w:type="spellEnd"/>
      <w:r w:rsidRPr="00911D5A">
        <w:rPr>
          <w:rFonts w:ascii="Calibri" w:hAnsi="Calibri" w:cs="Calibri"/>
        </w:rPr>
        <w:t>, 2018; Berger, 2015).</w:t>
      </w:r>
      <w:r w:rsidR="000F5722">
        <w:rPr>
          <w:rFonts w:ascii="Calibri" w:hAnsi="Calibri" w:cs="Calibri"/>
        </w:rPr>
        <w:br/>
      </w:r>
    </w:p>
    <w:p w14:paraId="511C32B7" w14:textId="3A14E4B2" w:rsidR="00684FDD" w:rsidRPr="00780682" w:rsidRDefault="00684FDD" w:rsidP="000F5722">
      <w:pPr>
        <w:pStyle w:val="Heading2"/>
      </w:pPr>
      <w:r w:rsidRPr="00780682">
        <w:t xml:space="preserve">Research Methods </w:t>
      </w:r>
      <w:r w:rsidR="007D1381" w:rsidRPr="00780682">
        <w:t>and</w:t>
      </w:r>
      <w:r w:rsidRPr="00780682">
        <w:t xml:space="preserve"> Tools</w:t>
      </w:r>
    </w:p>
    <w:p w14:paraId="42429EEB" w14:textId="76551820" w:rsidR="00684FDD" w:rsidRPr="00780682" w:rsidRDefault="00684FDD" w:rsidP="004405E3">
      <w:pPr>
        <w:spacing w:line="360" w:lineRule="auto"/>
        <w:rPr>
          <w:rFonts w:ascii="Calibri" w:hAnsi="Calibri" w:cs="Calibri"/>
        </w:rPr>
      </w:pPr>
      <w:r w:rsidRPr="00780682">
        <w:rPr>
          <w:rFonts w:ascii="Calibri" w:hAnsi="Calibri" w:cs="Calibri"/>
        </w:rPr>
        <w:t xml:space="preserve">This section outlines and justifies the research methods chosen to address the study’s central question: </w:t>
      </w:r>
      <w:r w:rsidRPr="00780682">
        <w:rPr>
          <w:rFonts w:ascii="Calibri" w:hAnsi="Calibri" w:cs="Calibri"/>
          <w:i/>
          <w:iCs/>
        </w:rPr>
        <w:t>How do primary school teachers perceive the impact of residential educational visits on their wellbeing?</w:t>
      </w:r>
      <w:r w:rsidRPr="00780682">
        <w:rPr>
          <w:rFonts w:ascii="Calibri" w:hAnsi="Calibri" w:cs="Calibri"/>
        </w:rPr>
        <w:t xml:space="preserve"> The methodological decisions made are not incidental but grounded in the philosophical, ethical, and contextual considerations outlined in the previous section. To explain this design process clearly, the study draws on Saunders </w:t>
      </w:r>
      <w:r w:rsidRPr="00780682">
        <w:rPr>
          <w:rFonts w:ascii="Calibri" w:hAnsi="Calibri" w:cs="Calibri"/>
          <w:i/>
          <w:iCs/>
        </w:rPr>
        <w:t>et al</w:t>
      </w:r>
      <w:r w:rsidRPr="00780682">
        <w:rPr>
          <w:rFonts w:ascii="Calibri" w:hAnsi="Calibri" w:cs="Calibri"/>
        </w:rPr>
        <w:t>.’s (2019) Research Onion, which provides a structured framework for linking philosophical stance, research strategy, and practical methods.</w:t>
      </w:r>
      <w:r w:rsidR="007D1381" w:rsidRPr="00780682">
        <w:rPr>
          <w:rFonts w:ascii="Calibri" w:hAnsi="Calibri" w:cs="Calibri"/>
        </w:rPr>
        <w:br/>
      </w:r>
      <w:r w:rsidR="007D1381" w:rsidRPr="00780682">
        <w:rPr>
          <w:rFonts w:ascii="Calibri" w:hAnsi="Calibri" w:cs="Calibri"/>
        </w:rPr>
        <w:br/>
      </w:r>
      <w:r w:rsidRPr="004405E3">
        <w:rPr>
          <w:rStyle w:val="Heading2Char"/>
        </w:rPr>
        <w:t>Applying the Research Onion</w:t>
      </w:r>
    </w:p>
    <w:p w14:paraId="048AA787" w14:textId="77777777" w:rsidR="00565D5D" w:rsidRPr="00565D5D" w:rsidRDefault="00565D5D" w:rsidP="00565D5D">
      <w:pPr>
        <w:spacing w:line="360" w:lineRule="auto"/>
        <w:rPr>
          <w:rFonts w:ascii="Calibri" w:hAnsi="Calibri" w:cs="Calibri"/>
        </w:rPr>
      </w:pPr>
      <w:r w:rsidRPr="00565D5D">
        <w:rPr>
          <w:rFonts w:ascii="Calibri" w:hAnsi="Calibri" w:cs="Calibri"/>
        </w:rPr>
        <w:t xml:space="preserve">At the outer layer of the Research Onion lies philosophical positioning. As outlined earlier, this study adopts a constructivist stance, recognising that teacher wellbeing is subjectively experienced and constructed through reflection, context, and interaction (Creswell &amp; </w:t>
      </w:r>
      <w:proofErr w:type="spellStart"/>
      <w:r w:rsidRPr="00565D5D">
        <w:rPr>
          <w:rFonts w:ascii="Calibri" w:hAnsi="Calibri" w:cs="Calibri"/>
        </w:rPr>
        <w:t>Poth</w:t>
      </w:r>
      <w:proofErr w:type="spellEnd"/>
      <w:r w:rsidRPr="00565D5D">
        <w:rPr>
          <w:rFonts w:ascii="Calibri" w:hAnsi="Calibri" w:cs="Calibri"/>
        </w:rPr>
        <w:t>, 2018). This aligns with a qualitative methodology focused on understanding lived experiences rather than testing fixed hypotheses.</w:t>
      </w:r>
    </w:p>
    <w:p w14:paraId="5649A894" w14:textId="4480F360" w:rsidR="00565D5D" w:rsidRPr="00565D5D" w:rsidRDefault="00565D5D" w:rsidP="00565D5D">
      <w:pPr>
        <w:spacing w:line="360" w:lineRule="auto"/>
        <w:rPr>
          <w:rFonts w:ascii="Calibri" w:hAnsi="Calibri" w:cs="Calibri"/>
        </w:rPr>
      </w:pPr>
      <w:r w:rsidRPr="00565D5D">
        <w:rPr>
          <w:rFonts w:ascii="Calibri" w:hAnsi="Calibri" w:cs="Calibri"/>
        </w:rPr>
        <w:t xml:space="preserve">Moving inward, the research follows an inductive approach, meaning that insights will emerge from participants’ responses rather than being shaped by predefined categories. In practice, this involves using an open-ended online reflective questionnaire hosted on Qualtrics, where participants will respond to prompts about their wellbeing before, during, and after residential visits. Thematic analysis will then be applied to develop themes grounded in the data itself (Braun &amp; Clarke, 2022). This approach allows </w:t>
      </w:r>
      <w:r>
        <w:rPr>
          <w:rFonts w:ascii="Calibri" w:hAnsi="Calibri" w:cs="Calibri"/>
        </w:rPr>
        <w:t xml:space="preserve">me, as </w:t>
      </w:r>
      <w:r w:rsidRPr="00565D5D">
        <w:rPr>
          <w:rFonts w:ascii="Calibri" w:hAnsi="Calibri" w:cs="Calibri"/>
        </w:rPr>
        <w:t>the researcher</w:t>
      </w:r>
      <w:r>
        <w:rPr>
          <w:rFonts w:ascii="Calibri" w:hAnsi="Calibri" w:cs="Calibri"/>
        </w:rPr>
        <w:t>,</w:t>
      </w:r>
      <w:r w:rsidRPr="00565D5D">
        <w:rPr>
          <w:rFonts w:ascii="Calibri" w:hAnsi="Calibri" w:cs="Calibri"/>
        </w:rPr>
        <w:t xml:space="preserve"> to explore how teachers construct meaning from their experiences without imposing rigid theoretical structures at the outset (Thomas, 2021).</w:t>
      </w:r>
    </w:p>
    <w:p w14:paraId="24796B53" w14:textId="445A4272" w:rsidR="00565D5D" w:rsidRPr="00565D5D" w:rsidRDefault="00565D5D" w:rsidP="00CE6106">
      <w:pPr>
        <w:spacing w:line="360" w:lineRule="auto"/>
        <w:rPr>
          <w:rFonts w:ascii="Calibri" w:hAnsi="Calibri" w:cs="Calibri"/>
        </w:rPr>
      </w:pPr>
      <w:r w:rsidRPr="00565D5D">
        <w:rPr>
          <w:rFonts w:ascii="Calibri" w:hAnsi="Calibri" w:cs="Calibri"/>
        </w:rPr>
        <w:t>A longitudinal time horizon will be adopted, gathering responses at multiple stages surrounding the residential visit to trace change over time (Saunders et al., 2019). This allows the research to explore any sustained impact on emotional wellbeing. Data will be analysed thematically to identify shared patterns while preserving individual meaning, consistent with the constructivist and inductive stanc</w:t>
      </w:r>
      <w:r w:rsidR="00CE6106">
        <w:rPr>
          <w:rFonts w:ascii="Calibri" w:hAnsi="Calibri" w:cs="Calibri"/>
        </w:rPr>
        <w:t xml:space="preserve">e. </w:t>
      </w:r>
      <w:r w:rsidR="00CE6106" w:rsidRPr="00CE6106">
        <w:rPr>
          <w:rFonts w:ascii="Calibri" w:hAnsi="Calibri" w:cs="Calibri"/>
        </w:rPr>
        <w:t xml:space="preserve">While the Research Onion offers a useful framework for systematically structuring research design (Saunders </w:t>
      </w:r>
      <w:r w:rsidR="00CE6106" w:rsidRPr="00CE6106">
        <w:rPr>
          <w:rFonts w:ascii="Calibri" w:hAnsi="Calibri" w:cs="Calibri"/>
          <w:i/>
          <w:iCs/>
        </w:rPr>
        <w:t>et al.,</w:t>
      </w:r>
      <w:r w:rsidR="00CE6106" w:rsidRPr="00CE6106">
        <w:rPr>
          <w:rFonts w:ascii="Calibri" w:hAnsi="Calibri" w:cs="Calibri"/>
        </w:rPr>
        <w:t xml:space="preserve"> 2019), it may oversimplify the iterative and reflexive nature of qualitative inquiry. In practice, stages such as philosophical stance, ethics, and data collection often overlap and evolve,</w:t>
      </w:r>
      <w:r w:rsidR="00CE6106">
        <w:rPr>
          <w:rFonts w:ascii="Calibri" w:hAnsi="Calibri" w:cs="Calibri"/>
        </w:rPr>
        <w:t xml:space="preserve"> possibly </w:t>
      </w:r>
      <w:r w:rsidR="00CE6106" w:rsidRPr="00CE6106">
        <w:rPr>
          <w:rFonts w:ascii="Calibri" w:hAnsi="Calibri" w:cs="Calibri"/>
        </w:rPr>
        <w:t xml:space="preserve">requiring </w:t>
      </w:r>
      <w:r w:rsidR="00CE6106">
        <w:rPr>
          <w:rFonts w:ascii="Calibri" w:hAnsi="Calibri" w:cs="Calibri"/>
        </w:rPr>
        <w:t>my research design</w:t>
      </w:r>
      <w:r w:rsidR="00CE6106" w:rsidRPr="00CE6106">
        <w:rPr>
          <w:rFonts w:ascii="Calibri" w:hAnsi="Calibri" w:cs="Calibri"/>
        </w:rPr>
        <w:t xml:space="preserve"> to critically revisit decisions throughout the process (Creswell &amp; </w:t>
      </w:r>
      <w:proofErr w:type="spellStart"/>
      <w:r w:rsidR="00CE6106" w:rsidRPr="00CE6106">
        <w:rPr>
          <w:rFonts w:ascii="Calibri" w:hAnsi="Calibri" w:cs="Calibri"/>
        </w:rPr>
        <w:t>Poth</w:t>
      </w:r>
      <w:proofErr w:type="spellEnd"/>
      <w:r w:rsidR="00CE6106" w:rsidRPr="00CE6106">
        <w:rPr>
          <w:rFonts w:ascii="Calibri" w:hAnsi="Calibri" w:cs="Calibri"/>
        </w:rPr>
        <w:t>, 2018).</w:t>
      </w:r>
    </w:p>
    <w:p w14:paraId="702582D7" w14:textId="32179B72" w:rsidR="00684FDD" w:rsidRPr="00780682" w:rsidRDefault="00684FDD" w:rsidP="000F5722">
      <w:pPr>
        <w:pStyle w:val="Heading2"/>
      </w:pPr>
      <w:r w:rsidRPr="00780682">
        <w:lastRenderedPageBreak/>
        <w:t>Description and Structure of the Research Tool</w:t>
      </w:r>
      <w:r w:rsidR="00345C85" w:rsidRPr="00780682">
        <w:t>s</w:t>
      </w:r>
    </w:p>
    <w:p w14:paraId="00FC9803" w14:textId="33309F6A" w:rsidR="00AE6E49" w:rsidRDefault="00AE6E49" w:rsidP="00AE6E49">
      <w:pPr>
        <w:spacing w:line="360" w:lineRule="auto"/>
        <w:rPr>
          <w:rFonts w:ascii="Calibri" w:hAnsi="Calibri" w:cs="Calibri"/>
        </w:rPr>
      </w:pPr>
      <w:r w:rsidRPr="00AE6E49">
        <w:rPr>
          <w:rFonts w:ascii="Calibri" w:hAnsi="Calibri" w:cs="Calibri"/>
        </w:rPr>
        <w:t xml:space="preserve">The questionnaire will be delivered online using Qualtrics, providing participants with a flexible and secure space to engage with the research at a time and place of their choosing. It will be distributed via a secure weblink shared through professional networks, school partners, and relevant </w:t>
      </w:r>
      <w:r w:rsidR="009B5843">
        <w:rPr>
          <w:rFonts w:ascii="Calibri" w:hAnsi="Calibri" w:cs="Calibri"/>
        </w:rPr>
        <w:t>email addresses gathered following a</w:t>
      </w:r>
      <w:r w:rsidR="003B5021">
        <w:rPr>
          <w:rFonts w:ascii="Calibri" w:hAnsi="Calibri" w:cs="Calibri"/>
        </w:rPr>
        <w:t>n expression of interest</w:t>
      </w:r>
      <w:r w:rsidRPr="00AE6E49">
        <w:rPr>
          <w:rFonts w:ascii="Calibri" w:hAnsi="Calibri" w:cs="Calibri"/>
        </w:rPr>
        <w:t>. The design will primarily feature open-ended reflective prompts, inviting teachers to explore and articulate their emotional and professional experiences before, during, and after a residential visit. These prompts will be carefully worded to remain emotionally neutral while encouraging depth and personal insight.</w:t>
      </w:r>
      <w:r w:rsidR="00CF3F03">
        <w:rPr>
          <w:rFonts w:ascii="Calibri" w:hAnsi="Calibri" w:cs="Calibri"/>
        </w:rPr>
        <w:t xml:space="preserve"> </w:t>
      </w:r>
      <w:r w:rsidRPr="00AE6E49">
        <w:rPr>
          <w:rFonts w:ascii="Calibri" w:hAnsi="Calibri" w:cs="Calibri"/>
        </w:rPr>
        <w:t>Question phrasing will be developed in collaboration with peers and piloted with colleagues to ensure clarity and emotional sensitivity. This draws on best practice in reflective qualitative design, where prompts are shaped to give participants control over the narrative (Hollway &amp; Jefferson, 2013; Braun &amp; Clarke, 2022).</w:t>
      </w:r>
    </w:p>
    <w:p w14:paraId="4C7BD145" w14:textId="7103736B" w:rsidR="00EB1CF7" w:rsidRPr="00EB1CF7" w:rsidRDefault="00EB1CF7" w:rsidP="005649A5">
      <w:pPr>
        <w:spacing w:line="360" w:lineRule="auto"/>
        <w:rPr>
          <w:rFonts w:ascii="Calibri" w:hAnsi="Calibri" w:cs="Calibri"/>
        </w:rPr>
      </w:pPr>
      <w:r>
        <w:rPr>
          <w:rFonts w:ascii="Calibri" w:hAnsi="Calibri" w:cs="Calibri"/>
        </w:rPr>
        <w:t>As mentioned, t</w:t>
      </w:r>
      <w:r w:rsidRPr="00EB1CF7">
        <w:rPr>
          <w:rFonts w:ascii="Calibri" w:hAnsi="Calibri" w:cs="Calibri"/>
        </w:rPr>
        <w:t xml:space="preserve">o complement the qualitative reflections, participants will have the option to complete the Warwick-Edinburgh Mental Wellbeing Scale (WEMWBS), a validated fourteen-item scale measuring mental wellbeing through positively worded statements reflecting affective-emotional aspects, cognitive-evaluative dimensions, and psychological functioning (Tennant </w:t>
      </w:r>
      <w:r w:rsidRPr="00EB1CF7">
        <w:rPr>
          <w:rFonts w:ascii="Calibri" w:hAnsi="Calibri" w:cs="Calibri"/>
          <w:i/>
          <w:iCs/>
        </w:rPr>
        <w:t>et al.,</w:t>
      </w:r>
      <w:r w:rsidRPr="00EB1CF7">
        <w:rPr>
          <w:rFonts w:ascii="Calibri" w:hAnsi="Calibri" w:cs="Calibri"/>
        </w:rPr>
        <w:t xml:space="preserve"> 2007; Taggart </w:t>
      </w:r>
      <w:r w:rsidRPr="00EB1CF7">
        <w:rPr>
          <w:rFonts w:ascii="Calibri" w:hAnsi="Calibri" w:cs="Calibri"/>
          <w:i/>
          <w:iCs/>
        </w:rPr>
        <w:t>et al.,</w:t>
      </w:r>
      <w:r w:rsidRPr="00EB1CF7">
        <w:rPr>
          <w:rFonts w:ascii="Calibri" w:hAnsi="Calibri" w:cs="Calibri"/>
        </w:rPr>
        <w:t xml:space="preserve"> 2015). The scale has been widely used in UK education and health research, with strong internal consistency (</w:t>
      </w:r>
      <w:r w:rsidR="000C0CBD">
        <w:rPr>
          <w:rFonts w:ascii="Calibri" w:hAnsi="Calibri" w:cs="Calibri"/>
        </w:rPr>
        <w:t xml:space="preserve">statistically considered very reliable in terms of </w:t>
      </w:r>
      <w:r w:rsidRPr="00EB1CF7">
        <w:rPr>
          <w:rFonts w:ascii="Calibri" w:hAnsi="Calibri" w:cs="Calibri"/>
        </w:rPr>
        <w:t>Cronbach’s alpha &gt; 0.9</w:t>
      </w:r>
      <w:r w:rsidR="005649A5">
        <w:rPr>
          <w:rFonts w:ascii="Calibri" w:hAnsi="Calibri" w:cs="Calibri"/>
        </w:rPr>
        <w:t xml:space="preserve">, </w:t>
      </w:r>
      <w:r w:rsidR="005649A5" w:rsidRPr="005649A5">
        <w:rPr>
          <w:rFonts w:ascii="Calibri" w:hAnsi="Calibri" w:cs="Calibri"/>
        </w:rPr>
        <w:t xml:space="preserve">(Tennant </w:t>
      </w:r>
      <w:r w:rsidR="005649A5" w:rsidRPr="005649A5">
        <w:rPr>
          <w:rFonts w:ascii="Calibri" w:hAnsi="Calibri" w:cs="Calibri"/>
          <w:i/>
          <w:iCs/>
        </w:rPr>
        <w:t>et al</w:t>
      </w:r>
      <w:r w:rsidR="005649A5" w:rsidRPr="005649A5">
        <w:rPr>
          <w:rFonts w:ascii="Calibri" w:hAnsi="Calibri" w:cs="Calibri"/>
        </w:rPr>
        <w:t xml:space="preserve">., 2007; </w:t>
      </w:r>
      <w:proofErr w:type="spellStart"/>
      <w:r w:rsidR="005649A5" w:rsidRPr="005649A5">
        <w:rPr>
          <w:rFonts w:ascii="Calibri" w:hAnsi="Calibri" w:cs="Calibri"/>
        </w:rPr>
        <w:t>Tavakol</w:t>
      </w:r>
      <w:proofErr w:type="spellEnd"/>
      <w:r w:rsidR="005649A5" w:rsidRPr="005649A5">
        <w:rPr>
          <w:rFonts w:ascii="Calibri" w:hAnsi="Calibri" w:cs="Calibri"/>
        </w:rPr>
        <w:t xml:space="preserve"> &amp; Dennick, 2011)</w:t>
      </w:r>
      <w:r w:rsidR="000C0CBD">
        <w:rPr>
          <w:rFonts w:ascii="Calibri" w:hAnsi="Calibri" w:cs="Calibri"/>
        </w:rPr>
        <w:t xml:space="preserve">), </w:t>
      </w:r>
      <w:r w:rsidRPr="00EB1CF7">
        <w:rPr>
          <w:rFonts w:ascii="Calibri" w:hAnsi="Calibri" w:cs="Calibri"/>
        </w:rPr>
        <w:t xml:space="preserve"> and is considered appropriate for use with adults in non-clinical settings (Clarke </w:t>
      </w:r>
      <w:r w:rsidRPr="00EB1CF7">
        <w:rPr>
          <w:rFonts w:ascii="Calibri" w:hAnsi="Calibri" w:cs="Calibri"/>
          <w:i/>
          <w:iCs/>
        </w:rPr>
        <w:t>et al</w:t>
      </w:r>
      <w:r w:rsidRPr="00EB1CF7">
        <w:rPr>
          <w:rFonts w:ascii="Calibri" w:hAnsi="Calibri" w:cs="Calibri"/>
        </w:rPr>
        <w:t>., 2011).</w:t>
      </w:r>
    </w:p>
    <w:p w14:paraId="2FBF33A5" w14:textId="50C31CF0" w:rsidR="00AA448C" w:rsidRPr="00780682" w:rsidRDefault="00EB1CF7" w:rsidP="002E2F4E">
      <w:pPr>
        <w:spacing w:line="360" w:lineRule="auto"/>
        <w:rPr>
          <w:rFonts w:ascii="Calibri" w:hAnsi="Calibri" w:cs="Calibri"/>
        </w:rPr>
      </w:pPr>
      <w:r w:rsidRPr="00EB1CF7">
        <w:rPr>
          <w:rFonts w:ascii="Calibri" w:hAnsi="Calibri" w:cs="Calibri"/>
        </w:rPr>
        <w:t xml:space="preserve">This optional tool introduces </w:t>
      </w:r>
      <w:r w:rsidR="000C0CBD">
        <w:rPr>
          <w:rFonts w:ascii="Calibri" w:hAnsi="Calibri" w:cs="Calibri"/>
        </w:rPr>
        <w:t>w</w:t>
      </w:r>
      <w:r w:rsidRPr="00EB1CF7">
        <w:rPr>
          <w:rFonts w:ascii="Calibri" w:hAnsi="Calibri" w:cs="Calibri"/>
        </w:rPr>
        <w:t>hat c</w:t>
      </w:r>
      <w:r w:rsidR="000C0CBD">
        <w:rPr>
          <w:rFonts w:ascii="Calibri" w:hAnsi="Calibri" w:cs="Calibri"/>
        </w:rPr>
        <w:t>ould</w:t>
      </w:r>
      <w:r w:rsidRPr="00EB1CF7">
        <w:rPr>
          <w:rFonts w:ascii="Calibri" w:hAnsi="Calibri" w:cs="Calibri"/>
        </w:rPr>
        <w:t xml:space="preserve"> be termed </w:t>
      </w:r>
      <w:r w:rsidR="000C0CBD" w:rsidRPr="000C0CBD">
        <w:rPr>
          <w:rFonts w:ascii="Calibri" w:hAnsi="Calibri" w:cs="Calibri"/>
        </w:rPr>
        <w:t>‘</w:t>
      </w:r>
      <w:r w:rsidRPr="00EB1CF7">
        <w:rPr>
          <w:rFonts w:ascii="Calibri" w:hAnsi="Calibri" w:cs="Calibri"/>
        </w:rPr>
        <w:t>light triangulation</w:t>
      </w:r>
      <w:r w:rsidR="000C0CBD" w:rsidRPr="000C0CBD">
        <w:rPr>
          <w:rFonts w:ascii="Calibri" w:hAnsi="Calibri" w:cs="Calibri"/>
        </w:rPr>
        <w:t>’</w:t>
      </w:r>
      <w:r w:rsidR="000C0CBD">
        <w:rPr>
          <w:rFonts w:ascii="Calibri" w:hAnsi="Calibri" w:cs="Calibri"/>
        </w:rPr>
        <w:t xml:space="preserve">, meaning </w:t>
      </w:r>
      <w:r w:rsidRPr="00EB1CF7">
        <w:rPr>
          <w:rFonts w:ascii="Calibri" w:hAnsi="Calibri" w:cs="Calibri"/>
        </w:rPr>
        <w:t>the inclusion of s</w:t>
      </w:r>
      <w:r w:rsidR="000C0CBD">
        <w:rPr>
          <w:rFonts w:ascii="Calibri" w:hAnsi="Calibri" w:cs="Calibri"/>
        </w:rPr>
        <w:t>ome s</w:t>
      </w:r>
      <w:r w:rsidRPr="00EB1CF7">
        <w:rPr>
          <w:rFonts w:ascii="Calibri" w:hAnsi="Calibri" w:cs="Calibri"/>
        </w:rPr>
        <w:t>tructured, standardised wellbeing data alongside narrative responses</w:t>
      </w:r>
      <w:r w:rsidR="000C0CBD">
        <w:rPr>
          <w:rFonts w:ascii="Calibri" w:hAnsi="Calibri" w:cs="Calibri"/>
        </w:rPr>
        <w:t xml:space="preserve"> and bringing it all together</w:t>
      </w:r>
      <w:r w:rsidRPr="00EB1CF7">
        <w:rPr>
          <w:rFonts w:ascii="Calibri" w:hAnsi="Calibri" w:cs="Calibri"/>
        </w:rPr>
        <w:t>. While not constituting a full mixed-methods study, this approach strengthens trustworthiness and interpretive depth by allowing cross-validation of themes emerging from the open-ended responses with patterns in WEMWBS data (Denzin, 1978; Creswell &amp; Clark, 2018). Participants will be clearly informed that they can withdraw at any point and request the deletion of their data, in accordance with BERA (2024) ethical guidance.</w:t>
      </w:r>
      <w:r w:rsidR="00AA448C" w:rsidRPr="00AA448C">
        <w:rPr>
          <w:rFonts w:ascii="Calibri" w:hAnsi="Calibri" w:cs="Calibri"/>
        </w:rPr>
        <w:t xml:space="preserve"> </w:t>
      </w:r>
      <w:r w:rsidR="00AA448C" w:rsidRPr="00780682">
        <w:rPr>
          <w:rFonts w:ascii="Calibri" w:hAnsi="Calibri" w:cs="Calibri"/>
        </w:rPr>
        <w:t>Participation will be anonymous. Teachers will be allocated a unique identifier to allow for follow-up or clarification without linking identities to specific schools or individuals. Data will be stored securely, in line with GDPR and institutional requirements</w:t>
      </w:r>
      <w:r w:rsidR="002E2F4E">
        <w:rPr>
          <w:rFonts w:ascii="Calibri" w:hAnsi="Calibri" w:cs="Calibri"/>
        </w:rPr>
        <w:t xml:space="preserve"> </w:t>
      </w:r>
      <w:r w:rsidR="002E2F4E" w:rsidRPr="002E2F4E">
        <w:rPr>
          <w:rFonts w:ascii="Calibri" w:hAnsi="Calibri" w:cs="Calibri"/>
        </w:rPr>
        <w:t>(Information Commissioner’s Office, 2021; UKRI, 2023).</w:t>
      </w:r>
      <w:r w:rsidR="00AA448C" w:rsidRPr="00780682">
        <w:rPr>
          <w:rFonts w:ascii="Calibri" w:hAnsi="Calibri" w:cs="Calibri"/>
        </w:rPr>
        <w:t>. Emotional safety is also prioritised in the language used in the survey and in the voluntary nature of every element of participation — including the WEMWBS. As Thomas (2021) argues, ethically sound research is not just about procedures and permissions, but about choosing methods that respect context, reduce harm, and honour the complexity of human experience - this study seeks to do precisely that.</w:t>
      </w:r>
    </w:p>
    <w:p w14:paraId="04B058DC" w14:textId="77777777" w:rsidR="00684FDD" w:rsidRPr="00780682" w:rsidRDefault="00684FDD" w:rsidP="000F5722">
      <w:pPr>
        <w:pStyle w:val="Heading2"/>
      </w:pPr>
      <w:r w:rsidRPr="00780682">
        <w:lastRenderedPageBreak/>
        <w:t>Sampling Strategy and Context</w:t>
      </w:r>
    </w:p>
    <w:p w14:paraId="7C4D9AED" w14:textId="7337DD0F" w:rsidR="00684FDD" w:rsidRPr="00780682" w:rsidRDefault="00684FDD" w:rsidP="006A2B0E">
      <w:pPr>
        <w:spacing w:line="360" w:lineRule="auto"/>
        <w:rPr>
          <w:rFonts w:ascii="Calibri" w:hAnsi="Calibri" w:cs="Calibri"/>
        </w:rPr>
      </w:pPr>
      <w:r w:rsidRPr="00780682">
        <w:rPr>
          <w:rFonts w:ascii="Calibri" w:hAnsi="Calibri" w:cs="Calibri"/>
        </w:rPr>
        <w:t xml:space="preserve">The intended sample comprises primary school teachers in Wales who </w:t>
      </w:r>
      <w:r w:rsidR="003E6A9E" w:rsidRPr="00780682">
        <w:rPr>
          <w:rFonts w:ascii="Calibri" w:hAnsi="Calibri" w:cs="Calibri"/>
        </w:rPr>
        <w:t>will</w:t>
      </w:r>
      <w:r w:rsidRPr="00780682">
        <w:rPr>
          <w:rFonts w:ascii="Calibri" w:hAnsi="Calibri" w:cs="Calibri"/>
        </w:rPr>
        <w:t xml:space="preserve"> participate in a</w:t>
      </w:r>
      <w:r w:rsidR="003E6A9E" w:rsidRPr="00780682">
        <w:rPr>
          <w:rFonts w:ascii="Calibri" w:hAnsi="Calibri" w:cs="Calibri"/>
        </w:rPr>
        <w:t>n upcoming</w:t>
      </w:r>
      <w:r w:rsidRPr="00780682">
        <w:rPr>
          <w:rFonts w:ascii="Calibri" w:hAnsi="Calibri" w:cs="Calibri"/>
        </w:rPr>
        <w:t xml:space="preserve"> residential educational visit with their class. A purposive sampling strategy is used to ensure relevance to the research question. This choice reflects recommendations from qualitative research literature that sampling should prioritise information-rich cases (Patton, 2015) rather than aiming for statistical representativeness</w:t>
      </w:r>
      <w:r w:rsidR="00014176">
        <w:rPr>
          <w:rFonts w:ascii="Calibri" w:hAnsi="Calibri" w:cs="Calibri"/>
        </w:rPr>
        <w:t>. T</w:t>
      </w:r>
      <w:r w:rsidR="004044CB" w:rsidRPr="00780682">
        <w:rPr>
          <w:rFonts w:ascii="Calibri" w:hAnsi="Calibri" w:cs="Calibri"/>
        </w:rPr>
        <w:t>he sample will depend very much on which schools have planned visits and so choice of participants is dependent on this</w:t>
      </w:r>
      <w:r w:rsidRPr="00780682">
        <w:rPr>
          <w:rFonts w:ascii="Calibri" w:hAnsi="Calibri" w:cs="Calibri"/>
        </w:rPr>
        <w:t>.</w:t>
      </w:r>
    </w:p>
    <w:p w14:paraId="62BF79E2" w14:textId="3EEA8ABA" w:rsidR="000F5722" w:rsidRDefault="002101E4" w:rsidP="002101E4">
      <w:pPr>
        <w:spacing w:line="360" w:lineRule="auto"/>
        <w:rPr>
          <w:rFonts w:ascii="Calibri" w:hAnsi="Calibri" w:cs="Calibri"/>
        </w:rPr>
      </w:pPr>
      <w:r w:rsidRPr="002101E4">
        <w:rPr>
          <w:rFonts w:ascii="Calibri" w:hAnsi="Calibri" w:cs="Calibri"/>
        </w:rPr>
        <w:t>This study will use purposive sampling to recruit primary school teachers in Wales who have either recently taken part in, or are known to embed, residential educational visits within their practice. Participants will be identified through professional networks, direct contact with schools that regularly organise such experiences, and practitioner referrals. While this targeted approach ensures the relevance of responses to the research focus, it also introduces potential limitations. The researcher's professional connections may influence who chooses to participate, raising important considerations around positionality and the balance of power (Berger, 2015). To address this, participants will be clearly informed of the voluntary nature of the study, and anonymity will be maintained throughout. No incentives will be offered, ensuring ethical integrity in line with BERA (2024) guidelines.</w:t>
      </w:r>
      <w:r>
        <w:rPr>
          <w:rFonts w:ascii="Calibri" w:hAnsi="Calibri" w:cs="Calibri"/>
        </w:rPr>
        <w:t xml:space="preserve"> </w:t>
      </w:r>
      <w:r w:rsidR="00684FDD" w:rsidRPr="00780682">
        <w:rPr>
          <w:rFonts w:ascii="Calibri" w:hAnsi="Calibri" w:cs="Calibri"/>
        </w:rPr>
        <w:t>The sample size is expected to be small (5</w:t>
      </w:r>
      <w:r w:rsidR="000F5722">
        <w:rPr>
          <w:rFonts w:ascii="Calibri" w:hAnsi="Calibri" w:cs="Calibri"/>
        </w:rPr>
        <w:t xml:space="preserve"> - </w:t>
      </w:r>
      <w:r w:rsidR="00684FDD" w:rsidRPr="00780682">
        <w:rPr>
          <w:rFonts w:ascii="Calibri" w:hAnsi="Calibri" w:cs="Calibri"/>
        </w:rPr>
        <w:t>15 participants), which is appropriate for qualitative analysis aiming to understand depth over breadth (Robson &amp; McCartan, 2016).</w:t>
      </w:r>
      <w:r w:rsidR="00185C5E" w:rsidRPr="00780682">
        <w:rPr>
          <w:rFonts w:ascii="Calibri" w:hAnsi="Calibri" w:cs="Calibri"/>
        </w:rPr>
        <w:t xml:space="preserve"> </w:t>
      </w:r>
    </w:p>
    <w:p w14:paraId="15CD8D6D" w14:textId="77777777" w:rsidR="000F5722" w:rsidRDefault="000F5722" w:rsidP="002101E4">
      <w:pPr>
        <w:spacing w:line="360" w:lineRule="auto"/>
        <w:rPr>
          <w:rFonts w:ascii="Calibri" w:hAnsi="Calibri" w:cs="Calibri"/>
        </w:rPr>
      </w:pPr>
    </w:p>
    <w:p w14:paraId="0297F885" w14:textId="4924C737" w:rsidR="00684FDD" w:rsidRPr="00780682" w:rsidRDefault="00684FDD" w:rsidP="000F5722">
      <w:pPr>
        <w:pStyle w:val="Heading2"/>
      </w:pPr>
      <w:r w:rsidRPr="00780682">
        <w:t xml:space="preserve">Strengths and Limitations of the </w:t>
      </w:r>
      <w:r w:rsidR="00DD784B">
        <w:t xml:space="preserve">Research </w:t>
      </w:r>
      <w:r w:rsidR="00D82D2D">
        <w:t>Design</w:t>
      </w:r>
    </w:p>
    <w:p w14:paraId="6BD9297F" w14:textId="60F50B5D" w:rsidR="000133CC" w:rsidRPr="000133CC" w:rsidRDefault="000133CC" w:rsidP="00EA641A">
      <w:pPr>
        <w:spacing w:line="360" w:lineRule="auto"/>
        <w:rPr>
          <w:rFonts w:ascii="Calibri" w:hAnsi="Calibri" w:cs="Calibri"/>
        </w:rPr>
      </w:pPr>
      <w:r w:rsidRPr="000133CC">
        <w:rPr>
          <w:rFonts w:ascii="Calibri" w:hAnsi="Calibri" w:cs="Calibri"/>
        </w:rPr>
        <w:t>This research design</w:t>
      </w:r>
      <w:r>
        <w:rPr>
          <w:rFonts w:ascii="Calibri" w:hAnsi="Calibri" w:cs="Calibri"/>
        </w:rPr>
        <w:t xml:space="preserve"> hopefully</w:t>
      </w:r>
      <w:r w:rsidRPr="000133CC">
        <w:rPr>
          <w:rFonts w:ascii="Calibri" w:hAnsi="Calibri" w:cs="Calibri"/>
        </w:rPr>
        <w:t xml:space="preserve"> offers several strengths. Using an online reflective questionnaire allows teachers to participate flexibly and at their own convenience, which is particularly important in a profession where time, energy, and emotional capacity are often limited (</w:t>
      </w:r>
      <w:proofErr w:type="spellStart"/>
      <w:r w:rsidRPr="000133CC">
        <w:rPr>
          <w:rFonts w:ascii="Calibri" w:hAnsi="Calibri" w:cs="Calibri"/>
        </w:rPr>
        <w:t>CooperGibson</w:t>
      </w:r>
      <w:proofErr w:type="spellEnd"/>
      <w:r w:rsidRPr="000133CC">
        <w:rPr>
          <w:rFonts w:ascii="Calibri" w:hAnsi="Calibri" w:cs="Calibri"/>
        </w:rPr>
        <w:t xml:space="preserve"> Research, 2019; Jones </w:t>
      </w:r>
      <w:r w:rsidRPr="000133CC">
        <w:rPr>
          <w:rFonts w:ascii="Calibri" w:hAnsi="Calibri" w:cs="Calibri"/>
          <w:i/>
          <w:iCs/>
        </w:rPr>
        <w:t>et al</w:t>
      </w:r>
      <w:r w:rsidRPr="000133CC">
        <w:rPr>
          <w:rFonts w:ascii="Calibri" w:hAnsi="Calibri" w:cs="Calibri"/>
        </w:rPr>
        <w:t>., 2023). Qualtrics provides a secure and accessible platform that supports ethical standards and allows for the efficient collection of open-ended data (Salmons, 2022). The structure of the questionnaire</w:t>
      </w:r>
      <w:r w:rsidR="00CD2DF6">
        <w:rPr>
          <w:rFonts w:ascii="Calibri" w:hAnsi="Calibri" w:cs="Calibri"/>
        </w:rPr>
        <w:t xml:space="preserve"> is </w:t>
      </w:r>
      <w:r w:rsidRPr="000133CC">
        <w:rPr>
          <w:rFonts w:ascii="Calibri" w:hAnsi="Calibri" w:cs="Calibri"/>
        </w:rPr>
        <w:t>designed with carefully worded, non-leading prompts</w:t>
      </w:r>
      <w:r w:rsidR="00CD2DF6">
        <w:rPr>
          <w:rFonts w:ascii="Calibri" w:hAnsi="Calibri" w:cs="Calibri"/>
        </w:rPr>
        <w:t xml:space="preserve"> which </w:t>
      </w:r>
      <w:r w:rsidRPr="000133CC">
        <w:rPr>
          <w:rFonts w:ascii="Calibri" w:hAnsi="Calibri" w:cs="Calibri"/>
        </w:rPr>
        <w:t>aims to elicit thoughtful, authentic reflections on wellbeing without requiring real-time engagement</w:t>
      </w:r>
      <w:r w:rsidR="00EA641A">
        <w:rPr>
          <w:rFonts w:ascii="Calibri" w:hAnsi="Calibri" w:cs="Calibri"/>
        </w:rPr>
        <w:t xml:space="preserve"> </w:t>
      </w:r>
      <w:r w:rsidR="00EA641A" w:rsidRPr="00EA641A">
        <w:rPr>
          <w:rFonts w:ascii="Calibri" w:hAnsi="Calibri" w:cs="Calibri"/>
        </w:rPr>
        <w:t>(Market Research Society, 2024)</w:t>
      </w:r>
      <w:r w:rsidRPr="000133CC">
        <w:rPr>
          <w:rFonts w:ascii="Calibri" w:hAnsi="Calibri" w:cs="Calibri"/>
        </w:rPr>
        <w:t>.</w:t>
      </w:r>
    </w:p>
    <w:p w14:paraId="0519EC5E" w14:textId="6D2CC5D2" w:rsidR="000133CC" w:rsidRPr="000133CC" w:rsidRDefault="000133CC" w:rsidP="000133CC">
      <w:pPr>
        <w:spacing w:line="360" w:lineRule="auto"/>
        <w:rPr>
          <w:rFonts w:ascii="Calibri" w:hAnsi="Calibri" w:cs="Calibri"/>
        </w:rPr>
      </w:pPr>
      <w:r w:rsidRPr="000133CC">
        <w:rPr>
          <w:rFonts w:ascii="Calibri" w:hAnsi="Calibri" w:cs="Calibri"/>
        </w:rPr>
        <w:t>A</w:t>
      </w:r>
      <w:r w:rsidR="00D82D2D">
        <w:rPr>
          <w:rFonts w:ascii="Calibri" w:hAnsi="Calibri" w:cs="Calibri"/>
        </w:rPr>
        <w:t xml:space="preserve"> possible</w:t>
      </w:r>
      <w:r w:rsidRPr="000133CC">
        <w:rPr>
          <w:rFonts w:ascii="Calibri" w:hAnsi="Calibri" w:cs="Calibri"/>
        </w:rPr>
        <w:t xml:space="preserve"> additional strength lies in the planned integration of the optional Warwick-Edinburgh Mental Wellbeing Scale (WEMWBS). This validated tool enables light triangulation by complementing participants' narrative reflections with a structured measure of mental wellbeing (Tennant </w:t>
      </w:r>
      <w:r w:rsidRPr="000133CC">
        <w:rPr>
          <w:rFonts w:ascii="Calibri" w:hAnsi="Calibri" w:cs="Calibri"/>
          <w:i/>
          <w:iCs/>
        </w:rPr>
        <w:t>et al.,</w:t>
      </w:r>
      <w:r w:rsidRPr="000133CC">
        <w:rPr>
          <w:rFonts w:ascii="Calibri" w:hAnsi="Calibri" w:cs="Calibri"/>
        </w:rPr>
        <w:t xml:space="preserve"> 2007; Maheswaran </w:t>
      </w:r>
      <w:r w:rsidRPr="000133CC">
        <w:rPr>
          <w:rFonts w:ascii="Calibri" w:hAnsi="Calibri" w:cs="Calibri"/>
          <w:i/>
          <w:iCs/>
        </w:rPr>
        <w:t>et al.,</w:t>
      </w:r>
      <w:r w:rsidRPr="000133CC">
        <w:rPr>
          <w:rFonts w:ascii="Calibri" w:hAnsi="Calibri" w:cs="Calibri"/>
        </w:rPr>
        <w:t xml:space="preserve"> 2012). Although this does not constitute a full mixed-methods approach, it enhances credibility by offering a </w:t>
      </w:r>
      <w:r w:rsidRPr="000133CC">
        <w:rPr>
          <w:rFonts w:ascii="Calibri" w:hAnsi="Calibri" w:cs="Calibri"/>
        </w:rPr>
        <w:lastRenderedPageBreak/>
        <w:t xml:space="preserve">broader view of teacher wellbeing, consistent with the principles of qualitative research (Creswell &amp; </w:t>
      </w:r>
      <w:proofErr w:type="spellStart"/>
      <w:r w:rsidRPr="000133CC">
        <w:rPr>
          <w:rFonts w:ascii="Calibri" w:hAnsi="Calibri" w:cs="Calibri"/>
        </w:rPr>
        <w:t>Poth</w:t>
      </w:r>
      <w:proofErr w:type="spellEnd"/>
      <w:r w:rsidRPr="000133CC">
        <w:rPr>
          <w:rFonts w:ascii="Calibri" w:hAnsi="Calibri" w:cs="Calibri"/>
        </w:rPr>
        <w:t>, 2018; Denzin, 2012).</w:t>
      </w:r>
    </w:p>
    <w:p w14:paraId="4E8D961C" w14:textId="7D0CF5AE" w:rsidR="000133CC" w:rsidRPr="000133CC" w:rsidRDefault="00172CED" w:rsidP="000133CC">
      <w:pPr>
        <w:spacing w:line="360" w:lineRule="auto"/>
        <w:rPr>
          <w:rFonts w:ascii="Calibri" w:hAnsi="Calibri" w:cs="Calibri"/>
        </w:rPr>
      </w:pPr>
      <w:r>
        <w:rPr>
          <w:rFonts w:ascii="Calibri" w:hAnsi="Calibri" w:cs="Calibri"/>
        </w:rPr>
        <w:t>Despite these strengths, it is important to acknowledge that</w:t>
      </w:r>
      <w:r w:rsidR="000133CC" w:rsidRPr="000133CC">
        <w:rPr>
          <w:rFonts w:ascii="Calibri" w:hAnsi="Calibri" w:cs="Calibri"/>
        </w:rPr>
        <w:t xml:space="preserve"> there are notable limitations. </w:t>
      </w:r>
      <w:r>
        <w:rPr>
          <w:rFonts w:ascii="Calibri" w:hAnsi="Calibri" w:cs="Calibri"/>
        </w:rPr>
        <w:t>Notwithstanding</w:t>
      </w:r>
      <w:r w:rsidR="000133CC" w:rsidRPr="000133CC">
        <w:rPr>
          <w:rFonts w:ascii="Calibri" w:hAnsi="Calibri" w:cs="Calibri"/>
        </w:rPr>
        <w:t xml:space="preserve"> efforts to make participation accessible</w:t>
      </w:r>
      <w:r w:rsidR="00466D44">
        <w:rPr>
          <w:rFonts w:ascii="Calibri" w:hAnsi="Calibri" w:cs="Calibri"/>
        </w:rPr>
        <w:t xml:space="preserve"> by being online and thus allowing accessibility</w:t>
      </w:r>
      <w:r w:rsidR="007E0C1C">
        <w:rPr>
          <w:rFonts w:ascii="Calibri" w:hAnsi="Calibri" w:cs="Calibri"/>
        </w:rPr>
        <w:t xml:space="preserve"> tools</w:t>
      </w:r>
      <w:r w:rsidR="00491506">
        <w:rPr>
          <w:rFonts w:ascii="Calibri" w:hAnsi="Calibri" w:cs="Calibri"/>
        </w:rPr>
        <w:t xml:space="preserve"> for participants to use on their devices</w:t>
      </w:r>
      <w:r w:rsidR="00C97357">
        <w:rPr>
          <w:rFonts w:ascii="Calibri" w:hAnsi="Calibri" w:cs="Calibri"/>
        </w:rPr>
        <w:t xml:space="preserve"> -</w:t>
      </w:r>
      <w:r w:rsidR="000133CC" w:rsidRPr="000133CC">
        <w:rPr>
          <w:rFonts w:ascii="Calibri" w:hAnsi="Calibri" w:cs="Calibri"/>
        </w:rPr>
        <w:t xml:space="preserve"> completing reflective questionnaires still demands time, energy, and emotional availability, which may limit both response rates and depth of engagement. Additionally, capturing emotional nuance in written narratives can be challenging for some participants, and the asynchronous nature of data collection removes the possibility for immediate follow-up or clarification (Gill </w:t>
      </w:r>
      <w:r w:rsidR="000133CC" w:rsidRPr="000133CC">
        <w:rPr>
          <w:rFonts w:ascii="Calibri" w:hAnsi="Calibri" w:cs="Calibri"/>
          <w:i/>
          <w:iCs/>
        </w:rPr>
        <w:t xml:space="preserve">et al., </w:t>
      </w:r>
      <w:r w:rsidR="000133CC" w:rsidRPr="000133CC">
        <w:rPr>
          <w:rFonts w:ascii="Calibri" w:hAnsi="Calibri" w:cs="Calibri"/>
        </w:rPr>
        <w:t>2008). From an analytical standpoint, interpreting reflective text requires sensitivity to tone, context, and meaning. While thematic analysis is well-suited to this task, it relies heavily on the researcher's interpretive lens</w:t>
      </w:r>
      <w:r w:rsidR="00C97357">
        <w:rPr>
          <w:rFonts w:ascii="Calibri" w:hAnsi="Calibri" w:cs="Calibri"/>
        </w:rPr>
        <w:t xml:space="preserve">, thus </w:t>
      </w:r>
      <w:r w:rsidR="000133CC" w:rsidRPr="000133CC">
        <w:rPr>
          <w:rFonts w:ascii="Calibri" w:hAnsi="Calibri" w:cs="Calibri"/>
        </w:rPr>
        <w:t xml:space="preserve">posing risks around </w:t>
      </w:r>
      <w:r w:rsidR="006622EA">
        <w:rPr>
          <w:rFonts w:ascii="Calibri" w:hAnsi="Calibri" w:cs="Calibri"/>
        </w:rPr>
        <w:t xml:space="preserve">my </w:t>
      </w:r>
      <w:r w:rsidR="000133CC" w:rsidRPr="000133CC">
        <w:rPr>
          <w:rFonts w:ascii="Calibri" w:hAnsi="Calibri" w:cs="Calibri"/>
        </w:rPr>
        <w:t xml:space="preserve">subjectivity, even with reflexive practices in place (Nowell </w:t>
      </w:r>
      <w:r w:rsidR="000133CC" w:rsidRPr="000133CC">
        <w:rPr>
          <w:rFonts w:ascii="Calibri" w:hAnsi="Calibri" w:cs="Calibri"/>
          <w:i/>
          <w:iCs/>
        </w:rPr>
        <w:t>et al</w:t>
      </w:r>
      <w:r w:rsidR="000133CC" w:rsidRPr="000133CC">
        <w:rPr>
          <w:rFonts w:ascii="Calibri" w:hAnsi="Calibri" w:cs="Calibri"/>
        </w:rPr>
        <w:t>., 2017).</w:t>
      </w:r>
    </w:p>
    <w:p w14:paraId="28C48059" w14:textId="70D0F23E" w:rsidR="000133CC" w:rsidRPr="000133CC" w:rsidRDefault="000133CC" w:rsidP="006C15DD">
      <w:pPr>
        <w:spacing w:line="360" w:lineRule="auto"/>
        <w:rPr>
          <w:rFonts w:ascii="Calibri" w:hAnsi="Calibri" w:cs="Calibri"/>
        </w:rPr>
      </w:pPr>
      <w:r w:rsidRPr="000133CC">
        <w:rPr>
          <w:rFonts w:ascii="Calibri" w:hAnsi="Calibri" w:cs="Calibri"/>
        </w:rPr>
        <w:t>As the study uses a longitudinal design, participants will be invited to reflect at three key points: before, during, and after the residential visit. This allows for exploration of change over time; however, it also introduces the risk of incomplete data sets if one or more phases are misse</w:t>
      </w:r>
      <w:r w:rsidR="00FB5501">
        <w:rPr>
          <w:rFonts w:ascii="Calibri" w:hAnsi="Calibri" w:cs="Calibri"/>
        </w:rPr>
        <w:t xml:space="preserve">d </w:t>
      </w:r>
      <w:r w:rsidR="00FB5501" w:rsidRPr="00FB5501">
        <w:rPr>
          <w:rFonts w:ascii="Calibri" w:hAnsi="Calibri" w:cs="Calibri"/>
        </w:rPr>
        <w:t>(Robson &amp; McCartan, 2016)</w:t>
      </w:r>
      <w:r w:rsidRPr="000133CC">
        <w:rPr>
          <w:rFonts w:ascii="Calibri" w:hAnsi="Calibri" w:cs="Calibri"/>
        </w:rPr>
        <w:t>. To mitigate this, participants will receive clear scheduling and reminders, but attrition remains a possibility</w:t>
      </w:r>
      <w:r w:rsidR="003D65FC">
        <w:rPr>
          <w:rFonts w:ascii="Calibri" w:hAnsi="Calibri" w:cs="Calibri"/>
        </w:rPr>
        <w:t xml:space="preserve"> meaning I may not get a full picture</w:t>
      </w:r>
      <w:r w:rsidR="002D5A38">
        <w:rPr>
          <w:rFonts w:ascii="Calibri" w:hAnsi="Calibri" w:cs="Calibri"/>
        </w:rPr>
        <w:t xml:space="preserve"> if they only complete some sections</w:t>
      </w:r>
      <w:r w:rsidR="00EF24FC">
        <w:rPr>
          <w:rFonts w:ascii="Calibri" w:hAnsi="Calibri" w:cs="Calibri"/>
        </w:rPr>
        <w:t xml:space="preserve"> </w:t>
      </w:r>
      <w:r w:rsidR="00EF24FC" w:rsidRPr="00EF24FC">
        <w:rPr>
          <w:rFonts w:ascii="Calibri" w:hAnsi="Calibri" w:cs="Calibri"/>
        </w:rPr>
        <w:t>(</w:t>
      </w:r>
      <w:r w:rsidR="00F65242" w:rsidRPr="00F65242">
        <w:rPr>
          <w:rFonts w:ascii="Calibri" w:hAnsi="Calibri" w:cs="Calibri"/>
        </w:rPr>
        <w:t>McLeod, 2017</w:t>
      </w:r>
      <w:r w:rsidR="00F65242">
        <w:rPr>
          <w:rFonts w:ascii="Calibri" w:hAnsi="Calibri" w:cs="Calibri"/>
        </w:rPr>
        <w:t xml:space="preserve">; </w:t>
      </w:r>
      <w:r w:rsidR="00EF24FC" w:rsidRPr="00EF24FC">
        <w:rPr>
          <w:rFonts w:ascii="Calibri" w:hAnsi="Calibri" w:cs="Calibri"/>
        </w:rPr>
        <w:t xml:space="preserve">Wanat </w:t>
      </w:r>
      <w:r w:rsidR="00EF24FC" w:rsidRPr="00EF24FC">
        <w:rPr>
          <w:rFonts w:ascii="Calibri" w:hAnsi="Calibri" w:cs="Calibri"/>
          <w:i/>
          <w:iCs/>
        </w:rPr>
        <w:t>et al.,</w:t>
      </w:r>
      <w:r w:rsidR="00EF24FC" w:rsidRPr="00EF24FC">
        <w:rPr>
          <w:rFonts w:ascii="Calibri" w:hAnsi="Calibri" w:cs="Calibri"/>
        </w:rPr>
        <w:t xml:space="preserve"> 2021)</w:t>
      </w:r>
      <w:r w:rsidRPr="000133CC">
        <w:rPr>
          <w:rFonts w:ascii="Calibri" w:hAnsi="Calibri" w:cs="Calibri"/>
        </w:rPr>
        <w:t xml:space="preserve">. </w:t>
      </w:r>
      <w:r w:rsidR="008516BB" w:rsidRPr="008516BB">
        <w:rPr>
          <w:rFonts w:ascii="Calibri" w:hAnsi="Calibri" w:cs="Calibri"/>
        </w:rPr>
        <w:t>Finally, while the study focuses on a specific Welsh context to align with national education policy, such as the Curriculum for Wales (Welsh Government, 2022) and the Framework on Embedding a Whole-School Approach to Emotional and Mental Wellbeing (Welsh Government, 2021), the findings may not be widely transferable.</w:t>
      </w:r>
      <w:r w:rsidR="008516BB">
        <w:rPr>
          <w:rFonts w:ascii="Calibri" w:hAnsi="Calibri" w:cs="Calibri"/>
        </w:rPr>
        <w:t xml:space="preserve"> </w:t>
      </w:r>
      <w:r w:rsidR="006C15DD" w:rsidRPr="006C15DD">
        <w:rPr>
          <w:rFonts w:ascii="Calibri" w:hAnsi="Calibri" w:cs="Calibri"/>
        </w:rPr>
        <w:t xml:space="preserve">While the research offers rich, context-specific insights, its transferability to other regions or systems may be limited due to differences in policy, culture, and educational priorities (Lincoln, </w:t>
      </w:r>
      <w:proofErr w:type="spellStart"/>
      <w:r w:rsidR="006C15DD" w:rsidRPr="006C15DD">
        <w:rPr>
          <w:rFonts w:ascii="Calibri" w:hAnsi="Calibri" w:cs="Calibri"/>
        </w:rPr>
        <w:t>Lynham</w:t>
      </w:r>
      <w:proofErr w:type="spellEnd"/>
      <w:r w:rsidR="006C15DD" w:rsidRPr="006C15DD">
        <w:rPr>
          <w:rFonts w:ascii="Calibri" w:hAnsi="Calibri" w:cs="Calibri"/>
        </w:rPr>
        <w:t xml:space="preserve"> &amp; Guba, 2018).</w:t>
      </w:r>
      <w:r w:rsidR="006C15DD">
        <w:rPr>
          <w:rFonts w:ascii="Calibri" w:hAnsi="Calibri" w:cs="Calibri"/>
        </w:rPr>
        <w:t xml:space="preserve"> </w:t>
      </w:r>
      <w:r w:rsidRPr="000133CC">
        <w:rPr>
          <w:rFonts w:ascii="Calibri" w:hAnsi="Calibri" w:cs="Calibri"/>
        </w:rPr>
        <w:t>Nevertheless, the aim is not statistical generalisation but to produce meaningful, practice-informed insights</w:t>
      </w:r>
      <w:r w:rsidR="00A428E8">
        <w:rPr>
          <w:rFonts w:ascii="Calibri" w:hAnsi="Calibri" w:cs="Calibri"/>
        </w:rPr>
        <w:t xml:space="preserve"> (Neale</w:t>
      </w:r>
      <w:r w:rsidR="00DD6A04">
        <w:rPr>
          <w:rFonts w:ascii="Calibri" w:hAnsi="Calibri" w:cs="Calibri"/>
        </w:rPr>
        <w:t xml:space="preserve">, 2021) </w:t>
      </w:r>
      <w:r w:rsidRPr="000133CC">
        <w:rPr>
          <w:rFonts w:ascii="Calibri" w:hAnsi="Calibri" w:cs="Calibri"/>
        </w:rPr>
        <w:t xml:space="preserve"> relevant to wellbeing in primary education.</w:t>
      </w:r>
    </w:p>
    <w:p w14:paraId="0D7B9DA8" w14:textId="77777777" w:rsidR="00920CE7" w:rsidRPr="00780682" w:rsidRDefault="00920CE7" w:rsidP="006A2B0E">
      <w:pPr>
        <w:spacing w:line="360" w:lineRule="auto"/>
        <w:rPr>
          <w:rFonts w:ascii="Calibri" w:hAnsi="Calibri" w:cs="Calibri"/>
        </w:rPr>
      </w:pPr>
    </w:p>
    <w:p w14:paraId="71683FA0" w14:textId="47499116" w:rsidR="00684FDD" w:rsidRPr="00780682" w:rsidRDefault="00684FDD" w:rsidP="00840203">
      <w:pPr>
        <w:pStyle w:val="Heading2"/>
      </w:pPr>
      <w:r w:rsidRPr="00780682">
        <w:t>Data Presentation and Analysis Methods</w:t>
      </w:r>
      <w:r w:rsidR="000B4745">
        <w:t xml:space="preserve"> and Conclusion </w:t>
      </w:r>
    </w:p>
    <w:p w14:paraId="189857C3" w14:textId="678BF8F3" w:rsidR="008D613C" w:rsidRPr="008D613C" w:rsidRDefault="00CA58F7" w:rsidP="008D613C">
      <w:pPr>
        <w:spacing w:line="360" w:lineRule="auto"/>
        <w:rPr>
          <w:rFonts w:ascii="Calibri" w:hAnsi="Calibri" w:cs="Calibri"/>
        </w:rPr>
      </w:pPr>
      <w:r w:rsidRPr="00780682">
        <w:rPr>
          <w:rFonts w:ascii="Calibri" w:hAnsi="Calibri" w:cs="Calibri"/>
        </w:rPr>
        <w:t>“Thematic analysis is a method for systematically identifying, organising, and offering insight into patterns of meaning (themes) across a data set” (Braun and Clarke (2022, p.3)</w:t>
      </w:r>
      <w:r w:rsidR="002966F2" w:rsidRPr="00780682">
        <w:rPr>
          <w:rFonts w:ascii="Calibri" w:hAnsi="Calibri" w:cs="Calibri"/>
        </w:rPr>
        <w:t>.</w:t>
      </w:r>
      <w:r w:rsidR="008D613C">
        <w:rPr>
          <w:rFonts w:ascii="Calibri" w:hAnsi="Calibri" w:cs="Calibri"/>
        </w:rPr>
        <w:t xml:space="preserve"> </w:t>
      </w:r>
      <w:r w:rsidR="008D613C" w:rsidRPr="008D613C">
        <w:rPr>
          <w:rFonts w:ascii="Calibri" w:hAnsi="Calibri" w:cs="Calibri"/>
        </w:rPr>
        <w:t xml:space="preserve">Thematic analysis (TA) will be used to explore teachers’ written reflections, offering a flexible, structured approach to identifying patterns of meaning in qualitative data (Braun &amp; Clarke, 2022). This method aligns well with </w:t>
      </w:r>
      <w:r w:rsidR="00C818D5">
        <w:rPr>
          <w:rFonts w:ascii="Calibri" w:hAnsi="Calibri" w:cs="Calibri"/>
        </w:rPr>
        <w:t>my</w:t>
      </w:r>
      <w:r w:rsidR="008D613C" w:rsidRPr="008D613C">
        <w:rPr>
          <w:rFonts w:ascii="Calibri" w:hAnsi="Calibri" w:cs="Calibri"/>
        </w:rPr>
        <w:t xml:space="preserve"> constructivist stance</w:t>
      </w:r>
      <w:r w:rsidR="00C818D5">
        <w:rPr>
          <w:rFonts w:ascii="Calibri" w:hAnsi="Calibri" w:cs="Calibri"/>
        </w:rPr>
        <w:t xml:space="preserve"> in this research</w:t>
      </w:r>
      <w:r w:rsidR="008D613C" w:rsidRPr="008D613C">
        <w:rPr>
          <w:rFonts w:ascii="Calibri" w:hAnsi="Calibri" w:cs="Calibri"/>
        </w:rPr>
        <w:t xml:space="preserve">, enabling exploration of teachers’ lived experiences of residential visits without assuming </w:t>
      </w:r>
      <w:r w:rsidR="008D613C" w:rsidRPr="008D613C">
        <w:rPr>
          <w:rFonts w:ascii="Calibri" w:hAnsi="Calibri" w:cs="Calibri"/>
        </w:rPr>
        <w:lastRenderedPageBreak/>
        <w:t xml:space="preserve">objective truths (Phillips &amp; </w:t>
      </w:r>
      <w:proofErr w:type="spellStart"/>
      <w:r w:rsidR="008D613C" w:rsidRPr="008D613C">
        <w:rPr>
          <w:rFonts w:ascii="Calibri" w:hAnsi="Calibri" w:cs="Calibri"/>
        </w:rPr>
        <w:t>Burbules</w:t>
      </w:r>
      <w:proofErr w:type="spellEnd"/>
      <w:r w:rsidR="008D613C" w:rsidRPr="008D613C">
        <w:rPr>
          <w:rFonts w:ascii="Calibri" w:hAnsi="Calibri" w:cs="Calibri"/>
        </w:rPr>
        <w:t>, 2000). TA will follow Braun and Clarke’s (2006) six-phase model</w:t>
      </w:r>
      <w:r w:rsidR="006F2DA0">
        <w:rPr>
          <w:rFonts w:ascii="Calibri" w:hAnsi="Calibri" w:cs="Calibri"/>
        </w:rPr>
        <w:t>, as aforementioned, and hopefully t</w:t>
      </w:r>
      <w:r w:rsidR="008D613C" w:rsidRPr="008D613C">
        <w:rPr>
          <w:rFonts w:ascii="Calibri" w:hAnsi="Calibri" w:cs="Calibri"/>
        </w:rPr>
        <w:t xml:space="preserve">hemes will emerge inductively but be informed by sensitising concepts from the PERMA model (Seligman, 2011) and the Job Demands–Resources model (Bakker &amp; Demerouti, 2007), which </w:t>
      </w:r>
      <w:r w:rsidR="006F2DA0">
        <w:rPr>
          <w:rFonts w:ascii="Calibri" w:hAnsi="Calibri" w:cs="Calibri"/>
        </w:rPr>
        <w:t xml:space="preserve">can </w:t>
      </w:r>
      <w:r w:rsidR="008D613C" w:rsidRPr="008D613C">
        <w:rPr>
          <w:rFonts w:ascii="Calibri" w:hAnsi="Calibri" w:cs="Calibri"/>
        </w:rPr>
        <w:t>provide useful lenses without imposing rigid coding.</w:t>
      </w:r>
    </w:p>
    <w:p w14:paraId="276B81C6" w14:textId="754177D5" w:rsidR="008D613C" w:rsidRPr="008D613C" w:rsidRDefault="008D613C" w:rsidP="008D613C">
      <w:pPr>
        <w:spacing w:line="360" w:lineRule="auto"/>
        <w:rPr>
          <w:rFonts w:ascii="Calibri" w:hAnsi="Calibri" w:cs="Calibri"/>
        </w:rPr>
      </w:pPr>
      <w:r w:rsidRPr="008D613C">
        <w:rPr>
          <w:rFonts w:ascii="Calibri" w:hAnsi="Calibri" w:cs="Calibri"/>
        </w:rPr>
        <w:t xml:space="preserve">Written responses </w:t>
      </w:r>
      <w:r w:rsidR="006F2DA0">
        <w:rPr>
          <w:rFonts w:ascii="Calibri" w:hAnsi="Calibri" w:cs="Calibri"/>
        </w:rPr>
        <w:t xml:space="preserve">to the questionnaire </w:t>
      </w:r>
      <w:r w:rsidRPr="008D613C">
        <w:rPr>
          <w:rFonts w:ascii="Calibri" w:hAnsi="Calibri" w:cs="Calibri"/>
        </w:rPr>
        <w:t xml:space="preserve">may lack spontaneity but allow for deeper reflection and reduce interviewer influence (Cohen </w:t>
      </w:r>
      <w:r w:rsidRPr="008D613C">
        <w:rPr>
          <w:rFonts w:ascii="Calibri" w:hAnsi="Calibri" w:cs="Calibri"/>
          <w:i/>
          <w:iCs/>
        </w:rPr>
        <w:t>et al.,</w:t>
      </w:r>
      <w:r w:rsidRPr="008D613C">
        <w:rPr>
          <w:rFonts w:ascii="Calibri" w:hAnsi="Calibri" w:cs="Calibri"/>
        </w:rPr>
        <w:t xml:space="preserve"> 2018). Ultimately, TA offers a suitable, context-sensitive method for capturing nuanced teacher insights with practical relevance for wellbeing policy and practice in Welsh education.</w:t>
      </w:r>
    </w:p>
    <w:p w14:paraId="52EECF14" w14:textId="77777777" w:rsidR="006B57DF" w:rsidRPr="006B57DF" w:rsidRDefault="006B57DF" w:rsidP="006B57DF">
      <w:pPr>
        <w:spacing w:line="360" w:lineRule="auto"/>
        <w:rPr>
          <w:rFonts w:ascii="Calibri" w:hAnsi="Calibri" w:cs="Calibri"/>
        </w:rPr>
      </w:pPr>
      <w:r w:rsidRPr="006B57DF">
        <w:rPr>
          <w:rFonts w:ascii="Calibri" w:hAnsi="Calibri" w:cs="Calibri"/>
        </w:rPr>
        <w:t>Engaging with this assignment has deepened my understanding of how ontological and epistemological choices shape research design (Cohen et al., 2018). By critically evaluating my position as a constructivist researcher, I now appreciate the importance of designing tools that honour subjectivity, context, and ethical care (Thomas, 2021). Using the Research Onion (Saunders et al., 2019) helped align my worldview with qualitative methods, while Braun and Clarke (2006; 2022) reinforced the value of reflexivity and transparency. This process has strengthened my commitment to emotionally intelligent, ethically grounded research that elevates teacher voice and informs my reflective educational practice.</w:t>
      </w:r>
    </w:p>
    <w:p w14:paraId="335D7419" w14:textId="77777777" w:rsidR="00700AA6" w:rsidRPr="00780682" w:rsidRDefault="00700AA6" w:rsidP="006A2B0E">
      <w:pPr>
        <w:spacing w:line="360" w:lineRule="auto"/>
        <w:rPr>
          <w:rFonts w:ascii="Calibri" w:hAnsi="Calibri" w:cs="Calibri"/>
        </w:rPr>
      </w:pPr>
    </w:p>
    <w:p w14:paraId="41AF6ABD" w14:textId="77777777" w:rsidR="00700AA6" w:rsidRPr="00780682" w:rsidRDefault="00700AA6" w:rsidP="006A2B0E">
      <w:pPr>
        <w:spacing w:line="360" w:lineRule="auto"/>
        <w:rPr>
          <w:rFonts w:ascii="Calibri" w:hAnsi="Calibri" w:cs="Calibri"/>
        </w:rPr>
      </w:pPr>
    </w:p>
    <w:p w14:paraId="46C44CC1" w14:textId="77777777" w:rsidR="00231227" w:rsidRPr="00780682" w:rsidRDefault="00231227" w:rsidP="006A2B0E">
      <w:pPr>
        <w:spacing w:line="360" w:lineRule="auto"/>
        <w:rPr>
          <w:rFonts w:ascii="Calibri" w:hAnsi="Calibri" w:cs="Calibri"/>
        </w:rPr>
      </w:pPr>
    </w:p>
    <w:p w14:paraId="5DEE72C4" w14:textId="77777777" w:rsidR="00231227" w:rsidRPr="00780682" w:rsidRDefault="00231227" w:rsidP="006A2B0E">
      <w:pPr>
        <w:spacing w:line="360" w:lineRule="auto"/>
        <w:rPr>
          <w:rFonts w:ascii="Calibri" w:hAnsi="Calibri" w:cs="Calibri"/>
        </w:rPr>
      </w:pPr>
    </w:p>
    <w:p w14:paraId="198408E8" w14:textId="77777777" w:rsidR="00231227" w:rsidRPr="00780682" w:rsidRDefault="00231227" w:rsidP="006A2B0E">
      <w:pPr>
        <w:spacing w:line="360" w:lineRule="auto"/>
        <w:rPr>
          <w:rFonts w:ascii="Calibri" w:hAnsi="Calibri" w:cs="Calibri"/>
        </w:rPr>
      </w:pPr>
    </w:p>
    <w:p w14:paraId="05367E07" w14:textId="77777777" w:rsidR="00231227" w:rsidRPr="00780682" w:rsidRDefault="00231227" w:rsidP="006A2B0E">
      <w:pPr>
        <w:spacing w:line="360" w:lineRule="auto"/>
        <w:rPr>
          <w:rFonts w:ascii="Calibri" w:hAnsi="Calibri" w:cs="Calibri"/>
        </w:rPr>
      </w:pPr>
    </w:p>
    <w:p w14:paraId="4D5E4ADE" w14:textId="77777777" w:rsidR="00231227" w:rsidRPr="00780682" w:rsidRDefault="00231227" w:rsidP="006A2B0E">
      <w:pPr>
        <w:spacing w:line="360" w:lineRule="auto"/>
        <w:rPr>
          <w:rFonts w:ascii="Calibri" w:hAnsi="Calibri" w:cs="Calibri"/>
        </w:rPr>
      </w:pPr>
    </w:p>
    <w:p w14:paraId="67882FDA" w14:textId="77777777" w:rsidR="00231227" w:rsidRPr="00780682" w:rsidRDefault="00231227" w:rsidP="006A2B0E">
      <w:pPr>
        <w:spacing w:line="360" w:lineRule="auto"/>
        <w:rPr>
          <w:rFonts w:ascii="Calibri" w:hAnsi="Calibri" w:cs="Calibri"/>
        </w:rPr>
      </w:pPr>
    </w:p>
    <w:p w14:paraId="260BB3DE" w14:textId="77777777" w:rsidR="00231227" w:rsidRPr="00780682" w:rsidRDefault="00231227" w:rsidP="006A2B0E">
      <w:pPr>
        <w:spacing w:line="360" w:lineRule="auto"/>
        <w:rPr>
          <w:rFonts w:ascii="Calibri" w:hAnsi="Calibri" w:cs="Calibri"/>
        </w:rPr>
      </w:pPr>
    </w:p>
    <w:p w14:paraId="620A0553" w14:textId="77777777" w:rsidR="00231227" w:rsidRPr="00780682" w:rsidRDefault="00231227" w:rsidP="006A2B0E">
      <w:pPr>
        <w:spacing w:line="360" w:lineRule="auto"/>
        <w:rPr>
          <w:rFonts w:ascii="Calibri" w:hAnsi="Calibri" w:cs="Calibri"/>
        </w:rPr>
      </w:pPr>
    </w:p>
    <w:p w14:paraId="4159A1FF" w14:textId="4B528D7F" w:rsidR="00700AA6" w:rsidRPr="00780682" w:rsidRDefault="00231227" w:rsidP="007969E8">
      <w:pPr>
        <w:pStyle w:val="Heading2"/>
      </w:pPr>
      <w:r w:rsidRPr="00780682">
        <w:lastRenderedPageBreak/>
        <w:t>Reference List</w:t>
      </w:r>
    </w:p>
    <w:p w14:paraId="00060A54" w14:textId="4419943A" w:rsidR="009E1A1B" w:rsidRPr="0086732F" w:rsidRDefault="0086732F" w:rsidP="0086732F">
      <w:pPr>
        <w:spacing w:line="240" w:lineRule="auto"/>
        <w:rPr>
          <w:rFonts w:ascii="Calibri" w:hAnsi="Calibri" w:cs="Calibri"/>
          <w:sz w:val="22"/>
          <w:szCs w:val="22"/>
        </w:rPr>
      </w:pPr>
      <w:r w:rsidRPr="00E1407C">
        <w:rPr>
          <w:rFonts w:ascii="Calibri" w:eastAsia="Times New Roman" w:hAnsi="Calibri" w:cs="Calibri"/>
          <w:kern w:val="0"/>
          <w:sz w:val="22"/>
          <w:szCs w:val="22"/>
          <w14:ligatures w14:val="none"/>
        </w:rPr>
        <w:t xml:space="preserve">Alderson, P. and Morrow, V. (2020) </w:t>
      </w:r>
      <w:r w:rsidRPr="00E1407C">
        <w:rPr>
          <w:rFonts w:ascii="Calibri" w:eastAsia="Times New Roman" w:hAnsi="Calibri" w:cs="Calibri"/>
          <w:i/>
          <w:iCs/>
          <w:kern w:val="0"/>
          <w:sz w:val="22"/>
          <w:szCs w:val="22"/>
          <w14:ligatures w14:val="none"/>
        </w:rPr>
        <w:t>The ethics of research with children and young people: A practical</w:t>
      </w:r>
      <w:r w:rsidRPr="0086732F">
        <w:rPr>
          <w:rFonts w:ascii="Calibri" w:eastAsia="Times New Roman" w:hAnsi="Calibri" w:cs="Calibri"/>
          <w:i/>
          <w:iCs/>
          <w:kern w:val="0"/>
          <w:sz w:val="22"/>
          <w:szCs w:val="22"/>
          <w14:ligatures w14:val="none"/>
        </w:rPr>
        <w:t xml:space="preserve"> </w:t>
      </w:r>
      <w:r w:rsidRPr="00E1407C">
        <w:rPr>
          <w:rFonts w:ascii="Calibri" w:eastAsia="Times New Roman" w:hAnsi="Calibri" w:cs="Calibri"/>
          <w:i/>
          <w:iCs/>
          <w:kern w:val="0"/>
          <w:sz w:val="22"/>
          <w:szCs w:val="22"/>
          <w14:ligatures w14:val="none"/>
        </w:rPr>
        <w:t>handbook</w:t>
      </w:r>
      <w:r w:rsidRPr="00E1407C">
        <w:rPr>
          <w:rFonts w:ascii="Calibri" w:eastAsia="Times New Roman" w:hAnsi="Calibri" w:cs="Calibri"/>
          <w:kern w:val="0"/>
          <w:sz w:val="22"/>
          <w:szCs w:val="22"/>
          <w14:ligatures w14:val="none"/>
        </w:rPr>
        <w:t>. 2nd ed. London: SAGE.</w:t>
      </w:r>
    </w:p>
    <w:p w14:paraId="08E83F72" w14:textId="77777777" w:rsidR="007C1ECD" w:rsidRPr="0086732F" w:rsidRDefault="007C1ECD" w:rsidP="007C1ECD">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Archibald, M.M., </w:t>
      </w:r>
      <w:proofErr w:type="spellStart"/>
      <w:r w:rsidRPr="0086732F">
        <w:rPr>
          <w:rFonts w:ascii="Calibri" w:eastAsia="Times New Roman" w:hAnsi="Calibri" w:cs="Calibri"/>
          <w:kern w:val="0"/>
          <w:sz w:val="22"/>
          <w:szCs w:val="22"/>
          <w14:ligatures w14:val="none"/>
        </w:rPr>
        <w:t>Ambagtsheer</w:t>
      </w:r>
      <w:proofErr w:type="spellEnd"/>
      <w:r w:rsidRPr="0086732F">
        <w:rPr>
          <w:rFonts w:ascii="Calibri" w:eastAsia="Times New Roman" w:hAnsi="Calibri" w:cs="Calibri"/>
          <w:kern w:val="0"/>
          <w:sz w:val="22"/>
          <w:szCs w:val="22"/>
          <w14:ligatures w14:val="none"/>
        </w:rPr>
        <w:t xml:space="preserve">, R.C., Casey, M.G. and Lawless, M. (2019) ‘Using Zoom videoconferencing for qualitative data collection: perceptions and experiences of researchers and participants’, </w:t>
      </w:r>
      <w:r w:rsidRPr="0086732F">
        <w:rPr>
          <w:rFonts w:ascii="Calibri" w:eastAsia="Times New Roman" w:hAnsi="Calibri" w:cs="Calibri"/>
          <w:i/>
          <w:iCs/>
          <w:kern w:val="0"/>
          <w:sz w:val="22"/>
          <w:szCs w:val="22"/>
          <w14:ligatures w14:val="none"/>
        </w:rPr>
        <w:t>International Journal of Qualitative Methods</w:t>
      </w:r>
      <w:r w:rsidRPr="0086732F">
        <w:rPr>
          <w:rFonts w:ascii="Calibri" w:eastAsia="Times New Roman" w:hAnsi="Calibri" w:cs="Calibri"/>
          <w:kern w:val="0"/>
          <w:sz w:val="22"/>
          <w:szCs w:val="22"/>
          <w14:ligatures w14:val="none"/>
        </w:rPr>
        <w:t>, 18, pp. 1–8.</w:t>
      </w:r>
    </w:p>
    <w:p w14:paraId="560F476C" w14:textId="77777777" w:rsidR="0086732F" w:rsidRPr="0086732F"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Bakker, A.B. and Demerouti, E. (2007) ‘The Job Demands–Resources model: State of the art’, </w:t>
      </w:r>
      <w:r w:rsidRPr="00E1407C">
        <w:rPr>
          <w:rFonts w:ascii="Calibri" w:eastAsia="Times New Roman" w:hAnsi="Calibri" w:cs="Calibri"/>
          <w:i/>
          <w:iCs/>
          <w:kern w:val="0"/>
          <w:sz w:val="22"/>
          <w:szCs w:val="22"/>
          <w14:ligatures w14:val="none"/>
        </w:rPr>
        <w:t>Journal of Managerial Psychology</w:t>
      </w:r>
      <w:r w:rsidRPr="00E1407C">
        <w:rPr>
          <w:rFonts w:ascii="Calibri" w:eastAsia="Times New Roman" w:hAnsi="Calibri" w:cs="Calibri"/>
          <w:kern w:val="0"/>
          <w:sz w:val="22"/>
          <w:szCs w:val="22"/>
          <w14:ligatures w14:val="none"/>
        </w:rPr>
        <w:t>, 22(3), pp. 309–328.</w:t>
      </w:r>
    </w:p>
    <w:p w14:paraId="458F8642" w14:textId="29D47167" w:rsidR="00AE2049" w:rsidRPr="00AE2049" w:rsidRDefault="00AE2049" w:rsidP="0086732F">
      <w:pPr>
        <w:spacing w:before="100" w:beforeAutospacing="1" w:after="100" w:afterAutospacing="1" w:line="240" w:lineRule="auto"/>
        <w:rPr>
          <w:rFonts w:ascii="Calibri" w:eastAsia="Times New Roman" w:hAnsi="Calibri" w:cs="Calibri"/>
          <w:kern w:val="0"/>
          <w:sz w:val="22"/>
          <w:szCs w:val="22"/>
          <w14:ligatures w14:val="none"/>
        </w:rPr>
      </w:pPr>
      <w:r w:rsidRPr="00AE2049">
        <w:rPr>
          <w:rFonts w:ascii="Calibri" w:eastAsia="Times New Roman" w:hAnsi="Calibri" w:cs="Calibri"/>
          <w:kern w:val="0"/>
          <w:sz w:val="22"/>
          <w:szCs w:val="22"/>
          <w14:ligatures w14:val="none"/>
        </w:rPr>
        <w:t xml:space="preserve">BERA (2024) </w:t>
      </w:r>
      <w:r w:rsidRPr="00AE2049">
        <w:rPr>
          <w:rFonts w:ascii="Calibri" w:eastAsia="Times New Roman" w:hAnsi="Calibri" w:cs="Calibri"/>
          <w:i/>
          <w:iCs/>
          <w:kern w:val="0"/>
          <w:sz w:val="22"/>
          <w:szCs w:val="22"/>
          <w14:ligatures w14:val="none"/>
        </w:rPr>
        <w:t>Ethical guidelines for educational research</w:t>
      </w:r>
      <w:r w:rsidRPr="00AE2049">
        <w:rPr>
          <w:rFonts w:ascii="Calibri" w:eastAsia="Times New Roman" w:hAnsi="Calibri" w:cs="Calibri"/>
          <w:kern w:val="0"/>
          <w:sz w:val="22"/>
          <w:szCs w:val="22"/>
          <w14:ligatures w14:val="none"/>
        </w:rPr>
        <w:t>. 5th ed. London: British Educational Research Association.</w:t>
      </w:r>
    </w:p>
    <w:p w14:paraId="61E29407" w14:textId="1B881534" w:rsidR="0086732F" w:rsidRPr="0086732F"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Berger, R. (2015) ‘Now I see it, now I don’t: Researcher’s position and reflexivity in qualitative research’, </w:t>
      </w:r>
      <w:r w:rsidRPr="00E1407C">
        <w:rPr>
          <w:rFonts w:ascii="Calibri" w:eastAsia="Times New Roman" w:hAnsi="Calibri" w:cs="Calibri"/>
          <w:i/>
          <w:iCs/>
          <w:kern w:val="0"/>
          <w:sz w:val="22"/>
          <w:szCs w:val="22"/>
          <w14:ligatures w14:val="none"/>
        </w:rPr>
        <w:t>Qualitative Research</w:t>
      </w:r>
      <w:r w:rsidRPr="00E1407C">
        <w:rPr>
          <w:rFonts w:ascii="Calibri" w:eastAsia="Times New Roman" w:hAnsi="Calibri" w:cs="Calibri"/>
          <w:kern w:val="0"/>
          <w:sz w:val="22"/>
          <w:szCs w:val="22"/>
          <w14:ligatures w14:val="none"/>
        </w:rPr>
        <w:t>, 15(2), pp. 219–234.</w:t>
      </w:r>
    </w:p>
    <w:p w14:paraId="6268D002" w14:textId="77777777" w:rsidR="0086732F" w:rsidRPr="0086732F"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Blumer, H. (1969) </w:t>
      </w:r>
      <w:r w:rsidRPr="00E1407C">
        <w:rPr>
          <w:rFonts w:ascii="Calibri" w:eastAsia="Times New Roman" w:hAnsi="Calibri" w:cs="Calibri"/>
          <w:i/>
          <w:iCs/>
          <w:kern w:val="0"/>
          <w:sz w:val="22"/>
          <w:szCs w:val="22"/>
          <w14:ligatures w14:val="none"/>
        </w:rPr>
        <w:t>Symbolic interactionism: Perspective and method</w:t>
      </w:r>
      <w:r w:rsidRPr="00E1407C">
        <w:rPr>
          <w:rFonts w:ascii="Calibri" w:eastAsia="Times New Roman" w:hAnsi="Calibri" w:cs="Calibri"/>
          <w:kern w:val="0"/>
          <w:sz w:val="22"/>
          <w:szCs w:val="22"/>
          <w14:ligatures w14:val="none"/>
        </w:rPr>
        <w:t>. Englewood Cliffs, NJ: Prentice-Hall.</w:t>
      </w:r>
    </w:p>
    <w:p w14:paraId="6046EB66" w14:textId="77777777" w:rsidR="0086732F" w:rsidRPr="0086732F"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Braun, V. and Clarke, V. (2006) ‘Using thematic analysis in psychology’, </w:t>
      </w:r>
      <w:r w:rsidRPr="00E1407C">
        <w:rPr>
          <w:rFonts w:ascii="Calibri" w:eastAsia="Times New Roman" w:hAnsi="Calibri" w:cs="Calibri"/>
          <w:i/>
          <w:iCs/>
          <w:kern w:val="0"/>
          <w:sz w:val="22"/>
          <w:szCs w:val="22"/>
          <w14:ligatures w14:val="none"/>
        </w:rPr>
        <w:t>Qualitative Research in Psychology</w:t>
      </w:r>
      <w:r w:rsidRPr="00E1407C">
        <w:rPr>
          <w:rFonts w:ascii="Calibri" w:eastAsia="Times New Roman" w:hAnsi="Calibri" w:cs="Calibri"/>
          <w:kern w:val="0"/>
          <w:sz w:val="22"/>
          <w:szCs w:val="22"/>
          <w14:ligatures w14:val="none"/>
        </w:rPr>
        <w:t>, 3(2), pp. 77–101.</w:t>
      </w:r>
    </w:p>
    <w:p w14:paraId="014DDCF8" w14:textId="77777777" w:rsidR="00A379FC" w:rsidRDefault="0086732F" w:rsidP="00A379FC">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Braun, V. and Clarke, V. (2022) </w:t>
      </w:r>
      <w:r w:rsidRPr="00E1407C">
        <w:rPr>
          <w:rFonts w:ascii="Calibri" w:eastAsia="Times New Roman" w:hAnsi="Calibri" w:cs="Calibri"/>
          <w:i/>
          <w:iCs/>
          <w:kern w:val="0"/>
          <w:sz w:val="22"/>
          <w:szCs w:val="22"/>
          <w14:ligatures w14:val="none"/>
        </w:rPr>
        <w:t>Thematic Analysis: A practical guide</w:t>
      </w:r>
      <w:r w:rsidRPr="00E1407C">
        <w:rPr>
          <w:rFonts w:ascii="Calibri" w:eastAsia="Times New Roman" w:hAnsi="Calibri" w:cs="Calibri"/>
          <w:kern w:val="0"/>
          <w:sz w:val="22"/>
          <w:szCs w:val="22"/>
          <w14:ligatures w14:val="none"/>
        </w:rPr>
        <w:t>. London: SAGE.</w:t>
      </w:r>
      <w:r w:rsidR="00A379FC" w:rsidRPr="00A379FC">
        <w:rPr>
          <w:rFonts w:ascii="Calibri" w:eastAsia="Times New Roman" w:hAnsi="Calibri" w:cs="Calibri"/>
          <w:kern w:val="0"/>
          <w:sz w:val="22"/>
          <w:szCs w:val="22"/>
          <w14:ligatures w14:val="none"/>
        </w:rPr>
        <w:t xml:space="preserve"> </w:t>
      </w:r>
    </w:p>
    <w:p w14:paraId="4AC641C2" w14:textId="77777777" w:rsidR="00B67A13" w:rsidRDefault="00A379FC" w:rsidP="00B67A13">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Bruner, J. (1990) </w:t>
      </w:r>
      <w:r w:rsidRPr="0086732F">
        <w:rPr>
          <w:rFonts w:ascii="Calibri" w:eastAsia="Times New Roman" w:hAnsi="Calibri" w:cs="Calibri"/>
          <w:i/>
          <w:iCs/>
          <w:kern w:val="0"/>
          <w:sz w:val="22"/>
          <w:szCs w:val="22"/>
          <w14:ligatures w14:val="none"/>
        </w:rPr>
        <w:t>Acts of meaning</w:t>
      </w:r>
      <w:r w:rsidRPr="0086732F">
        <w:rPr>
          <w:rFonts w:ascii="Calibri" w:eastAsia="Times New Roman" w:hAnsi="Calibri" w:cs="Calibri"/>
          <w:kern w:val="0"/>
          <w:sz w:val="22"/>
          <w:szCs w:val="22"/>
          <w14:ligatures w14:val="none"/>
        </w:rPr>
        <w:t>. Cambridge, MA: Harvard University Press.</w:t>
      </w:r>
      <w:r w:rsidRPr="00A379FC">
        <w:rPr>
          <w:rFonts w:ascii="Calibri" w:eastAsia="Times New Roman" w:hAnsi="Calibri" w:cs="Calibri"/>
          <w:kern w:val="0"/>
          <w:sz w:val="22"/>
          <w:szCs w:val="22"/>
          <w14:ligatures w14:val="none"/>
        </w:rPr>
        <w:t xml:space="preserve"> </w:t>
      </w:r>
    </w:p>
    <w:p w14:paraId="7AB5513A" w14:textId="77777777" w:rsidR="00E976A8" w:rsidRPr="00E1407C" w:rsidRDefault="00E976A8" w:rsidP="00E976A8">
      <w:pPr>
        <w:spacing w:before="100" w:beforeAutospacing="1" w:after="100" w:afterAutospacing="1" w:line="240" w:lineRule="auto"/>
        <w:rPr>
          <w:rFonts w:ascii="Calibri" w:eastAsia="Times New Roman" w:hAnsi="Calibri" w:cs="Calibri"/>
          <w:kern w:val="0"/>
          <w:sz w:val="22"/>
          <w:szCs w:val="22"/>
          <w14:ligatures w14:val="none"/>
        </w:rPr>
      </w:pPr>
      <w:r w:rsidRPr="006128D8">
        <w:rPr>
          <w:rFonts w:ascii="Calibri" w:eastAsia="Times New Roman" w:hAnsi="Calibri" w:cs="Calibri"/>
          <w:kern w:val="0"/>
          <w:sz w:val="22"/>
          <w:szCs w:val="22"/>
          <w14:ligatures w14:val="none"/>
        </w:rPr>
        <w:t xml:space="preserve">Clarke, A., Friede, T., Putz, R., Ashdown, J., Martin, S., Blake, A., Adi, Y., Parkinson, J., Hoskins, R. and Stewart-Brown, S. (2011) ‘Warwick-Edinburgh Mental Well-being Scale (WEMWBS): Validated for young people aged 13 to 16 in Scotland?’, </w:t>
      </w:r>
      <w:r w:rsidRPr="006128D8">
        <w:rPr>
          <w:rFonts w:ascii="Calibri" w:eastAsia="Times New Roman" w:hAnsi="Calibri" w:cs="Calibri"/>
          <w:i/>
          <w:iCs/>
          <w:kern w:val="0"/>
          <w:sz w:val="22"/>
          <w:szCs w:val="22"/>
          <w14:ligatures w14:val="none"/>
        </w:rPr>
        <w:t>BMC Public Health</w:t>
      </w:r>
      <w:r w:rsidRPr="006128D8">
        <w:rPr>
          <w:rFonts w:ascii="Calibri" w:eastAsia="Times New Roman" w:hAnsi="Calibri" w:cs="Calibri"/>
          <w:kern w:val="0"/>
          <w:sz w:val="22"/>
          <w:szCs w:val="22"/>
          <w14:ligatures w14:val="none"/>
        </w:rPr>
        <w:t>, 11(1), p. 487.</w:t>
      </w:r>
      <w:r w:rsidRPr="00E1407C">
        <w:rPr>
          <w:rFonts w:ascii="Calibri" w:eastAsia="Times New Roman" w:hAnsi="Calibri" w:cs="Calibri"/>
          <w:kern w:val="0"/>
          <w:sz w:val="22"/>
          <w:szCs w:val="22"/>
          <w14:ligatures w14:val="none"/>
        </w:rPr>
        <w:t xml:space="preserve">Creswell, J.W. and Creswell, J.D. (2023) </w:t>
      </w:r>
      <w:r w:rsidRPr="00E1407C">
        <w:rPr>
          <w:rFonts w:ascii="Calibri" w:eastAsia="Times New Roman" w:hAnsi="Calibri" w:cs="Calibri"/>
          <w:i/>
          <w:iCs/>
          <w:kern w:val="0"/>
          <w:sz w:val="22"/>
          <w:szCs w:val="22"/>
          <w14:ligatures w14:val="none"/>
        </w:rPr>
        <w:t>Research design: Qualitative, quantitative, and mixed methods approaches</w:t>
      </w:r>
      <w:r w:rsidRPr="00E1407C">
        <w:rPr>
          <w:rFonts w:ascii="Calibri" w:eastAsia="Times New Roman" w:hAnsi="Calibri" w:cs="Calibri"/>
          <w:kern w:val="0"/>
          <w:sz w:val="22"/>
          <w:szCs w:val="22"/>
          <w14:ligatures w14:val="none"/>
        </w:rPr>
        <w:t>. 6th ed. London: SAGE</w:t>
      </w:r>
    </w:p>
    <w:p w14:paraId="462F21E7" w14:textId="77777777"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Cohen, L., Manion, L. and Morrison, K. (2018) </w:t>
      </w:r>
      <w:r w:rsidRPr="00E1407C">
        <w:rPr>
          <w:rFonts w:ascii="Calibri" w:eastAsia="Times New Roman" w:hAnsi="Calibri" w:cs="Calibri"/>
          <w:i/>
          <w:iCs/>
          <w:kern w:val="0"/>
          <w:sz w:val="22"/>
          <w:szCs w:val="22"/>
          <w14:ligatures w14:val="none"/>
        </w:rPr>
        <w:t>Research methods in education</w:t>
      </w:r>
      <w:r w:rsidRPr="00E1407C">
        <w:rPr>
          <w:rFonts w:ascii="Calibri" w:eastAsia="Times New Roman" w:hAnsi="Calibri" w:cs="Calibri"/>
          <w:kern w:val="0"/>
          <w:sz w:val="22"/>
          <w:szCs w:val="22"/>
          <w14:ligatures w14:val="none"/>
        </w:rPr>
        <w:t>. 8th ed. London: Routledge.</w:t>
      </w:r>
    </w:p>
    <w:p w14:paraId="395731C4" w14:textId="77777777" w:rsidR="00E976A8" w:rsidRDefault="00E976A8" w:rsidP="0086732F">
      <w:pPr>
        <w:spacing w:before="100" w:beforeAutospacing="1" w:after="100" w:afterAutospacing="1" w:line="240" w:lineRule="auto"/>
        <w:rPr>
          <w:rFonts w:ascii="Calibri" w:eastAsia="Times New Roman" w:hAnsi="Calibri" w:cs="Calibri"/>
          <w:kern w:val="0"/>
          <w:sz w:val="22"/>
          <w:szCs w:val="22"/>
          <w14:ligatures w14:val="none"/>
        </w:rPr>
      </w:pPr>
      <w:proofErr w:type="spellStart"/>
      <w:r w:rsidRPr="00993141">
        <w:rPr>
          <w:rFonts w:ascii="Calibri" w:eastAsia="Times New Roman" w:hAnsi="Calibri" w:cs="Calibri"/>
          <w:kern w:val="0"/>
          <w:sz w:val="22"/>
          <w:szCs w:val="22"/>
          <w14:ligatures w14:val="none"/>
        </w:rPr>
        <w:t>CooperGibson</w:t>
      </w:r>
      <w:proofErr w:type="spellEnd"/>
      <w:r w:rsidRPr="00993141">
        <w:rPr>
          <w:rFonts w:ascii="Calibri" w:eastAsia="Times New Roman" w:hAnsi="Calibri" w:cs="Calibri"/>
          <w:kern w:val="0"/>
          <w:sz w:val="22"/>
          <w:szCs w:val="22"/>
          <w14:ligatures w14:val="none"/>
        </w:rPr>
        <w:t xml:space="preserve"> Research (2019) </w:t>
      </w:r>
      <w:r w:rsidRPr="00993141">
        <w:rPr>
          <w:rFonts w:ascii="Calibri" w:eastAsia="Times New Roman" w:hAnsi="Calibri" w:cs="Calibri"/>
          <w:i/>
          <w:iCs/>
          <w:kern w:val="0"/>
          <w:sz w:val="22"/>
          <w:szCs w:val="22"/>
          <w14:ligatures w14:val="none"/>
        </w:rPr>
        <w:t>Teacher Wellbeing</w:t>
      </w:r>
      <w:r w:rsidRPr="00993141">
        <w:rPr>
          <w:rFonts w:ascii="Calibri" w:eastAsia="Times New Roman" w:hAnsi="Calibri" w:cs="Calibri"/>
          <w:kern w:val="0"/>
          <w:sz w:val="22"/>
          <w:szCs w:val="22"/>
          <w14:ligatures w14:val="none"/>
        </w:rPr>
        <w:t>. Department for Education.</w:t>
      </w:r>
    </w:p>
    <w:p w14:paraId="0ACC5B09" w14:textId="4AB5BE6D"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Creswell, J.W. and Clark, V.L.P. (2018) </w:t>
      </w:r>
      <w:r w:rsidRPr="00E1407C">
        <w:rPr>
          <w:rFonts w:ascii="Calibri" w:eastAsia="Times New Roman" w:hAnsi="Calibri" w:cs="Calibri"/>
          <w:i/>
          <w:iCs/>
          <w:kern w:val="0"/>
          <w:sz w:val="22"/>
          <w:szCs w:val="22"/>
          <w14:ligatures w14:val="none"/>
        </w:rPr>
        <w:t>Designing and conducting mixed methods research</w:t>
      </w:r>
      <w:r w:rsidRPr="00E1407C">
        <w:rPr>
          <w:rFonts w:ascii="Calibri" w:eastAsia="Times New Roman" w:hAnsi="Calibri" w:cs="Calibri"/>
          <w:kern w:val="0"/>
          <w:sz w:val="22"/>
          <w:szCs w:val="22"/>
          <w14:ligatures w14:val="none"/>
        </w:rPr>
        <w:t>. 3rd ed. London: SAGE.</w:t>
      </w:r>
    </w:p>
    <w:p w14:paraId="5CCD0F28" w14:textId="420CE55C"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Creswell, J.W. and </w:t>
      </w:r>
      <w:proofErr w:type="spellStart"/>
      <w:r w:rsidRPr="00E1407C">
        <w:rPr>
          <w:rFonts w:ascii="Calibri" w:eastAsia="Times New Roman" w:hAnsi="Calibri" w:cs="Calibri"/>
          <w:kern w:val="0"/>
          <w:sz w:val="22"/>
          <w:szCs w:val="22"/>
          <w14:ligatures w14:val="none"/>
        </w:rPr>
        <w:t>Poth</w:t>
      </w:r>
      <w:proofErr w:type="spellEnd"/>
      <w:r w:rsidRPr="00E1407C">
        <w:rPr>
          <w:rFonts w:ascii="Calibri" w:eastAsia="Times New Roman" w:hAnsi="Calibri" w:cs="Calibri"/>
          <w:kern w:val="0"/>
          <w:sz w:val="22"/>
          <w:szCs w:val="22"/>
          <w14:ligatures w14:val="none"/>
        </w:rPr>
        <w:t xml:space="preserve">, C.N. (2018) </w:t>
      </w:r>
      <w:r w:rsidRPr="00E1407C">
        <w:rPr>
          <w:rFonts w:ascii="Calibri" w:eastAsia="Times New Roman" w:hAnsi="Calibri" w:cs="Calibri"/>
          <w:i/>
          <w:iCs/>
          <w:kern w:val="0"/>
          <w:sz w:val="22"/>
          <w:szCs w:val="22"/>
          <w14:ligatures w14:val="none"/>
        </w:rPr>
        <w:t>Qualitative inquiry and research design: Choosing among five approaches</w:t>
      </w:r>
      <w:r w:rsidRPr="00E1407C">
        <w:rPr>
          <w:rFonts w:ascii="Calibri" w:eastAsia="Times New Roman" w:hAnsi="Calibri" w:cs="Calibri"/>
          <w:kern w:val="0"/>
          <w:sz w:val="22"/>
          <w:szCs w:val="22"/>
          <w14:ligatures w14:val="none"/>
        </w:rPr>
        <w:t>. 4th ed. London: SAGE.</w:t>
      </w:r>
    </w:p>
    <w:p w14:paraId="564BF3C2" w14:textId="77777777" w:rsidR="00A379FC" w:rsidRPr="0086732F" w:rsidRDefault="00A379FC" w:rsidP="00A379FC">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Day, C. and Gu, Q. (2010) </w:t>
      </w:r>
      <w:r w:rsidRPr="0086732F">
        <w:rPr>
          <w:rFonts w:ascii="Calibri" w:eastAsia="Times New Roman" w:hAnsi="Calibri" w:cs="Calibri"/>
          <w:i/>
          <w:iCs/>
          <w:kern w:val="0"/>
          <w:sz w:val="22"/>
          <w:szCs w:val="22"/>
          <w14:ligatures w14:val="none"/>
        </w:rPr>
        <w:t>The new lives of teachers</w:t>
      </w:r>
      <w:r w:rsidRPr="0086732F">
        <w:rPr>
          <w:rFonts w:ascii="Calibri" w:eastAsia="Times New Roman" w:hAnsi="Calibri" w:cs="Calibri"/>
          <w:kern w:val="0"/>
          <w:sz w:val="22"/>
          <w:szCs w:val="22"/>
          <w14:ligatures w14:val="none"/>
        </w:rPr>
        <w:t>. London: Routledge.</w:t>
      </w:r>
    </w:p>
    <w:p w14:paraId="3973DAE2" w14:textId="77777777" w:rsidR="00E976A8" w:rsidRDefault="00E976A8" w:rsidP="007C1ECD">
      <w:pPr>
        <w:spacing w:before="100" w:beforeAutospacing="1" w:after="100" w:afterAutospacing="1" w:line="240" w:lineRule="auto"/>
        <w:rPr>
          <w:rFonts w:ascii="Calibri" w:eastAsia="Times New Roman" w:hAnsi="Calibri" w:cs="Calibri"/>
          <w:kern w:val="0"/>
          <w:sz w:val="22"/>
          <w:szCs w:val="22"/>
          <w14:ligatures w14:val="none"/>
        </w:rPr>
      </w:pPr>
      <w:r w:rsidRPr="006128D8">
        <w:rPr>
          <w:rFonts w:ascii="Calibri" w:eastAsia="Times New Roman" w:hAnsi="Calibri" w:cs="Calibri"/>
          <w:kern w:val="0"/>
          <w:sz w:val="22"/>
          <w:szCs w:val="22"/>
          <w14:ligatures w14:val="none"/>
        </w:rPr>
        <w:t xml:space="preserve">Denzin, N.K. (1978) </w:t>
      </w:r>
      <w:r w:rsidRPr="006128D8">
        <w:rPr>
          <w:rFonts w:ascii="Calibri" w:eastAsia="Times New Roman" w:hAnsi="Calibri" w:cs="Calibri"/>
          <w:i/>
          <w:iCs/>
          <w:kern w:val="0"/>
          <w:sz w:val="22"/>
          <w:szCs w:val="22"/>
          <w14:ligatures w14:val="none"/>
        </w:rPr>
        <w:t>The Research Act: A Theoretical Introduction to Sociological Methods</w:t>
      </w:r>
      <w:r w:rsidRPr="006128D8">
        <w:rPr>
          <w:rFonts w:ascii="Calibri" w:eastAsia="Times New Roman" w:hAnsi="Calibri" w:cs="Calibri"/>
          <w:kern w:val="0"/>
          <w:sz w:val="22"/>
          <w:szCs w:val="22"/>
          <w14:ligatures w14:val="none"/>
        </w:rPr>
        <w:t>. 2nd ed. New York: McGraw-Hill.</w:t>
      </w:r>
    </w:p>
    <w:p w14:paraId="7719144E" w14:textId="513E56D7" w:rsidR="007C1ECD" w:rsidRPr="003C4D85" w:rsidRDefault="00E976A8" w:rsidP="007C1ECD">
      <w:pPr>
        <w:spacing w:before="100" w:beforeAutospacing="1" w:after="100" w:afterAutospacing="1" w:line="240" w:lineRule="auto"/>
        <w:rPr>
          <w:rFonts w:ascii="Calibri" w:eastAsia="Times New Roman" w:hAnsi="Calibri" w:cs="Calibri"/>
          <w:kern w:val="0"/>
          <w:sz w:val="22"/>
          <w:szCs w:val="22"/>
          <w14:ligatures w14:val="none"/>
        </w:rPr>
      </w:pPr>
      <w:r w:rsidRPr="00993141">
        <w:rPr>
          <w:rFonts w:ascii="Calibri" w:eastAsia="Times New Roman" w:hAnsi="Calibri" w:cs="Calibri"/>
          <w:kern w:val="0"/>
          <w:sz w:val="22"/>
          <w:szCs w:val="22"/>
          <w14:ligatures w14:val="none"/>
        </w:rPr>
        <w:t xml:space="preserve">Denzin, N.K. (2012) </w:t>
      </w:r>
      <w:r w:rsidRPr="00993141">
        <w:rPr>
          <w:rFonts w:ascii="Calibri" w:eastAsia="Times New Roman" w:hAnsi="Calibri" w:cs="Calibri"/>
          <w:i/>
          <w:iCs/>
          <w:kern w:val="0"/>
          <w:sz w:val="22"/>
          <w:szCs w:val="22"/>
          <w14:ligatures w14:val="none"/>
        </w:rPr>
        <w:t>Triangulation 2.0</w:t>
      </w:r>
      <w:r w:rsidRPr="00993141">
        <w:rPr>
          <w:rFonts w:ascii="Calibri" w:eastAsia="Times New Roman" w:hAnsi="Calibri" w:cs="Calibri"/>
          <w:kern w:val="0"/>
          <w:sz w:val="22"/>
          <w:szCs w:val="22"/>
          <w14:ligatures w14:val="none"/>
        </w:rPr>
        <w:t xml:space="preserve">. </w:t>
      </w:r>
      <w:r w:rsidRPr="00993141">
        <w:rPr>
          <w:rFonts w:ascii="Calibri" w:eastAsia="Times New Roman" w:hAnsi="Calibri" w:cs="Calibri"/>
          <w:i/>
          <w:iCs/>
          <w:kern w:val="0"/>
          <w:sz w:val="22"/>
          <w:szCs w:val="22"/>
          <w14:ligatures w14:val="none"/>
        </w:rPr>
        <w:t>Journal of Mixed Methods Research</w:t>
      </w:r>
      <w:r w:rsidRPr="00993141">
        <w:rPr>
          <w:rFonts w:ascii="Calibri" w:eastAsia="Times New Roman" w:hAnsi="Calibri" w:cs="Calibri"/>
          <w:kern w:val="0"/>
          <w:sz w:val="22"/>
          <w:szCs w:val="22"/>
          <w14:ligatures w14:val="none"/>
        </w:rPr>
        <w:t>, 6(2), pp.80–88.</w:t>
      </w:r>
      <w:r>
        <w:rPr>
          <w:rFonts w:ascii="Calibri" w:eastAsia="Times New Roman" w:hAnsi="Calibri" w:cs="Calibri"/>
          <w:kern w:val="0"/>
          <w:sz w:val="22"/>
          <w:szCs w:val="22"/>
          <w14:ligatures w14:val="none"/>
        </w:rPr>
        <w:br/>
      </w:r>
      <w:r>
        <w:rPr>
          <w:rFonts w:ascii="Calibri" w:eastAsia="Times New Roman" w:hAnsi="Calibri" w:cs="Calibri"/>
          <w:kern w:val="0"/>
          <w:sz w:val="22"/>
          <w:szCs w:val="22"/>
          <w14:ligatures w14:val="none"/>
        </w:rPr>
        <w:br/>
      </w:r>
      <w:r w:rsidR="007C1ECD" w:rsidRPr="003C4D85">
        <w:rPr>
          <w:rFonts w:ascii="Calibri" w:eastAsia="Times New Roman" w:hAnsi="Calibri" w:cs="Calibri"/>
          <w:kern w:val="0"/>
          <w:sz w:val="22"/>
          <w:szCs w:val="22"/>
          <w14:ligatures w14:val="none"/>
        </w:rPr>
        <w:t xml:space="preserve">Evans, J.R. and Mathur, A. (2005) ‘The value of online surveys’, </w:t>
      </w:r>
      <w:r w:rsidR="007C1ECD" w:rsidRPr="003C4D85">
        <w:rPr>
          <w:rFonts w:ascii="Calibri" w:eastAsia="Times New Roman" w:hAnsi="Calibri" w:cs="Calibri"/>
          <w:i/>
          <w:iCs/>
          <w:kern w:val="0"/>
          <w:sz w:val="22"/>
          <w:szCs w:val="22"/>
          <w14:ligatures w14:val="none"/>
        </w:rPr>
        <w:t>Internet Research</w:t>
      </w:r>
      <w:r w:rsidR="007C1ECD" w:rsidRPr="003C4D85">
        <w:rPr>
          <w:rFonts w:ascii="Calibri" w:eastAsia="Times New Roman" w:hAnsi="Calibri" w:cs="Calibri"/>
          <w:kern w:val="0"/>
          <w:sz w:val="22"/>
          <w:szCs w:val="22"/>
          <w14:ligatures w14:val="none"/>
        </w:rPr>
        <w:t>, 15(2), pp. 195–219.</w:t>
      </w:r>
    </w:p>
    <w:p w14:paraId="580A0B84" w14:textId="77777777" w:rsidR="007977C9" w:rsidRDefault="007977C9" w:rsidP="0086732F">
      <w:pPr>
        <w:spacing w:before="100" w:beforeAutospacing="1" w:after="100" w:afterAutospacing="1" w:line="240" w:lineRule="auto"/>
        <w:rPr>
          <w:rFonts w:ascii="Calibri" w:eastAsia="Times New Roman" w:hAnsi="Calibri" w:cs="Calibri"/>
          <w:kern w:val="0"/>
          <w:sz w:val="22"/>
          <w:szCs w:val="22"/>
          <w14:ligatures w14:val="none"/>
        </w:rPr>
      </w:pPr>
      <w:r w:rsidRPr="00993141">
        <w:rPr>
          <w:rFonts w:ascii="Calibri" w:eastAsia="Times New Roman" w:hAnsi="Calibri" w:cs="Calibri"/>
          <w:kern w:val="0"/>
          <w:sz w:val="22"/>
          <w:szCs w:val="22"/>
          <w14:ligatures w14:val="none"/>
        </w:rPr>
        <w:t xml:space="preserve">Gill, P., Stewart, K., Treasure, E. and Chadwick, B. (2008) Methods of data collection in qualitative research: interviews and focus groups. </w:t>
      </w:r>
      <w:r w:rsidRPr="00993141">
        <w:rPr>
          <w:rFonts w:ascii="Calibri" w:eastAsia="Times New Roman" w:hAnsi="Calibri" w:cs="Calibri"/>
          <w:i/>
          <w:iCs/>
          <w:kern w:val="0"/>
          <w:sz w:val="22"/>
          <w:szCs w:val="22"/>
          <w14:ligatures w14:val="none"/>
        </w:rPr>
        <w:t>British Dental Journal</w:t>
      </w:r>
      <w:r w:rsidRPr="00993141">
        <w:rPr>
          <w:rFonts w:ascii="Calibri" w:eastAsia="Times New Roman" w:hAnsi="Calibri" w:cs="Calibri"/>
          <w:kern w:val="0"/>
          <w:sz w:val="22"/>
          <w:szCs w:val="22"/>
          <w14:ligatures w14:val="none"/>
        </w:rPr>
        <w:t>, 204(6), pp.291–295.</w:t>
      </w:r>
    </w:p>
    <w:p w14:paraId="41CB55C9" w14:textId="61FA3D2E"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lastRenderedPageBreak/>
        <w:t xml:space="preserve">Greene, J.C., </w:t>
      </w:r>
      <w:proofErr w:type="spellStart"/>
      <w:r w:rsidRPr="00E1407C">
        <w:rPr>
          <w:rFonts w:ascii="Calibri" w:eastAsia="Times New Roman" w:hAnsi="Calibri" w:cs="Calibri"/>
          <w:kern w:val="0"/>
          <w:sz w:val="22"/>
          <w:szCs w:val="22"/>
          <w14:ligatures w14:val="none"/>
        </w:rPr>
        <w:t>Caracelli</w:t>
      </w:r>
      <w:proofErr w:type="spellEnd"/>
      <w:r w:rsidRPr="00E1407C">
        <w:rPr>
          <w:rFonts w:ascii="Calibri" w:eastAsia="Times New Roman" w:hAnsi="Calibri" w:cs="Calibri"/>
          <w:kern w:val="0"/>
          <w:sz w:val="22"/>
          <w:szCs w:val="22"/>
          <w14:ligatures w14:val="none"/>
        </w:rPr>
        <w:t xml:space="preserve">, V.J. and Graham, W.F. (2020) ‘Toward a conceptual framework for mixed-method evaluation designs’, </w:t>
      </w:r>
      <w:r w:rsidRPr="00E1407C">
        <w:rPr>
          <w:rFonts w:ascii="Calibri" w:eastAsia="Times New Roman" w:hAnsi="Calibri" w:cs="Calibri"/>
          <w:i/>
          <w:iCs/>
          <w:kern w:val="0"/>
          <w:sz w:val="22"/>
          <w:szCs w:val="22"/>
          <w14:ligatures w14:val="none"/>
        </w:rPr>
        <w:t>Educational Evaluation and Policy Analysis</w:t>
      </w:r>
      <w:r w:rsidRPr="00E1407C">
        <w:rPr>
          <w:rFonts w:ascii="Calibri" w:eastAsia="Times New Roman" w:hAnsi="Calibri" w:cs="Calibri"/>
          <w:kern w:val="0"/>
          <w:sz w:val="22"/>
          <w:szCs w:val="22"/>
          <w14:ligatures w14:val="none"/>
        </w:rPr>
        <w:t>, 11(3), pp. 255–274.</w:t>
      </w:r>
    </w:p>
    <w:p w14:paraId="0A6347C6" w14:textId="77777777" w:rsidR="007C1ECD" w:rsidRPr="0086732F" w:rsidRDefault="007C1ECD" w:rsidP="007C1ECD">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Hammersley, M. and </w:t>
      </w:r>
      <w:proofErr w:type="spellStart"/>
      <w:r w:rsidRPr="0086732F">
        <w:rPr>
          <w:rFonts w:ascii="Calibri" w:eastAsia="Times New Roman" w:hAnsi="Calibri" w:cs="Calibri"/>
          <w:kern w:val="0"/>
          <w:sz w:val="22"/>
          <w:szCs w:val="22"/>
          <w14:ligatures w14:val="none"/>
        </w:rPr>
        <w:t>Traianou</w:t>
      </w:r>
      <w:proofErr w:type="spellEnd"/>
      <w:r w:rsidRPr="0086732F">
        <w:rPr>
          <w:rFonts w:ascii="Calibri" w:eastAsia="Times New Roman" w:hAnsi="Calibri" w:cs="Calibri"/>
          <w:kern w:val="0"/>
          <w:sz w:val="22"/>
          <w:szCs w:val="22"/>
          <w14:ligatures w14:val="none"/>
        </w:rPr>
        <w:t xml:space="preserve">, A. (2012) </w:t>
      </w:r>
      <w:r w:rsidRPr="0086732F">
        <w:rPr>
          <w:rFonts w:ascii="Calibri" w:eastAsia="Times New Roman" w:hAnsi="Calibri" w:cs="Calibri"/>
          <w:i/>
          <w:iCs/>
          <w:kern w:val="0"/>
          <w:sz w:val="22"/>
          <w:szCs w:val="22"/>
          <w14:ligatures w14:val="none"/>
        </w:rPr>
        <w:t>Ethics in Qualitative Research: Controversies and Contexts</w:t>
      </w:r>
      <w:r w:rsidRPr="0086732F">
        <w:rPr>
          <w:rFonts w:ascii="Calibri" w:eastAsia="Times New Roman" w:hAnsi="Calibri" w:cs="Calibri"/>
          <w:kern w:val="0"/>
          <w:sz w:val="22"/>
          <w:szCs w:val="22"/>
          <w14:ligatures w14:val="none"/>
        </w:rPr>
        <w:t>. London: SAGE Publications.</w:t>
      </w:r>
    </w:p>
    <w:p w14:paraId="3D6F3D4B" w14:textId="77777777" w:rsidR="00E976A8" w:rsidRDefault="00834C24" w:rsidP="00E976A8">
      <w:pPr>
        <w:spacing w:before="100" w:beforeAutospacing="1" w:after="100" w:afterAutospacing="1" w:line="240" w:lineRule="auto"/>
        <w:rPr>
          <w:rFonts w:ascii="Calibri" w:eastAsia="Times New Roman" w:hAnsi="Calibri" w:cs="Calibri"/>
          <w:kern w:val="0"/>
          <w:sz w:val="22"/>
          <w:szCs w:val="22"/>
          <w14:ligatures w14:val="none"/>
        </w:rPr>
      </w:pPr>
      <w:r w:rsidRPr="00334106">
        <w:rPr>
          <w:rFonts w:ascii="Calibri" w:eastAsia="Times New Roman" w:hAnsi="Calibri" w:cs="Calibri"/>
          <w:kern w:val="0"/>
          <w:sz w:val="22"/>
          <w:szCs w:val="22"/>
          <w14:ligatures w14:val="none"/>
        </w:rPr>
        <w:t xml:space="preserve">Holloway, I. and Galvin, K. (2017) </w:t>
      </w:r>
      <w:r w:rsidRPr="00334106">
        <w:rPr>
          <w:rFonts w:ascii="Calibri" w:eastAsia="Times New Roman" w:hAnsi="Calibri" w:cs="Calibri"/>
          <w:i/>
          <w:iCs/>
          <w:kern w:val="0"/>
          <w:sz w:val="22"/>
          <w:szCs w:val="22"/>
          <w14:ligatures w14:val="none"/>
        </w:rPr>
        <w:t>Qualitative research in nursing and healthcare</w:t>
      </w:r>
      <w:r w:rsidRPr="00334106">
        <w:rPr>
          <w:rFonts w:ascii="Calibri" w:eastAsia="Times New Roman" w:hAnsi="Calibri" w:cs="Calibri"/>
          <w:kern w:val="0"/>
          <w:sz w:val="22"/>
          <w:szCs w:val="22"/>
          <w14:ligatures w14:val="none"/>
        </w:rPr>
        <w:t xml:space="preserve">. 4th </w:t>
      </w:r>
      <w:proofErr w:type="spellStart"/>
      <w:r w:rsidRPr="00334106">
        <w:rPr>
          <w:rFonts w:ascii="Calibri" w:eastAsia="Times New Roman" w:hAnsi="Calibri" w:cs="Calibri"/>
          <w:kern w:val="0"/>
          <w:sz w:val="22"/>
          <w:szCs w:val="22"/>
          <w14:ligatures w14:val="none"/>
        </w:rPr>
        <w:t>edn</w:t>
      </w:r>
      <w:proofErr w:type="spellEnd"/>
      <w:r w:rsidRPr="00334106">
        <w:rPr>
          <w:rFonts w:ascii="Calibri" w:eastAsia="Times New Roman" w:hAnsi="Calibri" w:cs="Calibri"/>
          <w:kern w:val="0"/>
          <w:sz w:val="22"/>
          <w:szCs w:val="22"/>
          <w14:ligatures w14:val="none"/>
        </w:rPr>
        <w:t>. Oxford: Wiley-Blackwell.</w:t>
      </w:r>
    </w:p>
    <w:p w14:paraId="3A62276C" w14:textId="76AFA7E3" w:rsidR="00F32266" w:rsidRDefault="00E976A8" w:rsidP="00E976A8">
      <w:pPr>
        <w:spacing w:before="100" w:beforeAutospacing="1" w:after="100" w:afterAutospacing="1" w:line="240" w:lineRule="auto"/>
        <w:rPr>
          <w:rFonts w:ascii="Calibri" w:eastAsia="Times New Roman" w:hAnsi="Calibri" w:cs="Calibri"/>
          <w:kern w:val="0"/>
          <w:sz w:val="22"/>
          <w:szCs w:val="22"/>
          <w14:ligatures w14:val="none"/>
        </w:rPr>
      </w:pPr>
      <w:r w:rsidRPr="00E976A8">
        <w:rPr>
          <w:rFonts w:ascii="Calibri" w:eastAsia="Times New Roman" w:hAnsi="Calibri" w:cs="Calibri"/>
          <w:kern w:val="0"/>
          <w:sz w:val="22"/>
          <w:szCs w:val="22"/>
          <w14:ligatures w14:val="none"/>
        </w:rPr>
        <w:t xml:space="preserve"> </w:t>
      </w:r>
      <w:r w:rsidRPr="00765B4B">
        <w:rPr>
          <w:rFonts w:ascii="Calibri" w:eastAsia="Times New Roman" w:hAnsi="Calibri" w:cs="Calibri"/>
          <w:kern w:val="0"/>
          <w:sz w:val="22"/>
          <w:szCs w:val="22"/>
          <w14:ligatures w14:val="none"/>
        </w:rPr>
        <w:t xml:space="preserve">Information Commissioner’s Office (2021) </w:t>
      </w:r>
      <w:r w:rsidRPr="00765B4B">
        <w:rPr>
          <w:rFonts w:ascii="Calibri" w:eastAsia="Times New Roman" w:hAnsi="Calibri" w:cs="Calibri"/>
          <w:i/>
          <w:iCs/>
          <w:kern w:val="0"/>
          <w:sz w:val="22"/>
          <w:szCs w:val="22"/>
          <w14:ligatures w14:val="none"/>
        </w:rPr>
        <w:t>Guide to the UK General Data Protection Regulation (UK GDPR)</w:t>
      </w:r>
      <w:r w:rsidRPr="00765B4B">
        <w:rPr>
          <w:rFonts w:ascii="Calibri" w:eastAsia="Times New Roman" w:hAnsi="Calibri" w:cs="Calibri"/>
          <w:kern w:val="0"/>
          <w:sz w:val="22"/>
          <w:szCs w:val="22"/>
          <w14:ligatures w14:val="none"/>
        </w:rPr>
        <w:t>. Wilmslow: ICO. [Accessed 1</w:t>
      </w:r>
      <w:r w:rsidR="00145FF6">
        <w:rPr>
          <w:rFonts w:ascii="Calibri" w:eastAsia="Times New Roman" w:hAnsi="Calibri" w:cs="Calibri"/>
          <w:kern w:val="0"/>
          <w:sz w:val="22"/>
          <w:szCs w:val="22"/>
          <w14:ligatures w14:val="none"/>
        </w:rPr>
        <w:t>8</w:t>
      </w:r>
      <w:r w:rsidRPr="00765B4B">
        <w:rPr>
          <w:rFonts w:ascii="Calibri" w:eastAsia="Times New Roman" w:hAnsi="Calibri" w:cs="Calibri"/>
          <w:kern w:val="0"/>
          <w:sz w:val="22"/>
          <w:szCs w:val="22"/>
          <w14:ligatures w14:val="none"/>
        </w:rPr>
        <w:t xml:space="preserve"> Ju</w:t>
      </w:r>
      <w:r w:rsidR="00145FF6">
        <w:rPr>
          <w:rFonts w:ascii="Calibri" w:eastAsia="Times New Roman" w:hAnsi="Calibri" w:cs="Calibri"/>
          <w:kern w:val="0"/>
          <w:sz w:val="22"/>
          <w:szCs w:val="22"/>
          <w14:ligatures w14:val="none"/>
        </w:rPr>
        <w:t>ne</w:t>
      </w:r>
      <w:r w:rsidRPr="00765B4B">
        <w:rPr>
          <w:rFonts w:ascii="Calibri" w:eastAsia="Times New Roman" w:hAnsi="Calibri" w:cs="Calibri"/>
          <w:kern w:val="0"/>
          <w:sz w:val="22"/>
          <w:szCs w:val="22"/>
          <w14:ligatures w14:val="none"/>
        </w:rPr>
        <w:t xml:space="preserve"> 2025].</w:t>
      </w:r>
    </w:p>
    <w:p w14:paraId="60255E74" w14:textId="581A8B4A" w:rsidR="007977C9" w:rsidRPr="00993141" w:rsidRDefault="007977C9" w:rsidP="007977C9">
      <w:pPr>
        <w:spacing w:before="100" w:beforeAutospacing="1" w:after="100" w:afterAutospacing="1" w:line="240" w:lineRule="auto"/>
        <w:rPr>
          <w:rFonts w:ascii="Calibri" w:eastAsia="Times New Roman" w:hAnsi="Calibri" w:cs="Calibri"/>
          <w:kern w:val="0"/>
          <w:sz w:val="22"/>
          <w:szCs w:val="22"/>
          <w14:ligatures w14:val="none"/>
        </w:rPr>
      </w:pPr>
      <w:r w:rsidRPr="00993141">
        <w:rPr>
          <w:rFonts w:ascii="Calibri" w:eastAsia="Times New Roman" w:hAnsi="Calibri" w:cs="Calibri"/>
          <w:kern w:val="0"/>
          <w:sz w:val="22"/>
          <w:szCs w:val="22"/>
          <w14:ligatures w14:val="none"/>
        </w:rPr>
        <w:t xml:space="preserve">Jones, M., Tuckwell, R. and Sealey, C. (2023) Ethical online data collection in education: balancing burden and authenticity. </w:t>
      </w:r>
      <w:r w:rsidRPr="00993141">
        <w:rPr>
          <w:rFonts w:ascii="Calibri" w:eastAsia="Times New Roman" w:hAnsi="Calibri" w:cs="Calibri"/>
          <w:i/>
          <w:iCs/>
          <w:kern w:val="0"/>
          <w:sz w:val="22"/>
          <w:szCs w:val="22"/>
          <w14:ligatures w14:val="none"/>
        </w:rPr>
        <w:t>International Journal of Research &amp; Method in Education</w:t>
      </w:r>
      <w:r w:rsidRPr="00993141">
        <w:rPr>
          <w:rFonts w:ascii="Calibri" w:eastAsia="Times New Roman" w:hAnsi="Calibri" w:cs="Calibri"/>
          <w:kern w:val="0"/>
          <w:sz w:val="22"/>
          <w:szCs w:val="22"/>
          <w14:ligatures w14:val="none"/>
        </w:rPr>
        <w:t>, 46(1), pp.38–52.</w:t>
      </w:r>
    </w:p>
    <w:p w14:paraId="0883DD16" w14:textId="77777777" w:rsidR="00E976A8" w:rsidRPr="002E6145" w:rsidRDefault="00E976A8" w:rsidP="00E976A8">
      <w:pPr>
        <w:spacing w:before="100" w:beforeAutospacing="1" w:after="100" w:afterAutospacing="1" w:line="240" w:lineRule="auto"/>
        <w:rPr>
          <w:rFonts w:ascii="Calibri" w:eastAsia="Times New Roman" w:hAnsi="Calibri" w:cs="Calibri"/>
          <w:kern w:val="0"/>
          <w:sz w:val="22"/>
          <w:szCs w:val="22"/>
          <w14:ligatures w14:val="none"/>
        </w:rPr>
      </w:pPr>
      <w:r w:rsidRPr="002E6145">
        <w:rPr>
          <w:rFonts w:ascii="Calibri" w:eastAsia="Times New Roman" w:hAnsi="Calibri" w:cs="Calibri"/>
          <w:kern w:val="0"/>
          <w:sz w:val="22"/>
          <w:szCs w:val="22"/>
          <w14:ligatures w14:val="none"/>
        </w:rPr>
        <w:t xml:space="preserve">Jowett, A., Bennett, E. and Wiggins, S. (2023) ‘Conducting qualitative research online: Challenges and opportunities’, </w:t>
      </w:r>
      <w:r w:rsidRPr="002E6145">
        <w:rPr>
          <w:rFonts w:ascii="Calibri" w:eastAsia="Times New Roman" w:hAnsi="Calibri" w:cs="Calibri"/>
          <w:i/>
          <w:iCs/>
          <w:kern w:val="0"/>
          <w:sz w:val="22"/>
          <w:szCs w:val="22"/>
          <w14:ligatures w14:val="none"/>
        </w:rPr>
        <w:t>Qualitative Research in Psychology</w:t>
      </w:r>
      <w:r w:rsidRPr="002E6145">
        <w:rPr>
          <w:rFonts w:ascii="Calibri" w:eastAsia="Times New Roman" w:hAnsi="Calibri" w:cs="Calibri"/>
          <w:kern w:val="0"/>
          <w:sz w:val="22"/>
          <w:szCs w:val="22"/>
          <w14:ligatures w14:val="none"/>
        </w:rPr>
        <w:t>, 20(2), pp. 205–222.</w:t>
      </w:r>
    </w:p>
    <w:p w14:paraId="6C5A73FD" w14:textId="5ADF0F7D" w:rsidR="007C1ECD" w:rsidRPr="003C4D85" w:rsidRDefault="007C1ECD" w:rsidP="007C1ECD">
      <w:pPr>
        <w:spacing w:before="100" w:beforeAutospacing="1" w:after="100" w:afterAutospacing="1" w:line="240" w:lineRule="auto"/>
        <w:rPr>
          <w:rFonts w:ascii="Calibri" w:eastAsia="Times New Roman" w:hAnsi="Calibri" w:cs="Calibri"/>
          <w:kern w:val="0"/>
          <w:sz w:val="22"/>
          <w:szCs w:val="22"/>
          <w14:ligatures w14:val="none"/>
        </w:rPr>
      </w:pPr>
      <w:r w:rsidRPr="003C4D85">
        <w:rPr>
          <w:rFonts w:ascii="Calibri" w:eastAsia="Times New Roman" w:hAnsi="Calibri" w:cs="Calibri"/>
          <w:kern w:val="0"/>
          <w:sz w:val="22"/>
          <w:szCs w:val="22"/>
          <w14:ligatures w14:val="none"/>
        </w:rPr>
        <w:t xml:space="preserve">King, N. and Horrocks, C. (2010) </w:t>
      </w:r>
      <w:r w:rsidRPr="003C4D85">
        <w:rPr>
          <w:rFonts w:ascii="Calibri" w:eastAsia="Times New Roman" w:hAnsi="Calibri" w:cs="Calibri"/>
          <w:i/>
          <w:iCs/>
          <w:kern w:val="0"/>
          <w:sz w:val="22"/>
          <w:szCs w:val="22"/>
          <w14:ligatures w14:val="none"/>
        </w:rPr>
        <w:t>Interviews in qualitative research</w:t>
      </w:r>
      <w:r w:rsidRPr="003C4D85">
        <w:rPr>
          <w:rFonts w:ascii="Calibri" w:eastAsia="Times New Roman" w:hAnsi="Calibri" w:cs="Calibri"/>
          <w:kern w:val="0"/>
          <w:sz w:val="22"/>
          <w:szCs w:val="22"/>
          <w14:ligatures w14:val="none"/>
        </w:rPr>
        <w:t>. London: SAGE Publications.</w:t>
      </w:r>
    </w:p>
    <w:p w14:paraId="6498766E" w14:textId="77777777" w:rsidR="007969E8" w:rsidRPr="00B32005" w:rsidRDefault="007969E8" w:rsidP="007969E8">
      <w:pPr>
        <w:spacing w:before="100" w:beforeAutospacing="1" w:after="100" w:afterAutospacing="1" w:line="240" w:lineRule="auto"/>
        <w:rPr>
          <w:rFonts w:ascii="Calibri" w:eastAsia="Times New Roman" w:hAnsi="Calibri" w:cs="Calibri"/>
          <w:kern w:val="0"/>
          <w:sz w:val="22"/>
          <w:szCs w:val="22"/>
          <w14:ligatures w14:val="none"/>
        </w:rPr>
      </w:pPr>
      <w:r w:rsidRPr="00B32005">
        <w:rPr>
          <w:rFonts w:ascii="Calibri" w:eastAsia="Times New Roman" w:hAnsi="Calibri" w:cs="Calibri"/>
          <w:kern w:val="0"/>
          <w:sz w:val="22"/>
          <w:szCs w:val="22"/>
          <w14:ligatures w14:val="none"/>
        </w:rPr>
        <w:t>Leather, M., Nicholls, F. and Brady, M. (2015) Disruptive learning, community building and the journey metaphor: A positive dislocation of classroom norms through residential experiences.</w:t>
      </w:r>
      <w:r w:rsidRPr="00B32005">
        <w:rPr>
          <w:rFonts w:ascii="Calibri" w:eastAsia="Times New Roman" w:hAnsi="Calibri" w:cs="Calibri"/>
          <w:i/>
          <w:iCs/>
          <w:kern w:val="0"/>
          <w:sz w:val="22"/>
          <w:szCs w:val="22"/>
          <w14:ligatures w14:val="none"/>
        </w:rPr>
        <w:t xml:space="preserve"> Journal of Adventure Education and Outdoor Learning, 15(4), pp.351–365.</w:t>
      </w:r>
    </w:p>
    <w:p w14:paraId="363EBA60" w14:textId="77777777" w:rsidR="007C1ECD" w:rsidRDefault="0086732F" w:rsidP="007C1ECD">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Lincoln, Y.S. and Guba, E.G. (1985) </w:t>
      </w:r>
      <w:r w:rsidRPr="00E1407C">
        <w:rPr>
          <w:rFonts w:ascii="Calibri" w:eastAsia="Times New Roman" w:hAnsi="Calibri" w:cs="Calibri"/>
          <w:i/>
          <w:iCs/>
          <w:kern w:val="0"/>
          <w:sz w:val="22"/>
          <w:szCs w:val="22"/>
          <w14:ligatures w14:val="none"/>
        </w:rPr>
        <w:t>Naturalistic inquiry</w:t>
      </w:r>
      <w:r w:rsidRPr="00E1407C">
        <w:rPr>
          <w:rFonts w:ascii="Calibri" w:eastAsia="Times New Roman" w:hAnsi="Calibri" w:cs="Calibri"/>
          <w:kern w:val="0"/>
          <w:sz w:val="22"/>
          <w:szCs w:val="22"/>
          <w14:ligatures w14:val="none"/>
        </w:rPr>
        <w:t>. Beverly Hills, CA: SAGE.</w:t>
      </w:r>
      <w:r w:rsidR="007C1ECD" w:rsidRPr="007C1ECD">
        <w:rPr>
          <w:rFonts w:ascii="Calibri" w:eastAsia="Times New Roman" w:hAnsi="Calibri" w:cs="Calibri"/>
          <w:kern w:val="0"/>
          <w:sz w:val="22"/>
          <w:szCs w:val="22"/>
          <w14:ligatures w14:val="none"/>
        </w:rPr>
        <w:t xml:space="preserve"> </w:t>
      </w:r>
    </w:p>
    <w:p w14:paraId="6FA097B3" w14:textId="77777777" w:rsidR="000E6D22" w:rsidRPr="0086732F" w:rsidRDefault="000E6D22" w:rsidP="000E6D22">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Lincoln, Y.S., </w:t>
      </w:r>
      <w:proofErr w:type="spellStart"/>
      <w:r w:rsidRPr="0086732F">
        <w:rPr>
          <w:rFonts w:ascii="Calibri" w:eastAsia="Times New Roman" w:hAnsi="Calibri" w:cs="Calibri"/>
          <w:kern w:val="0"/>
          <w:sz w:val="22"/>
          <w:szCs w:val="22"/>
          <w14:ligatures w14:val="none"/>
        </w:rPr>
        <w:t>Lynham</w:t>
      </w:r>
      <w:proofErr w:type="spellEnd"/>
      <w:r w:rsidRPr="0086732F">
        <w:rPr>
          <w:rFonts w:ascii="Calibri" w:eastAsia="Times New Roman" w:hAnsi="Calibri" w:cs="Calibri"/>
          <w:kern w:val="0"/>
          <w:sz w:val="22"/>
          <w:szCs w:val="22"/>
          <w14:ligatures w14:val="none"/>
        </w:rPr>
        <w:t xml:space="preserve">, S.A. and Guba, E.G. (2018) ‘Paradigmatic controversies, contradictions, and emerging confluences, revisited’, in Denzin, N.K. and Lincoln, Y.S. (eds.) </w:t>
      </w:r>
      <w:r w:rsidRPr="0086732F">
        <w:rPr>
          <w:rFonts w:ascii="Calibri" w:eastAsia="Times New Roman" w:hAnsi="Calibri" w:cs="Calibri"/>
          <w:i/>
          <w:iCs/>
          <w:kern w:val="0"/>
          <w:sz w:val="22"/>
          <w:szCs w:val="22"/>
          <w14:ligatures w14:val="none"/>
        </w:rPr>
        <w:t>The SAGE Handbook of Qualitative Research</w:t>
      </w:r>
      <w:r w:rsidRPr="0086732F">
        <w:rPr>
          <w:rFonts w:ascii="Calibri" w:eastAsia="Times New Roman" w:hAnsi="Calibri" w:cs="Calibri"/>
          <w:kern w:val="0"/>
          <w:sz w:val="22"/>
          <w:szCs w:val="22"/>
          <w14:ligatures w14:val="none"/>
        </w:rPr>
        <w:t>. 5th ed. London: SAGE, pp. 213–263.</w:t>
      </w:r>
    </w:p>
    <w:p w14:paraId="30A6DB35" w14:textId="72876678" w:rsidR="0086732F" w:rsidRPr="00E1407C" w:rsidRDefault="007C1ECD" w:rsidP="007C1ECD">
      <w:pPr>
        <w:spacing w:before="100" w:beforeAutospacing="1" w:after="100" w:afterAutospacing="1" w:line="240" w:lineRule="auto"/>
        <w:rPr>
          <w:rFonts w:ascii="Calibri" w:eastAsia="Times New Roman" w:hAnsi="Calibri" w:cs="Calibri"/>
          <w:kern w:val="0"/>
          <w:sz w:val="22"/>
          <w:szCs w:val="22"/>
          <w14:ligatures w14:val="none"/>
        </w:rPr>
      </w:pPr>
      <w:r w:rsidRPr="00892E83">
        <w:rPr>
          <w:rFonts w:ascii="Calibri" w:eastAsia="Times New Roman" w:hAnsi="Calibri" w:cs="Calibri"/>
          <w:kern w:val="0"/>
          <w:sz w:val="22"/>
          <w:szCs w:val="22"/>
          <w14:ligatures w14:val="none"/>
        </w:rPr>
        <w:t xml:space="preserve">Maheswaran, H., Weich, S., Powell, J. and Stewart-Brown, S. (2012) ‘Evaluating the responsiveness of the Warwick-Edinburgh Mental Well-Being Scale (WEMWBS): Group and individual level analysis’, </w:t>
      </w:r>
      <w:r w:rsidRPr="00892E83">
        <w:rPr>
          <w:rFonts w:ascii="Calibri" w:eastAsia="Times New Roman" w:hAnsi="Calibri" w:cs="Calibri"/>
          <w:i/>
          <w:iCs/>
          <w:kern w:val="0"/>
          <w:sz w:val="22"/>
          <w:szCs w:val="22"/>
          <w14:ligatures w14:val="none"/>
        </w:rPr>
        <w:t>Health and Quality of Life Outcomes</w:t>
      </w:r>
      <w:r w:rsidRPr="00892E83">
        <w:rPr>
          <w:rFonts w:ascii="Calibri" w:eastAsia="Times New Roman" w:hAnsi="Calibri" w:cs="Calibri"/>
          <w:kern w:val="0"/>
          <w:sz w:val="22"/>
          <w:szCs w:val="22"/>
          <w14:ligatures w14:val="none"/>
        </w:rPr>
        <w:t>, 10(1), pp. 1–8.</w:t>
      </w:r>
    </w:p>
    <w:p w14:paraId="63CD0AE4" w14:textId="77777777" w:rsidR="00E976A8" w:rsidRPr="0086732F" w:rsidRDefault="00E976A8" w:rsidP="00E976A8">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Market Research Society (2024) </w:t>
      </w:r>
      <w:r w:rsidRPr="0086732F">
        <w:rPr>
          <w:rFonts w:ascii="Calibri" w:eastAsia="Times New Roman" w:hAnsi="Calibri" w:cs="Calibri"/>
          <w:i/>
          <w:iCs/>
          <w:kern w:val="0"/>
          <w:sz w:val="22"/>
          <w:szCs w:val="22"/>
          <w14:ligatures w14:val="none"/>
        </w:rPr>
        <w:t>Guidelines for questionnaire design</w:t>
      </w:r>
      <w:r w:rsidRPr="0086732F">
        <w:rPr>
          <w:rFonts w:ascii="Calibri" w:eastAsia="Times New Roman" w:hAnsi="Calibri" w:cs="Calibri"/>
          <w:kern w:val="0"/>
          <w:sz w:val="22"/>
          <w:szCs w:val="22"/>
          <w14:ligatures w14:val="none"/>
        </w:rPr>
        <w:t>. London: Market Research Society. Available at: https://www.mrs.org.uk/pdf/MRS%20Guidelines%20for%20Questionnaire%20Design.pdf (Accessed: 10 July 2025).</w:t>
      </w:r>
    </w:p>
    <w:p w14:paraId="5E40AC7A" w14:textId="77777777" w:rsidR="00E976A8" w:rsidRDefault="00E976A8" w:rsidP="0086732F">
      <w:pPr>
        <w:spacing w:before="100" w:beforeAutospacing="1" w:after="100" w:afterAutospacing="1" w:line="240" w:lineRule="auto"/>
        <w:rPr>
          <w:rFonts w:ascii="Calibri" w:eastAsia="Times New Roman" w:hAnsi="Calibri" w:cs="Calibri"/>
          <w:kern w:val="0"/>
          <w:sz w:val="22"/>
          <w:szCs w:val="22"/>
          <w14:ligatures w14:val="none"/>
        </w:rPr>
      </w:pPr>
      <w:r w:rsidRPr="008C0E19">
        <w:rPr>
          <w:rFonts w:ascii="Calibri" w:eastAsia="Times New Roman" w:hAnsi="Calibri" w:cs="Calibri"/>
          <w:kern w:val="0"/>
          <w:sz w:val="22"/>
          <w:szCs w:val="22"/>
          <w14:ligatures w14:val="none"/>
        </w:rPr>
        <w:t xml:space="preserve">Mason, M. (2010) ‘Sample size and saturation in PhD studies using qualitative interviews’, </w:t>
      </w:r>
      <w:r w:rsidRPr="008C0E19">
        <w:rPr>
          <w:rFonts w:ascii="Calibri" w:eastAsia="Times New Roman" w:hAnsi="Calibri" w:cs="Calibri"/>
          <w:i/>
          <w:iCs/>
          <w:kern w:val="0"/>
          <w:sz w:val="22"/>
          <w:szCs w:val="22"/>
          <w14:ligatures w14:val="none"/>
        </w:rPr>
        <w:t>Forum: Qualitative Social Research</w:t>
      </w:r>
      <w:r w:rsidRPr="008C0E19">
        <w:rPr>
          <w:rFonts w:ascii="Calibri" w:eastAsia="Times New Roman" w:hAnsi="Calibri" w:cs="Calibri"/>
          <w:kern w:val="0"/>
          <w:sz w:val="22"/>
          <w:szCs w:val="22"/>
          <w14:ligatures w14:val="none"/>
        </w:rPr>
        <w:t>, 11(3), Art. 8.</w:t>
      </w:r>
    </w:p>
    <w:p w14:paraId="59B49AA1" w14:textId="77777777" w:rsidR="00DC7339" w:rsidRDefault="00DC7339" w:rsidP="0086732F">
      <w:pPr>
        <w:spacing w:before="100" w:beforeAutospacing="1" w:after="100" w:afterAutospacing="1" w:line="240" w:lineRule="auto"/>
        <w:rPr>
          <w:rFonts w:ascii="Calibri" w:eastAsia="Times New Roman" w:hAnsi="Calibri" w:cs="Calibri"/>
          <w:kern w:val="0"/>
          <w:sz w:val="22"/>
          <w:szCs w:val="22"/>
          <w14:ligatures w14:val="none"/>
        </w:rPr>
      </w:pPr>
      <w:r w:rsidRPr="00B31E7E">
        <w:rPr>
          <w:rFonts w:ascii="Calibri" w:eastAsia="Times New Roman" w:hAnsi="Calibri" w:cs="Calibri"/>
          <w:kern w:val="0"/>
          <w:sz w:val="22"/>
          <w:szCs w:val="22"/>
          <w14:ligatures w14:val="none"/>
        </w:rPr>
        <w:t xml:space="preserve">McLeod, J. (2017) </w:t>
      </w:r>
      <w:r w:rsidRPr="00B31E7E">
        <w:rPr>
          <w:rFonts w:ascii="Calibri" w:eastAsia="Times New Roman" w:hAnsi="Calibri" w:cs="Calibri"/>
          <w:i/>
          <w:iCs/>
          <w:kern w:val="0"/>
          <w:sz w:val="22"/>
          <w:szCs w:val="22"/>
          <w14:ligatures w14:val="none"/>
        </w:rPr>
        <w:t>Qualitative research in counselling and psychotherapy</w:t>
      </w:r>
      <w:r w:rsidRPr="00B31E7E">
        <w:rPr>
          <w:rFonts w:ascii="Calibri" w:eastAsia="Times New Roman" w:hAnsi="Calibri" w:cs="Calibri"/>
          <w:kern w:val="0"/>
          <w:sz w:val="22"/>
          <w:szCs w:val="22"/>
          <w14:ligatures w14:val="none"/>
        </w:rPr>
        <w:t>. 3rd ed. London: SAGE.</w:t>
      </w:r>
    </w:p>
    <w:p w14:paraId="3A9128CB" w14:textId="77777777" w:rsidR="00DC7339" w:rsidRDefault="00DC7339" w:rsidP="0086732F">
      <w:pPr>
        <w:spacing w:before="100" w:beforeAutospacing="1" w:after="100" w:afterAutospacing="1" w:line="240" w:lineRule="auto"/>
        <w:rPr>
          <w:rFonts w:ascii="Calibri" w:eastAsia="Times New Roman" w:hAnsi="Calibri" w:cs="Calibri"/>
          <w:kern w:val="0"/>
          <w:sz w:val="22"/>
          <w:szCs w:val="22"/>
          <w14:ligatures w14:val="none"/>
        </w:rPr>
      </w:pPr>
      <w:r w:rsidRPr="00B31E7E">
        <w:rPr>
          <w:rFonts w:ascii="Calibri" w:eastAsia="Times New Roman" w:hAnsi="Calibri" w:cs="Calibri"/>
          <w:kern w:val="0"/>
          <w:sz w:val="22"/>
          <w:szCs w:val="22"/>
          <w14:ligatures w14:val="none"/>
        </w:rPr>
        <w:t xml:space="preserve">Neale, B. (2021) </w:t>
      </w:r>
      <w:r w:rsidRPr="00B31E7E">
        <w:rPr>
          <w:rFonts w:ascii="Calibri" w:eastAsia="Times New Roman" w:hAnsi="Calibri" w:cs="Calibri"/>
          <w:i/>
          <w:iCs/>
          <w:kern w:val="0"/>
          <w:sz w:val="22"/>
          <w:szCs w:val="22"/>
          <w14:ligatures w14:val="none"/>
        </w:rPr>
        <w:t>What is longitudinal qualitative research?</w:t>
      </w:r>
      <w:r w:rsidRPr="00B31E7E">
        <w:rPr>
          <w:rFonts w:ascii="Calibri" w:eastAsia="Times New Roman" w:hAnsi="Calibri" w:cs="Calibri"/>
          <w:kern w:val="0"/>
          <w:sz w:val="22"/>
          <w:szCs w:val="22"/>
          <w14:ligatures w14:val="none"/>
        </w:rPr>
        <w:t xml:space="preserve"> 2nd ed. London: Bloomsbury Academic.</w:t>
      </w:r>
    </w:p>
    <w:p w14:paraId="0C345C45" w14:textId="70850802"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Nowell, L.S., Norris, J.M., White, D.E. and Moules, N.J. (2017) ‘Thematic analysis: Striving to meet the trustworthiness criteria’, </w:t>
      </w:r>
      <w:r w:rsidRPr="00E1407C">
        <w:rPr>
          <w:rFonts w:ascii="Calibri" w:eastAsia="Times New Roman" w:hAnsi="Calibri" w:cs="Calibri"/>
          <w:i/>
          <w:iCs/>
          <w:kern w:val="0"/>
          <w:sz w:val="22"/>
          <w:szCs w:val="22"/>
          <w14:ligatures w14:val="none"/>
        </w:rPr>
        <w:t>International Journal of Qualitative Methods</w:t>
      </w:r>
      <w:r w:rsidRPr="00E1407C">
        <w:rPr>
          <w:rFonts w:ascii="Calibri" w:eastAsia="Times New Roman" w:hAnsi="Calibri" w:cs="Calibri"/>
          <w:kern w:val="0"/>
          <w:sz w:val="22"/>
          <w:szCs w:val="22"/>
          <w14:ligatures w14:val="none"/>
        </w:rPr>
        <w:t>, 16(1), pp. 1–13.</w:t>
      </w:r>
    </w:p>
    <w:p w14:paraId="4FC478A4" w14:textId="729C2EAF"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Patton, M.Q. (2015) </w:t>
      </w:r>
      <w:r w:rsidRPr="00E1407C">
        <w:rPr>
          <w:rFonts w:ascii="Calibri" w:eastAsia="Times New Roman" w:hAnsi="Calibri" w:cs="Calibri"/>
          <w:i/>
          <w:iCs/>
          <w:kern w:val="0"/>
          <w:sz w:val="22"/>
          <w:szCs w:val="22"/>
          <w14:ligatures w14:val="none"/>
        </w:rPr>
        <w:t>Qualitative research and evaluation methods</w:t>
      </w:r>
      <w:r w:rsidRPr="00E1407C">
        <w:rPr>
          <w:rFonts w:ascii="Calibri" w:eastAsia="Times New Roman" w:hAnsi="Calibri" w:cs="Calibri"/>
          <w:kern w:val="0"/>
          <w:sz w:val="22"/>
          <w:szCs w:val="22"/>
          <w14:ligatures w14:val="none"/>
        </w:rPr>
        <w:t>. 4th ed. London: SAGE.</w:t>
      </w:r>
    </w:p>
    <w:p w14:paraId="2E1E63BA" w14:textId="6A00D822" w:rsidR="00AE2049" w:rsidRPr="00AE2049" w:rsidRDefault="00AE2049" w:rsidP="0086732F">
      <w:pPr>
        <w:spacing w:before="100" w:beforeAutospacing="1" w:after="100" w:afterAutospacing="1" w:line="240" w:lineRule="auto"/>
        <w:rPr>
          <w:rFonts w:ascii="Calibri" w:eastAsia="Times New Roman" w:hAnsi="Calibri" w:cs="Calibri"/>
          <w:kern w:val="0"/>
          <w:sz w:val="22"/>
          <w:szCs w:val="22"/>
          <w14:ligatures w14:val="none"/>
        </w:rPr>
      </w:pPr>
      <w:proofErr w:type="spellStart"/>
      <w:r w:rsidRPr="00AE2049">
        <w:rPr>
          <w:rFonts w:ascii="Calibri" w:eastAsia="Times New Roman" w:hAnsi="Calibri" w:cs="Calibri"/>
          <w:kern w:val="0"/>
          <w:sz w:val="22"/>
          <w:szCs w:val="22"/>
          <w14:ligatures w14:val="none"/>
        </w:rPr>
        <w:t>Rickinson</w:t>
      </w:r>
      <w:proofErr w:type="spellEnd"/>
      <w:r w:rsidRPr="00AE2049">
        <w:rPr>
          <w:rFonts w:ascii="Calibri" w:eastAsia="Times New Roman" w:hAnsi="Calibri" w:cs="Calibri"/>
          <w:kern w:val="0"/>
          <w:sz w:val="22"/>
          <w:szCs w:val="22"/>
          <w14:ligatures w14:val="none"/>
        </w:rPr>
        <w:t xml:space="preserve">, M., Dillon, J., </w:t>
      </w:r>
      <w:proofErr w:type="spellStart"/>
      <w:r w:rsidRPr="00AE2049">
        <w:rPr>
          <w:rFonts w:ascii="Calibri" w:eastAsia="Times New Roman" w:hAnsi="Calibri" w:cs="Calibri"/>
          <w:kern w:val="0"/>
          <w:sz w:val="22"/>
          <w:szCs w:val="22"/>
          <w14:ligatures w14:val="none"/>
        </w:rPr>
        <w:t>Teamey</w:t>
      </w:r>
      <w:proofErr w:type="spellEnd"/>
      <w:r w:rsidRPr="00AE2049">
        <w:rPr>
          <w:rFonts w:ascii="Calibri" w:eastAsia="Times New Roman" w:hAnsi="Calibri" w:cs="Calibri"/>
          <w:kern w:val="0"/>
          <w:sz w:val="22"/>
          <w:szCs w:val="22"/>
          <w14:ligatures w14:val="none"/>
        </w:rPr>
        <w:t xml:space="preserve">, K., Morris, M., Choi, M.Y., Sanders, D. and Benefield, P. (2004) </w:t>
      </w:r>
      <w:r w:rsidRPr="00AE2049">
        <w:rPr>
          <w:rFonts w:ascii="Calibri" w:eastAsia="Times New Roman" w:hAnsi="Calibri" w:cs="Calibri"/>
          <w:i/>
          <w:iCs/>
          <w:kern w:val="0"/>
          <w:sz w:val="22"/>
          <w:szCs w:val="22"/>
          <w14:ligatures w14:val="none"/>
        </w:rPr>
        <w:t>A review of research on outdoor learning</w:t>
      </w:r>
      <w:r w:rsidRPr="00AE2049">
        <w:rPr>
          <w:rFonts w:ascii="Calibri" w:eastAsia="Times New Roman" w:hAnsi="Calibri" w:cs="Calibri"/>
          <w:kern w:val="0"/>
          <w:sz w:val="22"/>
          <w:szCs w:val="22"/>
          <w14:ligatures w14:val="none"/>
        </w:rPr>
        <w:t>. Slough: National Foundation for Educational Research.</w:t>
      </w:r>
    </w:p>
    <w:p w14:paraId="6CE292B3" w14:textId="77777777" w:rsidR="00A379FC" w:rsidRPr="00AF1A79" w:rsidRDefault="00A379FC" w:rsidP="00A379FC">
      <w:pPr>
        <w:spacing w:before="100" w:beforeAutospacing="1" w:after="100" w:afterAutospacing="1" w:line="240" w:lineRule="auto"/>
        <w:rPr>
          <w:rFonts w:ascii="Calibri" w:eastAsia="Times New Roman" w:hAnsi="Calibri" w:cs="Calibri"/>
          <w:kern w:val="0"/>
          <w:sz w:val="22"/>
          <w:szCs w:val="22"/>
          <w14:ligatures w14:val="none"/>
        </w:rPr>
      </w:pPr>
      <w:r w:rsidRPr="00AF1A79">
        <w:rPr>
          <w:rFonts w:ascii="Calibri" w:eastAsia="Times New Roman" w:hAnsi="Calibri" w:cs="Calibri"/>
          <w:kern w:val="0"/>
          <w:sz w:val="22"/>
          <w:szCs w:val="22"/>
          <w14:ligatures w14:val="none"/>
        </w:rPr>
        <w:lastRenderedPageBreak/>
        <w:t xml:space="preserve">Roffey, S. (2012) ‘Pupil wellbeing—Teacher wellbeing: Two sides of the same coin?’, </w:t>
      </w:r>
      <w:r w:rsidRPr="00AF1A79">
        <w:rPr>
          <w:rFonts w:ascii="Calibri" w:eastAsia="Times New Roman" w:hAnsi="Calibri" w:cs="Calibri"/>
          <w:i/>
          <w:iCs/>
          <w:kern w:val="0"/>
          <w:sz w:val="22"/>
          <w:szCs w:val="22"/>
          <w14:ligatures w14:val="none"/>
        </w:rPr>
        <w:t>Educational and Child Psychology</w:t>
      </w:r>
      <w:r w:rsidRPr="00AF1A79">
        <w:rPr>
          <w:rFonts w:ascii="Calibri" w:eastAsia="Times New Roman" w:hAnsi="Calibri" w:cs="Calibri"/>
          <w:kern w:val="0"/>
          <w:sz w:val="22"/>
          <w:szCs w:val="22"/>
          <w14:ligatures w14:val="none"/>
        </w:rPr>
        <w:t>, 29(4), pp. 8–17.</w:t>
      </w:r>
    </w:p>
    <w:p w14:paraId="28781730" w14:textId="77777777"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Roberts, L.D., </w:t>
      </w:r>
      <w:proofErr w:type="spellStart"/>
      <w:r w:rsidRPr="00E1407C">
        <w:rPr>
          <w:rFonts w:ascii="Calibri" w:eastAsia="Times New Roman" w:hAnsi="Calibri" w:cs="Calibri"/>
          <w:kern w:val="0"/>
          <w:sz w:val="22"/>
          <w:szCs w:val="22"/>
          <w14:ligatures w14:val="none"/>
        </w:rPr>
        <w:t>Indermaur</w:t>
      </w:r>
      <w:proofErr w:type="spellEnd"/>
      <w:r w:rsidRPr="00E1407C">
        <w:rPr>
          <w:rFonts w:ascii="Calibri" w:eastAsia="Times New Roman" w:hAnsi="Calibri" w:cs="Calibri"/>
          <w:kern w:val="0"/>
          <w:sz w:val="22"/>
          <w:szCs w:val="22"/>
          <w14:ligatures w14:val="none"/>
        </w:rPr>
        <w:t xml:space="preserve">, D. and Raghavendra, P. (2021) ‘Online surveys and qualitative data: The good, the bad, and the ugly’, </w:t>
      </w:r>
      <w:r w:rsidRPr="00E1407C">
        <w:rPr>
          <w:rFonts w:ascii="Calibri" w:eastAsia="Times New Roman" w:hAnsi="Calibri" w:cs="Calibri"/>
          <w:i/>
          <w:iCs/>
          <w:kern w:val="0"/>
          <w:sz w:val="22"/>
          <w:szCs w:val="22"/>
          <w14:ligatures w14:val="none"/>
        </w:rPr>
        <w:t>International Journal of Social Research Methodology</w:t>
      </w:r>
      <w:r w:rsidRPr="00E1407C">
        <w:rPr>
          <w:rFonts w:ascii="Calibri" w:eastAsia="Times New Roman" w:hAnsi="Calibri" w:cs="Calibri"/>
          <w:kern w:val="0"/>
          <w:sz w:val="22"/>
          <w:szCs w:val="22"/>
          <w14:ligatures w14:val="none"/>
        </w:rPr>
        <w:t>, 24(5), pp. 641–655.</w:t>
      </w:r>
    </w:p>
    <w:p w14:paraId="48BE021B" w14:textId="77777777" w:rsidR="00DC7339" w:rsidRPr="0086732F" w:rsidRDefault="00DC7339" w:rsidP="00DC7339">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Robson, C. and McCartan, K. (2016) </w:t>
      </w:r>
      <w:r w:rsidRPr="0086732F">
        <w:rPr>
          <w:rFonts w:ascii="Calibri" w:eastAsia="Times New Roman" w:hAnsi="Calibri" w:cs="Calibri"/>
          <w:i/>
          <w:iCs/>
          <w:kern w:val="0"/>
          <w:sz w:val="22"/>
          <w:szCs w:val="22"/>
          <w14:ligatures w14:val="none"/>
        </w:rPr>
        <w:t>Real world research: A resource for users of social research methods in applied settings</w:t>
      </w:r>
      <w:r w:rsidRPr="0086732F">
        <w:rPr>
          <w:rFonts w:ascii="Calibri" w:eastAsia="Times New Roman" w:hAnsi="Calibri" w:cs="Calibri"/>
          <w:kern w:val="0"/>
          <w:sz w:val="22"/>
          <w:szCs w:val="22"/>
          <w14:ligatures w14:val="none"/>
        </w:rPr>
        <w:t>. 4th ed. Chichester: Wiley.</w:t>
      </w:r>
    </w:p>
    <w:p w14:paraId="6861D34D" w14:textId="77777777" w:rsidR="00DC7339" w:rsidRDefault="00DC7339" w:rsidP="00E976A8">
      <w:pPr>
        <w:spacing w:before="100" w:beforeAutospacing="1" w:after="100" w:afterAutospacing="1" w:line="240" w:lineRule="auto"/>
        <w:rPr>
          <w:rFonts w:ascii="Calibri" w:eastAsia="Times New Roman" w:hAnsi="Calibri" w:cs="Calibri"/>
          <w:kern w:val="0"/>
          <w:sz w:val="22"/>
          <w:szCs w:val="22"/>
          <w14:ligatures w14:val="none"/>
        </w:rPr>
      </w:pPr>
      <w:r w:rsidRPr="00993141">
        <w:rPr>
          <w:rFonts w:ascii="Calibri" w:eastAsia="Times New Roman" w:hAnsi="Calibri" w:cs="Calibri"/>
          <w:kern w:val="0"/>
          <w:sz w:val="22"/>
          <w:szCs w:val="22"/>
          <w14:ligatures w14:val="none"/>
        </w:rPr>
        <w:t xml:space="preserve">Salmons, J. (2022) </w:t>
      </w:r>
      <w:r w:rsidRPr="00993141">
        <w:rPr>
          <w:rFonts w:ascii="Calibri" w:eastAsia="Times New Roman" w:hAnsi="Calibri" w:cs="Calibri"/>
          <w:i/>
          <w:iCs/>
          <w:kern w:val="0"/>
          <w:sz w:val="22"/>
          <w:szCs w:val="22"/>
          <w14:ligatures w14:val="none"/>
        </w:rPr>
        <w:t>Doing Qualitative Research Online</w:t>
      </w:r>
      <w:r w:rsidRPr="00993141">
        <w:rPr>
          <w:rFonts w:ascii="Calibri" w:eastAsia="Times New Roman" w:hAnsi="Calibri" w:cs="Calibri"/>
          <w:kern w:val="0"/>
          <w:sz w:val="22"/>
          <w:szCs w:val="22"/>
          <w14:ligatures w14:val="none"/>
        </w:rPr>
        <w:t xml:space="preserve">. </w:t>
      </w:r>
      <w:r w:rsidRPr="00993141">
        <w:rPr>
          <w:rFonts w:ascii="Calibri" w:eastAsia="Times New Roman" w:hAnsi="Calibri" w:cs="Calibri"/>
          <w:kern w:val="0"/>
          <w:sz w:val="22"/>
          <w:szCs w:val="22"/>
          <w:lang w:val="fr-FR"/>
          <w14:ligatures w14:val="none"/>
        </w:rPr>
        <w:t xml:space="preserve">2nd </w:t>
      </w:r>
      <w:proofErr w:type="spellStart"/>
      <w:r w:rsidRPr="00993141">
        <w:rPr>
          <w:rFonts w:ascii="Calibri" w:eastAsia="Times New Roman" w:hAnsi="Calibri" w:cs="Calibri"/>
          <w:kern w:val="0"/>
          <w:sz w:val="22"/>
          <w:szCs w:val="22"/>
          <w:lang w:val="fr-FR"/>
          <w14:ligatures w14:val="none"/>
        </w:rPr>
        <w:t>ed</w:t>
      </w:r>
      <w:proofErr w:type="spellEnd"/>
      <w:r w:rsidRPr="00993141">
        <w:rPr>
          <w:rFonts w:ascii="Calibri" w:eastAsia="Times New Roman" w:hAnsi="Calibri" w:cs="Calibri"/>
          <w:kern w:val="0"/>
          <w:sz w:val="22"/>
          <w:szCs w:val="22"/>
          <w:lang w:val="fr-FR"/>
          <w14:ligatures w14:val="none"/>
        </w:rPr>
        <w:t xml:space="preserve">. </w:t>
      </w:r>
      <w:r w:rsidRPr="00993141">
        <w:rPr>
          <w:rFonts w:ascii="Calibri" w:eastAsia="Times New Roman" w:hAnsi="Calibri" w:cs="Calibri"/>
          <w:kern w:val="0"/>
          <w:sz w:val="22"/>
          <w:szCs w:val="22"/>
          <w14:ligatures w14:val="none"/>
        </w:rPr>
        <w:t>London: SAGE.</w:t>
      </w:r>
    </w:p>
    <w:p w14:paraId="0E55A5F4" w14:textId="70BEF249" w:rsidR="00E976A8" w:rsidRPr="002E6145" w:rsidRDefault="00E976A8" w:rsidP="00E976A8">
      <w:pPr>
        <w:spacing w:before="100" w:beforeAutospacing="1" w:after="100" w:afterAutospacing="1" w:line="240" w:lineRule="auto"/>
        <w:rPr>
          <w:rFonts w:ascii="Calibri" w:eastAsia="Times New Roman" w:hAnsi="Calibri" w:cs="Calibri"/>
          <w:kern w:val="0"/>
          <w:sz w:val="22"/>
          <w:szCs w:val="22"/>
          <w14:ligatures w14:val="none"/>
        </w:rPr>
      </w:pPr>
      <w:r w:rsidRPr="002E6145">
        <w:rPr>
          <w:rFonts w:ascii="Calibri" w:eastAsia="Times New Roman" w:hAnsi="Calibri" w:cs="Calibri"/>
          <w:kern w:val="0"/>
          <w:sz w:val="22"/>
          <w:szCs w:val="22"/>
          <w14:ligatures w14:val="none"/>
        </w:rPr>
        <w:t xml:space="preserve">Saunders, M., Lewis, P. and Thornhill, A. (2019) </w:t>
      </w:r>
      <w:r w:rsidRPr="002E6145">
        <w:rPr>
          <w:rFonts w:ascii="Calibri" w:eastAsia="Times New Roman" w:hAnsi="Calibri" w:cs="Calibri"/>
          <w:i/>
          <w:iCs/>
          <w:kern w:val="0"/>
          <w:sz w:val="22"/>
          <w:szCs w:val="22"/>
          <w14:ligatures w14:val="none"/>
        </w:rPr>
        <w:t>Research methods for business students</w:t>
      </w:r>
      <w:r w:rsidRPr="002E6145">
        <w:rPr>
          <w:rFonts w:ascii="Calibri" w:eastAsia="Times New Roman" w:hAnsi="Calibri" w:cs="Calibri"/>
          <w:kern w:val="0"/>
          <w:sz w:val="22"/>
          <w:szCs w:val="22"/>
          <w14:ligatures w14:val="none"/>
        </w:rPr>
        <w:t xml:space="preserve">. 8th </w:t>
      </w:r>
      <w:proofErr w:type="spellStart"/>
      <w:r w:rsidRPr="002E6145">
        <w:rPr>
          <w:rFonts w:ascii="Calibri" w:eastAsia="Times New Roman" w:hAnsi="Calibri" w:cs="Calibri"/>
          <w:kern w:val="0"/>
          <w:sz w:val="22"/>
          <w:szCs w:val="22"/>
          <w14:ligatures w14:val="none"/>
        </w:rPr>
        <w:t>edn</w:t>
      </w:r>
      <w:proofErr w:type="spellEnd"/>
      <w:r w:rsidRPr="002E6145">
        <w:rPr>
          <w:rFonts w:ascii="Calibri" w:eastAsia="Times New Roman" w:hAnsi="Calibri" w:cs="Calibri"/>
          <w:kern w:val="0"/>
          <w:sz w:val="22"/>
          <w:szCs w:val="22"/>
          <w14:ligatures w14:val="none"/>
        </w:rPr>
        <w:t>. Harlow: Pearson Education.</w:t>
      </w:r>
    </w:p>
    <w:p w14:paraId="7848551A" w14:textId="4883E246" w:rsidR="007C1ECD" w:rsidRDefault="0086732F" w:rsidP="007C1ECD">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t xml:space="preserve">Seligman, M.E.P. (2011) </w:t>
      </w:r>
      <w:r w:rsidRPr="00E1407C">
        <w:rPr>
          <w:rFonts w:ascii="Calibri" w:eastAsia="Times New Roman" w:hAnsi="Calibri" w:cs="Calibri"/>
          <w:i/>
          <w:iCs/>
          <w:kern w:val="0"/>
          <w:sz w:val="22"/>
          <w:szCs w:val="22"/>
          <w14:ligatures w14:val="none"/>
        </w:rPr>
        <w:t>Flourish: A visionary new understanding of happiness and well-being</w:t>
      </w:r>
      <w:r w:rsidRPr="00E1407C">
        <w:rPr>
          <w:rFonts w:ascii="Calibri" w:eastAsia="Times New Roman" w:hAnsi="Calibri" w:cs="Calibri"/>
          <w:kern w:val="0"/>
          <w:sz w:val="22"/>
          <w:szCs w:val="22"/>
          <w14:ligatures w14:val="none"/>
        </w:rPr>
        <w:t>. New York: Free Press.</w:t>
      </w:r>
    </w:p>
    <w:p w14:paraId="09F5BB43" w14:textId="77777777" w:rsidR="007C1ECD" w:rsidRPr="0086732F" w:rsidRDefault="007C1ECD" w:rsidP="007C1ECD">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Singh, P. and Thompson, S. (2024) ‘It was a whole other world’: The impact of residential outdoor trips on teacher wellbeing and confidence. </w:t>
      </w:r>
      <w:r w:rsidRPr="0086732F">
        <w:rPr>
          <w:rFonts w:ascii="Calibri" w:eastAsia="Times New Roman" w:hAnsi="Calibri" w:cs="Calibri"/>
          <w:i/>
          <w:iCs/>
          <w:kern w:val="0"/>
          <w:sz w:val="22"/>
          <w:szCs w:val="22"/>
          <w14:ligatures w14:val="none"/>
        </w:rPr>
        <w:t>Journal of Outdoor and Environmental Education</w:t>
      </w:r>
      <w:r w:rsidRPr="0086732F">
        <w:rPr>
          <w:rFonts w:ascii="Calibri" w:eastAsia="Times New Roman" w:hAnsi="Calibri" w:cs="Calibri"/>
          <w:kern w:val="0"/>
          <w:sz w:val="22"/>
          <w:szCs w:val="22"/>
          <w14:ligatures w14:val="none"/>
        </w:rPr>
        <w:t>, 27(1), pp.45–61.</w:t>
      </w:r>
    </w:p>
    <w:p w14:paraId="64EABF0A" w14:textId="77777777" w:rsidR="00E976A8" w:rsidRDefault="00E976A8" w:rsidP="007C1ECD">
      <w:pPr>
        <w:pStyle w:val="NormalWeb"/>
        <w:rPr>
          <w:rFonts w:ascii="Calibri" w:hAnsi="Calibri" w:cs="Calibri"/>
          <w:sz w:val="22"/>
          <w:szCs w:val="22"/>
        </w:rPr>
      </w:pPr>
      <w:r w:rsidRPr="006128D8">
        <w:rPr>
          <w:rFonts w:ascii="Calibri" w:hAnsi="Calibri" w:cs="Calibri"/>
          <w:sz w:val="22"/>
          <w:szCs w:val="22"/>
        </w:rPr>
        <w:t xml:space="preserve">Soutter, A.K., O’Steen, B. and Gilmore, A. (2014) ‘Wellbeing in the education curriculum’, </w:t>
      </w:r>
      <w:r w:rsidRPr="006128D8">
        <w:rPr>
          <w:rFonts w:ascii="Calibri" w:hAnsi="Calibri" w:cs="Calibri"/>
          <w:i/>
          <w:iCs/>
          <w:sz w:val="22"/>
          <w:szCs w:val="22"/>
        </w:rPr>
        <w:t>International Journal of Wellbeing</w:t>
      </w:r>
      <w:r w:rsidRPr="006128D8">
        <w:rPr>
          <w:rFonts w:ascii="Calibri" w:hAnsi="Calibri" w:cs="Calibri"/>
          <w:sz w:val="22"/>
          <w:szCs w:val="22"/>
        </w:rPr>
        <w:t>, 4(1), pp. 1–18.</w:t>
      </w:r>
    </w:p>
    <w:p w14:paraId="56875F54" w14:textId="2F4AD56F" w:rsidR="007C1ECD" w:rsidRPr="0086732F" w:rsidRDefault="007C1ECD" w:rsidP="007C1ECD">
      <w:pPr>
        <w:pStyle w:val="NormalWeb"/>
        <w:rPr>
          <w:rFonts w:ascii="Calibri" w:hAnsi="Calibri" w:cs="Calibri"/>
          <w:sz w:val="22"/>
          <w:szCs w:val="22"/>
        </w:rPr>
      </w:pPr>
      <w:r w:rsidRPr="0086732F">
        <w:rPr>
          <w:rFonts w:ascii="Calibri" w:hAnsi="Calibri" w:cs="Calibri"/>
          <w:sz w:val="22"/>
          <w:szCs w:val="22"/>
        </w:rPr>
        <w:t xml:space="preserve">Stewart-Brown, S., Platt, S., Tennant, R., Maheswaran, H. and Clarke, A. (2011) </w:t>
      </w:r>
      <w:r w:rsidRPr="0086732F">
        <w:rPr>
          <w:rStyle w:val="Emphasis"/>
          <w:rFonts w:ascii="Calibri" w:eastAsiaTheme="majorEastAsia" w:hAnsi="Calibri" w:cs="Calibri"/>
          <w:sz w:val="22"/>
          <w:szCs w:val="22"/>
        </w:rPr>
        <w:t>WEMWBS: User guide</w:t>
      </w:r>
      <w:r w:rsidRPr="0086732F">
        <w:rPr>
          <w:rFonts w:ascii="Calibri" w:hAnsi="Calibri" w:cs="Calibri"/>
          <w:sz w:val="22"/>
          <w:szCs w:val="22"/>
        </w:rPr>
        <w:t>. NHS Health Scotland. Available at: https://www.healthscotland.scot/media/2598/wemwbs-user-guide.pdf (Accessed: 10 July 2025).</w:t>
      </w:r>
    </w:p>
    <w:p w14:paraId="0939BDB8" w14:textId="77777777" w:rsidR="00E976A8" w:rsidRDefault="00E976A8" w:rsidP="0086732F">
      <w:pPr>
        <w:spacing w:before="100" w:beforeAutospacing="1" w:after="100" w:afterAutospacing="1" w:line="240" w:lineRule="auto"/>
        <w:rPr>
          <w:rFonts w:ascii="Calibri" w:eastAsia="Times New Roman" w:hAnsi="Calibri" w:cs="Calibri"/>
          <w:kern w:val="0"/>
          <w:sz w:val="22"/>
          <w:szCs w:val="22"/>
          <w14:ligatures w14:val="none"/>
        </w:rPr>
      </w:pPr>
      <w:r w:rsidRPr="006128D8">
        <w:rPr>
          <w:rFonts w:ascii="Calibri" w:eastAsia="Times New Roman" w:hAnsi="Calibri" w:cs="Calibri"/>
          <w:kern w:val="0"/>
          <w:sz w:val="22"/>
          <w:szCs w:val="22"/>
          <w14:ligatures w14:val="none"/>
        </w:rPr>
        <w:t xml:space="preserve">Taggart, F., Stewart-Brown, S. and Parkinson, J. (2015) </w:t>
      </w:r>
      <w:r w:rsidRPr="006128D8">
        <w:rPr>
          <w:rFonts w:ascii="Calibri" w:eastAsia="Times New Roman" w:hAnsi="Calibri" w:cs="Calibri"/>
          <w:i/>
          <w:iCs/>
          <w:kern w:val="0"/>
          <w:sz w:val="22"/>
          <w:szCs w:val="22"/>
          <w14:ligatures w14:val="none"/>
        </w:rPr>
        <w:t>Warwick-Edinburgh Mental Wellbeing Scale (WEMWBS) User Guide</w:t>
      </w:r>
      <w:r w:rsidRPr="006128D8">
        <w:rPr>
          <w:rFonts w:ascii="Calibri" w:eastAsia="Times New Roman" w:hAnsi="Calibri" w:cs="Calibri"/>
          <w:kern w:val="0"/>
          <w:sz w:val="22"/>
          <w:szCs w:val="22"/>
          <w14:ligatures w14:val="none"/>
        </w:rPr>
        <w:t>. Version 2. Warwick Medical School: University of Warwick.</w:t>
      </w:r>
    </w:p>
    <w:p w14:paraId="3FDB1C7A" w14:textId="77777777" w:rsidR="00E976A8" w:rsidRDefault="00E976A8" w:rsidP="0086732F">
      <w:pPr>
        <w:spacing w:before="100" w:beforeAutospacing="1" w:after="100" w:afterAutospacing="1" w:line="240" w:lineRule="auto"/>
        <w:rPr>
          <w:rFonts w:ascii="Calibri" w:eastAsia="Times New Roman" w:hAnsi="Calibri" w:cs="Calibri"/>
          <w:kern w:val="0"/>
          <w:sz w:val="22"/>
          <w:szCs w:val="22"/>
          <w14:ligatures w14:val="none"/>
        </w:rPr>
      </w:pPr>
      <w:proofErr w:type="spellStart"/>
      <w:r w:rsidRPr="00FE3806">
        <w:rPr>
          <w:rFonts w:ascii="Calibri" w:eastAsia="Times New Roman" w:hAnsi="Calibri" w:cs="Calibri"/>
          <w:kern w:val="0"/>
          <w:sz w:val="22"/>
          <w:szCs w:val="22"/>
          <w14:ligatures w14:val="none"/>
        </w:rPr>
        <w:t>Tavakol</w:t>
      </w:r>
      <w:proofErr w:type="spellEnd"/>
      <w:r w:rsidRPr="00FE3806">
        <w:rPr>
          <w:rFonts w:ascii="Calibri" w:eastAsia="Times New Roman" w:hAnsi="Calibri" w:cs="Calibri"/>
          <w:kern w:val="0"/>
          <w:sz w:val="22"/>
          <w:szCs w:val="22"/>
          <w14:ligatures w14:val="none"/>
        </w:rPr>
        <w:t xml:space="preserve">, M. and Dennick, R. (2011) </w:t>
      </w:r>
      <w:r w:rsidRPr="00FE3806">
        <w:rPr>
          <w:rFonts w:ascii="Calibri" w:eastAsia="Times New Roman" w:hAnsi="Calibri" w:cs="Calibri"/>
          <w:i/>
          <w:iCs/>
          <w:kern w:val="0"/>
          <w:sz w:val="22"/>
          <w:szCs w:val="22"/>
          <w14:ligatures w14:val="none"/>
        </w:rPr>
        <w:t>Making sense of Cronbach’s alpha</w:t>
      </w:r>
      <w:r w:rsidRPr="00FE3806">
        <w:rPr>
          <w:rFonts w:ascii="Calibri" w:eastAsia="Times New Roman" w:hAnsi="Calibri" w:cs="Calibri"/>
          <w:kern w:val="0"/>
          <w:sz w:val="22"/>
          <w:szCs w:val="22"/>
          <w14:ligatures w14:val="none"/>
        </w:rPr>
        <w:t>, International Journal of Medical Education, 2, pp. 53–55.</w:t>
      </w:r>
    </w:p>
    <w:p w14:paraId="7E97D964" w14:textId="2D7D6D69" w:rsidR="0086732F" w:rsidRPr="00E1407C" w:rsidRDefault="0086732F" w:rsidP="0086732F">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lang w:val="nb-NO"/>
          <w14:ligatures w14:val="none"/>
        </w:rPr>
        <w:t xml:space="preserve">Tennant, R., </w:t>
      </w:r>
      <w:proofErr w:type="spellStart"/>
      <w:r w:rsidRPr="00E1407C">
        <w:rPr>
          <w:rFonts w:ascii="Calibri" w:eastAsia="Times New Roman" w:hAnsi="Calibri" w:cs="Calibri"/>
          <w:kern w:val="0"/>
          <w:sz w:val="22"/>
          <w:szCs w:val="22"/>
          <w:lang w:val="nb-NO"/>
          <w14:ligatures w14:val="none"/>
        </w:rPr>
        <w:t>Hiller</w:t>
      </w:r>
      <w:proofErr w:type="spellEnd"/>
      <w:r w:rsidRPr="00E1407C">
        <w:rPr>
          <w:rFonts w:ascii="Calibri" w:eastAsia="Times New Roman" w:hAnsi="Calibri" w:cs="Calibri"/>
          <w:kern w:val="0"/>
          <w:sz w:val="22"/>
          <w:szCs w:val="22"/>
          <w:lang w:val="nb-NO"/>
          <w14:ligatures w14:val="none"/>
        </w:rPr>
        <w:t xml:space="preserve">, L., </w:t>
      </w:r>
      <w:proofErr w:type="spellStart"/>
      <w:r w:rsidRPr="00E1407C">
        <w:rPr>
          <w:rFonts w:ascii="Calibri" w:eastAsia="Times New Roman" w:hAnsi="Calibri" w:cs="Calibri"/>
          <w:kern w:val="0"/>
          <w:sz w:val="22"/>
          <w:szCs w:val="22"/>
          <w:lang w:val="nb-NO"/>
          <w14:ligatures w14:val="none"/>
        </w:rPr>
        <w:t>Fishwick</w:t>
      </w:r>
      <w:proofErr w:type="spellEnd"/>
      <w:r w:rsidRPr="00E1407C">
        <w:rPr>
          <w:rFonts w:ascii="Calibri" w:eastAsia="Times New Roman" w:hAnsi="Calibri" w:cs="Calibri"/>
          <w:kern w:val="0"/>
          <w:sz w:val="22"/>
          <w:szCs w:val="22"/>
          <w:lang w:val="nb-NO"/>
          <w14:ligatures w14:val="none"/>
        </w:rPr>
        <w:t xml:space="preserve">, R. et al. </w:t>
      </w:r>
      <w:r w:rsidRPr="00E1407C">
        <w:rPr>
          <w:rFonts w:ascii="Calibri" w:eastAsia="Times New Roman" w:hAnsi="Calibri" w:cs="Calibri"/>
          <w:kern w:val="0"/>
          <w:sz w:val="22"/>
          <w:szCs w:val="22"/>
          <w14:ligatures w14:val="none"/>
        </w:rPr>
        <w:t xml:space="preserve">(2007) ‘The Warwick–Edinburgh Mental Well-being Scale (WEMWBS): development and UK validation’, </w:t>
      </w:r>
      <w:r w:rsidRPr="00E1407C">
        <w:rPr>
          <w:rFonts w:ascii="Calibri" w:eastAsia="Times New Roman" w:hAnsi="Calibri" w:cs="Calibri"/>
          <w:i/>
          <w:iCs/>
          <w:kern w:val="0"/>
          <w:sz w:val="22"/>
          <w:szCs w:val="22"/>
          <w14:ligatures w14:val="none"/>
        </w:rPr>
        <w:t>Health and Quality of Life Outcomes</w:t>
      </w:r>
      <w:r w:rsidRPr="00E1407C">
        <w:rPr>
          <w:rFonts w:ascii="Calibri" w:eastAsia="Times New Roman" w:hAnsi="Calibri" w:cs="Calibri"/>
          <w:kern w:val="0"/>
          <w:sz w:val="22"/>
          <w:szCs w:val="22"/>
          <w14:ligatures w14:val="none"/>
        </w:rPr>
        <w:t>, 5(63), pp. 1–13.</w:t>
      </w:r>
    </w:p>
    <w:p w14:paraId="6F015AD2" w14:textId="77777777" w:rsidR="00E976A8" w:rsidRDefault="00E976A8" w:rsidP="0086732F">
      <w:pPr>
        <w:spacing w:before="100" w:beforeAutospacing="1" w:after="100" w:afterAutospacing="1" w:line="240" w:lineRule="auto"/>
        <w:rPr>
          <w:rFonts w:ascii="Calibri" w:eastAsia="Times New Roman" w:hAnsi="Calibri" w:cs="Calibri"/>
          <w:kern w:val="0"/>
          <w:sz w:val="22"/>
          <w:szCs w:val="22"/>
          <w14:ligatures w14:val="none"/>
        </w:rPr>
      </w:pPr>
      <w:r w:rsidRPr="00334106">
        <w:rPr>
          <w:rFonts w:ascii="Calibri" w:eastAsia="Times New Roman" w:hAnsi="Calibri" w:cs="Calibri"/>
          <w:kern w:val="0"/>
          <w:sz w:val="22"/>
          <w:szCs w:val="22"/>
          <w14:ligatures w14:val="none"/>
        </w:rPr>
        <w:t xml:space="preserve">Terry, G., Hayfield, N., Clarke, V. and Braun, V. (2017) ‘Thematic analysis’, in Willig, C. and Stainton-Rogers, W. (eds.) </w:t>
      </w:r>
      <w:r w:rsidRPr="00334106">
        <w:rPr>
          <w:rFonts w:ascii="Calibri" w:eastAsia="Times New Roman" w:hAnsi="Calibri" w:cs="Calibri"/>
          <w:i/>
          <w:iCs/>
          <w:kern w:val="0"/>
          <w:sz w:val="22"/>
          <w:szCs w:val="22"/>
          <w14:ligatures w14:val="none"/>
        </w:rPr>
        <w:t>The SAGE handbook of qualitative research in psychology</w:t>
      </w:r>
      <w:r w:rsidRPr="00334106">
        <w:rPr>
          <w:rFonts w:ascii="Calibri" w:eastAsia="Times New Roman" w:hAnsi="Calibri" w:cs="Calibri"/>
          <w:kern w:val="0"/>
          <w:sz w:val="22"/>
          <w:szCs w:val="22"/>
          <w14:ligatures w14:val="none"/>
        </w:rPr>
        <w:t xml:space="preserve">. 2nd </w:t>
      </w:r>
      <w:proofErr w:type="spellStart"/>
      <w:r w:rsidRPr="00334106">
        <w:rPr>
          <w:rFonts w:ascii="Calibri" w:eastAsia="Times New Roman" w:hAnsi="Calibri" w:cs="Calibri"/>
          <w:kern w:val="0"/>
          <w:sz w:val="22"/>
          <w:szCs w:val="22"/>
          <w14:ligatures w14:val="none"/>
        </w:rPr>
        <w:t>edn</w:t>
      </w:r>
      <w:proofErr w:type="spellEnd"/>
      <w:r w:rsidRPr="00334106">
        <w:rPr>
          <w:rFonts w:ascii="Calibri" w:eastAsia="Times New Roman" w:hAnsi="Calibri" w:cs="Calibri"/>
          <w:kern w:val="0"/>
          <w:sz w:val="22"/>
          <w:szCs w:val="22"/>
          <w14:ligatures w14:val="none"/>
        </w:rPr>
        <w:t>. London: SAGE, pp. 17–37</w:t>
      </w:r>
    </w:p>
    <w:p w14:paraId="669CF4F0" w14:textId="77777777" w:rsidR="00E976A8" w:rsidRPr="002E6145" w:rsidRDefault="00E976A8" w:rsidP="00E976A8">
      <w:pPr>
        <w:spacing w:before="100" w:beforeAutospacing="1" w:after="100" w:afterAutospacing="1" w:line="240" w:lineRule="auto"/>
        <w:rPr>
          <w:rFonts w:ascii="Calibri" w:eastAsia="Times New Roman" w:hAnsi="Calibri" w:cs="Calibri"/>
          <w:kern w:val="0"/>
          <w:sz w:val="22"/>
          <w:szCs w:val="22"/>
          <w14:ligatures w14:val="none"/>
        </w:rPr>
      </w:pPr>
      <w:r w:rsidRPr="002E6145">
        <w:rPr>
          <w:rFonts w:ascii="Calibri" w:eastAsia="Times New Roman" w:hAnsi="Calibri" w:cs="Calibri"/>
          <w:kern w:val="0"/>
          <w:sz w:val="22"/>
          <w:szCs w:val="22"/>
          <w14:ligatures w14:val="none"/>
        </w:rPr>
        <w:t xml:space="preserve">Thomas, G. (2021) </w:t>
      </w:r>
      <w:r w:rsidRPr="002E6145">
        <w:rPr>
          <w:rFonts w:ascii="Calibri" w:eastAsia="Times New Roman" w:hAnsi="Calibri" w:cs="Calibri"/>
          <w:i/>
          <w:iCs/>
          <w:kern w:val="0"/>
          <w:sz w:val="22"/>
          <w:szCs w:val="22"/>
          <w14:ligatures w14:val="none"/>
        </w:rPr>
        <w:t>How to do your research project: A guide for students</w:t>
      </w:r>
      <w:r w:rsidRPr="002E6145">
        <w:rPr>
          <w:rFonts w:ascii="Calibri" w:eastAsia="Times New Roman" w:hAnsi="Calibri" w:cs="Calibri"/>
          <w:kern w:val="0"/>
          <w:sz w:val="22"/>
          <w:szCs w:val="22"/>
          <w14:ligatures w14:val="none"/>
        </w:rPr>
        <w:t xml:space="preserve">. 4th </w:t>
      </w:r>
      <w:proofErr w:type="spellStart"/>
      <w:r w:rsidRPr="002E6145">
        <w:rPr>
          <w:rFonts w:ascii="Calibri" w:eastAsia="Times New Roman" w:hAnsi="Calibri" w:cs="Calibri"/>
          <w:kern w:val="0"/>
          <w:sz w:val="22"/>
          <w:szCs w:val="22"/>
          <w14:ligatures w14:val="none"/>
        </w:rPr>
        <w:t>edn</w:t>
      </w:r>
      <w:proofErr w:type="spellEnd"/>
      <w:r w:rsidRPr="002E6145">
        <w:rPr>
          <w:rFonts w:ascii="Calibri" w:eastAsia="Times New Roman" w:hAnsi="Calibri" w:cs="Calibri"/>
          <w:kern w:val="0"/>
          <w:sz w:val="22"/>
          <w:szCs w:val="22"/>
          <w14:ligatures w14:val="none"/>
        </w:rPr>
        <w:t>. London: SAGE.</w:t>
      </w:r>
    </w:p>
    <w:p w14:paraId="4A7777BE" w14:textId="77777777" w:rsidR="00E976A8" w:rsidRPr="00765B4B" w:rsidRDefault="00E976A8" w:rsidP="00E976A8">
      <w:pPr>
        <w:spacing w:before="100" w:beforeAutospacing="1" w:after="100" w:afterAutospacing="1" w:line="240" w:lineRule="auto"/>
        <w:rPr>
          <w:rFonts w:ascii="Calibri" w:eastAsia="Times New Roman" w:hAnsi="Calibri" w:cs="Calibri"/>
          <w:kern w:val="0"/>
          <w:sz w:val="22"/>
          <w:szCs w:val="22"/>
          <w14:ligatures w14:val="none"/>
        </w:rPr>
      </w:pPr>
      <w:r w:rsidRPr="00765B4B">
        <w:rPr>
          <w:rFonts w:ascii="Calibri" w:eastAsia="Times New Roman" w:hAnsi="Calibri" w:cs="Calibri"/>
          <w:kern w:val="0"/>
          <w:sz w:val="22"/>
          <w:szCs w:val="22"/>
          <w14:ligatures w14:val="none"/>
        </w:rPr>
        <w:t xml:space="preserve">UK Research and Innovation (UKRI) (2023) </w:t>
      </w:r>
      <w:r w:rsidRPr="00765B4B">
        <w:rPr>
          <w:rFonts w:ascii="Calibri" w:eastAsia="Times New Roman" w:hAnsi="Calibri" w:cs="Calibri"/>
          <w:i/>
          <w:iCs/>
          <w:kern w:val="0"/>
          <w:sz w:val="22"/>
          <w:szCs w:val="22"/>
          <w14:ligatures w14:val="none"/>
        </w:rPr>
        <w:t>UKRI guiding principles on protecting personal data in research</w:t>
      </w:r>
      <w:r w:rsidRPr="00765B4B">
        <w:rPr>
          <w:rFonts w:ascii="Calibri" w:eastAsia="Times New Roman" w:hAnsi="Calibri" w:cs="Calibri"/>
          <w:kern w:val="0"/>
          <w:sz w:val="22"/>
          <w:szCs w:val="22"/>
          <w14:ligatures w14:val="none"/>
        </w:rPr>
        <w:t>. Swindon: UKRI. [Accessed 10 July 2025].</w:t>
      </w:r>
    </w:p>
    <w:p w14:paraId="5EE49090" w14:textId="20D03802" w:rsidR="00AE2049" w:rsidRPr="00AE2049" w:rsidRDefault="00AE2049" w:rsidP="0086732F">
      <w:pPr>
        <w:spacing w:before="100" w:beforeAutospacing="1" w:after="100" w:afterAutospacing="1" w:line="240" w:lineRule="auto"/>
        <w:rPr>
          <w:rFonts w:ascii="Calibri" w:eastAsia="Times New Roman" w:hAnsi="Calibri" w:cs="Calibri"/>
          <w:kern w:val="0"/>
          <w:sz w:val="22"/>
          <w:szCs w:val="22"/>
          <w14:ligatures w14:val="none"/>
        </w:rPr>
      </w:pPr>
      <w:r w:rsidRPr="00AE2049">
        <w:rPr>
          <w:rFonts w:ascii="Calibri" w:eastAsia="Times New Roman" w:hAnsi="Calibri" w:cs="Calibri"/>
          <w:kern w:val="0"/>
          <w:sz w:val="22"/>
          <w:szCs w:val="22"/>
          <w14:ligatures w14:val="none"/>
        </w:rPr>
        <w:t xml:space="preserve">Waite, S. (2011) ‘Teaching and learning outside the classroom: personal values, alternative pedagogies and standards’, </w:t>
      </w:r>
      <w:r w:rsidRPr="00AE2049">
        <w:rPr>
          <w:rFonts w:ascii="Calibri" w:eastAsia="Times New Roman" w:hAnsi="Calibri" w:cs="Calibri"/>
          <w:i/>
          <w:iCs/>
          <w:kern w:val="0"/>
          <w:sz w:val="22"/>
          <w:szCs w:val="22"/>
          <w14:ligatures w14:val="none"/>
        </w:rPr>
        <w:t>Education 3–13</w:t>
      </w:r>
      <w:r w:rsidRPr="00AE2049">
        <w:rPr>
          <w:rFonts w:ascii="Calibri" w:eastAsia="Times New Roman" w:hAnsi="Calibri" w:cs="Calibri"/>
          <w:kern w:val="0"/>
          <w:sz w:val="22"/>
          <w:szCs w:val="22"/>
          <w14:ligatures w14:val="none"/>
        </w:rPr>
        <w:t>, 39(1), pp. 65–82.</w:t>
      </w:r>
    </w:p>
    <w:p w14:paraId="2AB24D75" w14:textId="77777777" w:rsidR="00DC7339" w:rsidRPr="0086732F" w:rsidRDefault="00DC7339" w:rsidP="00DC7339">
      <w:pPr>
        <w:spacing w:before="100" w:beforeAutospacing="1" w:after="100" w:afterAutospacing="1" w:line="240" w:lineRule="auto"/>
        <w:rPr>
          <w:rFonts w:ascii="Calibri" w:eastAsia="Times New Roman" w:hAnsi="Calibri" w:cs="Calibri"/>
          <w:kern w:val="0"/>
          <w:sz w:val="22"/>
          <w:szCs w:val="22"/>
          <w14:ligatures w14:val="none"/>
        </w:rPr>
      </w:pPr>
      <w:r w:rsidRPr="0086732F">
        <w:rPr>
          <w:rFonts w:ascii="Calibri" w:eastAsia="Times New Roman" w:hAnsi="Calibri" w:cs="Calibri"/>
          <w:kern w:val="0"/>
          <w:sz w:val="22"/>
          <w:szCs w:val="22"/>
          <w14:ligatures w14:val="none"/>
        </w:rPr>
        <w:t xml:space="preserve">Wanat, M., Santillo, M., Borek, A.J., Butler, C.C., </w:t>
      </w:r>
      <w:proofErr w:type="spellStart"/>
      <w:r w:rsidRPr="0086732F">
        <w:rPr>
          <w:rFonts w:ascii="Calibri" w:eastAsia="Times New Roman" w:hAnsi="Calibri" w:cs="Calibri"/>
          <w:kern w:val="0"/>
          <w:sz w:val="22"/>
          <w:szCs w:val="22"/>
          <w14:ligatures w14:val="none"/>
        </w:rPr>
        <w:t>Anthierens</w:t>
      </w:r>
      <w:proofErr w:type="spellEnd"/>
      <w:r w:rsidRPr="0086732F">
        <w:rPr>
          <w:rFonts w:ascii="Calibri" w:eastAsia="Times New Roman" w:hAnsi="Calibri" w:cs="Calibri"/>
          <w:kern w:val="0"/>
          <w:sz w:val="22"/>
          <w:szCs w:val="22"/>
          <w14:ligatures w14:val="none"/>
        </w:rPr>
        <w:t>, S. and Tonkin-</w:t>
      </w:r>
      <w:proofErr w:type="spellStart"/>
      <w:r w:rsidRPr="0086732F">
        <w:rPr>
          <w:rFonts w:ascii="Calibri" w:eastAsia="Times New Roman" w:hAnsi="Calibri" w:cs="Calibri"/>
          <w:kern w:val="0"/>
          <w:sz w:val="22"/>
          <w:szCs w:val="22"/>
          <w14:ligatures w14:val="none"/>
        </w:rPr>
        <w:t>Crine</w:t>
      </w:r>
      <w:proofErr w:type="spellEnd"/>
      <w:r w:rsidRPr="0086732F">
        <w:rPr>
          <w:rFonts w:ascii="Calibri" w:eastAsia="Times New Roman" w:hAnsi="Calibri" w:cs="Calibri"/>
          <w:kern w:val="0"/>
          <w:sz w:val="22"/>
          <w:szCs w:val="22"/>
          <w14:ligatures w14:val="none"/>
        </w:rPr>
        <w:t xml:space="preserve">, S. (2021) ‘Value, challenges and practical considerations when designing, conducting and analysing a longitudinal qualitative study in family medicine’, </w:t>
      </w:r>
      <w:r w:rsidRPr="0086732F">
        <w:rPr>
          <w:rFonts w:ascii="Calibri" w:eastAsia="Times New Roman" w:hAnsi="Calibri" w:cs="Calibri"/>
          <w:i/>
          <w:iCs/>
          <w:kern w:val="0"/>
          <w:sz w:val="22"/>
          <w:szCs w:val="22"/>
          <w14:ligatures w14:val="none"/>
        </w:rPr>
        <w:t>Family Medicine and Community Health</w:t>
      </w:r>
      <w:r w:rsidRPr="0086732F">
        <w:rPr>
          <w:rFonts w:ascii="Calibri" w:eastAsia="Times New Roman" w:hAnsi="Calibri" w:cs="Calibri"/>
          <w:kern w:val="0"/>
          <w:sz w:val="22"/>
          <w:szCs w:val="22"/>
          <w14:ligatures w14:val="none"/>
        </w:rPr>
        <w:t>, 9(</w:t>
      </w:r>
      <w:proofErr w:type="spellStart"/>
      <w:r w:rsidRPr="0086732F">
        <w:rPr>
          <w:rFonts w:ascii="Calibri" w:eastAsia="Times New Roman" w:hAnsi="Calibri" w:cs="Calibri"/>
          <w:kern w:val="0"/>
          <w:sz w:val="22"/>
          <w:szCs w:val="22"/>
          <w14:ligatures w14:val="none"/>
        </w:rPr>
        <w:t>Suppl</w:t>
      </w:r>
      <w:proofErr w:type="spellEnd"/>
      <w:r w:rsidRPr="0086732F">
        <w:rPr>
          <w:rFonts w:ascii="Calibri" w:eastAsia="Times New Roman" w:hAnsi="Calibri" w:cs="Calibri"/>
          <w:kern w:val="0"/>
          <w:sz w:val="22"/>
          <w:szCs w:val="22"/>
          <w14:ligatures w14:val="none"/>
        </w:rPr>
        <w:t> 1):e001283.</w:t>
      </w:r>
    </w:p>
    <w:p w14:paraId="018AD4C9" w14:textId="4E4EF3DC" w:rsidR="00AE2049" w:rsidRPr="00AE2049" w:rsidRDefault="00AE2049" w:rsidP="0086732F">
      <w:pPr>
        <w:spacing w:before="100" w:beforeAutospacing="1" w:after="100" w:afterAutospacing="1" w:line="240" w:lineRule="auto"/>
        <w:rPr>
          <w:rFonts w:ascii="Calibri" w:eastAsia="Times New Roman" w:hAnsi="Calibri" w:cs="Calibri"/>
          <w:kern w:val="0"/>
          <w:sz w:val="22"/>
          <w:szCs w:val="22"/>
          <w14:ligatures w14:val="none"/>
        </w:rPr>
      </w:pPr>
      <w:r w:rsidRPr="00AE2049">
        <w:rPr>
          <w:rFonts w:ascii="Calibri" w:eastAsia="Times New Roman" w:hAnsi="Calibri" w:cs="Calibri"/>
          <w:kern w:val="0"/>
          <w:sz w:val="22"/>
          <w:szCs w:val="22"/>
          <w14:ligatures w14:val="none"/>
        </w:rPr>
        <w:t xml:space="preserve">Welsh Government (2022) </w:t>
      </w:r>
      <w:r w:rsidRPr="00AE2049">
        <w:rPr>
          <w:rFonts w:ascii="Calibri" w:eastAsia="Times New Roman" w:hAnsi="Calibri" w:cs="Calibri"/>
          <w:i/>
          <w:iCs/>
          <w:kern w:val="0"/>
          <w:sz w:val="22"/>
          <w:szCs w:val="22"/>
          <w14:ligatures w14:val="none"/>
        </w:rPr>
        <w:t>Curriculum for Wales: Guidance</w:t>
      </w:r>
      <w:r w:rsidRPr="00AE2049">
        <w:rPr>
          <w:rFonts w:ascii="Calibri" w:eastAsia="Times New Roman" w:hAnsi="Calibri" w:cs="Calibri"/>
          <w:kern w:val="0"/>
          <w:sz w:val="22"/>
          <w:szCs w:val="22"/>
          <w14:ligatures w14:val="none"/>
        </w:rPr>
        <w:t>. Cardiff: Welsh Government.</w:t>
      </w:r>
    </w:p>
    <w:p w14:paraId="0EC1364A" w14:textId="5836ADC6" w:rsidR="00231227" w:rsidRPr="0086732F" w:rsidRDefault="00E1407C" w:rsidP="000E6D22">
      <w:pPr>
        <w:spacing w:before="100" w:beforeAutospacing="1" w:after="100" w:afterAutospacing="1" w:line="240" w:lineRule="auto"/>
        <w:rPr>
          <w:rFonts w:ascii="Calibri" w:eastAsia="Times New Roman" w:hAnsi="Calibri" w:cs="Calibri"/>
          <w:kern w:val="0"/>
          <w:sz w:val="22"/>
          <w:szCs w:val="22"/>
          <w14:ligatures w14:val="none"/>
        </w:rPr>
      </w:pPr>
      <w:r w:rsidRPr="00E1407C">
        <w:rPr>
          <w:rFonts w:ascii="Calibri" w:eastAsia="Times New Roman" w:hAnsi="Calibri" w:cs="Calibri"/>
          <w:kern w:val="0"/>
          <w:sz w:val="22"/>
          <w:szCs w:val="22"/>
          <w14:ligatures w14:val="none"/>
        </w:rPr>
        <w:lastRenderedPageBreak/>
        <w:t xml:space="preserve">Welsh Government (2021) </w:t>
      </w:r>
      <w:r w:rsidRPr="00E1407C">
        <w:rPr>
          <w:rFonts w:ascii="Calibri" w:eastAsia="Times New Roman" w:hAnsi="Calibri" w:cs="Calibri"/>
          <w:i/>
          <w:iCs/>
          <w:kern w:val="0"/>
          <w:sz w:val="22"/>
          <w:szCs w:val="22"/>
          <w14:ligatures w14:val="none"/>
        </w:rPr>
        <w:t>Framework on embedding a whole-school approach to emotional and mental well-being</w:t>
      </w:r>
      <w:r w:rsidRPr="00E1407C">
        <w:rPr>
          <w:rFonts w:ascii="Calibri" w:eastAsia="Times New Roman" w:hAnsi="Calibri" w:cs="Calibri"/>
          <w:kern w:val="0"/>
          <w:sz w:val="22"/>
          <w:szCs w:val="22"/>
          <w14:ligatures w14:val="none"/>
        </w:rPr>
        <w:t>. Cardiff: Welsh Government</w:t>
      </w:r>
    </w:p>
    <w:p w14:paraId="004DD549" w14:textId="735F03D2" w:rsidR="009E1A1B" w:rsidRPr="00780682" w:rsidRDefault="00231227" w:rsidP="00231227">
      <w:pPr>
        <w:pStyle w:val="Heading1"/>
        <w:rPr>
          <w:rFonts w:ascii="Calibri" w:hAnsi="Calibri" w:cs="Calibri"/>
        </w:rPr>
      </w:pPr>
      <w:r w:rsidRPr="00780682">
        <w:rPr>
          <w:rFonts w:ascii="Calibri" w:hAnsi="Calibri" w:cs="Calibri"/>
        </w:rPr>
        <w:t>APPENDIX 1</w:t>
      </w:r>
    </w:p>
    <w:p w14:paraId="377427D3" w14:textId="475E3E01" w:rsidR="00231227" w:rsidRPr="00780682" w:rsidRDefault="00231227" w:rsidP="006A2B0E">
      <w:pPr>
        <w:spacing w:line="360" w:lineRule="auto"/>
        <w:rPr>
          <w:rFonts w:ascii="Calibri" w:hAnsi="Calibri" w:cs="Calibri"/>
        </w:rPr>
      </w:pPr>
    </w:p>
    <w:p w14:paraId="7956DBF5" w14:textId="1F2279EA" w:rsidR="00231227" w:rsidRPr="00780682" w:rsidRDefault="00231227" w:rsidP="006A2B0E">
      <w:pPr>
        <w:spacing w:line="360" w:lineRule="auto"/>
        <w:rPr>
          <w:rFonts w:ascii="Calibri" w:hAnsi="Calibri" w:cs="Calibri"/>
        </w:rPr>
      </w:pPr>
      <w:r w:rsidRPr="00780682">
        <w:rPr>
          <w:rFonts w:ascii="Calibri" w:hAnsi="Calibri" w:cs="Calibri"/>
          <w:noProof/>
        </w:rPr>
        <w:drawing>
          <wp:anchor distT="0" distB="0" distL="114300" distR="114300" simplePos="0" relativeHeight="251658240" behindDoc="0" locked="0" layoutInCell="1" allowOverlap="1" wp14:anchorId="717C87FB" wp14:editId="64630484">
            <wp:simplePos x="0" y="0"/>
            <wp:positionH relativeFrom="column">
              <wp:posOffset>633005</wp:posOffset>
            </wp:positionH>
            <wp:positionV relativeFrom="paragraph">
              <wp:posOffset>65405</wp:posOffset>
            </wp:positionV>
            <wp:extent cx="5731510" cy="7200900"/>
            <wp:effectExtent l="0" t="0" r="2540" b="0"/>
            <wp:wrapNone/>
            <wp:docPr id="1252503080"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03080" name="Picture 1" descr="A chart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7200900"/>
                    </a:xfrm>
                    <a:prstGeom prst="rect">
                      <a:avLst/>
                    </a:prstGeom>
                  </pic:spPr>
                </pic:pic>
              </a:graphicData>
            </a:graphic>
          </wp:anchor>
        </w:drawing>
      </w:r>
    </w:p>
    <w:p w14:paraId="131C1F07" w14:textId="2A0B3F05" w:rsidR="009E1A1B" w:rsidRPr="00780682" w:rsidRDefault="009E1A1B" w:rsidP="00684FDD">
      <w:pPr>
        <w:rPr>
          <w:rFonts w:ascii="Calibri" w:hAnsi="Calibri" w:cs="Calibri"/>
        </w:rPr>
      </w:pPr>
    </w:p>
    <w:sectPr w:rsidR="009E1A1B" w:rsidRPr="00780682" w:rsidSect="00102F4B">
      <w:footerReference w:type="default" r:id="rId9"/>
      <w:pgSz w:w="11906" w:h="16838"/>
      <w:pgMar w:top="1440" w:right="424" w:bottom="1440" w:left="709"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4C0A2" w14:textId="77777777" w:rsidR="000955FF" w:rsidRDefault="000955FF" w:rsidP="009E1A1B">
      <w:pPr>
        <w:spacing w:after="0" w:line="240" w:lineRule="auto"/>
      </w:pPr>
      <w:r>
        <w:separator/>
      </w:r>
    </w:p>
  </w:endnote>
  <w:endnote w:type="continuationSeparator" w:id="0">
    <w:p w14:paraId="262161EF" w14:textId="77777777" w:rsidR="000955FF" w:rsidRDefault="000955FF" w:rsidP="009E1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6227905"/>
      <w:docPartObj>
        <w:docPartGallery w:val="Page Numbers (Bottom of Page)"/>
        <w:docPartUnique/>
      </w:docPartObj>
    </w:sdtPr>
    <w:sdtContent>
      <w:p w14:paraId="12DB5F18" w14:textId="68CE5B15" w:rsidR="00102F4B" w:rsidRDefault="00102F4B">
        <w:pPr>
          <w:pStyle w:val="Footer"/>
          <w:jc w:val="right"/>
        </w:pPr>
        <w:r>
          <w:fldChar w:fldCharType="begin"/>
        </w:r>
        <w:r>
          <w:instrText>PAGE   \* MERGEFORMAT</w:instrText>
        </w:r>
        <w:r>
          <w:fldChar w:fldCharType="separate"/>
        </w:r>
        <w:r>
          <w:t>2</w:t>
        </w:r>
        <w:r>
          <w:fldChar w:fldCharType="end"/>
        </w:r>
      </w:p>
    </w:sdtContent>
  </w:sdt>
  <w:p w14:paraId="07CC86D5" w14:textId="77777777" w:rsidR="00102F4B" w:rsidRDefault="00102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C5FD3C" w14:textId="77777777" w:rsidR="000955FF" w:rsidRDefault="000955FF" w:rsidP="009E1A1B">
      <w:pPr>
        <w:spacing w:after="0" w:line="240" w:lineRule="auto"/>
      </w:pPr>
      <w:r>
        <w:separator/>
      </w:r>
    </w:p>
  </w:footnote>
  <w:footnote w:type="continuationSeparator" w:id="0">
    <w:p w14:paraId="755486DA" w14:textId="77777777" w:rsidR="000955FF" w:rsidRDefault="000955FF" w:rsidP="009E1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B619B"/>
    <w:multiLevelType w:val="multilevel"/>
    <w:tmpl w:val="694C1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23484"/>
    <w:multiLevelType w:val="multilevel"/>
    <w:tmpl w:val="C234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D7645C"/>
    <w:multiLevelType w:val="multilevel"/>
    <w:tmpl w:val="CB18E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3860EE"/>
    <w:multiLevelType w:val="multilevel"/>
    <w:tmpl w:val="87CC0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662022"/>
    <w:multiLevelType w:val="multilevel"/>
    <w:tmpl w:val="FEEC6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DE4A75"/>
    <w:multiLevelType w:val="multilevel"/>
    <w:tmpl w:val="6AEC7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1E69F9"/>
    <w:multiLevelType w:val="multilevel"/>
    <w:tmpl w:val="6576E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4EC618C"/>
    <w:multiLevelType w:val="multilevel"/>
    <w:tmpl w:val="05806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298119">
    <w:abstractNumId w:val="4"/>
  </w:num>
  <w:num w:numId="2" w16cid:durableId="1111627321">
    <w:abstractNumId w:val="0"/>
  </w:num>
  <w:num w:numId="3" w16cid:durableId="276835997">
    <w:abstractNumId w:val="6"/>
  </w:num>
  <w:num w:numId="4" w16cid:durableId="109782893">
    <w:abstractNumId w:val="2"/>
  </w:num>
  <w:num w:numId="5" w16cid:durableId="2026858180">
    <w:abstractNumId w:val="1"/>
  </w:num>
  <w:num w:numId="6" w16cid:durableId="123932203">
    <w:abstractNumId w:val="3"/>
  </w:num>
  <w:num w:numId="7" w16cid:durableId="1458257069">
    <w:abstractNumId w:val="7"/>
  </w:num>
  <w:num w:numId="8" w16cid:durableId="13535309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CE7"/>
    <w:rsid w:val="00005B5A"/>
    <w:rsid w:val="000133CC"/>
    <w:rsid w:val="00014176"/>
    <w:rsid w:val="0005353A"/>
    <w:rsid w:val="0005461E"/>
    <w:rsid w:val="00060E30"/>
    <w:rsid w:val="00070101"/>
    <w:rsid w:val="000955FF"/>
    <w:rsid w:val="000B4745"/>
    <w:rsid w:val="000C0CBD"/>
    <w:rsid w:val="000C75C6"/>
    <w:rsid w:val="000D48C6"/>
    <w:rsid w:val="000E6D22"/>
    <w:rsid w:val="000F5722"/>
    <w:rsid w:val="00102F4B"/>
    <w:rsid w:val="00143D11"/>
    <w:rsid w:val="00144CD9"/>
    <w:rsid w:val="00145FF6"/>
    <w:rsid w:val="00152746"/>
    <w:rsid w:val="0016025B"/>
    <w:rsid w:val="00166F10"/>
    <w:rsid w:val="001679EF"/>
    <w:rsid w:val="00167AA3"/>
    <w:rsid w:val="00172CED"/>
    <w:rsid w:val="00185C5E"/>
    <w:rsid w:val="00185CF0"/>
    <w:rsid w:val="001C0F5E"/>
    <w:rsid w:val="001D2888"/>
    <w:rsid w:val="001F3094"/>
    <w:rsid w:val="002101E4"/>
    <w:rsid w:val="00227A9E"/>
    <w:rsid w:val="00231227"/>
    <w:rsid w:val="0024325F"/>
    <w:rsid w:val="002521F3"/>
    <w:rsid w:val="002571B8"/>
    <w:rsid w:val="00277A7A"/>
    <w:rsid w:val="00281842"/>
    <w:rsid w:val="00284980"/>
    <w:rsid w:val="002966F2"/>
    <w:rsid w:val="002B01DA"/>
    <w:rsid w:val="002C1AD8"/>
    <w:rsid w:val="002C33A3"/>
    <w:rsid w:val="002D2BA4"/>
    <w:rsid w:val="002D5A38"/>
    <w:rsid w:val="002E2CD1"/>
    <w:rsid w:val="002E2F4E"/>
    <w:rsid w:val="002E43D1"/>
    <w:rsid w:val="002E6145"/>
    <w:rsid w:val="00302A8F"/>
    <w:rsid w:val="003030CD"/>
    <w:rsid w:val="00311068"/>
    <w:rsid w:val="003202F6"/>
    <w:rsid w:val="00324C1E"/>
    <w:rsid w:val="00334106"/>
    <w:rsid w:val="003421F3"/>
    <w:rsid w:val="00345C85"/>
    <w:rsid w:val="003508D8"/>
    <w:rsid w:val="00364E52"/>
    <w:rsid w:val="00373B9D"/>
    <w:rsid w:val="003805FD"/>
    <w:rsid w:val="003864B0"/>
    <w:rsid w:val="00391EC5"/>
    <w:rsid w:val="003A11E6"/>
    <w:rsid w:val="003B4755"/>
    <w:rsid w:val="003B5021"/>
    <w:rsid w:val="003C07A7"/>
    <w:rsid w:val="003C4D85"/>
    <w:rsid w:val="003D65FC"/>
    <w:rsid w:val="003D7899"/>
    <w:rsid w:val="003E6A9E"/>
    <w:rsid w:val="004044CB"/>
    <w:rsid w:val="00404835"/>
    <w:rsid w:val="00414C1E"/>
    <w:rsid w:val="00421564"/>
    <w:rsid w:val="004405E3"/>
    <w:rsid w:val="004407BC"/>
    <w:rsid w:val="00466D44"/>
    <w:rsid w:val="0047391B"/>
    <w:rsid w:val="00477C45"/>
    <w:rsid w:val="004812F8"/>
    <w:rsid w:val="004861D3"/>
    <w:rsid w:val="00491506"/>
    <w:rsid w:val="0049407D"/>
    <w:rsid w:val="004B6B05"/>
    <w:rsid w:val="004C0D7B"/>
    <w:rsid w:val="004D149B"/>
    <w:rsid w:val="004D7113"/>
    <w:rsid w:val="00512E77"/>
    <w:rsid w:val="00516646"/>
    <w:rsid w:val="00521E84"/>
    <w:rsid w:val="00532926"/>
    <w:rsid w:val="0054188A"/>
    <w:rsid w:val="005649A5"/>
    <w:rsid w:val="00565D5D"/>
    <w:rsid w:val="00595B11"/>
    <w:rsid w:val="005A1465"/>
    <w:rsid w:val="005F649C"/>
    <w:rsid w:val="006074CE"/>
    <w:rsid w:val="006128D8"/>
    <w:rsid w:val="0061346D"/>
    <w:rsid w:val="00660ED8"/>
    <w:rsid w:val="006622EA"/>
    <w:rsid w:val="00683D44"/>
    <w:rsid w:val="00684FDD"/>
    <w:rsid w:val="00691327"/>
    <w:rsid w:val="00693F72"/>
    <w:rsid w:val="006A2B0E"/>
    <w:rsid w:val="006A4311"/>
    <w:rsid w:val="006A608D"/>
    <w:rsid w:val="006B57DF"/>
    <w:rsid w:val="006C15DD"/>
    <w:rsid w:val="006C1EF0"/>
    <w:rsid w:val="006F2DA0"/>
    <w:rsid w:val="006F3249"/>
    <w:rsid w:val="006F6EDC"/>
    <w:rsid w:val="00700AA6"/>
    <w:rsid w:val="00701300"/>
    <w:rsid w:val="0070298B"/>
    <w:rsid w:val="00725F96"/>
    <w:rsid w:val="00727648"/>
    <w:rsid w:val="00765B4B"/>
    <w:rsid w:val="00780682"/>
    <w:rsid w:val="00792C74"/>
    <w:rsid w:val="007949D5"/>
    <w:rsid w:val="007969E8"/>
    <w:rsid w:val="007977C9"/>
    <w:rsid w:val="007A0390"/>
    <w:rsid w:val="007A6CAF"/>
    <w:rsid w:val="007B13F8"/>
    <w:rsid w:val="007C0E6E"/>
    <w:rsid w:val="007C1ECD"/>
    <w:rsid w:val="007C4F7B"/>
    <w:rsid w:val="007D1381"/>
    <w:rsid w:val="007E0C1C"/>
    <w:rsid w:val="00804ACA"/>
    <w:rsid w:val="008130FB"/>
    <w:rsid w:val="00830032"/>
    <w:rsid w:val="00834C24"/>
    <w:rsid w:val="00840203"/>
    <w:rsid w:val="008516BB"/>
    <w:rsid w:val="00852E75"/>
    <w:rsid w:val="0086141B"/>
    <w:rsid w:val="0086732F"/>
    <w:rsid w:val="008775A7"/>
    <w:rsid w:val="008842A4"/>
    <w:rsid w:val="0088780E"/>
    <w:rsid w:val="00892E83"/>
    <w:rsid w:val="008A5353"/>
    <w:rsid w:val="008C0E19"/>
    <w:rsid w:val="008C0F08"/>
    <w:rsid w:val="008C64DD"/>
    <w:rsid w:val="008C6D3A"/>
    <w:rsid w:val="008D180D"/>
    <w:rsid w:val="008D613C"/>
    <w:rsid w:val="008E5A50"/>
    <w:rsid w:val="008E7890"/>
    <w:rsid w:val="008F37F0"/>
    <w:rsid w:val="00911D5A"/>
    <w:rsid w:val="00920CE7"/>
    <w:rsid w:val="00927EFD"/>
    <w:rsid w:val="009453BA"/>
    <w:rsid w:val="009603BE"/>
    <w:rsid w:val="009616FF"/>
    <w:rsid w:val="0096657B"/>
    <w:rsid w:val="00971699"/>
    <w:rsid w:val="009727D6"/>
    <w:rsid w:val="00980EED"/>
    <w:rsid w:val="0098115C"/>
    <w:rsid w:val="00985EF8"/>
    <w:rsid w:val="009870BB"/>
    <w:rsid w:val="00993141"/>
    <w:rsid w:val="00993B9A"/>
    <w:rsid w:val="00994209"/>
    <w:rsid w:val="00994311"/>
    <w:rsid w:val="009A1ADF"/>
    <w:rsid w:val="009A4192"/>
    <w:rsid w:val="009B1422"/>
    <w:rsid w:val="009B429C"/>
    <w:rsid w:val="009B5843"/>
    <w:rsid w:val="009E066F"/>
    <w:rsid w:val="009E0ADD"/>
    <w:rsid w:val="009E1A1B"/>
    <w:rsid w:val="00A130B9"/>
    <w:rsid w:val="00A32461"/>
    <w:rsid w:val="00A33E51"/>
    <w:rsid w:val="00A379FC"/>
    <w:rsid w:val="00A428E8"/>
    <w:rsid w:val="00A80BB7"/>
    <w:rsid w:val="00AA448C"/>
    <w:rsid w:val="00AD22F0"/>
    <w:rsid w:val="00AE2049"/>
    <w:rsid w:val="00AE6E49"/>
    <w:rsid w:val="00AF1A79"/>
    <w:rsid w:val="00B31E7E"/>
    <w:rsid w:val="00B32005"/>
    <w:rsid w:val="00B45998"/>
    <w:rsid w:val="00B54333"/>
    <w:rsid w:val="00B67A13"/>
    <w:rsid w:val="00BB6ADE"/>
    <w:rsid w:val="00BD772D"/>
    <w:rsid w:val="00C241E4"/>
    <w:rsid w:val="00C54D81"/>
    <w:rsid w:val="00C818D5"/>
    <w:rsid w:val="00C97357"/>
    <w:rsid w:val="00CA1B69"/>
    <w:rsid w:val="00CA58F7"/>
    <w:rsid w:val="00CB1739"/>
    <w:rsid w:val="00CD2DF6"/>
    <w:rsid w:val="00CD4B4B"/>
    <w:rsid w:val="00CD4E8C"/>
    <w:rsid w:val="00CE6106"/>
    <w:rsid w:val="00CE67F4"/>
    <w:rsid w:val="00CE7113"/>
    <w:rsid w:val="00CF3F03"/>
    <w:rsid w:val="00D325C4"/>
    <w:rsid w:val="00D33C20"/>
    <w:rsid w:val="00D42C9C"/>
    <w:rsid w:val="00D65263"/>
    <w:rsid w:val="00D8227B"/>
    <w:rsid w:val="00D82D2D"/>
    <w:rsid w:val="00DB2EA6"/>
    <w:rsid w:val="00DC7339"/>
    <w:rsid w:val="00DD6A04"/>
    <w:rsid w:val="00DD784B"/>
    <w:rsid w:val="00DE4E61"/>
    <w:rsid w:val="00E13C61"/>
    <w:rsid w:val="00E1407C"/>
    <w:rsid w:val="00E1651D"/>
    <w:rsid w:val="00E261AC"/>
    <w:rsid w:val="00E35FCF"/>
    <w:rsid w:val="00E55A6E"/>
    <w:rsid w:val="00E63128"/>
    <w:rsid w:val="00E65192"/>
    <w:rsid w:val="00E73315"/>
    <w:rsid w:val="00E765AC"/>
    <w:rsid w:val="00E976A8"/>
    <w:rsid w:val="00EA641A"/>
    <w:rsid w:val="00EB1CF7"/>
    <w:rsid w:val="00EC5487"/>
    <w:rsid w:val="00EE01B6"/>
    <w:rsid w:val="00EE3C2C"/>
    <w:rsid w:val="00EF07A6"/>
    <w:rsid w:val="00EF24FC"/>
    <w:rsid w:val="00F0101F"/>
    <w:rsid w:val="00F22D5A"/>
    <w:rsid w:val="00F32266"/>
    <w:rsid w:val="00F35AB5"/>
    <w:rsid w:val="00F367B5"/>
    <w:rsid w:val="00F525D2"/>
    <w:rsid w:val="00F65242"/>
    <w:rsid w:val="00F85C88"/>
    <w:rsid w:val="00FA668E"/>
    <w:rsid w:val="00FB5501"/>
    <w:rsid w:val="00FB5F3C"/>
    <w:rsid w:val="00FC55B2"/>
    <w:rsid w:val="00FD3EEF"/>
    <w:rsid w:val="00FE38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8AECCB"/>
  <w15:chartTrackingRefBased/>
  <w15:docId w15:val="{BF555C26-2B61-4A67-A612-4971164C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C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C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C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C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CE7"/>
    <w:rPr>
      <w:rFonts w:eastAsiaTheme="majorEastAsia" w:cstheme="majorBidi"/>
      <w:color w:val="272727" w:themeColor="text1" w:themeTint="D8"/>
    </w:rPr>
  </w:style>
  <w:style w:type="paragraph" w:styleId="Title">
    <w:name w:val="Title"/>
    <w:basedOn w:val="Normal"/>
    <w:next w:val="Normal"/>
    <w:link w:val="TitleChar"/>
    <w:uiPriority w:val="10"/>
    <w:qFormat/>
    <w:rsid w:val="00920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CE7"/>
    <w:pPr>
      <w:spacing w:before="160"/>
      <w:jc w:val="center"/>
    </w:pPr>
    <w:rPr>
      <w:i/>
      <w:iCs/>
      <w:color w:val="404040" w:themeColor="text1" w:themeTint="BF"/>
    </w:rPr>
  </w:style>
  <w:style w:type="character" w:customStyle="1" w:styleId="QuoteChar">
    <w:name w:val="Quote Char"/>
    <w:basedOn w:val="DefaultParagraphFont"/>
    <w:link w:val="Quote"/>
    <w:uiPriority w:val="29"/>
    <w:rsid w:val="00920CE7"/>
    <w:rPr>
      <w:i/>
      <w:iCs/>
      <w:color w:val="404040" w:themeColor="text1" w:themeTint="BF"/>
    </w:rPr>
  </w:style>
  <w:style w:type="paragraph" w:styleId="ListParagraph">
    <w:name w:val="List Paragraph"/>
    <w:basedOn w:val="Normal"/>
    <w:uiPriority w:val="34"/>
    <w:qFormat/>
    <w:rsid w:val="00920CE7"/>
    <w:pPr>
      <w:ind w:left="720"/>
      <w:contextualSpacing/>
    </w:pPr>
  </w:style>
  <w:style w:type="character" w:styleId="IntenseEmphasis">
    <w:name w:val="Intense Emphasis"/>
    <w:basedOn w:val="DefaultParagraphFont"/>
    <w:uiPriority w:val="21"/>
    <w:qFormat/>
    <w:rsid w:val="00920CE7"/>
    <w:rPr>
      <w:i/>
      <w:iCs/>
      <w:color w:val="0F4761" w:themeColor="accent1" w:themeShade="BF"/>
    </w:rPr>
  </w:style>
  <w:style w:type="paragraph" w:styleId="IntenseQuote">
    <w:name w:val="Intense Quote"/>
    <w:basedOn w:val="Normal"/>
    <w:next w:val="Normal"/>
    <w:link w:val="IntenseQuoteChar"/>
    <w:uiPriority w:val="30"/>
    <w:qFormat/>
    <w:rsid w:val="00920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CE7"/>
    <w:rPr>
      <w:i/>
      <w:iCs/>
      <w:color w:val="0F4761" w:themeColor="accent1" w:themeShade="BF"/>
    </w:rPr>
  </w:style>
  <w:style w:type="character" w:styleId="IntenseReference">
    <w:name w:val="Intense Reference"/>
    <w:basedOn w:val="DefaultParagraphFont"/>
    <w:uiPriority w:val="32"/>
    <w:qFormat/>
    <w:rsid w:val="00920CE7"/>
    <w:rPr>
      <w:b/>
      <w:bCs/>
      <w:smallCaps/>
      <w:color w:val="0F4761" w:themeColor="accent1" w:themeShade="BF"/>
      <w:spacing w:val="5"/>
    </w:rPr>
  </w:style>
  <w:style w:type="character" w:styleId="Hyperlink">
    <w:name w:val="Hyperlink"/>
    <w:basedOn w:val="DefaultParagraphFont"/>
    <w:uiPriority w:val="99"/>
    <w:unhideWhenUsed/>
    <w:rsid w:val="00700AA6"/>
    <w:rPr>
      <w:color w:val="467886" w:themeColor="hyperlink"/>
      <w:u w:val="single"/>
    </w:rPr>
  </w:style>
  <w:style w:type="character" w:styleId="UnresolvedMention">
    <w:name w:val="Unresolved Mention"/>
    <w:basedOn w:val="DefaultParagraphFont"/>
    <w:uiPriority w:val="99"/>
    <w:semiHidden/>
    <w:unhideWhenUsed/>
    <w:rsid w:val="00700AA6"/>
    <w:rPr>
      <w:color w:val="605E5C"/>
      <w:shd w:val="clear" w:color="auto" w:fill="E1DFDD"/>
    </w:rPr>
  </w:style>
  <w:style w:type="paragraph" w:styleId="Header">
    <w:name w:val="header"/>
    <w:basedOn w:val="Normal"/>
    <w:link w:val="HeaderChar"/>
    <w:uiPriority w:val="99"/>
    <w:unhideWhenUsed/>
    <w:rsid w:val="009E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A1B"/>
  </w:style>
  <w:style w:type="paragraph" w:styleId="Footer">
    <w:name w:val="footer"/>
    <w:basedOn w:val="Normal"/>
    <w:link w:val="FooterChar"/>
    <w:uiPriority w:val="99"/>
    <w:unhideWhenUsed/>
    <w:rsid w:val="009E1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A1B"/>
  </w:style>
  <w:style w:type="character" w:styleId="Emphasis">
    <w:name w:val="Emphasis"/>
    <w:basedOn w:val="DefaultParagraphFont"/>
    <w:uiPriority w:val="20"/>
    <w:qFormat/>
    <w:rsid w:val="00E55A6E"/>
    <w:rPr>
      <w:i/>
      <w:iCs/>
    </w:rPr>
  </w:style>
  <w:style w:type="paragraph" w:styleId="NormalWeb">
    <w:name w:val="Normal (Web)"/>
    <w:basedOn w:val="Normal"/>
    <w:uiPriority w:val="99"/>
    <w:semiHidden/>
    <w:unhideWhenUsed/>
    <w:rsid w:val="00512E77"/>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00282">
      <w:bodyDiv w:val="1"/>
      <w:marLeft w:val="0"/>
      <w:marRight w:val="0"/>
      <w:marTop w:val="0"/>
      <w:marBottom w:val="0"/>
      <w:divBdr>
        <w:top w:val="none" w:sz="0" w:space="0" w:color="auto"/>
        <w:left w:val="none" w:sz="0" w:space="0" w:color="auto"/>
        <w:bottom w:val="none" w:sz="0" w:space="0" w:color="auto"/>
        <w:right w:val="none" w:sz="0" w:space="0" w:color="auto"/>
      </w:divBdr>
    </w:div>
    <w:div w:id="8456302">
      <w:bodyDiv w:val="1"/>
      <w:marLeft w:val="0"/>
      <w:marRight w:val="0"/>
      <w:marTop w:val="0"/>
      <w:marBottom w:val="0"/>
      <w:divBdr>
        <w:top w:val="none" w:sz="0" w:space="0" w:color="auto"/>
        <w:left w:val="none" w:sz="0" w:space="0" w:color="auto"/>
        <w:bottom w:val="none" w:sz="0" w:space="0" w:color="auto"/>
        <w:right w:val="none" w:sz="0" w:space="0" w:color="auto"/>
      </w:divBdr>
    </w:div>
    <w:div w:id="14967594">
      <w:bodyDiv w:val="1"/>
      <w:marLeft w:val="0"/>
      <w:marRight w:val="0"/>
      <w:marTop w:val="0"/>
      <w:marBottom w:val="0"/>
      <w:divBdr>
        <w:top w:val="none" w:sz="0" w:space="0" w:color="auto"/>
        <w:left w:val="none" w:sz="0" w:space="0" w:color="auto"/>
        <w:bottom w:val="none" w:sz="0" w:space="0" w:color="auto"/>
        <w:right w:val="none" w:sz="0" w:space="0" w:color="auto"/>
      </w:divBdr>
    </w:div>
    <w:div w:id="98795136">
      <w:bodyDiv w:val="1"/>
      <w:marLeft w:val="0"/>
      <w:marRight w:val="0"/>
      <w:marTop w:val="0"/>
      <w:marBottom w:val="0"/>
      <w:divBdr>
        <w:top w:val="none" w:sz="0" w:space="0" w:color="auto"/>
        <w:left w:val="none" w:sz="0" w:space="0" w:color="auto"/>
        <w:bottom w:val="none" w:sz="0" w:space="0" w:color="auto"/>
        <w:right w:val="none" w:sz="0" w:space="0" w:color="auto"/>
      </w:divBdr>
    </w:div>
    <w:div w:id="99961020">
      <w:bodyDiv w:val="1"/>
      <w:marLeft w:val="0"/>
      <w:marRight w:val="0"/>
      <w:marTop w:val="0"/>
      <w:marBottom w:val="0"/>
      <w:divBdr>
        <w:top w:val="none" w:sz="0" w:space="0" w:color="auto"/>
        <w:left w:val="none" w:sz="0" w:space="0" w:color="auto"/>
        <w:bottom w:val="none" w:sz="0" w:space="0" w:color="auto"/>
        <w:right w:val="none" w:sz="0" w:space="0" w:color="auto"/>
      </w:divBdr>
    </w:div>
    <w:div w:id="102771138">
      <w:bodyDiv w:val="1"/>
      <w:marLeft w:val="0"/>
      <w:marRight w:val="0"/>
      <w:marTop w:val="0"/>
      <w:marBottom w:val="0"/>
      <w:divBdr>
        <w:top w:val="none" w:sz="0" w:space="0" w:color="auto"/>
        <w:left w:val="none" w:sz="0" w:space="0" w:color="auto"/>
        <w:bottom w:val="none" w:sz="0" w:space="0" w:color="auto"/>
        <w:right w:val="none" w:sz="0" w:space="0" w:color="auto"/>
      </w:divBdr>
    </w:div>
    <w:div w:id="103575789">
      <w:bodyDiv w:val="1"/>
      <w:marLeft w:val="0"/>
      <w:marRight w:val="0"/>
      <w:marTop w:val="0"/>
      <w:marBottom w:val="0"/>
      <w:divBdr>
        <w:top w:val="none" w:sz="0" w:space="0" w:color="auto"/>
        <w:left w:val="none" w:sz="0" w:space="0" w:color="auto"/>
        <w:bottom w:val="none" w:sz="0" w:space="0" w:color="auto"/>
        <w:right w:val="none" w:sz="0" w:space="0" w:color="auto"/>
      </w:divBdr>
    </w:div>
    <w:div w:id="140313515">
      <w:bodyDiv w:val="1"/>
      <w:marLeft w:val="0"/>
      <w:marRight w:val="0"/>
      <w:marTop w:val="0"/>
      <w:marBottom w:val="0"/>
      <w:divBdr>
        <w:top w:val="none" w:sz="0" w:space="0" w:color="auto"/>
        <w:left w:val="none" w:sz="0" w:space="0" w:color="auto"/>
        <w:bottom w:val="none" w:sz="0" w:space="0" w:color="auto"/>
        <w:right w:val="none" w:sz="0" w:space="0" w:color="auto"/>
      </w:divBdr>
    </w:div>
    <w:div w:id="225190026">
      <w:bodyDiv w:val="1"/>
      <w:marLeft w:val="0"/>
      <w:marRight w:val="0"/>
      <w:marTop w:val="0"/>
      <w:marBottom w:val="0"/>
      <w:divBdr>
        <w:top w:val="none" w:sz="0" w:space="0" w:color="auto"/>
        <w:left w:val="none" w:sz="0" w:space="0" w:color="auto"/>
        <w:bottom w:val="none" w:sz="0" w:space="0" w:color="auto"/>
        <w:right w:val="none" w:sz="0" w:space="0" w:color="auto"/>
      </w:divBdr>
    </w:div>
    <w:div w:id="236601492">
      <w:bodyDiv w:val="1"/>
      <w:marLeft w:val="0"/>
      <w:marRight w:val="0"/>
      <w:marTop w:val="0"/>
      <w:marBottom w:val="0"/>
      <w:divBdr>
        <w:top w:val="none" w:sz="0" w:space="0" w:color="auto"/>
        <w:left w:val="none" w:sz="0" w:space="0" w:color="auto"/>
        <w:bottom w:val="none" w:sz="0" w:space="0" w:color="auto"/>
        <w:right w:val="none" w:sz="0" w:space="0" w:color="auto"/>
      </w:divBdr>
    </w:div>
    <w:div w:id="250048552">
      <w:bodyDiv w:val="1"/>
      <w:marLeft w:val="0"/>
      <w:marRight w:val="0"/>
      <w:marTop w:val="0"/>
      <w:marBottom w:val="0"/>
      <w:divBdr>
        <w:top w:val="none" w:sz="0" w:space="0" w:color="auto"/>
        <w:left w:val="none" w:sz="0" w:space="0" w:color="auto"/>
        <w:bottom w:val="none" w:sz="0" w:space="0" w:color="auto"/>
        <w:right w:val="none" w:sz="0" w:space="0" w:color="auto"/>
      </w:divBdr>
    </w:div>
    <w:div w:id="276763796">
      <w:bodyDiv w:val="1"/>
      <w:marLeft w:val="0"/>
      <w:marRight w:val="0"/>
      <w:marTop w:val="0"/>
      <w:marBottom w:val="0"/>
      <w:divBdr>
        <w:top w:val="none" w:sz="0" w:space="0" w:color="auto"/>
        <w:left w:val="none" w:sz="0" w:space="0" w:color="auto"/>
        <w:bottom w:val="none" w:sz="0" w:space="0" w:color="auto"/>
        <w:right w:val="none" w:sz="0" w:space="0" w:color="auto"/>
      </w:divBdr>
    </w:div>
    <w:div w:id="300111610">
      <w:bodyDiv w:val="1"/>
      <w:marLeft w:val="0"/>
      <w:marRight w:val="0"/>
      <w:marTop w:val="0"/>
      <w:marBottom w:val="0"/>
      <w:divBdr>
        <w:top w:val="none" w:sz="0" w:space="0" w:color="auto"/>
        <w:left w:val="none" w:sz="0" w:space="0" w:color="auto"/>
        <w:bottom w:val="none" w:sz="0" w:space="0" w:color="auto"/>
        <w:right w:val="none" w:sz="0" w:space="0" w:color="auto"/>
      </w:divBdr>
    </w:div>
    <w:div w:id="310519531">
      <w:bodyDiv w:val="1"/>
      <w:marLeft w:val="0"/>
      <w:marRight w:val="0"/>
      <w:marTop w:val="0"/>
      <w:marBottom w:val="0"/>
      <w:divBdr>
        <w:top w:val="none" w:sz="0" w:space="0" w:color="auto"/>
        <w:left w:val="none" w:sz="0" w:space="0" w:color="auto"/>
        <w:bottom w:val="none" w:sz="0" w:space="0" w:color="auto"/>
        <w:right w:val="none" w:sz="0" w:space="0" w:color="auto"/>
      </w:divBdr>
    </w:div>
    <w:div w:id="312876843">
      <w:bodyDiv w:val="1"/>
      <w:marLeft w:val="0"/>
      <w:marRight w:val="0"/>
      <w:marTop w:val="0"/>
      <w:marBottom w:val="0"/>
      <w:divBdr>
        <w:top w:val="none" w:sz="0" w:space="0" w:color="auto"/>
        <w:left w:val="none" w:sz="0" w:space="0" w:color="auto"/>
        <w:bottom w:val="none" w:sz="0" w:space="0" w:color="auto"/>
        <w:right w:val="none" w:sz="0" w:space="0" w:color="auto"/>
      </w:divBdr>
    </w:div>
    <w:div w:id="330724169">
      <w:bodyDiv w:val="1"/>
      <w:marLeft w:val="0"/>
      <w:marRight w:val="0"/>
      <w:marTop w:val="0"/>
      <w:marBottom w:val="0"/>
      <w:divBdr>
        <w:top w:val="none" w:sz="0" w:space="0" w:color="auto"/>
        <w:left w:val="none" w:sz="0" w:space="0" w:color="auto"/>
        <w:bottom w:val="none" w:sz="0" w:space="0" w:color="auto"/>
        <w:right w:val="none" w:sz="0" w:space="0" w:color="auto"/>
      </w:divBdr>
    </w:div>
    <w:div w:id="367412441">
      <w:bodyDiv w:val="1"/>
      <w:marLeft w:val="0"/>
      <w:marRight w:val="0"/>
      <w:marTop w:val="0"/>
      <w:marBottom w:val="0"/>
      <w:divBdr>
        <w:top w:val="none" w:sz="0" w:space="0" w:color="auto"/>
        <w:left w:val="none" w:sz="0" w:space="0" w:color="auto"/>
        <w:bottom w:val="none" w:sz="0" w:space="0" w:color="auto"/>
        <w:right w:val="none" w:sz="0" w:space="0" w:color="auto"/>
      </w:divBdr>
    </w:div>
    <w:div w:id="394745421">
      <w:bodyDiv w:val="1"/>
      <w:marLeft w:val="0"/>
      <w:marRight w:val="0"/>
      <w:marTop w:val="0"/>
      <w:marBottom w:val="0"/>
      <w:divBdr>
        <w:top w:val="none" w:sz="0" w:space="0" w:color="auto"/>
        <w:left w:val="none" w:sz="0" w:space="0" w:color="auto"/>
        <w:bottom w:val="none" w:sz="0" w:space="0" w:color="auto"/>
        <w:right w:val="none" w:sz="0" w:space="0" w:color="auto"/>
      </w:divBdr>
      <w:divsChild>
        <w:div w:id="16374440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0273616">
      <w:bodyDiv w:val="1"/>
      <w:marLeft w:val="0"/>
      <w:marRight w:val="0"/>
      <w:marTop w:val="0"/>
      <w:marBottom w:val="0"/>
      <w:divBdr>
        <w:top w:val="none" w:sz="0" w:space="0" w:color="auto"/>
        <w:left w:val="none" w:sz="0" w:space="0" w:color="auto"/>
        <w:bottom w:val="none" w:sz="0" w:space="0" w:color="auto"/>
        <w:right w:val="none" w:sz="0" w:space="0" w:color="auto"/>
      </w:divBdr>
    </w:div>
    <w:div w:id="439834627">
      <w:bodyDiv w:val="1"/>
      <w:marLeft w:val="0"/>
      <w:marRight w:val="0"/>
      <w:marTop w:val="0"/>
      <w:marBottom w:val="0"/>
      <w:divBdr>
        <w:top w:val="none" w:sz="0" w:space="0" w:color="auto"/>
        <w:left w:val="none" w:sz="0" w:space="0" w:color="auto"/>
        <w:bottom w:val="none" w:sz="0" w:space="0" w:color="auto"/>
        <w:right w:val="none" w:sz="0" w:space="0" w:color="auto"/>
      </w:divBdr>
    </w:div>
    <w:div w:id="451677378">
      <w:bodyDiv w:val="1"/>
      <w:marLeft w:val="0"/>
      <w:marRight w:val="0"/>
      <w:marTop w:val="0"/>
      <w:marBottom w:val="0"/>
      <w:divBdr>
        <w:top w:val="none" w:sz="0" w:space="0" w:color="auto"/>
        <w:left w:val="none" w:sz="0" w:space="0" w:color="auto"/>
        <w:bottom w:val="none" w:sz="0" w:space="0" w:color="auto"/>
        <w:right w:val="none" w:sz="0" w:space="0" w:color="auto"/>
      </w:divBdr>
      <w:divsChild>
        <w:div w:id="10567768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3813659">
      <w:bodyDiv w:val="1"/>
      <w:marLeft w:val="0"/>
      <w:marRight w:val="0"/>
      <w:marTop w:val="0"/>
      <w:marBottom w:val="0"/>
      <w:divBdr>
        <w:top w:val="none" w:sz="0" w:space="0" w:color="auto"/>
        <w:left w:val="none" w:sz="0" w:space="0" w:color="auto"/>
        <w:bottom w:val="none" w:sz="0" w:space="0" w:color="auto"/>
        <w:right w:val="none" w:sz="0" w:space="0" w:color="auto"/>
      </w:divBdr>
      <w:divsChild>
        <w:div w:id="1671829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6245291">
      <w:bodyDiv w:val="1"/>
      <w:marLeft w:val="0"/>
      <w:marRight w:val="0"/>
      <w:marTop w:val="0"/>
      <w:marBottom w:val="0"/>
      <w:divBdr>
        <w:top w:val="none" w:sz="0" w:space="0" w:color="auto"/>
        <w:left w:val="none" w:sz="0" w:space="0" w:color="auto"/>
        <w:bottom w:val="none" w:sz="0" w:space="0" w:color="auto"/>
        <w:right w:val="none" w:sz="0" w:space="0" w:color="auto"/>
      </w:divBdr>
    </w:div>
    <w:div w:id="549461391">
      <w:bodyDiv w:val="1"/>
      <w:marLeft w:val="0"/>
      <w:marRight w:val="0"/>
      <w:marTop w:val="0"/>
      <w:marBottom w:val="0"/>
      <w:divBdr>
        <w:top w:val="none" w:sz="0" w:space="0" w:color="auto"/>
        <w:left w:val="none" w:sz="0" w:space="0" w:color="auto"/>
        <w:bottom w:val="none" w:sz="0" w:space="0" w:color="auto"/>
        <w:right w:val="none" w:sz="0" w:space="0" w:color="auto"/>
      </w:divBdr>
    </w:div>
    <w:div w:id="725645212">
      <w:bodyDiv w:val="1"/>
      <w:marLeft w:val="0"/>
      <w:marRight w:val="0"/>
      <w:marTop w:val="0"/>
      <w:marBottom w:val="0"/>
      <w:divBdr>
        <w:top w:val="none" w:sz="0" w:space="0" w:color="auto"/>
        <w:left w:val="none" w:sz="0" w:space="0" w:color="auto"/>
        <w:bottom w:val="none" w:sz="0" w:space="0" w:color="auto"/>
        <w:right w:val="none" w:sz="0" w:space="0" w:color="auto"/>
      </w:divBdr>
    </w:div>
    <w:div w:id="743407426">
      <w:bodyDiv w:val="1"/>
      <w:marLeft w:val="0"/>
      <w:marRight w:val="0"/>
      <w:marTop w:val="0"/>
      <w:marBottom w:val="0"/>
      <w:divBdr>
        <w:top w:val="none" w:sz="0" w:space="0" w:color="auto"/>
        <w:left w:val="none" w:sz="0" w:space="0" w:color="auto"/>
        <w:bottom w:val="none" w:sz="0" w:space="0" w:color="auto"/>
        <w:right w:val="none" w:sz="0" w:space="0" w:color="auto"/>
      </w:divBdr>
    </w:div>
    <w:div w:id="756288745">
      <w:bodyDiv w:val="1"/>
      <w:marLeft w:val="0"/>
      <w:marRight w:val="0"/>
      <w:marTop w:val="0"/>
      <w:marBottom w:val="0"/>
      <w:divBdr>
        <w:top w:val="none" w:sz="0" w:space="0" w:color="auto"/>
        <w:left w:val="none" w:sz="0" w:space="0" w:color="auto"/>
        <w:bottom w:val="none" w:sz="0" w:space="0" w:color="auto"/>
        <w:right w:val="none" w:sz="0" w:space="0" w:color="auto"/>
      </w:divBdr>
    </w:div>
    <w:div w:id="785082481">
      <w:bodyDiv w:val="1"/>
      <w:marLeft w:val="0"/>
      <w:marRight w:val="0"/>
      <w:marTop w:val="0"/>
      <w:marBottom w:val="0"/>
      <w:divBdr>
        <w:top w:val="none" w:sz="0" w:space="0" w:color="auto"/>
        <w:left w:val="none" w:sz="0" w:space="0" w:color="auto"/>
        <w:bottom w:val="none" w:sz="0" w:space="0" w:color="auto"/>
        <w:right w:val="none" w:sz="0" w:space="0" w:color="auto"/>
      </w:divBdr>
    </w:div>
    <w:div w:id="801967005">
      <w:bodyDiv w:val="1"/>
      <w:marLeft w:val="0"/>
      <w:marRight w:val="0"/>
      <w:marTop w:val="0"/>
      <w:marBottom w:val="0"/>
      <w:divBdr>
        <w:top w:val="none" w:sz="0" w:space="0" w:color="auto"/>
        <w:left w:val="none" w:sz="0" w:space="0" w:color="auto"/>
        <w:bottom w:val="none" w:sz="0" w:space="0" w:color="auto"/>
        <w:right w:val="none" w:sz="0" w:space="0" w:color="auto"/>
      </w:divBdr>
    </w:div>
    <w:div w:id="831797571">
      <w:bodyDiv w:val="1"/>
      <w:marLeft w:val="0"/>
      <w:marRight w:val="0"/>
      <w:marTop w:val="0"/>
      <w:marBottom w:val="0"/>
      <w:divBdr>
        <w:top w:val="none" w:sz="0" w:space="0" w:color="auto"/>
        <w:left w:val="none" w:sz="0" w:space="0" w:color="auto"/>
        <w:bottom w:val="none" w:sz="0" w:space="0" w:color="auto"/>
        <w:right w:val="none" w:sz="0" w:space="0" w:color="auto"/>
      </w:divBdr>
    </w:div>
    <w:div w:id="842747950">
      <w:bodyDiv w:val="1"/>
      <w:marLeft w:val="0"/>
      <w:marRight w:val="0"/>
      <w:marTop w:val="0"/>
      <w:marBottom w:val="0"/>
      <w:divBdr>
        <w:top w:val="none" w:sz="0" w:space="0" w:color="auto"/>
        <w:left w:val="none" w:sz="0" w:space="0" w:color="auto"/>
        <w:bottom w:val="none" w:sz="0" w:space="0" w:color="auto"/>
        <w:right w:val="none" w:sz="0" w:space="0" w:color="auto"/>
      </w:divBdr>
    </w:div>
    <w:div w:id="855971113">
      <w:bodyDiv w:val="1"/>
      <w:marLeft w:val="0"/>
      <w:marRight w:val="0"/>
      <w:marTop w:val="0"/>
      <w:marBottom w:val="0"/>
      <w:divBdr>
        <w:top w:val="none" w:sz="0" w:space="0" w:color="auto"/>
        <w:left w:val="none" w:sz="0" w:space="0" w:color="auto"/>
        <w:bottom w:val="none" w:sz="0" w:space="0" w:color="auto"/>
        <w:right w:val="none" w:sz="0" w:space="0" w:color="auto"/>
      </w:divBdr>
    </w:div>
    <w:div w:id="898057410">
      <w:bodyDiv w:val="1"/>
      <w:marLeft w:val="0"/>
      <w:marRight w:val="0"/>
      <w:marTop w:val="0"/>
      <w:marBottom w:val="0"/>
      <w:divBdr>
        <w:top w:val="none" w:sz="0" w:space="0" w:color="auto"/>
        <w:left w:val="none" w:sz="0" w:space="0" w:color="auto"/>
        <w:bottom w:val="none" w:sz="0" w:space="0" w:color="auto"/>
        <w:right w:val="none" w:sz="0" w:space="0" w:color="auto"/>
      </w:divBdr>
    </w:div>
    <w:div w:id="938681776">
      <w:bodyDiv w:val="1"/>
      <w:marLeft w:val="0"/>
      <w:marRight w:val="0"/>
      <w:marTop w:val="0"/>
      <w:marBottom w:val="0"/>
      <w:divBdr>
        <w:top w:val="none" w:sz="0" w:space="0" w:color="auto"/>
        <w:left w:val="none" w:sz="0" w:space="0" w:color="auto"/>
        <w:bottom w:val="none" w:sz="0" w:space="0" w:color="auto"/>
        <w:right w:val="none" w:sz="0" w:space="0" w:color="auto"/>
      </w:divBdr>
    </w:div>
    <w:div w:id="940458278">
      <w:bodyDiv w:val="1"/>
      <w:marLeft w:val="0"/>
      <w:marRight w:val="0"/>
      <w:marTop w:val="0"/>
      <w:marBottom w:val="0"/>
      <w:divBdr>
        <w:top w:val="none" w:sz="0" w:space="0" w:color="auto"/>
        <w:left w:val="none" w:sz="0" w:space="0" w:color="auto"/>
        <w:bottom w:val="none" w:sz="0" w:space="0" w:color="auto"/>
        <w:right w:val="none" w:sz="0" w:space="0" w:color="auto"/>
      </w:divBdr>
    </w:div>
    <w:div w:id="957835421">
      <w:bodyDiv w:val="1"/>
      <w:marLeft w:val="0"/>
      <w:marRight w:val="0"/>
      <w:marTop w:val="0"/>
      <w:marBottom w:val="0"/>
      <w:divBdr>
        <w:top w:val="none" w:sz="0" w:space="0" w:color="auto"/>
        <w:left w:val="none" w:sz="0" w:space="0" w:color="auto"/>
        <w:bottom w:val="none" w:sz="0" w:space="0" w:color="auto"/>
        <w:right w:val="none" w:sz="0" w:space="0" w:color="auto"/>
      </w:divBdr>
    </w:div>
    <w:div w:id="977608398">
      <w:bodyDiv w:val="1"/>
      <w:marLeft w:val="0"/>
      <w:marRight w:val="0"/>
      <w:marTop w:val="0"/>
      <w:marBottom w:val="0"/>
      <w:divBdr>
        <w:top w:val="none" w:sz="0" w:space="0" w:color="auto"/>
        <w:left w:val="none" w:sz="0" w:space="0" w:color="auto"/>
        <w:bottom w:val="none" w:sz="0" w:space="0" w:color="auto"/>
        <w:right w:val="none" w:sz="0" w:space="0" w:color="auto"/>
      </w:divBdr>
    </w:div>
    <w:div w:id="984240576">
      <w:bodyDiv w:val="1"/>
      <w:marLeft w:val="0"/>
      <w:marRight w:val="0"/>
      <w:marTop w:val="0"/>
      <w:marBottom w:val="0"/>
      <w:divBdr>
        <w:top w:val="none" w:sz="0" w:space="0" w:color="auto"/>
        <w:left w:val="none" w:sz="0" w:space="0" w:color="auto"/>
        <w:bottom w:val="none" w:sz="0" w:space="0" w:color="auto"/>
        <w:right w:val="none" w:sz="0" w:space="0" w:color="auto"/>
      </w:divBdr>
    </w:div>
    <w:div w:id="999963425">
      <w:bodyDiv w:val="1"/>
      <w:marLeft w:val="0"/>
      <w:marRight w:val="0"/>
      <w:marTop w:val="0"/>
      <w:marBottom w:val="0"/>
      <w:divBdr>
        <w:top w:val="none" w:sz="0" w:space="0" w:color="auto"/>
        <w:left w:val="none" w:sz="0" w:space="0" w:color="auto"/>
        <w:bottom w:val="none" w:sz="0" w:space="0" w:color="auto"/>
        <w:right w:val="none" w:sz="0" w:space="0" w:color="auto"/>
      </w:divBdr>
    </w:div>
    <w:div w:id="1019087645">
      <w:bodyDiv w:val="1"/>
      <w:marLeft w:val="0"/>
      <w:marRight w:val="0"/>
      <w:marTop w:val="0"/>
      <w:marBottom w:val="0"/>
      <w:divBdr>
        <w:top w:val="none" w:sz="0" w:space="0" w:color="auto"/>
        <w:left w:val="none" w:sz="0" w:space="0" w:color="auto"/>
        <w:bottom w:val="none" w:sz="0" w:space="0" w:color="auto"/>
        <w:right w:val="none" w:sz="0" w:space="0" w:color="auto"/>
      </w:divBdr>
    </w:div>
    <w:div w:id="1023241302">
      <w:bodyDiv w:val="1"/>
      <w:marLeft w:val="0"/>
      <w:marRight w:val="0"/>
      <w:marTop w:val="0"/>
      <w:marBottom w:val="0"/>
      <w:divBdr>
        <w:top w:val="none" w:sz="0" w:space="0" w:color="auto"/>
        <w:left w:val="none" w:sz="0" w:space="0" w:color="auto"/>
        <w:bottom w:val="none" w:sz="0" w:space="0" w:color="auto"/>
        <w:right w:val="none" w:sz="0" w:space="0" w:color="auto"/>
      </w:divBdr>
    </w:div>
    <w:div w:id="1026949926">
      <w:bodyDiv w:val="1"/>
      <w:marLeft w:val="0"/>
      <w:marRight w:val="0"/>
      <w:marTop w:val="0"/>
      <w:marBottom w:val="0"/>
      <w:divBdr>
        <w:top w:val="none" w:sz="0" w:space="0" w:color="auto"/>
        <w:left w:val="none" w:sz="0" w:space="0" w:color="auto"/>
        <w:bottom w:val="none" w:sz="0" w:space="0" w:color="auto"/>
        <w:right w:val="none" w:sz="0" w:space="0" w:color="auto"/>
      </w:divBdr>
    </w:div>
    <w:div w:id="1127044131">
      <w:bodyDiv w:val="1"/>
      <w:marLeft w:val="0"/>
      <w:marRight w:val="0"/>
      <w:marTop w:val="0"/>
      <w:marBottom w:val="0"/>
      <w:divBdr>
        <w:top w:val="none" w:sz="0" w:space="0" w:color="auto"/>
        <w:left w:val="none" w:sz="0" w:space="0" w:color="auto"/>
        <w:bottom w:val="none" w:sz="0" w:space="0" w:color="auto"/>
        <w:right w:val="none" w:sz="0" w:space="0" w:color="auto"/>
      </w:divBdr>
    </w:div>
    <w:div w:id="1149981892">
      <w:bodyDiv w:val="1"/>
      <w:marLeft w:val="0"/>
      <w:marRight w:val="0"/>
      <w:marTop w:val="0"/>
      <w:marBottom w:val="0"/>
      <w:divBdr>
        <w:top w:val="none" w:sz="0" w:space="0" w:color="auto"/>
        <w:left w:val="none" w:sz="0" w:space="0" w:color="auto"/>
        <w:bottom w:val="none" w:sz="0" w:space="0" w:color="auto"/>
        <w:right w:val="none" w:sz="0" w:space="0" w:color="auto"/>
      </w:divBdr>
    </w:div>
    <w:div w:id="1161121095">
      <w:bodyDiv w:val="1"/>
      <w:marLeft w:val="0"/>
      <w:marRight w:val="0"/>
      <w:marTop w:val="0"/>
      <w:marBottom w:val="0"/>
      <w:divBdr>
        <w:top w:val="none" w:sz="0" w:space="0" w:color="auto"/>
        <w:left w:val="none" w:sz="0" w:space="0" w:color="auto"/>
        <w:bottom w:val="none" w:sz="0" w:space="0" w:color="auto"/>
        <w:right w:val="none" w:sz="0" w:space="0" w:color="auto"/>
      </w:divBdr>
    </w:div>
    <w:div w:id="1190995614">
      <w:bodyDiv w:val="1"/>
      <w:marLeft w:val="0"/>
      <w:marRight w:val="0"/>
      <w:marTop w:val="0"/>
      <w:marBottom w:val="0"/>
      <w:divBdr>
        <w:top w:val="none" w:sz="0" w:space="0" w:color="auto"/>
        <w:left w:val="none" w:sz="0" w:space="0" w:color="auto"/>
        <w:bottom w:val="none" w:sz="0" w:space="0" w:color="auto"/>
        <w:right w:val="none" w:sz="0" w:space="0" w:color="auto"/>
      </w:divBdr>
    </w:div>
    <w:div w:id="1191727566">
      <w:bodyDiv w:val="1"/>
      <w:marLeft w:val="0"/>
      <w:marRight w:val="0"/>
      <w:marTop w:val="0"/>
      <w:marBottom w:val="0"/>
      <w:divBdr>
        <w:top w:val="none" w:sz="0" w:space="0" w:color="auto"/>
        <w:left w:val="none" w:sz="0" w:space="0" w:color="auto"/>
        <w:bottom w:val="none" w:sz="0" w:space="0" w:color="auto"/>
        <w:right w:val="none" w:sz="0" w:space="0" w:color="auto"/>
      </w:divBdr>
    </w:div>
    <w:div w:id="1207445383">
      <w:bodyDiv w:val="1"/>
      <w:marLeft w:val="0"/>
      <w:marRight w:val="0"/>
      <w:marTop w:val="0"/>
      <w:marBottom w:val="0"/>
      <w:divBdr>
        <w:top w:val="none" w:sz="0" w:space="0" w:color="auto"/>
        <w:left w:val="none" w:sz="0" w:space="0" w:color="auto"/>
        <w:bottom w:val="none" w:sz="0" w:space="0" w:color="auto"/>
        <w:right w:val="none" w:sz="0" w:space="0" w:color="auto"/>
      </w:divBdr>
    </w:div>
    <w:div w:id="1228882089">
      <w:bodyDiv w:val="1"/>
      <w:marLeft w:val="0"/>
      <w:marRight w:val="0"/>
      <w:marTop w:val="0"/>
      <w:marBottom w:val="0"/>
      <w:divBdr>
        <w:top w:val="none" w:sz="0" w:space="0" w:color="auto"/>
        <w:left w:val="none" w:sz="0" w:space="0" w:color="auto"/>
        <w:bottom w:val="none" w:sz="0" w:space="0" w:color="auto"/>
        <w:right w:val="none" w:sz="0" w:space="0" w:color="auto"/>
      </w:divBdr>
    </w:div>
    <w:div w:id="1271740207">
      <w:bodyDiv w:val="1"/>
      <w:marLeft w:val="0"/>
      <w:marRight w:val="0"/>
      <w:marTop w:val="0"/>
      <w:marBottom w:val="0"/>
      <w:divBdr>
        <w:top w:val="none" w:sz="0" w:space="0" w:color="auto"/>
        <w:left w:val="none" w:sz="0" w:space="0" w:color="auto"/>
        <w:bottom w:val="none" w:sz="0" w:space="0" w:color="auto"/>
        <w:right w:val="none" w:sz="0" w:space="0" w:color="auto"/>
      </w:divBdr>
    </w:div>
    <w:div w:id="1274167369">
      <w:bodyDiv w:val="1"/>
      <w:marLeft w:val="0"/>
      <w:marRight w:val="0"/>
      <w:marTop w:val="0"/>
      <w:marBottom w:val="0"/>
      <w:divBdr>
        <w:top w:val="none" w:sz="0" w:space="0" w:color="auto"/>
        <w:left w:val="none" w:sz="0" w:space="0" w:color="auto"/>
        <w:bottom w:val="none" w:sz="0" w:space="0" w:color="auto"/>
        <w:right w:val="none" w:sz="0" w:space="0" w:color="auto"/>
      </w:divBdr>
    </w:div>
    <w:div w:id="1326281706">
      <w:bodyDiv w:val="1"/>
      <w:marLeft w:val="0"/>
      <w:marRight w:val="0"/>
      <w:marTop w:val="0"/>
      <w:marBottom w:val="0"/>
      <w:divBdr>
        <w:top w:val="none" w:sz="0" w:space="0" w:color="auto"/>
        <w:left w:val="none" w:sz="0" w:space="0" w:color="auto"/>
        <w:bottom w:val="none" w:sz="0" w:space="0" w:color="auto"/>
        <w:right w:val="none" w:sz="0" w:space="0" w:color="auto"/>
      </w:divBdr>
    </w:div>
    <w:div w:id="1357850993">
      <w:bodyDiv w:val="1"/>
      <w:marLeft w:val="0"/>
      <w:marRight w:val="0"/>
      <w:marTop w:val="0"/>
      <w:marBottom w:val="0"/>
      <w:divBdr>
        <w:top w:val="none" w:sz="0" w:space="0" w:color="auto"/>
        <w:left w:val="none" w:sz="0" w:space="0" w:color="auto"/>
        <w:bottom w:val="none" w:sz="0" w:space="0" w:color="auto"/>
        <w:right w:val="none" w:sz="0" w:space="0" w:color="auto"/>
      </w:divBdr>
    </w:div>
    <w:div w:id="1364095257">
      <w:bodyDiv w:val="1"/>
      <w:marLeft w:val="0"/>
      <w:marRight w:val="0"/>
      <w:marTop w:val="0"/>
      <w:marBottom w:val="0"/>
      <w:divBdr>
        <w:top w:val="none" w:sz="0" w:space="0" w:color="auto"/>
        <w:left w:val="none" w:sz="0" w:space="0" w:color="auto"/>
        <w:bottom w:val="none" w:sz="0" w:space="0" w:color="auto"/>
        <w:right w:val="none" w:sz="0" w:space="0" w:color="auto"/>
      </w:divBdr>
    </w:div>
    <w:div w:id="1375615745">
      <w:bodyDiv w:val="1"/>
      <w:marLeft w:val="0"/>
      <w:marRight w:val="0"/>
      <w:marTop w:val="0"/>
      <w:marBottom w:val="0"/>
      <w:divBdr>
        <w:top w:val="none" w:sz="0" w:space="0" w:color="auto"/>
        <w:left w:val="none" w:sz="0" w:space="0" w:color="auto"/>
        <w:bottom w:val="none" w:sz="0" w:space="0" w:color="auto"/>
        <w:right w:val="none" w:sz="0" w:space="0" w:color="auto"/>
      </w:divBdr>
    </w:div>
    <w:div w:id="1376543310">
      <w:bodyDiv w:val="1"/>
      <w:marLeft w:val="0"/>
      <w:marRight w:val="0"/>
      <w:marTop w:val="0"/>
      <w:marBottom w:val="0"/>
      <w:divBdr>
        <w:top w:val="none" w:sz="0" w:space="0" w:color="auto"/>
        <w:left w:val="none" w:sz="0" w:space="0" w:color="auto"/>
        <w:bottom w:val="none" w:sz="0" w:space="0" w:color="auto"/>
        <w:right w:val="none" w:sz="0" w:space="0" w:color="auto"/>
      </w:divBdr>
    </w:div>
    <w:div w:id="1383214077">
      <w:bodyDiv w:val="1"/>
      <w:marLeft w:val="0"/>
      <w:marRight w:val="0"/>
      <w:marTop w:val="0"/>
      <w:marBottom w:val="0"/>
      <w:divBdr>
        <w:top w:val="none" w:sz="0" w:space="0" w:color="auto"/>
        <w:left w:val="none" w:sz="0" w:space="0" w:color="auto"/>
        <w:bottom w:val="none" w:sz="0" w:space="0" w:color="auto"/>
        <w:right w:val="none" w:sz="0" w:space="0" w:color="auto"/>
      </w:divBdr>
    </w:div>
    <w:div w:id="1412463152">
      <w:bodyDiv w:val="1"/>
      <w:marLeft w:val="0"/>
      <w:marRight w:val="0"/>
      <w:marTop w:val="0"/>
      <w:marBottom w:val="0"/>
      <w:divBdr>
        <w:top w:val="none" w:sz="0" w:space="0" w:color="auto"/>
        <w:left w:val="none" w:sz="0" w:space="0" w:color="auto"/>
        <w:bottom w:val="none" w:sz="0" w:space="0" w:color="auto"/>
        <w:right w:val="none" w:sz="0" w:space="0" w:color="auto"/>
      </w:divBdr>
    </w:div>
    <w:div w:id="1416052920">
      <w:bodyDiv w:val="1"/>
      <w:marLeft w:val="0"/>
      <w:marRight w:val="0"/>
      <w:marTop w:val="0"/>
      <w:marBottom w:val="0"/>
      <w:divBdr>
        <w:top w:val="none" w:sz="0" w:space="0" w:color="auto"/>
        <w:left w:val="none" w:sz="0" w:space="0" w:color="auto"/>
        <w:bottom w:val="none" w:sz="0" w:space="0" w:color="auto"/>
        <w:right w:val="none" w:sz="0" w:space="0" w:color="auto"/>
      </w:divBdr>
    </w:div>
    <w:div w:id="1444494844">
      <w:bodyDiv w:val="1"/>
      <w:marLeft w:val="0"/>
      <w:marRight w:val="0"/>
      <w:marTop w:val="0"/>
      <w:marBottom w:val="0"/>
      <w:divBdr>
        <w:top w:val="none" w:sz="0" w:space="0" w:color="auto"/>
        <w:left w:val="none" w:sz="0" w:space="0" w:color="auto"/>
        <w:bottom w:val="none" w:sz="0" w:space="0" w:color="auto"/>
        <w:right w:val="none" w:sz="0" w:space="0" w:color="auto"/>
      </w:divBdr>
    </w:div>
    <w:div w:id="1471169030">
      <w:bodyDiv w:val="1"/>
      <w:marLeft w:val="0"/>
      <w:marRight w:val="0"/>
      <w:marTop w:val="0"/>
      <w:marBottom w:val="0"/>
      <w:divBdr>
        <w:top w:val="none" w:sz="0" w:space="0" w:color="auto"/>
        <w:left w:val="none" w:sz="0" w:space="0" w:color="auto"/>
        <w:bottom w:val="none" w:sz="0" w:space="0" w:color="auto"/>
        <w:right w:val="none" w:sz="0" w:space="0" w:color="auto"/>
      </w:divBdr>
    </w:div>
    <w:div w:id="1555963506">
      <w:bodyDiv w:val="1"/>
      <w:marLeft w:val="0"/>
      <w:marRight w:val="0"/>
      <w:marTop w:val="0"/>
      <w:marBottom w:val="0"/>
      <w:divBdr>
        <w:top w:val="none" w:sz="0" w:space="0" w:color="auto"/>
        <w:left w:val="none" w:sz="0" w:space="0" w:color="auto"/>
        <w:bottom w:val="none" w:sz="0" w:space="0" w:color="auto"/>
        <w:right w:val="none" w:sz="0" w:space="0" w:color="auto"/>
      </w:divBdr>
    </w:div>
    <w:div w:id="1568951149">
      <w:bodyDiv w:val="1"/>
      <w:marLeft w:val="0"/>
      <w:marRight w:val="0"/>
      <w:marTop w:val="0"/>
      <w:marBottom w:val="0"/>
      <w:divBdr>
        <w:top w:val="none" w:sz="0" w:space="0" w:color="auto"/>
        <w:left w:val="none" w:sz="0" w:space="0" w:color="auto"/>
        <w:bottom w:val="none" w:sz="0" w:space="0" w:color="auto"/>
        <w:right w:val="none" w:sz="0" w:space="0" w:color="auto"/>
      </w:divBdr>
    </w:div>
    <w:div w:id="1573463513">
      <w:bodyDiv w:val="1"/>
      <w:marLeft w:val="0"/>
      <w:marRight w:val="0"/>
      <w:marTop w:val="0"/>
      <w:marBottom w:val="0"/>
      <w:divBdr>
        <w:top w:val="none" w:sz="0" w:space="0" w:color="auto"/>
        <w:left w:val="none" w:sz="0" w:space="0" w:color="auto"/>
        <w:bottom w:val="none" w:sz="0" w:space="0" w:color="auto"/>
        <w:right w:val="none" w:sz="0" w:space="0" w:color="auto"/>
      </w:divBdr>
    </w:div>
    <w:div w:id="1652438883">
      <w:bodyDiv w:val="1"/>
      <w:marLeft w:val="0"/>
      <w:marRight w:val="0"/>
      <w:marTop w:val="0"/>
      <w:marBottom w:val="0"/>
      <w:divBdr>
        <w:top w:val="none" w:sz="0" w:space="0" w:color="auto"/>
        <w:left w:val="none" w:sz="0" w:space="0" w:color="auto"/>
        <w:bottom w:val="none" w:sz="0" w:space="0" w:color="auto"/>
        <w:right w:val="none" w:sz="0" w:space="0" w:color="auto"/>
      </w:divBdr>
    </w:div>
    <w:div w:id="1670135132">
      <w:bodyDiv w:val="1"/>
      <w:marLeft w:val="0"/>
      <w:marRight w:val="0"/>
      <w:marTop w:val="0"/>
      <w:marBottom w:val="0"/>
      <w:divBdr>
        <w:top w:val="none" w:sz="0" w:space="0" w:color="auto"/>
        <w:left w:val="none" w:sz="0" w:space="0" w:color="auto"/>
        <w:bottom w:val="none" w:sz="0" w:space="0" w:color="auto"/>
        <w:right w:val="none" w:sz="0" w:space="0" w:color="auto"/>
      </w:divBdr>
    </w:div>
    <w:div w:id="1675257724">
      <w:bodyDiv w:val="1"/>
      <w:marLeft w:val="0"/>
      <w:marRight w:val="0"/>
      <w:marTop w:val="0"/>
      <w:marBottom w:val="0"/>
      <w:divBdr>
        <w:top w:val="none" w:sz="0" w:space="0" w:color="auto"/>
        <w:left w:val="none" w:sz="0" w:space="0" w:color="auto"/>
        <w:bottom w:val="none" w:sz="0" w:space="0" w:color="auto"/>
        <w:right w:val="none" w:sz="0" w:space="0" w:color="auto"/>
      </w:divBdr>
    </w:div>
    <w:div w:id="1690057439">
      <w:bodyDiv w:val="1"/>
      <w:marLeft w:val="0"/>
      <w:marRight w:val="0"/>
      <w:marTop w:val="0"/>
      <w:marBottom w:val="0"/>
      <w:divBdr>
        <w:top w:val="none" w:sz="0" w:space="0" w:color="auto"/>
        <w:left w:val="none" w:sz="0" w:space="0" w:color="auto"/>
        <w:bottom w:val="none" w:sz="0" w:space="0" w:color="auto"/>
        <w:right w:val="none" w:sz="0" w:space="0" w:color="auto"/>
      </w:divBdr>
    </w:div>
    <w:div w:id="1694333724">
      <w:bodyDiv w:val="1"/>
      <w:marLeft w:val="0"/>
      <w:marRight w:val="0"/>
      <w:marTop w:val="0"/>
      <w:marBottom w:val="0"/>
      <w:divBdr>
        <w:top w:val="none" w:sz="0" w:space="0" w:color="auto"/>
        <w:left w:val="none" w:sz="0" w:space="0" w:color="auto"/>
        <w:bottom w:val="none" w:sz="0" w:space="0" w:color="auto"/>
        <w:right w:val="none" w:sz="0" w:space="0" w:color="auto"/>
      </w:divBdr>
    </w:div>
    <w:div w:id="1698846739">
      <w:bodyDiv w:val="1"/>
      <w:marLeft w:val="0"/>
      <w:marRight w:val="0"/>
      <w:marTop w:val="0"/>
      <w:marBottom w:val="0"/>
      <w:divBdr>
        <w:top w:val="none" w:sz="0" w:space="0" w:color="auto"/>
        <w:left w:val="none" w:sz="0" w:space="0" w:color="auto"/>
        <w:bottom w:val="none" w:sz="0" w:space="0" w:color="auto"/>
        <w:right w:val="none" w:sz="0" w:space="0" w:color="auto"/>
      </w:divBdr>
    </w:div>
    <w:div w:id="1709186402">
      <w:bodyDiv w:val="1"/>
      <w:marLeft w:val="0"/>
      <w:marRight w:val="0"/>
      <w:marTop w:val="0"/>
      <w:marBottom w:val="0"/>
      <w:divBdr>
        <w:top w:val="none" w:sz="0" w:space="0" w:color="auto"/>
        <w:left w:val="none" w:sz="0" w:space="0" w:color="auto"/>
        <w:bottom w:val="none" w:sz="0" w:space="0" w:color="auto"/>
        <w:right w:val="none" w:sz="0" w:space="0" w:color="auto"/>
      </w:divBdr>
    </w:div>
    <w:div w:id="1713337096">
      <w:bodyDiv w:val="1"/>
      <w:marLeft w:val="0"/>
      <w:marRight w:val="0"/>
      <w:marTop w:val="0"/>
      <w:marBottom w:val="0"/>
      <w:divBdr>
        <w:top w:val="none" w:sz="0" w:space="0" w:color="auto"/>
        <w:left w:val="none" w:sz="0" w:space="0" w:color="auto"/>
        <w:bottom w:val="none" w:sz="0" w:space="0" w:color="auto"/>
        <w:right w:val="none" w:sz="0" w:space="0" w:color="auto"/>
      </w:divBdr>
    </w:div>
    <w:div w:id="1735006744">
      <w:bodyDiv w:val="1"/>
      <w:marLeft w:val="0"/>
      <w:marRight w:val="0"/>
      <w:marTop w:val="0"/>
      <w:marBottom w:val="0"/>
      <w:divBdr>
        <w:top w:val="none" w:sz="0" w:space="0" w:color="auto"/>
        <w:left w:val="none" w:sz="0" w:space="0" w:color="auto"/>
        <w:bottom w:val="none" w:sz="0" w:space="0" w:color="auto"/>
        <w:right w:val="none" w:sz="0" w:space="0" w:color="auto"/>
      </w:divBdr>
    </w:div>
    <w:div w:id="1741445211">
      <w:bodyDiv w:val="1"/>
      <w:marLeft w:val="0"/>
      <w:marRight w:val="0"/>
      <w:marTop w:val="0"/>
      <w:marBottom w:val="0"/>
      <w:divBdr>
        <w:top w:val="none" w:sz="0" w:space="0" w:color="auto"/>
        <w:left w:val="none" w:sz="0" w:space="0" w:color="auto"/>
        <w:bottom w:val="none" w:sz="0" w:space="0" w:color="auto"/>
        <w:right w:val="none" w:sz="0" w:space="0" w:color="auto"/>
      </w:divBdr>
    </w:div>
    <w:div w:id="1763451956">
      <w:bodyDiv w:val="1"/>
      <w:marLeft w:val="0"/>
      <w:marRight w:val="0"/>
      <w:marTop w:val="0"/>
      <w:marBottom w:val="0"/>
      <w:divBdr>
        <w:top w:val="none" w:sz="0" w:space="0" w:color="auto"/>
        <w:left w:val="none" w:sz="0" w:space="0" w:color="auto"/>
        <w:bottom w:val="none" w:sz="0" w:space="0" w:color="auto"/>
        <w:right w:val="none" w:sz="0" w:space="0" w:color="auto"/>
      </w:divBdr>
    </w:div>
    <w:div w:id="1763918662">
      <w:bodyDiv w:val="1"/>
      <w:marLeft w:val="0"/>
      <w:marRight w:val="0"/>
      <w:marTop w:val="0"/>
      <w:marBottom w:val="0"/>
      <w:divBdr>
        <w:top w:val="none" w:sz="0" w:space="0" w:color="auto"/>
        <w:left w:val="none" w:sz="0" w:space="0" w:color="auto"/>
        <w:bottom w:val="none" w:sz="0" w:space="0" w:color="auto"/>
        <w:right w:val="none" w:sz="0" w:space="0" w:color="auto"/>
      </w:divBdr>
    </w:div>
    <w:div w:id="1823109507">
      <w:bodyDiv w:val="1"/>
      <w:marLeft w:val="0"/>
      <w:marRight w:val="0"/>
      <w:marTop w:val="0"/>
      <w:marBottom w:val="0"/>
      <w:divBdr>
        <w:top w:val="none" w:sz="0" w:space="0" w:color="auto"/>
        <w:left w:val="none" w:sz="0" w:space="0" w:color="auto"/>
        <w:bottom w:val="none" w:sz="0" w:space="0" w:color="auto"/>
        <w:right w:val="none" w:sz="0" w:space="0" w:color="auto"/>
      </w:divBdr>
    </w:div>
    <w:div w:id="1824345718">
      <w:bodyDiv w:val="1"/>
      <w:marLeft w:val="0"/>
      <w:marRight w:val="0"/>
      <w:marTop w:val="0"/>
      <w:marBottom w:val="0"/>
      <w:divBdr>
        <w:top w:val="none" w:sz="0" w:space="0" w:color="auto"/>
        <w:left w:val="none" w:sz="0" w:space="0" w:color="auto"/>
        <w:bottom w:val="none" w:sz="0" w:space="0" w:color="auto"/>
        <w:right w:val="none" w:sz="0" w:space="0" w:color="auto"/>
      </w:divBdr>
    </w:div>
    <w:div w:id="1847549341">
      <w:bodyDiv w:val="1"/>
      <w:marLeft w:val="0"/>
      <w:marRight w:val="0"/>
      <w:marTop w:val="0"/>
      <w:marBottom w:val="0"/>
      <w:divBdr>
        <w:top w:val="none" w:sz="0" w:space="0" w:color="auto"/>
        <w:left w:val="none" w:sz="0" w:space="0" w:color="auto"/>
        <w:bottom w:val="none" w:sz="0" w:space="0" w:color="auto"/>
        <w:right w:val="none" w:sz="0" w:space="0" w:color="auto"/>
      </w:divBdr>
    </w:div>
    <w:div w:id="1872063842">
      <w:bodyDiv w:val="1"/>
      <w:marLeft w:val="0"/>
      <w:marRight w:val="0"/>
      <w:marTop w:val="0"/>
      <w:marBottom w:val="0"/>
      <w:divBdr>
        <w:top w:val="none" w:sz="0" w:space="0" w:color="auto"/>
        <w:left w:val="none" w:sz="0" w:space="0" w:color="auto"/>
        <w:bottom w:val="none" w:sz="0" w:space="0" w:color="auto"/>
        <w:right w:val="none" w:sz="0" w:space="0" w:color="auto"/>
      </w:divBdr>
    </w:div>
    <w:div w:id="1882546870">
      <w:bodyDiv w:val="1"/>
      <w:marLeft w:val="0"/>
      <w:marRight w:val="0"/>
      <w:marTop w:val="0"/>
      <w:marBottom w:val="0"/>
      <w:divBdr>
        <w:top w:val="none" w:sz="0" w:space="0" w:color="auto"/>
        <w:left w:val="none" w:sz="0" w:space="0" w:color="auto"/>
        <w:bottom w:val="none" w:sz="0" w:space="0" w:color="auto"/>
        <w:right w:val="none" w:sz="0" w:space="0" w:color="auto"/>
      </w:divBdr>
    </w:div>
    <w:div w:id="1900168435">
      <w:bodyDiv w:val="1"/>
      <w:marLeft w:val="0"/>
      <w:marRight w:val="0"/>
      <w:marTop w:val="0"/>
      <w:marBottom w:val="0"/>
      <w:divBdr>
        <w:top w:val="none" w:sz="0" w:space="0" w:color="auto"/>
        <w:left w:val="none" w:sz="0" w:space="0" w:color="auto"/>
        <w:bottom w:val="none" w:sz="0" w:space="0" w:color="auto"/>
        <w:right w:val="none" w:sz="0" w:space="0" w:color="auto"/>
      </w:divBdr>
    </w:div>
    <w:div w:id="1907035482">
      <w:bodyDiv w:val="1"/>
      <w:marLeft w:val="0"/>
      <w:marRight w:val="0"/>
      <w:marTop w:val="0"/>
      <w:marBottom w:val="0"/>
      <w:divBdr>
        <w:top w:val="none" w:sz="0" w:space="0" w:color="auto"/>
        <w:left w:val="none" w:sz="0" w:space="0" w:color="auto"/>
        <w:bottom w:val="none" w:sz="0" w:space="0" w:color="auto"/>
        <w:right w:val="none" w:sz="0" w:space="0" w:color="auto"/>
      </w:divBdr>
    </w:div>
    <w:div w:id="1916890664">
      <w:bodyDiv w:val="1"/>
      <w:marLeft w:val="0"/>
      <w:marRight w:val="0"/>
      <w:marTop w:val="0"/>
      <w:marBottom w:val="0"/>
      <w:divBdr>
        <w:top w:val="none" w:sz="0" w:space="0" w:color="auto"/>
        <w:left w:val="none" w:sz="0" w:space="0" w:color="auto"/>
        <w:bottom w:val="none" w:sz="0" w:space="0" w:color="auto"/>
        <w:right w:val="none" w:sz="0" w:space="0" w:color="auto"/>
      </w:divBdr>
    </w:div>
    <w:div w:id="1926839140">
      <w:bodyDiv w:val="1"/>
      <w:marLeft w:val="0"/>
      <w:marRight w:val="0"/>
      <w:marTop w:val="0"/>
      <w:marBottom w:val="0"/>
      <w:divBdr>
        <w:top w:val="none" w:sz="0" w:space="0" w:color="auto"/>
        <w:left w:val="none" w:sz="0" w:space="0" w:color="auto"/>
        <w:bottom w:val="none" w:sz="0" w:space="0" w:color="auto"/>
        <w:right w:val="none" w:sz="0" w:space="0" w:color="auto"/>
      </w:divBdr>
    </w:div>
    <w:div w:id="1931698942">
      <w:bodyDiv w:val="1"/>
      <w:marLeft w:val="0"/>
      <w:marRight w:val="0"/>
      <w:marTop w:val="0"/>
      <w:marBottom w:val="0"/>
      <w:divBdr>
        <w:top w:val="none" w:sz="0" w:space="0" w:color="auto"/>
        <w:left w:val="none" w:sz="0" w:space="0" w:color="auto"/>
        <w:bottom w:val="none" w:sz="0" w:space="0" w:color="auto"/>
        <w:right w:val="none" w:sz="0" w:space="0" w:color="auto"/>
      </w:divBdr>
      <w:divsChild>
        <w:div w:id="9757166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9191318">
      <w:bodyDiv w:val="1"/>
      <w:marLeft w:val="0"/>
      <w:marRight w:val="0"/>
      <w:marTop w:val="0"/>
      <w:marBottom w:val="0"/>
      <w:divBdr>
        <w:top w:val="none" w:sz="0" w:space="0" w:color="auto"/>
        <w:left w:val="none" w:sz="0" w:space="0" w:color="auto"/>
        <w:bottom w:val="none" w:sz="0" w:space="0" w:color="auto"/>
        <w:right w:val="none" w:sz="0" w:space="0" w:color="auto"/>
      </w:divBdr>
    </w:div>
    <w:div w:id="2020347421">
      <w:bodyDiv w:val="1"/>
      <w:marLeft w:val="0"/>
      <w:marRight w:val="0"/>
      <w:marTop w:val="0"/>
      <w:marBottom w:val="0"/>
      <w:divBdr>
        <w:top w:val="none" w:sz="0" w:space="0" w:color="auto"/>
        <w:left w:val="none" w:sz="0" w:space="0" w:color="auto"/>
        <w:bottom w:val="none" w:sz="0" w:space="0" w:color="auto"/>
        <w:right w:val="none" w:sz="0" w:space="0" w:color="auto"/>
      </w:divBdr>
    </w:div>
    <w:div w:id="2090492060">
      <w:bodyDiv w:val="1"/>
      <w:marLeft w:val="0"/>
      <w:marRight w:val="0"/>
      <w:marTop w:val="0"/>
      <w:marBottom w:val="0"/>
      <w:divBdr>
        <w:top w:val="none" w:sz="0" w:space="0" w:color="auto"/>
        <w:left w:val="none" w:sz="0" w:space="0" w:color="auto"/>
        <w:bottom w:val="none" w:sz="0" w:space="0" w:color="auto"/>
        <w:right w:val="none" w:sz="0" w:space="0" w:color="auto"/>
      </w:divBdr>
    </w:div>
    <w:div w:id="211042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5126</Words>
  <Characters>29221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Emanuel</dc:creator>
  <cp:keywords/>
  <dc:description/>
  <cp:lastModifiedBy>Laura Emanuel</cp:lastModifiedBy>
  <cp:revision>242</cp:revision>
  <dcterms:created xsi:type="dcterms:W3CDTF">2025-04-30T18:36:00Z</dcterms:created>
  <dcterms:modified xsi:type="dcterms:W3CDTF">2025-07-14T15:55:00Z</dcterms:modified>
</cp:coreProperties>
</file>