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39B3C" w14:textId="77777777" w:rsidR="00E03976" w:rsidRPr="00EB0520" w:rsidRDefault="00E03976" w:rsidP="00E03976">
      <w:pPr>
        <w:rPr>
          <w:rFonts w:ascii="Arial" w:hAnsi="Arial" w:cs="Arial"/>
          <w:sz w:val="22"/>
          <w:szCs w:val="22"/>
        </w:rPr>
      </w:pPr>
      <w:r w:rsidRPr="00EB0520">
        <w:rPr>
          <w:rFonts w:ascii="Arial" w:hAnsi="Arial" w:cs="Arial"/>
          <w:sz w:val="22"/>
          <w:szCs w:val="22"/>
        </w:rPr>
        <w:t xml:space="preserve">Sadiya islam </w:t>
      </w:r>
    </w:p>
    <w:p w14:paraId="047731E1" w14:textId="77777777" w:rsidR="00E03976" w:rsidRPr="00EB0520" w:rsidRDefault="00E03976" w:rsidP="00E03976">
      <w:pPr>
        <w:rPr>
          <w:rFonts w:ascii="Arial" w:hAnsi="Arial" w:cs="Arial"/>
          <w:sz w:val="22"/>
          <w:szCs w:val="22"/>
        </w:rPr>
      </w:pPr>
      <w:r w:rsidRPr="00EB0520">
        <w:rPr>
          <w:rFonts w:ascii="Arial" w:hAnsi="Arial" w:cs="Arial"/>
          <w:sz w:val="22"/>
          <w:szCs w:val="22"/>
        </w:rPr>
        <w:t>2435367</w:t>
      </w:r>
    </w:p>
    <w:p w14:paraId="6BC1397C" w14:textId="77777777" w:rsidR="00E03976" w:rsidRPr="00EB0520" w:rsidRDefault="00E03976" w:rsidP="00E03976">
      <w:pPr>
        <w:rPr>
          <w:rFonts w:ascii="Arial" w:hAnsi="Arial" w:cs="Arial"/>
          <w:sz w:val="22"/>
          <w:szCs w:val="22"/>
        </w:rPr>
      </w:pPr>
      <w:r w:rsidRPr="00EB0520">
        <w:rPr>
          <w:rFonts w:ascii="Arial" w:hAnsi="Arial" w:cs="Arial"/>
          <w:sz w:val="22"/>
          <w:szCs w:val="22"/>
        </w:rPr>
        <w:t>BMHP5016</w:t>
      </w:r>
    </w:p>
    <w:p w14:paraId="6EC74574" w14:textId="77777777" w:rsidR="00E03976" w:rsidRPr="00EB0520" w:rsidRDefault="00E03976" w:rsidP="00E03976">
      <w:pPr>
        <w:rPr>
          <w:rFonts w:ascii="Arial" w:hAnsi="Arial" w:cs="Arial"/>
          <w:sz w:val="22"/>
          <w:szCs w:val="22"/>
        </w:rPr>
      </w:pPr>
      <w:r w:rsidRPr="00EB0520">
        <w:rPr>
          <w:rFonts w:ascii="Arial" w:hAnsi="Arial" w:cs="Arial"/>
          <w:sz w:val="22"/>
          <w:szCs w:val="22"/>
        </w:rPr>
        <w:t xml:space="preserve">Component 1 : written assignment ( reflective report ) </w:t>
      </w:r>
    </w:p>
    <w:p w14:paraId="6DC05345" w14:textId="77777777" w:rsidR="00E03976" w:rsidRPr="00EB0520" w:rsidRDefault="00E03976" w:rsidP="00E03976">
      <w:pPr>
        <w:rPr>
          <w:rFonts w:ascii="Arial" w:hAnsi="Arial" w:cs="Arial"/>
          <w:sz w:val="22"/>
          <w:szCs w:val="22"/>
        </w:rPr>
      </w:pPr>
    </w:p>
    <w:p w14:paraId="06478012" w14:textId="77777777" w:rsidR="00E03976" w:rsidRPr="00EB0520" w:rsidRDefault="00E03976" w:rsidP="00E03976">
      <w:pPr>
        <w:rPr>
          <w:rFonts w:ascii="Arial" w:hAnsi="Arial" w:cs="Arial"/>
          <w:sz w:val="22"/>
          <w:szCs w:val="22"/>
        </w:rPr>
      </w:pPr>
    </w:p>
    <w:p w14:paraId="5CF64BF6" w14:textId="77777777" w:rsidR="00450BD9" w:rsidRPr="00EB0520" w:rsidRDefault="00450BD9" w:rsidP="005C4F00">
      <w:pPr>
        <w:rPr>
          <w:rFonts w:ascii="Arial" w:hAnsi="Arial" w:cs="Arial"/>
          <w:sz w:val="22"/>
          <w:szCs w:val="22"/>
        </w:rPr>
      </w:pPr>
    </w:p>
    <w:p w14:paraId="29161280" w14:textId="77777777" w:rsidR="00450BD9" w:rsidRPr="00EB0520" w:rsidRDefault="00450BD9" w:rsidP="005C4F00">
      <w:pPr>
        <w:rPr>
          <w:rFonts w:ascii="Arial" w:hAnsi="Arial" w:cs="Arial"/>
          <w:sz w:val="22"/>
          <w:szCs w:val="22"/>
        </w:rPr>
      </w:pPr>
    </w:p>
    <w:p w14:paraId="2F3DCB4D" w14:textId="77777777" w:rsidR="00450BD9" w:rsidRPr="00EB0520" w:rsidRDefault="00450BD9" w:rsidP="005C4F00">
      <w:pPr>
        <w:rPr>
          <w:rFonts w:ascii="Arial" w:hAnsi="Arial" w:cs="Arial"/>
          <w:sz w:val="22"/>
          <w:szCs w:val="22"/>
        </w:rPr>
      </w:pPr>
    </w:p>
    <w:p w14:paraId="3AA4F3B0" w14:textId="77777777" w:rsidR="00450BD9" w:rsidRPr="00EB0520" w:rsidRDefault="00450BD9" w:rsidP="005C4F00">
      <w:pPr>
        <w:rPr>
          <w:rFonts w:ascii="Arial" w:hAnsi="Arial" w:cs="Arial"/>
          <w:sz w:val="22"/>
          <w:szCs w:val="22"/>
        </w:rPr>
      </w:pPr>
    </w:p>
    <w:p w14:paraId="689C7D0D" w14:textId="77777777" w:rsidR="00450BD9" w:rsidRPr="00EB0520" w:rsidRDefault="00450BD9" w:rsidP="005C4F00">
      <w:pPr>
        <w:rPr>
          <w:rFonts w:ascii="Arial" w:hAnsi="Arial" w:cs="Arial"/>
          <w:sz w:val="22"/>
          <w:szCs w:val="22"/>
        </w:rPr>
      </w:pPr>
    </w:p>
    <w:p w14:paraId="14B47027" w14:textId="77777777" w:rsidR="00450BD9" w:rsidRPr="00EB0520" w:rsidRDefault="00450BD9" w:rsidP="005C4F00">
      <w:pPr>
        <w:rPr>
          <w:rFonts w:ascii="Arial" w:hAnsi="Arial" w:cs="Arial"/>
          <w:sz w:val="22"/>
          <w:szCs w:val="22"/>
        </w:rPr>
      </w:pPr>
    </w:p>
    <w:p w14:paraId="3C699D63" w14:textId="77777777" w:rsidR="00450BD9" w:rsidRPr="00EB0520" w:rsidRDefault="00450BD9" w:rsidP="005C4F00">
      <w:pPr>
        <w:rPr>
          <w:rFonts w:ascii="Arial" w:hAnsi="Arial" w:cs="Arial"/>
          <w:sz w:val="22"/>
          <w:szCs w:val="22"/>
        </w:rPr>
      </w:pPr>
    </w:p>
    <w:p w14:paraId="19601BA7" w14:textId="77777777" w:rsidR="00450BD9" w:rsidRPr="00EB0520" w:rsidRDefault="00450BD9" w:rsidP="005C4F00">
      <w:pPr>
        <w:rPr>
          <w:rFonts w:ascii="Arial" w:hAnsi="Arial" w:cs="Arial"/>
          <w:sz w:val="22"/>
          <w:szCs w:val="22"/>
        </w:rPr>
      </w:pPr>
    </w:p>
    <w:p w14:paraId="1620699E" w14:textId="77777777" w:rsidR="00450BD9" w:rsidRPr="00EB0520" w:rsidRDefault="00450BD9" w:rsidP="005C4F00">
      <w:pPr>
        <w:rPr>
          <w:rFonts w:ascii="Arial" w:hAnsi="Arial" w:cs="Arial"/>
          <w:sz w:val="22"/>
          <w:szCs w:val="22"/>
        </w:rPr>
      </w:pPr>
    </w:p>
    <w:p w14:paraId="02DEA591" w14:textId="77777777" w:rsidR="00450BD9" w:rsidRPr="00EB0520" w:rsidRDefault="00450BD9" w:rsidP="005C4F00">
      <w:pPr>
        <w:rPr>
          <w:rFonts w:ascii="Arial" w:hAnsi="Arial" w:cs="Arial"/>
          <w:sz w:val="22"/>
          <w:szCs w:val="22"/>
        </w:rPr>
      </w:pPr>
    </w:p>
    <w:p w14:paraId="4E49EFB0" w14:textId="77777777" w:rsidR="00450BD9" w:rsidRPr="00EB0520" w:rsidRDefault="00450BD9" w:rsidP="005C4F00">
      <w:pPr>
        <w:rPr>
          <w:rFonts w:ascii="Arial" w:hAnsi="Arial" w:cs="Arial"/>
          <w:sz w:val="22"/>
          <w:szCs w:val="22"/>
        </w:rPr>
      </w:pPr>
    </w:p>
    <w:p w14:paraId="29182333" w14:textId="77777777" w:rsidR="00450BD9" w:rsidRPr="00EB0520" w:rsidRDefault="00450BD9" w:rsidP="005C4F00">
      <w:pPr>
        <w:rPr>
          <w:rFonts w:ascii="Arial" w:hAnsi="Arial" w:cs="Arial"/>
          <w:sz w:val="22"/>
          <w:szCs w:val="22"/>
        </w:rPr>
      </w:pPr>
    </w:p>
    <w:p w14:paraId="2D2B1E6B" w14:textId="77777777" w:rsidR="00450BD9" w:rsidRPr="00EB0520" w:rsidRDefault="00450BD9" w:rsidP="005C4F00">
      <w:pPr>
        <w:rPr>
          <w:rFonts w:ascii="Arial" w:hAnsi="Arial" w:cs="Arial"/>
          <w:sz w:val="22"/>
          <w:szCs w:val="22"/>
        </w:rPr>
      </w:pPr>
    </w:p>
    <w:p w14:paraId="6BC86492" w14:textId="77777777" w:rsidR="00450BD9" w:rsidRPr="00EB0520" w:rsidRDefault="00450BD9" w:rsidP="005C4F00">
      <w:pPr>
        <w:rPr>
          <w:rFonts w:ascii="Arial" w:hAnsi="Arial" w:cs="Arial"/>
          <w:sz w:val="22"/>
          <w:szCs w:val="22"/>
        </w:rPr>
      </w:pPr>
    </w:p>
    <w:p w14:paraId="521BBFA7" w14:textId="77777777" w:rsidR="00450BD9" w:rsidRPr="00EB0520" w:rsidRDefault="00450BD9" w:rsidP="005C4F00">
      <w:pPr>
        <w:rPr>
          <w:rFonts w:ascii="Arial" w:hAnsi="Arial" w:cs="Arial"/>
          <w:sz w:val="22"/>
          <w:szCs w:val="22"/>
        </w:rPr>
      </w:pPr>
    </w:p>
    <w:p w14:paraId="0C19D8F7" w14:textId="77777777" w:rsidR="00450BD9" w:rsidRPr="00EB0520" w:rsidRDefault="00450BD9" w:rsidP="005C4F00">
      <w:pPr>
        <w:rPr>
          <w:rFonts w:ascii="Arial" w:hAnsi="Arial" w:cs="Arial"/>
          <w:sz w:val="22"/>
          <w:szCs w:val="22"/>
        </w:rPr>
      </w:pPr>
    </w:p>
    <w:p w14:paraId="1ADFCC9E" w14:textId="77777777" w:rsidR="00450BD9" w:rsidRPr="00EB0520" w:rsidRDefault="00450BD9" w:rsidP="005C4F00">
      <w:pPr>
        <w:rPr>
          <w:rFonts w:ascii="Arial" w:hAnsi="Arial" w:cs="Arial"/>
          <w:sz w:val="22"/>
          <w:szCs w:val="22"/>
        </w:rPr>
      </w:pPr>
    </w:p>
    <w:p w14:paraId="666E1E3C" w14:textId="77777777" w:rsidR="00450BD9" w:rsidRPr="00EB0520" w:rsidRDefault="00450BD9" w:rsidP="005C4F00">
      <w:pPr>
        <w:rPr>
          <w:rFonts w:ascii="Arial" w:hAnsi="Arial" w:cs="Arial"/>
          <w:sz w:val="22"/>
          <w:szCs w:val="22"/>
        </w:rPr>
      </w:pPr>
    </w:p>
    <w:p w14:paraId="4ABC6656" w14:textId="77777777" w:rsidR="00450BD9" w:rsidRPr="00EB0520" w:rsidRDefault="00450BD9" w:rsidP="005C4F00">
      <w:pPr>
        <w:rPr>
          <w:rFonts w:ascii="Arial" w:hAnsi="Arial" w:cs="Arial"/>
          <w:sz w:val="22"/>
          <w:szCs w:val="22"/>
        </w:rPr>
      </w:pPr>
    </w:p>
    <w:p w14:paraId="22F70A38" w14:textId="77777777" w:rsidR="00450BD9" w:rsidRPr="00EB0520" w:rsidRDefault="00450BD9" w:rsidP="005C4F00">
      <w:pPr>
        <w:rPr>
          <w:rFonts w:ascii="Arial" w:hAnsi="Arial" w:cs="Arial"/>
          <w:sz w:val="22"/>
          <w:szCs w:val="22"/>
        </w:rPr>
      </w:pPr>
    </w:p>
    <w:p w14:paraId="62A65BC8" w14:textId="77777777" w:rsidR="00450BD9" w:rsidRPr="00EB0520" w:rsidRDefault="00450BD9" w:rsidP="005C4F00">
      <w:pPr>
        <w:rPr>
          <w:rFonts w:ascii="Arial" w:hAnsi="Arial" w:cs="Arial"/>
          <w:sz w:val="22"/>
          <w:szCs w:val="22"/>
        </w:rPr>
      </w:pPr>
    </w:p>
    <w:p w14:paraId="041323DC" w14:textId="77777777" w:rsidR="00450BD9" w:rsidRPr="00EB0520" w:rsidRDefault="00450BD9" w:rsidP="005C4F00">
      <w:pPr>
        <w:rPr>
          <w:rFonts w:ascii="Arial" w:hAnsi="Arial" w:cs="Arial"/>
          <w:sz w:val="22"/>
          <w:szCs w:val="22"/>
        </w:rPr>
      </w:pPr>
    </w:p>
    <w:p w14:paraId="31044AF9" w14:textId="77777777" w:rsidR="00450BD9" w:rsidRPr="00EB0520" w:rsidRDefault="00450BD9" w:rsidP="005C4F00">
      <w:pPr>
        <w:rPr>
          <w:rFonts w:ascii="Arial" w:hAnsi="Arial" w:cs="Arial"/>
          <w:sz w:val="22"/>
          <w:szCs w:val="22"/>
        </w:rPr>
      </w:pPr>
    </w:p>
    <w:p w14:paraId="4879F4B7" w14:textId="77777777" w:rsidR="00450BD9" w:rsidRPr="00EB0520" w:rsidRDefault="00450BD9" w:rsidP="005C4F00">
      <w:pPr>
        <w:rPr>
          <w:rFonts w:ascii="Arial" w:hAnsi="Arial" w:cs="Arial"/>
          <w:sz w:val="22"/>
          <w:szCs w:val="22"/>
        </w:rPr>
      </w:pPr>
    </w:p>
    <w:p w14:paraId="72700186" w14:textId="77777777" w:rsidR="00450BD9" w:rsidRPr="00EB0520" w:rsidRDefault="00450BD9" w:rsidP="005C4F00">
      <w:pPr>
        <w:rPr>
          <w:rFonts w:ascii="Arial" w:hAnsi="Arial" w:cs="Arial"/>
          <w:sz w:val="22"/>
          <w:szCs w:val="22"/>
        </w:rPr>
      </w:pPr>
    </w:p>
    <w:p w14:paraId="279C8B13" w14:textId="77777777" w:rsidR="00450BD9" w:rsidRPr="00EB0520" w:rsidRDefault="00450BD9" w:rsidP="005C4F00">
      <w:pPr>
        <w:rPr>
          <w:rFonts w:ascii="Arial" w:hAnsi="Arial" w:cs="Arial"/>
          <w:sz w:val="22"/>
          <w:szCs w:val="22"/>
        </w:rPr>
      </w:pPr>
    </w:p>
    <w:p w14:paraId="15F07212" w14:textId="1106384E" w:rsidR="002A0615" w:rsidRPr="00EB0520" w:rsidRDefault="002A0615" w:rsidP="002A0615">
      <w:pPr>
        <w:pStyle w:val="isselectedend"/>
        <w:rPr>
          <w:rFonts w:ascii="Arial" w:hAnsi="Arial" w:cs="Arial"/>
          <w:color w:val="000000"/>
          <w:sz w:val="22"/>
          <w:szCs w:val="22"/>
        </w:rPr>
      </w:pPr>
      <w:r w:rsidRPr="00EB0520">
        <w:rPr>
          <w:rFonts w:ascii="Arial" w:hAnsi="Arial" w:cs="Arial"/>
          <w:color w:val="000000"/>
          <w:sz w:val="22"/>
          <w:szCs w:val="22"/>
        </w:rPr>
        <w:t xml:space="preserve">Health and social care services in the UK are founded on principles that promote dignity, respect, equality and high-quality support for individuals. Three of the most important principles are person-centred care, partnership working and ethical decision-making. Together, these principles ensure that care is tailored to individual needs and guided by professional values and ethical responsibilities. Their application is essential for achieving positive outcomes and maintaining quality care across health and social care </w:t>
      </w:r>
      <w:r w:rsidR="00AE2137" w:rsidRPr="00EB0520">
        <w:rPr>
          <w:rFonts w:ascii="Arial" w:hAnsi="Arial" w:cs="Arial"/>
          <w:color w:val="000000"/>
          <w:sz w:val="22"/>
          <w:szCs w:val="22"/>
        </w:rPr>
        <w:t>settings. Person</w:t>
      </w:r>
      <w:r w:rsidRPr="00EB0520">
        <w:rPr>
          <w:rFonts w:ascii="Arial" w:hAnsi="Arial" w:cs="Arial"/>
          <w:color w:val="000000"/>
          <w:sz w:val="22"/>
          <w:szCs w:val="22"/>
        </w:rPr>
        <w:t xml:space="preserve">-centred care places individuals at the heart of decisions and recognises that every person has unique needs, preferences, values and experiences. Rather than focusing only on illness or disability, practitioners consider the whole person and involve them actively in planning and managing their care. In health and social care, person-centred care supports quality by promoting dignity, independence and choice. By encouraging service users to participate in decisions affecting their care, professionals can improve satisfaction and wellbeing while ensuring care plans reflect individual needs and cultural </w:t>
      </w:r>
      <w:r w:rsidR="00AE2137" w:rsidRPr="00EB0520">
        <w:rPr>
          <w:rFonts w:ascii="Arial" w:hAnsi="Arial" w:cs="Arial"/>
          <w:color w:val="000000"/>
          <w:sz w:val="22"/>
          <w:szCs w:val="22"/>
        </w:rPr>
        <w:t>backgrounds. For</w:t>
      </w:r>
      <w:r w:rsidRPr="00EB0520">
        <w:rPr>
          <w:rFonts w:ascii="Arial" w:hAnsi="Arial" w:cs="Arial"/>
          <w:color w:val="000000"/>
          <w:sz w:val="22"/>
          <w:szCs w:val="22"/>
        </w:rPr>
        <w:t xml:space="preserve"> example, an elderly person receiving domiciliary care may choose the times they receive support or participate in decisions about medication management. This approach respects autonomy and improves the individual’s quality of life. This principle can be linked to Maslow’s Hierarchy of Needs (1943), which suggests that people have different levels of needs ranging from basic physiological needs to self-actualisation. The Care Act 2014 also reinforces person-centred approaches by promoting individual rights, wellbeing and </w:t>
      </w:r>
      <w:r w:rsidR="00AE2137" w:rsidRPr="00EB0520">
        <w:rPr>
          <w:rFonts w:ascii="Arial" w:hAnsi="Arial" w:cs="Arial"/>
          <w:color w:val="000000"/>
          <w:sz w:val="22"/>
          <w:szCs w:val="22"/>
        </w:rPr>
        <w:t>independence. Partnership</w:t>
      </w:r>
      <w:r w:rsidRPr="00EB0520">
        <w:rPr>
          <w:rFonts w:ascii="Arial" w:hAnsi="Arial" w:cs="Arial"/>
          <w:color w:val="000000"/>
          <w:sz w:val="22"/>
          <w:szCs w:val="22"/>
        </w:rPr>
        <w:t xml:space="preserve"> working refers to professionals, organisations, service users, families and carers working together to achieve the best outcomes for individuals. The systems theory developed by Ludwig von Bertalanffy helps explain the importance of partnership working. Systems theory suggests that different parts of a system are interconnected and must work together effectively for the whole system to function </w:t>
      </w:r>
      <w:r w:rsidR="00AE2137" w:rsidRPr="00EB0520">
        <w:rPr>
          <w:rFonts w:ascii="Arial" w:hAnsi="Arial" w:cs="Arial"/>
          <w:color w:val="000000"/>
          <w:sz w:val="22"/>
          <w:szCs w:val="22"/>
        </w:rPr>
        <w:t>successfully. In</w:t>
      </w:r>
      <w:r w:rsidRPr="00EB0520">
        <w:rPr>
          <w:rFonts w:ascii="Arial" w:hAnsi="Arial" w:cs="Arial"/>
          <w:color w:val="000000"/>
          <w:sz w:val="22"/>
          <w:szCs w:val="22"/>
        </w:rPr>
        <w:t xml:space="preserve"> health and social care, this means nurses, doctors, social workers, occupational </w:t>
      </w:r>
      <w:r w:rsidR="00AE2137" w:rsidRPr="00EB0520">
        <w:rPr>
          <w:rFonts w:ascii="Arial" w:hAnsi="Arial" w:cs="Arial"/>
          <w:color w:val="000000"/>
          <w:sz w:val="22"/>
          <w:szCs w:val="22"/>
        </w:rPr>
        <w:t>therapists, carers</w:t>
      </w:r>
      <w:r w:rsidRPr="00EB0520">
        <w:rPr>
          <w:rFonts w:ascii="Arial" w:hAnsi="Arial" w:cs="Arial"/>
          <w:color w:val="000000"/>
          <w:sz w:val="22"/>
          <w:szCs w:val="22"/>
        </w:rPr>
        <w:t xml:space="preserve"> and families must communicate and collaborate to provide coordinated care. Partnership working improves quality care by supporting information sharing, reducing duplication of services, ensuring continuity of care and improving safety. For example, when supporting an individual with dementia, healthcare professionals may work alongside social workers, family members and community support services to develop a comprehensive care plan. The Integrated Care System (ICS) model in England demonstrates how partnership working is embedded within UK healthcare by encouraging cooperation between health providers, local authorities and community </w:t>
      </w:r>
      <w:r w:rsidR="00AE2137" w:rsidRPr="00EB0520">
        <w:rPr>
          <w:rFonts w:ascii="Arial" w:hAnsi="Arial" w:cs="Arial"/>
          <w:color w:val="000000"/>
          <w:sz w:val="22"/>
          <w:szCs w:val="22"/>
        </w:rPr>
        <w:t>organisations. Ethics</w:t>
      </w:r>
      <w:r w:rsidRPr="00EB0520">
        <w:rPr>
          <w:rFonts w:ascii="Arial" w:hAnsi="Arial" w:cs="Arial"/>
          <w:color w:val="000000"/>
          <w:sz w:val="22"/>
          <w:szCs w:val="22"/>
        </w:rPr>
        <w:t xml:space="preserve"> refers to the moral principles that guide professional behaviour and decision-making. Ethical practice is fundamental because practitioners frequently encounter situations involving conflicting values, rights and responsibilities. Ethical decision-making supports quality care by respecting autonomy and informed consent, maintaining confidentiality and privacy, and promoting fairness and </w:t>
      </w:r>
      <w:r w:rsidR="002064C0" w:rsidRPr="00EB0520">
        <w:rPr>
          <w:rFonts w:ascii="Arial" w:hAnsi="Arial" w:cs="Arial"/>
          <w:color w:val="000000"/>
          <w:sz w:val="22"/>
          <w:szCs w:val="22"/>
        </w:rPr>
        <w:t>equality. For</w:t>
      </w:r>
      <w:r w:rsidRPr="00EB0520">
        <w:rPr>
          <w:rFonts w:ascii="Arial" w:hAnsi="Arial" w:cs="Arial"/>
          <w:color w:val="000000"/>
          <w:sz w:val="22"/>
          <w:szCs w:val="22"/>
        </w:rPr>
        <w:t xml:space="preserve"> example, when an individual refuses medical treatment, healthcare professionals must balance respect for autonomy with their responsibility to provide safe and appropriate care. The Health and Care Professions Council (HCPC) standards provide ethical guidance for practitioners in the UK.</w:t>
      </w:r>
    </w:p>
    <w:p w14:paraId="1E6671EF" w14:textId="77777777" w:rsidR="0090702E" w:rsidRPr="00EB0520" w:rsidRDefault="0090702E" w:rsidP="002A0615">
      <w:pPr>
        <w:pStyle w:val="isselectedend"/>
        <w:rPr>
          <w:rFonts w:ascii="Arial" w:hAnsi="Arial" w:cs="Arial"/>
          <w:color w:val="000000"/>
          <w:sz w:val="22"/>
          <w:szCs w:val="22"/>
        </w:rPr>
      </w:pPr>
    </w:p>
    <w:p w14:paraId="02425993" w14:textId="77777777" w:rsidR="0090702E" w:rsidRPr="00EB0520" w:rsidRDefault="0090702E" w:rsidP="002A0615">
      <w:pPr>
        <w:pStyle w:val="isselectedend"/>
        <w:rPr>
          <w:rFonts w:ascii="Arial" w:hAnsi="Arial" w:cs="Arial"/>
          <w:color w:val="000000"/>
          <w:sz w:val="22"/>
          <w:szCs w:val="22"/>
        </w:rPr>
      </w:pPr>
    </w:p>
    <w:p w14:paraId="468E43EA" w14:textId="77777777" w:rsidR="0090702E" w:rsidRPr="00EB0520" w:rsidRDefault="0090702E" w:rsidP="002A0615">
      <w:pPr>
        <w:pStyle w:val="isselectedend"/>
        <w:rPr>
          <w:rFonts w:ascii="Arial" w:hAnsi="Arial" w:cs="Arial"/>
          <w:color w:val="000000"/>
          <w:sz w:val="22"/>
          <w:szCs w:val="22"/>
        </w:rPr>
      </w:pPr>
    </w:p>
    <w:p w14:paraId="016F9F89" w14:textId="77777777" w:rsidR="0090702E" w:rsidRPr="00EB0520" w:rsidRDefault="0090702E" w:rsidP="002A0615">
      <w:pPr>
        <w:pStyle w:val="isselectedend"/>
        <w:rPr>
          <w:rFonts w:ascii="Arial" w:hAnsi="Arial" w:cs="Arial"/>
          <w:color w:val="000000"/>
          <w:sz w:val="22"/>
          <w:szCs w:val="22"/>
        </w:rPr>
      </w:pPr>
    </w:p>
    <w:p w14:paraId="4FB50BCE" w14:textId="77777777" w:rsidR="002064C0" w:rsidRPr="00EB0520" w:rsidRDefault="002064C0" w:rsidP="0090702E">
      <w:pPr>
        <w:pStyle w:val="isselectedend"/>
        <w:rPr>
          <w:rFonts w:ascii="Arial" w:hAnsi="Arial" w:cs="Arial"/>
          <w:color w:val="000000"/>
          <w:sz w:val="22"/>
          <w:szCs w:val="22"/>
        </w:rPr>
      </w:pPr>
    </w:p>
    <w:p w14:paraId="6756DF9A" w14:textId="69731D27" w:rsidR="002A0615" w:rsidRPr="00EB0520" w:rsidRDefault="002A0615" w:rsidP="0090702E">
      <w:pPr>
        <w:pStyle w:val="isselectedend"/>
        <w:rPr>
          <w:rFonts w:ascii="Arial" w:hAnsi="Arial" w:cs="Arial"/>
          <w:color w:val="000000"/>
          <w:sz w:val="22"/>
          <w:szCs w:val="22"/>
        </w:rPr>
      </w:pPr>
      <w:r w:rsidRPr="00EB0520">
        <w:rPr>
          <w:rFonts w:ascii="Arial" w:hAnsi="Arial" w:cs="Arial"/>
          <w:color w:val="000000"/>
          <w:sz w:val="22"/>
          <w:szCs w:val="22"/>
        </w:rPr>
        <w:t xml:space="preserve">Alex is a six-year-old boy diagnosed with </w:t>
      </w:r>
      <w:r w:rsidR="002064C0" w:rsidRPr="00EB0520">
        <w:rPr>
          <w:rFonts w:ascii="Arial" w:hAnsi="Arial" w:cs="Arial"/>
          <w:color w:val="000000"/>
          <w:sz w:val="22"/>
          <w:szCs w:val="22"/>
        </w:rPr>
        <w:t>autism spectrum disorder</w:t>
      </w:r>
      <w:r w:rsidRPr="00EB0520">
        <w:rPr>
          <w:rFonts w:ascii="Arial" w:hAnsi="Arial" w:cs="Arial"/>
          <w:color w:val="000000"/>
          <w:sz w:val="22"/>
          <w:szCs w:val="22"/>
        </w:rPr>
        <w:t xml:space="preserve"> (ASD). He experiences difficulties with social interaction, communication and sensory sensitivities, which affect his ability to engage in everyday activities and healthcare settings. To meet Alex’s needs effectively, health and social care professionals must apply the principles of person-centred care, partnership working and ethical practice. These approaches are essential for delivering high-quality care that promotes his wellbeing and </w:t>
      </w:r>
      <w:r w:rsidR="002064C0" w:rsidRPr="00EB0520">
        <w:rPr>
          <w:rFonts w:ascii="Arial" w:hAnsi="Arial" w:cs="Arial"/>
          <w:color w:val="000000"/>
          <w:sz w:val="22"/>
          <w:szCs w:val="22"/>
        </w:rPr>
        <w:t>development. Person</w:t>
      </w:r>
      <w:r w:rsidRPr="00EB0520">
        <w:rPr>
          <w:rFonts w:ascii="Arial" w:hAnsi="Arial" w:cs="Arial"/>
          <w:color w:val="000000"/>
          <w:sz w:val="22"/>
          <w:szCs w:val="22"/>
        </w:rPr>
        <w:t xml:space="preserve">-centred care focuses on recognising the individual as a unique person with their own needs, preferences and abilities (Health Foundation, 2016). In Alex’s case, this approach would involve adapting communication methods to suit his understanding, using visual aids or simple language and allowing extra time to process information. Professionals should also consider his sensory sensitivities by providing a calm environment with reduced noise and bright lighting where possible. This demonstrates respect for Alex’s needs and helps reduce anxiety during </w:t>
      </w:r>
      <w:r w:rsidR="002064C0" w:rsidRPr="00EB0520">
        <w:rPr>
          <w:rFonts w:ascii="Arial" w:hAnsi="Arial" w:cs="Arial"/>
          <w:color w:val="000000"/>
          <w:sz w:val="22"/>
          <w:szCs w:val="22"/>
        </w:rPr>
        <w:t>appointments. Person</w:t>
      </w:r>
      <w:r w:rsidRPr="00EB0520">
        <w:rPr>
          <w:rFonts w:ascii="Arial" w:hAnsi="Arial" w:cs="Arial"/>
          <w:color w:val="000000"/>
          <w:sz w:val="22"/>
          <w:szCs w:val="22"/>
        </w:rPr>
        <w:t xml:space="preserve">-centred care also involves encouraging Alex to participate in decisions about his care according to his age and level of understanding while respecting the views of his parents or carers. This helps promote independence and ensures that his care remains focused on his individual needs rather than only his </w:t>
      </w:r>
      <w:r w:rsidR="002064C0" w:rsidRPr="00EB0520">
        <w:rPr>
          <w:rFonts w:ascii="Arial" w:hAnsi="Arial" w:cs="Arial"/>
          <w:color w:val="000000"/>
          <w:sz w:val="22"/>
          <w:szCs w:val="22"/>
        </w:rPr>
        <w:t>diagnosis. Partnership</w:t>
      </w:r>
      <w:r w:rsidRPr="00EB0520">
        <w:rPr>
          <w:rFonts w:ascii="Arial" w:hAnsi="Arial" w:cs="Arial"/>
          <w:color w:val="000000"/>
          <w:sz w:val="22"/>
          <w:szCs w:val="22"/>
        </w:rPr>
        <w:t xml:space="preserve"> working is equally important in supporting Alex. Effective care requires collaboration between healthcare professionals, social workers, speech and language therapists, occupational therapists, teachers and Alex’s family. Each professional contributes specialist knowledge that supports Alex’s communication, education and </w:t>
      </w:r>
      <w:r w:rsidR="002064C0" w:rsidRPr="00EB0520">
        <w:rPr>
          <w:rFonts w:ascii="Arial" w:hAnsi="Arial" w:cs="Arial"/>
          <w:color w:val="000000"/>
          <w:sz w:val="22"/>
          <w:szCs w:val="22"/>
        </w:rPr>
        <w:t>development. Parents</w:t>
      </w:r>
      <w:r w:rsidRPr="00EB0520">
        <w:rPr>
          <w:rFonts w:ascii="Arial" w:hAnsi="Arial" w:cs="Arial"/>
          <w:color w:val="000000"/>
          <w:sz w:val="22"/>
          <w:szCs w:val="22"/>
        </w:rPr>
        <w:t xml:space="preserve"> are important partners because they understand Alex’s routines, behaviours and communication preferences. Regular communication between professionals and family members allows consistent strategies to be used across home, school and healthcare settings, leading to improved outcomes. The Care Act 2014 emphasises collaborative working to promote individual wellbeing and coordinated care.</w:t>
      </w:r>
    </w:p>
    <w:p w14:paraId="7B228EAE" w14:textId="77777777" w:rsidR="002402A0" w:rsidRPr="00EB0520" w:rsidRDefault="002402A0">
      <w:pPr>
        <w:rPr>
          <w:rFonts w:ascii="Arial" w:hAnsi="Arial" w:cs="Arial"/>
          <w:sz w:val="22"/>
          <w:szCs w:val="22"/>
        </w:rPr>
      </w:pPr>
    </w:p>
    <w:p w14:paraId="67E73B60" w14:textId="3BFA01DE" w:rsidR="002402A0" w:rsidRPr="00EB0520" w:rsidRDefault="006C517F">
      <w:pPr>
        <w:rPr>
          <w:rFonts w:ascii="Arial" w:hAnsi="Arial" w:cs="Arial"/>
          <w:sz w:val="22"/>
          <w:szCs w:val="22"/>
        </w:rPr>
      </w:pPr>
      <w:r w:rsidRPr="00EB0520">
        <w:rPr>
          <w:rFonts w:ascii="Arial" w:hAnsi="Arial" w:cs="Arial"/>
          <w:color w:val="000000"/>
          <w:sz w:val="22"/>
          <w:szCs w:val="22"/>
        </w:rPr>
        <w:t>As a health and social care professional, my daily practice is influenced by the principles of person-centred care, partnership working, and ethical practice. These principles are essential in ensuring that individuals receive safe, respectful, and effective support that recognises their personal needs, preferences, values, and rights. Reflecting on these areas has helped me understand that providing care is not only about meeting physical needs but also about building trusting relationships, communicating effectively, and promoting independence, dignity, and wellbeing. Person-centred care means treating everyone as a unique person rather than focusing only on their condition, disability, or support needs. In my day-to-day work, I apply this approach by listening to individuals, respecting their choices, involving them in decisions about their care, and ensuring that their preferences and personal circumstances are considered. I understand that every person has different experiences, beliefs, cultural backgrounds, and goals, which should influence the way care is delivered. For example, when supporting individuals with daily activities, I aim to encourage independence by allowing them to do as much as possible for themselves rather than completing tasks unnecessarily. This helps maintain their confidence, dignity, and sense of control. I also recognise the importance of gaining consent before providing care and ensuring that individuals understand what support is being offered. Person-centred practice is supported by legislation such as the Care Act 2014, which places emphasis on wellbeing, choice, control, and involvement in care planning, as well as the Health and Social Care Act 2012 and the Care Quality Commission (CQC) fundamental standards, which highlight the importance of providing compassionate and respectful care. One of my strengths is my ability to show empathy, patience, and understanding when supporting individuals. I believe I can build positive relationships because I listen to people and treat them with respect. However, I recognise that I can continue to improve by developing my knowledge of different cultures, communication needs, and approaches for supporting individuals with complex needs. Partnership working is another important principle that influences my professional practice. Effective partnership working involves collaborating with individuals who use services, their families, carers, and other professionals to achieve the best possible outcomes. In my role, I use partnership working by communicating with colleagues, sharing relevant information appropriately, and contributing to discussions about care and support. I understand that good communication between professionals is essential because it reduces the risk of errors and helps provide consistent and effective care. I also recognise that individuals and their families should be involved in decisions wherever possible because they often have valuable knowledge about their own needs and preferences. Maintaining confidentiality is a key part of partnership working, and I understand that personal information must only be shared with appropriate people for legitimate reasons. The Data Protection Act 2018 and UK General Data Protection Regulation (UK GDPR) provide guidance on protecting individuals’ information and maintaining trust between professionals and those receiving care. A strength I bring to partnership working is my willingness to cooperate with others and contribute as part of a team. I understand that teamwork requires respect, good communication, and the ability to value different professional perspectives. However, an area I would like to improve is my confidence in contributing to multidisciplinary discussions and sharing my observations more effectively. In the future, I plan to develop these skills by attending team meetings, seeking feedback from colleagues, and learning more about the responsibilities of other professionals involved in care delivery. Ethics also plays a significant role in guiding my daily practice as a health and social care professional. Ethical principles such as autonomy, beneficence, non-maleficence, and justice influence how I make decisions and interact with individuals. Respecting autonomy means recognising an individual’s right to make choices about their own care and lifestyle. Even when their decisions may differ from my personal opinions, I must respect their rights and support them to make informed choices. The Mental Capacity Act 2005 provides guidance on supporting individuals who may have difficulty making decisions and requires professionals to act in a person’s best interests when they are unable to make a specific decision themselves. Beneficence involves acting in the best interests of individuals, while non-maleficence means avoiding harm by following safe practices, reporting concerns, and maintaining professional boundaries. Safeguarding responsibilities are also an important part of ethical practice, with legislation such as the Care Act 2014 helping to protect adults at risk of abuse or neglect. Justice involves treating people fairly, promoting equality, and challenging discrimination. The Equality Act 2010 supports this by protecting individuals from unfair treatment and promoting inclusive practice within health and social care settings. My ethical strengths include having a strong sense of responsibility, respecting confidentiality, and being committed to providing compassionate care. However, I recognise that ethical situations can sometimes be challenging, and I need to continue improving my understanding of legislation, professional guidance, and decision-making processes. Reflecting on my current skills has helped me identify my strengths as well as areas for development. My strengths include empathy, patience, communication skills, teamwork, and a commitment to treating individuals with dignity and respect. These qualities allow me to develop positive relationships and provide effective support. Areas where I would like to improve include increasing my confidence in professional communication, expanding my knowledge of current legislation and policies, and gaining further understanding of complex health and social care needs. To enhance my knowledge and skills in the future, I plan to take part in training opportunities, complete relevant qualifications, read updated guidance, and engage in regular reflective practice. I will also seek feedback from colleagues, managers, and the individuals I support to identify areas where I can improve. Continuing professional development is important because health and social care is constantly changing, and professionals must keep their knowledge and skills up to date. In conclusion, person-centred care, partnership working, and ethics are fundamental principles that shape my role as a health and social care professional. By applying these principles in my everyday work, I can ensure that individuals receive care that respects their rights, promotes independence, and supports their overall wellbeing. Through ongoing learning, reflection, and professional development, I aim to continue improving my practice and provide high-quality, compassionate, and ethical care.</w:t>
      </w:r>
    </w:p>
    <w:p w14:paraId="53C2E718" w14:textId="77777777" w:rsidR="002402A0" w:rsidRPr="00EB0520" w:rsidRDefault="002402A0">
      <w:pPr>
        <w:rPr>
          <w:rFonts w:ascii="Arial" w:hAnsi="Arial" w:cs="Arial"/>
          <w:sz w:val="22"/>
          <w:szCs w:val="22"/>
        </w:rPr>
      </w:pPr>
    </w:p>
    <w:p w14:paraId="631882EE" w14:textId="77777777" w:rsidR="002402A0" w:rsidRPr="00EB0520" w:rsidRDefault="002402A0">
      <w:pPr>
        <w:rPr>
          <w:rFonts w:ascii="Arial" w:hAnsi="Arial" w:cs="Arial"/>
          <w:sz w:val="22"/>
          <w:szCs w:val="22"/>
        </w:rPr>
      </w:pPr>
    </w:p>
    <w:p w14:paraId="15099051" w14:textId="77777777" w:rsidR="002402A0" w:rsidRPr="00EB0520" w:rsidRDefault="002402A0">
      <w:pPr>
        <w:rPr>
          <w:rFonts w:ascii="Arial" w:hAnsi="Arial" w:cs="Arial"/>
          <w:sz w:val="22"/>
          <w:szCs w:val="22"/>
        </w:rPr>
      </w:pPr>
    </w:p>
    <w:p w14:paraId="2A351647" w14:textId="77777777" w:rsidR="002402A0" w:rsidRPr="00EB0520" w:rsidRDefault="002402A0">
      <w:pPr>
        <w:rPr>
          <w:rFonts w:ascii="Arial" w:hAnsi="Arial" w:cs="Arial"/>
          <w:sz w:val="22"/>
          <w:szCs w:val="22"/>
        </w:rPr>
      </w:pPr>
    </w:p>
    <w:p w14:paraId="2A50B3C1" w14:textId="77777777" w:rsidR="002402A0" w:rsidRPr="00EB0520" w:rsidRDefault="002402A0">
      <w:pPr>
        <w:rPr>
          <w:rFonts w:ascii="Arial" w:hAnsi="Arial" w:cs="Arial"/>
          <w:sz w:val="22"/>
          <w:szCs w:val="22"/>
        </w:rPr>
      </w:pPr>
    </w:p>
    <w:p w14:paraId="058D106C" w14:textId="77777777" w:rsidR="002402A0" w:rsidRPr="00EB0520" w:rsidRDefault="002402A0">
      <w:pPr>
        <w:rPr>
          <w:rFonts w:ascii="Arial" w:hAnsi="Arial" w:cs="Arial"/>
          <w:sz w:val="22"/>
          <w:szCs w:val="22"/>
        </w:rPr>
      </w:pPr>
    </w:p>
    <w:p w14:paraId="2EEBFFFB" w14:textId="77777777" w:rsidR="002402A0" w:rsidRPr="00EB0520" w:rsidRDefault="002402A0">
      <w:pPr>
        <w:rPr>
          <w:rFonts w:ascii="Arial" w:hAnsi="Arial" w:cs="Arial"/>
          <w:sz w:val="22"/>
          <w:szCs w:val="22"/>
        </w:rPr>
      </w:pPr>
    </w:p>
    <w:p w14:paraId="4AA44BFE" w14:textId="77777777" w:rsidR="002402A0" w:rsidRPr="00EB0520" w:rsidRDefault="002402A0">
      <w:pPr>
        <w:rPr>
          <w:rFonts w:ascii="Arial" w:hAnsi="Arial" w:cs="Arial"/>
          <w:sz w:val="22"/>
          <w:szCs w:val="22"/>
        </w:rPr>
      </w:pPr>
    </w:p>
    <w:p w14:paraId="68A9B82F" w14:textId="77777777" w:rsidR="002402A0" w:rsidRPr="00EB0520" w:rsidRDefault="002402A0">
      <w:pPr>
        <w:rPr>
          <w:rFonts w:ascii="Arial" w:hAnsi="Arial" w:cs="Arial"/>
          <w:sz w:val="22"/>
          <w:szCs w:val="22"/>
        </w:rPr>
      </w:pPr>
    </w:p>
    <w:p w14:paraId="31C039B6" w14:textId="77777777" w:rsidR="00453B08" w:rsidRPr="00EB0520" w:rsidRDefault="00453B08" w:rsidP="00450BD9">
      <w:pPr>
        <w:rPr>
          <w:rFonts w:ascii="Arial" w:hAnsi="Arial" w:cs="Arial"/>
          <w:sz w:val="22"/>
          <w:szCs w:val="22"/>
        </w:rPr>
      </w:pPr>
    </w:p>
    <w:p w14:paraId="6C0D8772" w14:textId="77777777" w:rsidR="00453B08" w:rsidRPr="00EB0520" w:rsidRDefault="00453B08" w:rsidP="00450BD9">
      <w:pPr>
        <w:rPr>
          <w:rFonts w:ascii="Arial" w:hAnsi="Arial" w:cs="Arial"/>
          <w:sz w:val="22"/>
          <w:szCs w:val="22"/>
        </w:rPr>
      </w:pPr>
    </w:p>
    <w:p w14:paraId="7404F269" w14:textId="77777777" w:rsidR="00453B08" w:rsidRPr="00EB0520" w:rsidRDefault="00453B08" w:rsidP="00450BD9">
      <w:pPr>
        <w:rPr>
          <w:rFonts w:ascii="Arial" w:hAnsi="Arial" w:cs="Arial"/>
          <w:sz w:val="22"/>
          <w:szCs w:val="22"/>
        </w:rPr>
      </w:pPr>
    </w:p>
    <w:p w14:paraId="2FFC9ABF" w14:textId="77777777" w:rsidR="002064C0" w:rsidRPr="00EB0520" w:rsidRDefault="002064C0" w:rsidP="00450BD9">
      <w:pPr>
        <w:rPr>
          <w:rFonts w:ascii="Arial" w:hAnsi="Arial" w:cs="Arial"/>
          <w:sz w:val="22"/>
          <w:szCs w:val="22"/>
        </w:rPr>
      </w:pPr>
    </w:p>
    <w:p w14:paraId="31D2E55D" w14:textId="77777777" w:rsidR="002064C0" w:rsidRPr="00EB0520" w:rsidRDefault="002064C0" w:rsidP="00450BD9">
      <w:pPr>
        <w:rPr>
          <w:rFonts w:ascii="Arial" w:hAnsi="Arial" w:cs="Arial"/>
          <w:sz w:val="22"/>
          <w:szCs w:val="22"/>
        </w:rPr>
      </w:pPr>
    </w:p>
    <w:p w14:paraId="1A56DE0F" w14:textId="77777777" w:rsidR="002064C0" w:rsidRPr="00EB0520" w:rsidRDefault="002064C0" w:rsidP="00450BD9">
      <w:pPr>
        <w:rPr>
          <w:rFonts w:ascii="Arial" w:hAnsi="Arial" w:cs="Arial"/>
          <w:sz w:val="22"/>
          <w:szCs w:val="22"/>
        </w:rPr>
      </w:pPr>
    </w:p>
    <w:p w14:paraId="1ACF9753" w14:textId="77777777" w:rsidR="002064C0" w:rsidRPr="00EB0520" w:rsidRDefault="002064C0" w:rsidP="00450BD9">
      <w:pPr>
        <w:rPr>
          <w:rFonts w:ascii="Arial" w:hAnsi="Arial" w:cs="Arial"/>
          <w:sz w:val="22"/>
          <w:szCs w:val="22"/>
        </w:rPr>
      </w:pPr>
    </w:p>
    <w:p w14:paraId="2A46F1C1" w14:textId="77777777" w:rsidR="002064C0" w:rsidRPr="00EB0520" w:rsidRDefault="002064C0" w:rsidP="00450BD9">
      <w:pPr>
        <w:rPr>
          <w:rFonts w:ascii="Arial" w:hAnsi="Arial" w:cs="Arial"/>
          <w:sz w:val="22"/>
          <w:szCs w:val="22"/>
        </w:rPr>
      </w:pPr>
    </w:p>
    <w:p w14:paraId="07F808F8" w14:textId="77777777" w:rsidR="002064C0" w:rsidRPr="00EB0520" w:rsidRDefault="002064C0" w:rsidP="00450BD9">
      <w:pPr>
        <w:rPr>
          <w:rFonts w:ascii="Arial" w:hAnsi="Arial" w:cs="Arial"/>
          <w:sz w:val="22"/>
          <w:szCs w:val="22"/>
        </w:rPr>
      </w:pPr>
    </w:p>
    <w:p w14:paraId="3CD66B24" w14:textId="77777777" w:rsidR="002064C0" w:rsidRPr="00EB0520" w:rsidRDefault="002064C0" w:rsidP="00450BD9">
      <w:pPr>
        <w:rPr>
          <w:rFonts w:ascii="Arial" w:hAnsi="Arial" w:cs="Arial"/>
          <w:sz w:val="22"/>
          <w:szCs w:val="22"/>
        </w:rPr>
      </w:pPr>
    </w:p>
    <w:p w14:paraId="09F0ADFB" w14:textId="77777777" w:rsidR="002064C0" w:rsidRPr="00EB0520" w:rsidRDefault="002064C0" w:rsidP="00450BD9">
      <w:pPr>
        <w:rPr>
          <w:rFonts w:ascii="Arial" w:hAnsi="Arial" w:cs="Arial"/>
          <w:sz w:val="22"/>
          <w:szCs w:val="22"/>
        </w:rPr>
      </w:pPr>
    </w:p>
    <w:p w14:paraId="0617BD65" w14:textId="77777777" w:rsidR="002064C0" w:rsidRPr="00EB0520" w:rsidRDefault="002064C0" w:rsidP="00450BD9">
      <w:pPr>
        <w:rPr>
          <w:rFonts w:ascii="Arial" w:hAnsi="Arial" w:cs="Arial"/>
          <w:sz w:val="22"/>
          <w:szCs w:val="22"/>
        </w:rPr>
      </w:pPr>
    </w:p>
    <w:p w14:paraId="6AC6C7C5" w14:textId="77777777" w:rsidR="002064C0" w:rsidRPr="00EB0520" w:rsidRDefault="002064C0" w:rsidP="00450BD9">
      <w:pPr>
        <w:rPr>
          <w:rFonts w:ascii="Arial" w:hAnsi="Arial" w:cs="Arial"/>
          <w:sz w:val="22"/>
          <w:szCs w:val="22"/>
        </w:rPr>
      </w:pPr>
    </w:p>
    <w:p w14:paraId="57413F5E" w14:textId="77777777" w:rsidR="002064C0" w:rsidRPr="00EB0520" w:rsidRDefault="002064C0" w:rsidP="00450BD9">
      <w:pPr>
        <w:rPr>
          <w:rFonts w:ascii="Arial" w:hAnsi="Arial" w:cs="Arial"/>
          <w:sz w:val="22"/>
          <w:szCs w:val="22"/>
        </w:rPr>
      </w:pPr>
    </w:p>
    <w:p w14:paraId="23105BA0" w14:textId="77777777" w:rsidR="002064C0" w:rsidRPr="00EB0520" w:rsidRDefault="002064C0" w:rsidP="00450BD9">
      <w:pPr>
        <w:rPr>
          <w:rFonts w:ascii="Arial" w:hAnsi="Arial" w:cs="Arial"/>
          <w:sz w:val="22"/>
          <w:szCs w:val="22"/>
        </w:rPr>
      </w:pPr>
    </w:p>
    <w:p w14:paraId="6D4D0206" w14:textId="77777777" w:rsidR="002064C0" w:rsidRPr="00EB0520" w:rsidRDefault="002064C0" w:rsidP="00450BD9">
      <w:pPr>
        <w:rPr>
          <w:rFonts w:ascii="Arial" w:hAnsi="Arial" w:cs="Arial"/>
          <w:sz w:val="22"/>
          <w:szCs w:val="22"/>
        </w:rPr>
      </w:pPr>
    </w:p>
    <w:p w14:paraId="1E7F5E18" w14:textId="4597D82D" w:rsidR="00450BD9" w:rsidRPr="00EB0520" w:rsidRDefault="00450BD9" w:rsidP="00450BD9">
      <w:pPr>
        <w:rPr>
          <w:rFonts w:ascii="Arial" w:hAnsi="Arial" w:cs="Arial"/>
          <w:sz w:val="22"/>
          <w:szCs w:val="22"/>
        </w:rPr>
      </w:pPr>
      <w:r w:rsidRPr="00EB0520">
        <w:rPr>
          <w:rFonts w:ascii="Arial" w:hAnsi="Arial" w:cs="Arial"/>
          <w:sz w:val="22"/>
          <w:szCs w:val="22"/>
        </w:rPr>
        <w:t>  Beauchamp, T.L. and Childress, J.F. (2019)</w:t>
      </w:r>
      <w:r w:rsidRPr="00EB0520">
        <w:rPr>
          <w:rStyle w:val="apple-converted-space"/>
          <w:rFonts w:ascii="Arial" w:hAnsi="Arial" w:cs="Arial"/>
          <w:sz w:val="22"/>
          <w:szCs w:val="22"/>
        </w:rPr>
        <w:t> </w:t>
      </w:r>
      <w:r w:rsidRPr="00EB0520">
        <w:rPr>
          <w:rStyle w:val="Emphasis"/>
          <w:rFonts w:ascii="Arial" w:hAnsi="Arial" w:cs="Arial"/>
          <w:sz w:val="22"/>
          <w:szCs w:val="22"/>
        </w:rPr>
        <w:t>Principles of Biomedical Ethics</w:t>
      </w:r>
      <w:r w:rsidRPr="00EB0520">
        <w:rPr>
          <w:rFonts w:ascii="Arial" w:hAnsi="Arial" w:cs="Arial"/>
          <w:sz w:val="22"/>
          <w:szCs w:val="22"/>
        </w:rPr>
        <w:t xml:space="preserve">. </w:t>
      </w:r>
    </w:p>
    <w:p w14:paraId="17499138" w14:textId="77777777" w:rsidR="00450BD9" w:rsidRPr="00EB0520" w:rsidRDefault="00450BD9" w:rsidP="00450BD9">
      <w:pPr>
        <w:rPr>
          <w:rFonts w:ascii="Arial" w:hAnsi="Arial" w:cs="Arial"/>
          <w:sz w:val="22"/>
          <w:szCs w:val="22"/>
        </w:rPr>
      </w:pPr>
      <w:r w:rsidRPr="00EB0520">
        <w:rPr>
          <w:rFonts w:ascii="Arial" w:hAnsi="Arial" w:cs="Arial"/>
          <w:sz w:val="22"/>
          <w:szCs w:val="22"/>
        </w:rPr>
        <w:t>8th edn. New York: Oxford University Press.</w:t>
      </w:r>
    </w:p>
    <w:p w14:paraId="5AFB5EDD" w14:textId="31FADA8C" w:rsidR="00450BD9" w:rsidRPr="00EB0520" w:rsidRDefault="00450BD9" w:rsidP="00450BD9">
      <w:pPr>
        <w:rPr>
          <w:rFonts w:ascii="Arial" w:hAnsi="Arial" w:cs="Arial"/>
          <w:sz w:val="22"/>
          <w:szCs w:val="22"/>
        </w:rPr>
      </w:pPr>
      <w:r w:rsidRPr="00EB0520">
        <w:rPr>
          <w:rFonts w:ascii="Arial" w:hAnsi="Arial" w:cs="Arial"/>
          <w:sz w:val="22"/>
          <w:szCs w:val="22"/>
        </w:rPr>
        <w:t>  Care Act 2014. (2014)</w:t>
      </w:r>
      <w:r w:rsidRPr="00EB0520">
        <w:rPr>
          <w:rStyle w:val="apple-converted-space"/>
          <w:rFonts w:ascii="Arial" w:hAnsi="Arial" w:cs="Arial"/>
          <w:sz w:val="22"/>
          <w:szCs w:val="22"/>
        </w:rPr>
        <w:t> </w:t>
      </w:r>
      <w:r w:rsidRPr="00EB0520">
        <w:rPr>
          <w:rStyle w:val="Emphasis"/>
          <w:rFonts w:ascii="Arial" w:hAnsi="Arial" w:cs="Arial"/>
          <w:sz w:val="22"/>
          <w:szCs w:val="22"/>
        </w:rPr>
        <w:t>Chapter 23</w:t>
      </w:r>
      <w:r w:rsidRPr="00EB0520">
        <w:rPr>
          <w:rFonts w:ascii="Arial" w:hAnsi="Arial" w:cs="Arial"/>
          <w:sz w:val="22"/>
          <w:szCs w:val="22"/>
        </w:rPr>
        <w:t>. London: The Stationery Office. Available at:</w:t>
      </w:r>
      <w:r w:rsidRPr="00EB0520">
        <w:rPr>
          <w:rStyle w:val="apple-converted-space"/>
          <w:rFonts w:ascii="Arial" w:hAnsi="Arial" w:cs="Arial"/>
          <w:sz w:val="22"/>
          <w:szCs w:val="22"/>
        </w:rPr>
        <w:t> </w:t>
      </w:r>
      <w:hyperlink r:id="rId4" w:tgtFrame="_new" w:history="1">
        <w:r w:rsidRPr="00EB0520">
          <w:rPr>
            <w:rStyle w:val="Hyperlink"/>
            <w:rFonts w:ascii="Arial" w:hAnsi="Arial" w:cs="Arial"/>
            <w:sz w:val="22"/>
            <w:szCs w:val="22"/>
          </w:rPr>
          <w:t>https://www.legislation.gov.uk/ukpga/2014/23</w:t>
        </w:r>
      </w:hyperlink>
      <w:r w:rsidRPr="00EB0520">
        <w:rPr>
          <w:rStyle w:val="apple-converted-space"/>
          <w:rFonts w:ascii="Arial" w:hAnsi="Arial" w:cs="Arial"/>
          <w:sz w:val="22"/>
          <w:szCs w:val="22"/>
        </w:rPr>
        <w:t> </w:t>
      </w:r>
    </w:p>
    <w:p w14:paraId="78733A98" w14:textId="77777777" w:rsidR="00450BD9" w:rsidRPr="00EB0520" w:rsidRDefault="00450BD9" w:rsidP="00450BD9">
      <w:pPr>
        <w:rPr>
          <w:rStyle w:val="apple-converted-space"/>
          <w:rFonts w:ascii="Arial" w:hAnsi="Arial" w:cs="Arial"/>
          <w:sz w:val="22"/>
          <w:szCs w:val="22"/>
        </w:rPr>
      </w:pPr>
      <w:r w:rsidRPr="00EB0520">
        <w:rPr>
          <w:rFonts w:ascii="Arial" w:hAnsi="Arial" w:cs="Arial"/>
          <w:sz w:val="22"/>
          <w:szCs w:val="22"/>
        </w:rPr>
        <w:t>  Equality Act 2010. (2010)</w:t>
      </w:r>
      <w:r w:rsidRPr="00EB0520">
        <w:rPr>
          <w:rStyle w:val="apple-converted-space"/>
          <w:rFonts w:ascii="Arial" w:hAnsi="Arial" w:cs="Arial"/>
          <w:sz w:val="22"/>
          <w:szCs w:val="22"/>
        </w:rPr>
        <w:t> </w:t>
      </w:r>
    </w:p>
    <w:p w14:paraId="779BD226" w14:textId="77777777" w:rsidR="00450BD9" w:rsidRPr="00EB0520" w:rsidRDefault="00450BD9" w:rsidP="00450BD9">
      <w:pPr>
        <w:rPr>
          <w:rFonts w:ascii="Arial" w:hAnsi="Arial" w:cs="Arial"/>
          <w:sz w:val="22"/>
          <w:szCs w:val="22"/>
        </w:rPr>
      </w:pPr>
      <w:r w:rsidRPr="00EB0520">
        <w:rPr>
          <w:rStyle w:val="Emphasis"/>
          <w:rFonts w:ascii="Arial" w:hAnsi="Arial" w:cs="Arial"/>
          <w:sz w:val="22"/>
          <w:szCs w:val="22"/>
        </w:rPr>
        <w:t>Chapter 15</w:t>
      </w:r>
      <w:r w:rsidRPr="00EB0520">
        <w:rPr>
          <w:rFonts w:ascii="Arial" w:hAnsi="Arial" w:cs="Arial"/>
          <w:sz w:val="22"/>
          <w:szCs w:val="22"/>
        </w:rPr>
        <w:t>. London: The Stationery Office. Available at:</w:t>
      </w:r>
      <w:r w:rsidRPr="00EB0520">
        <w:rPr>
          <w:rStyle w:val="apple-converted-space"/>
          <w:rFonts w:ascii="Arial" w:hAnsi="Arial" w:cs="Arial"/>
          <w:sz w:val="22"/>
          <w:szCs w:val="22"/>
        </w:rPr>
        <w:t> </w:t>
      </w:r>
      <w:hyperlink r:id="rId5" w:tgtFrame="_new" w:history="1">
        <w:r w:rsidRPr="00EB0520">
          <w:rPr>
            <w:rStyle w:val="Hyperlink"/>
            <w:rFonts w:ascii="Arial" w:hAnsi="Arial" w:cs="Arial"/>
            <w:sz w:val="22"/>
            <w:szCs w:val="22"/>
          </w:rPr>
          <w:t>https://www.legislation.gov.uk/ukpga/2010/15</w:t>
        </w:r>
      </w:hyperlink>
      <w:r w:rsidRPr="00EB0520">
        <w:rPr>
          <w:rStyle w:val="apple-converted-space"/>
          <w:rFonts w:ascii="Arial" w:hAnsi="Arial" w:cs="Arial"/>
          <w:sz w:val="22"/>
          <w:szCs w:val="22"/>
        </w:rPr>
        <w:t> </w:t>
      </w:r>
      <w:r w:rsidRPr="00EB0520">
        <w:rPr>
          <w:rFonts w:ascii="Arial" w:hAnsi="Arial" w:cs="Arial"/>
          <w:sz w:val="22"/>
          <w:szCs w:val="22"/>
        </w:rPr>
        <w:t>(</w:t>
      </w:r>
    </w:p>
    <w:p w14:paraId="2FDA0274" w14:textId="77777777" w:rsidR="00450BD9" w:rsidRPr="00EB0520" w:rsidRDefault="00450BD9" w:rsidP="00450BD9">
      <w:pPr>
        <w:rPr>
          <w:rStyle w:val="apple-converted-space"/>
          <w:rFonts w:ascii="Arial" w:hAnsi="Arial" w:cs="Arial"/>
          <w:sz w:val="22"/>
          <w:szCs w:val="22"/>
        </w:rPr>
      </w:pPr>
      <w:r w:rsidRPr="00EB0520">
        <w:rPr>
          <w:rFonts w:ascii="Arial" w:hAnsi="Arial" w:cs="Arial"/>
          <w:sz w:val="22"/>
          <w:szCs w:val="22"/>
        </w:rPr>
        <w:t>  Health Foundation (2016)</w:t>
      </w:r>
      <w:r w:rsidRPr="00EB0520">
        <w:rPr>
          <w:rStyle w:val="apple-converted-space"/>
          <w:rFonts w:ascii="Arial" w:hAnsi="Arial" w:cs="Arial"/>
          <w:sz w:val="22"/>
          <w:szCs w:val="22"/>
        </w:rPr>
        <w:t> </w:t>
      </w:r>
    </w:p>
    <w:p w14:paraId="599CDF5A" w14:textId="77777777" w:rsidR="00450BD9" w:rsidRPr="00EB0520" w:rsidRDefault="00450BD9" w:rsidP="00450BD9">
      <w:pPr>
        <w:rPr>
          <w:rFonts w:ascii="Arial" w:hAnsi="Arial" w:cs="Arial"/>
          <w:sz w:val="22"/>
          <w:szCs w:val="22"/>
        </w:rPr>
      </w:pPr>
      <w:r w:rsidRPr="00EB0520">
        <w:rPr>
          <w:rStyle w:val="Emphasis"/>
          <w:rFonts w:ascii="Arial" w:hAnsi="Arial" w:cs="Arial"/>
          <w:sz w:val="22"/>
          <w:szCs w:val="22"/>
        </w:rPr>
        <w:t>Person-centred care made simple: What everyone should know about person-centred care</w:t>
      </w:r>
      <w:r w:rsidRPr="00EB0520">
        <w:rPr>
          <w:rFonts w:ascii="Arial" w:hAnsi="Arial" w:cs="Arial"/>
          <w:sz w:val="22"/>
          <w:szCs w:val="22"/>
        </w:rPr>
        <w:t>. London: The Health Foundation.</w:t>
      </w:r>
    </w:p>
    <w:p w14:paraId="723156E9" w14:textId="77777777" w:rsidR="00450BD9" w:rsidRPr="00EB0520" w:rsidRDefault="00450BD9" w:rsidP="00450BD9">
      <w:pPr>
        <w:rPr>
          <w:rStyle w:val="apple-converted-space"/>
          <w:rFonts w:ascii="Arial" w:hAnsi="Arial" w:cs="Arial"/>
          <w:sz w:val="22"/>
          <w:szCs w:val="22"/>
        </w:rPr>
      </w:pPr>
      <w:r w:rsidRPr="00EB0520">
        <w:rPr>
          <w:rFonts w:ascii="Arial" w:hAnsi="Arial" w:cs="Arial"/>
          <w:sz w:val="22"/>
          <w:szCs w:val="22"/>
        </w:rPr>
        <w:t>  Health and Care Professions Council (HCPC) (2024)</w:t>
      </w:r>
      <w:r w:rsidRPr="00EB0520">
        <w:rPr>
          <w:rStyle w:val="apple-converted-space"/>
          <w:rFonts w:ascii="Arial" w:hAnsi="Arial" w:cs="Arial"/>
          <w:sz w:val="22"/>
          <w:szCs w:val="22"/>
        </w:rPr>
        <w:t> </w:t>
      </w:r>
    </w:p>
    <w:p w14:paraId="69E012F7" w14:textId="77777777" w:rsidR="00450BD9" w:rsidRPr="00EB0520" w:rsidRDefault="00450BD9" w:rsidP="00450BD9">
      <w:pPr>
        <w:rPr>
          <w:rFonts w:ascii="Arial" w:hAnsi="Arial" w:cs="Arial"/>
          <w:sz w:val="22"/>
          <w:szCs w:val="22"/>
        </w:rPr>
      </w:pPr>
      <w:r w:rsidRPr="00EB0520">
        <w:rPr>
          <w:rStyle w:val="Emphasis"/>
          <w:rFonts w:ascii="Arial" w:hAnsi="Arial" w:cs="Arial"/>
          <w:sz w:val="22"/>
          <w:szCs w:val="22"/>
        </w:rPr>
        <w:t>Standards of conduct, performance and ethics</w:t>
      </w:r>
      <w:r w:rsidRPr="00EB0520">
        <w:rPr>
          <w:rFonts w:ascii="Arial" w:hAnsi="Arial" w:cs="Arial"/>
          <w:sz w:val="22"/>
          <w:szCs w:val="22"/>
        </w:rPr>
        <w:t>. London: HCPC.</w:t>
      </w:r>
    </w:p>
    <w:p w14:paraId="54448457" w14:textId="77777777" w:rsidR="00450BD9" w:rsidRPr="00EB0520" w:rsidRDefault="00450BD9" w:rsidP="00450BD9">
      <w:pPr>
        <w:rPr>
          <w:rFonts w:ascii="Arial" w:hAnsi="Arial" w:cs="Arial"/>
          <w:sz w:val="22"/>
          <w:szCs w:val="22"/>
        </w:rPr>
      </w:pPr>
      <w:r w:rsidRPr="00EB0520">
        <w:rPr>
          <w:rFonts w:ascii="Arial" w:hAnsi="Arial" w:cs="Arial"/>
          <w:sz w:val="22"/>
          <w:szCs w:val="22"/>
        </w:rPr>
        <w:t>  Maslow, A.H. (1943) '</w:t>
      </w:r>
    </w:p>
    <w:p w14:paraId="6395EC0C" w14:textId="77777777" w:rsidR="00450BD9" w:rsidRPr="00EB0520" w:rsidRDefault="00450BD9" w:rsidP="00450BD9">
      <w:pPr>
        <w:rPr>
          <w:rFonts w:ascii="Arial" w:hAnsi="Arial" w:cs="Arial"/>
          <w:sz w:val="22"/>
          <w:szCs w:val="22"/>
        </w:rPr>
      </w:pPr>
      <w:r w:rsidRPr="00EB0520">
        <w:rPr>
          <w:rFonts w:ascii="Arial" w:hAnsi="Arial" w:cs="Arial"/>
          <w:sz w:val="22"/>
          <w:szCs w:val="22"/>
        </w:rPr>
        <w:t>A theory of human motivation',</w:t>
      </w:r>
      <w:r w:rsidRPr="00EB0520">
        <w:rPr>
          <w:rStyle w:val="apple-converted-space"/>
          <w:rFonts w:ascii="Arial" w:hAnsi="Arial" w:cs="Arial"/>
          <w:sz w:val="22"/>
          <w:szCs w:val="22"/>
        </w:rPr>
        <w:t> </w:t>
      </w:r>
      <w:r w:rsidRPr="00EB0520">
        <w:rPr>
          <w:rStyle w:val="Emphasis"/>
          <w:rFonts w:ascii="Arial" w:hAnsi="Arial" w:cs="Arial"/>
          <w:sz w:val="22"/>
          <w:szCs w:val="22"/>
        </w:rPr>
        <w:t>Psychological Review</w:t>
      </w:r>
      <w:r w:rsidRPr="00EB0520">
        <w:rPr>
          <w:rFonts w:ascii="Arial" w:hAnsi="Arial" w:cs="Arial"/>
          <w:sz w:val="22"/>
          <w:szCs w:val="22"/>
        </w:rPr>
        <w:t>, 50(4), pp. 370–396.</w:t>
      </w:r>
    </w:p>
    <w:p w14:paraId="098D7E86" w14:textId="77777777" w:rsidR="00450BD9" w:rsidRPr="00EB0520" w:rsidRDefault="00450BD9" w:rsidP="00450BD9">
      <w:pPr>
        <w:rPr>
          <w:rStyle w:val="apple-converted-space"/>
          <w:rFonts w:ascii="Arial" w:hAnsi="Arial" w:cs="Arial"/>
          <w:sz w:val="22"/>
          <w:szCs w:val="22"/>
        </w:rPr>
      </w:pPr>
      <w:r w:rsidRPr="00EB0520">
        <w:rPr>
          <w:rFonts w:ascii="Arial" w:hAnsi="Arial" w:cs="Arial"/>
          <w:sz w:val="22"/>
          <w:szCs w:val="22"/>
        </w:rPr>
        <w:t>  Mental Capacity Act 2005. (2005)</w:t>
      </w:r>
      <w:r w:rsidRPr="00EB0520">
        <w:rPr>
          <w:rStyle w:val="apple-converted-space"/>
          <w:rFonts w:ascii="Arial" w:hAnsi="Arial" w:cs="Arial"/>
          <w:sz w:val="22"/>
          <w:szCs w:val="22"/>
        </w:rPr>
        <w:t> </w:t>
      </w:r>
    </w:p>
    <w:p w14:paraId="143B9F51" w14:textId="77777777" w:rsidR="00450BD9" w:rsidRPr="00EB0520" w:rsidRDefault="00450BD9" w:rsidP="00450BD9">
      <w:pPr>
        <w:rPr>
          <w:rFonts w:ascii="Arial" w:hAnsi="Arial" w:cs="Arial"/>
          <w:sz w:val="22"/>
          <w:szCs w:val="22"/>
        </w:rPr>
      </w:pPr>
      <w:r w:rsidRPr="00EB0520">
        <w:rPr>
          <w:rStyle w:val="Emphasis"/>
          <w:rFonts w:ascii="Arial" w:hAnsi="Arial" w:cs="Arial"/>
          <w:sz w:val="22"/>
          <w:szCs w:val="22"/>
        </w:rPr>
        <w:t>Chapter 9</w:t>
      </w:r>
      <w:r w:rsidRPr="00EB0520">
        <w:rPr>
          <w:rFonts w:ascii="Arial" w:hAnsi="Arial" w:cs="Arial"/>
          <w:sz w:val="22"/>
          <w:szCs w:val="22"/>
        </w:rPr>
        <w:t>. London: The Stationery Office. Available at:</w:t>
      </w:r>
      <w:r w:rsidRPr="00EB0520">
        <w:rPr>
          <w:rStyle w:val="apple-converted-space"/>
          <w:rFonts w:ascii="Arial" w:hAnsi="Arial" w:cs="Arial"/>
          <w:sz w:val="22"/>
          <w:szCs w:val="22"/>
        </w:rPr>
        <w:t> </w:t>
      </w:r>
      <w:hyperlink r:id="rId6" w:tgtFrame="_new" w:history="1">
        <w:r w:rsidRPr="00EB0520">
          <w:rPr>
            <w:rStyle w:val="Hyperlink"/>
            <w:rFonts w:ascii="Arial" w:hAnsi="Arial" w:cs="Arial"/>
            <w:sz w:val="22"/>
            <w:szCs w:val="22"/>
          </w:rPr>
          <w:t>https://www.legislation.gov.uk/ukpga/2005/9</w:t>
        </w:r>
      </w:hyperlink>
      <w:r w:rsidRPr="00EB0520">
        <w:rPr>
          <w:rStyle w:val="apple-converted-space"/>
          <w:rFonts w:ascii="Arial" w:hAnsi="Arial" w:cs="Arial"/>
          <w:sz w:val="22"/>
          <w:szCs w:val="22"/>
        </w:rPr>
        <w:t> </w:t>
      </w:r>
    </w:p>
    <w:p w14:paraId="4E5BA896" w14:textId="77777777" w:rsidR="00450BD9" w:rsidRPr="00EB0520" w:rsidRDefault="00450BD9" w:rsidP="00450BD9">
      <w:pPr>
        <w:rPr>
          <w:rStyle w:val="apple-converted-space"/>
          <w:rFonts w:ascii="Arial" w:hAnsi="Arial" w:cs="Arial"/>
          <w:sz w:val="22"/>
          <w:szCs w:val="22"/>
        </w:rPr>
      </w:pPr>
      <w:r w:rsidRPr="00EB0520">
        <w:rPr>
          <w:rFonts w:ascii="Arial" w:hAnsi="Arial" w:cs="Arial"/>
          <w:sz w:val="22"/>
          <w:szCs w:val="22"/>
        </w:rPr>
        <w:t>  National Institute for Health and Care Excellence (NICE) (2021)</w:t>
      </w:r>
      <w:r w:rsidRPr="00EB0520">
        <w:rPr>
          <w:rStyle w:val="apple-converted-space"/>
          <w:rFonts w:ascii="Arial" w:hAnsi="Arial" w:cs="Arial"/>
          <w:sz w:val="22"/>
          <w:szCs w:val="22"/>
        </w:rPr>
        <w:t> </w:t>
      </w:r>
    </w:p>
    <w:p w14:paraId="2D5F6B3E" w14:textId="77777777" w:rsidR="00450BD9" w:rsidRPr="00EB0520" w:rsidRDefault="00450BD9" w:rsidP="00450BD9">
      <w:pPr>
        <w:rPr>
          <w:rFonts w:ascii="Arial" w:hAnsi="Arial" w:cs="Arial"/>
          <w:sz w:val="22"/>
          <w:szCs w:val="22"/>
        </w:rPr>
      </w:pPr>
      <w:r w:rsidRPr="00EB0520">
        <w:rPr>
          <w:rStyle w:val="Emphasis"/>
          <w:rFonts w:ascii="Arial" w:hAnsi="Arial" w:cs="Arial"/>
          <w:sz w:val="22"/>
          <w:szCs w:val="22"/>
        </w:rPr>
        <w:t>Autism spectrum disorder in under 19s: Support and management (CG170)</w:t>
      </w:r>
      <w:r w:rsidRPr="00EB0520">
        <w:rPr>
          <w:rFonts w:ascii="Arial" w:hAnsi="Arial" w:cs="Arial"/>
          <w:sz w:val="22"/>
          <w:szCs w:val="22"/>
        </w:rPr>
        <w:t>. London: NICE.</w:t>
      </w:r>
    </w:p>
    <w:p w14:paraId="40A200D1" w14:textId="77777777" w:rsidR="00450BD9" w:rsidRPr="00EB0520" w:rsidRDefault="00450BD9" w:rsidP="00450BD9">
      <w:pPr>
        <w:rPr>
          <w:rStyle w:val="apple-converted-space"/>
          <w:rFonts w:ascii="Arial" w:hAnsi="Arial" w:cs="Arial"/>
          <w:sz w:val="22"/>
          <w:szCs w:val="22"/>
        </w:rPr>
      </w:pPr>
      <w:r w:rsidRPr="00EB0520">
        <w:rPr>
          <w:rFonts w:ascii="Arial" w:hAnsi="Arial" w:cs="Arial"/>
          <w:sz w:val="22"/>
          <w:szCs w:val="22"/>
        </w:rPr>
        <w:t>  Nursing and Midwifery Council (NMC) (2018)</w:t>
      </w:r>
      <w:r w:rsidRPr="00EB0520">
        <w:rPr>
          <w:rStyle w:val="apple-converted-space"/>
          <w:rFonts w:ascii="Arial" w:hAnsi="Arial" w:cs="Arial"/>
          <w:sz w:val="22"/>
          <w:szCs w:val="22"/>
        </w:rPr>
        <w:t> </w:t>
      </w:r>
    </w:p>
    <w:p w14:paraId="22061CDB" w14:textId="77777777" w:rsidR="00450BD9" w:rsidRPr="00EB0520" w:rsidRDefault="00450BD9" w:rsidP="00450BD9">
      <w:pPr>
        <w:rPr>
          <w:rFonts w:ascii="Arial" w:hAnsi="Arial" w:cs="Arial"/>
          <w:sz w:val="22"/>
          <w:szCs w:val="22"/>
        </w:rPr>
      </w:pPr>
      <w:r w:rsidRPr="00EB0520">
        <w:rPr>
          <w:rStyle w:val="Emphasis"/>
          <w:rFonts w:ascii="Arial" w:hAnsi="Arial" w:cs="Arial"/>
          <w:sz w:val="22"/>
          <w:szCs w:val="22"/>
        </w:rPr>
        <w:t>The Code: Professional standards of practice and behaviour for nurses, midwives and nursing associates</w:t>
      </w:r>
      <w:r w:rsidRPr="00EB0520">
        <w:rPr>
          <w:rFonts w:ascii="Arial" w:hAnsi="Arial" w:cs="Arial"/>
          <w:sz w:val="22"/>
          <w:szCs w:val="22"/>
        </w:rPr>
        <w:t>. London: NMC.</w:t>
      </w:r>
    </w:p>
    <w:p w14:paraId="5F8DC99C" w14:textId="77777777" w:rsidR="00450BD9" w:rsidRPr="00EB0520" w:rsidRDefault="00450BD9" w:rsidP="00450BD9">
      <w:pPr>
        <w:rPr>
          <w:rStyle w:val="apple-converted-space"/>
          <w:rFonts w:ascii="Arial" w:hAnsi="Arial" w:cs="Arial"/>
          <w:sz w:val="22"/>
          <w:szCs w:val="22"/>
        </w:rPr>
      </w:pPr>
      <w:r w:rsidRPr="00EB0520">
        <w:rPr>
          <w:rFonts w:ascii="Arial" w:hAnsi="Arial" w:cs="Arial"/>
          <w:sz w:val="22"/>
          <w:szCs w:val="22"/>
        </w:rPr>
        <w:t>  Bertalanffy, L. von (1968)</w:t>
      </w:r>
      <w:r w:rsidRPr="00EB0520">
        <w:rPr>
          <w:rStyle w:val="apple-converted-space"/>
          <w:rFonts w:ascii="Arial" w:hAnsi="Arial" w:cs="Arial"/>
          <w:sz w:val="22"/>
          <w:szCs w:val="22"/>
        </w:rPr>
        <w:t> </w:t>
      </w:r>
    </w:p>
    <w:p w14:paraId="5D7C4D85" w14:textId="77777777" w:rsidR="00450BD9" w:rsidRPr="00EB0520" w:rsidRDefault="00450BD9" w:rsidP="00450BD9">
      <w:pPr>
        <w:rPr>
          <w:rFonts w:ascii="Arial" w:hAnsi="Arial" w:cs="Arial"/>
          <w:sz w:val="22"/>
          <w:szCs w:val="22"/>
        </w:rPr>
      </w:pPr>
      <w:r w:rsidRPr="00EB0520">
        <w:rPr>
          <w:rStyle w:val="Emphasis"/>
          <w:rFonts w:ascii="Arial" w:hAnsi="Arial" w:cs="Arial"/>
          <w:sz w:val="22"/>
          <w:szCs w:val="22"/>
        </w:rPr>
        <w:t>General System Theory: Foundations, Development, Applications</w:t>
      </w:r>
      <w:r w:rsidRPr="00EB0520">
        <w:rPr>
          <w:rFonts w:ascii="Arial" w:hAnsi="Arial" w:cs="Arial"/>
          <w:sz w:val="22"/>
          <w:szCs w:val="22"/>
        </w:rPr>
        <w:t>. New York: George Braziller.</w:t>
      </w:r>
    </w:p>
    <w:p w14:paraId="2C577543" w14:textId="77777777" w:rsidR="002402A0" w:rsidRPr="00EB0520" w:rsidRDefault="002402A0">
      <w:pPr>
        <w:rPr>
          <w:rFonts w:ascii="Arial" w:hAnsi="Arial" w:cs="Arial"/>
          <w:sz w:val="22"/>
          <w:szCs w:val="22"/>
        </w:rPr>
      </w:pPr>
    </w:p>
    <w:sectPr w:rsidR="002402A0" w:rsidRPr="00EB05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Vrinda">
    <w:panose1 w:val="00000400000000000000"/>
    <w:charset w:val="01"/>
    <w:family w:val="roman"/>
    <w:pitch w:val="variable"/>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2A0"/>
    <w:rsid w:val="002064C0"/>
    <w:rsid w:val="002402A0"/>
    <w:rsid w:val="002A0615"/>
    <w:rsid w:val="002E2FA5"/>
    <w:rsid w:val="00450BD9"/>
    <w:rsid w:val="00453B08"/>
    <w:rsid w:val="00485673"/>
    <w:rsid w:val="005C2590"/>
    <w:rsid w:val="005C4F00"/>
    <w:rsid w:val="006C517F"/>
    <w:rsid w:val="007077BB"/>
    <w:rsid w:val="0090702E"/>
    <w:rsid w:val="00981C51"/>
    <w:rsid w:val="00AE2137"/>
    <w:rsid w:val="00AF5564"/>
    <w:rsid w:val="00BF67B1"/>
    <w:rsid w:val="00D033AE"/>
    <w:rsid w:val="00E03976"/>
    <w:rsid w:val="00E03DB5"/>
    <w:rsid w:val="00E648B0"/>
    <w:rsid w:val="00EB0520"/>
    <w:rsid w:val="00F312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8D353A9"/>
  <w15:chartTrackingRefBased/>
  <w15:docId w15:val="{609FF72E-58F6-4620-B4E9-3C4327C0A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2402A0"/>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2402A0"/>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2402A0"/>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2402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02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02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02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02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02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2A0"/>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2402A0"/>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2402A0"/>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2402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02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02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02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02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02A0"/>
    <w:rPr>
      <w:rFonts w:eastAsiaTheme="majorEastAsia" w:cstheme="majorBidi"/>
      <w:color w:val="272727" w:themeColor="text1" w:themeTint="D8"/>
    </w:rPr>
  </w:style>
  <w:style w:type="paragraph" w:styleId="Title">
    <w:name w:val="Title"/>
    <w:basedOn w:val="Normal"/>
    <w:next w:val="Normal"/>
    <w:link w:val="TitleChar"/>
    <w:uiPriority w:val="10"/>
    <w:qFormat/>
    <w:rsid w:val="002402A0"/>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402A0"/>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402A0"/>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402A0"/>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402A0"/>
    <w:pPr>
      <w:spacing w:before="160"/>
      <w:jc w:val="center"/>
    </w:pPr>
    <w:rPr>
      <w:i/>
      <w:iCs/>
      <w:color w:val="404040" w:themeColor="text1" w:themeTint="BF"/>
    </w:rPr>
  </w:style>
  <w:style w:type="character" w:customStyle="1" w:styleId="QuoteChar">
    <w:name w:val="Quote Char"/>
    <w:basedOn w:val="DefaultParagraphFont"/>
    <w:link w:val="Quote"/>
    <w:uiPriority w:val="29"/>
    <w:rsid w:val="002402A0"/>
    <w:rPr>
      <w:rFonts w:cs="Vrinda"/>
      <w:i/>
      <w:iCs/>
      <w:color w:val="404040" w:themeColor="text1" w:themeTint="BF"/>
    </w:rPr>
  </w:style>
  <w:style w:type="paragraph" w:styleId="ListParagraph">
    <w:name w:val="List Paragraph"/>
    <w:basedOn w:val="Normal"/>
    <w:uiPriority w:val="34"/>
    <w:qFormat/>
    <w:rsid w:val="002402A0"/>
    <w:pPr>
      <w:ind w:left="720"/>
      <w:contextualSpacing/>
    </w:pPr>
  </w:style>
  <w:style w:type="character" w:styleId="IntenseEmphasis">
    <w:name w:val="Intense Emphasis"/>
    <w:basedOn w:val="DefaultParagraphFont"/>
    <w:uiPriority w:val="21"/>
    <w:qFormat/>
    <w:rsid w:val="002402A0"/>
    <w:rPr>
      <w:i/>
      <w:iCs/>
      <w:color w:val="0F4761" w:themeColor="accent1" w:themeShade="BF"/>
    </w:rPr>
  </w:style>
  <w:style w:type="paragraph" w:styleId="IntenseQuote">
    <w:name w:val="Intense Quote"/>
    <w:basedOn w:val="Normal"/>
    <w:next w:val="Normal"/>
    <w:link w:val="IntenseQuoteChar"/>
    <w:uiPriority w:val="30"/>
    <w:qFormat/>
    <w:rsid w:val="002402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02A0"/>
    <w:rPr>
      <w:rFonts w:cs="Vrinda"/>
      <w:i/>
      <w:iCs/>
      <w:color w:val="0F4761" w:themeColor="accent1" w:themeShade="BF"/>
    </w:rPr>
  </w:style>
  <w:style w:type="character" w:styleId="IntenseReference">
    <w:name w:val="Intense Reference"/>
    <w:basedOn w:val="DefaultParagraphFont"/>
    <w:uiPriority w:val="32"/>
    <w:qFormat/>
    <w:rsid w:val="002402A0"/>
    <w:rPr>
      <w:b/>
      <w:bCs/>
      <w:smallCaps/>
      <w:color w:val="0F4761" w:themeColor="accent1" w:themeShade="BF"/>
      <w:spacing w:val="5"/>
    </w:rPr>
  </w:style>
  <w:style w:type="paragraph" w:customStyle="1" w:styleId="isselectedend">
    <w:name w:val="isselectedend"/>
    <w:basedOn w:val="Normal"/>
    <w:rsid w:val="002402A0"/>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paragraph" w:styleId="NormalWeb">
    <w:name w:val="Normal (Web)"/>
    <w:basedOn w:val="Normal"/>
    <w:uiPriority w:val="99"/>
    <w:semiHidden/>
    <w:unhideWhenUsed/>
    <w:rsid w:val="002402A0"/>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apple-converted-space">
    <w:name w:val="apple-converted-space"/>
    <w:basedOn w:val="DefaultParagraphFont"/>
    <w:rsid w:val="00450BD9"/>
  </w:style>
  <w:style w:type="character" w:styleId="Emphasis">
    <w:name w:val="Emphasis"/>
    <w:basedOn w:val="DefaultParagraphFont"/>
    <w:uiPriority w:val="20"/>
    <w:qFormat/>
    <w:rsid w:val="00450BD9"/>
    <w:rPr>
      <w:i/>
      <w:iCs/>
    </w:rPr>
  </w:style>
  <w:style w:type="character" w:styleId="Hyperlink">
    <w:name w:val="Hyperlink"/>
    <w:basedOn w:val="DefaultParagraphFont"/>
    <w:uiPriority w:val="99"/>
    <w:semiHidden/>
    <w:unhideWhenUsed/>
    <w:rsid w:val="00450BD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05/9" TargetMode="External"/><Relationship Id="rId5" Type="http://schemas.openxmlformats.org/officeDocument/2006/relationships/hyperlink" Target="https://www.legislation.gov.uk/ukpga/2010/15" TargetMode="External"/><Relationship Id="rId4" Type="http://schemas.openxmlformats.org/officeDocument/2006/relationships/hyperlink" Target="https://www.legislation.gov.uk/ukpga/2014/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53</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Sadiya Islam (2435367)</dc:creator>
  <cp:keywords/>
  <dc:description/>
  <cp:lastModifiedBy>Sadiya Islam (2435367)</cp:lastModifiedBy>
  <cp:revision>14</cp:revision>
  <dcterms:created xsi:type="dcterms:W3CDTF">2026-07-09T14:31:00Z</dcterms:created>
  <dcterms:modified xsi:type="dcterms:W3CDTF">2026-07-12T02:17:00Z</dcterms:modified>
</cp:coreProperties>
</file>