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5D5B5" w14:textId="77777777" w:rsidR="00BC7087" w:rsidRDefault="00BC7087" w:rsidP="00BC7087">
      <w:pPr>
        <w:spacing w:line="360" w:lineRule="auto"/>
        <w:rPr>
          <w:rFonts w:ascii="Times New Roman" w:hAnsi="Times New Roman" w:cs="Times New Roman"/>
          <w:u w:val="single"/>
        </w:rPr>
      </w:pPr>
      <w:r>
        <w:rPr>
          <w:rFonts w:ascii="Times New Roman" w:hAnsi="Times New Roman" w:cs="Times New Roman"/>
          <w:u w:val="single"/>
        </w:rPr>
        <w:t>SSAP6010 – Challenges in Old Age: Social and Developmental Transitions (Re-Sit)</w:t>
      </w:r>
    </w:p>
    <w:p w14:paraId="436462C3" w14:textId="77777777" w:rsidR="00BC7087" w:rsidRDefault="00BC7087" w:rsidP="00BC7087">
      <w:pPr>
        <w:spacing w:line="360" w:lineRule="auto"/>
        <w:rPr>
          <w:rFonts w:ascii="Times New Roman" w:hAnsi="Times New Roman" w:cs="Times New Roman"/>
          <w:u w:val="single"/>
        </w:rPr>
      </w:pPr>
    </w:p>
    <w:p w14:paraId="7D2D9CCA" w14:textId="77777777" w:rsidR="00BC7087" w:rsidRDefault="00BC7087" w:rsidP="00BC7087">
      <w:pPr>
        <w:spacing w:line="360" w:lineRule="auto"/>
        <w:rPr>
          <w:rFonts w:ascii="Times New Roman" w:hAnsi="Times New Roman" w:cs="Times New Roman"/>
          <w:u w:val="single"/>
        </w:rPr>
      </w:pPr>
      <w:r>
        <w:rPr>
          <w:rFonts w:ascii="Times New Roman" w:hAnsi="Times New Roman" w:cs="Times New Roman"/>
          <w:u w:val="single"/>
        </w:rPr>
        <w:t xml:space="preserve">2. Critically discuss psychological theory associated with retirement. </w:t>
      </w:r>
    </w:p>
    <w:p w14:paraId="59E4FC4C" w14:textId="77777777" w:rsidR="00BC7087" w:rsidRDefault="00BC7087" w:rsidP="00BC7087">
      <w:pPr>
        <w:spacing w:line="360" w:lineRule="auto"/>
        <w:rPr>
          <w:rFonts w:ascii="Times New Roman" w:hAnsi="Times New Roman" w:cs="Times New Roman"/>
          <w:u w:val="single"/>
        </w:rPr>
      </w:pPr>
    </w:p>
    <w:p w14:paraId="40AFE6D2"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A topic researched by many fields from sociology and social work to psychology, retirement has become a prominent, increasing body of literature due to a rapidly aging population, an increase in longevity and the retirement of the </w:t>
      </w:r>
      <w:r>
        <w:rPr>
          <w:rFonts w:ascii="Times New Roman" w:hAnsi="Times New Roman" w:cs="Times New Roman"/>
          <w:i/>
          <w:iCs/>
        </w:rPr>
        <w:t>‘baby boom’</w:t>
      </w:r>
      <w:r>
        <w:rPr>
          <w:rFonts w:ascii="Times New Roman" w:hAnsi="Times New Roman" w:cs="Times New Roman"/>
        </w:rPr>
        <w:t xml:space="preserve"> generation (OECD, 2006; Shultz &amp; Wang, 2011). The psychological perspective of the study of retirement captures its ever-changing nature and directly studies both psychological and behavioural history and outcomes, but also the underlying mechanisms of the process of retirement (Shultz &amp; Wang, 2011). Historically, it was normal for the older generation to continue working until no longer able, until the introduction of pension plans and retirement ages made mandatory in the 1980s. However, in more recent years there has been a shift from a mandatory retirement to an emphasis on retirement being the choice of the older worker (Shultz &amp; Wang, 2011). Psychologically, research has been undertaken in multiple disciplines; which each have their own perspectives contributing to the understanding of retirement dynamics (Shultz &amp; Wang, 2011). </w:t>
      </w:r>
    </w:p>
    <w:p w14:paraId="3736DFC1"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Empirical research has been inconsistent within the study of retirement, with researchers identifying negative associations between morale or life-satisfaction and retirement and positive associations with any distress psychologically; whereas others have presented no psychological effects or relationships associated with life-satisfaction and retirement (Kim &amp; Moen, 2002). Early studies of retirement generally suffered from two weaknesses. Firstly, there was limited exploration into a woman’s transition into retirement as many researchers focused solely on the retirement of men (Kim &amp; Moen, 2002). Secondly, the majority of early retirement studies by nature are cross-sectional. More dynamic, longitudinal studies are needed to explore transition effects between those who have retired and those who have not retired (Kim &amp; Moen, 2002). This answer aims to critically explore the retirement theories that have shaped the way retirement is studied with the use of up to date empirical research.</w:t>
      </w:r>
    </w:p>
    <w:p w14:paraId="4F32C44E"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Role Theory alongside the Life-Course Perspective are perhaps some of the more commonly used explanations in psychology for retirement and life transitions (George, 1993; Elder, 1995; Moen, 2001). Role theory suggests that the role transition of retirement can have both positive and negative effects on how the individual adjusts, but that this depends on how desirable the role transition is or how it matches the goals and values of the individual (Kim &amp; Moen, 2002). This lends to a number of formulations related to the Life-Course Perspective; </w:t>
      </w:r>
      <w:r>
        <w:rPr>
          <w:rFonts w:ascii="Times New Roman" w:hAnsi="Times New Roman" w:cs="Times New Roman"/>
        </w:rPr>
        <w:lastRenderedPageBreak/>
        <w:t xml:space="preserve">for example – the perspective of role enhancement, where individuals who retire from their chosen career may feel a sense of vulnerability to the loss of role leading to psychological distress (Kim &amp; Moen, 2002). This poses the notion that an employment role is key to an individual’s identity and the loss of this identity can bring about a decline in the individual’s morale causing an increase in depressive symptoms (Kim &amp; Moen, 2002). On the other hand, retirement from a demanding career may be an exit from a life-course-role that reduces stress, strain and a feeling of being over-loaded, in turn enhancing well-being (Kim &amp; Moen, 2002). </w:t>
      </w:r>
    </w:p>
    <w:p w14:paraId="69A1D254"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Ayalon (2018) explored and evaluated the accounts of retired individuals and their adult children with regards to the transition and adjustment into a continuing care retirement community over 6 years, focusing on the changes that have taken place and the stability of this transition. A continuing care retirement community is a way of living where affluent, retired individuals can remain independent with daily living but offers different levels of care based on individual needs that go alongside old age (</w:t>
      </w:r>
      <w:proofErr w:type="spellStart"/>
      <w:r>
        <w:rPr>
          <w:rFonts w:ascii="Times New Roman" w:hAnsi="Times New Roman" w:cs="Times New Roman"/>
        </w:rPr>
        <w:t>Krout</w:t>
      </w:r>
      <w:proofErr w:type="spellEnd"/>
      <w:r>
        <w:rPr>
          <w:rFonts w:ascii="Times New Roman" w:hAnsi="Times New Roman" w:cs="Times New Roman"/>
        </w:rPr>
        <w:t xml:space="preserve"> et al., 2002; Sheehan, 1995). Ayalon (2018) conducted a total of 187 interviews, between 6 months and 6 years of transition, with retired individuals and their adult children. A thematic analysis found there to be three major themes from the interviews, with a focus on the perception of time being of particular principle. It was found that both the retired individuals and the adult children had the perception of moving both forward and backwards through time after the continuing care retirement community transition and had expectations of a future deterioration (Ayalon, 2018). This movement of perceived time was demonstrated with three major themes – possession and place exchanges, the process of aging while in a continuing care retirement community and the family system role reversal associated with continuing care retirement community transitions (Ayalon, 2018).  </w:t>
      </w:r>
    </w:p>
    <w:p w14:paraId="000ED33C"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Ayalon (2018) demonstrates that there is an interdependence between the retired individuals and their adult children, which is presented through their perceptions of time. The retired individuals actively looked for continuing care retirement communities that were reminiscent of their early background, this plays a key role in the way in which they adapt (</w:t>
      </w:r>
      <w:proofErr w:type="spellStart"/>
      <w:r>
        <w:rPr>
          <w:rFonts w:ascii="Times New Roman" w:hAnsi="Times New Roman" w:cs="Times New Roman"/>
        </w:rPr>
        <w:t>Bengston</w:t>
      </w:r>
      <w:proofErr w:type="spellEnd"/>
      <w:r>
        <w:rPr>
          <w:rFonts w:ascii="Times New Roman" w:hAnsi="Times New Roman" w:cs="Times New Roman"/>
        </w:rPr>
        <w:t xml:space="preserve"> &amp; Allen, 1993; Ayalon, 2018). There are a number of limitations to acknowledge in relation to Ayalon (2018) study. Firstly, the qualitative design of the study does not provide conclusions that can be generalised throughout the retired population and not all themes presented in the interviews were further discussed (Ayalon, 2018). Secondly, the analysis compared both groups and was not dyadic; meaning that interviews of retired individuals, where adult children were not available, were still analysed (Ayalon, 2018). And finally, even though Ayalon (2018) tried to provide a perspective on the transition experience of retired </w:t>
      </w:r>
      <w:r>
        <w:rPr>
          <w:rFonts w:ascii="Times New Roman" w:hAnsi="Times New Roman" w:cs="Times New Roman"/>
        </w:rPr>
        <w:lastRenderedPageBreak/>
        <w:t xml:space="preserve">individuals into a continuing care retirement community, participants who did not take part in all interviews over the 6 years may have suffered a more substantial deterioration or be dissatisfied with living within a continuing care retirement community and had moved somewhere else. </w:t>
      </w:r>
    </w:p>
    <w:p w14:paraId="53CA5BCB"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Another psychological theory of retirement is the Continuity Theory. The Continuity Theory suggests that retired individuals are more likely to maintain previous patterns of lifestyle, values and self-esteem as they leave their chosen career (Kim &amp; Moen, 2002). This means that the transition of retirement does not need to lead to distress or maladjustment. Found consistent with this view an early study carried out by George &amp; Maddox in 1977 found that there was a high level of stability in the life-satisfaction of 57 retired men over a period of 5 years. However, George &amp; Maddox (1977) combined both participants who had already retired with those who had retired over the 5 year study period, this means that the results might not have reflected the true impact of the transition into retirement on changes in life-satisfaction (Kim &amp; Moen, 2002). A more up to date study using the Continuity theory, is that of </w:t>
      </w:r>
      <w:proofErr w:type="spellStart"/>
      <w:r>
        <w:rPr>
          <w:rFonts w:ascii="Times New Roman" w:hAnsi="Times New Roman" w:cs="Times New Roman"/>
        </w:rPr>
        <w:t>Eismann</w:t>
      </w:r>
      <w:proofErr w:type="spellEnd"/>
      <w:r>
        <w:rPr>
          <w:rFonts w:ascii="Times New Roman" w:hAnsi="Times New Roman" w:cs="Times New Roman"/>
        </w:rPr>
        <w:t xml:space="preserve"> et al (2019) who explored firstly, the activities retiring workers plan to do once retired. Secondly, a categorisation of these activities that is theory-driven and thirdly, explain these retirement activities from psychological, structural and social precursors found in their model (</w:t>
      </w:r>
      <w:proofErr w:type="spellStart"/>
      <w:r>
        <w:rPr>
          <w:rFonts w:ascii="Times New Roman" w:hAnsi="Times New Roman" w:cs="Times New Roman"/>
        </w:rPr>
        <w:t>Eismann</w:t>
      </w:r>
      <w:proofErr w:type="spellEnd"/>
      <w:r>
        <w:rPr>
          <w:rFonts w:ascii="Times New Roman" w:hAnsi="Times New Roman" w:cs="Times New Roman"/>
        </w:rPr>
        <w:t xml:space="preserve"> et al., 2019). </w:t>
      </w:r>
    </w:p>
    <w:p w14:paraId="15306107"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w:t>
      </w:r>
      <w:proofErr w:type="spellStart"/>
      <w:r>
        <w:rPr>
          <w:rFonts w:ascii="Times New Roman" w:hAnsi="Times New Roman" w:cs="Times New Roman"/>
        </w:rPr>
        <w:t>Eismann</w:t>
      </w:r>
      <w:proofErr w:type="spellEnd"/>
      <w:r>
        <w:rPr>
          <w:rFonts w:ascii="Times New Roman" w:hAnsi="Times New Roman" w:cs="Times New Roman"/>
        </w:rPr>
        <w:t xml:space="preserve"> et al. (2019) collected data from 6,793 retiring workers, aged between 60 and 65, who represented those who worked in education, the government, health, construction and social care. A self-report questionnaire was used to measure plans for activities during retirement, continuity opportunities, support from spouses, time perception and the control variables (gender, age, financial satisfaction and health) (</w:t>
      </w:r>
      <w:proofErr w:type="spellStart"/>
      <w:r>
        <w:rPr>
          <w:rFonts w:ascii="Times New Roman" w:hAnsi="Times New Roman" w:cs="Times New Roman"/>
        </w:rPr>
        <w:t>Eismann</w:t>
      </w:r>
      <w:proofErr w:type="spellEnd"/>
      <w:r>
        <w:rPr>
          <w:rFonts w:ascii="Times New Roman" w:hAnsi="Times New Roman" w:cs="Times New Roman"/>
        </w:rPr>
        <w:t xml:space="preserve"> et al., 2019). It was found that participants had no plans to undertake any form of bridge employment once retired and mixed plans for activities that would be self-developmental, with 47% of participants planning to carry on with old activities (</w:t>
      </w:r>
      <w:proofErr w:type="spellStart"/>
      <w:r>
        <w:rPr>
          <w:rFonts w:ascii="Times New Roman" w:hAnsi="Times New Roman" w:cs="Times New Roman"/>
        </w:rPr>
        <w:t>Eismann</w:t>
      </w:r>
      <w:proofErr w:type="spellEnd"/>
      <w:r>
        <w:rPr>
          <w:rFonts w:ascii="Times New Roman" w:hAnsi="Times New Roman" w:cs="Times New Roman"/>
        </w:rPr>
        <w:t xml:space="preserve"> et al., 2019). It was also found that, supporting the Continuity Theory, the existing life structures both external and internal have an effect on activity plans in retirement – that retiring individuals hope to maintain relationships and activities that already exist, relying on what they already know (</w:t>
      </w:r>
      <w:proofErr w:type="spellStart"/>
      <w:r>
        <w:rPr>
          <w:rFonts w:ascii="Times New Roman" w:hAnsi="Times New Roman" w:cs="Times New Roman"/>
        </w:rPr>
        <w:t>Eismann</w:t>
      </w:r>
      <w:proofErr w:type="spellEnd"/>
      <w:r>
        <w:rPr>
          <w:rFonts w:ascii="Times New Roman" w:hAnsi="Times New Roman" w:cs="Times New Roman"/>
        </w:rPr>
        <w:t xml:space="preserve"> et al., 2019). </w:t>
      </w:r>
    </w:p>
    <w:p w14:paraId="7C070854" w14:textId="77777777" w:rsidR="00BC7087" w:rsidRDefault="00BC7087" w:rsidP="00BC7087">
      <w:pPr>
        <w:spacing w:line="360" w:lineRule="auto"/>
        <w:jc w:val="both"/>
        <w:rPr>
          <w:rFonts w:ascii="Times New Roman" w:hAnsi="Times New Roman" w:cs="Times New Roman"/>
        </w:rPr>
      </w:pPr>
      <w:r>
        <w:rPr>
          <w:rFonts w:ascii="Times New Roman" w:hAnsi="Times New Roman" w:cs="Times New Roman"/>
        </w:rPr>
        <w:t xml:space="preserve">        With retirement no longer seen as the ending of an individual’s working career; but more as the opportunity to continue with activities and relationships formed from a working career. As individuals might make a choice to retire the same as others their age, personal circumstances, finances, planning and other characteristics may mean that retirement can be different for one person to the next (Shultz &amp; Wang, 2011).</w:t>
      </w:r>
    </w:p>
    <w:p w14:paraId="36A260B8" w14:textId="44B1A8A2" w:rsidR="000D0E1B" w:rsidRDefault="00BC7087" w:rsidP="00BC7087">
      <w:pPr>
        <w:spacing w:line="360" w:lineRule="auto"/>
        <w:jc w:val="both"/>
        <w:rPr>
          <w:rFonts w:ascii="Times New Roman" w:hAnsi="Times New Roman" w:cs="Times New Roman"/>
          <w:u w:val="single"/>
        </w:rPr>
      </w:pPr>
      <w:r w:rsidRPr="00BC7087">
        <w:rPr>
          <w:rFonts w:ascii="Times New Roman" w:hAnsi="Times New Roman" w:cs="Times New Roman"/>
          <w:u w:val="single"/>
        </w:rPr>
        <w:lastRenderedPageBreak/>
        <w:t xml:space="preserve">4. Critically discuss the efficacy of treatments available to older people with depression. </w:t>
      </w:r>
    </w:p>
    <w:p w14:paraId="501BC316" w14:textId="5417F21E" w:rsidR="00BC7087" w:rsidRDefault="00BC7087" w:rsidP="00BC7087">
      <w:pPr>
        <w:spacing w:line="360" w:lineRule="auto"/>
        <w:jc w:val="both"/>
        <w:rPr>
          <w:rFonts w:ascii="Times New Roman" w:hAnsi="Times New Roman" w:cs="Times New Roman"/>
          <w:u w:val="single"/>
        </w:rPr>
      </w:pPr>
    </w:p>
    <w:p w14:paraId="2F296C5D" w14:textId="4C97A543" w:rsidR="00013E3F" w:rsidRDefault="00013E3F" w:rsidP="00BC7087">
      <w:pPr>
        <w:spacing w:line="360" w:lineRule="auto"/>
        <w:jc w:val="both"/>
        <w:rPr>
          <w:rFonts w:ascii="Times New Roman" w:hAnsi="Times New Roman" w:cs="Times New Roman"/>
        </w:rPr>
      </w:pPr>
      <w:r>
        <w:rPr>
          <w:rFonts w:ascii="Times New Roman" w:hAnsi="Times New Roman" w:cs="Times New Roman"/>
        </w:rPr>
        <w:t xml:space="preserve">         Depression later in life is a psychiatric disorder that can be responsible for diminishing the quality of life in the older generation (</w:t>
      </w:r>
      <w:proofErr w:type="spellStart"/>
      <w:r>
        <w:rPr>
          <w:rFonts w:ascii="Times New Roman" w:hAnsi="Times New Roman" w:cs="Times New Roman"/>
        </w:rPr>
        <w:t>Kok</w:t>
      </w:r>
      <w:proofErr w:type="spellEnd"/>
      <w:r>
        <w:rPr>
          <w:rFonts w:ascii="Times New Roman" w:hAnsi="Times New Roman" w:cs="Times New Roman"/>
        </w:rPr>
        <w:t xml:space="preserve"> &amp; Reynolds, 2017). It has been said that </w:t>
      </w:r>
      <w:r w:rsidR="00BC7087">
        <w:rPr>
          <w:rFonts w:ascii="Times New Roman" w:hAnsi="Times New Roman" w:cs="Times New Roman"/>
        </w:rPr>
        <w:t xml:space="preserve">the world’s population of individuals aged 60 or over expected to increase from 8% in the 1950s to 12% in 2013 and potentially 21% by 2050 (United Nations, Department of Economic and Social Affairs, Population Division, 2013; </w:t>
      </w:r>
      <w:proofErr w:type="spellStart"/>
      <w:r w:rsidR="00BC7087">
        <w:rPr>
          <w:rFonts w:ascii="Times New Roman" w:hAnsi="Times New Roman" w:cs="Times New Roman"/>
        </w:rPr>
        <w:t>Pruckner</w:t>
      </w:r>
      <w:proofErr w:type="spellEnd"/>
      <w:r w:rsidR="00BC7087">
        <w:rPr>
          <w:rFonts w:ascii="Times New Roman" w:hAnsi="Times New Roman" w:cs="Times New Roman"/>
        </w:rPr>
        <w:t xml:space="preserve"> &amp; </w:t>
      </w:r>
      <w:proofErr w:type="spellStart"/>
      <w:r w:rsidR="00BC7087">
        <w:rPr>
          <w:rFonts w:ascii="Times New Roman" w:hAnsi="Times New Roman" w:cs="Times New Roman"/>
        </w:rPr>
        <w:t>Ho</w:t>
      </w:r>
      <w:r w:rsidR="0025442B">
        <w:rPr>
          <w:rFonts w:ascii="Times New Roman" w:hAnsi="Times New Roman" w:cs="Times New Roman"/>
        </w:rPr>
        <w:t>l</w:t>
      </w:r>
      <w:r w:rsidR="00BC7087">
        <w:rPr>
          <w:rFonts w:ascii="Times New Roman" w:hAnsi="Times New Roman" w:cs="Times New Roman"/>
        </w:rPr>
        <w:t>thoff-Detto</w:t>
      </w:r>
      <w:proofErr w:type="spellEnd"/>
      <w:r w:rsidR="00BC7087">
        <w:rPr>
          <w:rFonts w:ascii="Times New Roman" w:hAnsi="Times New Roman" w:cs="Times New Roman"/>
        </w:rPr>
        <w:t xml:space="preserve">, 2017). </w:t>
      </w:r>
      <w:r>
        <w:rPr>
          <w:rFonts w:ascii="Times New Roman" w:hAnsi="Times New Roman" w:cs="Times New Roman"/>
        </w:rPr>
        <w:t>The treatment of depression in later life can be approached in a similar way to the younger patient, with the main treatments being antidepressant therapies and psychotherapies that are specific for depression – such as interpersonal or cognitive therapies (</w:t>
      </w:r>
      <w:proofErr w:type="spellStart"/>
      <w:r>
        <w:rPr>
          <w:rFonts w:ascii="Times New Roman" w:hAnsi="Times New Roman" w:cs="Times New Roman"/>
        </w:rPr>
        <w:t>Kok</w:t>
      </w:r>
      <w:proofErr w:type="spellEnd"/>
      <w:r>
        <w:rPr>
          <w:rFonts w:ascii="Times New Roman" w:hAnsi="Times New Roman" w:cs="Times New Roman"/>
        </w:rPr>
        <w:t xml:space="preserve"> &amp; Reynolds, 2017). Although, to establish a depression diagnosis for the elderly is known to be more difficult</w:t>
      </w:r>
      <w:r w:rsidR="004B4D03">
        <w:rPr>
          <w:rFonts w:ascii="Times New Roman" w:hAnsi="Times New Roman" w:cs="Times New Roman"/>
        </w:rPr>
        <w:t xml:space="preserve"> due to a number of psychical comorbidities and declines in cognitive functions (</w:t>
      </w:r>
      <w:proofErr w:type="spellStart"/>
      <w:r w:rsidR="004B4D03">
        <w:rPr>
          <w:rFonts w:ascii="Times New Roman" w:hAnsi="Times New Roman" w:cs="Times New Roman"/>
        </w:rPr>
        <w:t>Kok</w:t>
      </w:r>
      <w:proofErr w:type="spellEnd"/>
      <w:r w:rsidR="004B4D03">
        <w:rPr>
          <w:rFonts w:ascii="Times New Roman" w:hAnsi="Times New Roman" w:cs="Times New Roman"/>
        </w:rPr>
        <w:t xml:space="preserve"> &amp; Reynolds, 2017). </w:t>
      </w:r>
    </w:p>
    <w:p w14:paraId="5A6D28EB" w14:textId="126104D7" w:rsidR="0025442B" w:rsidRDefault="004B4D03" w:rsidP="00BC7087">
      <w:pPr>
        <w:spacing w:line="360" w:lineRule="auto"/>
        <w:jc w:val="both"/>
        <w:rPr>
          <w:rFonts w:ascii="Times New Roman" w:hAnsi="Times New Roman" w:cs="Times New Roman"/>
        </w:rPr>
      </w:pPr>
      <w:r>
        <w:rPr>
          <w:rFonts w:ascii="Times New Roman" w:hAnsi="Times New Roman" w:cs="Times New Roman"/>
        </w:rPr>
        <w:t xml:space="preserve">        </w:t>
      </w:r>
      <w:r w:rsidR="00BC7087">
        <w:rPr>
          <w:rFonts w:ascii="Times New Roman" w:hAnsi="Times New Roman" w:cs="Times New Roman"/>
        </w:rPr>
        <w:t>During everyday life in old age, physical functioning and autonomy is essential, as is the participation in cultural, physical and social activities; and its potential loss can threaten the quality of life and independence of the elderly (</w:t>
      </w:r>
      <w:r w:rsidR="00720C58">
        <w:rPr>
          <w:rFonts w:ascii="Times New Roman" w:hAnsi="Times New Roman" w:cs="Times New Roman"/>
        </w:rPr>
        <w:t>Stenholm et al, 2015</w:t>
      </w:r>
      <w:r w:rsidR="00BC7087">
        <w:rPr>
          <w:rFonts w:ascii="Times New Roman" w:hAnsi="Times New Roman" w:cs="Times New Roman"/>
        </w:rPr>
        <w:t xml:space="preserve">). An attempt to prevent this loss of quality of life and </w:t>
      </w:r>
      <w:r w:rsidR="009358A5">
        <w:rPr>
          <w:rFonts w:ascii="Times New Roman" w:hAnsi="Times New Roman" w:cs="Times New Roman"/>
        </w:rPr>
        <w:t>independence is fundamental to those in old age (</w:t>
      </w:r>
      <w:proofErr w:type="spellStart"/>
      <w:r w:rsidR="009358A5">
        <w:rPr>
          <w:rFonts w:ascii="Times New Roman" w:hAnsi="Times New Roman" w:cs="Times New Roman"/>
        </w:rPr>
        <w:t>Pruckner</w:t>
      </w:r>
      <w:proofErr w:type="spellEnd"/>
      <w:r w:rsidR="009358A5">
        <w:rPr>
          <w:rFonts w:ascii="Times New Roman" w:hAnsi="Times New Roman" w:cs="Times New Roman"/>
        </w:rPr>
        <w:t xml:space="preserve"> &amp; </w:t>
      </w:r>
      <w:proofErr w:type="spellStart"/>
      <w:r w:rsidR="009358A5">
        <w:rPr>
          <w:rFonts w:ascii="Times New Roman" w:hAnsi="Times New Roman" w:cs="Times New Roman"/>
        </w:rPr>
        <w:t>Ho</w:t>
      </w:r>
      <w:r w:rsidR="0025442B">
        <w:rPr>
          <w:rFonts w:ascii="Times New Roman" w:hAnsi="Times New Roman" w:cs="Times New Roman"/>
        </w:rPr>
        <w:t>l</w:t>
      </w:r>
      <w:r w:rsidR="009358A5">
        <w:rPr>
          <w:rFonts w:ascii="Times New Roman" w:hAnsi="Times New Roman" w:cs="Times New Roman"/>
        </w:rPr>
        <w:t>thoff-Detto</w:t>
      </w:r>
      <w:proofErr w:type="spellEnd"/>
      <w:r w:rsidR="009358A5">
        <w:rPr>
          <w:rFonts w:ascii="Times New Roman" w:hAnsi="Times New Roman" w:cs="Times New Roman"/>
        </w:rPr>
        <w:t>, 2017). With a high mortality risk through suicide and self-neglect in old age depression, diagnosis and treatment is key (</w:t>
      </w:r>
      <w:proofErr w:type="spellStart"/>
      <w:r w:rsidR="00720C58">
        <w:rPr>
          <w:rFonts w:ascii="Times New Roman" w:hAnsi="Times New Roman" w:cs="Times New Roman"/>
        </w:rPr>
        <w:t>Djernes</w:t>
      </w:r>
      <w:proofErr w:type="spellEnd"/>
      <w:r w:rsidR="00720C58">
        <w:rPr>
          <w:rFonts w:ascii="Times New Roman" w:hAnsi="Times New Roman" w:cs="Times New Roman"/>
        </w:rPr>
        <w:t xml:space="preserve"> et al</w:t>
      </w:r>
      <w:r w:rsidR="0011070B">
        <w:rPr>
          <w:rFonts w:ascii="Times New Roman" w:hAnsi="Times New Roman" w:cs="Times New Roman"/>
        </w:rPr>
        <w:t>.</w:t>
      </w:r>
      <w:r w:rsidR="00720C58">
        <w:rPr>
          <w:rFonts w:ascii="Times New Roman" w:hAnsi="Times New Roman" w:cs="Times New Roman"/>
        </w:rPr>
        <w:t>, 2011;</w:t>
      </w:r>
      <w:r w:rsidR="009358A5">
        <w:rPr>
          <w:rFonts w:ascii="Times New Roman" w:hAnsi="Times New Roman" w:cs="Times New Roman"/>
        </w:rPr>
        <w:t xml:space="preserve"> </w:t>
      </w:r>
      <w:r w:rsidR="00720C58">
        <w:rPr>
          <w:rFonts w:ascii="Times New Roman" w:hAnsi="Times New Roman" w:cs="Times New Roman"/>
        </w:rPr>
        <w:t>Van Order et al.,</w:t>
      </w:r>
      <w:r w:rsidR="0011070B">
        <w:rPr>
          <w:rFonts w:ascii="Times New Roman" w:hAnsi="Times New Roman" w:cs="Times New Roman"/>
        </w:rPr>
        <w:t xml:space="preserve"> 2013;</w:t>
      </w:r>
      <w:r w:rsidR="00720C58">
        <w:rPr>
          <w:rFonts w:ascii="Times New Roman" w:hAnsi="Times New Roman" w:cs="Times New Roman"/>
        </w:rPr>
        <w:t xml:space="preserve"> </w:t>
      </w:r>
      <w:r w:rsidR="0011070B">
        <w:rPr>
          <w:rFonts w:ascii="Times New Roman" w:hAnsi="Times New Roman" w:cs="Times New Roman"/>
        </w:rPr>
        <w:t>Wang &amp; Blazer, 2015</w:t>
      </w:r>
      <w:r w:rsidR="009358A5">
        <w:rPr>
          <w:rFonts w:ascii="Times New Roman" w:hAnsi="Times New Roman" w:cs="Times New Roman"/>
        </w:rPr>
        <w:t>). Depression in the elderly tends to be clinically presented, in comparison to those younger, with differences in anxiety levels, poor psychomotor and executive functioning and poor cognitive control and inhibition (</w:t>
      </w:r>
      <w:r w:rsidR="0011070B">
        <w:rPr>
          <w:rFonts w:ascii="Times New Roman" w:hAnsi="Times New Roman" w:cs="Times New Roman"/>
        </w:rPr>
        <w:t xml:space="preserve">Fiske et al., 2009; </w:t>
      </w:r>
      <w:proofErr w:type="spellStart"/>
      <w:r w:rsidR="0011070B">
        <w:rPr>
          <w:rFonts w:ascii="Times New Roman" w:hAnsi="Times New Roman" w:cs="Times New Roman"/>
        </w:rPr>
        <w:t>Pantzar</w:t>
      </w:r>
      <w:proofErr w:type="spellEnd"/>
      <w:r w:rsidR="0011070B">
        <w:rPr>
          <w:rFonts w:ascii="Times New Roman" w:hAnsi="Times New Roman" w:cs="Times New Roman"/>
        </w:rPr>
        <w:t xml:space="preserve"> et al., 2016;</w:t>
      </w:r>
      <w:r w:rsidR="009358A5">
        <w:rPr>
          <w:rFonts w:ascii="Times New Roman" w:hAnsi="Times New Roman" w:cs="Times New Roman"/>
        </w:rPr>
        <w:t xml:space="preserve"> </w:t>
      </w:r>
      <w:r w:rsidR="0011070B">
        <w:rPr>
          <w:rFonts w:ascii="Times New Roman" w:hAnsi="Times New Roman" w:cs="Times New Roman"/>
        </w:rPr>
        <w:t>Richard-</w:t>
      </w:r>
      <w:proofErr w:type="spellStart"/>
      <w:r w:rsidR="0011070B">
        <w:rPr>
          <w:rFonts w:ascii="Times New Roman" w:hAnsi="Times New Roman" w:cs="Times New Roman"/>
        </w:rPr>
        <w:t>Devantoy</w:t>
      </w:r>
      <w:proofErr w:type="spellEnd"/>
      <w:r w:rsidR="0011070B">
        <w:rPr>
          <w:rFonts w:ascii="Times New Roman" w:hAnsi="Times New Roman" w:cs="Times New Roman"/>
        </w:rPr>
        <w:t xml:space="preserve"> et al., 2015; </w:t>
      </w:r>
      <w:r w:rsidR="008A33D9">
        <w:rPr>
          <w:rFonts w:ascii="Times New Roman" w:hAnsi="Times New Roman" w:cs="Times New Roman"/>
        </w:rPr>
        <w:t>M</w:t>
      </w:r>
      <w:r w:rsidR="0011070B">
        <w:rPr>
          <w:rFonts w:ascii="Times New Roman" w:hAnsi="Times New Roman" w:cs="Times New Roman"/>
        </w:rPr>
        <w:t>orimoto et al., 2015;</w:t>
      </w:r>
      <w:r w:rsidR="009358A5">
        <w:rPr>
          <w:rFonts w:ascii="Times New Roman" w:hAnsi="Times New Roman" w:cs="Times New Roman"/>
        </w:rPr>
        <w:t xml:space="preserve"> </w:t>
      </w:r>
      <w:r w:rsidR="0011070B">
        <w:rPr>
          <w:rFonts w:ascii="Times New Roman" w:hAnsi="Times New Roman" w:cs="Times New Roman"/>
        </w:rPr>
        <w:t>Koenig et al., 2015</w:t>
      </w:r>
      <w:r w:rsidR="009358A5">
        <w:rPr>
          <w:rFonts w:ascii="Times New Roman" w:hAnsi="Times New Roman" w:cs="Times New Roman"/>
        </w:rPr>
        <w:t>).</w:t>
      </w:r>
      <w:r>
        <w:rPr>
          <w:rFonts w:ascii="Times New Roman" w:hAnsi="Times New Roman" w:cs="Times New Roman"/>
        </w:rPr>
        <w:t xml:space="preserve"> </w:t>
      </w:r>
      <w:r w:rsidR="0025442B">
        <w:rPr>
          <w:rFonts w:ascii="Times New Roman" w:hAnsi="Times New Roman" w:cs="Times New Roman"/>
        </w:rPr>
        <w:t xml:space="preserve">With many treatments available to treat depressive symptoms in the elderly, this answer aims to critically explore these treatments while discussing their efficacy. </w:t>
      </w:r>
    </w:p>
    <w:p w14:paraId="43F50A01" w14:textId="77777777" w:rsidR="006371C3" w:rsidRDefault="004B4D03" w:rsidP="00CD2039">
      <w:pPr>
        <w:spacing w:line="360" w:lineRule="auto"/>
        <w:jc w:val="both"/>
        <w:rPr>
          <w:rFonts w:ascii="Times New Roman" w:hAnsi="Times New Roman" w:cs="Times New Roman"/>
        </w:rPr>
      </w:pPr>
      <w:r>
        <w:rPr>
          <w:rFonts w:ascii="Times New Roman" w:hAnsi="Times New Roman" w:cs="Times New Roman"/>
        </w:rPr>
        <w:t xml:space="preserve">        One of the most common means to treating depression later in life, is with the use of antidepressant therapies. Although seen as having modest effects, the use of antidepressants can be beneficial for the elderly with depressive symptoms and should only be used in patients diagnosed with severe depression. (</w:t>
      </w:r>
      <w:proofErr w:type="spellStart"/>
      <w:r>
        <w:rPr>
          <w:rFonts w:ascii="Times New Roman" w:hAnsi="Times New Roman" w:cs="Times New Roman"/>
        </w:rPr>
        <w:t>Kok</w:t>
      </w:r>
      <w:proofErr w:type="spellEnd"/>
      <w:r>
        <w:rPr>
          <w:rFonts w:ascii="Times New Roman" w:hAnsi="Times New Roman" w:cs="Times New Roman"/>
        </w:rPr>
        <w:t xml:space="preserve"> &amp; Reynolds, 2017). </w:t>
      </w:r>
      <w:r w:rsidR="00752D0A">
        <w:rPr>
          <w:rFonts w:ascii="Times New Roman" w:hAnsi="Times New Roman" w:cs="Times New Roman"/>
        </w:rPr>
        <w:t>Psychotherapies that are depression-specific is recommended for patients diagnosed with mild or moderate depressive symptoms and its effectiveness can be compared to the effectiveness of antidepressant therapies; with one of the most studied psychotherapeutic interventions being cognitive behavioural therapy</w:t>
      </w:r>
      <w:r w:rsidR="006371C3">
        <w:rPr>
          <w:rFonts w:ascii="Times New Roman" w:hAnsi="Times New Roman" w:cs="Times New Roman"/>
        </w:rPr>
        <w:t>. With some elderly patients having a poor tolerance to antidepressants, this may prove to be an effective alternative. Also exercise interventions also offer a modest effect on depressive symptoms (</w:t>
      </w:r>
      <w:proofErr w:type="spellStart"/>
      <w:r w:rsidR="006371C3">
        <w:rPr>
          <w:rFonts w:ascii="Times New Roman" w:hAnsi="Times New Roman" w:cs="Times New Roman"/>
        </w:rPr>
        <w:t>Kok</w:t>
      </w:r>
      <w:proofErr w:type="spellEnd"/>
      <w:r w:rsidR="006371C3">
        <w:rPr>
          <w:rFonts w:ascii="Times New Roman" w:hAnsi="Times New Roman" w:cs="Times New Roman"/>
        </w:rPr>
        <w:t xml:space="preserve"> &amp; Reynolds, 2017). </w:t>
      </w:r>
    </w:p>
    <w:p w14:paraId="304354DC" w14:textId="38C8A08F" w:rsidR="0011070B" w:rsidRDefault="006371C3" w:rsidP="00CD2039">
      <w:pPr>
        <w:spacing w:line="360" w:lineRule="auto"/>
        <w:jc w:val="both"/>
        <w:rPr>
          <w:rFonts w:ascii="Times New Roman" w:hAnsi="Times New Roman" w:cs="Times New Roman"/>
        </w:rPr>
      </w:pPr>
      <w:r>
        <w:rPr>
          <w:rFonts w:ascii="Times New Roman" w:hAnsi="Times New Roman" w:cs="Times New Roman"/>
        </w:rPr>
        <w:lastRenderedPageBreak/>
        <w:t xml:space="preserve">        </w:t>
      </w:r>
      <w:r w:rsidR="00B81652">
        <w:rPr>
          <w:rFonts w:ascii="Times New Roman" w:hAnsi="Times New Roman" w:cs="Times New Roman"/>
        </w:rPr>
        <w:t>Studies of the population have shown that there is a clear association between physical activity and mental health in all ages (</w:t>
      </w:r>
      <w:proofErr w:type="spellStart"/>
      <w:r w:rsidR="00B81652">
        <w:rPr>
          <w:rFonts w:ascii="Times New Roman" w:hAnsi="Times New Roman" w:cs="Times New Roman"/>
        </w:rPr>
        <w:t>Paffenbarger</w:t>
      </w:r>
      <w:proofErr w:type="spellEnd"/>
      <w:r w:rsidR="00B81652">
        <w:rPr>
          <w:rFonts w:ascii="Times New Roman" w:hAnsi="Times New Roman" w:cs="Times New Roman"/>
        </w:rPr>
        <w:t xml:space="preserve"> et al., 1994; </w:t>
      </w:r>
      <w:proofErr w:type="spellStart"/>
      <w:r w:rsidR="00B81652">
        <w:rPr>
          <w:rFonts w:ascii="Times New Roman" w:hAnsi="Times New Roman" w:cs="Times New Roman"/>
        </w:rPr>
        <w:t>Ruuskanen</w:t>
      </w:r>
      <w:proofErr w:type="spellEnd"/>
      <w:r w:rsidR="00B81652">
        <w:rPr>
          <w:rFonts w:ascii="Times New Roman" w:hAnsi="Times New Roman" w:cs="Times New Roman"/>
        </w:rPr>
        <w:t xml:space="preserve"> &amp; </w:t>
      </w:r>
      <w:proofErr w:type="spellStart"/>
      <w:r w:rsidR="00B81652">
        <w:rPr>
          <w:rFonts w:ascii="Times New Roman" w:hAnsi="Times New Roman" w:cs="Times New Roman"/>
        </w:rPr>
        <w:t>Ruoppila</w:t>
      </w:r>
      <w:proofErr w:type="spellEnd"/>
      <w:r w:rsidR="00B81652">
        <w:rPr>
          <w:rFonts w:ascii="Times New Roman" w:hAnsi="Times New Roman" w:cs="Times New Roman"/>
        </w:rPr>
        <w:t xml:space="preserve">, 1995). While is it widely accepted that exercise can be helpful in depression; very early studies reported methodological issues, with only three studying participants over the age of 60 (Mather et al., 2002). As a result of this Mather et al. (2002) </w:t>
      </w:r>
      <w:r w:rsidR="00191227">
        <w:rPr>
          <w:rFonts w:ascii="Times New Roman" w:hAnsi="Times New Roman" w:cs="Times New Roman"/>
        </w:rPr>
        <w:t xml:space="preserve">aimed to explore the efficacy of exercise supplementary to antidepressant therapy as a means to reduce the depressive symptoms in the elderly. A total of 86 participants, aged 53 and over, took part in a randomised controlled trial; where they were randomly placed in one of two groups – treatment (exercise) or social control (educational health talks). All participants had been diagnosed with an affective mood disorder and scored 10 or more on the Geriatric Depression Scale prior to taking part, all participants </w:t>
      </w:r>
      <w:r w:rsidR="00B73731">
        <w:rPr>
          <w:rFonts w:ascii="Times New Roman" w:hAnsi="Times New Roman" w:cs="Times New Roman"/>
        </w:rPr>
        <w:t xml:space="preserve">continued their antidepressant therapy during the trial (Mather et al., 2002). </w:t>
      </w:r>
      <w:r w:rsidR="00984790">
        <w:rPr>
          <w:rFonts w:ascii="Times New Roman" w:hAnsi="Times New Roman" w:cs="Times New Roman"/>
        </w:rPr>
        <w:t xml:space="preserve">Mather et al. (2002) found that there was a slight reduction in depressive symptoms in those placed in the treatment group, where they participated in in exercise twice a week for 10 weeks. This suggests that those with poorly responsive depressive disorder in old age </w:t>
      </w:r>
      <w:r w:rsidR="00890010">
        <w:rPr>
          <w:rFonts w:ascii="Times New Roman" w:hAnsi="Times New Roman" w:cs="Times New Roman"/>
        </w:rPr>
        <w:t>would benefit from attending exercise activity groups</w:t>
      </w:r>
      <w:r w:rsidR="00CD2039">
        <w:rPr>
          <w:rFonts w:ascii="Times New Roman" w:hAnsi="Times New Roman" w:cs="Times New Roman"/>
        </w:rPr>
        <w:t xml:space="preserve">. </w:t>
      </w:r>
      <w:r w:rsidR="0011070B">
        <w:rPr>
          <w:rFonts w:ascii="Times New Roman" w:hAnsi="Times New Roman" w:cs="Times New Roman"/>
        </w:rPr>
        <w:t xml:space="preserve"> </w:t>
      </w:r>
    </w:p>
    <w:p w14:paraId="25654303" w14:textId="6D24E0DF" w:rsidR="00D61777" w:rsidRDefault="00D61777" w:rsidP="00CD2039">
      <w:pPr>
        <w:spacing w:line="360" w:lineRule="auto"/>
        <w:jc w:val="both"/>
        <w:rPr>
          <w:rFonts w:ascii="Times New Roman" w:hAnsi="Times New Roman" w:cs="Times New Roman"/>
        </w:rPr>
      </w:pPr>
      <w:r>
        <w:rPr>
          <w:rFonts w:ascii="Times New Roman" w:hAnsi="Times New Roman" w:cs="Times New Roman"/>
        </w:rPr>
        <w:t xml:space="preserve">        There are also a number of psychological therapies that can be used as a short-term means of treating depression in the elderly, these include – cognitive behavioural therapy, psychodynamic therapy and interpersonal therapy</w:t>
      </w:r>
      <w:r w:rsidR="00485347">
        <w:rPr>
          <w:rFonts w:ascii="Times New Roman" w:hAnsi="Times New Roman" w:cs="Times New Roman"/>
        </w:rPr>
        <w:t xml:space="preserve"> (Wilkinson &amp; </w:t>
      </w:r>
      <w:proofErr w:type="spellStart"/>
      <w:r w:rsidR="00485347">
        <w:rPr>
          <w:rFonts w:ascii="Times New Roman" w:hAnsi="Times New Roman" w:cs="Times New Roman"/>
        </w:rPr>
        <w:t>Izmeth</w:t>
      </w:r>
      <w:proofErr w:type="spellEnd"/>
      <w:r w:rsidR="00485347">
        <w:rPr>
          <w:rFonts w:ascii="Times New Roman" w:hAnsi="Times New Roman" w:cs="Times New Roman"/>
        </w:rPr>
        <w:t xml:space="preserve">, 2016). The use of cognitive behavioural therapies can be as effective as taking an antidepressant therapy to reduce depressive symptoms, while </w:t>
      </w:r>
      <w:r w:rsidR="008B59B5">
        <w:rPr>
          <w:rFonts w:ascii="Times New Roman" w:hAnsi="Times New Roman" w:cs="Times New Roman"/>
        </w:rPr>
        <w:t xml:space="preserve">interpersonal therapies can be used as a short-term treatment of depressive symptoms (Wilkinson &amp; </w:t>
      </w:r>
      <w:proofErr w:type="spellStart"/>
      <w:r w:rsidR="008B59B5">
        <w:rPr>
          <w:rFonts w:ascii="Times New Roman" w:hAnsi="Times New Roman" w:cs="Times New Roman"/>
        </w:rPr>
        <w:t>Izmeth</w:t>
      </w:r>
      <w:proofErr w:type="spellEnd"/>
      <w:r w:rsidR="008B59B5">
        <w:rPr>
          <w:rFonts w:ascii="Times New Roman" w:hAnsi="Times New Roman" w:cs="Times New Roman"/>
        </w:rPr>
        <w:t xml:space="preserve">, 2016). </w:t>
      </w:r>
      <w:r w:rsidR="00FA7FEA">
        <w:rPr>
          <w:rFonts w:ascii="Times New Roman" w:hAnsi="Times New Roman" w:cs="Times New Roman"/>
        </w:rPr>
        <w:t xml:space="preserve">de </w:t>
      </w:r>
      <w:proofErr w:type="spellStart"/>
      <w:r w:rsidR="00FA7FEA">
        <w:rPr>
          <w:rFonts w:ascii="Times New Roman" w:hAnsi="Times New Roman" w:cs="Times New Roman"/>
        </w:rPr>
        <w:t>Roten</w:t>
      </w:r>
      <w:proofErr w:type="spellEnd"/>
      <w:r w:rsidR="00FA7FEA">
        <w:rPr>
          <w:rFonts w:ascii="Times New Roman" w:hAnsi="Times New Roman" w:cs="Times New Roman"/>
        </w:rPr>
        <w:t xml:space="preserve"> et al. (2017) aimed to explore the efficacy of psychodynamic psychotherapy on both the long and short-term outcomes of depressive symptoms of inpatients. Participants took part in a single-blinded one-month randomised controlled trial, where participants in the intervention group underwent brief but intensive psychodynamic psychotherapy. de </w:t>
      </w:r>
      <w:proofErr w:type="spellStart"/>
      <w:r w:rsidR="00FA7FEA">
        <w:rPr>
          <w:rFonts w:ascii="Times New Roman" w:hAnsi="Times New Roman" w:cs="Times New Roman"/>
        </w:rPr>
        <w:t>Roten</w:t>
      </w:r>
      <w:proofErr w:type="spellEnd"/>
      <w:r w:rsidR="00FA7FEA">
        <w:rPr>
          <w:rFonts w:ascii="Times New Roman" w:hAnsi="Times New Roman" w:cs="Times New Roman"/>
        </w:rPr>
        <w:t xml:space="preserve"> et al. (2017) found that there was a significant difference in the response rate of the psychodynamic psychotherapy but not the remission rate, suggesting that it would be beneficial to use psychodynamic psychotherapy in the treatment of depressive symptoms. </w:t>
      </w:r>
    </w:p>
    <w:p w14:paraId="6A002B6E" w14:textId="34107654" w:rsidR="006371C3" w:rsidRDefault="00DA34C9" w:rsidP="00BC7087">
      <w:pPr>
        <w:spacing w:line="360" w:lineRule="auto"/>
        <w:jc w:val="both"/>
        <w:rPr>
          <w:rFonts w:ascii="Times New Roman" w:hAnsi="Times New Roman" w:cs="Times New Roman"/>
        </w:rPr>
      </w:pPr>
      <w:r>
        <w:rPr>
          <w:rFonts w:ascii="Times New Roman" w:hAnsi="Times New Roman" w:cs="Times New Roman"/>
        </w:rPr>
        <w:t xml:space="preserve">        Following on from exercise</w:t>
      </w:r>
      <w:r w:rsidR="00485347">
        <w:rPr>
          <w:rFonts w:ascii="Times New Roman" w:hAnsi="Times New Roman" w:cs="Times New Roman"/>
        </w:rPr>
        <w:t xml:space="preserve"> and psychological therapy</w:t>
      </w:r>
      <w:r>
        <w:rPr>
          <w:rFonts w:ascii="Times New Roman" w:hAnsi="Times New Roman" w:cs="Times New Roman"/>
        </w:rPr>
        <w:t xml:space="preserve"> interventions, t</w:t>
      </w:r>
      <w:r w:rsidR="0011070B">
        <w:rPr>
          <w:rFonts w:ascii="Times New Roman" w:hAnsi="Times New Roman" w:cs="Times New Roman"/>
        </w:rPr>
        <w:t>he use and continuation of antidepressant therap</w:t>
      </w:r>
      <w:r w:rsidR="00485347">
        <w:rPr>
          <w:rFonts w:ascii="Times New Roman" w:hAnsi="Times New Roman" w:cs="Times New Roman"/>
        </w:rPr>
        <w:t>ies</w:t>
      </w:r>
      <w:r w:rsidR="0011070B">
        <w:rPr>
          <w:rFonts w:ascii="Times New Roman" w:hAnsi="Times New Roman" w:cs="Times New Roman"/>
        </w:rPr>
        <w:t xml:space="preserve"> as a means of treating depression has been recommended widely (</w:t>
      </w:r>
      <w:proofErr w:type="spellStart"/>
      <w:r w:rsidR="0011070B">
        <w:rPr>
          <w:rFonts w:ascii="Times New Roman" w:hAnsi="Times New Roman" w:cs="Times New Roman"/>
        </w:rPr>
        <w:t>Olfson</w:t>
      </w:r>
      <w:proofErr w:type="spellEnd"/>
      <w:r w:rsidR="0011070B">
        <w:rPr>
          <w:rFonts w:ascii="Times New Roman" w:hAnsi="Times New Roman" w:cs="Times New Roman"/>
        </w:rPr>
        <w:t xml:space="preserve"> et al., 2006).</w:t>
      </w:r>
      <w:r w:rsidR="00D61777">
        <w:rPr>
          <w:rFonts w:ascii="Times New Roman" w:hAnsi="Times New Roman" w:cs="Times New Roman"/>
        </w:rPr>
        <w:t xml:space="preserve"> A number of different antidepressants can be used to treat depressive symptoms in the elderly, from selective serotonin reuptake inhibitors and tricyclic antidepressants to serotonin-noradrenaline reuptake inhibitors (Wilkinson &amp; </w:t>
      </w:r>
      <w:proofErr w:type="spellStart"/>
      <w:r w:rsidR="00D61777">
        <w:rPr>
          <w:rFonts w:ascii="Times New Roman" w:hAnsi="Times New Roman" w:cs="Times New Roman"/>
        </w:rPr>
        <w:t>Izmeth</w:t>
      </w:r>
      <w:proofErr w:type="spellEnd"/>
      <w:r w:rsidR="00D61777">
        <w:rPr>
          <w:rFonts w:ascii="Times New Roman" w:hAnsi="Times New Roman" w:cs="Times New Roman"/>
        </w:rPr>
        <w:t xml:space="preserve">, 2016). </w:t>
      </w:r>
      <w:r w:rsidR="008B59B5">
        <w:rPr>
          <w:rFonts w:ascii="Times New Roman" w:hAnsi="Times New Roman" w:cs="Times New Roman"/>
        </w:rPr>
        <w:t xml:space="preserve">Elderly with depressive symptoms are often treated with antidepressant therapies and </w:t>
      </w:r>
      <w:r w:rsidR="008B59B5">
        <w:rPr>
          <w:rFonts w:ascii="Times New Roman" w:hAnsi="Times New Roman" w:cs="Times New Roman"/>
        </w:rPr>
        <w:lastRenderedPageBreak/>
        <w:t xml:space="preserve">this will be continued after the patient is deemed clinically recovered as a means to continue to regulate monoamine activity (Wilkinson &amp; </w:t>
      </w:r>
      <w:proofErr w:type="spellStart"/>
      <w:r w:rsidR="008B59B5">
        <w:rPr>
          <w:rFonts w:ascii="Times New Roman" w:hAnsi="Times New Roman" w:cs="Times New Roman"/>
        </w:rPr>
        <w:t>Izmeth</w:t>
      </w:r>
      <w:proofErr w:type="spellEnd"/>
      <w:r w:rsidR="008B59B5">
        <w:rPr>
          <w:rFonts w:ascii="Times New Roman" w:hAnsi="Times New Roman" w:cs="Times New Roman"/>
        </w:rPr>
        <w:t xml:space="preserve">, 2016). </w:t>
      </w:r>
      <w:r w:rsidR="00D53135">
        <w:rPr>
          <w:rFonts w:ascii="Times New Roman" w:hAnsi="Times New Roman" w:cs="Times New Roman"/>
        </w:rPr>
        <w:t>A study carried out by Kim et al. (2019) aimed to explore the if effectiveness of tricyclic antidepressant therapies or monoamine oxidase inhibitor therapies will be affected by prior antidepressant trials. Kim et al (2019) found that monoamine oxidase inhibitor therapies were more effective than tricyclic antidepressant therapies in participants with treatment-resistant depression</w:t>
      </w:r>
      <w:r w:rsidR="00CE4A90">
        <w:rPr>
          <w:rFonts w:ascii="Times New Roman" w:hAnsi="Times New Roman" w:cs="Times New Roman"/>
        </w:rPr>
        <w:t>. However, on looking at the interaction between antidepressant type and prior antidepressant trials it was significantly obvious that monoamine oxidase inhibitor therapies were more effective in the early stages of treatment-resistant depression (Kim et al., 2019).</w:t>
      </w:r>
    </w:p>
    <w:p w14:paraId="421AE290" w14:textId="18B3BD98" w:rsidR="006371C3" w:rsidRDefault="006371C3" w:rsidP="00BC7087">
      <w:pPr>
        <w:spacing w:line="360" w:lineRule="auto"/>
        <w:jc w:val="both"/>
        <w:rPr>
          <w:rFonts w:ascii="Times New Roman" w:hAnsi="Times New Roman" w:cs="Times New Roman"/>
        </w:rPr>
      </w:pPr>
      <w:r>
        <w:rPr>
          <w:rFonts w:ascii="Times New Roman" w:hAnsi="Times New Roman" w:cs="Times New Roman"/>
        </w:rPr>
        <w:t xml:space="preserve">        As demonstrated</w:t>
      </w:r>
      <w:r w:rsidR="00E90469">
        <w:rPr>
          <w:rFonts w:ascii="Times New Roman" w:hAnsi="Times New Roman" w:cs="Times New Roman"/>
        </w:rPr>
        <w:t>,</w:t>
      </w:r>
      <w:r>
        <w:rPr>
          <w:rFonts w:ascii="Times New Roman" w:hAnsi="Times New Roman" w:cs="Times New Roman"/>
        </w:rPr>
        <w:t xml:space="preserve"> there is a large amount of evidence supporting the efficacy of the treatment of depressive symptoms later in life. </w:t>
      </w:r>
      <w:r w:rsidR="00E90469">
        <w:rPr>
          <w:rFonts w:ascii="Times New Roman" w:hAnsi="Times New Roman" w:cs="Times New Roman"/>
        </w:rPr>
        <w:t>While the outcomes of treatment can be similar to younger patients, those with comorbidities may not have the same results (</w:t>
      </w:r>
      <w:proofErr w:type="spellStart"/>
      <w:r w:rsidR="00E90469">
        <w:rPr>
          <w:rFonts w:ascii="Times New Roman" w:hAnsi="Times New Roman" w:cs="Times New Roman"/>
        </w:rPr>
        <w:t>Kok</w:t>
      </w:r>
      <w:proofErr w:type="spellEnd"/>
      <w:r w:rsidR="00E90469">
        <w:rPr>
          <w:rFonts w:ascii="Times New Roman" w:hAnsi="Times New Roman" w:cs="Times New Roman"/>
        </w:rPr>
        <w:t xml:space="preserve"> &amp; Reynolds, 2017). Exercise interventions or the use of psychotherapy may aid the treatment of depressive symptoms, the evidence is limited. And while antidepressant therapies are useful in the treatment of depressive symptoms, it is unclear as to the length of treatments for the elderly (</w:t>
      </w:r>
      <w:proofErr w:type="spellStart"/>
      <w:r w:rsidR="00E90469">
        <w:rPr>
          <w:rFonts w:ascii="Times New Roman" w:hAnsi="Times New Roman" w:cs="Times New Roman"/>
        </w:rPr>
        <w:t>Kok</w:t>
      </w:r>
      <w:proofErr w:type="spellEnd"/>
      <w:r w:rsidR="00E90469">
        <w:rPr>
          <w:rFonts w:ascii="Times New Roman" w:hAnsi="Times New Roman" w:cs="Times New Roman"/>
        </w:rPr>
        <w:t xml:space="preserve"> &amp; Reynolds, 2017). </w:t>
      </w:r>
    </w:p>
    <w:p w14:paraId="3E33D616" w14:textId="45FFD0D3" w:rsidR="0025442B" w:rsidRDefault="0025442B" w:rsidP="00BC7087">
      <w:pPr>
        <w:spacing w:line="360" w:lineRule="auto"/>
        <w:jc w:val="both"/>
        <w:rPr>
          <w:rFonts w:ascii="Times New Roman" w:hAnsi="Times New Roman" w:cs="Times New Roman"/>
        </w:rPr>
      </w:pPr>
      <w:r>
        <w:rPr>
          <w:rFonts w:ascii="Times New Roman" w:hAnsi="Times New Roman" w:cs="Times New Roman"/>
        </w:rPr>
        <w:t xml:space="preserve">        </w:t>
      </w:r>
    </w:p>
    <w:p w14:paraId="370E2099" w14:textId="0017F10F" w:rsidR="00D14E56" w:rsidRDefault="00D14E56" w:rsidP="00BC7087">
      <w:pPr>
        <w:spacing w:line="360" w:lineRule="auto"/>
        <w:jc w:val="both"/>
        <w:rPr>
          <w:rFonts w:ascii="Times New Roman" w:hAnsi="Times New Roman" w:cs="Times New Roman"/>
        </w:rPr>
      </w:pPr>
      <w:r>
        <w:rPr>
          <w:rFonts w:ascii="Times New Roman" w:hAnsi="Times New Roman" w:cs="Times New Roman"/>
        </w:rPr>
        <w:t xml:space="preserve">        </w:t>
      </w:r>
    </w:p>
    <w:p w14:paraId="44B358C9" w14:textId="77777777" w:rsidR="00720C58" w:rsidRDefault="00720C58" w:rsidP="0025442B">
      <w:pPr>
        <w:spacing w:line="360" w:lineRule="auto"/>
        <w:jc w:val="both"/>
        <w:rPr>
          <w:rFonts w:ascii="Times New Roman" w:hAnsi="Times New Roman" w:cs="Times New Roman"/>
        </w:rPr>
      </w:pPr>
    </w:p>
    <w:p w14:paraId="0699D33E" w14:textId="643E4A40" w:rsidR="0025442B" w:rsidRPr="009A5950" w:rsidRDefault="0025442B" w:rsidP="0025442B">
      <w:pPr>
        <w:spacing w:line="360" w:lineRule="auto"/>
        <w:jc w:val="both"/>
        <w:rPr>
          <w:rFonts w:ascii="Times New Roman" w:hAnsi="Times New Roman" w:cs="Times New Roman"/>
          <w:u w:val="single"/>
        </w:rPr>
      </w:pPr>
      <w:r>
        <w:rPr>
          <w:rFonts w:ascii="Times New Roman" w:hAnsi="Times New Roman" w:cs="Times New Roman"/>
          <w:u w:val="single"/>
        </w:rPr>
        <w:t xml:space="preserve">Reference List – Both Questions </w:t>
      </w:r>
    </w:p>
    <w:p w14:paraId="5649AD51" w14:textId="77777777" w:rsidR="0025442B" w:rsidRDefault="0025442B" w:rsidP="0025442B">
      <w:pPr>
        <w:spacing w:line="360" w:lineRule="auto"/>
        <w:jc w:val="both"/>
        <w:rPr>
          <w:rFonts w:ascii="Times New Roman" w:hAnsi="Times New Roman" w:cs="Times New Roman"/>
        </w:rPr>
      </w:pPr>
    </w:p>
    <w:p w14:paraId="20493A1E" w14:textId="77777777" w:rsidR="008F3F88" w:rsidRPr="00464F01" w:rsidRDefault="008F3F88" w:rsidP="008F3F88">
      <w:pPr>
        <w:spacing w:line="360" w:lineRule="auto"/>
        <w:ind w:left="720" w:hanging="720"/>
        <w:jc w:val="both"/>
        <w:rPr>
          <w:rFonts w:ascii="Times New Roman" w:hAnsi="Times New Roman" w:cs="Times New Roman"/>
        </w:rPr>
      </w:pPr>
      <w:r w:rsidRPr="00E96C42">
        <w:rPr>
          <w:rFonts w:ascii="Times New Roman" w:eastAsia="Times New Roman" w:hAnsi="Times New Roman" w:cs="Times New Roman"/>
          <w:color w:val="222222"/>
          <w:shd w:val="clear" w:color="auto" w:fill="FFFFFF"/>
          <w:lang w:eastAsia="en-GB"/>
        </w:rPr>
        <w:t>Ayalon, L. (2018). Transition and adaptation to the continuing care retirement community from a life course perspective: Something old, something new, and something borrowed. </w:t>
      </w:r>
      <w:r w:rsidRPr="00E96C42">
        <w:rPr>
          <w:rFonts w:ascii="Times New Roman" w:eastAsia="Times New Roman" w:hAnsi="Times New Roman" w:cs="Times New Roman"/>
          <w:i/>
          <w:iCs/>
          <w:color w:val="222222"/>
          <w:lang w:eastAsia="en-GB"/>
        </w:rPr>
        <w:t>Journal of Applied Gerontology</w:t>
      </w:r>
      <w:r w:rsidRPr="00E96C42">
        <w:rPr>
          <w:rFonts w:ascii="Times New Roman" w:eastAsia="Times New Roman" w:hAnsi="Times New Roman" w:cs="Times New Roman"/>
          <w:color w:val="222222"/>
          <w:shd w:val="clear" w:color="auto" w:fill="FFFFFF"/>
          <w:lang w:eastAsia="en-GB"/>
        </w:rPr>
        <w:t>, </w:t>
      </w:r>
      <w:r w:rsidRPr="00E96C42">
        <w:rPr>
          <w:rFonts w:ascii="Times New Roman" w:eastAsia="Times New Roman" w:hAnsi="Times New Roman" w:cs="Times New Roman"/>
          <w:i/>
          <w:iCs/>
          <w:color w:val="222222"/>
          <w:lang w:eastAsia="en-GB"/>
        </w:rPr>
        <w:t>37</w:t>
      </w:r>
      <w:r w:rsidRPr="00E96C42">
        <w:rPr>
          <w:rFonts w:ascii="Times New Roman" w:eastAsia="Times New Roman" w:hAnsi="Times New Roman" w:cs="Times New Roman"/>
          <w:color w:val="222222"/>
          <w:shd w:val="clear" w:color="auto" w:fill="FFFFFF"/>
          <w:lang w:eastAsia="en-GB"/>
        </w:rPr>
        <w:t>(3), 267-288.</w:t>
      </w:r>
    </w:p>
    <w:p w14:paraId="34475A67" w14:textId="77777777" w:rsidR="008F3F88" w:rsidRPr="00E96C42" w:rsidRDefault="008F3F88" w:rsidP="0025442B">
      <w:pPr>
        <w:pStyle w:val="NormalWeb"/>
        <w:spacing w:line="360" w:lineRule="auto"/>
        <w:ind w:left="720" w:hanging="720"/>
        <w:jc w:val="both"/>
      </w:pPr>
      <w:proofErr w:type="spellStart"/>
      <w:r w:rsidRPr="00E96C42">
        <w:t>Bengston</w:t>
      </w:r>
      <w:proofErr w:type="spellEnd"/>
      <w:r w:rsidRPr="00E96C42">
        <w:t xml:space="preserve">, V. L., &amp; Allen, K. R. (1993). The life course perspective applied to families over time. In B. P. </w:t>
      </w:r>
      <w:proofErr w:type="spellStart"/>
      <w:r w:rsidRPr="00E96C42">
        <w:t>Dohrtey</w:t>
      </w:r>
      <w:proofErr w:type="spellEnd"/>
      <w:r w:rsidRPr="00E96C42">
        <w:t xml:space="preserve">, W. J. </w:t>
      </w:r>
      <w:proofErr w:type="spellStart"/>
      <w:r w:rsidRPr="00E96C42">
        <w:t>LaRossa</w:t>
      </w:r>
      <w:proofErr w:type="spellEnd"/>
      <w:r w:rsidRPr="00E96C42">
        <w:t xml:space="preserve">, R. Schumm, &amp; W. R. Steinmetz (Eds.), </w:t>
      </w:r>
      <w:r w:rsidRPr="00E96C42">
        <w:rPr>
          <w:i/>
          <w:iCs/>
        </w:rPr>
        <w:t xml:space="preserve">Sourcebook of family theories and methods: A contextual approach </w:t>
      </w:r>
      <w:r w:rsidRPr="00E96C42">
        <w:t>(pp. 469-504). New York, NY: Plenum Press.</w:t>
      </w:r>
    </w:p>
    <w:p w14:paraId="30640287" w14:textId="77777777" w:rsidR="008F3F88" w:rsidRDefault="008F3F88" w:rsidP="00FA7FEA">
      <w:pPr>
        <w:spacing w:line="360" w:lineRule="auto"/>
        <w:ind w:left="720" w:hanging="720"/>
        <w:jc w:val="both"/>
        <w:rPr>
          <w:rFonts w:ascii="Times New Roman" w:eastAsia="Times New Roman" w:hAnsi="Times New Roman" w:cs="Times New Roman"/>
          <w:color w:val="222222"/>
          <w:shd w:val="clear" w:color="auto" w:fill="FFFFFF"/>
          <w:lang w:eastAsia="en-GB"/>
        </w:rPr>
      </w:pPr>
      <w:r w:rsidRPr="00FA7FEA">
        <w:rPr>
          <w:rFonts w:ascii="Times New Roman" w:eastAsia="Times New Roman" w:hAnsi="Times New Roman" w:cs="Times New Roman"/>
          <w:color w:val="222222"/>
          <w:shd w:val="clear" w:color="auto" w:fill="FFFFFF"/>
          <w:lang w:eastAsia="en-GB"/>
        </w:rPr>
        <w:t xml:space="preserve">de </w:t>
      </w:r>
      <w:proofErr w:type="spellStart"/>
      <w:r w:rsidRPr="00FA7FEA">
        <w:rPr>
          <w:rFonts w:ascii="Times New Roman" w:eastAsia="Times New Roman" w:hAnsi="Times New Roman" w:cs="Times New Roman"/>
          <w:color w:val="222222"/>
          <w:shd w:val="clear" w:color="auto" w:fill="FFFFFF"/>
          <w:lang w:eastAsia="en-GB"/>
        </w:rPr>
        <w:t>Roten</w:t>
      </w:r>
      <w:proofErr w:type="spellEnd"/>
      <w:r w:rsidRPr="00FA7FEA">
        <w:rPr>
          <w:rFonts w:ascii="Times New Roman" w:eastAsia="Times New Roman" w:hAnsi="Times New Roman" w:cs="Times New Roman"/>
          <w:color w:val="222222"/>
          <w:shd w:val="clear" w:color="auto" w:fill="FFFFFF"/>
          <w:lang w:eastAsia="en-GB"/>
        </w:rPr>
        <w:t xml:space="preserve">, Y., </w:t>
      </w:r>
      <w:proofErr w:type="spellStart"/>
      <w:r w:rsidRPr="00FA7FEA">
        <w:rPr>
          <w:rFonts w:ascii="Times New Roman" w:eastAsia="Times New Roman" w:hAnsi="Times New Roman" w:cs="Times New Roman"/>
          <w:color w:val="222222"/>
          <w:shd w:val="clear" w:color="auto" w:fill="FFFFFF"/>
          <w:lang w:eastAsia="en-GB"/>
        </w:rPr>
        <w:t>Ambresin</w:t>
      </w:r>
      <w:proofErr w:type="spellEnd"/>
      <w:r w:rsidRPr="00FA7FEA">
        <w:rPr>
          <w:rFonts w:ascii="Times New Roman" w:eastAsia="Times New Roman" w:hAnsi="Times New Roman" w:cs="Times New Roman"/>
          <w:color w:val="222222"/>
          <w:shd w:val="clear" w:color="auto" w:fill="FFFFFF"/>
          <w:lang w:eastAsia="en-GB"/>
        </w:rPr>
        <w:t xml:space="preserve">, G., Herrera, F., </w:t>
      </w:r>
      <w:proofErr w:type="spellStart"/>
      <w:r w:rsidRPr="00FA7FEA">
        <w:rPr>
          <w:rFonts w:ascii="Times New Roman" w:eastAsia="Times New Roman" w:hAnsi="Times New Roman" w:cs="Times New Roman"/>
          <w:color w:val="222222"/>
          <w:shd w:val="clear" w:color="auto" w:fill="FFFFFF"/>
          <w:lang w:eastAsia="en-GB"/>
        </w:rPr>
        <w:t>Fassassi</w:t>
      </w:r>
      <w:proofErr w:type="spellEnd"/>
      <w:r w:rsidRPr="00FA7FEA">
        <w:rPr>
          <w:rFonts w:ascii="Times New Roman" w:eastAsia="Times New Roman" w:hAnsi="Times New Roman" w:cs="Times New Roman"/>
          <w:color w:val="222222"/>
          <w:shd w:val="clear" w:color="auto" w:fill="FFFFFF"/>
          <w:lang w:eastAsia="en-GB"/>
        </w:rPr>
        <w:t xml:space="preserve">, S., Fournier, N., </w:t>
      </w:r>
      <w:proofErr w:type="spellStart"/>
      <w:r w:rsidRPr="00FA7FEA">
        <w:rPr>
          <w:rFonts w:ascii="Times New Roman" w:eastAsia="Times New Roman" w:hAnsi="Times New Roman" w:cs="Times New Roman"/>
          <w:color w:val="222222"/>
          <w:shd w:val="clear" w:color="auto" w:fill="FFFFFF"/>
          <w:lang w:eastAsia="en-GB"/>
        </w:rPr>
        <w:t>Preisig</w:t>
      </w:r>
      <w:proofErr w:type="spellEnd"/>
      <w:r w:rsidRPr="00FA7FEA">
        <w:rPr>
          <w:rFonts w:ascii="Times New Roman" w:eastAsia="Times New Roman" w:hAnsi="Times New Roman" w:cs="Times New Roman"/>
          <w:color w:val="222222"/>
          <w:shd w:val="clear" w:color="auto" w:fill="FFFFFF"/>
          <w:lang w:eastAsia="en-GB"/>
        </w:rPr>
        <w:t xml:space="preserve">, M., &amp; </w:t>
      </w:r>
      <w:proofErr w:type="spellStart"/>
      <w:r w:rsidRPr="00FA7FEA">
        <w:rPr>
          <w:rFonts w:ascii="Times New Roman" w:eastAsia="Times New Roman" w:hAnsi="Times New Roman" w:cs="Times New Roman"/>
          <w:color w:val="222222"/>
          <w:shd w:val="clear" w:color="auto" w:fill="FFFFFF"/>
          <w:lang w:eastAsia="en-GB"/>
        </w:rPr>
        <w:t>Despland</w:t>
      </w:r>
      <w:proofErr w:type="spellEnd"/>
      <w:r w:rsidRPr="00FA7FEA">
        <w:rPr>
          <w:rFonts w:ascii="Times New Roman" w:eastAsia="Times New Roman" w:hAnsi="Times New Roman" w:cs="Times New Roman"/>
          <w:color w:val="222222"/>
          <w:shd w:val="clear" w:color="auto" w:fill="FFFFFF"/>
          <w:lang w:eastAsia="en-GB"/>
        </w:rPr>
        <w:t>, J. N. (2017). Efficacy of an adjunctive brief psychodynamic psychotherapy to usual inpatient treatment of depression: Results of a randomized controlled trial. </w:t>
      </w:r>
      <w:r w:rsidRPr="00FA7FEA">
        <w:rPr>
          <w:rFonts w:ascii="Times New Roman" w:eastAsia="Times New Roman" w:hAnsi="Times New Roman" w:cs="Times New Roman"/>
          <w:i/>
          <w:iCs/>
          <w:color w:val="222222"/>
          <w:lang w:eastAsia="en-GB"/>
        </w:rPr>
        <w:t>Journal of affective disorders</w:t>
      </w:r>
      <w:r w:rsidRPr="00FA7FEA">
        <w:rPr>
          <w:rFonts w:ascii="Times New Roman" w:eastAsia="Times New Roman" w:hAnsi="Times New Roman" w:cs="Times New Roman"/>
          <w:color w:val="222222"/>
          <w:shd w:val="clear" w:color="auto" w:fill="FFFFFF"/>
          <w:lang w:eastAsia="en-GB"/>
        </w:rPr>
        <w:t>, </w:t>
      </w:r>
      <w:r w:rsidRPr="00FA7FEA">
        <w:rPr>
          <w:rFonts w:ascii="Times New Roman" w:eastAsia="Times New Roman" w:hAnsi="Times New Roman" w:cs="Times New Roman"/>
          <w:i/>
          <w:iCs/>
          <w:color w:val="222222"/>
          <w:lang w:eastAsia="en-GB"/>
        </w:rPr>
        <w:t>209</w:t>
      </w:r>
      <w:r w:rsidRPr="00FA7FEA">
        <w:rPr>
          <w:rFonts w:ascii="Times New Roman" w:eastAsia="Times New Roman" w:hAnsi="Times New Roman" w:cs="Times New Roman"/>
          <w:color w:val="222222"/>
          <w:shd w:val="clear" w:color="auto" w:fill="FFFFFF"/>
          <w:lang w:eastAsia="en-GB"/>
        </w:rPr>
        <w:t>, 105-113.</w:t>
      </w:r>
    </w:p>
    <w:p w14:paraId="07C1B81C" w14:textId="77777777" w:rsidR="008F3F88" w:rsidRDefault="008F3F88" w:rsidP="0025442B">
      <w:pPr>
        <w:spacing w:before="100" w:beforeAutospacing="1" w:after="100" w:afterAutospacing="1" w:line="360" w:lineRule="auto"/>
        <w:ind w:left="720" w:hanging="720"/>
        <w:jc w:val="both"/>
        <w:rPr>
          <w:rFonts w:ascii="Times New Roman" w:eastAsia="Times New Roman" w:hAnsi="Times New Roman" w:cs="Times New Roman"/>
          <w:color w:val="111111"/>
          <w:lang w:eastAsia="en-GB"/>
        </w:rPr>
      </w:pPr>
      <w:proofErr w:type="spellStart"/>
      <w:r w:rsidRPr="0025442B">
        <w:rPr>
          <w:rFonts w:ascii="Times New Roman" w:eastAsia="Times New Roman" w:hAnsi="Times New Roman" w:cs="Times New Roman"/>
          <w:color w:val="111111"/>
          <w:lang w:eastAsia="en-GB"/>
        </w:rPr>
        <w:lastRenderedPageBreak/>
        <w:t>Djernes</w:t>
      </w:r>
      <w:proofErr w:type="spellEnd"/>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 xml:space="preserve"> J</w:t>
      </w:r>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K</w:t>
      </w:r>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 xml:space="preserve">, </w:t>
      </w:r>
      <w:proofErr w:type="spellStart"/>
      <w:r w:rsidRPr="0025442B">
        <w:rPr>
          <w:rFonts w:ascii="Times New Roman" w:eastAsia="Times New Roman" w:hAnsi="Times New Roman" w:cs="Times New Roman"/>
          <w:color w:val="111111"/>
          <w:lang w:eastAsia="en-GB"/>
        </w:rPr>
        <w:t>Gulmann</w:t>
      </w:r>
      <w:proofErr w:type="spellEnd"/>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 xml:space="preserve"> N</w:t>
      </w:r>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C</w:t>
      </w:r>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w:t>
      </w:r>
      <w:r>
        <w:rPr>
          <w:rFonts w:ascii="Times New Roman" w:eastAsia="Times New Roman" w:hAnsi="Times New Roman" w:cs="Times New Roman"/>
          <w:color w:val="111111"/>
          <w:lang w:eastAsia="en-GB"/>
        </w:rPr>
        <w:t xml:space="preserve"> &amp;</w:t>
      </w:r>
      <w:r w:rsidRPr="0025442B">
        <w:rPr>
          <w:rFonts w:ascii="Times New Roman" w:eastAsia="Times New Roman" w:hAnsi="Times New Roman" w:cs="Times New Roman"/>
          <w:color w:val="111111"/>
          <w:lang w:eastAsia="en-GB"/>
        </w:rPr>
        <w:t xml:space="preserve"> </w:t>
      </w:r>
      <w:proofErr w:type="spellStart"/>
      <w:r w:rsidRPr="0025442B">
        <w:rPr>
          <w:rFonts w:ascii="Times New Roman" w:eastAsia="Times New Roman" w:hAnsi="Times New Roman" w:cs="Times New Roman"/>
          <w:color w:val="111111"/>
          <w:lang w:eastAsia="en-GB"/>
        </w:rPr>
        <w:t>Foldager</w:t>
      </w:r>
      <w:proofErr w:type="spellEnd"/>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 xml:space="preserve"> L et al</w:t>
      </w:r>
      <w:r>
        <w:rPr>
          <w:rFonts w:ascii="Times New Roman" w:eastAsia="Times New Roman" w:hAnsi="Times New Roman" w:cs="Times New Roman"/>
          <w:color w:val="111111"/>
          <w:lang w:eastAsia="en-GB"/>
        </w:rPr>
        <w:t>.</w:t>
      </w:r>
      <w:r w:rsidRPr="0025442B">
        <w:rPr>
          <w:rFonts w:ascii="Times New Roman" w:eastAsia="Times New Roman" w:hAnsi="Times New Roman" w:cs="Times New Roman"/>
          <w:color w:val="111111"/>
          <w:lang w:eastAsia="en-GB"/>
        </w:rPr>
        <w:t xml:space="preserve"> (2011) 13 year follow up of morbidity, mortality and use of health services among elderly depressed patients and general elderly populations. </w:t>
      </w:r>
      <w:proofErr w:type="spellStart"/>
      <w:r w:rsidRPr="0025442B">
        <w:rPr>
          <w:rFonts w:ascii="Times New Roman" w:eastAsia="Times New Roman" w:hAnsi="Times New Roman" w:cs="Times New Roman"/>
          <w:color w:val="111111"/>
          <w:lang w:eastAsia="en-GB"/>
        </w:rPr>
        <w:t>Aust</w:t>
      </w:r>
      <w:proofErr w:type="spellEnd"/>
      <w:r w:rsidRPr="0025442B">
        <w:rPr>
          <w:rFonts w:ascii="Times New Roman" w:eastAsia="Times New Roman" w:hAnsi="Times New Roman" w:cs="Times New Roman"/>
          <w:color w:val="111111"/>
          <w:lang w:eastAsia="en-GB"/>
        </w:rPr>
        <w:t xml:space="preserve"> N Z J Psychiatry 45(8):654–662</w:t>
      </w:r>
      <w:r>
        <w:rPr>
          <w:rFonts w:ascii="Times New Roman" w:eastAsia="Times New Roman" w:hAnsi="Times New Roman" w:cs="Times New Roman"/>
          <w:color w:val="111111"/>
          <w:lang w:eastAsia="en-GB"/>
        </w:rPr>
        <w:t>.</w:t>
      </w:r>
    </w:p>
    <w:p w14:paraId="2DC0AD17" w14:textId="77777777" w:rsidR="008F3F88" w:rsidRDefault="008F3F88" w:rsidP="0025442B">
      <w:pPr>
        <w:spacing w:line="360" w:lineRule="auto"/>
        <w:ind w:left="720" w:hanging="720"/>
        <w:jc w:val="both"/>
        <w:rPr>
          <w:rFonts w:ascii="Times New Roman" w:eastAsia="Times New Roman" w:hAnsi="Times New Roman" w:cs="Times New Roman"/>
          <w:color w:val="222222"/>
          <w:shd w:val="clear" w:color="auto" w:fill="FFFFFF"/>
          <w:lang w:eastAsia="en-GB"/>
        </w:rPr>
      </w:pPr>
      <w:proofErr w:type="spellStart"/>
      <w:r w:rsidRPr="007A3E6A">
        <w:rPr>
          <w:rFonts w:ascii="Times New Roman" w:eastAsia="Times New Roman" w:hAnsi="Times New Roman" w:cs="Times New Roman"/>
          <w:color w:val="222222"/>
          <w:shd w:val="clear" w:color="auto" w:fill="FFFFFF"/>
          <w:lang w:eastAsia="en-GB"/>
        </w:rPr>
        <w:t>Eismann</w:t>
      </w:r>
      <w:proofErr w:type="spellEnd"/>
      <w:r w:rsidRPr="007A3E6A">
        <w:rPr>
          <w:rFonts w:ascii="Times New Roman" w:eastAsia="Times New Roman" w:hAnsi="Times New Roman" w:cs="Times New Roman"/>
          <w:color w:val="222222"/>
          <w:shd w:val="clear" w:color="auto" w:fill="FFFFFF"/>
          <w:lang w:eastAsia="en-GB"/>
        </w:rPr>
        <w:t xml:space="preserve">, M., </w:t>
      </w:r>
      <w:proofErr w:type="spellStart"/>
      <w:r w:rsidRPr="007A3E6A">
        <w:rPr>
          <w:rFonts w:ascii="Times New Roman" w:eastAsia="Times New Roman" w:hAnsi="Times New Roman" w:cs="Times New Roman"/>
          <w:color w:val="222222"/>
          <w:shd w:val="clear" w:color="auto" w:fill="FFFFFF"/>
          <w:lang w:eastAsia="en-GB"/>
        </w:rPr>
        <w:t>Verbeij</w:t>
      </w:r>
      <w:proofErr w:type="spellEnd"/>
      <w:r w:rsidRPr="007A3E6A">
        <w:rPr>
          <w:rFonts w:ascii="Times New Roman" w:eastAsia="Times New Roman" w:hAnsi="Times New Roman" w:cs="Times New Roman"/>
          <w:color w:val="222222"/>
          <w:shd w:val="clear" w:color="auto" w:fill="FFFFFF"/>
          <w:lang w:eastAsia="en-GB"/>
        </w:rPr>
        <w:t xml:space="preserve">, T., &amp; </w:t>
      </w:r>
      <w:proofErr w:type="spellStart"/>
      <w:r w:rsidRPr="007A3E6A">
        <w:rPr>
          <w:rFonts w:ascii="Times New Roman" w:eastAsia="Times New Roman" w:hAnsi="Times New Roman" w:cs="Times New Roman"/>
          <w:color w:val="222222"/>
          <w:shd w:val="clear" w:color="auto" w:fill="FFFFFF"/>
          <w:lang w:eastAsia="en-GB"/>
        </w:rPr>
        <w:t>Henkens</w:t>
      </w:r>
      <w:proofErr w:type="spellEnd"/>
      <w:r w:rsidRPr="007A3E6A">
        <w:rPr>
          <w:rFonts w:ascii="Times New Roman" w:eastAsia="Times New Roman" w:hAnsi="Times New Roman" w:cs="Times New Roman"/>
          <w:color w:val="222222"/>
          <w:shd w:val="clear" w:color="auto" w:fill="FFFFFF"/>
          <w:lang w:eastAsia="en-GB"/>
        </w:rPr>
        <w:t>, K. (2019). Older workers’ plans for activities in retirement: The role of opportunities, spousal support, and time perception. </w:t>
      </w:r>
      <w:r w:rsidRPr="007A3E6A">
        <w:rPr>
          <w:rFonts w:ascii="Times New Roman" w:eastAsia="Times New Roman" w:hAnsi="Times New Roman" w:cs="Times New Roman"/>
          <w:i/>
          <w:iCs/>
          <w:color w:val="222222"/>
          <w:lang w:eastAsia="en-GB"/>
        </w:rPr>
        <w:t>Psychology and aging</w:t>
      </w:r>
      <w:r w:rsidRPr="007A3E6A">
        <w:rPr>
          <w:rFonts w:ascii="Times New Roman" w:eastAsia="Times New Roman" w:hAnsi="Times New Roman" w:cs="Times New Roman"/>
          <w:color w:val="222222"/>
          <w:shd w:val="clear" w:color="auto" w:fill="FFFFFF"/>
          <w:lang w:eastAsia="en-GB"/>
        </w:rPr>
        <w:t>, </w:t>
      </w:r>
      <w:r w:rsidRPr="007A3E6A">
        <w:rPr>
          <w:rFonts w:ascii="Times New Roman" w:eastAsia="Times New Roman" w:hAnsi="Times New Roman" w:cs="Times New Roman"/>
          <w:i/>
          <w:iCs/>
          <w:color w:val="222222"/>
          <w:lang w:eastAsia="en-GB"/>
        </w:rPr>
        <w:t>34</w:t>
      </w:r>
      <w:r w:rsidRPr="007A3E6A">
        <w:rPr>
          <w:rFonts w:ascii="Times New Roman" w:eastAsia="Times New Roman" w:hAnsi="Times New Roman" w:cs="Times New Roman"/>
          <w:color w:val="222222"/>
          <w:shd w:val="clear" w:color="auto" w:fill="FFFFFF"/>
          <w:lang w:eastAsia="en-GB"/>
        </w:rPr>
        <w:t>(5), 738.</w:t>
      </w:r>
    </w:p>
    <w:p w14:paraId="53BD178F" w14:textId="77777777" w:rsidR="008F3F88" w:rsidRDefault="008F3F88" w:rsidP="0025442B">
      <w:pPr>
        <w:pStyle w:val="NormalWeb"/>
        <w:spacing w:line="360" w:lineRule="auto"/>
        <w:ind w:left="720" w:hanging="720"/>
        <w:jc w:val="both"/>
      </w:pPr>
      <w:r w:rsidRPr="008C38B1">
        <w:t xml:space="preserve">Elder, G. H., Jr. (1995). The life course paradigm: Social change and individual development. In P. Moen, G. Elder, Jr., &amp; K. </w:t>
      </w:r>
      <w:proofErr w:type="spellStart"/>
      <w:r w:rsidRPr="008C38B1">
        <w:t>Luscher</w:t>
      </w:r>
      <w:proofErr w:type="spellEnd"/>
      <w:r w:rsidRPr="008C38B1">
        <w:t xml:space="preserve"> (Eds.), </w:t>
      </w:r>
      <w:r w:rsidRPr="008C38B1">
        <w:rPr>
          <w:i/>
          <w:iCs/>
        </w:rPr>
        <w:t xml:space="preserve">Examining lives in context: Perspectives on the ecology of human development </w:t>
      </w:r>
      <w:r w:rsidRPr="008C38B1">
        <w:t xml:space="preserve">(pp. 101–140). Washington, DC: American Psychological Association. </w:t>
      </w:r>
    </w:p>
    <w:p w14:paraId="183D9860" w14:textId="77777777" w:rsidR="008F3F88" w:rsidRDefault="008F3F88" w:rsidP="00720C58">
      <w:pPr>
        <w:pStyle w:val="NormalWeb"/>
        <w:spacing w:line="360" w:lineRule="auto"/>
        <w:ind w:left="720" w:hanging="720"/>
        <w:jc w:val="both"/>
        <w:rPr>
          <w:color w:val="111111"/>
        </w:rPr>
      </w:pPr>
      <w:r w:rsidRPr="00720C58">
        <w:rPr>
          <w:color w:val="111111"/>
        </w:rPr>
        <w:t>Fiske</w:t>
      </w:r>
      <w:r>
        <w:rPr>
          <w:color w:val="111111"/>
        </w:rPr>
        <w:t>,</w:t>
      </w:r>
      <w:r w:rsidRPr="00720C58">
        <w:rPr>
          <w:color w:val="111111"/>
        </w:rPr>
        <w:t xml:space="preserve"> A</w:t>
      </w:r>
      <w:r>
        <w:rPr>
          <w:color w:val="111111"/>
        </w:rPr>
        <w:t>.</w:t>
      </w:r>
      <w:r w:rsidRPr="00720C58">
        <w:rPr>
          <w:color w:val="111111"/>
        </w:rPr>
        <w:t>, Wetherell</w:t>
      </w:r>
      <w:r>
        <w:rPr>
          <w:color w:val="111111"/>
        </w:rPr>
        <w:t>,</w:t>
      </w:r>
      <w:r w:rsidRPr="00720C58">
        <w:rPr>
          <w:color w:val="111111"/>
        </w:rPr>
        <w:t xml:space="preserve"> J</w:t>
      </w:r>
      <w:r>
        <w:rPr>
          <w:color w:val="111111"/>
        </w:rPr>
        <w:t>.</w:t>
      </w:r>
      <w:r w:rsidRPr="00720C58">
        <w:rPr>
          <w:color w:val="111111"/>
        </w:rPr>
        <w:t>L</w:t>
      </w:r>
      <w:r>
        <w:rPr>
          <w:color w:val="111111"/>
        </w:rPr>
        <w:t>.</w:t>
      </w:r>
      <w:r w:rsidRPr="00720C58">
        <w:rPr>
          <w:color w:val="111111"/>
        </w:rPr>
        <w:t>,</w:t>
      </w:r>
      <w:r>
        <w:rPr>
          <w:color w:val="111111"/>
        </w:rPr>
        <w:t xml:space="preserve"> &amp;</w:t>
      </w:r>
      <w:r w:rsidRPr="00720C58">
        <w:rPr>
          <w:color w:val="111111"/>
        </w:rPr>
        <w:t xml:space="preserve"> Gatz</w:t>
      </w:r>
      <w:r>
        <w:rPr>
          <w:color w:val="111111"/>
        </w:rPr>
        <w:t>,</w:t>
      </w:r>
      <w:r w:rsidRPr="00720C58">
        <w:rPr>
          <w:color w:val="111111"/>
        </w:rPr>
        <w:t xml:space="preserve"> M</w:t>
      </w:r>
      <w:r>
        <w:rPr>
          <w:color w:val="111111"/>
        </w:rPr>
        <w:t>.</w:t>
      </w:r>
      <w:r w:rsidRPr="00720C58">
        <w:rPr>
          <w:color w:val="111111"/>
        </w:rPr>
        <w:t xml:space="preserve"> (2009) Depression in older adults. </w:t>
      </w:r>
      <w:proofErr w:type="spellStart"/>
      <w:r w:rsidRPr="00720C58">
        <w:rPr>
          <w:color w:val="111111"/>
        </w:rPr>
        <w:t>Annu</w:t>
      </w:r>
      <w:proofErr w:type="spellEnd"/>
      <w:r w:rsidRPr="00720C58">
        <w:rPr>
          <w:color w:val="111111"/>
        </w:rPr>
        <w:t xml:space="preserve"> Rev Clin </w:t>
      </w:r>
      <w:proofErr w:type="spellStart"/>
      <w:r w:rsidRPr="00720C58">
        <w:rPr>
          <w:color w:val="111111"/>
        </w:rPr>
        <w:t>Psychol</w:t>
      </w:r>
      <w:proofErr w:type="spellEnd"/>
      <w:r w:rsidRPr="00720C58">
        <w:rPr>
          <w:color w:val="111111"/>
        </w:rPr>
        <w:t xml:space="preserve"> 5:363–389 </w:t>
      </w:r>
    </w:p>
    <w:p w14:paraId="0E0B6309" w14:textId="77777777" w:rsidR="008F3F88" w:rsidRDefault="008F3F88" w:rsidP="0025442B">
      <w:pPr>
        <w:pStyle w:val="NormalWeb"/>
        <w:spacing w:line="360" w:lineRule="auto"/>
        <w:ind w:left="720" w:hanging="720"/>
        <w:jc w:val="both"/>
      </w:pPr>
      <w:r w:rsidRPr="008C38B1">
        <w:t xml:space="preserve">George, L. K. (1993). Sociological perspectives on life transitions. </w:t>
      </w:r>
      <w:r w:rsidRPr="008C38B1">
        <w:rPr>
          <w:i/>
          <w:iCs/>
        </w:rPr>
        <w:t>Annual Review of Sociology, 19</w:t>
      </w:r>
      <w:r w:rsidRPr="008C38B1">
        <w:t xml:space="preserve">, 353–373. </w:t>
      </w:r>
    </w:p>
    <w:p w14:paraId="65E300AC" w14:textId="77777777" w:rsidR="008F3F88" w:rsidRDefault="008F3F88" w:rsidP="0025442B">
      <w:pPr>
        <w:pStyle w:val="NormalWeb"/>
        <w:spacing w:line="360" w:lineRule="auto"/>
        <w:ind w:left="720" w:hanging="720"/>
        <w:jc w:val="both"/>
      </w:pPr>
      <w:r w:rsidRPr="008C38B1">
        <w:t xml:space="preserve">George, L. K., &amp; Maddox, G. L. (1977). Subjective adaptation to loss of the work role: A longitudinal study. </w:t>
      </w:r>
      <w:r w:rsidRPr="008C38B1">
        <w:rPr>
          <w:i/>
          <w:iCs/>
        </w:rPr>
        <w:t>Journal of Gerontology, 32</w:t>
      </w:r>
      <w:r w:rsidRPr="008C38B1">
        <w:t xml:space="preserve">, 456– 462. </w:t>
      </w:r>
    </w:p>
    <w:p w14:paraId="509DAD5C" w14:textId="77777777" w:rsidR="008F3F88" w:rsidRPr="008C38B1" w:rsidRDefault="008F3F88" w:rsidP="0025442B">
      <w:pPr>
        <w:spacing w:line="360" w:lineRule="auto"/>
        <w:ind w:left="720" w:hanging="720"/>
        <w:jc w:val="both"/>
        <w:rPr>
          <w:rFonts w:ascii="Times New Roman" w:eastAsia="Times New Roman" w:hAnsi="Times New Roman" w:cs="Times New Roman"/>
          <w:lang w:eastAsia="en-GB"/>
        </w:rPr>
      </w:pPr>
      <w:r w:rsidRPr="008C38B1">
        <w:rPr>
          <w:rFonts w:ascii="Times New Roman" w:eastAsia="Times New Roman" w:hAnsi="Times New Roman" w:cs="Times New Roman"/>
          <w:color w:val="222222"/>
          <w:shd w:val="clear" w:color="auto" w:fill="FFFFFF"/>
          <w:lang w:eastAsia="en-GB"/>
        </w:rPr>
        <w:t>Kim, J. E., &amp; Moen, P. (2002). Retirement transitions, gender, and psychological well-being: A life-course, ecological model. </w:t>
      </w:r>
      <w:r w:rsidRPr="008C38B1">
        <w:rPr>
          <w:rFonts w:ascii="Times New Roman" w:eastAsia="Times New Roman" w:hAnsi="Times New Roman" w:cs="Times New Roman"/>
          <w:i/>
          <w:iCs/>
          <w:color w:val="222222"/>
          <w:lang w:eastAsia="en-GB"/>
        </w:rPr>
        <w:t>The Journals of Gerontology Series B: Psychological Sciences and Social Sciences</w:t>
      </w:r>
      <w:r w:rsidRPr="008C38B1">
        <w:rPr>
          <w:rFonts w:ascii="Times New Roman" w:eastAsia="Times New Roman" w:hAnsi="Times New Roman" w:cs="Times New Roman"/>
          <w:color w:val="222222"/>
          <w:shd w:val="clear" w:color="auto" w:fill="FFFFFF"/>
          <w:lang w:eastAsia="en-GB"/>
        </w:rPr>
        <w:t>, </w:t>
      </w:r>
      <w:r w:rsidRPr="008C38B1">
        <w:rPr>
          <w:rFonts w:ascii="Times New Roman" w:eastAsia="Times New Roman" w:hAnsi="Times New Roman" w:cs="Times New Roman"/>
          <w:i/>
          <w:iCs/>
          <w:color w:val="222222"/>
          <w:lang w:eastAsia="en-GB"/>
        </w:rPr>
        <w:t>57</w:t>
      </w:r>
      <w:r w:rsidRPr="008C38B1">
        <w:rPr>
          <w:rFonts w:ascii="Times New Roman" w:eastAsia="Times New Roman" w:hAnsi="Times New Roman" w:cs="Times New Roman"/>
          <w:color w:val="222222"/>
          <w:shd w:val="clear" w:color="auto" w:fill="FFFFFF"/>
          <w:lang w:eastAsia="en-GB"/>
        </w:rPr>
        <w:t>(3), P212-P222.</w:t>
      </w:r>
    </w:p>
    <w:p w14:paraId="4C108B52" w14:textId="77777777" w:rsidR="008F3F88" w:rsidRPr="00CE4A90" w:rsidRDefault="008F3F88" w:rsidP="00CE4A90">
      <w:pPr>
        <w:spacing w:line="360" w:lineRule="auto"/>
        <w:ind w:left="720" w:hanging="720"/>
        <w:jc w:val="both"/>
        <w:rPr>
          <w:rFonts w:ascii="Times New Roman" w:eastAsia="Times New Roman" w:hAnsi="Times New Roman" w:cs="Times New Roman"/>
          <w:lang w:eastAsia="en-GB"/>
        </w:rPr>
      </w:pPr>
      <w:r w:rsidRPr="00CE4A90">
        <w:rPr>
          <w:rFonts w:ascii="Times New Roman" w:eastAsia="Times New Roman" w:hAnsi="Times New Roman" w:cs="Times New Roman"/>
          <w:color w:val="222222"/>
          <w:shd w:val="clear" w:color="auto" w:fill="FFFFFF"/>
          <w:lang w:eastAsia="en-GB"/>
        </w:rPr>
        <w:t>Kim, T., Xu, C., &amp; Amsterdam, J. D. (2019). Relative effectiveness of tricyclic antidepressant versus monoamine oxidase inhibitor monotherapy for treatment-resistant depression. </w:t>
      </w:r>
      <w:r w:rsidRPr="00CE4A90">
        <w:rPr>
          <w:rFonts w:ascii="Times New Roman" w:eastAsia="Times New Roman" w:hAnsi="Times New Roman" w:cs="Times New Roman"/>
          <w:i/>
          <w:iCs/>
          <w:color w:val="222222"/>
          <w:lang w:eastAsia="en-GB"/>
        </w:rPr>
        <w:t>Journal of affective disorders</w:t>
      </w:r>
      <w:r w:rsidRPr="00CE4A90">
        <w:rPr>
          <w:rFonts w:ascii="Times New Roman" w:eastAsia="Times New Roman" w:hAnsi="Times New Roman" w:cs="Times New Roman"/>
          <w:color w:val="222222"/>
          <w:shd w:val="clear" w:color="auto" w:fill="FFFFFF"/>
          <w:lang w:eastAsia="en-GB"/>
        </w:rPr>
        <w:t>, </w:t>
      </w:r>
      <w:r w:rsidRPr="00CE4A90">
        <w:rPr>
          <w:rFonts w:ascii="Times New Roman" w:eastAsia="Times New Roman" w:hAnsi="Times New Roman" w:cs="Times New Roman"/>
          <w:i/>
          <w:iCs/>
          <w:color w:val="222222"/>
          <w:lang w:eastAsia="en-GB"/>
        </w:rPr>
        <w:t>250</w:t>
      </w:r>
      <w:r w:rsidRPr="00CE4A90">
        <w:rPr>
          <w:rFonts w:ascii="Times New Roman" w:eastAsia="Times New Roman" w:hAnsi="Times New Roman" w:cs="Times New Roman"/>
          <w:color w:val="222222"/>
          <w:shd w:val="clear" w:color="auto" w:fill="FFFFFF"/>
          <w:lang w:eastAsia="en-GB"/>
        </w:rPr>
        <w:t>, 199-203.</w:t>
      </w:r>
    </w:p>
    <w:p w14:paraId="31BDAE05" w14:textId="77777777" w:rsidR="008F3F88" w:rsidRDefault="008F3F88" w:rsidP="00720C58">
      <w:pPr>
        <w:pStyle w:val="NormalWeb"/>
        <w:spacing w:line="360" w:lineRule="auto"/>
        <w:ind w:left="720" w:hanging="720"/>
        <w:jc w:val="both"/>
        <w:rPr>
          <w:color w:val="111111"/>
        </w:rPr>
      </w:pPr>
      <w:r w:rsidRPr="00720C58">
        <w:rPr>
          <w:color w:val="111111"/>
        </w:rPr>
        <w:t>Koenig</w:t>
      </w:r>
      <w:r>
        <w:rPr>
          <w:color w:val="111111"/>
        </w:rPr>
        <w:t>,</w:t>
      </w:r>
      <w:r w:rsidRPr="00720C58">
        <w:rPr>
          <w:color w:val="111111"/>
        </w:rPr>
        <w:t xml:space="preserve"> A</w:t>
      </w:r>
      <w:r>
        <w:rPr>
          <w:color w:val="111111"/>
        </w:rPr>
        <w:t>.</w:t>
      </w:r>
      <w:r w:rsidRPr="00720C58">
        <w:rPr>
          <w:color w:val="111111"/>
        </w:rPr>
        <w:t>M</w:t>
      </w:r>
      <w:r>
        <w:rPr>
          <w:color w:val="111111"/>
        </w:rPr>
        <w:t>.</w:t>
      </w:r>
      <w:r w:rsidRPr="00720C58">
        <w:rPr>
          <w:color w:val="111111"/>
        </w:rPr>
        <w:t xml:space="preserve">, </w:t>
      </w:r>
      <w:proofErr w:type="spellStart"/>
      <w:r w:rsidRPr="00720C58">
        <w:rPr>
          <w:color w:val="111111"/>
        </w:rPr>
        <w:t>DeLozier</w:t>
      </w:r>
      <w:proofErr w:type="spellEnd"/>
      <w:r>
        <w:rPr>
          <w:color w:val="111111"/>
        </w:rPr>
        <w:t>,</w:t>
      </w:r>
      <w:r w:rsidRPr="00720C58">
        <w:rPr>
          <w:color w:val="111111"/>
        </w:rPr>
        <w:t xml:space="preserve"> I</w:t>
      </w:r>
      <w:r>
        <w:rPr>
          <w:color w:val="111111"/>
        </w:rPr>
        <w:t>.</w:t>
      </w:r>
      <w:r w:rsidRPr="00720C58">
        <w:rPr>
          <w:color w:val="111111"/>
        </w:rPr>
        <w:t>J</w:t>
      </w:r>
      <w:r>
        <w:rPr>
          <w:color w:val="111111"/>
        </w:rPr>
        <w:t>.</w:t>
      </w:r>
      <w:r w:rsidRPr="00720C58">
        <w:rPr>
          <w:color w:val="111111"/>
        </w:rPr>
        <w:t xml:space="preserve">, </w:t>
      </w:r>
      <w:r>
        <w:rPr>
          <w:color w:val="111111"/>
        </w:rPr>
        <w:t xml:space="preserve">&amp; </w:t>
      </w:r>
      <w:proofErr w:type="spellStart"/>
      <w:r w:rsidRPr="00720C58">
        <w:rPr>
          <w:color w:val="111111"/>
        </w:rPr>
        <w:t>Zmuda</w:t>
      </w:r>
      <w:proofErr w:type="spellEnd"/>
      <w:r>
        <w:rPr>
          <w:color w:val="111111"/>
        </w:rPr>
        <w:t>,</w:t>
      </w:r>
      <w:r w:rsidRPr="00720C58">
        <w:rPr>
          <w:color w:val="111111"/>
        </w:rPr>
        <w:t xml:space="preserve"> M</w:t>
      </w:r>
      <w:r>
        <w:rPr>
          <w:color w:val="111111"/>
        </w:rPr>
        <w:t>.</w:t>
      </w:r>
      <w:r w:rsidRPr="00720C58">
        <w:rPr>
          <w:color w:val="111111"/>
        </w:rPr>
        <w:t>D et al</w:t>
      </w:r>
      <w:r>
        <w:rPr>
          <w:color w:val="111111"/>
        </w:rPr>
        <w:t>.</w:t>
      </w:r>
      <w:r w:rsidRPr="00720C58">
        <w:rPr>
          <w:color w:val="111111"/>
        </w:rPr>
        <w:t xml:space="preserve"> (2015) Neuropsychological functioning in the acute and remitted states of late-life depression. J </w:t>
      </w:r>
      <w:proofErr w:type="spellStart"/>
      <w:r w:rsidRPr="00720C58">
        <w:rPr>
          <w:color w:val="111111"/>
        </w:rPr>
        <w:t>Alzheimers</w:t>
      </w:r>
      <w:proofErr w:type="spellEnd"/>
      <w:r w:rsidRPr="00720C58">
        <w:rPr>
          <w:color w:val="111111"/>
        </w:rPr>
        <w:t xml:space="preserve"> Dis 45(1):175–185</w:t>
      </w:r>
      <w:r>
        <w:rPr>
          <w:color w:val="111111"/>
        </w:rPr>
        <w:t>.</w:t>
      </w:r>
    </w:p>
    <w:p w14:paraId="54C9B880" w14:textId="77777777" w:rsidR="008F3F88" w:rsidRDefault="008F3F88" w:rsidP="00E90469">
      <w:pPr>
        <w:spacing w:line="360" w:lineRule="auto"/>
        <w:ind w:left="720" w:hanging="720"/>
        <w:jc w:val="both"/>
        <w:rPr>
          <w:rFonts w:ascii="Times New Roman" w:eastAsia="Times New Roman" w:hAnsi="Times New Roman" w:cs="Times New Roman"/>
          <w:color w:val="222222"/>
          <w:shd w:val="clear" w:color="auto" w:fill="FFFFFF"/>
          <w:lang w:eastAsia="en-GB"/>
        </w:rPr>
      </w:pPr>
      <w:proofErr w:type="spellStart"/>
      <w:r w:rsidRPr="00E90469">
        <w:rPr>
          <w:rFonts w:ascii="Times New Roman" w:eastAsia="Times New Roman" w:hAnsi="Times New Roman" w:cs="Times New Roman"/>
          <w:color w:val="222222"/>
          <w:shd w:val="clear" w:color="auto" w:fill="FFFFFF"/>
          <w:lang w:eastAsia="en-GB"/>
        </w:rPr>
        <w:t>Kok</w:t>
      </w:r>
      <w:proofErr w:type="spellEnd"/>
      <w:r w:rsidRPr="00E90469">
        <w:rPr>
          <w:rFonts w:ascii="Times New Roman" w:eastAsia="Times New Roman" w:hAnsi="Times New Roman" w:cs="Times New Roman"/>
          <w:color w:val="222222"/>
          <w:shd w:val="clear" w:color="auto" w:fill="FFFFFF"/>
          <w:lang w:eastAsia="en-GB"/>
        </w:rPr>
        <w:t>, R. M., &amp; Reynolds, C. F. (2017). Management of depression in older adults: a review. </w:t>
      </w:r>
      <w:r w:rsidRPr="00E90469">
        <w:rPr>
          <w:rFonts w:ascii="Times New Roman" w:eastAsia="Times New Roman" w:hAnsi="Times New Roman" w:cs="Times New Roman"/>
          <w:i/>
          <w:iCs/>
          <w:color w:val="222222"/>
          <w:lang w:eastAsia="en-GB"/>
        </w:rPr>
        <w:t>Jama</w:t>
      </w:r>
      <w:r w:rsidRPr="00E90469">
        <w:rPr>
          <w:rFonts w:ascii="Times New Roman" w:eastAsia="Times New Roman" w:hAnsi="Times New Roman" w:cs="Times New Roman"/>
          <w:color w:val="222222"/>
          <w:shd w:val="clear" w:color="auto" w:fill="FFFFFF"/>
          <w:lang w:eastAsia="en-GB"/>
        </w:rPr>
        <w:t>, </w:t>
      </w:r>
      <w:r w:rsidRPr="00E90469">
        <w:rPr>
          <w:rFonts w:ascii="Times New Roman" w:eastAsia="Times New Roman" w:hAnsi="Times New Roman" w:cs="Times New Roman"/>
          <w:i/>
          <w:iCs/>
          <w:color w:val="222222"/>
          <w:lang w:eastAsia="en-GB"/>
        </w:rPr>
        <w:t>317</w:t>
      </w:r>
      <w:r w:rsidRPr="00E90469">
        <w:rPr>
          <w:rFonts w:ascii="Times New Roman" w:eastAsia="Times New Roman" w:hAnsi="Times New Roman" w:cs="Times New Roman"/>
          <w:color w:val="222222"/>
          <w:shd w:val="clear" w:color="auto" w:fill="FFFFFF"/>
          <w:lang w:eastAsia="en-GB"/>
        </w:rPr>
        <w:t>(20), 2114-2122.</w:t>
      </w:r>
    </w:p>
    <w:p w14:paraId="59B7F9AA" w14:textId="77777777" w:rsidR="008F3F88" w:rsidRPr="00E96C42" w:rsidRDefault="008F3F88" w:rsidP="0025442B">
      <w:pPr>
        <w:pStyle w:val="NormalWeb"/>
        <w:spacing w:line="360" w:lineRule="auto"/>
        <w:ind w:left="720" w:hanging="720"/>
        <w:jc w:val="both"/>
      </w:pPr>
      <w:proofErr w:type="spellStart"/>
      <w:r w:rsidRPr="00E96C42">
        <w:lastRenderedPageBreak/>
        <w:t>Krout</w:t>
      </w:r>
      <w:proofErr w:type="spellEnd"/>
      <w:r w:rsidRPr="00E96C42">
        <w:t xml:space="preserve">, J. A., Moen, P., Holmes, H. H., </w:t>
      </w:r>
      <w:proofErr w:type="spellStart"/>
      <w:r w:rsidRPr="00E96C42">
        <w:t>Oggins</w:t>
      </w:r>
      <w:proofErr w:type="spellEnd"/>
      <w:r w:rsidRPr="00E96C42">
        <w:t xml:space="preserve">, J., &amp; Bowen, N. (2002). Reasons for relocation to a continuing care retirement community. </w:t>
      </w:r>
      <w:r w:rsidRPr="00E96C42">
        <w:rPr>
          <w:i/>
          <w:iCs/>
        </w:rPr>
        <w:t>Journal of Applied</w:t>
      </w:r>
      <w:r>
        <w:rPr>
          <w:i/>
          <w:iCs/>
        </w:rPr>
        <w:t xml:space="preserve"> </w:t>
      </w:r>
      <w:r w:rsidRPr="00E96C42">
        <w:rPr>
          <w:i/>
          <w:iCs/>
        </w:rPr>
        <w:t>Gerontology</w:t>
      </w:r>
      <w:r w:rsidRPr="00E96C42">
        <w:t xml:space="preserve">, </w:t>
      </w:r>
      <w:r w:rsidRPr="00E96C42">
        <w:rPr>
          <w:i/>
          <w:iCs/>
        </w:rPr>
        <w:t>21</w:t>
      </w:r>
      <w:r w:rsidRPr="00E96C42">
        <w:t>, 236-256. doi:10.1177/07364802021002007</w:t>
      </w:r>
    </w:p>
    <w:p w14:paraId="01F1CF92" w14:textId="77777777" w:rsidR="008F3F88" w:rsidRDefault="008F3F88" w:rsidP="00890010">
      <w:pPr>
        <w:spacing w:line="360" w:lineRule="auto"/>
        <w:ind w:left="720" w:hanging="720"/>
        <w:jc w:val="both"/>
        <w:rPr>
          <w:rFonts w:ascii="Times New Roman" w:eastAsia="Times New Roman" w:hAnsi="Times New Roman" w:cs="Times New Roman"/>
          <w:color w:val="222222"/>
          <w:shd w:val="clear" w:color="auto" w:fill="FFFFFF"/>
          <w:lang w:eastAsia="en-GB"/>
        </w:rPr>
      </w:pPr>
      <w:r w:rsidRPr="00890010">
        <w:rPr>
          <w:rFonts w:ascii="Times New Roman" w:eastAsia="Times New Roman" w:hAnsi="Times New Roman" w:cs="Times New Roman"/>
          <w:color w:val="222222"/>
          <w:shd w:val="clear" w:color="auto" w:fill="FFFFFF"/>
          <w:lang w:eastAsia="en-GB"/>
        </w:rPr>
        <w:t xml:space="preserve">Mather, A. S., Rodriguez, C., Guthrie, M. F., </w:t>
      </w:r>
      <w:proofErr w:type="spellStart"/>
      <w:r w:rsidRPr="00890010">
        <w:rPr>
          <w:rFonts w:ascii="Times New Roman" w:eastAsia="Times New Roman" w:hAnsi="Times New Roman" w:cs="Times New Roman"/>
          <w:color w:val="222222"/>
          <w:shd w:val="clear" w:color="auto" w:fill="FFFFFF"/>
          <w:lang w:eastAsia="en-GB"/>
        </w:rPr>
        <w:t>McHarg</w:t>
      </w:r>
      <w:proofErr w:type="spellEnd"/>
      <w:r w:rsidRPr="00890010">
        <w:rPr>
          <w:rFonts w:ascii="Times New Roman" w:eastAsia="Times New Roman" w:hAnsi="Times New Roman" w:cs="Times New Roman"/>
          <w:color w:val="222222"/>
          <w:shd w:val="clear" w:color="auto" w:fill="FFFFFF"/>
          <w:lang w:eastAsia="en-GB"/>
        </w:rPr>
        <w:t>, A. M., Reid, I. C., &amp; McMurdo, M. E. (2002). Effects of exercise on depressive symptoms in older adults with poorly responsive depressive disorder: randomised controlled trial. </w:t>
      </w:r>
      <w:r w:rsidRPr="00890010">
        <w:rPr>
          <w:rFonts w:ascii="Times New Roman" w:eastAsia="Times New Roman" w:hAnsi="Times New Roman" w:cs="Times New Roman"/>
          <w:i/>
          <w:iCs/>
          <w:color w:val="222222"/>
          <w:lang w:eastAsia="en-GB"/>
        </w:rPr>
        <w:t>The British Journal of Psychiatry</w:t>
      </w:r>
      <w:r w:rsidRPr="00890010">
        <w:rPr>
          <w:rFonts w:ascii="Times New Roman" w:eastAsia="Times New Roman" w:hAnsi="Times New Roman" w:cs="Times New Roman"/>
          <w:color w:val="222222"/>
          <w:shd w:val="clear" w:color="auto" w:fill="FFFFFF"/>
          <w:lang w:eastAsia="en-GB"/>
        </w:rPr>
        <w:t>, </w:t>
      </w:r>
      <w:r w:rsidRPr="00890010">
        <w:rPr>
          <w:rFonts w:ascii="Times New Roman" w:eastAsia="Times New Roman" w:hAnsi="Times New Roman" w:cs="Times New Roman"/>
          <w:i/>
          <w:iCs/>
          <w:color w:val="222222"/>
          <w:lang w:eastAsia="en-GB"/>
        </w:rPr>
        <w:t>180</w:t>
      </w:r>
      <w:r w:rsidRPr="00890010">
        <w:rPr>
          <w:rFonts w:ascii="Times New Roman" w:eastAsia="Times New Roman" w:hAnsi="Times New Roman" w:cs="Times New Roman"/>
          <w:color w:val="222222"/>
          <w:shd w:val="clear" w:color="auto" w:fill="FFFFFF"/>
          <w:lang w:eastAsia="en-GB"/>
        </w:rPr>
        <w:t>(5), 411-415.</w:t>
      </w:r>
    </w:p>
    <w:p w14:paraId="34B4BB3A" w14:textId="77777777" w:rsidR="008F3F88" w:rsidRDefault="008F3F88" w:rsidP="0025442B">
      <w:pPr>
        <w:pStyle w:val="NormalWeb"/>
        <w:spacing w:line="360" w:lineRule="auto"/>
        <w:ind w:left="720" w:hanging="720"/>
        <w:jc w:val="both"/>
      </w:pPr>
      <w:r w:rsidRPr="008C38B1">
        <w:t xml:space="preserve">Moen, P. (2001). The gendered life </w:t>
      </w:r>
      <w:proofErr w:type="gramStart"/>
      <w:r w:rsidRPr="008C38B1">
        <w:t>course</w:t>
      </w:r>
      <w:proofErr w:type="gramEnd"/>
      <w:r w:rsidRPr="008C38B1">
        <w:t xml:space="preserve">. In L. K. George &amp; R. H. Bin- stock (Eds.), </w:t>
      </w:r>
      <w:r w:rsidRPr="008C38B1">
        <w:rPr>
          <w:i/>
          <w:iCs/>
        </w:rPr>
        <w:t xml:space="preserve">Handbook of aging and the social sciences </w:t>
      </w:r>
      <w:r w:rsidRPr="008C38B1">
        <w:t xml:space="preserve">(5th ed., pp. 179–196). San Diego, CA: Academic Press. </w:t>
      </w:r>
    </w:p>
    <w:p w14:paraId="147F79D7" w14:textId="77777777" w:rsidR="008F3F88" w:rsidRDefault="008F3F88" w:rsidP="00720C58">
      <w:pPr>
        <w:pStyle w:val="NormalWeb"/>
        <w:spacing w:line="360" w:lineRule="auto"/>
        <w:ind w:left="720" w:hanging="720"/>
        <w:jc w:val="both"/>
        <w:rPr>
          <w:color w:val="111111"/>
        </w:rPr>
      </w:pPr>
      <w:r w:rsidRPr="00720C58">
        <w:rPr>
          <w:color w:val="111111"/>
        </w:rPr>
        <w:t>Morimoto</w:t>
      </w:r>
      <w:r>
        <w:rPr>
          <w:color w:val="111111"/>
        </w:rPr>
        <w:t>,</w:t>
      </w:r>
      <w:r w:rsidRPr="00720C58">
        <w:rPr>
          <w:color w:val="111111"/>
        </w:rPr>
        <w:t xml:space="preserve"> S</w:t>
      </w:r>
      <w:r>
        <w:rPr>
          <w:color w:val="111111"/>
        </w:rPr>
        <w:t>.</w:t>
      </w:r>
      <w:r w:rsidRPr="00720C58">
        <w:rPr>
          <w:color w:val="111111"/>
        </w:rPr>
        <w:t>S</w:t>
      </w:r>
      <w:r>
        <w:rPr>
          <w:color w:val="111111"/>
        </w:rPr>
        <w:t>.</w:t>
      </w:r>
      <w:r w:rsidRPr="00720C58">
        <w:rPr>
          <w:color w:val="111111"/>
        </w:rPr>
        <w:t xml:space="preserve">, </w:t>
      </w:r>
      <w:proofErr w:type="spellStart"/>
      <w:r w:rsidRPr="00720C58">
        <w:rPr>
          <w:color w:val="111111"/>
        </w:rPr>
        <w:t>Kanellopoulos</w:t>
      </w:r>
      <w:proofErr w:type="spellEnd"/>
      <w:r>
        <w:rPr>
          <w:color w:val="111111"/>
        </w:rPr>
        <w:t>,</w:t>
      </w:r>
      <w:r w:rsidRPr="00720C58">
        <w:rPr>
          <w:color w:val="111111"/>
        </w:rPr>
        <w:t xml:space="preserve"> D</w:t>
      </w:r>
      <w:r>
        <w:rPr>
          <w:color w:val="111111"/>
        </w:rPr>
        <w:t>.</w:t>
      </w:r>
      <w:r w:rsidRPr="00720C58">
        <w:rPr>
          <w:color w:val="111111"/>
        </w:rPr>
        <w:t>, Manning</w:t>
      </w:r>
      <w:r>
        <w:rPr>
          <w:color w:val="111111"/>
        </w:rPr>
        <w:t>,</w:t>
      </w:r>
      <w:r w:rsidRPr="00720C58">
        <w:rPr>
          <w:color w:val="111111"/>
        </w:rPr>
        <w:t xml:space="preserve"> K</w:t>
      </w:r>
      <w:r>
        <w:rPr>
          <w:color w:val="111111"/>
        </w:rPr>
        <w:t>.</w:t>
      </w:r>
      <w:r w:rsidRPr="00720C58">
        <w:rPr>
          <w:color w:val="111111"/>
        </w:rPr>
        <w:t>J</w:t>
      </w:r>
      <w:r>
        <w:rPr>
          <w:color w:val="111111"/>
        </w:rPr>
        <w:t>.</w:t>
      </w:r>
      <w:r w:rsidRPr="00720C58">
        <w:rPr>
          <w:color w:val="111111"/>
        </w:rPr>
        <w:t>,</w:t>
      </w:r>
      <w:r>
        <w:rPr>
          <w:color w:val="111111"/>
        </w:rPr>
        <w:t xml:space="preserve"> &amp;</w:t>
      </w:r>
      <w:r w:rsidRPr="00720C58">
        <w:rPr>
          <w:color w:val="111111"/>
        </w:rPr>
        <w:t xml:space="preserve"> </w:t>
      </w:r>
      <w:proofErr w:type="spellStart"/>
      <w:r w:rsidRPr="00720C58">
        <w:rPr>
          <w:color w:val="111111"/>
        </w:rPr>
        <w:t>Alexopoulos</w:t>
      </w:r>
      <w:proofErr w:type="spellEnd"/>
      <w:r>
        <w:rPr>
          <w:color w:val="111111"/>
        </w:rPr>
        <w:t>,</w:t>
      </w:r>
      <w:r w:rsidRPr="00720C58">
        <w:rPr>
          <w:color w:val="111111"/>
        </w:rPr>
        <w:t xml:space="preserve"> G</w:t>
      </w:r>
      <w:r>
        <w:rPr>
          <w:color w:val="111111"/>
        </w:rPr>
        <w:t>.</w:t>
      </w:r>
      <w:r w:rsidRPr="00720C58">
        <w:rPr>
          <w:color w:val="111111"/>
        </w:rPr>
        <w:t>S</w:t>
      </w:r>
      <w:r>
        <w:rPr>
          <w:color w:val="111111"/>
        </w:rPr>
        <w:t>.</w:t>
      </w:r>
      <w:r w:rsidRPr="00720C58">
        <w:rPr>
          <w:color w:val="111111"/>
        </w:rPr>
        <w:t xml:space="preserve"> (2015) Diagnosis and treatment of depression and cognitive impairment in late life. Ann N Y </w:t>
      </w:r>
      <w:proofErr w:type="spellStart"/>
      <w:r w:rsidRPr="00720C58">
        <w:rPr>
          <w:color w:val="111111"/>
        </w:rPr>
        <w:t>Acad</w:t>
      </w:r>
      <w:proofErr w:type="spellEnd"/>
      <w:r w:rsidRPr="00720C58">
        <w:rPr>
          <w:color w:val="111111"/>
        </w:rPr>
        <w:t xml:space="preserve"> Sci 1345:36–46</w:t>
      </w:r>
      <w:r>
        <w:rPr>
          <w:color w:val="111111"/>
        </w:rPr>
        <w:t>.</w:t>
      </w:r>
    </w:p>
    <w:p w14:paraId="7971E872" w14:textId="77777777" w:rsidR="008F3F88" w:rsidRDefault="008F3F88" w:rsidP="0025442B">
      <w:pPr>
        <w:pStyle w:val="NormalWeb"/>
        <w:spacing w:line="360" w:lineRule="auto"/>
        <w:ind w:left="720" w:hanging="720"/>
        <w:jc w:val="both"/>
      </w:pPr>
      <w:r w:rsidRPr="003A55B1">
        <w:t xml:space="preserve">OECD [Organization for Economic Cooperation and Development]. (2006). </w:t>
      </w:r>
      <w:r w:rsidRPr="003A55B1">
        <w:rPr>
          <w:i/>
          <w:iCs/>
        </w:rPr>
        <w:t xml:space="preserve">Live longer, work longer. </w:t>
      </w:r>
      <w:r w:rsidRPr="003A55B1">
        <w:t xml:space="preserve">Retrieved from http://www.oecdwash.org/PDFILES/live_longer_work _longer.pdf </w:t>
      </w:r>
    </w:p>
    <w:p w14:paraId="21EF5839" w14:textId="77777777" w:rsidR="008F3F88" w:rsidRDefault="008F3F88" w:rsidP="0011070B">
      <w:pPr>
        <w:spacing w:line="360" w:lineRule="auto"/>
        <w:ind w:left="720" w:hanging="720"/>
        <w:jc w:val="both"/>
        <w:rPr>
          <w:rFonts w:ascii="Times New Roman" w:eastAsia="Times New Roman" w:hAnsi="Times New Roman" w:cs="Times New Roman"/>
          <w:color w:val="222222"/>
          <w:shd w:val="clear" w:color="auto" w:fill="FFFFFF"/>
          <w:lang w:eastAsia="en-GB"/>
        </w:rPr>
      </w:pPr>
      <w:proofErr w:type="spellStart"/>
      <w:r w:rsidRPr="0011070B">
        <w:rPr>
          <w:rFonts w:ascii="Times New Roman" w:eastAsia="Times New Roman" w:hAnsi="Times New Roman" w:cs="Times New Roman"/>
          <w:color w:val="222222"/>
          <w:shd w:val="clear" w:color="auto" w:fill="FFFFFF"/>
          <w:lang w:eastAsia="en-GB"/>
        </w:rPr>
        <w:t>Olfson</w:t>
      </w:r>
      <w:proofErr w:type="spellEnd"/>
      <w:r w:rsidRPr="0011070B">
        <w:rPr>
          <w:rFonts w:ascii="Times New Roman" w:eastAsia="Times New Roman" w:hAnsi="Times New Roman" w:cs="Times New Roman"/>
          <w:color w:val="222222"/>
          <w:shd w:val="clear" w:color="auto" w:fill="FFFFFF"/>
          <w:lang w:eastAsia="en-GB"/>
        </w:rPr>
        <w:t>, M., Marcus, S. C., Tedeschi, M., &amp; Wan, G. J. (2006). Continuity of antidepressant treatment for adults with depression in the United States. </w:t>
      </w:r>
      <w:r w:rsidRPr="0011070B">
        <w:rPr>
          <w:rFonts w:ascii="Times New Roman" w:eastAsia="Times New Roman" w:hAnsi="Times New Roman" w:cs="Times New Roman"/>
          <w:i/>
          <w:iCs/>
          <w:color w:val="222222"/>
          <w:lang w:eastAsia="en-GB"/>
        </w:rPr>
        <w:t>American Journal of psychiatry</w:t>
      </w:r>
      <w:r w:rsidRPr="0011070B">
        <w:rPr>
          <w:rFonts w:ascii="Times New Roman" w:eastAsia="Times New Roman" w:hAnsi="Times New Roman" w:cs="Times New Roman"/>
          <w:color w:val="222222"/>
          <w:shd w:val="clear" w:color="auto" w:fill="FFFFFF"/>
          <w:lang w:eastAsia="en-GB"/>
        </w:rPr>
        <w:t>, </w:t>
      </w:r>
      <w:r w:rsidRPr="0011070B">
        <w:rPr>
          <w:rFonts w:ascii="Times New Roman" w:eastAsia="Times New Roman" w:hAnsi="Times New Roman" w:cs="Times New Roman"/>
          <w:i/>
          <w:iCs/>
          <w:color w:val="222222"/>
          <w:lang w:eastAsia="en-GB"/>
        </w:rPr>
        <w:t>163</w:t>
      </w:r>
      <w:r w:rsidRPr="0011070B">
        <w:rPr>
          <w:rFonts w:ascii="Times New Roman" w:eastAsia="Times New Roman" w:hAnsi="Times New Roman" w:cs="Times New Roman"/>
          <w:color w:val="222222"/>
          <w:shd w:val="clear" w:color="auto" w:fill="FFFFFF"/>
          <w:lang w:eastAsia="en-GB"/>
        </w:rPr>
        <w:t>(1), 101-108.</w:t>
      </w:r>
    </w:p>
    <w:p w14:paraId="76185174" w14:textId="77777777" w:rsidR="008F3F88" w:rsidRDefault="008F3F88" w:rsidP="00890010">
      <w:pPr>
        <w:spacing w:before="100" w:beforeAutospacing="1" w:after="100" w:afterAutospacing="1" w:line="360" w:lineRule="auto"/>
        <w:ind w:left="720" w:hanging="720"/>
        <w:jc w:val="both"/>
        <w:rPr>
          <w:rFonts w:ascii="Times New Roman" w:eastAsia="Times New Roman" w:hAnsi="Times New Roman" w:cs="Times New Roman"/>
          <w:lang w:eastAsia="en-GB"/>
        </w:rPr>
      </w:pPr>
      <w:proofErr w:type="spellStart"/>
      <w:r w:rsidRPr="00890010">
        <w:rPr>
          <w:rFonts w:ascii="Times New Roman" w:eastAsia="Times New Roman" w:hAnsi="Times New Roman" w:cs="Times New Roman"/>
          <w:lang w:eastAsia="en-GB"/>
        </w:rPr>
        <w:t>Paffenbarger</w:t>
      </w:r>
      <w:proofErr w:type="spellEnd"/>
      <w:r w:rsidRPr="00890010">
        <w:rPr>
          <w:rFonts w:ascii="Times New Roman" w:eastAsia="Times New Roman" w:hAnsi="Times New Roman" w:cs="Times New Roman"/>
          <w:lang w:eastAsia="en-GB"/>
        </w:rPr>
        <w:t>, R. S., Jr., Lee, I. M. &amp; Leung, R.</w:t>
      </w:r>
      <w:r>
        <w:rPr>
          <w:rFonts w:ascii="Times New Roman" w:eastAsia="Times New Roman" w:hAnsi="Times New Roman" w:cs="Times New Roman"/>
          <w:lang w:eastAsia="en-GB"/>
        </w:rPr>
        <w:t xml:space="preserve"> (</w:t>
      </w:r>
      <w:r w:rsidRPr="00890010">
        <w:rPr>
          <w:rFonts w:ascii="Times New Roman" w:eastAsia="Times New Roman" w:hAnsi="Times New Roman" w:cs="Times New Roman"/>
          <w:lang w:eastAsia="en-GB"/>
        </w:rPr>
        <w:t>1994)</w:t>
      </w:r>
      <w:r>
        <w:rPr>
          <w:rFonts w:ascii="Times New Roman" w:eastAsia="Times New Roman" w:hAnsi="Times New Roman" w:cs="Times New Roman"/>
          <w:lang w:eastAsia="en-GB"/>
        </w:rPr>
        <w:t xml:space="preserve"> </w:t>
      </w:r>
      <w:r w:rsidRPr="00890010">
        <w:rPr>
          <w:rFonts w:ascii="Times New Roman" w:eastAsia="Times New Roman" w:hAnsi="Times New Roman" w:cs="Times New Roman"/>
          <w:lang w:eastAsia="en-GB"/>
        </w:rPr>
        <w:t xml:space="preserve">Physical activity and personal characteristics associated with depression and suicide in American college men. Acta </w:t>
      </w:r>
      <w:proofErr w:type="spellStart"/>
      <w:r w:rsidRPr="00890010">
        <w:rPr>
          <w:rFonts w:ascii="Times New Roman" w:eastAsia="Times New Roman" w:hAnsi="Times New Roman" w:cs="Times New Roman"/>
          <w:lang w:eastAsia="en-GB"/>
        </w:rPr>
        <w:t>Psychiatrica</w:t>
      </w:r>
      <w:proofErr w:type="spellEnd"/>
      <w:r w:rsidRPr="00890010">
        <w:rPr>
          <w:rFonts w:ascii="Times New Roman" w:eastAsia="Times New Roman" w:hAnsi="Times New Roman" w:cs="Times New Roman"/>
          <w:lang w:eastAsia="en-GB"/>
        </w:rPr>
        <w:t xml:space="preserve"> </w:t>
      </w:r>
      <w:proofErr w:type="spellStart"/>
      <w:r w:rsidRPr="00890010">
        <w:rPr>
          <w:rFonts w:ascii="Times New Roman" w:eastAsia="Times New Roman" w:hAnsi="Times New Roman" w:cs="Times New Roman"/>
          <w:lang w:eastAsia="en-GB"/>
        </w:rPr>
        <w:t>Scandinavica</w:t>
      </w:r>
      <w:proofErr w:type="spellEnd"/>
      <w:r w:rsidRPr="00890010">
        <w:rPr>
          <w:rFonts w:ascii="Times New Roman" w:eastAsia="Times New Roman" w:hAnsi="Times New Roman" w:cs="Times New Roman"/>
          <w:lang w:eastAsia="en-GB"/>
        </w:rPr>
        <w:t xml:space="preserve"> </w:t>
      </w:r>
      <w:proofErr w:type="spellStart"/>
      <w:r w:rsidRPr="00890010">
        <w:rPr>
          <w:rFonts w:ascii="Times New Roman" w:eastAsia="Times New Roman" w:hAnsi="Times New Roman" w:cs="Times New Roman"/>
          <w:lang w:eastAsia="en-GB"/>
        </w:rPr>
        <w:t>Supplementum</w:t>
      </w:r>
      <w:proofErr w:type="spellEnd"/>
      <w:r w:rsidRPr="00890010">
        <w:rPr>
          <w:rFonts w:ascii="Times New Roman" w:eastAsia="Times New Roman" w:hAnsi="Times New Roman" w:cs="Times New Roman"/>
          <w:lang w:eastAsia="en-GB"/>
        </w:rPr>
        <w:t>, 377, 16</w:t>
      </w:r>
      <w:r>
        <w:rPr>
          <w:rFonts w:ascii="Times New Roman" w:eastAsia="Times New Roman" w:hAnsi="Times New Roman" w:cs="Times New Roman"/>
          <w:lang w:eastAsia="en-GB"/>
        </w:rPr>
        <w:t>-</w:t>
      </w:r>
      <w:r w:rsidRPr="00890010">
        <w:rPr>
          <w:rFonts w:ascii="Times New Roman" w:eastAsia="Times New Roman" w:hAnsi="Times New Roman" w:cs="Times New Roman"/>
          <w:lang w:eastAsia="en-GB"/>
        </w:rPr>
        <w:t xml:space="preserve">22. </w:t>
      </w:r>
    </w:p>
    <w:p w14:paraId="1DF9CBAD" w14:textId="77777777" w:rsidR="008F3F88" w:rsidRDefault="008F3F88" w:rsidP="00720C58">
      <w:pPr>
        <w:pStyle w:val="NormalWeb"/>
        <w:spacing w:line="360" w:lineRule="auto"/>
        <w:ind w:left="720" w:hanging="720"/>
        <w:jc w:val="both"/>
        <w:rPr>
          <w:color w:val="382896"/>
        </w:rPr>
      </w:pPr>
      <w:proofErr w:type="spellStart"/>
      <w:r w:rsidRPr="00720C58">
        <w:rPr>
          <w:color w:val="111111"/>
        </w:rPr>
        <w:t>Pantzar</w:t>
      </w:r>
      <w:proofErr w:type="spellEnd"/>
      <w:r>
        <w:rPr>
          <w:color w:val="111111"/>
        </w:rPr>
        <w:t>,</w:t>
      </w:r>
      <w:r w:rsidRPr="00720C58">
        <w:rPr>
          <w:color w:val="111111"/>
        </w:rPr>
        <w:t xml:space="preserve"> A</w:t>
      </w:r>
      <w:r>
        <w:rPr>
          <w:color w:val="111111"/>
        </w:rPr>
        <w:t>.</w:t>
      </w:r>
      <w:r w:rsidRPr="00720C58">
        <w:rPr>
          <w:color w:val="111111"/>
        </w:rPr>
        <w:t xml:space="preserve">, </w:t>
      </w:r>
      <w:proofErr w:type="spellStart"/>
      <w:r w:rsidRPr="00720C58">
        <w:rPr>
          <w:color w:val="111111"/>
        </w:rPr>
        <w:t>Atti</w:t>
      </w:r>
      <w:proofErr w:type="spellEnd"/>
      <w:r>
        <w:rPr>
          <w:color w:val="111111"/>
        </w:rPr>
        <w:t>,</w:t>
      </w:r>
      <w:r w:rsidRPr="00720C58">
        <w:rPr>
          <w:color w:val="111111"/>
        </w:rPr>
        <w:t xml:space="preserve"> A</w:t>
      </w:r>
      <w:r>
        <w:rPr>
          <w:color w:val="111111"/>
        </w:rPr>
        <w:t>.</w:t>
      </w:r>
      <w:r w:rsidRPr="00720C58">
        <w:rPr>
          <w:color w:val="111111"/>
        </w:rPr>
        <w:t>R</w:t>
      </w:r>
      <w:r>
        <w:rPr>
          <w:color w:val="111111"/>
        </w:rPr>
        <w:t>.</w:t>
      </w:r>
      <w:r w:rsidRPr="00720C58">
        <w:rPr>
          <w:color w:val="111111"/>
        </w:rPr>
        <w:t>,</w:t>
      </w:r>
      <w:r>
        <w:rPr>
          <w:color w:val="111111"/>
        </w:rPr>
        <w:t xml:space="preserve"> &amp;</w:t>
      </w:r>
      <w:r w:rsidRPr="00720C58">
        <w:rPr>
          <w:color w:val="111111"/>
        </w:rPr>
        <w:t xml:space="preserve"> </w:t>
      </w:r>
      <w:proofErr w:type="spellStart"/>
      <w:r w:rsidRPr="00720C58">
        <w:rPr>
          <w:color w:val="111111"/>
        </w:rPr>
        <w:t>Fratiglioni</w:t>
      </w:r>
      <w:proofErr w:type="spellEnd"/>
      <w:r>
        <w:rPr>
          <w:color w:val="111111"/>
        </w:rPr>
        <w:t>,</w:t>
      </w:r>
      <w:r w:rsidRPr="00720C58">
        <w:rPr>
          <w:color w:val="111111"/>
        </w:rPr>
        <w:t xml:space="preserve"> L et al</w:t>
      </w:r>
      <w:r>
        <w:rPr>
          <w:color w:val="111111"/>
        </w:rPr>
        <w:t>.</w:t>
      </w:r>
      <w:r w:rsidRPr="00720C58">
        <w:rPr>
          <w:color w:val="111111"/>
        </w:rPr>
        <w:t xml:space="preserve"> (2016) Cognitive performance in unipolar old-age depression: a longitudinal study. Int J </w:t>
      </w:r>
      <w:proofErr w:type="spellStart"/>
      <w:r w:rsidRPr="00720C58">
        <w:rPr>
          <w:color w:val="111111"/>
        </w:rPr>
        <w:t>Geriatr</w:t>
      </w:r>
      <w:proofErr w:type="spellEnd"/>
      <w:r w:rsidRPr="00720C58">
        <w:rPr>
          <w:color w:val="111111"/>
        </w:rPr>
        <w:t xml:space="preserve"> Psychiatry. doi:</w:t>
      </w:r>
      <w:r w:rsidRPr="00720C58">
        <w:rPr>
          <w:color w:val="382896"/>
        </w:rPr>
        <w:t>10.1002/gps.4510</w:t>
      </w:r>
      <w:r>
        <w:rPr>
          <w:color w:val="382896"/>
        </w:rPr>
        <w:t>.</w:t>
      </w:r>
      <w:r w:rsidRPr="00720C58">
        <w:rPr>
          <w:color w:val="382896"/>
        </w:rPr>
        <w:t xml:space="preserve"> </w:t>
      </w:r>
    </w:p>
    <w:p w14:paraId="13075B21" w14:textId="77777777" w:rsidR="008F3F88" w:rsidRDefault="008F3F88" w:rsidP="00720C58">
      <w:pPr>
        <w:pStyle w:val="NormalWeb"/>
        <w:spacing w:line="360" w:lineRule="auto"/>
        <w:ind w:left="720" w:hanging="720"/>
        <w:jc w:val="both"/>
        <w:rPr>
          <w:color w:val="111111"/>
        </w:rPr>
      </w:pPr>
      <w:r w:rsidRPr="00720C58">
        <w:rPr>
          <w:color w:val="111111"/>
        </w:rPr>
        <w:t>Richard-</w:t>
      </w:r>
      <w:proofErr w:type="spellStart"/>
      <w:r w:rsidRPr="00720C58">
        <w:rPr>
          <w:color w:val="111111"/>
        </w:rPr>
        <w:t>Devantoy</w:t>
      </w:r>
      <w:proofErr w:type="spellEnd"/>
      <w:r>
        <w:rPr>
          <w:color w:val="111111"/>
        </w:rPr>
        <w:t>,</w:t>
      </w:r>
      <w:r w:rsidRPr="00720C58">
        <w:rPr>
          <w:color w:val="111111"/>
        </w:rPr>
        <w:t xml:space="preserve"> S</w:t>
      </w:r>
      <w:r>
        <w:rPr>
          <w:color w:val="111111"/>
        </w:rPr>
        <w:t>.</w:t>
      </w:r>
      <w:r w:rsidRPr="00720C58">
        <w:rPr>
          <w:color w:val="111111"/>
        </w:rPr>
        <w:t xml:space="preserve">, </w:t>
      </w:r>
      <w:proofErr w:type="spellStart"/>
      <w:r w:rsidRPr="00720C58">
        <w:rPr>
          <w:color w:val="111111"/>
        </w:rPr>
        <w:t>Szanto</w:t>
      </w:r>
      <w:proofErr w:type="spellEnd"/>
      <w:r>
        <w:rPr>
          <w:color w:val="111111"/>
        </w:rPr>
        <w:t>,</w:t>
      </w:r>
      <w:r w:rsidRPr="00720C58">
        <w:rPr>
          <w:color w:val="111111"/>
        </w:rPr>
        <w:t xml:space="preserve"> K</w:t>
      </w:r>
      <w:r>
        <w:rPr>
          <w:color w:val="111111"/>
        </w:rPr>
        <w:t>.</w:t>
      </w:r>
      <w:r w:rsidRPr="00720C58">
        <w:rPr>
          <w:color w:val="111111"/>
        </w:rPr>
        <w:t>,</w:t>
      </w:r>
      <w:r>
        <w:rPr>
          <w:color w:val="111111"/>
        </w:rPr>
        <w:t xml:space="preserve"> &amp;</w:t>
      </w:r>
      <w:r w:rsidRPr="00720C58">
        <w:rPr>
          <w:color w:val="111111"/>
        </w:rPr>
        <w:t xml:space="preserve"> Butters</w:t>
      </w:r>
      <w:r>
        <w:rPr>
          <w:color w:val="111111"/>
        </w:rPr>
        <w:t>,</w:t>
      </w:r>
      <w:r w:rsidRPr="00720C58">
        <w:rPr>
          <w:color w:val="111111"/>
        </w:rPr>
        <w:t xml:space="preserve"> M</w:t>
      </w:r>
      <w:r>
        <w:rPr>
          <w:color w:val="111111"/>
        </w:rPr>
        <w:t>.</w:t>
      </w:r>
      <w:r w:rsidRPr="00720C58">
        <w:rPr>
          <w:color w:val="111111"/>
        </w:rPr>
        <w:t>A et al</w:t>
      </w:r>
      <w:r>
        <w:rPr>
          <w:color w:val="111111"/>
        </w:rPr>
        <w:t>.</w:t>
      </w:r>
      <w:r w:rsidRPr="00720C58">
        <w:rPr>
          <w:color w:val="111111"/>
        </w:rPr>
        <w:t xml:space="preserve"> (2015) Cognitive inhibition in older high-lethality suicide attempters. Int J </w:t>
      </w:r>
      <w:proofErr w:type="spellStart"/>
      <w:r w:rsidRPr="00720C58">
        <w:rPr>
          <w:color w:val="111111"/>
        </w:rPr>
        <w:t>Geriatr</w:t>
      </w:r>
      <w:proofErr w:type="spellEnd"/>
      <w:r w:rsidRPr="00720C58">
        <w:rPr>
          <w:color w:val="111111"/>
        </w:rPr>
        <w:t xml:space="preserve"> Psychiatry 30(3):274–283</w:t>
      </w:r>
      <w:r>
        <w:rPr>
          <w:color w:val="111111"/>
        </w:rPr>
        <w:t>.</w:t>
      </w:r>
      <w:r w:rsidRPr="00720C58">
        <w:rPr>
          <w:color w:val="111111"/>
        </w:rPr>
        <w:t xml:space="preserve"> </w:t>
      </w:r>
    </w:p>
    <w:p w14:paraId="1C3FCC12" w14:textId="77777777" w:rsidR="008F3F88" w:rsidRPr="0025442B" w:rsidRDefault="008F3F88" w:rsidP="0025442B">
      <w:pPr>
        <w:pStyle w:val="NormalWeb"/>
        <w:spacing w:line="360" w:lineRule="auto"/>
        <w:ind w:left="720" w:hanging="720"/>
        <w:jc w:val="both"/>
      </w:pPr>
      <w:r w:rsidRPr="0025442B">
        <w:rPr>
          <w:color w:val="111111"/>
        </w:rPr>
        <w:lastRenderedPageBreak/>
        <w:t>Richardson</w:t>
      </w:r>
      <w:r>
        <w:rPr>
          <w:color w:val="111111"/>
        </w:rPr>
        <w:t>,</w:t>
      </w:r>
      <w:r w:rsidRPr="0025442B">
        <w:rPr>
          <w:color w:val="111111"/>
        </w:rPr>
        <w:t xml:space="preserve"> T</w:t>
      </w:r>
      <w:r>
        <w:rPr>
          <w:color w:val="111111"/>
        </w:rPr>
        <w:t>.</w:t>
      </w:r>
      <w:r w:rsidRPr="0025442B">
        <w:rPr>
          <w:color w:val="111111"/>
        </w:rPr>
        <w:t>M</w:t>
      </w:r>
      <w:r>
        <w:rPr>
          <w:color w:val="111111"/>
        </w:rPr>
        <w:t>.</w:t>
      </w:r>
      <w:r w:rsidRPr="0025442B">
        <w:rPr>
          <w:color w:val="111111"/>
        </w:rPr>
        <w:t>, Friedman</w:t>
      </w:r>
      <w:r>
        <w:rPr>
          <w:color w:val="111111"/>
        </w:rPr>
        <w:t>,</w:t>
      </w:r>
      <w:r w:rsidRPr="0025442B">
        <w:rPr>
          <w:color w:val="111111"/>
        </w:rPr>
        <w:t xml:space="preserve"> B</w:t>
      </w:r>
      <w:r>
        <w:rPr>
          <w:color w:val="111111"/>
        </w:rPr>
        <w:t>.</w:t>
      </w:r>
      <w:r w:rsidRPr="0025442B">
        <w:rPr>
          <w:color w:val="111111"/>
        </w:rPr>
        <w:t>,</w:t>
      </w:r>
      <w:r>
        <w:rPr>
          <w:color w:val="111111"/>
        </w:rPr>
        <w:t xml:space="preserve"> &amp;</w:t>
      </w:r>
      <w:r w:rsidRPr="0025442B">
        <w:rPr>
          <w:color w:val="111111"/>
        </w:rPr>
        <w:t xml:space="preserve"> Podgorski</w:t>
      </w:r>
      <w:r>
        <w:rPr>
          <w:color w:val="111111"/>
        </w:rPr>
        <w:t>,</w:t>
      </w:r>
      <w:r w:rsidRPr="0025442B">
        <w:rPr>
          <w:color w:val="111111"/>
        </w:rPr>
        <w:t xml:space="preserve"> C et al (2012) Depression and its correlates among older adults accessing aging services. Am J </w:t>
      </w:r>
      <w:proofErr w:type="spellStart"/>
      <w:r w:rsidRPr="0025442B">
        <w:rPr>
          <w:color w:val="111111"/>
        </w:rPr>
        <w:t>Geriatr</w:t>
      </w:r>
      <w:proofErr w:type="spellEnd"/>
      <w:r w:rsidRPr="0025442B">
        <w:rPr>
          <w:color w:val="111111"/>
        </w:rPr>
        <w:t xml:space="preserve"> Psychiatry 20(4):346–354</w:t>
      </w:r>
      <w:r>
        <w:rPr>
          <w:color w:val="111111"/>
        </w:rPr>
        <w:t>.</w:t>
      </w:r>
      <w:r w:rsidRPr="0025442B">
        <w:rPr>
          <w:color w:val="111111"/>
        </w:rPr>
        <w:t xml:space="preserve"> </w:t>
      </w:r>
    </w:p>
    <w:p w14:paraId="5684822A" w14:textId="77777777" w:rsidR="008F3F88" w:rsidRDefault="008F3F88" w:rsidP="00890010">
      <w:pPr>
        <w:spacing w:before="100" w:beforeAutospacing="1" w:after="100" w:afterAutospacing="1" w:line="360" w:lineRule="auto"/>
        <w:ind w:left="720" w:hanging="720"/>
        <w:jc w:val="both"/>
        <w:rPr>
          <w:rFonts w:ascii="Times New Roman" w:eastAsia="Times New Roman" w:hAnsi="Times New Roman" w:cs="Times New Roman"/>
          <w:color w:val="000000" w:themeColor="text1"/>
          <w:lang w:eastAsia="en-GB"/>
        </w:rPr>
      </w:pPr>
      <w:proofErr w:type="spellStart"/>
      <w:r w:rsidRPr="00890010">
        <w:rPr>
          <w:rFonts w:ascii="Times New Roman" w:eastAsia="Times New Roman" w:hAnsi="Times New Roman" w:cs="Times New Roman"/>
          <w:color w:val="000000" w:themeColor="text1"/>
          <w:lang w:eastAsia="en-GB"/>
        </w:rPr>
        <w:t>Ruuskanen</w:t>
      </w:r>
      <w:proofErr w:type="spellEnd"/>
      <w:r w:rsidRPr="00890010">
        <w:rPr>
          <w:rFonts w:ascii="Times New Roman" w:eastAsia="Times New Roman" w:hAnsi="Times New Roman" w:cs="Times New Roman"/>
          <w:color w:val="000000" w:themeColor="text1"/>
          <w:lang w:eastAsia="en-GB"/>
        </w:rPr>
        <w:t xml:space="preserve">, J. M. &amp; </w:t>
      </w:r>
      <w:proofErr w:type="spellStart"/>
      <w:r w:rsidRPr="00890010">
        <w:rPr>
          <w:rFonts w:ascii="Times New Roman" w:eastAsia="Times New Roman" w:hAnsi="Times New Roman" w:cs="Times New Roman"/>
          <w:color w:val="000000" w:themeColor="text1"/>
          <w:lang w:eastAsia="en-GB"/>
        </w:rPr>
        <w:t>Ruoppila</w:t>
      </w:r>
      <w:proofErr w:type="spellEnd"/>
      <w:r w:rsidRPr="00890010">
        <w:rPr>
          <w:rFonts w:ascii="Times New Roman" w:eastAsia="Times New Roman" w:hAnsi="Times New Roman" w:cs="Times New Roman"/>
          <w:color w:val="000000" w:themeColor="text1"/>
          <w:lang w:eastAsia="en-GB"/>
        </w:rPr>
        <w:t xml:space="preserve">, I. </w:t>
      </w:r>
      <w:r>
        <w:rPr>
          <w:rFonts w:ascii="Times New Roman" w:eastAsia="Times New Roman" w:hAnsi="Times New Roman" w:cs="Times New Roman"/>
          <w:color w:val="000000" w:themeColor="text1"/>
          <w:lang w:eastAsia="en-GB"/>
        </w:rPr>
        <w:t>(</w:t>
      </w:r>
      <w:r w:rsidRPr="00890010">
        <w:rPr>
          <w:rFonts w:ascii="Times New Roman" w:eastAsia="Times New Roman" w:hAnsi="Times New Roman" w:cs="Times New Roman"/>
          <w:color w:val="000000" w:themeColor="text1"/>
          <w:lang w:eastAsia="en-GB"/>
        </w:rPr>
        <w:t>1995) Physical activity and psychological well-being among people aged 65 to 84 years. Age and Ageing, 24, 292</w:t>
      </w:r>
      <w:r>
        <w:rPr>
          <w:rFonts w:ascii="Times New Roman" w:eastAsia="Times New Roman" w:hAnsi="Times New Roman" w:cs="Times New Roman"/>
          <w:color w:val="000000" w:themeColor="text1"/>
          <w:lang w:eastAsia="en-GB"/>
        </w:rPr>
        <w:t>-</w:t>
      </w:r>
      <w:r w:rsidRPr="00890010">
        <w:rPr>
          <w:rFonts w:ascii="Times New Roman" w:eastAsia="Times New Roman" w:hAnsi="Times New Roman" w:cs="Times New Roman"/>
          <w:color w:val="000000" w:themeColor="text1"/>
          <w:lang w:eastAsia="en-GB"/>
        </w:rPr>
        <w:t xml:space="preserve">296. </w:t>
      </w:r>
    </w:p>
    <w:p w14:paraId="348264DE" w14:textId="77777777" w:rsidR="008F3F88" w:rsidRDefault="008F3F88" w:rsidP="0025442B">
      <w:pPr>
        <w:pStyle w:val="NormalWeb"/>
        <w:spacing w:line="360" w:lineRule="auto"/>
        <w:ind w:left="720" w:hanging="720"/>
        <w:jc w:val="both"/>
      </w:pPr>
      <w:r w:rsidRPr="00E96C42">
        <w:t xml:space="preserve">Sheehan, N. W. (1995). The decision to move to a continuing care retirement community. </w:t>
      </w:r>
      <w:r w:rsidRPr="00E96C42">
        <w:rPr>
          <w:i/>
          <w:iCs/>
        </w:rPr>
        <w:t>Journal of Housing for the Elderly</w:t>
      </w:r>
      <w:r w:rsidRPr="00E96C42">
        <w:t xml:space="preserve">, </w:t>
      </w:r>
      <w:r w:rsidRPr="00E96C42">
        <w:rPr>
          <w:i/>
          <w:iCs/>
        </w:rPr>
        <w:t>11</w:t>
      </w:r>
      <w:r w:rsidRPr="00E96C42">
        <w:t xml:space="preserve">, 107-122. </w:t>
      </w:r>
    </w:p>
    <w:p w14:paraId="096469CD" w14:textId="77777777" w:rsidR="008F3F88" w:rsidRDefault="008F3F88" w:rsidP="0025442B">
      <w:pPr>
        <w:spacing w:line="360" w:lineRule="auto"/>
        <w:ind w:left="720" w:hanging="720"/>
        <w:jc w:val="both"/>
        <w:rPr>
          <w:rFonts w:ascii="Times New Roman" w:eastAsia="Times New Roman" w:hAnsi="Times New Roman" w:cs="Times New Roman"/>
          <w:color w:val="222222"/>
          <w:shd w:val="clear" w:color="auto" w:fill="FFFFFF"/>
          <w:lang w:eastAsia="en-GB"/>
        </w:rPr>
      </w:pPr>
      <w:r w:rsidRPr="008C38B1">
        <w:rPr>
          <w:rFonts w:ascii="Times New Roman" w:eastAsia="Times New Roman" w:hAnsi="Times New Roman" w:cs="Times New Roman"/>
          <w:color w:val="222222"/>
          <w:shd w:val="clear" w:color="auto" w:fill="FFFFFF"/>
          <w:lang w:eastAsia="en-GB"/>
        </w:rPr>
        <w:t>Shultz, K. S., &amp; Wang, M. (2011). Psychological perspectives on the changing nature of retirement. </w:t>
      </w:r>
      <w:r w:rsidRPr="008C38B1">
        <w:rPr>
          <w:rFonts w:ascii="Times New Roman" w:eastAsia="Times New Roman" w:hAnsi="Times New Roman" w:cs="Times New Roman"/>
          <w:i/>
          <w:iCs/>
          <w:color w:val="222222"/>
          <w:lang w:eastAsia="en-GB"/>
        </w:rPr>
        <w:t>American Psychologist</w:t>
      </w:r>
      <w:r w:rsidRPr="008C38B1">
        <w:rPr>
          <w:rFonts w:ascii="Times New Roman" w:eastAsia="Times New Roman" w:hAnsi="Times New Roman" w:cs="Times New Roman"/>
          <w:color w:val="222222"/>
          <w:shd w:val="clear" w:color="auto" w:fill="FFFFFF"/>
          <w:lang w:eastAsia="en-GB"/>
        </w:rPr>
        <w:t>, </w:t>
      </w:r>
      <w:r w:rsidRPr="008C38B1">
        <w:rPr>
          <w:rFonts w:ascii="Times New Roman" w:eastAsia="Times New Roman" w:hAnsi="Times New Roman" w:cs="Times New Roman"/>
          <w:i/>
          <w:iCs/>
          <w:color w:val="222222"/>
          <w:lang w:eastAsia="en-GB"/>
        </w:rPr>
        <w:t>66</w:t>
      </w:r>
      <w:r w:rsidRPr="008C38B1">
        <w:rPr>
          <w:rFonts w:ascii="Times New Roman" w:eastAsia="Times New Roman" w:hAnsi="Times New Roman" w:cs="Times New Roman"/>
          <w:color w:val="222222"/>
          <w:shd w:val="clear" w:color="auto" w:fill="FFFFFF"/>
          <w:lang w:eastAsia="en-GB"/>
        </w:rPr>
        <w:t>(3), 170.</w:t>
      </w:r>
    </w:p>
    <w:p w14:paraId="6C3B8615" w14:textId="77777777" w:rsidR="008F3F88" w:rsidRDefault="008F3F88" w:rsidP="0025442B">
      <w:pPr>
        <w:pStyle w:val="NormalWeb"/>
        <w:spacing w:line="360" w:lineRule="auto"/>
        <w:ind w:left="720" w:hanging="720"/>
        <w:jc w:val="both"/>
        <w:rPr>
          <w:color w:val="111111"/>
        </w:rPr>
      </w:pPr>
      <w:r>
        <w:rPr>
          <w:color w:val="111111"/>
        </w:rPr>
        <w:t>S</w:t>
      </w:r>
      <w:r w:rsidRPr="0025442B">
        <w:rPr>
          <w:color w:val="111111"/>
        </w:rPr>
        <w:t>tenholm</w:t>
      </w:r>
      <w:r>
        <w:rPr>
          <w:color w:val="111111"/>
        </w:rPr>
        <w:t>,</w:t>
      </w:r>
      <w:r w:rsidRPr="0025442B">
        <w:rPr>
          <w:color w:val="111111"/>
        </w:rPr>
        <w:t xml:space="preserve"> S</w:t>
      </w:r>
      <w:r>
        <w:rPr>
          <w:color w:val="111111"/>
        </w:rPr>
        <w:t>.</w:t>
      </w:r>
      <w:r w:rsidRPr="0025442B">
        <w:rPr>
          <w:color w:val="111111"/>
        </w:rPr>
        <w:t xml:space="preserve">, </w:t>
      </w:r>
      <w:proofErr w:type="spellStart"/>
      <w:r w:rsidRPr="0025442B">
        <w:rPr>
          <w:color w:val="111111"/>
        </w:rPr>
        <w:t>Westerlund</w:t>
      </w:r>
      <w:proofErr w:type="spellEnd"/>
      <w:r>
        <w:rPr>
          <w:color w:val="111111"/>
        </w:rPr>
        <w:t>,</w:t>
      </w:r>
      <w:r w:rsidRPr="0025442B">
        <w:rPr>
          <w:color w:val="111111"/>
        </w:rPr>
        <w:t xml:space="preserve"> H</w:t>
      </w:r>
      <w:r>
        <w:rPr>
          <w:color w:val="111111"/>
        </w:rPr>
        <w:t>.</w:t>
      </w:r>
      <w:r w:rsidRPr="0025442B">
        <w:rPr>
          <w:color w:val="111111"/>
        </w:rPr>
        <w:t>,</w:t>
      </w:r>
      <w:r>
        <w:rPr>
          <w:color w:val="111111"/>
        </w:rPr>
        <w:t xml:space="preserve"> &amp;</w:t>
      </w:r>
      <w:r w:rsidRPr="0025442B">
        <w:rPr>
          <w:color w:val="111111"/>
        </w:rPr>
        <w:t xml:space="preserve"> Head</w:t>
      </w:r>
      <w:r>
        <w:rPr>
          <w:color w:val="111111"/>
        </w:rPr>
        <w:t>,</w:t>
      </w:r>
      <w:r w:rsidRPr="0025442B">
        <w:rPr>
          <w:color w:val="111111"/>
        </w:rPr>
        <w:t xml:space="preserve"> J et al</w:t>
      </w:r>
      <w:r>
        <w:rPr>
          <w:color w:val="111111"/>
        </w:rPr>
        <w:t>.</w:t>
      </w:r>
      <w:r w:rsidRPr="0025442B">
        <w:rPr>
          <w:color w:val="111111"/>
        </w:rPr>
        <w:t xml:space="preserve"> (2015) Comorbidity and functional trajectories from midlife to old age: </w:t>
      </w:r>
      <w:proofErr w:type="gramStart"/>
      <w:r w:rsidRPr="0025442B">
        <w:rPr>
          <w:color w:val="111111"/>
        </w:rPr>
        <w:t>the</w:t>
      </w:r>
      <w:proofErr w:type="gramEnd"/>
      <w:r w:rsidRPr="0025442B">
        <w:rPr>
          <w:color w:val="111111"/>
        </w:rPr>
        <w:t xml:space="preserve"> Health and Retirement Study. J </w:t>
      </w:r>
      <w:proofErr w:type="spellStart"/>
      <w:r w:rsidRPr="0025442B">
        <w:rPr>
          <w:color w:val="111111"/>
        </w:rPr>
        <w:t>Gerontol</w:t>
      </w:r>
      <w:proofErr w:type="spellEnd"/>
      <w:r w:rsidRPr="0025442B">
        <w:rPr>
          <w:color w:val="111111"/>
        </w:rPr>
        <w:t xml:space="preserve"> </w:t>
      </w:r>
      <w:proofErr w:type="gramStart"/>
      <w:r w:rsidRPr="0025442B">
        <w:rPr>
          <w:color w:val="111111"/>
        </w:rPr>
        <w:t>A</w:t>
      </w:r>
      <w:proofErr w:type="gramEnd"/>
      <w:r w:rsidRPr="0025442B">
        <w:rPr>
          <w:color w:val="111111"/>
        </w:rPr>
        <w:t xml:space="preserve"> </w:t>
      </w:r>
      <w:proofErr w:type="spellStart"/>
      <w:r w:rsidRPr="0025442B">
        <w:rPr>
          <w:color w:val="111111"/>
        </w:rPr>
        <w:t>Biol</w:t>
      </w:r>
      <w:proofErr w:type="spellEnd"/>
      <w:r w:rsidRPr="0025442B">
        <w:rPr>
          <w:color w:val="111111"/>
        </w:rPr>
        <w:t xml:space="preserve"> Sci Med Sci 70(3):332–338</w:t>
      </w:r>
      <w:r>
        <w:rPr>
          <w:color w:val="111111"/>
        </w:rPr>
        <w:t>.</w:t>
      </w:r>
    </w:p>
    <w:p w14:paraId="4293BEB4" w14:textId="77777777" w:rsidR="008F3F88" w:rsidRDefault="008F3F88" w:rsidP="0025442B">
      <w:pPr>
        <w:pStyle w:val="NormalWeb"/>
        <w:spacing w:line="360" w:lineRule="auto"/>
        <w:ind w:left="720" w:hanging="720"/>
        <w:jc w:val="both"/>
        <w:rPr>
          <w:color w:val="111111"/>
        </w:rPr>
      </w:pPr>
      <w:r w:rsidRPr="0025442B">
        <w:rPr>
          <w:color w:val="111111"/>
        </w:rPr>
        <w:t>Van Orden</w:t>
      </w:r>
      <w:r>
        <w:rPr>
          <w:color w:val="111111"/>
        </w:rPr>
        <w:t>,</w:t>
      </w:r>
      <w:r w:rsidRPr="0025442B">
        <w:rPr>
          <w:color w:val="111111"/>
        </w:rPr>
        <w:t xml:space="preserve"> K</w:t>
      </w:r>
      <w:r>
        <w:rPr>
          <w:color w:val="111111"/>
        </w:rPr>
        <w:t>.</w:t>
      </w:r>
      <w:r w:rsidRPr="0025442B">
        <w:rPr>
          <w:color w:val="111111"/>
        </w:rPr>
        <w:t>A</w:t>
      </w:r>
      <w:r>
        <w:rPr>
          <w:color w:val="111111"/>
        </w:rPr>
        <w:t>.</w:t>
      </w:r>
      <w:r w:rsidRPr="0025442B">
        <w:rPr>
          <w:color w:val="111111"/>
        </w:rPr>
        <w:t xml:space="preserve">, </w:t>
      </w:r>
      <w:proofErr w:type="spellStart"/>
      <w:r w:rsidRPr="0025442B">
        <w:rPr>
          <w:color w:val="111111"/>
        </w:rPr>
        <w:t>Simning</w:t>
      </w:r>
      <w:proofErr w:type="spellEnd"/>
      <w:r>
        <w:rPr>
          <w:color w:val="111111"/>
        </w:rPr>
        <w:t>,</w:t>
      </w:r>
      <w:r w:rsidRPr="0025442B">
        <w:rPr>
          <w:color w:val="111111"/>
        </w:rPr>
        <w:t xml:space="preserve"> A</w:t>
      </w:r>
      <w:r>
        <w:rPr>
          <w:color w:val="111111"/>
        </w:rPr>
        <w:t>.</w:t>
      </w:r>
      <w:r w:rsidRPr="0025442B">
        <w:rPr>
          <w:color w:val="111111"/>
        </w:rPr>
        <w:t xml:space="preserve">, </w:t>
      </w:r>
      <w:r>
        <w:rPr>
          <w:color w:val="111111"/>
        </w:rPr>
        <w:t xml:space="preserve">&amp; </w:t>
      </w:r>
      <w:r w:rsidRPr="0025442B">
        <w:rPr>
          <w:color w:val="111111"/>
        </w:rPr>
        <w:t>Conwell</w:t>
      </w:r>
      <w:r>
        <w:rPr>
          <w:color w:val="111111"/>
        </w:rPr>
        <w:t>,</w:t>
      </w:r>
      <w:r w:rsidRPr="0025442B">
        <w:rPr>
          <w:color w:val="111111"/>
        </w:rPr>
        <w:t xml:space="preserve"> Y et al</w:t>
      </w:r>
      <w:r>
        <w:rPr>
          <w:color w:val="111111"/>
        </w:rPr>
        <w:t>.</w:t>
      </w:r>
      <w:r w:rsidRPr="0025442B">
        <w:rPr>
          <w:color w:val="111111"/>
        </w:rPr>
        <w:t xml:space="preserve"> (2013) Characteristics and comorbid symptoms of older adults reporting death ideation. Am J </w:t>
      </w:r>
      <w:proofErr w:type="spellStart"/>
      <w:r w:rsidRPr="0025442B">
        <w:rPr>
          <w:color w:val="111111"/>
        </w:rPr>
        <w:t>Geriatr</w:t>
      </w:r>
      <w:proofErr w:type="spellEnd"/>
      <w:r w:rsidRPr="0025442B">
        <w:rPr>
          <w:color w:val="111111"/>
        </w:rPr>
        <w:t xml:space="preserve"> Psychiatry 21(8):803–810</w:t>
      </w:r>
      <w:r>
        <w:rPr>
          <w:color w:val="111111"/>
        </w:rPr>
        <w:t>.</w:t>
      </w:r>
      <w:r w:rsidRPr="0025442B">
        <w:rPr>
          <w:color w:val="111111"/>
        </w:rPr>
        <w:t xml:space="preserve"> </w:t>
      </w:r>
    </w:p>
    <w:p w14:paraId="3907C899" w14:textId="77777777" w:rsidR="008F3F88" w:rsidRDefault="008F3F88" w:rsidP="00720C58">
      <w:pPr>
        <w:pStyle w:val="NormalWeb"/>
        <w:spacing w:line="360" w:lineRule="auto"/>
        <w:ind w:left="720" w:hanging="720"/>
        <w:jc w:val="both"/>
        <w:rPr>
          <w:color w:val="111111"/>
        </w:rPr>
      </w:pPr>
      <w:r w:rsidRPr="00720C58">
        <w:rPr>
          <w:color w:val="111111"/>
        </w:rPr>
        <w:t>Wang</w:t>
      </w:r>
      <w:r>
        <w:rPr>
          <w:color w:val="111111"/>
        </w:rPr>
        <w:t>,</w:t>
      </w:r>
      <w:r w:rsidRPr="00720C58">
        <w:rPr>
          <w:color w:val="111111"/>
        </w:rPr>
        <w:t xml:space="preserve"> S</w:t>
      </w:r>
      <w:r>
        <w:rPr>
          <w:color w:val="111111"/>
        </w:rPr>
        <w:t>.</w:t>
      </w:r>
      <w:r w:rsidRPr="00720C58">
        <w:rPr>
          <w:color w:val="111111"/>
        </w:rPr>
        <w:t xml:space="preserve">, </w:t>
      </w:r>
      <w:r>
        <w:rPr>
          <w:color w:val="111111"/>
        </w:rPr>
        <w:t xml:space="preserve">&amp; </w:t>
      </w:r>
      <w:r w:rsidRPr="00720C58">
        <w:rPr>
          <w:color w:val="111111"/>
        </w:rPr>
        <w:t>Blazer</w:t>
      </w:r>
      <w:r>
        <w:rPr>
          <w:color w:val="111111"/>
        </w:rPr>
        <w:t>,</w:t>
      </w:r>
      <w:r w:rsidRPr="00720C58">
        <w:rPr>
          <w:color w:val="111111"/>
        </w:rPr>
        <w:t xml:space="preserve"> D</w:t>
      </w:r>
      <w:r>
        <w:rPr>
          <w:color w:val="111111"/>
        </w:rPr>
        <w:t>.</w:t>
      </w:r>
      <w:r w:rsidRPr="00720C58">
        <w:rPr>
          <w:color w:val="111111"/>
        </w:rPr>
        <w:t>G</w:t>
      </w:r>
      <w:r>
        <w:rPr>
          <w:color w:val="111111"/>
        </w:rPr>
        <w:t>.</w:t>
      </w:r>
      <w:r w:rsidRPr="00720C58">
        <w:rPr>
          <w:color w:val="111111"/>
        </w:rPr>
        <w:t xml:space="preserve"> (2015) Depression and cognition in the elderly. </w:t>
      </w:r>
      <w:proofErr w:type="spellStart"/>
      <w:r w:rsidRPr="00720C58">
        <w:rPr>
          <w:color w:val="111111"/>
        </w:rPr>
        <w:t>Annu</w:t>
      </w:r>
      <w:proofErr w:type="spellEnd"/>
      <w:r w:rsidRPr="00720C58">
        <w:rPr>
          <w:color w:val="111111"/>
        </w:rPr>
        <w:t xml:space="preserve"> Rev Clin </w:t>
      </w:r>
      <w:proofErr w:type="spellStart"/>
      <w:r w:rsidRPr="00720C58">
        <w:rPr>
          <w:color w:val="111111"/>
        </w:rPr>
        <w:t>Psychol</w:t>
      </w:r>
      <w:proofErr w:type="spellEnd"/>
      <w:r w:rsidRPr="00720C58">
        <w:rPr>
          <w:color w:val="111111"/>
        </w:rPr>
        <w:t xml:space="preserve"> 11:331–360</w:t>
      </w:r>
      <w:r>
        <w:rPr>
          <w:color w:val="111111"/>
        </w:rPr>
        <w:t>.</w:t>
      </w:r>
    </w:p>
    <w:p w14:paraId="7AA75AD0" w14:textId="77777777" w:rsidR="008F3F88" w:rsidRPr="00CE4A90" w:rsidRDefault="008F3F88" w:rsidP="00CE4A90">
      <w:pPr>
        <w:spacing w:line="360" w:lineRule="auto"/>
        <w:ind w:left="720" w:hanging="720"/>
        <w:jc w:val="both"/>
        <w:rPr>
          <w:rFonts w:ascii="Times New Roman" w:eastAsia="Times New Roman" w:hAnsi="Times New Roman" w:cs="Times New Roman"/>
          <w:lang w:eastAsia="en-GB"/>
        </w:rPr>
      </w:pPr>
      <w:r w:rsidRPr="00CE4A90">
        <w:rPr>
          <w:rFonts w:ascii="Times New Roman" w:eastAsia="Times New Roman" w:hAnsi="Times New Roman" w:cs="Times New Roman"/>
          <w:color w:val="222222"/>
          <w:shd w:val="clear" w:color="auto" w:fill="FFFFFF"/>
          <w:lang w:eastAsia="en-GB"/>
        </w:rPr>
        <w:t xml:space="preserve">Wilkinson, P., &amp; </w:t>
      </w:r>
      <w:proofErr w:type="spellStart"/>
      <w:r w:rsidRPr="00CE4A90">
        <w:rPr>
          <w:rFonts w:ascii="Times New Roman" w:eastAsia="Times New Roman" w:hAnsi="Times New Roman" w:cs="Times New Roman"/>
          <w:color w:val="222222"/>
          <w:shd w:val="clear" w:color="auto" w:fill="FFFFFF"/>
          <w:lang w:eastAsia="en-GB"/>
        </w:rPr>
        <w:t>Izmeth</w:t>
      </w:r>
      <w:proofErr w:type="spellEnd"/>
      <w:r w:rsidRPr="00CE4A90">
        <w:rPr>
          <w:rFonts w:ascii="Times New Roman" w:eastAsia="Times New Roman" w:hAnsi="Times New Roman" w:cs="Times New Roman"/>
          <w:color w:val="222222"/>
          <w:shd w:val="clear" w:color="auto" w:fill="FFFFFF"/>
          <w:lang w:eastAsia="en-GB"/>
        </w:rPr>
        <w:t>, Z. (2016). Continuation and maintenance treatments for depression in older people. </w:t>
      </w:r>
      <w:r w:rsidRPr="00CE4A90">
        <w:rPr>
          <w:rFonts w:ascii="Times New Roman" w:eastAsia="Times New Roman" w:hAnsi="Times New Roman" w:cs="Times New Roman"/>
          <w:i/>
          <w:iCs/>
          <w:color w:val="222222"/>
          <w:lang w:eastAsia="en-GB"/>
        </w:rPr>
        <w:t>Cochrane database of systematic reviews</w:t>
      </w:r>
      <w:r w:rsidRPr="00CE4A90">
        <w:rPr>
          <w:rFonts w:ascii="Times New Roman" w:eastAsia="Times New Roman" w:hAnsi="Times New Roman" w:cs="Times New Roman"/>
          <w:color w:val="222222"/>
          <w:shd w:val="clear" w:color="auto" w:fill="FFFFFF"/>
          <w:lang w:eastAsia="en-GB"/>
        </w:rPr>
        <w:t>, (9).</w:t>
      </w:r>
    </w:p>
    <w:p w14:paraId="603F9986" w14:textId="77777777" w:rsidR="00720C58" w:rsidRPr="00720C58" w:rsidRDefault="00720C58" w:rsidP="00720C58">
      <w:pPr>
        <w:pStyle w:val="NormalWeb"/>
        <w:spacing w:line="360" w:lineRule="auto"/>
        <w:ind w:left="720" w:hanging="720"/>
        <w:jc w:val="both"/>
        <w:rPr>
          <w:color w:val="111111"/>
        </w:rPr>
      </w:pPr>
    </w:p>
    <w:p w14:paraId="08D48674" w14:textId="77777777" w:rsidR="00720C58" w:rsidRPr="00720C58" w:rsidRDefault="00720C58" w:rsidP="00720C58">
      <w:pPr>
        <w:pStyle w:val="NormalWeb"/>
        <w:spacing w:line="360" w:lineRule="auto"/>
        <w:jc w:val="both"/>
        <w:rPr>
          <w:color w:val="111111"/>
        </w:rPr>
      </w:pPr>
    </w:p>
    <w:p w14:paraId="76328791" w14:textId="77777777" w:rsidR="00720C58" w:rsidRPr="00720C58" w:rsidRDefault="00720C58" w:rsidP="00720C58">
      <w:pPr>
        <w:pStyle w:val="NormalWeb"/>
        <w:spacing w:line="360" w:lineRule="auto"/>
        <w:ind w:left="720" w:hanging="720"/>
        <w:jc w:val="both"/>
        <w:rPr>
          <w:color w:val="111111"/>
        </w:rPr>
      </w:pPr>
    </w:p>
    <w:p w14:paraId="2388BEC4" w14:textId="77777777" w:rsidR="00720C58" w:rsidRPr="00720C58" w:rsidRDefault="00720C58" w:rsidP="00720C58">
      <w:pPr>
        <w:pStyle w:val="NormalWeb"/>
        <w:spacing w:line="360" w:lineRule="auto"/>
        <w:ind w:left="720" w:hanging="720"/>
        <w:jc w:val="both"/>
        <w:rPr>
          <w:color w:val="111111"/>
        </w:rPr>
      </w:pPr>
    </w:p>
    <w:p w14:paraId="3E7EF06E" w14:textId="77777777" w:rsidR="00720C58" w:rsidRPr="00720C58" w:rsidRDefault="00720C58" w:rsidP="00720C58">
      <w:pPr>
        <w:pStyle w:val="NormalWeb"/>
        <w:spacing w:line="360" w:lineRule="auto"/>
        <w:ind w:left="720" w:hanging="720"/>
        <w:jc w:val="both"/>
        <w:rPr>
          <w:color w:val="111111"/>
        </w:rPr>
      </w:pPr>
    </w:p>
    <w:p w14:paraId="1F8F13C1" w14:textId="77777777" w:rsidR="00720C58" w:rsidRPr="00720C58" w:rsidRDefault="00720C58" w:rsidP="00720C58">
      <w:pPr>
        <w:pStyle w:val="NormalWeb"/>
        <w:spacing w:line="360" w:lineRule="auto"/>
        <w:ind w:left="720" w:hanging="720"/>
        <w:jc w:val="both"/>
        <w:rPr>
          <w:color w:val="111111"/>
        </w:rPr>
      </w:pPr>
    </w:p>
    <w:p w14:paraId="376842E5" w14:textId="77777777" w:rsidR="00720C58" w:rsidRPr="0025442B" w:rsidRDefault="00720C58" w:rsidP="0025442B">
      <w:pPr>
        <w:pStyle w:val="NormalWeb"/>
        <w:spacing w:line="360" w:lineRule="auto"/>
        <w:ind w:left="720" w:hanging="720"/>
        <w:jc w:val="both"/>
        <w:rPr>
          <w:color w:val="111111"/>
        </w:rPr>
      </w:pPr>
    </w:p>
    <w:p w14:paraId="4CED9398" w14:textId="77777777" w:rsidR="0025442B" w:rsidRPr="0025442B" w:rsidRDefault="0025442B" w:rsidP="0025442B">
      <w:pPr>
        <w:spacing w:before="100" w:beforeAutospacing="1" w:after="100" w:afterAutospacing="1" w:line="360" w:lineRule="auto"/>
        <w:ind w:left="720" w:hanging="720"/>
        <w:jc w:val="both"/>
        <w:rPr>
          <w:rFonts w:ascii="Times New Roman" w:eastAsia="Times New Roman" w:hAnsi="Times New Roman" w:cs="Times New Roman"/>
          <w:color w:val="111111"/>
          <w:lang w:eastAsia="en-GB"/>
        </w:rPr>
      </w:pPr>
    </w:p>
    <w:p w14:paraId="0A06A3EC" w14:textId="77777777" w:rsidR="0025442B" w:rsidRPr="0025442B" w:rsidRDefault="0025442B" w:rsidP="0025442B">
      <w:pPr>
        <w:pStyle w:val="NormalWeb"/>
        <w:spacing w:line="360" w:lineRule="auto"/>
        <w:ind w:left="720" w:hanging="720"/>
        <w:jc w:val="both"/>
      </w:pPr>
    </w:p>
    <w:p w14:paraId="486868A5" w14:textId="77777777" w:rsidR="0025442B" w:rsidRDefault="0025442B" w:rsidP="0025442B">
      <w:pPr>
        <w:spacing w:line="360" w:lineRule="auto"/>
        <w:ind w:left="720" w:hanging="720"/>
        <w:jc w:val="both"/>
        <w:rPr>
          <w:rFonts w:ascii="Times New Roman" w:eastAsia="Times New Roman" w:hAnsi="Times New Roman" w:cs="Times New Roman"/>
          <w:color w:val="222222"/>
          <w:shd w:val="clear" w:color="auto" w:fill="FFFFFF"/>
          <w:lang w:eastAsia="en-GB"/>
        </w:rPr>
      </w:pPr>
    </w:p>
    <w:p w14:paraId="5FD2CF81" w14:textId="77777777" w:rsidR="0025442B" w:rsidRPr="00BC7087" w:rsidRDefault="0025442B" w:rsidP="00BC7087">
      <w:pPr>
        <w:spacing w:line="360" w:lineRule="auto"/>
        <w:jc w:val="both"/>
        <w:rPr>
          <w:rFonts w:ascii="Times New Roman" w:hAnsi="Times New Roman" w:cs="Times New Roman"/>
        </w:rPr>
      </w:pPr>
    </w:p>
    <w:sectPr w:rsidR="0025442B" w:rsidRPr="00BC7087" w:rsidSect="00C33C8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F71C2"/>
    <w:multiLevelType w:val="multilevel"/>
    <w:tmpl w:val="DE18D1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65EEC"/>
    <w:multiLevelType w:val="multilevel"/>
    <w:tmpl w:val="78D63E1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F1579"/>
    <w:multiLevelType w:val="multilevel"/>
    <w:tmpl w:val="D70EB3B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0D3C54"/>
    <w:multiLevelType w:val="multilevel"/>
    <w:tmpl w:val="4D2012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34462A"/>
    <w:multiLevelType w:val="multilevel"/>
    <w:tmpl w:val="D7A8D7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AD06F8"/>
    <w:multiLevelType w:val="multilevel"/>
    <w:tmpl w:val="FB429A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A05C9A"/>
    <w:multiLevelType w:val="multilevel"/>
    <w:tmpl w:val="A2949C6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1834E9"/>
    <w:multiLevelType w:val="multilevel"/>
    <w:tmpl w:val="076046C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52101"/>
    <w:multiLevelType w:val="multilevel"/>
    <w:tmpl w:val="DA14D23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E447D2"/>
    <w:multiLevelType w:val="multilevel"/>
    <w:tmpl w:val="FB1E75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5"/>
  </w:num>
  <w:num w:numId="3">
    <w:abstractNumId w:val="8"/>
  </w:num>
  <w:num w:numId="4">
    <w:abstractNumId w:val="2"/>
  </w:num>
  <w:num w:numId="5">
    <w:abstractNumId w:val="3"/>
  </w:num>
  <w:num w:numId="6">
    <w:abstractNumId w:val="6"/>
  </w:num>
  <w:num w:numId="7">
    <w:abstractNumId w:val="0"/>
  </w:num>
  <w:num w:numId="8">
    <w:abstractNumId w:val="9"/>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087"/>
    <w:rsid w:val="00013E3F"/>
    <w:rsid w:val="000D0E1B"/>
    <w:rsid w:val="0011070B"/>
    <w:rsid w:val="00191227"/>
    <w:rsid w:val="0025442B"/>
    <w:rsid w:val="00485347"/>
    <w:rsid w:val="004B4D03"/>
    <w:rsid w:val="006371C3"/>
    <w:rsid w:val="00720C58"/>
    <w:rsid w:val="00752D0A"/>
    <w:rsid w:val="00890010"/>
    <w:rsid w:val="008A33D9"/>
    <w:rsid w:val="008B59B5"/>
    <w:rsid w:val="008F3F88"/>
    <w:rsid w:val="009358A5"/>
    <w:rsid w:val="00984790"/>
    <w:rsid w:val="00B16E19"/>
    <w:rsid w:val="00B73731"/>
    <w:rsid w:val="00B81652"/>
    <w:rsid w:val="00BC7087"/>
    <w:rsid w:val="00C33C81"/>
    <w:rsid w:val="00CD2039"/>
    <w:rsid w:val="00CE4A90"/>
    <w:rsid w:val="00D14E56"/>
    <w:rsid w:val="00D53135"/>
    <w:rsid w:val="00D61777"/>
    <w:rsid w:val="00DA34C9"/>
    <w:rsid w:val="00E90469"/>
    <w:rsid w:val="00F468AF"/>
    <w:rsid w:val="00FA7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3C013"/>
  <w14:defaultImageDpi w14:val="32767"/>
  <w15:chartTrackingRefBased/>
  <w15:docId w15:val="{914F9DA1-E90A-A044-BDFF-838431926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C70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442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10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29567">
      <w:bodyDiv w:val="1"/>
      <w:marLeft w:val="0"/>
      <w:marRight w:val="0"/>
      <w:marTop w:val="0"/>
      <w:marBottom w:val="0"/>
      <w:divBdr>
        <w:top w:val="none" w:sz="0" w:space="0" w:color="auto"/>
        <w:left w:val="none" w:sz="0" w:space="0" w:color="auto"/>
        <w:bottom w:val="none" w:sz="0" w:space="0" w:color="auto"/>
        <w:right w:val="none" w:sz="0" w:space="0" w:color="auto"/>
      </w:divBdr>
      <w:divsChild>
        <w:div w:id="2123379926">
          <w:marLeft w:val="0"/>
          <w:marRight w:val="0"/>
          <w:marTop w:val="0"/>
          <w:marBottom w:val="0"/>
          <w:divBdr>
            <w:top w:val="none" w:sz="0" w:space="0" w:color="auto"/>
            <w:left w:val="none" w:sz="0" w:space="0" w:color="auto"/>
            <w:bottom w:val="none" w:sz="0" w:space="0" w:color="auto"/>
            <w:right w:val="none" w:sz="0" w:space="0" w:color="auto"/>
          </w:divBdr>
          <w:divsChild>
            <w:div w:id="1488277926">
              <w:marLeft w:val="0"/>
              <w:marRight w:val="0"/>
              <w:marTop w:val="0"/>
              <w:marBottom w:val="0"/>
              <w:divBdr>
                <w:top w:val="none" w:sz="0" w:space="0" w:color="auto"/>
                <w:left w:val="none" w:sz="0" w:space="0" w:color="auto"/>
                <w:bottom w:val="none" w:sz="0" w:space="0" w:color="auto"/>
                <w:right w:val="none" w:sz="0" w:space="0" w:color="auto"/>
              </w:divBdr>
              <w:divsChild>
                <w:div w:id="85461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5941">
      <w:bodyDiv w:val="1"/>
      <w:marLeft w:val="0"/>
      <w:marRight w:val="0"/>
      <w:marTop w:val="0"/>
      <w:marBottom w:val="0"/>
      <w:divBdr>
        <w:top w:val="none" w:sz="0" w:space="0" w:color="auto"/>
        <w:left w:val="none" w:sz="0" w:space="0" w:color="auto"/>
        <w:bottom w:val="none" w:sz="0" w:space="0" w:color="auto"/>
        <w:right w:val="none" w:sz="0" w:space="0" w:color="auto"/>
      </w:divBdr>
      <w:divsChild>
        <w:div w:id="1253048874">
          <w:marLeft w:val="0"/>
          <w:marRight w:val="0"/>
          <w:marTop w:val="0"/>
          <w:marBottom w:val="0"/>
          <w:divBdr>
            <w:top w:val="none" w:sz="0" w:space="0" w:color="auto"/>
            <w:left w:val="none" w:sz="0" w:space="0" w:color="auto"/>
            <w:bottom w:val="none" w:sz="0" w:space="0" w:color="auto"/>
            <w:right w:val="none" w:sz="0" w:space="0" w:color="auto"/>
          </w:divBdr>
          <w:divsChild>
            <w:div w:id="607347170">
              <w:marLeft w:val="0"/>
              <w:marRight w:val="0"/>
              <w:marTop w:val="0"/>
              <w:marBottom w:val="0"/>
              <w:divBdr>
                <w:top w:val="none" w:sz="0" w:space="0" w:color="auto"/>
                <w:left w:val="none" w:sz="0" w:space="0" w:color="auto"/>
                <w:bottom w:val="none" w:sz="0" w:space="0" w:color="auto"/>
                <w:right w:val="none" w:sz="0" w:space="0" w:color="auto"/>
              </w:divBdr>
              <w:divsChild>
                <w:div w:id="42030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92083">
      <w:bodyDiv w:val="1"/>
      <w:marLeft w:val="0"/>
      <w:marRight w:val="0"/>
      <w:marTop w:val="0"/>
      <w:marBottom w:val="0"/>
      <w:divBdr>
        <w:top w:val="none" w:sz="0" w:space="0" w:color="auto"/>
        <w:left w:val="none" w:sz="0" w:space="0" w:color="auto"/>
        <w:bottom w:val="none" w:sz="0" w:space="0" w:color="auto"/>
        <w:right w:val="none" w:sz="0" w:space="0" w:color="auto"/>
      </w:divBdr>
      <w:divsChild>
        <w:div w:id="1320839896">
          <w:marLeft w:val="0"/>
          <w:marRight w:val="0"/>
          <w:marTop w:val="0"/>
          <w:marBottom w:val="0"/>
          <w:divBdr>
            <w:top w:val="none" w:sz="0" w:space="0" w:color="auto"/>
            <w:left w:val="none" w:sz="0" w:space="0" w:color="auto"/>
            <w:bottom w:val="none" w:sz="0" w:space="0" w:color="auto"/>
            <w:right w:val="none" w:sz="0" w:space="0" w:color="auto"/>
          </w:divBdr>
          <w:divsChild>
            <w:div w:id="2051102898">
              <w:marLeft w:val="0"/>
              <w:marRight w:val="0"/>
              <w:marTop w:val="0"/>
              <w:marBottom w:val="0"/>
              <w:divBdr>
                <w:top w:val="none" w:sz="0" w:space="0" w:color="auto"/>
                <w:left w:val="none" w:sz="0" w:space="0" w:color="auto"/>
                <w:bottom w:val="none" w:sz="0" w:space="0" w:color="auto"/>
                <w:right w:val="none" w:sz="0" w:space="0" w:color="auto"/>
              </w:divBdr>
              <w:divsChild>
                <w:div w:id="179883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91594">
      <w:bodyDiv w:val="1"/>
      <w:marLeft w:val="0"/>
      <w:marRight w:val="0"/>
      <w:marTop w:val="0"/>
      <w:marBottom w:val="0"/>
      <w:divBdr>
        <w:top w:val="none" w:sz="0" w:space="0" w:color="auto"/>
        <w:left w:val="none" w:sz="0" w:space="0" w:color="auto"/>
        <w:bottom w:val="none" w:sz="0" w:space="0" w:color="auto"/>
        <w:right w:val="none" w:sz="0" w:space="0" w:color="auto"/>
      </w:divBdr>
      <w:divsChild>
        <w:div w:id="2098936850">
          <w:marLeft w:val="0"/>
          <w:marRight w:val="0"/>
          <w:marTop w:val="0"/>
          <w:marBottom w:val="0"/>
          <w:divBdr>
            <w:top w:val="none" w:sz="0" w:space="0" w:color="auto"/>
            <w:left w:val="none" w:sz="0" w:space="0" w:color="auto"/>
            <w:bottom w:val="none" w:sz="0" w:space="0" w:color="auto"/>
            <w:right w:val="none" w:sz="0" w:space="0" w:color="auto"/>
          </w:divBdr>
          <w:divsChild>
            <w:div w:id="1108619437">
              <w:marLeft w:val="0"/>
              <w:marRight w:val="0"/>
              <w:marTop w:val="0"/>
              <w:marBottom w:val="0"/>
              <w:divBdr>
                <w:top w:val="none" w:sz="0" w:space="0" w:color="auto"/>
                <w:left w:val="none" w:sz="0" w:space="0" w:color="auto"/>
                <w:bottom w:val="none" w:sz="0" w:space="0" w:color="auto"/>
                <w:right w:val="none" w:sz="0" w:space="0" w:color="auto"/>
              </w:divBdr>
              <w:divsChild>
                <w:div w:id="84000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543563">
      <w:bodyDiv w:val="1"/>
      <w:marLeft w:val="0"/>
      <w:marRight w:val="0"/>
      <w:marTop w:val="0"/>
      <w:marBottom w:val="0"/>
      <w:divBdr>
        <w:top w:val="none" w:sz="0" w:space="0" w:color="auto"/>
        <w:left w:val="none" w:sz="0" w:space="0" w:color="auto"/>
        <w:bottom w:val="none" w:sz="0" w:space="0" w:color="auto"/>
        <w:right w:val="none" w:sz="0" w:space="0" w:color="auto"/>
      </w:divBdr>
      <w:divsChild>
        <w:div w:id="894700773">
          <w:marLeft w:val="0"/>
          <w:marRight w:val="0"/>
          <w:marTop w:val="0"/>
          <w:marBottom w:val="0"/>
          <w:divBdr>
            <w:top w:val="none" w:sz="0" w:space="0" w:color="auto"/>
            <w:left w:val="none" w:sz="0" w:space="0" w:color="auto"/>
            <w:bottom w:val="none" w:sz="0" w:space="0" w:color="auto"/>
            <w:right w:val="none" w:sz="0" w:space="0" w:color="auto"/>
          </w:divBdr>
          <w:divsChild>
            <w:div w:id="983657237">
              <w:marLeft w:val="0"/>
              <w:marRight w:val="0"/>
              <w:marTop w:val="0"/>
              <w:marBottom w:val="0"/>
              <w:divBdr>
                <w:top w:val="none" w:sz="0" w:space="0" w:color="auto"/>
                <w:left w:val="none" w:sz="0" w:space="0" w:color="auto"/>
                <w:bottom w:val="none" w:sz="0" w:space="0" w:color="auto"/>
                <w:right w:val="none" w:sz="0" w:space="0" w:color="auto"/>
              </w:divBdr>
              <w:divsChild>
                <w:div w:id="5813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970174">
      <w:bodyDiv w:val="1"/>
      <w:marLeft w:val="0"/>
      <w:marRight w:val="0"/>
      <w:marTop w:val="0"/>
      <w:marBottom w:val="0"/>
      <w:divBdr>
        <w:top w:val="none" w:sz="0" w:space="0" w:color="auto"/>
        <w:left w:val="none" w:sz="0" w:space="0" w:color="auto"/>
        <w:bottom w:val="none" w:sz="0" w:space="0" w:color="auto"/>
        <w:right w:val="none" w:sz="0" w:space="0" w:color="auto"/>
      </w:divBdr>
    </w:div>
    <w:div w:id="902956670">
      <w:bodyDiv w:val="1"/>
      <w:marLeft w:val="0"/>
      <w:marRight w:val="0"/>
      <w:marTop w:val="0"/>
      <w:marBottom w:val="0"/>
      <w:divBdr>
        <w:top w:val="none" w:sz="0" w:space="0" w:color="auto"/>
        <w:left w:val="none" w:sz="0" w:space="0" w:color="auto"/>
        <w:bottom w:val="none" w:sz="0" w:space="0" w:color="auto"/>
        <w:right w:val="none" w:sz="0" w:space="0" w:color="auto"/>
      </w:divBdr>
      <w:divsChild>
        <w:div w:id="1359358176">
          <w:marLeft w:val="0"/>
          <w:marRight w:val="0"/>
          <w:marTop w:val="0"/>
          <w:marBottom w:val="0"/>
          <w:divBdr>
            <w:top w:val="none" w:sz="0" w:space="0" w:color="auto"/>
            <w:left w:val="none" w:sz="0" w:space="0" w:color="auto"/>
            <w:bottom w:val="none" w:sz="0" w:space="0" w:color="auto"/>
            <w:right w:val="none" w:sz="0" w:space="0" w:color="auto"/>
          </w:divBdr>
          <w:divsChild>
            <w:div w:id="2144032476">
              <w:marLeft w:val="0"/>
              <w:marRight w:val="0"/>
              <w:marTop w:val="0"/>
              <w:marBottom w:val="0"/>
              <w:divBdr>
                <w:top w:val="none" w:sz="0" w:space="0" w:color="auto"/>
                <w:left w:val="none" w:sz="0" w:space="0" w:color="auto"/>
                <w:bottom w:val="none" w:sz="0" w:space="0" w:color="auto"/>
                <w:right w:val="none" w:sz="0" w:space="0" w:color="auto"/>
              </w:divBdr>
              <w:divsChild>
                <w:div w:id="102328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707518">
      <w:bodyDiv w:val="1"/>
      <w:marLeft w:val="0"/>
      <w:marRight w:val="0"/>
      <w:marTop w:val="0"/>
      <w:marBottom w:val="0"/>
      <w:divBdr>
        <w:top w:val="none" w:sz="0" w:space="0" w:color="auto"/>
        <w:left w:val="none" w:sz="0" w:space="0" w:color="auto"/>
        <w:bottom w:val="none" w:sz="0" w:space="0" w:color="auto"/>
        <w:right w:val="none" w:sz="0" w:space="0" w:color="auto"/>
      </w:divBdr>
      <w:divsChild>
        <w:div w:id="180166636">
          <w:marLeft w:val="0"/>
          <w:marRight w:val="0"/>
          <w:marTop w:val="0"/>
          <w:marBottom w:val="0"/>
          <w:divBdr>
            <w:top w:val="none" w:sz="0" w:space="0" w:color="auto"/>
            <w:left w:val="none" w:sz="0" w:space="0" w:color="auto"/>
            <w:bottom w:val="none" w:sz="0" w:space="0" w:color="auto"/>
            <w:right w:val="none" w:sz="0" w:space="0" w:color="auto"/>
          </w:divBdr>
          <w:divsChild>
            <w:div w:id="271518194">
              <w:marLeft w:val="0"/>
              <w:marRight w:val="0"/>
              <w:marTop w:val="0"/>
              <w:marBottom w:val="0"/>
              <w:divBdr>
                <w:top w:val="none" w:sz="0" w:space="0" w:color="auto"/>
                <w:left w:val="none" w:sz="0" w:space="0" w:color="auto"/>
                <w:bottom w:val="none" w:sz="0" w:space="0" w:color="auto"/>
                <w:right w:val="none" w:sz="0" w:space="0" w:color="auto"/>
              </w:divBdr>
              <w:divsChild>
                <w:div w:id="173573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324881">
      <w:bodyDiv w:val="1"/>
      <w:marLeft w:val="0"/>
      <w:marRight w:val="0"/>
      <w:marTop w:val="0"/>
      <w:marBottom w:val="0"/>
      <w:divBdr>
        <w:top w:val="none" w:sz="0" w:space="0" w:color="auto"/>
        <w:left w:val="none" w:sz="0" w:space="0" w:color="auto"/>
        <w:bottom w:val="none" w:sz="0" w:space="0" w:color="auto"/>
        <w:right w:val="none" w:sz="0" w:space="0" w:color="auto"/>
      </w:divBdr>
      <w:divsChild>
        <w:div w:id="1301424589">
          <w:marLeft w:val="0"/>
          <w:marRight w:val="0"/>
          <w:marTop w:val="0"/>
          <w:marBottom w:val="0"/>
          <w:divBdr>
            <w:top w:val="none" w:sz="0" w:space="0" w:color="auto"/>
            <w:left w:val="none" w:sz="0" w:space="0" w:color="auto"/>
            <w:bottom w:val="none" w:sz="0" w:space="0" w:color="auto"/>
            <w:right w:val="none" w:sz="0" w:space="0" w:color="auto"/>
          </w:divBdr>
          <w:divsChild>
            <w:div w:id="1736589799">
              <w:marLeft w:val="0"/>
              <w:marRight w:val="0"/>
              <w:marTop w:val="0"/>
              <w:marBottom w:val="0"/>
              <w:divBdr>
                <w:top w:val="none" w:sz="0" w:space="0" w:color="auto"/>
                <w:left w:val="none" w:sz="0" w:space="0" w:color="auto"/>
                <w:bottom w:val="none" w:sz="0" w:space="0" w:color="auto"/>
                <w:right w:val="none" w:sz="0" w:space="0" w:color="auto"/>
              </w:divBdr>
              <w:divsChild>
                <w:div w:id="123497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282405">
      <w:bodyDiv w:val="1"/>
      <w:marLeft w:val="0"/>
      <w:marRight w:val="0"/>
      <w:marTop w:val="0"/>
      <w:marBottom w:val="0"/>
      <w:divBdr>
        <w:top w:val="none" w:sz="0" w:space="0" w:color="auto"/>
        <w:left w:val="none" w:sz="0" w:space="0" w:color="auto"/>
        <w:bottom w:val="none" w:sz="0" w:space="0" w:color="auto"/>
        <w:right w:val="none" w:sz="0" w:space="0" w:color="auto"/>
      </w:divBdr>
    </w:div>
    <w:div w:id="1066221609">
      <w:bodyDiv w:val="1"/>
      <w:marLeft w:val="0"/>
      <w:marRight w:val="0"/>
      <w:marTop w:val="0"/>
      <w:marBottom w:val="0"/>
      <w:divBdr>
        <w:top w:val="none" w:sz="0" w:space="0" w:color="auto"/>
        <w:left w:val="none" w:sz="0" w:space="0" w:color="auto"/>
        <w:bottom w:val="none" w:sz="0" w:space="0" w:color="auto"/>
        <w:right w:val="none" w:sz="0" w:space="0" w:color="auto"/>
      </w:divBdr>
      <w:divsChild>
        <w:div w:id="1537541696">
          <w:marLeft w:val="0"/>
          <w:marRight w:val="0"/>
          <w:marTop w:val="0"/>
          <w:marBottom w:val="0"/>
          <w:divBdr>
            <w:top w:val="none" w:sz="0" w:space="0" w:color="auto"/>
            <w:left w:val="none" w:sz="0" w:space="0" w:color="auto"/>
            <w:bottom w:val="none" w:sz="0" w:space="0" w:color="auto"/>
            <w:right w:val="none" w:sz="0" w:space="0" w:color="auto"/>
          </w:divBdr>
          <w:divsChild>
            <w:div w:id="744844565">
              <w:marLeft w:val="0"/>
              <w:marRight w:val="0"/>
              <w:marTop w:val="0"/>
              <w:marBottom w:val="0"/>
              <w:divBdr>
                <w:top w:val="none" w:sz="0" w:space="0" w:color="auto"/>
                <w:left w:val="none" w:sz="0" w:space="0" w:color="auto"/>
                <w:bottom w:val="none" w:sz="0" w:space="0" w:color="auto"/>
                <w:right w:val="none" w:sz="0" w:space="0" w:color="auto"/>
              </w:divBdr>
              <w:divsChild>
                <w:div w:id="82188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614929">
      <w:bodyDiv w:val="1"/>
      <w:marLeft w:val="0"/>
      <w:marRight w:val="0"/>
      <w:marTop w:val="0"/>
      <w:marBottom w:val="0"/>
      <w:divBdr>
        <w:top w:val="none" w:sz="0" w:space="0" w:color="auto"/>
        <w:left w:val="none" w:sz="0" w:space="0" w:color="auto"/>
        <w:bottom w:val="none" w:sz="0" w:space="0" w:color="auto"/>
        <w:right w:val="none" w:sz="0" w:space="0" w:color="auto"/>
      </w:divBdr>
    </w:div>
    <w:div w:id="1528521445">
      <w:bodyDiv w:val="1"/>
      <w:marLeft w:val="0"/>
      <w:marRight w:val="0"/>
      <w:marTop w:val="0"/>
      <w:marBottom w:val="0"/>
      <w:divBdr>
        <w:top w:val="none" w:sz="0" w:space="0" w:color="auto"/>
        <w:left w:val="none" w:sz="0" w:space="0" w:color="auto"/>
        <w:bottom w:val="none" w:sz="0" w:space="0" w:color="auto"/>
        <w:right w:val="none" w:sz="0" w:space="0" w:color="auto"/>
      </w:divBdr>
      <w:divsChild>
        <w:div w:id="844973844">
          <w:marLeft w:val="0"/>
          <w:marRight w:val="0"/>
          <w:marTop w:val="0"/>
          <w:marBottom w:val="0"/>
          <w:divBdr>
            <w:top w:val="none" w:sz="0" w:space="0" w:color="auto"/>
            <w:left w:val="none" w:sz="0" w:space="0" w:color="auto"/>
            <w:bottom w:val="none" w:sz="0" w:space="0" w:color="auto"/>
            <w:right w:val="none" w:sz="0" w:space="0" w:color="auto"/>
          </w:divBdr>
          <w:divsChild>
            <w:div w:id="1702509580">
              <w:marLeft w:val="0"/>
              <w:marRight w:val="0"/>
              <w:marTop w:val="0"/>
              <w:marBottom w:val="0"/>
              <w:divBdr>
                <w:top w:val="none" w:sz="0" w:space="0" w:color="auto"/>
                <w:left w:val="none" w:sz="0" w:space="0" w:color="auto"/>
                <w:bottom w:val="none" w:sz="0" w:space="0" w:color="auto"/>
                <w:right w:val="none" w:sz="0" w:space="0" w:color="auto"/>
              </w:divBdr>
              <w:divsChild>
                <w:div w:id="36359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268677">
      <w:bodyDiv w:val="1"/>
      <w:marLeft w:val="0"/>
      <w:marRight w:val="0"/>
      <w:marTop w:val="0"/>
      <w:marBottom w:val="0"/>
      <w:divBdr>
        <w:top w:val="none" w:sz="0" w:space="0" w:color="auto"/>
        <w:left w:val="none" w:sz="0" w:space="0" w:color="auto"/>
        <w:bottom w:val="none" w:sz="0" w:space="0" w:color="auto"/>
        <w:right w:val="none" w:sz="0" w:space="0" w:color="auto"/>
      </w:divBdr>
      <w:divsChild>
        <w:div w:id="299503573">
          <w:marLeft w:val="0"/>
          <w:marRight w:val="0"/>
          <w:marTop w:val="0"/>
          <w:marBottom w:val="0"/>
          <w:divBdr>
            <w:top w:val="none" w:sz="0" w:space="0" w:color="auto"/>
            <w:left w:val="none" w:sz="0" w:space="0" w:color="auto"/>
            <w:bottom w:val="none" w:sz="0" w:space="0" w:color="auto"/>
            <w:right w:val="none" w:sz="0" w:space="0" w:color="auto"/>
          </w:divBdr>
          <w:divsChild>
            <w:div w:id="1889295570">
              <w:marLeft w:val="0"/>
              <w:marRight w:val="0"/>
              <w:marTop w:val="0"/>
              <w:marBottom w:val="0"/>
              <w:divBdr>
                <w:top w:val="none" w:sz="0" w:space="0" w:color="auto"/>
                <w:left w:val="none" w:sz="0" w:space="0" w:color="auto"/>
                <w:bottom w:val="none" w:sz="0" w:space="0" w:color="auto"/>
                <w:right w:val="none" w:sz="0" w:space="0" w:color="auto"/>
              </w:divBdr>
              <w:divsChild>
                <w:div w:id="28989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19321">
      <w:bodyDiv w:val="1"/>
      <w:marLeft w:val="0"/>
      <w:marRight w:val="0"/>
      <w:marTop w:val="0"/>
      <w:marBottom w:val="0"/>
      <w:divBdr>
        <w:top w:val="none" w:sz="0" w:space="0" w:color="auto"/>
        <w:left w:val="none" w:sz="0" w:space="0" w:color="auto"/>
        <w:bottom w:val="none" w:sz="0" w:space="0" w:color="auto"/>
        <w:right w:val="none" w:sz="0" w:space="0" w:color="auto"/>
      </w:divBdr>
    </w:div>
    <w:div w:id="1858497650">
      <w:bodyDiv w:val="1"/>
      <w:marLeft w:val="0"/>
      <w:marRight w:val="0"/>
      <w:marTop w:val="0"/>
      <w:marBottom w:val="0"/>
      <w:divBdr>
        <w:top w:val="none" w:sz="0" w:space="0" w:color="auto"/>
        <w:left w:val="none" w:sz="0" w:space="0" w:color="auto"/>
        <w:bottom w:val="none" w:sz="0" w:space="0" w:color="auto"/>
        <w:right w:val="none" w:sz="0" w:space="0" w:color="auto"/>
      </w:divBdr>
    </w:div>
    <w:div w:id="1877767835">
      <w:bodyDiv w:val="1"/>
      <w:marLeft w:val="0"/>
      <w:marRight w:val="0"/>
      <w:marTop w:val="0"/>
      <w:marBottom w:val="0"/>
      <w:divBdr>
        <w:top w:val="none" w:sz="0" w:space="0" w:color="auto"/>
        <w:left w:val="none" w:sz="0" w:space="0" w:color="auto"/>
        <w:bottom w:val="none" w:sz="0" w:space="0" w:color="auto"/>
        <w:right w:val="none" w:sz="0" w:space="0" w:color="auto"/>
      </w:divBdr>
      <w:divsChild>
        <w:div w:id="1213031103">
          <w:marLeft w:val="0"/>
          <w:marRight w:val="0"/>
          <w:marTop w:val="0"/>
          <w:marBottom w:val="0"/>
          <w:divBdr>
            <w:top w:val="none" w:sz="0" w:space="0" w:color="auto"/>
            <w:left w:val="none" w:sz="0" w:space="0" w:color="auto"/>
            <w:bottom w:val="none" w:sz="0" w:space="0" w:color="auto"/>
            <w:right w:val="none" w:sz="0" w:space="0" w:color="auto"/>
          </w:divBdr>
          <w:divsChild>
            <w:div w:id="102577781">
              <w:marLeft w:val="0"/>
              <w:marRight w:val="0"/>
              <w:marTop w:val="0"/>
              <w:marBottom w:val="0"/>
              <w:divBdr>
                <w:top w:val="none" w:sz="0" w:space="0" w:color="auto"/>
                <w:left w:val="none" w:sz="0" w:space="0" w:color="auto"/>
                <w:bottom w:val="none" w:sz="0" w:space="0" w:color="auto"/>
                <w:right w:val="none" w:sz="0" w:space="0" w:color="auto"/>
              </w:divBdr>
              <w:divsChild>
                <w:div w:id="140891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737129">
      <w:bodyDiv w:val="1"/>
      <w:marLeft w:val="0"/>
      <w:marRight w:val="0"/>
      <w:marTop w:val="0"/>
      <w:marBottom w:val="0"/>
      <w:divBdr>
        <w:top w:val="none" w:sz="0" w:space="0" w:color="auto"/>
        <w:left w:val="none" w:sz="0" w:space="0" w:color="auto"/>
        <w:bottom w:val="none" w:sz="0" w:space="0" w:color="auto"/>
        <w:right w:val="none" w:sz="0" w:space="0" w:color="auto"/>
      </w:divBdr>
      <w:divsChild>
        <w:div w:id="1889223567">
          <w:marLeft w:val="0"/>
          <w:marRight w:val="0"/>
          <w:marTop w:val="0"/>
          <w:marBottom w:val="0"/>
          <w:divBdr>
            <w:top w:val="none" w:sz="0" w:space="0" w:color="auto"/>
            <w:left w:val="none" w:sz="0" w:space="0" w:color="auto"/>
            <w:bottom w:val="none" w:sz="0" w:space="0" w:color="auto"/>
            <w:right w:val="none" w:sz="0" w:space="0" w:color="auto"/>
          </w:divBdr>
          <w:divsChild>
            <w:div w:id="433675834">
              <w:marLeft w:val="0"/>
              <w:marRight w:val="0"/>
              <w:marTop w:val="0"/>
              <w:marBottom w:val="0"/>
              <w:divBdr>
                <w:top w:val="none" w:sz="0" w:space="0" w:color="auto"/>
                <w:left w:val="none" w:sz="0" w:space="0" w:color="auto"/>
                <w:bottom w:val="none" w:sz="0" w:space="0" w:color="auto"/>
                <w:right w:val="none" w:sz="0" w:space="0" w:color="auto"/>
              </w:divBdr>
              <w:divsChild>
                <w:div w:id="166153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838939">
      <w:bodyDiv w:val="1"/>
      <w:marLeft w:val="0"/>
      <w:marRight w:val="0"/>
      <w:marTop w:val="0"/>
      <w:marBottom w:val="0"/>
      <w:divBdr>
        <w:top w:val="none" w:sz="0" w:space="0" w:color="auto"/>
        <w:left w:val="none" w:sz="0" w:space="0" w:color="auto"/>
        <w:bottom w:val="none" w:sz="0" w:space="0" w:color="auto"/>
        <w:right w:val="none" w:sz="0" w:space="0" w:color="auto"/>
      </w:divBdr>
      <w:divsChild>
        <w:div w:id="394090799">
          <w:marLeft w:val="0"/>
          <w:marRight w:val="0"/>
          <w:marTop w:val="0"/>
          <w:marBottom w:val="0"/>
          <w:divBdr>
            <w:top w:val="none" w:sz="0" w:space="0" w:color="auto"/>
            <w:left w:val="none" w:sz="0" w:space="0" w:color="auto"/>
            <w:bottom w:val="none" w:sz="0" w:space="0" w:color="auto"/>
            <w:right w:val="none" w:sz="0" w:space="0" w:color="auto"/>
          </w:divBdr>
          <w:divsChild>
            <w:div w:id="150145048">
              <w:marLeft w:val="0"/>
              <w:marRight w:val="0"/>
              <w:marTop w:val="0"/>
              <w:marBottom w:val="0"/>
              <w:divBdr>
                <w:top w:val="none" w:sz="0" w:space="0" w:color="auto"/>
                <w:left w:val="none" w:sz="0" w:space="0" w:color="auto"/>
                <w:bottom w:val="none" w:sz="0" w:space="0" w:color="auto"/>
                <w:right w:val="none" w:sz="0" w:space="0" w:color="auto"/>
              </w:divBdr>
              <w:divsChild>
                <w:div w:id="121519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11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10</Pages>
  <Words>3281</Words>
  <Characters>18703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6</cp:revision>
  <dcterms:created xsi:type="dcterms:W3CDTF">2020-05-06T10:34:00Z</dcterms:created>
  <dcterms:modified xsi:type="dcterms:W3CDTF">2020-05-06T15:10:00Z</dcterms:modified>
</cp:coreProperties>
</file>