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2E53C" w14:textId="77777777" w:rsidR="0041101B" w:rsidRPr="0041101B" w:rsidRDefault="0041101B" w:rsidP="0041101B">
      <w:pPr>
        <w:rPr>
          <w:rFonts w:ascii="Arial" w:hAnsi="Arial" w:cs="Arial"/>
          <w:lang w:val="en-GB" w:eastAsia="en-GB"/>
        </w:rPr>
      </w:pPr>
    </w:p>
    <w:p w14:paraId="0ED117A0" w14:textId="77777777" w:rsidR="0041101B" w:rsidRPr="0041101B" w:rsidRDefault="0041101B" w:rsidP="0041101B">
      <w:pPr>
        <w:rPr>
          <w:rFonts w:ascii="Arial" w:hAnsi="Arial" w:cs="Arial"/>
          <w:lang w:val="en-GB" w:eastAsia="en-GB"/>
        </w:rPr>
      </w:pPr>
    </w:p>
    <w:p w14:paraId="5475D260" w14:textId="13F97249" w:rsidR="00CC46A4" w:rsidRDefault="0041101B" w:rsidP="0041101B">
      <w:pPr>
        <w:rPr>
          <w:rFonts w:ascii="Arial" w:hAnsi="Arial" w:cs="Arial"/>
          <w:lang w:val="en-GB" w:eastAsia="en-GB"/>
        </w:rPr>
      </w:pPr>
      <w:r w:rsidRPr="0041101B">
        <w:rPr>
          <w:rFonts w:ascii="Arial" w:hAnsi="Arial" w:cs="Arial"/>
          <w:lang w:val="en-GB" w:eastAsia="en-GB"/>
        </w:rPr>
        <w:t xml:space="preserve">                                 </w:t>
      </w:r>
      <w:r w:rsidR="00CC46A4">
        <w:rPr>
          <w:rFonts w:ascii="Arial" w:hAnsi="Arial" w:cs="Arial"/>
          <w:lang w:val="en-GB" w:eastAsia="en-GB"/>
        </w:rPr>
        <w:t xml:space="preserve">                                    </w:t>
      </w:r>
      <w:r w:rsidRPr="0041101B">
        <w:rPr>
          <w:rFonts w:ascii="Arial" w:hAnsi="Arial" w:cs="Arial"/>
          <w:lang w:val="en-GB" w:eastAsia="en-GB"/>
        </w:rPr>
        <w:t xml:space="preserve"> Component 1</w:t>
      </w:r>
    </w:p>
    <w:p w14:paraId="06840D1A" w14:textId="7297B068" w:rsidR="0041101B" w:rsidRPr="0041101B" w:rsidRDefault="00CC46A4" w:rsidP="0041101B">
      <w:pPr>
        <w:rPr>
          <w:rFonts w:ascii="Arial" w:hAnsi="Arial" w:cs="Arial"/>
          <w:lang w:val="en-GB" w:eastAsia="en-GB"/>
        </w:rPr>
      </w:pPr>
      <w:r>
        <w:rPr>
          <w:rFonts w:ascii="Arial" w:hAnsi="Arial" w:cs="Arial"/>
          <w:lang w:val="en-GB" w:eastAsia="en-GB"/>
        </w:rPr>
        <w:t xml:space="preserve">                                               </w:t>
      </w:r>
      <w:r w:rsidR="0041101B" w:rsidRPr="0041101B">
        <w:rPr>
          <w:rFonts w:ascii="Arial" w:hAnsi="Arial" w:cs="Arial"/>
          <w:lang w:val="en-GB" w:eastAsia="en-GB"/>
        </w:rPr>
        <w:t>Leadership and Management Theory and Practice</w:t>
      </w:r>
    </w:p>
    <w:p w14:paraId="12F745DC"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Coursework Essay</w:t>
      </w:r>
    </w:p>
    <w:p w14:paraId="333FD13B" w14:textId="4782E98F"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Student Name: Tanya Georgieva</w:t>
      </w:r>
    </w:p>
    <w:p w14:paraId="324A82C6"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Student Number 2028228</w:t>
      </w:r>
    </w:p>
    <w:p w14:paraId="6F87C490"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Lecturer Name: Dr Laila Maazouz</w:t>
      </w:r>
    </w:p>
    <w:p w14:paraId="468CB1F6" w14:textId="77777777" w:rsidR="0041101B" w:rsidRPr="0041101B" w:rsidRDefault="0041101B" w:rsidP="0041101B">
      <w:pPr>
        <w:rPr>
          <w:rFonts w:ascii="Arial" w:hAnsi="Arial" w:cs="Arial"/>
          <w:lang w:val="en-GB" w:eastAsia="en-GB"/>
        </w:rPr>
      </w:pPr>
    </w:p>
    <w:p w14:paraId="1E9408B4" w14:textId="77777777" w:rsidR="0041101B" w:rsidRPr="0041101B" w:rsidRDefault="0041101B" w:rsidP="0041101B">
      <w:pPr>
        <w:rPr>
          <w:rFonts w:ascii="Arial" w:hAnsi="Arial" w:cs="Arial"/>
          <w:lang w:val="en-GB" w:eastAsia="en-GB"/>
        </w:rPr>
      </w:pPr>
    </w:p>
    <w:p w14:paraId="301EAF2B" w14:textId="77777777" w:rsidR="0041101B" w:rsidRPr="0041101B" w:rsidRDefault="0041101B" w:rsidP="0041101B">
      <w:pPr>
        <w:rPr>
          <w:rFonts w:ascii="Arial" w:hAnsi="Arial" w:cs="Arial"/>
          <w:lang w:val="en-GB" w:eastAsia="en-GB"/>
        </w:rPr>
      </w:pPr>
    </w:p>
    <w:p w14:paraId="2432CCEE" w14:textId="77777777" w:rsidR="0041101B" w:rsidRPr="0041101B" w:rsidRDefault="0041101B" w:rsidP="0041101B">
      <w:pPr>
        <w:rPr>
          <w:rFonts w:ascii="Arial" w:hAnsi="Arial" w:cs="Arial"/>
          <w:lang w:val="en-GB" w:eastAsia="en-GB"/>
        </w:rPr>
      </w:pPr>
    </w:p>
    <w:p w14:paraId="4BEC84CD" w14:textId="77777777" w:rsidR="0041101B" w:rsidRPr="0041101B" w:rsidRDefault="0041101B" w:rsidP="0041101B">
      <w:pPr>
        <w:rPr>
          <w:rFonts w:ascii="Arial" w:hAnsi="Arial" w:cs="Arial"/>
          <w:lang w:val="en-GB" w:eastAsia="en-GB"/>
        </w:rPr>
      </w:pPr>
    </w:p>
    <w:p w14:paraId="4BAF8B1B" w14:textId="77777777" w:rsidR="0041101B" w:rsidRPr="0041101B" w:rsidRDefault="0041101B" w:rsidP="0041101B">
      <w:pPr>
        <w:rPr>
          <w:rFonts w:ascii="Arial" w:hAnsi="Arial" w:cs="Arial"/>
          <w:lang w:val="en-GB" w:eastAsia="en-GB"/>
        </w:rPr>
      </w:pPr>
    </w:p>
    <w:p w14:paraId="28787476" w14:textId="77777777" w:rsidR="0041101B" w:rsidRPr="0041101B" w:rsidRDefault="0041101B" w:rsidP="0041101B">
      <w:pPr>
        <w:rPr>
          <w:rFonts w:ascii="Arial" w:hAnsi="Arial" w:cs="Arial"/>
          <w:lang w:val="en-GB" w:eastAsia="en-GB"/>
        </w:rPr>
      </w:pPr>
    </w:p>
    <w:p w14:paraId="30188AB1" w14:textId="77777777" w:rsidR="0041101B" w:rsidRPr="0041101B" w:rsidRDefault="0041101B" w:rsidP="0041101B">
      <w:pPr>
        <w:rPr>
          <w:rFonts w:ascii="Arial" w:hAnsi="Arial" w:cs="Arial"/>
          <w:lang w:val="en-GB" w:eastAsia="en-GB"/>
        </w:rPr>
      </w:pPr>
    </w:p>
    <w:p w14:paraId="388D6824" w14:textId="77777777" w:rsidR="0041101B" w:rsidRPr="0041101B" w:rsidRDefault="0041101B" w:rsidP="0041101B">
      <w:pPr>
        <w:rPr>
          <w:rFonts w:ascii="Arial" w:hAnsi="Arial" w:cs="Arial"/>
          <w:lang w:val="en-GB" w:eastAsia="en-GB"/>
        </w:rPr>
      </w:pPr>
    </w:p>
    <w:p w14:paraId="23E0FDA1" w14:textId="77777777" w:rsidR="0041101B" w:rsidRPr="0041101B" w:rsidRDefault="0041101B" w:rsidP="0041101B">
      <w:pPr>
        <w:rPr>
          <w:rFonts w:ascii="Arial" w:hAnsi="Arial" w:cs="Arial"/>
          <w:lang w:val="en-GB" w:eastAsia="en-GB"/>
        </w:rPr>
      </w:pPr>
    </w:p>
    <w:p w14:paraId="096EC715" w14:textId="77777777" w:rsidR="0041101B" w:rsidRPr="0041101B" w:rsidRDefault="0041101B" w:rsidP="0041101B">
      <w:pPr>
        <w:rPr>
          <w:rFonts w:ascii="Arial" w:hAnsi="Arial" w:cs="Arial"/>
          <w:lang w:val="en-GB" w:eastAsia="en-GB"/>
        </w:rPr>
      </w:pPr>
    </w:p>
    <w:p w14:paraId="79D82FF1" w14:textId="77777777" w:rsidR="0041101B" w:rsidRPr="0041101B" w:rsidRDefault="0041101B" w:rsidP="0041101B">
      <w:pPr>
        <w:rPr>
          <w:rFonts w:ascii="Arial" w:hAnsi="Arial" w:cs="Arial"/>
          <w:lang w:val="en-GB" w:eastAsia="en-GB"/>
        </w:rPr>
      </w:pPr>
    </w:p>
    <w:p w14:paraId="75B41D0B" w14:textId="77777777" w:rsidR="0041101B" w:rsidRPr="0041101B" w:rsidRDefault="0041101B" w:rsidP="0041101B">
      <w:pPr>
        <w:rPr>
          <w:rFonts w:ascii="Arial" w:hAnsi="Arial" w:cs="Arial"/>
          <w:lang w:val="en-GB" w:eastAsia="en-GB"/>
        </w:rPr>
      </w:pPr>
    </w:p>
    <w:p w14:paraId="19CB2FCD" w14:textId="77777777" w:rsidR="0041101B" w:rsidRPr="0041101B" w:rsidRDefault="0041101B" w:rsidP="0041101B">
      <w:pPr>
        <w:rPr>
          <w:rFonts w:ascii="Arial" w:hAnsi="Arial" w:cs="Arial"/>
          <w:lang w:val="en-GB" w:eastAsia="en-GB"/>
        </w:rPr>
      </w:pPr>
    </w:p>
    <w:p w14:paraId="22F5883E" w14:textId="77777777" w:rsidR="0041101B" w:rsidRPr="0041101B" w:rsidRDefault="0041101B" w:rsidP="0041101B">
      <w:pPr>
        <w:rPr>
          <w:rFonts w:ascii="Arial" w:hAnsi="Arial" w:cs="Arial"/>
          <w:lang w:val="en-GB" w:eastAsia="en-GB"/>
        </w:rPr>
      </w:pPr>
    </w:p>
    <w:p w14:paraId="407871EA" w14:textId="77777777" w:rsidR="0041101B" w:rsidRPr="0041101B" w:rsidRDefault="0041101B" w:rsidP="0041101B">
      <w:pPr>
        <w:rPr>
          <w:rFonts w:ascii="Arial" w:hAnsi="Arial" w:cs="Arial"/>
          <w:lang w:val="en-GB" w:eastAsia="en-GB"/>
        </w:rPr>
      </w:pPr>
    </w:p>
    <w:p w14:paraId="67B6EB1B" w14:textId="77777777" w:rsidR="0041101B" w:rsidRPr="0041101B" w:rsidRDefault="0041101B" w:rsidP="0041101B">
      <w:pPr>
        <w:rPr>
          <w:rFonts w:ascii="Arial" w:hAnsi="Arial" w:cs="Arial"/>
          <w:lang w:val="en-GB" w:eastAsia="en-GB"/>
        </w:rPr>
      </w:pPr>
    </w:p>
    <w:p w14:paraId="6F66677D" w14:textId="77777777" w:rsidR="0041101B" w:rsidRPr="0041101B" w:rsidRDefault="0041101B" w:rsidP="0041101B">
      <w:pPr>
        <w:rPr>
          <w:rFonts w:ascii="Arial" w:hAnsi="Arial" w:cs="Arial"/>
          <w:lang w:val="en-GB" w:eastAsia="en-GB"/>
        </w:rPr>
      </w:pPr>
    </w:p>
    <w:p w14:paraId="469D09D7" w14:textId="77777777" w:rsidR="0041101B" w:rsidRPr="0041101B" w:rsidRDefault="0041101B" w:rsidP="0041101B">
      <w:pPr>
        <w:rPr>
          <w:rFonts w:ascii="Arial" w:hAnsi="Arial" w:cs="Arial"/>
          <w:lang w:val="en-GB" w:eastAsia="en-GB"/>
        </w:rPr>
      </w:pPr>
    </w:p>
    <w:p w14:paraId="118F5872" w14:textId="77777777" w:rsidR="0041101B" w:rsidRPr="0041101B" w:rsidRDefault="0041101B" w:rsidP="0041101B">
      <w:pPr>
        <w:rPr>
          <w:rFonts w:ascii="Arial" w:hAnsi="Arial" w:cs="Arial"/>
          <w:lang w:val="en-GB" w:eastAsia="en-GB"/>
        </w:rPr>
      </w:pPr>
    </w:p>
    <w:p w14:paraId="4340D100" w14:textId="77777777" w:rsidR="0041101B" w:rsidRPr="0041101B" w:rsidRDefault="0041101B" w:rsidP="0041101B">
      <w:pPr>
        <w:rPr>
          <w:rFonts w:ascii="Arial" w:hAnsi="Arial" w:cs="Arial"/>
          <w:lang w:val="en-GB" w:eastAsia="en-GB"/>
        </w:rPr>
      </w:pPr>
    </w:p>
    <w:p w14:paraId="289EC0B2" w14:textId="77777777" w:rsidR="0041101B" w:rsidRPr="0041101B" w:rsidRDefault="0041101B" w:rsidP="0041101B">
      <w:pPr>
        <w:rPr>
          <w:rFonts w:ascii="Arial" w:hAnsi="Arial" w:cs="Arial"/>
          <w:lang w:val="en-GB" w:eastAsia="en-GB"/>
        </w:rPr>
      </w:pPr>
    </w:p>
    <w:p w14:paraId="6D534261" w14:textId="77777777" w:rsidR="0041101B" w:rsidRPr="0041101B" w:rsidRDefault="0041101B" w:rsidP="0041101B">
      <w:pPr>
        <w:rPr>
          <w:rFonts w:ascii="Arial" w:hAnsi="Arial" w:cs="Arial"/>
          <w:lang w:val="en-GB" w:eastAsia="en-GB"/>
        </w:rPr>
      </w:pPr>
    </w:p>
    <w:p w14:paraId="2E267BA6"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Management Control System in Contemporary Organizations: A Framework-Based Analysis of Functions, Challenges, and Strategic Solutions.</w:t>
      </w:r>
    </w:p>
    <w:p w14:paraId="15626540"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Table of Contents.</w:t>
      </w:r>
    </w:p>
    <w:p w14:paraId="7AD308D6"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1. Introduction…………………………………………. 1</w:t>
      </w:r>
    </w:p>
    <w:p w14:paraId="0D06E99D"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2. Theoretical Foundation of Management Function……………….2</w:t>
      </w:r>
    </w:p>
    <w:p w14:paraId="5D3CE6DA"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3. Strategic Importance of Control Mechanisms in Organizations…3</w:t>
      </w:r>
    </w:p>
    <w:p w14:paraId="0471299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4. Implementation Challenges in Control System……………………….4</w:t>
      </w:r>
    </w:p>
    <w:p w14:paraId="04554B05"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5. Managerial Strategies for Control Enhancement ………………………. 5</w:t>
      </w:r>
    </w:p>
    <w:p w14:paraId="572BA50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6. Conclusion ……………………………………………. 6</w:t>
      </w:r>
    </w:p>
    <w:p w14:paraId="4066EFCF"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7. References……………………………………………………… 7</w:t>
      </w:r>
    </w:p>
    <w:p w14:paraId="480AB21D" w14:textId="77777777" w:rsidR="0041101B" w:rsidRPr="0041101B" w:rsidRDefault="0041101B" w:rsidP="0041101B">
      <w:pPr>
        <w:rPr>
          <w:rFonts w:ascii="Arial" w:hAnsi="Arial" w:cs="Arial"/>
          <w:lang w:val="en-GB" w:eastAsia="en-GB"/>
        </w:rPr>
      </w:pPr>
    </w:p>
    <w:p w14:paraId="5D5FDB2D" w14:textId="77777777" w:rsidR="0041101B" w:rsidRPr="0041101B" w:rsidRDefault="0041101B" w:rsidP="0041101B">
      <w:pPr>
        <w:rPr>
          <w:rFonts w:ascii="Arial" w:hAnsi="Arial" w:cs="Arial"/>
          <w:lang w:val="en-GB" w:eastAsia="en-GB"/>
        </w:rPr>
      </w:pPr>
    </w:p>
    <w:p w14:paraId="4168229E" w14:textId="77777777" w:rsidR="0041101B" w:rsidRPr="0041101B" w:rsidRDefault="0041101B" w:rsidP="0041101B">
      <w:pPr>
        <w:rPr>
          <w:rFonts w:ascii="Arial" w:hAnsi="Arial" w:cs="Arial"/>
          <w:lang w:val="en-GB" w:eastAsia="en-GB"/>
        </w:rPr>
      </w:pPr>
    </w:p>
    <w:p w14:paraId="5304D5FF" w14:textId="77777777" w:rsidR="0041101B" w:rsidRPr="0041101B" w:rsidRDefault="0041101B" w:rsidP="0041101B">
      <w:pPr>
        <w:rPr>
          <w:rFonts w:ascii="Arial" w:hAnsi="Arial" w:cs="Arial"/>
          <w:lang w:val="en-GB" w:eastAsia="en-GB"/>
        </w:rPr>
      </w:pPr>
    </w:p>
    <w:p w14:paraId="7B92863A" w14:textId="77777777" w:rsidR="0041101B" w:rsidRPr="0041101B" w:rsidRDefault="0041101B" w:rsidP="0041101B">
      <w:pPr>
        <w:rPr>
          <w:rFonts w:ascii="Arial" w:hAnsi="Arial" w:cs="Arial"/>
          <w:lang w:val="en-GB" w:eastAsia="en-GB"/>
        </w:rPr>
      </w:pPr>
    </w:p>
    <w:p w14:paraId="3F34632B" w14:textId="77777777" w:rsidR="0041101B" w:rsidRPr="0041101B" w:rsidRDefault="0041101B" w:rsidP="0041101B">
      <w:pPr>
        <w:rPr>
          <w:rFonts w:ascii="Arial" w:hAnsi="Arial" w:cs="Arial"/>
          <w:lang w:val="en-GB" w:eastAsia="en-GB"/>
        </w:rPr>
      </w:pPr>
    </w:p>
    <w:p w14:paraId="57CD4B73" w14:textId="77777777" w:rsidR="0041101B" w:rsidRPr="0041101B" w:rsidRDefault="0041101B" w:rsidP="0041101B">
      <w:pPr>
        <w:rPr>
          <w:rFonts w:ascii="Arial" w:hAnsi="Arial" w:cs="Arial"/>
          <w:lang w:val="en-GB" w:eastAsia="en-GB"/>
        </w:rPr>
      </w:pPr>
    </w:p>
    <w:p w14:paraId="79D46B04" w14:textId="77777777" w:rsidR="0041101B" w:rsidRPr="0041101B" w:rsidRDefault="0041101B" w:rsidP="0041101B">
      <w:pPr>
        <w:rPr>
          <w:rFonts w:ascii="Arial" w:hAnsi="Arial" w:cs="Arial"/>
          <w:lang w:val="en-GB" w:eastAsia="en-GB"/>
        </w:rPr>
      </w:pPr>
    </w:p>
    <w:p w14:paraId="651A7C66" w14:textId="77777777" w:rsidR="0041101B" w:rsidRPr="0041101B" w:rsidRDefault="0041101B" w:rsidP="0041101B">
      <w:pPr>
        <w:rPr>
          <w:rFonts w:ascii="Arial" w:hAnsi="Arial" w:cs="Arial"/>
          <w:lang w:val="en-GB" w:eastAsia="en-GB"/>
        </w:rPr>
      </w:pPr>
    </w:p>
    <w:p w14:paraId="44235050" w14:textId="77777777" w:rsidR="0041101B" w:rsidRPr="0041101B" w:rsidRDefault="0041101B" w:rsidP="0041101B">
      <w:pPr>
        <w:rPr>
          <w:rFonts w:ascii="Arial" w:hAnsi="Arial" w:cs="Arial"/>
          <w:lang w:val="en-GB" w:eastAsia="en-GB"/>
        </w:rPr>
      </w:pPr>
    </w:p>
    <w:p w14:paraId="19CCDF30" w14:textId="77777777" w:rsidR="0041101B" w:rsidRPr="0041101B" w:rsidRDefault="0041101B" w:rsidP="0041101B">
      <w:pPr>
        <w:rPr>
          <w:rFonts w:ascii="Arial" w:hAnsi="Arial" w:cs="Arial"/>
          <w:lang w:val="en-GB" w:eastAsia="en-GB"/>
        </w:rPr>
      </w:pPr>
    </w:p>
    <w:p w14:paraId="09EE1D51" w14:textId="77777777" w:rsidR="000C334A" w:rsidRDefault="000C334A" w:rsidP="0041101B">
      <w:pPr>
        <w:rPr>
          <w:rFonts w:ascii="Arial" w:hAnsi="Arial" w:cs="Arial"/>
          <w:lang w:val="en-GB" w:eastAsia="en-GB"/>
        </w:rPr>
      </w:pPr>
    </w:p>
    <w:p w14:paraId="639AEAE9" w14:textId="21105087" w:rsidR="0041101B" w:rsidRPr="0041101B" w:rsidRDefault="0041101B" w:rsidP="0041101B">
      <w:pPr>
        <w:rPr>
          <w:rFonts w:ascii="Arial" w:hAnsi="Arial" w:cs="Arial"/>
          <w:lang w:val="en-GB" w:eastAsia="en-GB"/>
        </w:rPr>
      </w:pPr>
      <w:r w:rsidRPr="0041101B">
        <w:rPr>
          <w:rFonts w:ascii="Arial" w:hAnsi="Arial" w:cs="Arial"/>
          <w:lang w:val="en-GB" w:eastAsia="en-GB"/>
        </w:rPr>
        <w:lastRenderedPageBreak/>
        <w:t>Introduction.</w:t>
      </w:r>
    </w:p>
    <w:p w14:paraId="4932C882"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1. Management constitutes a fundamental pillar of organizational achievement, as it establishes the process and structure enabling resource coordination toward goal delivery within a dynamic operational context (Fayol, 1949; Drucker, 1954). Classical management theory identifies managers as individuals who plan, organize, lead, and control organizational activities. Contemporary organizational practice has refined these foundational concepts while maintaining their core relevance across diverse sectors, including manufacturing (Toyota), retail (Tesco), technology (Apple), and public healthcare (NHS Trust), where performance targets, financial budgets, and quality specifications must be achieved amid uncertainty and stakeholder oversight.</w:t>
      </w:r>
    </w:p>
    <w:p w14:paraId="3C42F13A"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This essay concentrates specifically on the controlling function—the managerial mechanism that verifies whether actual organizational performance corresponds with planned objectives and desired outcomes, implementing corrective interventions when deviations occur. The analysis adopts a descriptive approach structured as follows: Initially delineating the four managerial functions, subsequently explaining the essential nature of controlling across various organizational contexts, then describing prevalent challenges affecting control effectiveness, and concluding with practical approaches managers can employ to address these implementation difficulties. Established theoretical frameworks, including Henri Fayol’s management functions, the McKinsey 7S organizational model, Hofstede’s cultural dimension theory, Porter’s Five Forces competitive analysis, and PESTEL environmental scanning, are integrated to anchor the discussion within recognized academic theory. Organizational illustrations from manufacturing (Toyota), retail (Tesco), technology (Apple, Amazon), and public services (NHS) demonstrate practical application while maintaining an applied and explanatory rather than a deeply critical academic orientation.</w:t>
      </w:r>
    </w:p>
    <w:p w14:paraId="6F2D1B4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2. Theoretical Foundations of Management Functions.</w:t>
      </w:r>
    </w:p>
    <w:p w14:paraId="307C717F"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According to Henry Fayol’s seminal management theory, he originally categorized managerial activities into five fundamental elements—planning, organizing, commanding, coordinating, and controlling—subsequently refined by contemporary scholars into four core functions: planning, organizing, leading, and controlling</w:t>
      </w:r>
      <w:proofErr w:type="gramStart"/>
      <w:r w:rsidRPr="0041101B">
        <w:rPr>
          <w:rFonts w:ascii="Arial" w:hAnsi="Arial" w:cs="Arial"/>
          <w:lang w:val="en-GB" w:eastAsia="en-GB"/>
        </w:rPr>
        <w:t xml:space="preserve">   (</w:t>
      </w:r>
      <w:proofErr w:type="gramEnd"/>
      <w:r w:rsidRPr="0041101B">
        <w:rPr>
          <w:rFonts w:ascii="Arial" w:hAnsi="Arial" w:cs="Arial"/>
          <w:lang w:val="en-GB" w:eastAsia="en-GB"/>
        </w:rPr>
        <w:t>Fayol, 1949). Despite academic criticism regarding oversimplification, this theoretical framework maintains widespread pedagogical adoption because it provides a comprehensible descriptive framework for understanding managerial responsibilities across organizational contexts.</w:t>
      </w:r>
    </w:p>
    <w:p w14:paraId="311AF4F9"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Planning encompasses objective formulation, strategic development, and resource allocation decisions. retail Within a retail organization such as Tesco, planning activities include sales, forecasting sales forecasting methodologies, seasonal product assortment strategies, and operational capacity planning for peak trading periods, including annual plans and quarterly sales and operations planning (S&amp;OP) cycles. Planning processes are significantly influenced by external environmental factors as conceptualized through PESTLE analysis, which highlights political influences (food safety regulatory requirements),  economic conditions  (inflationary pressures), socio-cultural trends  (health consciousness movements), technological developments (point-of-sale data analytics, artificial intelligence demand forecasting), legal frameworks  (employment legislation), and environmental considerations (packaging waste reduction) as observed by (Aguilar,1967;jonson et al.,2017)</w:t>
      </w:r>
    </w:p>
    <w:p w14:paraId="7234B425" w14:textId="77777777" w:rsidR="0041101B" w:rsidRPr="0041101B" w:rsidRDefault="0041101B" w:rsidP="0041101B">
      <w:pPr>
        <w:rPr>
          <w:rFonts w:ascii="Arial" w:hAnsi="Arial" w:cs="Arial"/>
          <w:lang w:val="en-GB" w:eastAsia="en-GB"/>
        </w:rPr>
      </w:pPr>
    </w:p>
    <w:p w14:paraId="6AEFD86A" w14:textId="4B542920"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Organizing involves structuring organizational resources, including human capital, operational processes, and technological systems. In line with the McKinsey 7S model, it provides valuable insight by demonstrating that formal organizational structure must align effectively with complementary elements, including systems, shared value, skills, style, and staff, to achieve successful implementation, as noted by (Peters and Waterman,1982).Amazon exemplifies this alignment through a highly automated </w:t>
      </w:r>
      <w:r w:rsidR="00344CB6">
        <w:rPr>
          <w:rFonts w:ascii="Arial" w:hAnsi="Arial" w:cs="Arial"/>
          <w:lang w:val="en-GB" w:eastAsia="en-GB"/>
        </w:rPr>
        <w:t>fulfilments</w:t>
      </w:r>
      <w:r w:rsidRPr="0041101B">
        <w:rPr>
          <w:rFonts w:ascii="Arial" w:hAnsi="Arial" w:cs="Arial"/>
          <w:lang w:val="en-GB" w:eastAsia="en-GB"/>
        </w:rPr>
        <w:t xml:space="preserve"> system integrated with specialized data engineering skills and an organizational style emphasizing frugality principles to support rapid order </w:t>
      </w:r>
      <w:r w:rsidR="00344CB6" w:rsidRPr="0041101B">
        <w:rPr>
          <w:rFonts w:ascii="Arial" w:hAnsi="Arial" w:cs="Arial"/>
          <w:lang w:val="en-GB" w:eastAsia="en-GB"/>
        </w:rPr>
        <w:t>fulfilment</w:t>
      </w:r>
      <w:r w:rsidRPr="0041101B">
        <w:rPr>
          <w:rFonts w:ascii="Arial" w:hAnsi="Arial" w:cs="Arial"/>
          <w:lang w:val="en-GB" w:eastAsia="en-GB"/>
        </w:rPr>
        <w:t xml:space="preserve"> capabilities.</w:t>
      </w:r>
    </w:p>
    <w:p w14:paraId="0E4E46C8"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Leading encompasses employee motivation, organizational direction, and communication processes.  Leadership approaches vary according to situational contexts; transformational leadership emphasizes inspirational vision and individual consideration, as stated by (Burns,1978). Within NHS Trust environments, leadership additionally requires clinical governance capabilities and multidisciplinary team coordination to maintain patient safety standards and support healthcare professional wellbeing.</w:t>
      </w:r>
    </w:p>
    <w:p w14:paraId="6BFE2C4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Controlling involves comparing actual organizational performance against predetermined targets and implementing corrective interventions when necessary. As observed by Kaplan and Norton (1992). demonstrate that exclusive reliance on financial performance measures proves consequently, the Balanced Scorecard framework incorporates customer satisfaction, internal process efficiency, and organizational learning perspectives. In operations-intensive environments such as Toyota manufacturing facilities, shop-floor visual control mechanisms, including </w:t>
      </w:r>
      <w:proofErr w:type="spellStart"/>
      <w:r w:rsidRPr="0041101B">
        <w:rPr>
          <w:rFonts w:ascii="Arial" w:hAnsi="Arial" w:cs="Arial"/>
          <w:lang w:val="en-GB" w:eastAsia="en-GB"/>
        </w:rPr>
        <w:t>andon</w:t>
      </w:r>
      <w:proofErr w:type="spellEnd"/>
      <w:r w:rsidRPr="0041101B">
        <w:rPr>
          <w:rFonts w:ascii="Arial" w:hAnsi="Arial" w:cs="Arial"/>
          <w:lang w:val="en-GB" w:eastAsia="en-GB"/>
        </w:rPr>
        <w:t xml:space="preserve"> systems and takt time measurements, operationalize performance standards, enabling real-time deviation detection, as noted by (Liker,2004).</w:t>
      </w:r>
    </w:p>
    <w:p w14:paraId="10F4FCBB" w14:textId="3FB41EE8" w:rsidR="0041101B" w:rsidRPr="0041101B" w:rsidRDefault="0041101B" w:rsidP="0041101B">
      <w:pPr>
        <w:rPr>
          <w:rFonts w:ascii="Arial" w:hAnsi="Arial" w:cs="Arial"/>
          <w:lang w:val="en-GB" w:eastAsia="en-GB"/>
        </w:rPr>
      </w:pPr>
      <w:r w:rsidRPr="0041101B">
        <w:rPr>
          <w:rFonts w:ascii="Arial" w:hAnsi="Arial" w:cs="Arial"/>
          <w:lang w:val="en-GB" w:eastAsia="en-GB"/>
        </w:rPr>
        <w:t xml:space="preserve">Although these functions are presented sequentially for analytical clarity, they demonstrate significant interdependence in practice. Planning assumptions directly inform control metric development; control feedback mechanisms refine subsequent planning processes; organizing decisions determine monitoring responsibilities; and leadership </w:t>
      </w:r>
      <w:proofErr w:type="spellStart"/>
      <w:r w:rsidRPr="0041101B">
        <w:rPr>
          <w:rFonts w:ascii="Arial" w:hAnsi="Arial" w:cs="Arial"/>
          <w:lang w:val="en-GB" w:eastAsia="en-GB"/>
        </w:rPr>
        <w:t>behaviors</w:t>
      </w:r>
      <w:proofErr w:type="spellEnd"/>
      <w:r w:rsidRPr="0041101B">
        <w:rPr>
          <w:rFonts w:ascii="Arial" w:hAnsi="Arial" w:cs="Arial"/>
          <w:lang w:val="en-GB" w:eastAsia="en-GB"/>
        </w:rPr>
        <w:t xml:space="preserve"> influence how control information is interpreted and utilized (learning versus blame attribution). External competitive pressures as </w:t>
      </w:r>
      <w:proofErr w:type="spellStart"/>
      <w:r w:rsidR="00CA694A">
        <w:rPr>
          <w:rFonts w:ascii="Arial" w:hAnsi="Arial" w:cs="Arial"/>
          <w:lang w:val="en-GB" w:eastAsia="en-GB"/>
        </w:rPr>
        <w:t>analyzed</w:t>
      </w:r>
      <w:proofErr w:type="spellEnd"/>
      <w:r w:rsidRPr="0041101B">
        <w:rPr>
          <w:rFonts w:ascii="Arial" w:hAnsi="Arial" w:cs="Arial"/>
          <w:lang w:val="en-GB" w:eastAsia="en-GB"/>
        </w:rPr>
        <w:t xml:space="preserve"> through Porter’s Five </w:t>
      </w:r>
      <w:r w:rsidR="00CA694A">
        <w:rPr>
          <w:rFonts w:ascii="Arial" w:hAnsi="Arial" w:cs="Arial"/>
          <w:lang w:val="en-GB" w:eastAsia="en-GB"/>
        </w:rPr>
        <w:t>Forces, including</w:t>
      </w:r>
      <w:r w:rsidRPr="0041101B">
        <w:rPr>
          <w:rFonts w:ascii="Arial" w:hAnsi="Arial" w:cs="Arial"/>
          <w:lang w:val="en-GB" w:eastAsia="en-GB"/>
        </w:rPr>
        <w:t xml:space="preserve"> competitive rivalry, supplier power, buyer power, substitute product threats, and new market entrant risks—risk-elevate performance expectations and comprehensive control systems within price-sensitive sectors such as grocery retail, as suggested by (Poter,1980).</w:t>
      </w:r>
    </w:p>
    <w:p w14:paraId="2190451D"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3. Strategic Importance of Control Mechanisms in Organizations.</w:t>
      </w:r>
    </w:p>
    <w:p w14:paraId="36B81F56" w14:textId="6C1A7742" w:rsidR="0041101B" w:rsidRPr="0041101B" w:rsidRDefault="0041101B" w:rsidP="0041101B">
      <w:pPr>
        <w:rPr>
          <w:rFonts w:ascii="Arial" w:hAnsi="Arial" w:cs="Arial"/>
          <w:lang w:val="en-GB" w:eastAsia="en-GB"/>
        </w:rPr>
      </w:pPr>
      <w:r w:rsidRPr="0041101B">
        <w:rPr>
          <w:rFonts w:ascii="Arial" w:hAnsi="Arial" w:cs="Arial"/>
          <w:lang w:val="en-GB" w:eastAsia="en-GB"/>
        </w:rPr>
        <w:t>Control mechanisms serve a fundamental purpose in ensuring organizational goal achievements within uncertain operational environments. As Fayol observed, control consists in verifying whether everything occurs in conformity with the plan (Fayol,</w:t>
      </w:r>
      <w:r w:rsidR="00320381" w:rsidRPr="0041101B">
        <w:rPr>
          <w:rFonts w:ascii="Arial" w:hAnsi="Arial" w:cs="Arial"/>
          <w:lang w:val="en-GB" w:eastAsia="en-GB"/>
        </w:rPr>
        <w:t>1949, p.</w:t>
      </w:r>
      <w:r w:rsidRPr="0041101B">
        <w:rPr>
          <w:rFonts w:ascii="Arial" w:hAnsi="Arial" w:cs="Arial"/>
          <w:lang w:val="en-GB" w:eastAsia="en-GB"/>
        </w:rPr>
        <w:t>107). Contemporary practice expands this definition to encompass standard establishment, performance measurement, result comparison, and corrective action implementation in compliance with (Daft ,2021). Multiple descriptive factors demonstrate control system importance across organizational types.</w:t>
      </w:r>
    </w:p>
    <w:p w14:paraId="5096E9C0" w14:textId="3B9C175C" w:rsidR="0041101B" w:rsidRPr="0041101B" w:rsidRDefault="0041101B" w:rsidP="00827FA4">
      <w:pPr>
        <w:rPr>
          <w:rFonts w:ascii="Arial" w:hAnsi="Arial" w:cs="Arial"/>
          <w:lang w:val="en-GB" w:eastAsia="en-GB"/>
        </w:rPr>
      </w:pPr>
      <w:r w:rsidRPr="0041101B">
        <w:rPr>
          <w:rFonts w:ascii="Arial" w:hAnsi="Arial" w:cs="Arial"/>
          <w:lang w:val="en-GB" w:eastAsia="en-GB"/>
        </w:rPr>
        <w:t xml:space="preserve">. </w:t>
      </w:r>
      <w:ins w:id="0" w:author="Tanya Georgieva" w:date="2025-10-12T20:47:00Z" w16du:dateUtc="2025-10-12T19:47:00Z">
        <w:r w:rsidR="00320381">
          <w:rPr>
            <w:rFonts w:ascii="Arial" w:hAnsi="Arial" w:cs="Arial"/>
            <w:lang w:val="en-GB" w:eastAsia="en-GB"/>
          </w:rPr>
          <w:t xml:space="preserve"> </w:t>
        </w:r>
        <w:r w:rsidR="00320381" w:rsidRPr="0041101B">
          <w:rPr>
            <w:rFonts w:ascii="Arial" w:hAnsi="Arial" w:cs="Arial"/>
            <w:lang w:val="en-GB" w:eastAsia="en-GB"/>
          </w:rPr>
          <w:t xml:space="preserve"> </w:t>
        </w:r>
      </w:ins>
      <w:r w:rsidRPr="0041101B">
        <w:rPr>
          <w:rFonts w:ascii="Arial" w:hAnsi="Arial" w:cs="Arial"/>
          <w:lang w:val="en-GB" w:eastAsia="en-GB"/>
        </w:rPr>
        <w:t>Alignment and Implementation Excellence.</w:t>
      </w:r>
    </w:p>
    <w:p w14:paraId="48925DD7" w14:textId="7FBD7FD2" w:rsidR="0041101B" w:rsidRPr="0041101B" w:rsidRDefault="0041101B" w:rsidP="0041101B">
      <w:pPr>
        <w:rPr>
          <w:rFonts w:ascii="Arial" w:hAnsi="Arial" w:cs="Arial"/>
          <w:lang w:val="en-GB" w:eastAsia="en-GB"/>
        </w:rPr>
      </w:pPr>
      <w:r w:rsidRPr="0041101B">
        <w:rPr>
          <w:rFonts w:ascii="Arial" w:hAnsi="Arial" w:cs="Arial"/>
          <w:lang w:val="en-GB" w:eastAsia="en-GB"/>
        </w:rPr>
        <w:t xml:space="preserve">Organizational plans require systematic translation of info, measurable performance indicators, and review cadences, including weekly key performance indicators (KPIs) and monthly management reviews.  The Balanced Scorecard methodology </w:t>
      </w:r>
      <w:del w:id="1" w:author="Tanya Georgieva" w:date="2025-10-12T20:48:00Z" w16du:dateUtc="2025-10-12T19:48:00Z">
        <w:r w:rsidRPr="0041101B" w:rsidDel="00320381">
          <w:rPr>
            <w:rFonts w:ascii="Arial" w:hAnsi="Arial" w:cs="Arial"/>
            <w:lang w:val="en-GB" w:eastAsia="en-GB"/>
          </w:rPr>
          <w:delText xml:space="preserve">development development </w:delText>
        </w:r>
      </w:del>
      <w:r w:rsidRPr="0041101B">
        <w:rPr>
          <w:rFonts w:ascii="Arial" w:hAnsi="Arial" w:cs="Arial"/>
          <w:lang w:val="en-GB" w:eastAsia="en-GB"/>
        </w:rPr>
        <w:t>is in the opinion of (Kaplan and Norton,1992). Apple demonstrates this approach through supplier quality scorecards and delivery timeliness metrics that align contract manufacturing partners with product launch schedules, thereby protecting brand reputation and market positioning.</w:t>
      </w:r>
    </w:p>
    <w:p w14:paraId="3226DAF2" w14:textId="77777777" w:rsidR="0041101B" w:rsidRPr="0041101B" w:rsidRDefault="0041101B" w:rsidP="0041101B">
      <w:pPr>
        <w:rPr>
          <w:rFonts w:ascii="Arial" w:hAnsi="Arial" w:cs="Arial"/>
          <w:lang w:val="en-GB" w:eastAsia="en-GB"/>
        </w:rPr>
      </w:pPr>
    </w:p>
    <w:p w14:paraId="17AA4797" w14:textId="77777777" w:rsidR="0041101B" w:rsidRPr="0041101B" w:rsidRDefault="0041101B" w:rsidP="0041101B">
      <w:pPr>
        <w:rPr>
          <w:rFonts w:ascii="Arial" w:hAnsi="Arial" w:cs="Arial"/>
          <w:lang w:val="en-GB" w:eastAsia="en-GB"/>
        </w:rPr>
      </w:pPr>
    </w:p>
    <w:p w14:paraId="7A891EE1"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Risk Mitigation and Regulatory Compliance.</w:t>
      </w:r>
    </w:p>
    <w:p w14:paraId="7972925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Organizations encounter operational, financial, and compliance-related risks requiring systematic management. The Committee of Sponsoring Organizations (COSO) framework delineates internal control components, including control environment, risk assessment, control activities, information and communication, and monitoring activities to minimize misstatement and misconduct risks observed by COSO (2013). Within financial services and NHS healthcare environments, control systems support audit requirements, data privacy protection, and patient safety protocol adherence.</w:t>
      </w:r>
    </w:p>
    <w:p w14:paraId="3B646C45"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Organizational Learning and Continuous Enhancement.</w:t>
      </w:r>
    </w:p>
    <w:p w14:paraId="169A5F1F"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Control data facilitates post-implementation reviews and kaizen improvement activities. Simson describes “diagnostic control systems” as mechanisms that “focus attention on critical performance variables” to maintain strategic direction (Simson, 1995, p. 59). Over time, deviation pattern analysis informs improved planning accuracy, including forecast bias corrections and system redesign initiatives, including process re-engineering.</w:t>
      </w:r>
    </w:p>
    <w:p w14:paraId="3B3FE9C0"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Stakeholder Accountability and Assurance.</w:t>
      </w:r>
    </w:p>
    <w:p w14:paraId="1DF73B2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Investors, regulatory authorities, employees, and customers expect consistent organizational performance. Control systems provide evidentiary support, including audits, KPIs, and quality certifications that demonstrate stakeholder stewardship. Within public services such as the NHS, published performance indicators, including waiting times and infection rates, demonstrate responsible public fund utilization and patient outcome achievement.</w:t>
      </w:r>
    </w:p>
    <w:p w14:paraId="30A4F6D3" w14:textId="0103DDAB" w:rsidR="0041101B" w:rsidRPr="0041101B" w:rsidRDefault="0041101B" w:rsidP="0041101B">
      <w:pPr>
        <w:rPr>
          <w:rFonts w:ascii="Arial" w:hAnsi="Arial" w:cs="Arial"/>
          <w:lang w:val="en-GB" w:eastAsia="en-GB"/>
        </w:rPr>
      </w:pPr>
      <w:r w:rsidRPr="0041101B">
        <w:rPr>
          <w:rFonts w:ascii="Arial" w:hAnsi="Arial" w:cs="Arial"/>
          <w:lang w:val="en-GB" w:eastAsia="en-GB"/>
        </w:rPr>
        <w:t xml:space="preserve">Control importance transcends organizational type—public, private, small-medium enterprises, or multinational corporations—because each faces resource constraints, including budgetary limitations, quality requirements, and </w:t>
      </w:r>
      <w:r w:rsidR="00A253F2" w:rsidRPr="0041101B">
        <w:rPr>
          <w:rFonts w:ascii="Arial" w:hAnsi="Arial" w:cs="Arial"/>
          <w:lang w:val="en-GB" w:eastAsia="en-GB"/>
        </w:rPr>
        <w:t>safety.</w:t>
      </w:r>
      <w:r w:rsidRPr="0041101B">
        <w:rPr>
          <w:rFonts w:ascii="Arial" w:hAnsi="Arial" w:cs="Arial"/>
          <w:lang w:val="en-GB" w:eastAsia="en-GB"/>
        </w:rPr>
        <w:t xml:space="preserve"> McKinsey 7S Alignment Achievement.</w:t>
      </w:r>
    </w:p>
    <w:p w14:paraId="439DC435"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Ensure the control “system” reinforces organizational “shared values” and leadership style alongside stakeholder accountability expectations.  Cultural variations exist, yet the fundamental thing is there is a fundamental need to compare organizational contexts.</w:t>
      </w:r>
    </w:p>
    <w:p w14:paraId="167D1101"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4. Implementation Challenges in Control System.</w:t>
      </w:r>
    </w:p>
    <w:p w14:paraId="57020E7B"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Despite its fundamental importance, control system implementation encounters several recurring obstacles across industry sectors:</w:t>
      </w:r>
    </w:p>
    <w:p w14:paraId="04F26A9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Measurement Complexities and Limitations.</w:t>
      </w:r>
    </w:p>
    <w:p w14:paraId="62EFD78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Strategic objectives frequently involve straightforward quantification. Customer experience quality, innovation effectiveness, and collaborative performance may defy simple metric development. Excessive focus on “measurable elements” can result in gaming </w:t>
      </w:r>
      <w:proofErr w:type="spellStart"/>
      <w:r w:rsidRPr="0041101B">
        <w:rPr>
          <w:rFonts w:ascii="Arial" w:hAnsi="Arial" w:cs="Arial"/>
          <w:lang w:val="en-GB" w:eastAsia="en-GB"/>
        </w:rPr>
        <w:t>behaviors</w:t>
      </w:r>
      <w:proofErr w:type="spellEnd"/>
      <w:r w:rsidRPr="0041101B">
        <w:rPr>
          <w:rFonts w:ascii="Arial" w:hAnsi="Arial" w:cs="Arial"/>
          <w:lang w:val="en-GB" w:eastAsia="en-GB"/>
        </w:rPr>
        <w:t xml:space="preserve"> and neglect of unmeasured yet strategically important outcomes in compliance with (Kaplan and Norton,1992). Healthcare settings demonstrate this challenge, where exclusive concentration on treatment timeframes might overshadow patient-reported outcome measures and satisfaction levels.</w:t>
      </w:r>
    </w:p>
    <w:p w14:paraId="262C4A7C"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Data Quality, Integration, and Timelines Issues.</w:t>
      </w:r>
    </w:p>
    <w:p w14:paraId="0C3234DE"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Fragmented information systems and manual data processing can produce delayed or inaccurate performance information. Multinational supply chain environments such as Apple’s extended supplier networks present synchronization complexities across multiple partners, creating visibility gaps in quality assurance and </w:t>
      </w:r>
      <w:proofErr w:type="spellStart"/>
      <w:r w:rsidRPr="0041101B">
        <w:rPr>
          <w:rFonts w:ascii="Arial" w:hAnsi="Arial" w:cs="Arial"/>
          <w:lang w:val="en-GB" w:eastAsia="en-GB"/>
        </w:rPr>
        <w:t>labor</w:t>
      </w:r>
      <w:proofErr w:type="spellEnd"/>
      <w:r w:rsidRPr="0041101B">
        <w:rPr>
          <w:rFonts w:ascii="Arial" w:hAnsi="Arial" w:cs="Arial"/>
          <w:lang w:val="en-GB" w:eastAsia="en-GB"/>
        </w:rPr>
        <w:t xml:space="preserve"> compliance monitoring activities. Legacy enterprise resource planning (ERP) systems often fail to provide integrated, real-time performance dashboards required for proactive decision-making.</w:t>
      </w:r>
    </w:p>
    <w:p w14:paraId="7D22D680"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w:t>
      </w:r>
      <w:proofErr w:type="spellStart"/>
      <w:r w:rsidRPr="0041101B">
        <w:rPr>
          <w:rFonts w:ascii="Arial" w:hAnsi="Arial" w:cs="Arial"/>
          <w:lang w:val="en-GB" w:eastAsia="en-GB"/>
        </w:rPr>
        <w:t>Behavioral</w:t>
      </w:r>
      <w:proofErr w:type="spellEnd"/>
      <w:r w:rsidRPr="0041101B">
        <w:rPr>
          <w:rFonts w:ascii="Arial" w:hAnsi="Arial" w:cs="Arial"/>
          <w:lang w:val="en-GB" w:eastAsia="en-GB"/>
        </w:rPr>
        <w:t xml:space="preserve"> and Cultural Resistance Factors.</w:t>
      </w:r>
    </w:p>
    <w:p w14:paraId="3C8BF2FF" w14:textId="4726FF8D" w:rsidR="0041101B" w:rsidRPr="0041101B" w:rsidRDefault="0041101B" w:rsidP="0041101B">
      <w:pPr>
        <w:rPr>
          <w:rFonts w:ascii="Arial" w:hAnsi="Arial" w:cs="Arial"/>
          <w:lang w:val="en-GB" w:eastAsia="en-GB"/>
        </w:rPr>
      </w:pPr>
      <w:r w:rsidRPr="0041101B">
        <w:rPr>
          <w:rFonts w:ascii="Arial" w:hAnsi="Arial" w:cs="Arial"/>
          <w:lang w:val="en-GB" w:eastAsia="en-GB"/>
        </w:rPr>
        <w:t xml:space="preserve">Control mechanisms may be perceived as organizational surveillance or management distrust, particularly within cultures characterized by high power distance or collectivist orientations where direct feedback may be suppressed to maintain interpersonal harmony, lining up with (Hofstede, 2001). Employees may engage in metric gaming, forecast padding, or performance sandbagging </w:t>
      </w:r>
      <w:r w:rsidR="003E4D3D" w:rsidRPr="0041101B">
        <w:rPr>
          <w:rFonts w:ascii="Arial" w:hAnsi="Arial" w:cs="Arial"/>
          <w:lang w:val="en-GB" w:eastAsia="en-GB"/>
        </w:rPr>
        <w:t>behaviours</w:t>
      </w:r>
      <w:r w:rsidRPr="0041101B">
        <w:rPr>
          <w:rFonts w:ascii="Arial" w:hAnsi="Arial" w:cs="Arial"/>
          <w:lang w:val="en-GB" w:eastAsia="en-GB"/>
        </w:rPr>
        <w:t>. Sales quota environments can encourage short-term thinking, excessive discounting, or target manipulation practices.</w:t>
      </w:r>
    </w:p>
    <w:p w14:paraId="5FF5FC46"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McKinsey 7S Misalignment Challenges.</w:t>
      </w:r>
    </w:p>
    <w:p w14:paraId="7ADBE8E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When organizational systems, including KPIs and review meetings, fail to align with shared values such as patient-</w:t>
      </w:r>
      <w:proofErr w:type="spellStart"/>
      <w:r w:rsidRPr="0041101B">
        <w:rPr>
          <w:rFonts w:ascii="Arial" w:hAnsi="Arial" w:cs="Arial"/>
          <w:lang w:val="en-GB" w:eastAsia="en-GB"/>
        </w:rPr>
        <w:t>centered</w:t>
      </w:r>
      <w:proofErr w:type="spellEnd"/>
      <w:r w:rsidRPr="0041101B">
        <w:rPr>
          <w:rFonts w:ascii="Arial" w:hAnsi="Arial" w:cs="Arial"/>
          <w:lang w:val="en-GB" w:eastAsia="en-GB"/>
        </w:rPr>
        <w:t xml:space="preserve"> care principles and leadership style </w:t>
      </w:r>
      <w:proofErr w:type="spellStart"/>
      <w:r w:rsidRPr="0041101B">
        <w:rPr>
          <w:rFonts w:ascii="Arial" w:hAnsi="Arial" w:cs="Arial"/>
          <w:lang w:val="en-GB" w:eastAsia="en-GB"/>
        </w:rPr>
        <w:t>behaviors</w:t>
      </w:r>
      <w:proofErr w:type="spellEnd"/>
      <w:r w:rsidRPr="0041101B">
        <w:rPr>
          <w:rFonts w:ascii="Arial" w:hAnsi="Arial" w:cs="Arial"/>
          <w:lang w:val="en-GB" w:eastAsia="en-GB"/>
        </w:rPr>
        <w:t xml:space="preserve">, control mechanisms become ritualistic and lose operational credibility. As suggested by (Peters and Waterman,1982). When leaders emphasize punishment problems rather than surface them for </w:t>
      </w:r>
    </w:p>
    <w:p w14:paraId="61823609"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External Environmental Volatility and Model Obsolescence.</w:t>
      </w:r>
    </w:p>
    <w:p w14:paraId="5B5FF4EC"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PESTLE environmental volatility, including pandemics, supply chain disruption, and regulatory changes, can render historical performance baselines obsolete. Forecasting models experience drift, making variance analysis potentially misleading, as per (Johnson et al.,2017). Grocery retail environments such as Tesco face sudden commodity price fluctuations and new competitive formats identified through Porter’s Five Forces analysis that can invalidate mid-cycle performance targets.</w:t>
      </w:r>
    </w:p>
    <w:p w14:paraId="0B43F308"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Complexity and Administrative Burden.</w:t>
      </w:r>
    </w:p>
    <w:p w14:paraId="48CF1F98"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Excessive control implementation can create bureaucratic overload through too many KPIs, review meetings, and approval processes that slow organizational decision-making. As noted by Ouchi (1980). Demonstrates that over-reliance on bureaucratic control mechanisms can reduce employee autonomy and intrinsic motivation; cultural or clan-based control approaches may prove more suitable for creative and professional work environments.</w:t>
      </w:r>
    </w:p>
    <w:p w14:paraId="4CFBF212"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Ethical Implication and Unintended Consequences.</w:t>
      </w:r>
    </w:p>
    <w:p w14:paraId="78826CEF" w14:textId="5292B590" w:rsidR="0041101B" w:rsidRPr="0041101B" w:rsidRDefault="0041101B" w:rsidP="0041101B">
      <w:pPr>
        <w:rPr>
          <w:rFonts w:ascii="Arial" w:hAnsi="Arial" w:cs="Arial"/>
          <w:lang w:val="en-GB" w:eastAsia="en-GB"/>
        </w:rPr>
      </w:pPr>
      <w:r w:rsidRPr="0041101B">
        <w:rPr>
          <w:rFonts w:ascii="Arial" w:hAnsi="Arial" w:cs="Arial"/>
          <w:lang w:val="en-GB" w:eastAsia="en-GB"/>
        </w:rPr>
        <w:t xml:space="preserve">Narrow target-focused regimes can encourage rule compliance at the expense of organizational purpose, as illustrated by Goodhart’s Law. Logistics operations emphasizing strict productivity rates without ergonomic safeguards may increase workplace injury risks; healthcare systems prioritizing specific targets might shift cases to unmeasured categories to improve apparent performance. These implementation challenges emphasize that control design is a sociotechnical challenge where systematic technical measurement interacts with human </w:t>
      </w:r>
      <w:r w:rsidR="00EA2BA8" w:rsidRPr="0041101B">
        <w:rPr>
          <w:rFonts w:ascii="Arial" w:hAnsi="Arial" w:cs="Arial"/>
          <w:lang w:val="en-GB" w:eastAsia="en-GB"/>
        </w:rPr>
        <w:t>behavioural</w:t>
      </w:r>
      <w:r w:rsidRPr="0041101B">
        <w:rPr>
          <w:rFonts w:ascii="Arial" w:hAnsi="Arial" w:cs="Arial"/>
          <w:lang w:val="en-GB" w:eastAsia="en-GB"/>
        </w:rPr>
        <w:t xml:space="preserve"> patterns and cultural contexts.</w:t>
      </w:r>
    </w:p>
    <w:p w14:paraId="3E9A0935" w14:textId="77777777" w:rsidR="0041101B" w:rsidRPr="0041101B" w:rsidRDefault="0041101B" w:rsidP="0041101B">
      <w:pPr>
        <w:rPr>
          <w:rFonts w:ascii="Arial" w:hAnsi="Arial" w:cs="Arial"/>
          <w:lang w:val="en-GB" w:eastAsia="en-GB"/>
        </w:rPr>
      </w:pPr>
    </w:p>
    <w:p w14:paraId="365FFDD0" w14:textId="77777777" w:rsidR="0041101B" w:rsidRPr="0041101B" w:rsidRDefault="0041101B" w:rsidP="0041101B">
      <w:pPr>
        <w:rPr>
          <w:rFonts w:ascii="Arial" w:hAnsi="Arial" w:cs="Arial"/>
          <w:lang w:val="en-GB" w:eastAsia="en-GB"/>
        </w:rPr>
      </w:pPr>
    </w:p>
    <w:p w14:paraId="1B98D9F3" w14:textId="77777777" w:rsidR="0041101B" w:rsidRPr="0041101B" w:rsidRDefault="0041101B" w:rsidP="0041101B">
      <w:pPr>
        <w:rPr>
          <w:rFonts w:ascii="Arial" w:hAnsi="Arial" w:cs="Arial"/>
          <w:lang w:val="en-GB" w:eastAsia="en-GB"/>
        </w:rPr>
      </w:pPr>
    </w:p>
    <w:p w14:paraId="51EDFA65" w14:textId="77777777" w:rsidR="0041101B" w:rsidRPr="0041101B" w:rsidRDefault="0041101B" w:rsidP="0041101B">
      <w:pPr>
        <w:rPr>
          <w:rFonts w:ascii="Arial" w:hAnsi="Arial" w:cs="Arial"/>
          <w:lang w:val="en-GB" w:eastAsia="en-GB"/>
        </w:rPr>
      </w:pPr>
    </w:p>
    <w:p w14:paraId="31ABDA98" w14:textId="77777777" w:rsidR="0041101B" w:rsidRPr="0041101B" w:rsidRDefault="0041101B" w:rsidP="0041101B">
      <w:pPr>
        <w:rPr>
          <w:rFonts w:ascii="Arial" w:hAnsi="Arial" w:cs="Arial"/>
          <w:lang w:val="en-GB" w:eastAsia="en-GB"/>
        </w:rPr>
      </w:pPr>
    </w:p>
    <w:p w14:paraId="28EDD442"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5. Managerial Strategies for Control Enhancement.</w:t>
      </w:r>
    </w:p>
    <w:p w14:paraId="46F4B60D"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Managers can implement several evidence-based approaches to strengthen control effectiveness while avoiding common implementation pitfalls.</w:t>
      </w:r>
    </w:p>
    <w:p w14:paraId="34F8F4E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Multi-Dimensional Performance Measurement Design (Balanced Scorecard Framework)</w:t>
      </w:r>
    </w:p>
    <w:p w14:paraId="4DD8162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Combine leading and landing performance indicators while blending financial metrics (profit margins, cost-to-serve ratios) with non-financial measures (Net-Promoter Scores, first-time right percentage, employee safety incident rates). Amazon exemplifies this approach by pairing on-time metric optimization tunnel vision highlighted by (Kaplan and Norton,1992).</w:t>
      </w:r>
    </w:p>
    <w:p w14:paraId="75D61CD8"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Strategy Map Development for Causal Clarity.</w:t>
      </w:r>
    </w:p>
    <w:p w14:paraId="321D8C65"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Utilize straightforward cause-and-effect diagrams linking company activities to desired outcomes such as training programs, process capability enhancement-defect reduction, and customer satisfaction improvement. While not constituting causal proof, this approach makes underlying assumptions explicit and facilitates systematic review processes.</w:t>
      </w:r>
    </w:p>
    <w:p w14:paraId="329FD755"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Data Governance and Review Cadence Enhancement.</w:t>
      </w:r>
    </w:p>
    <w:p w14:paraId="3914AD26"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Invest in data quality improvement, including standardized definitions and master data management, near real-time dashboard development, and exception-based alert systems. Toyota’s visual management approach, including Andon systems, enables immediate problem-solving rather than delayed monthly reporting cycles, according to (Liker,2004</w:t>
      </w:r>
      <w:proofErr w:type="gramStart"/>
      <w:r w:rsidRPr="0041101B">
        <w:rPr>
          <w:rFonts w:ascii="Arial" w:hAnsi="Arial" w:cs="Arial"/>
          <w:lang w:val="en-GB" w:eastAsia="en-GB"/>
        </w:rPr>
        <w:t>).</w:t>
      </w:r>
      <w:proofErr w:type="spellStart"/>
      <w:r w:rsidRPr="0041101B">
        <w:rPr>
          <w:rFonts w:ascii="Arial" w:hAnsi="Arial" w:cs="Arial"/>
          <w:lang w:val="en-GB" w:eastAsia="en-GB"/>
        </w:rPr>
        <w:t>Nhs</w:t>
      </w:r>
      <w:proofErr w:type="spellEnd"/>
      <w:proofErr w:type="gramEnd"/>
      <w:r w:rsidRPr="0041101B">
        <w:rPr>
          <w:rFonts w:ascii="Arial" w:hAnsi="Arial" w:cs="Arial"/>
          <w:lang w:val="en-GB" w:eastAsia="en-GB"/>
        </w:rPr>
        <w:t xml:space="preserve"> operational units demonstrate this through daily huddle meetings reviewing safety and patient flow metrics, enabling rapid operational adjustments.</w:t>
      </w:r>
    </w:p>
    <w:p w14:paraId="6943596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McKinsey 7S Alignment Achievement.</w:t>
      </w:r>
    </w:p>
    <w:p w14:paraId="57C9B30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Ensure the control “system” reinforces organizational “shared values” and leadership style </w:t>
      </w:r>
      <w:proofErr w:type="spellStart"/>
      <w:r w:rsidRPr="0041101B">
        <w:rPr>
          <w:rFonts w:ascii="Arial" w:hAnsi="Arial" w:cs="Arial"/>
          <w:lang w:val="en-GB" w:eastAsia="en-GB"/>
        </w:rPr>
        <w:t>behaviors</w:t>
      </w:r>
      <w:proofErr w:type="spellEnd"/>
      <w:r w:rsidRPr="0041101B">
        <w:rPr>
          <w:rFonts w:ascii="Arial" w:hAnsi="Arial" w:cs="Arial"/>
          <w:lang w:val="en-GB" w:eastAsia="en-GB"/>
        </w:rPr>
        <w:t xml:space="preserve">. When “patient safety” represents a shared core value, incorporates leading safety indicators, celebrates speaking-up </w:t>
      </w:r>
      <w:proofErr w:type="spellStart"/>
      <w:r w:rsidRPr="0041101B">
        <w:rPr>
          <w:rFonts w:ascii="Arial" w:hAnsi="Arial" w:cs="Arial"/>
          <w:lang w:val="en-GB" w:eastAsia="en-GB"/>
        </w:rPr>
        <w:t>behaviors</w:t>
      </w:r>
      <w:proofErr w:type="spellEnd"/>
      <w:r w:rsidRPr="0041101B">
        <w:rPr>
          <w:rFonts w:ascii="Arial" w:hAnsi="Arial" w:cs="Arial"/>
          <w:lang w:val="en-GB" w:eastAsia="en-GB"/>
        </w:rPr>
        <w:t xml:space="preserve"> including Freedom to Speak Up Guardian roles, and trains leaders in just-culture approaches that differentiate human error from negligence as observed by (Peters and Waterman,1982).</w:t>
      </w:r>
    </w:p>
    <w:p w14:paraId="6FE557D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Cultural Context Adaptation (Hofstede’s Framework)</w:t>
      </w:r>
    </w:p>
    <w:p w14:paraId="4C671C68"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Within high power-distance cultural environments, standardized escalation protocols establish anonymous feedback channels to surface operational issues. Collectivist team environments benefit from team-level KPI emphasis to leverage group accountability mechanisms; individualist cultures require balanced team and individual metric combinations falling in line with (Hofstede, 2001).</w:t>
      </w:r>
    </w:p>
    <w:p w14:paraId="2AB9AB35"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Integrated Control Type Portfolio (Ouchi; Simons).</w:t>
      </w:r>
    </w:p>
    <w:p w14:paraId="2FE9D989"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Deploy multiple control approaches, including:</w:t>
      </w:r>
    </w:p>
    <w:p w14:paraId="394B28F9"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Bureaucratic controls, including policies and standard operating procedures for compliance and safety requirements.</w:t>
      </w:r>
    </w:p>
    <w:p w14:paraId="136FA7E2" w14:textId="77777777" w:rsidR="0041101B" w:rsidRPr="0041101B" w:rsidRDefault="0041101B" w:rsidP="0041101B">
      <w:pPr>
        <w:rPr>
          <w:rFonts w:ascii="Arial" w:hAnsi="Arial" w:cs="Arial"/>
          <w:lang w:val="en-GB" w:eastAsia="en-GB"/>
        </w:rPr>
      </w:pPr>
    </w:p>
    <w:p w14:paraId="3D885142"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Market controls, including transfer pricing and benchmarking for inter-unit efficiency.</w:t>
      </w:r>
    </w:p>
    <w:p w14:paraId="31A227BF"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Cultural controls including shared </w:t>
      </w:r>
      <w:proofErr w:type="spellStart"/>
      <w:r w:rsidRPr="0041101B">
        <w:rPr>
          <w:rFonts w:ascii="Arial" w:hAnsi="Arial" w:cs="Arial"/>
          <w:lang w:val="en-GB" w:eastAsia="en-GB"/>
        </w:rPr>
        <w:t>behavioral</w:t>
      </w:r>
      <w:proofErr w:type="spellEnd"/>
      <w:r w:rsidRPr="0041101B">
        <w:rPr>
          <w:rFonts w:ascii="Arial" w:hAnsi="Arial" w:cs="Arial"/>
          <w:lang w:val="en-GB" w:eastAsia="en-GB"/>
        </w:rPr>
        <w:t xml:space="preserve"> norms for knowledge-intensive work (Ouchi, 1980).</w:t>
      </w:r>
    </w:p>
    <w:p w14:paraId="34DB8AE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Belief systems, including organizational purpose statements, and interactive controls, including regular strategic uncertainty dialogue to maintain organizational learning (Simons,1995).</w:t>
      </w:r>
    </w:p>
    <w:p w14:paraId="656C8274"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Performance Indicator Optimization and Review Rhythm Design.</w:t>
      </w:r>
    </w:p>
    <w:p w14:paraId="0ED5815F"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Limit KPIs to essential measures per organizational level (typically 5-7 indicators), cascade transparently throughout the organization, and implement tiered meeting rhythms including shift/weekly/monthly reviews with clearly defined decision-making authority.  Tesco store operations frequently utilize daily management walks with a concise dashboard, escalating only exceptional performance variances.</w:t>
      </w:r>
    </w:p>
    <w:p w14:paraId="2FD0DC3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External Volatility Anticipation (PESTEL and Porter’s Framework)</w:t>
      </w:r>
    </w:p>
    <w:p w14:paraId="7A9C5D5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Develop sensitivity analyses and trigger mechanisms when foreign exchange or commodity prices fluctuate beyond predetermined ranges, automatically initiating re-planning processes. Highly competitive market environments identified through Porter’s rivalry analysis require competitor price movement </w:t>
      </w:r>
      <w:proofErr w:type="spellStart"/>
      <w:r w:rsidRPr="0041101B">
        <w:rPr>
          <w:rFonts w:ascii="Arial" w:hAnsi="Arial" w:cs="Arial"/>
          <w:lang w:val="en-GB" w:eastAsia="en-GB"/>
        </w:rPr>
        <w:t>modeling</w:t>
      </w:r>
      <w:proofErr w:type="spellEnd"/>
      <w:r w:rsidRPr="0041101B">
        <w:rPr>
          <w:rFonts w:ascii="Arial" w:hAnsi="Arial" w:cs="Arial"/>
          <w:lang w:val="en-GB" w:eastAsia="en-GB"/>
        </w:rPr>
        <w:t xml:space="preserve"> and predefined response parameters to avoid reactive decision-making.</w:t>
      </w:r>
    </w:p>
    <w:p w14:paraId="5BB54052"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Ethics and Employee Well-being Integration.</w:t>
      </w:r>
    </w:p>
    <w:p w14:paraId="53717DB4"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Incorporate safety, inclusion, and well-being metrics alongside productivity measures to prevent unintended negative consequences. Explicitly communicating that achieving targets through unethical means constitutes performance failure rather than success. Publish performance dashboards to enhance transparency for public service stakeholder communities. </w:t>
      </w:r>
    </w:p>
    <w:p w14:paraId="43F03C28" w14:textId="77777777" w:rsidR="0041101B" w:rsidRPr="0041101B" w:rsidRDefault="0041101B" w:rsidP="0041101B">
      <w:pPr>
        <w:rPr>
          <w:rFonts w:ascii="Arial" w:hAnsi="Arial" w:cs="Arial"/>
          <w:lang w:val="en-GB" w:eastAsia="en-GB"/>
        </w:rPr>
      </w:pPr>
    </w:p>
    <w:p w14:paraId="7240953B" w14:textId="77777777" w:rsidR="0041101B" w:rsidRPr="0041101B" w:rsidRDefault="0041101B" w:rsidP="0041101B">
      <w:pPr>
        <w:rPr>
          <w:rFonts w:ascii="Arial" w:hAnsi="Arial" w:cs="Arial"/>
          <w:lang w:val="en-GB" w:eastAsia="en-GB"/>
        </w:rPr>
      </w:pPr>
    </w:p>
    <w:p w14:paraId="32A9FC4F" w14:textId="77777777" w:rsidR="0041101B" w:rsidRPr="0041101B" w:rsidRDefault="0041101B" w:rsidP="0041101B">
      <w:pPr>
        <w:rPr>
          <w:rFonts w:ascii="Arial" w:hAnsi="Arial" w:cs="Arial"/>
          <w:lang w:val="en-GB" w:eastAsia="en-GB"/>
        </w:rPr>
      </w:pPr>
    </w:p>
    <w:p w14:paraId="3E41308D" w14:textId="77777777" w:rsidR="0041101B" w:rsidRPr="0041101B" w:rsidRDefault="0041101B" w:rsidP="0041101B">
      <w:pPr>
        <w:rPr>
          <w:rFonts w:ascii="Arial" w:hAnsi="Arial" w:cs="Arial"/>
          <w:lang w:val="en-GB" w:eastAsia="en-GB"/>
        </w:rPr>
      </w:pPr>
    </w:p>
    <w:p w14:paraId="65F0607F" w14:textId="77777777" w:rsidR="0041101B" w:rsidRPr="0041101B" w:rsidRDefault="0041101B" w:rsidP="0041101B">
      <w:pPr>
        <w:rPr>
          <w:rFonts w:ascii="Arial" w:hAnsi="Arial" w:cs="Arial"/>
          <w:lang w:val="en-GB" w:eastAsia="en-GB"/>
        </w:rPr>
      </w:pPr>
    </w:p>
    <w:p w14:paraId="51B2C8B8" w14:textId="77777777" w:rsidR="0041101B" w:rsidRPr="0041101B" w:rsidRDefault="0041101B" w:rsidP="0041101B">
      <w:pPr>
        <w:rPr>
          <w:rFonts w:ascii="Arial" w:hAnsi="Arial" w:cs="Arial"/>
          <w:lang w:val="en-GB" w:eastAsia="en-GB"/>
        </w:rPr>
      </w:pPr>
    </w:p>
    <w:p w14:paraId="52CB19DA" w14:textId="77777777" w:rsidR="0041101B" w:rsidRPr="0041101B" w:rsidRDefault="0041101B" w:rsidP="0041101B">
      <w:pPr>
        <w:rPr>
          <w:rFonts w:ascii="Arial" w:hAnsi="Arial" w:cs="Arial"/>
          <w:lang w:val="en-GB" w:eastAsia="en-GB"/>
        </w:rPr>
      </w:pPr>
    </w:p>
    <w:p w14:paraId="54ABA652" w14:textId="77777777" w:rsidR="0041101B" w:rsidRPr="0041101B" w:rsidRDefault="0041101B" w:rsidP="0041101B">
      <w:pPr>
        <w:rPr>
          <w:rFonts w:ascii="Arial" w:hAnsi="Arial" w:cs="Arial"/>
          <w:lang w:val="en-GB" w:eastAsia="en-GB"/>
        </w:rPr>
      </w:pPr>
    </w:p>
    <w:p w14:paraId="581887BB" w14:textId="77777777" w:rsidR="0041101B" w:rsidRPr="0041101B" w:rsidRDefault="0041101B" w:rsidP="0041101B">
      <w:pPr>
        <w:rPr>
          <w:rFonts w:ascii="Arial" w:hAnsi="Arial" w:cs="Arial"/>
          <w:lang w:val="en-GB" w:eastAsia="en-GB"/>
        </w:rPr>
      </w:pPr>
    </w:p>
    <w:p w14:paraId="401BF902" w14:textId="77777777" w:rsidR="0041101B" w:rsidRPr="0041101B" w:rsidRDefault="0041101B" w:rsidP="0041101B">
      <w:pPr>
        <w:rPr>
          <w:rFonts w:ascii="Arial" w:hAnsi="Arial" w:cs="Arial"/>
          <w:lang w:val="en-GB" w:eastAsia="en-GB"/>
        </w:rPr>
      </w:pPr>
    </w:p>
    <w:p w14:paraId="0C2CA708" w14:textId="77777777" w:rsidR="0041101B" w:rsidRPr="0041101B" w:rsidRDefault="0041101B" w:rsidP="0041101B">
      <w:pPr>
        <w:rPr>
          <w:rFonts w:ascii="Arial" w:hAnsi="Arial" w:cs="Arial"/>
          <w:lang w:val="en-GB" w:eastAsia="en-GB"/>
        </w:rPr>
      </w:pPr>
    </w:p>
    <w:p w14:paraId="2810A790"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6. Conclusion.</w:t>
      </w:r>
    </w:p>
    <w:p w14:paraId="21F907FF"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This essay has systematically outlined the four classical management functions while concentrating on controlling as the organizational mechanism ensuring plan translation into measurable outcomes. Control proves essential because it facilitates strategic alignment with operational execution, manages organizational risk and regulatory compliance, promotes operational efficiency, enables systematic learning, and provides stakeholder accountability assurance. However, control implementation presents significant difficulties, including measurement complexities, data quality issues, cultural resistance, environmental volatility, and potential unintended </w:t>
      </w:r>
      <w:proofErr w:type="spellStart"/>
      <w:r w:rsidRPr="0041101B">
        <w:rPr>
          <w:rFonts w:ascii="Arial" w:hAnsi="Arial" w:cs="Arial"/>
          <w:lang w:val="en-GB" w:eastAsia="en-GB"/>
        </w:rPr>
        <w:t>behavioral</w:t>
      </w:r>
      <w:proofErr w:type="spellEnd"/>
      <w:r w:rsidRPr="0041101B">
        <w:rPr>
          <w:rFonts w:ascii="Arial" w:hAnsi="Arial" w:cs="Arial"/>
          <w:lang w:val="en-GB" w:eastAsia="en-GB"/>
        </w:rPr>
        <w:t xml:space="preserve"> consequences.</w:t>
      </w:r>
    </w:p>
    <w:p w14:paraId="69B47C74"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 xml:space="preserve">Managers can address these implementation challenges through multi-dimensional metric adoption, including balanced scorecard methodologies, enhanced data governance, and review cadences.  </w:t>
      </w:r>
      <w:proofErr w:type="gramStart"/>
      <w:r w:rsidRPr="0041101B">
        <w:rPr>
          <w:rFonts w:ascii="Arial" w:hAnsi="Arial" w:cs="Arial"/>
          <w:lang w:val="en-GB" w:eastAsia="en-GB"/>
        </w:rPr>
        <w:t>McKinsey  7S  element</w:t>
      </w:r>
      <w:proofErr w:type="gramEnd"/>
      <w:r w:rsidRPr="0041101B">
        <w:rPr>
          <w:rFonts w:ascii="Arial" w:hAnsi="Arial" w:cs="Arial"/>
          <w:lang w:val="en-GB" w:eastAsia="en-GB"/>
        </w:rPr>
        <w:t xml:space="preserve"> alignment, cultural context adaptation utilizing Hofstede’s framework, performance indicator optimization, and explicit ethics and well-being integration within control systems. Organizational examples from Toyota, Tesco, Apple, Amazon, and NHS demonstrate that while specific performance indicators vary across sectors, the fundamental controlling logic—standard establishment, measurement, comparison, and corrective action—remains consistent across diverse organizational types.</w:t>
      </w:r>
    </w:p>
    <w:p w14:paraId="4C175E88" w14:textId="77777777" w:rsidR="0041101B" w:rsidRPr="0041101B" w:rsidRDefault="0041101B" w:rsidP="0041101B">
      <w:pPr>
        <w:rPr>
          <w:rFonts w:ascii="Arial" w:hAnsi="Arial" w:cs="Arial"/>
          <w:lang w:val="en-GB" w:eastAsia="en-GB"/>
        </w:rPr>
      </w:pPr>
    </w:p>
    <w:p w14:paraId="379272EE" w14:textId="77777777" w:rsidR="0041101B" w:rsidRPr="0041101B" w:rsidRDefault="0041101B" w:rsidP="0041101B">
      <w:pPr>
        <w:rPr>
          <w:rFonts w:ascii="Arial" w:hAnsi="Arial" w:cs="Arial"/>
          <w:lang w:val="en-GB" w:eastAsia="en-GB"/>
        </w:rPr>
      </w:pPr>
    </w:p>
    <w:p w14:paraId="084FE10B" w14:textId="77777777" w:rsidR="0041101B" w:rsidRPr="0041101B" w:rsidRDefault="0041101B" w:rsidP="0041101B">
      <w:pPr>
        <w:rPr>
          <w:rFonts w:ascii="Arial" w:hAnsi="Arial" w:cs="Arial"/>
          <w:lang w:val="en-GB" w:eastAsia="en-GB"/>
        </w:rPr>
      </w:pPr>
    </w:p>
    <w:p w14:paraId="7B790888" w14:textId="77777777" w:rsidR="0041101B" w:rsidRPr="0041101B" w:rsidRDefault="0041101B" w:rsidP="0041101B">
      <w:pPr>
        <w:rPr>
          <w:rFonts w:ascii="Arial" w:hAnsi="Arial" w:cs="Arial"/>
          <w:lang w:val="en-GB" w:eastAsia="en-GB"/>
        </w:rPr>
      </w:pPr>
    </w:p>
    <w:p w14:paraId="6D4949AE" w14:textId="77777777" w:rsidR="0041101B" w:rsidRPr="0041101B" w:rsidRDefault="0041101B" w:rsidP="0041101B">
      <w:pPr>
        <w:rPr>
          <w:rFonts w:ascii="Arial" w:hAnsi="Arial" w:cs="Arial"/>
          <w:lang w:val="en-GB" w:eastAsia="en-GB"/>
        </w:rPr>
      </w:pPr>
    </w:p>
    <w:p w14:paraId="2F9C9737" w14:textId="77777777" w:rsidR="0041101B" w:rsidRPr="0041101B" w:rsidRDefault="0041101B" w:rsidP="0041101B">
      <w:pPr>
        <w:rPr>
          <w:rFonts w:ascii="Arial" w:hAnsi="Arial" w:cs="Arial"/>
          <w:lang w:val="en-GB" w:eastAsia="en-GB"/>
        </w:rPr>
      </w:pPr>
    </w:p>
    <w:p w14:paraId="2561EE53" w14:textId="77777777" w:rsidR="0041101B" w:rsidRPr="0041101B" w:rsidRDefault="0041101B" w:rsidP="0041101B">
      <w:pPr>
        <w:rPr>
          <w:rFonts w:ascii="Arial" w:hAnsi="Arial" w:cs="Arial"/>
          <w:lang w:val="en-GB" w:eastAsia="en-GB"/>
        </w:rPr>
      </w:pPr>
    </w:p>
    <w:p w14:paraId="3900BBB9" w14:textId="77777777" w:rsidR="0041101B" w:rsidRPr="0041101B" w:rsidRDefault="0041101B" w:rsidP="0041101B">
      <w:pPr>
        <w:rPr>
          <w:rFonts w:ascii="Arial" w:hAnsi="Arial" w:cs="Arial"/>
          <w:lang w:val="en-GB" w:eastAsia="en-GB"/>
        </w:rPr>
      </w:pPr>
    </w:p>
    <w:p w14:paraId="6C2E6C51" w14:textId="77777777" w:rsidR="0041101B" w:rsidRPr="0041101B" w:rsidRDefault="0041101B" w:rsidP="0041101B">
      <w:pPr>
        <w:rPr>
          <w:rFonts w:ascii="Arial" w:hAnsi="Arial" w:cs="Arial"/>
          <w:lang w:val="en-GB" w:eastAsia="en-GB"/>
        </w:rPr>
      </w:pPr>
    </w:p>
    <w:p w14:paraId="4BFE3D89" w14:textId="77777777" w:rsidR="0041101B" w:rsidRPr="0041101B" w:rsidRDefault="0041101B" w:rsidP="0041101B">
      <w:pPr>
        <w:rPr>
          <w:rFonts w:ascii="Arial" w:hAnsi="Arial" w:cs="Arial"/>
          <w:lang w:val="en-GB" w:eastAsia="en-GB"/>
        </w:rPr>
      </w:pPr>
    </w:p>
    <w:p w14:paraId="738B9000" w14:textId="77777777" w:rsidR="0041101B" w:rsidRPr="0041101B" w:rsidRDefault="0041101B" w:rsidP="0041101B">
      <w:pPr>
        <w:rPr>
          <w:rFonts w:ascii="Arial" w:hAnsi="Arial" w:cs="Arial"/>
          <w:lang w:val="en-GB" w:eastAsia="en-GB"/>
        </w:rPr>
      </w:pPr>
    </w:p>
    <w:p w14:paraId="4C204B08" w14:textId="77777777" w:rsidR="0041101B" w:rsidRPr="0041101B" w:rsidRDefault="0041101B" w:rsidP="0041101B">
      <w:pPr>
        <w:rPr>
          <w:rFonts w:ascii="Arial" w:hAnsi="Arial" w:cs="Arial"/>
          <w:lang w:val="en-GB" w:eastAsia="en-GB"/>
        </w:rPr>
      </w:pPr>
    </w:p>
    <w:p w14:paraId="0DEB55A4" w14:textId="77777777" w:rsidR="0041101B" w:rsidRPr="0041101B" w:rsidRDefault="0041101B" w:rsidP="0041101B">
      <w:pPr>
        <w:rPr>
          <w:rFonts w:ascii="Arial" w:hAnsi="Arial" w:cs="Arial"/>
          <w:lang w:val="en-GB" w:eastAsia="en-GB"/>
        </w:rPr>
      </w:pPr>
    </w:p>
    <w:p w14:paraId="18411EFE" w14:textId="77777777" w:rsidR="0041101B" w:rsidRPr="0041101B" w:rsidRDefault="0041101B" w:rsidP="0041101B">
      <w:pPr>
        <w:rPr>
          <w:rFonts w:ascii="Arial" w:hAnsi="Arial" w:cs="Arial"/>
          <w:lang w:val="en-GB" w:eastAsia="en-GB"/>
        </w:rPr>
      </w:pPr>
    </w:p>
    <w:p w14:paraId="154EA269" w14:textId="77777777" w:rsidR="0041101B" w:rsidRPr="0041101B" w:rsidRDefault="0041101B" w:rsidP="0041101B">
      <w:pPr>
        <w:rPr>
          <w:rFonts w:ascii="Arial" w:hAnsi="Arial" w:cs="Arial"/>
          <w:lang w:val="en-GB" w:eastAsia="en-GB"/>
        </w:rPr>
      </w:pPr>
    </w:p>
    <w:p w14:paraId="04B9491A" w14:textId="77777777" w:rsidR="0041101B" w:rsidRPr="0041101B" w:rsidRDefault="0041101B" w:rsidP="0041101B">
      <w:pPr>
        <w:rPr>
          <w:rFonts w:ascii="Arial" w:hAnsi="Arial" w:cs="Arial"/>
          <w:lang w:val="en-GB" w:eastAsia="en-GB"/>
        </w:rPr>
      </w:pPr>
    </w:p>
    <w:p w14:paraId="5B5DD87A" w14:textId="672354DA" w:rsidR="0041101B" w:rsidRPr="0041101B" w:rsidRDefault="0041101B" w:rsidP="0041101B">
      <w:pPr>
        <w:rPr>
          <w:rFonts w:ascii="Arial" w:hAnsi="Arial" w:cs="Arial"/>
          <w:lang w:val="en-GB" w:eastAsia="en-GB"/>
        </w:rPr>
      </w:pPr>
      <w:r w:rsidRPr="0041101B">
        <w:rPr>
          <w:rFonts w:ascii="Arial" w:hAnsi="Arial" w:cs="Arial"/>
          <w:lang w:val="en-GB" w:eastAsia="en-GB"/>
        </w:rPr>
        <w:t>7. References.</w:t>
      </w:r>
    </w:p>
    <w:p w14:paraId="352DF7ED" w14:textId="77777777" w:rsidR="000C334A" w:rsidRDefault="0041101B" w:rsidP="0041101B">
      <w:pPr>
        <w:rPr>
          <w:rFonts w:ascii="Arial" w:hAnsi="Arial" w:cs="Arial"/>
          <w:lang w:val="en-GB" w:eastAsia="en-GB"/>
        </w:rPr>
      </w:pPr>
      <w:r w:rsidRPr="0041101B">
        <w:rPr>
          <w:rFonts w:ascii="Arial" w:hAnsi="Arial" w:cs="Arial"/>
          <w:lang w:val="en-GB" w:eastAsia="en-GB"/>
        </w:rPr>
        <w:t>Aguilar, F.J. (1967) Looking at the Business Environment. Macmillan in New York.</w:t>
      </w:r>
    </w:p>
    <w:p w14:paraId="43C627B1" w14:textId="559B010F" w:rsidR="0041101B" w:rsidRPr="0041101B" w:rsidRDefault="0041101B" w:rsidP="0041101B">
      <w:pPr>
        <w:rPr>
          <w:rFonts w:ascii="Arial" w:hAnsi="Arial" w:cs="Arial"/>
          <w:lang w:val="en-GB" w:eastAsia="en-GB"/>
        </w:rPr>
      </w:pPr>
      <w:r w:rsidRPr="0041101B">
        <w:rPr>
          <w:rFonts w:ascii="Arial" w:hAnsi="Arial" w:cs="Arial"/>
          <w:lang w:val="en-GB" w:eastAsia="en-GB"/>
        </w:rPr>
        <w:t>Bass, B.M. (1985) Leadership and Performance Beyond Expectations. Free Press, New York</w:t>
      </w:r>
      <w:r w:rsidR="000C334A">
        <w:rPr>
          <w:rFonts w:ascii="Arial" w:hAnsi="Arial" w:cs="Arial"/>
          <w:lang w:val="en-GB" w:eastAsia="en-GB"/>
        </w:rPr>
        <w:t>.</w:t>
      </w:r>
    </w:p>
    <w:p w14:paraId="6B6CF0D5" w14:textId="337E138D" w:rsidR="0041101B" w:rsidRPr="0041101B" w:rsidRDefault="0041101B" w:rsidP="0041101B">
      <w:pPr>
        <w:rPr>
          <w:rFonts w:ascii="Arial" w:hAnsi="Arial" w:cs="Arial"/>
          <w:lang w:val="en-GB" w:eastAsia="en-GB"/>
        </w:rPr>
      </w:pPr>
      <w:r w:rsidRPr="0041101B">
        <w:rPr>
          <w:rFonts w:ascii="Arial" w:hAnsi="Arial" w:cs="Arial"/>
          <w:lang w:val="en-GB" w:eastAsia="en-GB"/>
        </w:rPr>
        <w:t>Burns, J.M. (1978). Leadership. Harper &amp; Row, New York.</w:t>
      </w:r>
    </w:p>
    <w:p w14:paraId="7A84FB14" w14:textId="38838C36" w:rsidR="0041101B" w:rsidRPr="0041101B" w:rsidRDefault="0041101B" w:rsidP="0041101B">
      <w:pPr>
        <w:rPr>
          <w:rFonts w:ascii="Arial" w:hAnsi="Arial" w:cs="Arial"/>
          <w:lang w:val="en-GB" w:eastAsia="en-GB"/>
        </w:rPr>
      </w:pPr>
      <w:r w:rsidRPr="0041101B">
        <w:rPr>
          <w:rFonts w:ascii="Arial" w:hAnsi="Arial" w:cs="Arial"/>
          <w:lang w:val="en-GB" w:eastAsia="en-GB"/>
        </w:rPr>
        <w:t>The Committee of Sponsoring Organizations of the Treadway Commission (COSO) published the book "Internal Control—Integrated Framework" in 2013. AICPA in Durham, N.</w:t>
      </w:r>
    </w:p>
    <w:p w14:paraId="76608DD1" w14:textId="54BE0F0F" w:rsidR="0041101B" w:rsidRPr="0041101B" w:rsidRDefault="0041101B" w:rsidP="0041101B">
      <w:pPr>
        <w:rPr>
          <w:rFonts w:ascii="Arial" w:hAnsi="Arial" w:cs="Arial"/>
          <w:lang w:val="en-GB" w:eastAsia="en-GB"/>
        </w:rPr>
      </w:pPr>
      <w:r w:rsidRPr="0041101B">
        <w:rPr>
          <w:rFonts w:ascii="Arial" w:hAnsi="Arial" w:cs="Arial"/>
          <w:lang w:val="en-GB" w:eastAsia="en-GB"/>
        </w:rPr>
        <w:t>Daft, R.L. (2021) Management. 14th end. Boston, MA: Cengage Learning.</w:t>
      </w:r>
    </w:p>
    <w:p w14:paraId="77DE09BC" w14:textId="1668AD5D" w:rsidR="0041101B" w:rsidRPr="0041101B" w:rsidRDefault="0041101B" w:rsidP="0041101B">
      <w:pPr>
        <w:rPr>
          <w:rFonts w:ascii="Arial" w:hAnsi="Arial" w:cs="Arial"/>
          <w:lang w:val="en-GB" w:eastAsia="en-GB"/>
        </w:rPr>
      </w:pPr>
      <w:r w:rsidRPr="0041101B">
        <w:rPr>
          <w:rFonts w:ascii="Arial" w:hAnsi="Arial" w:cs="Arial"/>
          <w:lang w:val="en-GB" w:eastAsia="en-GB"/>
        </w:rPr>
        <w:t>The Practice of Management by Drucker, P.F. (1954). Harper &amp; Brothers in New York.</w:t>
      </w:r>
    </w:p>
    <w:p w14:paraId="1C286583"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Fayol, H. (1949) Management in General and in Industry. Pitman in London.</w:t>
      </w:r>
    </w:p>
    <w:p w14:paraId="0FE1DBBE" w14:textId="6E646CDD" w:rsidR="0041101B" w:rsidRPr="0041101B" w:rsidRDefault="0041101B" w:rsidP="0041101B">
      <w:pPr>
        <w:rPr>
          <w:rFonts w:ascii="Arial" w:hAnsi="Arial" w:cs="Arial"/>
          <w:lang w:val="en-GB" w:eastAsia="en-GB"/>
        </w:rPr>
      </w:pPr>
      <w:r w:rsidRPr="0041101B">
        <w:rPr>
          <w:rFonts w:ascii="Arial" w:hAnsi="Arial" w:cs="Arial"/>
          <w:lang w:val="en-GB" w:eastAsia="en-GB"/>
        </w:rPr>
        <w:t xml:space="preserve"> "Con</w:t>
      </w:r>
      <w:r w:rsidR="000C334A">
        <w:rPr>
          <w:rFonts w:ascii="Arial" w:hAnsi="Arial" w:cs="Arial"/>
          <w:lang w:val="en-GB" w:eastAsia="en-GB"/>
        </w:rPr>
        <w:t>t</w:t>
      </w:r>
      <w:r w:rsidRPr="0041101B">
        <w:rPr>
          <w:rFonts w:ascii="Arial" w:hAnsi="Arial" w:cs="Arial"/>
          <w:lang w:val="en-GB" w:eastAsia="en-GB"/>
        </w:rPr>
        <w:t>rol means checking to see if everything is going according to plan" (p. 107).</w:t>
      </w:r>
    </w:p>
    <w:p w14:paraId="66B7BC8C" w14:textId="0C307AA9" w:rsidR="0041101B" w:rsidRPr="0041101B" w:rsidRDefault="0041101B" w:rsidP="0041101B">
      <w:pPr>
        <w:rPr>
          <w:rFonts w:ascii="Arial" w:hAnsi="Arial" w:cs="Arial"/>
          <w:lang w:val="en-GB" w:eastAsia="en-GB"/>
        </w:rPr>
      </w:pPr>
      <w:r w:rsidRPr="0041101B">
        <w:rPr>
          <w:rFonts w:ascii="Arial" w:hAnsi="Arial" w:cs="Arial"/>
          <w:lang w:val="en-GB" w:eastAsia="en-GB"/>
        </w:rPr>
        <w:t xml:space="preserve">Hofstede, G. (2001) Culture's Consequences: Comparing Values, </w:t>
      </w:r>
      <w:r w:rsidR="00A253F2" w:rsidRPr="0041101B">
        <w:rPr>
          <w:rFonts w:ascii="Arial" w:hAnsi="Arial" w:cs="Arial"/>
          <w:lang w:val="en-GB" w:eastAsia="en-GB"/>
        </w:rPr>
        <w:t>Behaviours</w:t>
      </w:r>
      <w:r w:rsidRPr="0041101B">
        <w:rPr>
          <w:rFonts w:ascii="Arial" w:hAnsi="Arial" w:cs="Arial"/>
          <w:lang w:val="en-GB" w:eastAsia="en-GB"/>
        </w:rPr>
        <w:t>, Institutions, and Organizations Across Nations. 2nd end. Thousand Oaks, CA: Sage Publications.</w:t>
      </w:r>
    </w:p>
    <w:p w14:paraId="31C92D5D" w14:textId="77777777" w:rsidR="0041101B" w:rsidRPr="0041101B" w:rsidRDefault="0041101B" w:rsidP="0041101B">
      <w:pPr>
        <w:rPr>
          <w:rFonts w:ascii="Arial" w:hAnsi="Arial" w:cs="Arial"/>
          <w:lang w:val="en-GB" w:eastAsia="en-GB"/>
        </w:rPr>
      </w:pPr>
    </w:p>
    <w:p w14:paraId="1AEC47F1" w14:textId="373E4714" w:rsidR="0041101B" w:rsidRPr="0041101B" w:rsidRDefault="0041101B" w:rsidP="0041101B">
      <w:pPr>
        <w:rPr>
          <w:rFonts w:ascii="Arial" w:hAnsi="Arial" w:cs="Arial"/>
          <w:lang w:val="en-GB" w:eastAsia="en-GB"/>
        </w:rPr>
      </w:pPr>
      <w:r w:rsidRPr="0041101B">
        <w:rPr>
          <w:rFonts w:ascii="Arial" w:hAnsi="Arial" w:cs="Arial"/>
          <w:lang w:val="en-GB" w:eastAsia="en-GB"/>
        </w:rPr>
        <w:t>Johnson, G., Whittington, R., Scholes, K., Angwin, D., and Regner, P. (2017) Investigating Strategy. 11th end. Harlow: Pearson Education.</w:t>
      </w:r>
    </w:p>
    <w:p w14:paraId="49BE3332" w14:textId="2FC10C63" w:rsidR="0041101B" w:rsidRPr="0041101B" w:rsidRDefault="0041101B" w:rsidP="0041101B">
      <w:pPr>
        <w:rPr>
          <w:rFonts w:ascii="Arial" w:hAnsi="Arial" w:cs="Arial"/>
          <w:lang w:val="en-GB" w:eastAsia="en-GB"/>
        </w:rPr>
      </w:pPr>
      <w:r w:rsidRPr="0041101B">
        <w:rPr>
          <w:rFonts w:ascii="Arial" w:hAnsi="Arial" w:cs="Arial"/>
          <w:lang w:val="en-GB" w:eastAsia="en-GB"/>
        </w:rPr>
        <w:t>Kaplan, R.S. and Norton, D.P. (1992) "The Balanced Scorecard—Measures That Drive Performance," Harvard Business Review, 70(1), pp. 71–79.</w:t>
      </w:r>
    </w:p>
    <w:p w14:paraId="54BA83D4" w14:textId="7F9CA571" w:rsidR="0041101B" w:rsidRPr="0041101B" w:rsidRDefault="0041101B" w:rsidP="0041101B">
      <w:pPr>
        <w:rPr>
          <w:rFonts w:ascii="Arial" w:hAnsi="Arial" w:cs="Arial"/>
          <w:lang w:val="en-GB" w:eastAsia="en-GB"/>
        </w:rPr>
      </w:pPr>
      <w:r w:rsidRPr="0041101B">
        <w:rPr>
          <w:rFonts w:ascii="Arial" w:hAnsi="Arial" w:cs="Arial"/>
          <w:lang w:val="en-GB" w:eastAsia="en-GB"/>
        </w:rPr>
        <w:t>Kaplan, R.S. and Norton, D.P. (2004) Strategy Maps: Transforming Intangible Assets into Tangible Results. Harvard Business School Press, Boston, MA.</w:t>
      </w:r>
    </w:p>
    <w:p w14:paraId="11AE10D6" w14:textId="6E7F892A" w:rsidR="0041101B" w:rsidRPr="0041101B" w:rsidRDefault="0041101B" w:rsidP="0041101B">
      <w:pPr>
        <w:rPr>
          <w:rFonts w:ascii="Arial" w:hAnsi="Arial" w:cs="Arial"/>
          <w:lang w:val="en-GB" w:eastAsia="en-GB"/>
        </w:rPr>
      </w:pPr>
      <w:r w:rsidRPr="0041101B">
        <w:rPr>
          <w:rFonts w:ascii="Arial" w:hAnsi="Arial" w:cs="Arial"/>
          <w:lang w:val="en-GB" w:eastAsia="en-GB"/>
        </w:rPr>
        <w:t>Liker, J.K. (2004). The Toyota Way: 14 Management Principles from the World's Greatest Manufacturer. McGraw-Hill Education, New York.</w:t>
      </w:r>
    </w:p>
    <w:p w14:paraId="72595F4A" w14:textId="4D9D87AD" w:rsidR="0041101B" w:rsidRPr="0041101B" w:rsidRDefault="0041101B" w:rsidP="0041101B">
      <w:pPr>
        <w:rPr>
          <w:rFonts w:ascii="Arial" w:hAnsi="Arial" w:cs="Arial"/>
          <w:lang w:val="en-GB" w:eastAsia="en-GB"/>
        </w:rPr>
      </w:pPr>
      <w:r w:rsidRPr="0041101B">
        <w:rPr>
          <w:rFonts w:ascii="Arial" w:hAnsi="Arial" w:cs="Arial"/>
          <w:lang w:val="en-GB" w:eastAsia="en-GB"/>
        </w:rPr>
        <w:t>Ouchi, W.G. (1980) "Markets, Bureaucracies, and Clans," Administrative Science Quarterly, 25(1), pp. 129–141.</w:t>
      </w:r>
    </w:p>
    <w:p w14:paraId="69A994D7" w14:textId="77777777" w:rsidR="0041101B" w:rsidRPr="0041101B" w:rsidRDefault="0041101B" w:rsidP="0041101B">
      <w:pPr>
        <w:rPr>
          <w:rFonts w:ascii="Arial" w:hAnsi="Arial" w:cs="Arial"/>
          <w:lang w:val="en-GB" w:eastAsia="en-GB"/>
        </w:rPr>
      </w:pPr>
      <w:r w:rsidRPr="0041101B">
        <w:rPr>
          <w:rFonts w:ascii="Arial" w:hAnsi="Arial" w:cs="Arial"/>
          <w:lang w:val="en-GB" w:eastAsia="en-GB"/>
        </w:rPr>
        <w:t>Peters, T.J. and Waterman, R.H. (1982) In Search of Excellence: Lessons from America's Best-Run Companies. Harper &amp; Row, New York.</w:t>
      </w:r>
    </w:p>
    <w:p w14:paraId="29BFD8CB" w14:textId="77777777" w:rsidR="0041101B" w:rsidRPr="0041101B" w:rsidRDefault="0041101B" w:rsidP="0041101B">
      <w:pPr>
        <w:rPr>
          <w:rFonts w:ascii="Arial" w:hAnsi="Arial" w:cs="Arial"/>
          <w:lang w:val="en-GB" w:eastAsia="en-GB"/>
        </w:rPr>
      </w:pPr>
    </w:p>
    <w:p w14:paraId="3FECB1AC" w14:textId="77777777" w:rsidR="0041101B" w:rsidRPr="0041101B" w:rsidRDefault="0041101B" w:rsidP="0041101B">
      <w:pPr>
        <w:rPr>
          <w:rFonts w:ascii="Arial" w:hAnsi="Arial" w:cs="Arial"/>
          <w:lang w:val="en-GB" w:eastAsia="en-GB"/>
        </w:rPr>
      </w:pPr>
    </w:p>
    <w:p w14:paraId="7668E9B9" w14:textId="77777777" w:rsidR="0041101B" w:rsidRPr="0041101B" w:rsidRDefault="0041101B" w:rsidP="0041101B">
      <w:pPr>
        <w:rPr>
          <w:rFonts w:ascii="Arial" w:hAnsi="Arial" w:cs="Arial"/>
          <w:lang w:val="en-GB" w:eastAsia="en-GB"/>
        </w:rPr>
      </w:pPr>
    </w:p>
    <w:p w14:paraId="31DB6108" w14:textId="77777777" w:rsidR="0041101B" w:rsidRPr="0041101B" w:rsidRDefault="0041101B" w:rsidP="0041101B">
      <w:pPr>
        <w:rPr>
          <w:rFonts w:ascii="Arial" w:hAnsi="Arial" w:cs="Arial"/>
          <w:lang w:val="en-GB" w:eastAsia="en-GB"/>
        </w:rPr>
      </w:pPr>
    </w:p>
    <w:p w14:paraId="48264F71" w14:textId="77777777" w:rsidR="0041101B" w:rsidRPr="0041101B" w:rsidRDefault="0041101B" w:rsidP="0041101B">
      <w:pPr>
        <w:rPr>
          <w:rFonts w:ascii="Arial" w:hAnsi="Arial" w:cs="Arial"/>
          <w:lang w:val="en-GB" w:eastAsia="en-GB"/>
        </w:rPr>
      </w:pPr>
    </w:p>
    <w:p w14:paraId="00C26C3C" w14:textId="77777777" w:rsidR="0041101B" w:rsidRPr="0041101B" w:rsidRDefault="0041101B" w:rsidP="0041101B">
      <w:pPr>
        <w:rPr>
          <w:rFonts w:ascii="Arial" w:hAnsi="Arial" w:cs="Arial"/>
          <w:lang w:val="en-GB" w:eastAsia="en-GB"/>
        </w:rPr>
      </w:pPr>
    </w:p>
    <w:p w14:paraId="3DBEE688" w14:textId="77777777" w:rsidR="0041101B" w:rsidRPr="0041101B" w:rsidRDefault="0041101B" w:rsidP="0041101B">
      <w:pPr>
        <w:rPr>
          <w:rFonts w:ascii="Arial" w:hAnsi="Arial" w:cs="Arial"/>
          <w:lang w:val="en-GB" w:eastAsia="en-GB"/>
        </w:rPr>
      </w:pPr>
    </w:p>
    <w:p w14:paraId="5F9EB3BE" w14:textId="77777777" w:rsidR="0041101B" w:rsidRPr="0041101B" w:rsidRDefault="0041101B" w:rsidP="0041101B">
      <w:pPr>
        <w:rPr>
          <w:rFonts w:ascii="Arial" w:hAnsi="Arial" w:cs="Arial"/>
          <w:lang w:val="en-GB" w:eastAsia="en-GB"/>
        </w:rPr>
      </w:pPr>
    </w:p>
    <w:p w14:paraId="66625823" w14:textId="77777777" w:rsidR="0041101B" w:rsidRPr="0041101B" w:rsidRDefault="0041101B" w:rsidP="0041101B">
      <w:pPr>
        <w:rPr>
          <w:rFonts w:ascii="Arial" w:hAnsi="Arial" w:cs="Arial"/>
          <w:lang w:val="en-GB" w:eastAsia="en-GB"/>
        </w:rPr>
      </w:pPr>
    </w:p>
    <w:p w14:paraId="65DC27EE" w14:textId="77777777" w:rsidR="0041101B" w:rsidRPr="0041101B" w:rsidRDefault="0041101B" w:rsidP="0041101B">
      <w:pPr>
        <w:rPr>
          <w:rFonts w:ascii="Arial" w:hAnsi="Arial" w:cs="Arial"/>
          <w:lang w:val="en-GB" w:eastAsia="en-GB"/>
        </w:rPr>
      </w:pPr>
    </w:p>
    <w:p w14:paraId="49F4C0E8" w14:textId="77777777" w:rsidR="0041101B" w:rsidRPr="0041101B" w:rsidRDefault="0041101B" w:rsidP="0041101B">
      <w:pPr>
        <w:rPr>
          <w:rFonts w:ascii="Arial" w:hAnsi="Arial" w:cs="Arial"/>
          <w:lang w:val="en-GB" w:eastAsia="en-GB"/>
        </w:rPr>
      </w:pPr>
    </w:p>
    <w:p w14:paraId="4D997041" w14:textId="77777777" w:rsidR="0041101B" w:rsidRPr="0041101B" w:rsidRDefault="0041101B" w:rsidP="0041101B">
      <w:pPr>
        <w:rPr>
          <w:rFonts w:ascii="Arial" w:hAnsi="Arial" w:cs="Arial"/>
          <w:lang w:val="en-GB" w:eastAsia="en-GB"/>
        </w:rPr>
      </w:pPr>
    </w:p>
    <w:p w14:paraId="12743DA4" w14:textId="77777777" w:rsidR="0041101B" w:rsidRPr="0041101B" w:rsidRDefault="0041101B" w:rsidP="0041101B">
      <w:pPr>
        <w:rPr>
          <w:rFonts w:ascii="Arial" w:hAnsi="Arial" w:cs="Arial"/>
          <w:lang w:val="en-GB" w:eastAsia="en-GB"/>
        </w:rPr>
      </w:pPr>
    </w:p>
    <w:p w14:paraId="106D6FC2" w14:textId="77777777" w:rsidR="0041101B" w:rsidRPr="0041101B" w:rsidRDefault="0041101B" w:rsidP="0041101B">
      <w:pPr>
        <w:rPr>
          <w:rFonts w:ascii="Arial" w:hAnsi="Arial" w:cs="Arial"/>
          <w:lang w:val="en-GB" w:eastAsia="en-GB"/>
        </w:rPr>
      </w:pPr>
    </w:p>
    <w:p w14:paraId="51651B46" w14:textId="77777777" w:rsidR="0041101B" w:rsidRPr="0041101B" w:rsidRDefault="0041101B" w:rsidP="0041101B">
      <w:pPr>
        <w:rPr>
          <w:rFonts w:ascii="Arial" w:hAnsi="Arial" w:cs="Arial"/>
          <w:lang w:val="en-GB" w:eastAsia="en-GB"/>
        </w:rPr>
      </w:pPr>
    </w:p>
    <w:p w14:paraId="2ED4364E" w14:textId="77777777" w:rsidR="0041101B" w:rsidRPr="0041101B" w:rsidRDefault="0041101B" w:rsidP="0041101B">
      <w:pPr>
        <w:rPr>
          <w:rFonts w:ascii="Arial" w:hAnsi="Arial" w:cs="Arial"/>
          <w:lang w:val="en-GB" w:eastAsia="en-GB"/>
        </w:rPr>
      </w:pPr>
    </w:p>
    <w:p w14:paraId="1E341B11" w14:textId="77777777" w:rsidR="0041101B" w:rsidRPr="0041101B" w:rsidRDefault="0041101B" w:rsidP="0041101B">
      <w:pPr>
        <w:rPr>
          <w:rFonts w:ascii="Arial" w:hAnsi="Arial" w:cs="Arial"/>
          <w:lang w:val="en-GB" w:eastAsia="en-GB"/>
        </w:rPr>
      </w:pPr>
    </w:p>
    <w:p w14:paraId="4FFF0EA7" w14:textId="77777777" w:rsidR="0041101B" w:rsidRPr="0041101B" w:rsidRDefault="0041101B" w:rsidP="0041101B">
      <w:pPr>
        <w:rPr>
          <w:rFonts w:ascii="Arial" w:hAnsi="Arial" w:cs="Arial"/>
          <w:lang w:val="en-GB" w:eastAsia="en-GB"/>
        </w:rPr>
      </w:pPr>
    </w:p>
    <w:p w14:paraId="06E1EE58" w14:textId="77777777" w:rsidR="0041101B" w:rsidRPr="0041101B" w:rsidRDefault="0041101B" w:rsidP="0041101B">
      <w:pPr>
        <w:rPr>
          <w:rFonts w:ascii="Arial" w:hAnsi="Arial" w:cs="Arial"/>
          <w:lang w:val="en-GB" w:eastAsia="en-GB"/>
        </w:rPr>
      </w:pPr>
    </w:p>
    <w:p w14:paraId="248158FF" w14:textId="77777777" w:rsidR="0041101B" w:rsidRPr="0041101B" w:rsidRDefault="0041101B" w:rsidP="0041101B">
      <w:pPr>
        <w:rPr>
          <w:rFonts w:ascii="Arial" w:hAnsi="Arial" w:cs="Arial"/>
          <w:lang w:val="en-GB" w:eastAsia="en-GB"/>
        </w:rPr>
      </w:pPr>
    </w:p>
    <w:p w14:paraId="113FFCDD" w14:textId="77777777" w:rsidR="0041101B" w:rsidRPr="0041101B" w:rsidRDefault="0041101B" w:rsidP="0041101B">
      <w:pPr>
        <w:rPr>
          <w:rFonts w:ascii="Arial" w:hAnsi="Arial" w:cs="Arial"/>
          <w:lang w:val="en-GB" w:eastAsia="en-GB"/>
        </w:rPr>
      </w:pPr>
    </w:p>
    <w:p w14:paraId="5ED47609" w14:textId="77777777" w:rsidR="0041101B" w:rsidRPr="0041101B" w:rsidRDefault="0041101B" w:rsidP="0041101B">
      <w:pPr>
        <w:rPr>
          <w:rFonts w:ascii="Arial" w:hAnsi="Arial" w:cs="Arial"/>
          <w:lang w:val="en-GB" w:eastAsia="en-GB"/>
        </w:rPr>
      </w:pPr>
    </w:p>
    <w:p w14:paraId="17C1299D" w14:textId="77777777" w:rsidR="0041101B" w:rsidRPr="0041101B" w:rsidRDefault="0041101B" w:rsidP="0041101B">
      <w:pPr>
        <w:rPr>
          <w:rFonts w:ascii="Arial" w:hAnsi="Arial" w:cs="Arial"/>
          <w:lang w:val="en-GB" w:eastAsia="en-GB"/>
        </w:rPr>
      </w:pPr>
    </w:p>
    <w:p w14:paraId="6866268D" w14:textId="77777777" w:rsidR="0041101B" w:rsidRPr="0041101B" w:rsidRDefault="0041101B" w:rsidP="0041101B">
      <w:pPr>
        <w:rPr>
          <w:rFonts w:ascii="Arial" w:hAnsi="Arial" w:cs="Arial"/>
          <w:lang w:val="en-GB" w:eastAsia="en-GB"/>
        </w:rPr>
      </w:pPr>
    </w:p>
    <w:p w14:paraId="31E1EA1B" w14:textId="77777777" w:rsidR="0041101B" w:rsidRPr="0041101B" w:rsidRDefault="0041101B" w:rsidP="0041101B">
      <w:pPr>
        <w:rPr>
          <w:rFonts w:ascii="Arial" w:hAnsi="Arial" w:cs="Arial"/>
          <w:lang w:val="en-GB" w:eastAsia="en-GB"/>
        </w:rPr>
      </w:pPr>
    </w:p>
    <w:p w14:paraId="42DEE374" w14:textId="77777777" w:rsidR="0041101B" w:rsidRPr="0041101B" w:rsidRDefault="0041101B" w:rsidP="0041101B">
      <w:pPr>
        <w:rPr>
          <w:rFonts w:ascii="Arial" w:hAnsi="Arial" w:cs="Arial"/>
          <w:lang w:val="en-GB" w:eastAsia="en-GB"/>
        </w:rPr>
      </w:pPr>
    </w:p>
    <w:p w14:paraId="7BC8A437" w14:textId="77777777" w:rsidR="0041101B" w:rsidRPr="0041101B" w:rsidRDefault="0041101B" w:rsidP="0041101B">
      <w:pPr>
        <w:rPr>
          <w:rFonts w:ascii="Arial" w:hAnsi="Arial" w:cs="Arial"/>
          <w:lang w:val="en-GB" w:eastAsia="en-GB"/>
        </w:rPr>
      </w:pPr>
    </w:p>
    <w:p w14:paraId="5B50D255" w14:textId="77777777" w:rsidR="0041101B" w:rsidRPr="0041101B" w:rsidRDefault="0041101B" w:rsidP="0041101B">
      <w:pPr>
        <w:rPr>
          <w:rFonts w:ascii="Arial" w:hAnsi="Arial" w:cs="Arial"/>
          <w:lang w:val="en-GB" w:eastAsia="en-GB"/>
        </w:rPr>
      </w:pPr>
    </w:p>
    <w:p w14:paraId="253FA250" w14:textId="77777777" w:rsidR="0068695C" w:rsidRPr="00A436CB" w:rsidRDefault="0068695C" w:rsidP="0068695C">
      <w:pPr>
        <w:rPr>
          <w:rFonts w:ascii="Arial" w:hAnsi="Arial" w:cs="Arial"/>
          <w:lang w:val="en-GB" w:eastAsia="en-GB"/>
        </w:rPr>
      </w:pPr>
    </w:p>
    <w:sectPr w:rsidR="0068695C" w:rsidRPr="00A436CB"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A0BFA" w14:textId="77777777" w:rsidR="00A96071" w:rsidRDefault="00A96071" w:rsidP="006958F8">
      <w:pPr>
        <w:spacing w:before="0" w:after="0"/>
      </w:pPr>
      <w:r>
        <w:separator/>
      </w:r>
    </w:p>
  </w:endnote>
  <w:endnote w:type="continuationSeparator" w:id="0">
    <w:p w14:paraId="6CFB0F3A" w14:textId="77777777" w:rsidR="00A96071" w:rsidRDefault="00A96071" w:rsidP="006958F8">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AD5CE" w14:textId="77777777" w:rsidR="00A96071" w:rsidRDefault="00A96071" w:rsidP="006958F8">
      <w:pPr>
        <w:spacing w:before="0" w:after="0"/>
      </w:pPr>
      <w:r>
        <w:separator/>
      </w:r>
    </w:p>
  </w:footnote>
  <w:footnote w:type="continuationSeparator" w:id="0">
    <w:p w14:paraId="7CD48CFE" w14:textId="77777777" w:rsidR="00A96071" w:rsidRDefault="00A96071" w:rsidP="006958F8">
      <w:pPr>
        <w:spacing w:before="0" w:after="0"/>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anya Georgieva">
    <w15:presenceInfo w15:providerId="Windows Live" w15:userId="cda3c18e2c92839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Formatting/>
  <w:documentProtection w:edit="trackedChanges" w:enforcement="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95C"/>
    <w:rsid w:val="000127A6"/>
    <w:rsid w:val="00050D3B"/>
    <w:rsid w:val="000755DE"/>
    <w:rsid w:val="000C334A"/>
    <w:rsid w:val="00177B67"/>
    <w:rsid w:val="001A6E60"/>
    <w:rsid w:val="00200C86"/>
    <w:rsid w:val="00236E1F"/>
    <w:rsid w:val="00253DD0"/>
    <w:rsid w:val="002B1CE2"/>
    <w:rsid w:val="002D4522"/>
    <w:rsid w:val="00320381"/>
    <w:rsid w:val="00344CB6"/>
    <w:rsid w:val="003E4D3D"/>
    <w:rsid w:val="0041101B"/>
    <w:rsid w:val="00466C5B"/>
    <w:rsid w:val="005122DC"/>
    <w:rsid w:val="0052690B"/>
    <w:rsid w:val="00527431"/>
    <w:rsid w:val="00557066"/>
    <w:rsid w:val="00566DD9"/>
    <w:rsid w:val="005E2C42"/>
    <w:rsid w:val="0068695C"/>
    <w:rsid w:val="006958F8"/>
    <w:rsid w:val="00727826"/>
    <w:rsid w:val="0073625F"/>
    <w:rsid w:val="00754055"/>
    <w:rsid w:val="007757B1"/>
    <w:rsid w:val="007E7FBF"/>
    <w:rsid w:val="007F0520"/>
    <w:rsid w:val="00827FA4"/>
    <w:rsid w:val="00884E75"/>
    <w:rsid w:val="008A3CCE"/>
    <w:rsid w:val="008F6D57"/>
    <w:rsid w:val="00910AA0"/>
    <w:rsid w:val="009474AF"/>
    <w:rsid w:val="00960495"/>
    <w:rsid w:val="00966F15"/>
    <w:rsid w:val="009F1D73"/>
    <w:rsid w:val="00A253F2"/>
    <w:rsid w:val="00A31181"/>
    <w:rsid w:val="00A436CB"/>
    <w:rsid w:val="00A43D82"/>
    <w:rsid w:val="00A67105"/>
    <w:rsid w:val="00A96071"/>
    <w:rsid w:val="00AD0BBD"/>
    <w:rsid w:val="00AD60C9"/>
    <w:rsid w:val="00AE3DCC"/>
    <w:rsid w:val="00B34E07"/>
    <w:rsid w:val="00BB2F4B"/>
    <w:rsid w:val="00BC2287"/>
    <w:rsid w:val="00BD1E72"/>
    <w:rsid w:val="00C218B6"/>
    <w:rsid w:val="00C54DD3"/>
    <w:rsid w:val="00C54E90"/>
    <w:rsid w:val="00CA694A"/>
    <w:rsid w:val="00CC46A4"/>
    <w:rsid w:val="00CD5134"/>
    <w:rsid w:val="00CE11C5"/>
    <w:rsid w:val="00D14CB0"/>
    <w:rsid w:val="00D31E69"/>
    <w:rsid w:val="00D661DC"/>
    <w:rsid w:val="00D738FF"/>
    <w:rsid w:val="00DE2A4A"/>
    <w:rsid w:val="00E02E49"/>
    <w:rsid w:val="00E8329E"/>
    <w:rsid w:val="00EA2BA8"/>
    <w:rsid w:val="00EA7349"/>
    <w:rsid w:val="00FB38F6"/>
    <w:rsid w:val="00FD550C"/>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2082E"/>
  <w15:chartTrackingRefBased/>
  <w15:docId w15:val="{49FDE5A0-671B-4D3E-B703-97953AA86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95C"/>
  </w:style>
  <w:style w:type="paragraph" w:styleId="Heading1">
    <w:name w:val="heading 1"/>
    <w:basedOn w:val="Normal"/>
    <w:next w:val="Normal"/>
    <w:link w:val="Heading1Char"/>
    <w:uiPriority w:val="9"/>
    <w:qFormat/>
    <w:rsid w:val="006869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9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9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9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9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9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9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95C"/>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95C"/>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9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9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9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9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9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9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9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9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95C"/>
    <w:rPr>
      <w:rFonts w:eastAsiaTheme="majorEastAsia" w:cstheme="majorBidi"/>
      <w:color w:val="272727" w:themeColor="text1" w:themeTint="D8"/>
    </w:rPr>
  </w:style>
  <w:style w:type="paragraph" w:styleId="Title">
    <w:name w:val="Title"/>
    <w:basedOn w:val="Normal"/>
    <w:next w:val="Normal"/>
    <w:link w:val="TitleChar"/>
    <w:uiPriority w:val="10"/>
    <w:qFormat/>
    <w:rsid w:val="0068695C"/>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9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95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9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95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8695C"/>
    <w:rPr>
      <w:i/>
      <w:iCs/>
      <w:color w:val="404040" w:themeColor="text1" w:themeTint="BF"/>
    </w:rPr>
  </w:style>
  <w:style w:type="paragraph" w:styleId="ListParagraph">
    <w:name w:val="List Paragraph"/>
    <w:basedOn w:val="Normal"/>
    <w:uiPriority w:val="34"/>
    <w:qFormat/>
    <w:rsid w:val="0068695C"/>
    <w:pPr>
      <w:ind w:left="720"/>
      <w:contextualSpacing/>
    </w:pPr>
  </w:style>
  <w:style w:type="character" w:styleId="IntenseEmphasis">
    <w:name w:val="Intense Emphasis"/>
    <w:basedOn w:val="DefaultParagraphFont"/>
    <w:uiPriority w:val="21"/>
    <w:qFormat/>
    <w:rsid w:val="0068695C"/>
    <w:rPr>
      <w:i/>
      <w:iCs/>
      <w:color w:val="0F4761" w:themeColor="accent1" w:themeShade="BF"/>
    </w:rPr>
  </w:style>
  <w:style w:type="paragraph" w:styleId="IntenseQuote">
    <w:name w:val="Intense Quote"/>
    <w:basedOn w:val="Normal"/>
    <w:next w:val="Normal"/>
    <w:link w:val="IntenseQuoteChar"/>
    <w:uiPriority w:val="30"/>
    <w:qFormat/>
    <w:rsid w:val="006869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95C"/>
    <w:rPr>
      <w:i/>
      <w:iCs/>
      <w:color w:val="0F4761" w:themeColor="accent1" w:themeShade="BF"/>
    </w:rPr>
  </w:style>
  <w:style w:type="character" w:styleId="IntenseReference">
    <w:name w:val="Intense Reference"/>
    <w:basedOn w:val="DefaultParagraphFont"/>
    <w:uiPriority w:val="32"/>
    <w:qFormat/>
    <w:rsid w:val="0068695C"/>
    <w:rPr>
      <w:b/>
      <w:bCs/>
      <w:smallCaps/>
      <w:color w:val="0F4761" w:themeColor="accent1" w:themeShade="BF"/>
      <w:spacing w:val="5"/>
    </w:rPr>
  </w:style>
  <w:style w:type="paragraph" w:styleId="Revision">
    <w:name w:val="Revision"/>
    <w:hidden/>
    <w:uiPriority w:val="99"/>
    <w:semiHidden/>
    <w:rsid w:val="00200C86"/>
    <w:pPr>
      <w:spacing w:before="0" w:beforeAutospacing="0" w:after="0" w:afterAutospacing="0"/>
    </w:pPr>
  </w:style>
  <w:style w:type="paragraph" w:styleId="Header">
    <w:name w:val="header"/>
    <w:basedOn w:val="Normal"/>
    <w:link w:val="HeaderChar"/>
    <w:uiPriority w:val="99"/>
    <w:unhideWhenUsed/>
    <w:rsid w:val="006958F8"/>
    <w:pPr>
      <w:tabs>
        <w:tab w:val="center" w:pos="4513"/>
        <w:tab w:val="right" w:pos="9026"/>
      </w:tabs>
      <w:spacing w:before="0" w:after="0"/>
    </w:pPr>
  </w:style>
  <w:style w:type="character" w:customStyle="1" w:styleId="HeaderChar">
    <w:name w:val="Header Char"/>
    <w:basedOn w:val="DefaultParagraphFont"/>
    <w:link w:val="Header"/>
    <w:uiPriority w:val="99"/>
    <w:rsid w:val="006958F8"/>
  </w:style>
  <w:style w:type="paragraph" w:styleId="Footer">
    <w:name w:val="footer"/>
    <w:basedOn w:val="Normal"/>
    <w:link w:val="FooterChar"/>
    <w:uiPriority w:val="99"/>
    <w:unhideWhenUsed/>
    <w:rsid w:val="006958F8"/>
    <w:pPr>
      <w:tabs>
        <w:tab w:val="center" w:pos="4513"/>
        <w:tab w:val="right" w:pos="9026"/>
      </w:tabs>
      <w:spacing w:before="0" w:after="0"/>
    </w:pPr>
  </w:style>
  <w:style w:type="character" w:customStyle="1" w:styleId="FooterChar">
    <w:name w:val="Footer Char"/>
    <w:basedOn w:val="DefaultParagraphFont"/>
    <w:link w:val="Footer"/>
    <w:uiPriority w:val="99"/>
    <w:rsid w:val="006958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2C91F-828B-4CDD-AFF9-B49D0E226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12</Pages>
  <Words>3301</Words>
  <Characters>18818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dc:creator>
  <cp:keywords/>
  <dc:description/>
  <cp:lastModifiedBy>Tanya Georgieva</cp:lastModifiedBy>
  <cp:revision>14</cp:revision>
  <dcterms:created xsi:type="dcterms:W3CDTF">2025-10-12T16:08:00Z</dcterms:created>
  <dcterms:modified xsi:type="dcterms:W3CDTF">2025-10-13T19:14:00Z</dcterms:modified>
</cp:coreProperties>
</file>