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14:ligatures w14:val="standardContextual"/>
        </w:rPr>
        <w:id w:val="1673443002"/>
        <w:docPartObj>
          <w:docPartGallery w:val="Cover Pages"/>
          <w:docPartUnique/>
        </w:docPartObj>
      </w:sdtPr>
      <w:sdtContent>
        <w:p w14:paraId="1B0F1E1A" w14:textId="4A15E84E" w:rsidR="00074F4B" w:rsidRDefault="00074F4B">
          <w:pPr>
            <w:pStyle w:val="NoSpacing"/>
          </w:pPr>
          <w:r>
            <w:rPr>
              <w:noProof/>
            </w:rPr>
            <mc:AlternateContent>
              <mc:Choice Requires="wpg">
                <w:drawing>
                  <wp:anchor distT="0" distB="0" distL="114300" distR="114300" simplePos="0" relativeHeight="251659264" behindDoc="1" locked="0" layoutInCell="1" allowOverlap="1" wp14:anchorId="2E027D6D" wp14:editId="309277F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B8E51B" w14:textId="3361FBF1" w:rsidR="00074F4B" w:rsidRDefault="00074F4B">
                                  <w:pPr>
                                    <w:pStyle w:val="NoSpacing"/>
                                    <w:jc w:val="right"/>
                                    <w:rPr>
                                      <w:color w:val="FFFFFF" w:themeColor="background1"/>
                                      <w:sz w:val="28"/>
                                      <w:szCs w:val="28"/>
                                    </w:rPr>
                                  </w:pPr>
                                  <w:r>
                                    <w:rPr>
                                      <w:color w:val="FFFFFF" w:themeColor="background1"/>
                                      <w:sz w:val="28"/>
                                      <w:szCs w:val="28"/>
                                    </w:rPr>
                                    <w:t>04/04/2025</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E027D6D"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50B8E51B" w14:textId="3361FBF1" w:rsidR="00074F4B" w:rsidRDefault="00074F4B">
                            <w:pPr>
                              <w:pStyle w:val="NoSpacing"/>
                              <w:jc w:val="right"/>
                              <w:rPr>
                                <w:color w:val="FFFFFF" w:themeColor="background1"/>
                                <w:sz w:val="28"/>
                                <w:szCs w:val="28"/>
                              </w:rPr>
                            </w:pPr>
                            <w:r>
                              <w:rPr>
                                <w:color w:val="FFFFFF" w:themeColor="background1"/>
                                <w:sz w:val="28"/>
                                <w:szCs w:val="28"/>
                              </w:rPr>
                              <w:t>04/04/2025</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E122A5B" wp14:editId="19EFD22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7B3BE0" w14:textId="3D0E1C34" w:rsidR="00074F4B"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74F4B">
                                      <w:rPr>
                                        <w:color w:val="156082" w:themeColor="accent1"/>
                                        <w:sz w:val="26"/>
                                        <w:szCs w:val="26"/>
                                      </w:rPr>
                                      <w:t>Katy Grummett (2209790)</w:t>
                                    </w:r>
                                  </w:sdtContent>
                                </w:sdt>
                              </w:p>
                              <w:p w14:paraId="48B4D545" w14:textId="30E8DBF3" w:rsidR="00074F4B"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74F4B">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E122A5B"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E7B3BE0" w14:textId="3D0E1C34" w:rsidR="00074F4B"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74F4B">
                                <w:rPr>
                                  <w:color w:val="156082" w:themeColor="accent1"/>
                                  <w:sz w:val="26"/>
                                  <w:szCs w:val="26"/>
                                </w:rPr>
                                <w:t>Katy Grummett (2209790)</w:t>
                              </w:r>
                            </w:sdtContent>
                          </w:sdt>
                        </w:p>
                        <w:p w14:paraId="48B4D545" w14:textId="30E8DBF3" w:rsidR="00074F4B"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74F4B">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05E0DFE" wp14:editId="534B8B5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D03046" w14:textId="6B2191B3" w:rsidR="00074F4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74F4B">
                                      <w:rPr>
                                        <w:rFonts w:asciiTheme="majorHAnsi" w:eastAsiaTheme="majorEastAsia" w:hAnsiTheme="majorHAnsi" w:cstheme="majorBidi"/>
                                        <w:color w:val="262626" w:themeColor="text1" w:themeTint="D9"/>
                                        <w:sz w:val="72"/>
                                        <w:szCs w:val="72"/>
                                      </w:rPr>
                                      <w:t>Mergers and Acquisitions – Microsoft and LinkedIn</w:t>
                                    </w:r>
                                  </w:sdtContent>
                                </w:sdt>
                              </w:p>
                              <w:p w14:paraId="21D8C94B" w14:textId="6AD4B2A2" w:rsidR="00074F4B"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74F4B">
                                      <w:rPr>
                                        <w:color w:val="404040" w:themeColor="text1" w:themeTint="BF"/>
                                        <w:sz w:val="36"/>
                                        <w:szCs w:val="36"/>
                                      </w:rPr>
                                      <w:t>BMBM6007 Financial Management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05E0DFE"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4D03046" w14:textId="6B2191B3" w:rsidR="00074F4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74F4B">
                                <w:rPr>
                                  <w:rFonts w:asciiTheme="majorHAnsi" w:eastAsiaTheme="majorEastAsia" w:hAnsiTheme="majorHAnsi" w:cstheme="majorBidi"/>
                                  <w:color w:val="262626" w:themeColor="text1" w:themeTint="D9"/>
                                  <w:sz w:val="72"/>
                                  <w:szCs w:val="72"/>
                                </w:rPr>
                                <w:t>Mergers and Acquisitions – Microsoft and LinkedIn</w:t>
                              </w:r>
                            </w:sdtContent>
                          </w:sdt>
                        </w:p>
                        <w:p w14:paraId="21D8C94B" w14:textId="6AD4B2A2" w:rsidR="00074F4B"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74F4B">
                                <w:rPr>
                                  <w:color w:val="404040" w:themeColor="text1" w:themeTint="BF"/>
                                  <w:sz w:val="36"/>
                                  <w:szCs w:val="36"/>
                                </w:rPr>
                                <w:t>BMBM6007 Financial Management</w:t>
                              </w:r>
                            </w:sdtContent>
                          </w:sdt>
                        </w:p>
                      </w:txbxContent>
                    </v:textbox>
                    <w10:wrap anchorx="page" anchory="page"/>
                  </v:shape>
                </w:pict>
              </mc:Fallback>
            </mc:AlternateContent>
          </w:r>
        </w:p>
        <w:p w14:paraId="5092998C" w14:textId="142E2A35" w:rsidR="00074F4B" w:rsidRDefault="00074F4B">
          <w:r>
            <w:br w:type="page"/>
          </w:r>
        </w:p>
      </w:sdtContent>
    </w:sdt>
    <w:sdt>
      <w:sdtPr>
        <w:rPr>
          <w:rFonts w:asciiTheme="minorHAnsi" w:eastAsiaTheme="minorHAnsi" w:hAnsiTheme="minorHAnsi" w:cstheme="minorBidi"/>
          <w:color w:val="auto"/>
          <w:kern w:val="2"/>
          <w:sz w:val="22"/>
          <w:szCs w:val="22"/>
          <w:lang w:val="en-GB"/>
          <w14:ligatures w14:val="standardContextual"/>
        </w:rPr>
        <w:id w:val="-268931936"/>
        <w:docPartObj>
          <w:docPartGallery w:val="Table of Contents"/>
          <w:docPartUnique/>
        </w:docPartObj>
      </w:sdtPr>
      <w:sdtEndPr>
        <w:rPr>
          <w:b/>
          <w:bCs/>
          <w:noProof/>
        </w:rPr>
      </w:sdtEndPr>
      <w:sdtContent>
        <w:p w14:paraId="25432641" w14:textId="2A116281" w:rsidR="00074F4B" w:rsidRDefault="00074F4B">
          <w:pPr>
            <w:pStyle w:val="TOCHeading"/>
          </w:pPr>
          <w:r>
            <w:t>Contents</w:t>
          </w:r>
        </w:p>
        <w:p w14:paraId="04B8925A" w14:textId="48BBBB43" w:rsidR="00D62A3A" w:rsidRDefault="00074F4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4677812" w:history="1">
            <w:r w:rsidR="00D62A3A" w:rsidRPr="00EC297E">
              <w:rPr>
                <w:rStyle w:val="Hyperlink"/>
                <w:noProof/>
              </w:rPr>
              <w:t>Executive Summary</w:t>
            </w:r>
            <w:r w:rsidR="00D62A3A">
              <w:rPr>
                <w:noProof/>
                <w:webHidden/>
              </w:rPr>
              <w:tab/>
            </w:r>
            <w:r w:rsidR="00D62A3A">
              <w:rPr>
                <w:noProof/>
                <w:webHidden/>
              </w:rPr>
              <w:fldChar w:fldCharType="begin"/>
            </w:r>
            <w:r w:rsidR="00D62A3A">
              <w:rPr>
                <w:noProof/>
                <w:webHidden/>
              </w:rPr>
              <w:instrText xml:space="preserve"> PAGEREF _Toc194677812 \h </w:instrText>
            </w:r>
            <w:r w:rsidR="00D62A3A">
              <w:rPr>
                <w:noProof/>
                <w:webHidden/>
              </w:rPr>
            </w:r>
            <w:r w:rsidR="00D62A3A">
              <w:rPr>
                <w:noProof/>
                <w:webHidden/>
              </w:rPr>
              <w:fldChar w:fldCharType="separate"/>
            </w:r>
            <w:r w:rsidR="00D62A3A">
              <w:rPr>
                <w:noProof/>
                <w:webHidden/>
              </w:rPr>
              <w:t>2</w:t>
            </w:r>
            <w:r w:rsidR="00D62A3A">
              <w:rPr>
                <w:noProof/>
                <w:webHidden/>
              </w:rPr>
              <w:fldChar w:fldCharType="end"/>
            </w:r>
          </w:hyperlink>
        </w:p>
        <w:p w14:paraId="37D33C32" w14:textId="406198EC" w:rsidR="00D62A3A" w:rsidRDefault="00D62A3A">
          <w:pPr>
            <w:pStyle w:val="TOC1"/>
            <w:tabs>
              <w:tab w:val="right" w:leader="dot" w:pos="9016"/>
            </w:tabs>
            <w:rPr>
              <w:rFonts w:eastAsiaTheme="minorEastAsia"/>
              <w:noProof/>
              <w:sz w:val="24"/>
              <w:szCs w:val="24"/>
              <w:lang w:eastAsia="en-GB"/>
            </w:rPr>
          </w:pPr>
          <w:hyperlink w:anchor="_Toc194677813" w:history="1">
            <w:r w:rsidRPr="00EC297E">
              <w:rPr>
                <w:rStyle w:val="Hyperlink"/>
                <w:noProof/>
              </w:rPr>
              <w:t>Introduction</w:t>
            </w:r>
            <w:r>
              <w:rPr>
                <w:noProof/>
                <w:webHidden/>
              </w:rPr>
              <w:tab/>
            </w:r>
            <w:r>
              <w:rPr>
                <w:noProof/>
                <w:webHidden/>
              </w:rPr>
              <w:fldChar w:fldCharType="begin"/>
            </w:r>
            <w:r>
              <w:rPr>
                <w:noProof/>
                <w:webHidden/>
              </w:rPr>
              <w:instrText xml:space="preserve"> PAGEREF _Toc194677813 \h </w:instrText>
            </w:r>
            <w:r>
              <w:rPr>
                <w:noProof/>
                <w:webHidden/>
              </w:rPr>
            </w:r>
            <w:r>
              <w:rPr>
                <w:noProof/>
                <w:webHidden/>
              </w:rPr>
              <w:fldChar w:fldCharType="separate"/>
            </w:r>
            <w:r>
              <w:rPr>
                <w:noProof/>
                <w:webHidden/>
              </w:rPr>
              <w:t>3</w:t>
            </w:r>
            <w:r>
              <w:rPr>
                <w:noProof/>
                <w:webHidden/>
              </w:rPr>
              <w:fldChar w:fldCharType="end"/>
            </w:r>
          </w:hyperlink>
        </w:p>
        <w:p w14:paraId="3DB9182A" w14:textId="7BF163FF" w:rsidR="00D62A3A" w:rsidRDefault="00D62A3A">
          <w:pPr>
            <w:pStyle w:val="TOC1"/>
            <w:tabs>
              <w:tab w:val="right" w:leader="dot" w:pos="9016"/>
            </w:tabs>
            <w:rPr>
              <w:rFonts w:eastAsiaTheme="minorEastAsia"/>
              <w:noProof/>
              <w:sz w:val="24"/>
              <w:szCs w:val="24"/>
              <w:lang w:eastAsia="en-GB"/>
            </w:rPr>
          </w:pPr>
          <w:hyperlink w:anchor="_Toc194677814" w:history="1">
            <w:r w:rsidRPr="00EC297E">
              <w:rPr>
                <w:rStyle w:val="Hyperlink"/>
                <w:noProof/>
              </w:rPr>
              <w:t>Business Benefits of the Merger</w:t>
            </w:r>
            <w:r>
              <w:rPr>
                <w:noProof/>
                <w:webHidden/>
              </w:rPr>
              <w:tab/>
            </w:r>
            <w:r>
              <w:rPr>
                <w:noProof/>
                <w:webHidden/>
              </w:rPr>
              <w:fldChar w:fldCharType="begin"/>
            </w:r>
            <w:r>
              <w:rPr>
                <w:noProof/>
                <w:webHidden/>
              </w:rPr>
              <w:instrText xml:space="preserve"> PAGEREF _Toc194677814 \h </w:instrText>
            </w:r>
            <w:r>
              <w:rPr>
                <w:noProof/>
                <w:webHidden/>
              </w:rPr>
            </w:r>
            <w:r>
              <w:rPr>
                <w:noProof/>
                <w:webHidden/>
              </w:rPr>
              <w:fldChar w:fldCharType="separate"/>
            </w:r>
            <w:r>
              <w:rPr>
                <w:noProof/>
                <w:webHidden/>
              </w:rPr>
              <w:t>4</w:t>
            </w:r>
            <w:r>
              <w:rPr>
                <w:noProof/>
                <w:webHidden/>
              </w:rPr>
              <w:fldChar w:fldCharType="end"/>
            </w:r>
          </w:hyperlink>
        </w:p>
        <w:p w14:paraId="00E0E079" w14:textId="0CD72BEC" w:rsidR="00D62A3A" w:rsidRDefault="00D62A3A">
          <w:pPr>
            <w:pStyle w:val="TOC2"/>
            <w:tabs>
              <w:tab w:val="right" w:leader="dot" w:pos="9016"/>
            </w:tabs>
            <w:rPr>
              <w:rFonts w:eastAsiaTheme="minorEastAsia"/>
              <w:noProof/>
              <w:sz w:val="24"/>
              <w:szCs w:val="24"/>
              <w:lang w:eastAsia="en-GB"/>
            </w:rPr>
          </w:pPr>
          <w:hyperlink w:anchor="_Toc194677815" w:history="1">
            <w:r w:rsidRPr="00EC297E">
              <w:rPr>
                <w:rStyle w:val="Hyperlink"/>
                <w:noProof/>
              </w:rPr>
              <w:t>Economies of Scale</w:t>
            </w:r>
            <w:r>
              <w:rPr>
                <w:noProof/>
                <w:webHidden/>
              </w:rPr>
              <w:tab/>
            </w:r>
            <w:r>
              <w:rPr>
                <w:noProof/>
                <w:webHidden/>
              </w:rPr>
              <w:fldChar w:fldCharType="begin"/>
            </w:r>
            <w:r>
              <w:rPr>
                <w:noProof/>
                <w:webHidden/>
              </w:rPr>
              <w:instrText xml:space="preserve"> PAGEREF _Toc194677815 \h </w:instrText>
            </w:r>
            <w:r>
              <w:rPr>
                <w:noProof/>
                <w:webHidden/>
              </w:rPr>
            </w:r>
            <w:r>
              <w:rPr>
                <w:noProof/>
                <w:webHidden/>
              </w:rPr>
              <w:fldChar w:fldCharType="separate"/>
            </w:r>
            <w:r>
              <w:rPr>
                <w:noProof/>
                <w:webHidden/>
              </w:rPr>
              <w:t>4</w:t>
            </w:r>
            <w:r>
              <w:rPr>
                <w:noProof/>
                <w:webHidden/>
              </w:rPr>
              <w:fldChar w:fldCharType="end"/>
            </w:r>
          </w:hyperlink>
        </w:p>
        <w:p w14:paraId="4E1033EF" w14:textId="67429215" w:rsidR="00D62A3A" w:rsidRDefault="00D62A3A">
          <w:pPr>
            <w:pStyle w:val="TOC2"/>
            <w:tabs>
              <w:tab w:val="right" w:leader="dot" w:pos="9016"/>
            </w:tabs>
            <w:rPr>
              <w:rFonts w:eastAsiaTheme="minorEastAsia"/>
              <w:noProof/>
              <w:sz w:val="24"/>
              <w:szCs w:val="24"/>
              <w:lang w:eastAsia="en-GB"/>
            </w:rPr>
          </w:pPr>
          <w:hyperlink w:anchor="_Toc194677816" w:history="1">
            <w:r w:rsidRPr="00EC297E">
              <w:rPr>
                <w:rStyle w:val="Hyperlink"/>
                <w:noProof/>
              </w:rPr>
              <w:t>Elimination of Inefficiencies</w:t>
            </w:r>
            <w:r>
              <w:rPr>
                <w:noProof/>
                <w:webHidden/>
              </w:rPr>
              <w:tab/>
            </w:r>
            <w:r>
              <w:rPr>
                <w:noProof/>
                <w:webHidden/>
              </w:rPr>
              <w:fldChar w:fldCharType="begin"/>
            </w:r>
            <w:r>
              <w:rPr>
                <w:noProof/>
                <w:webHidden/>
              </w:rPr>
              <w:instrText xml:space="preserve"> PAGEREF _Toc194677816 \h </w:instrText>
            </w:r>
            <w:r>
              <w:rPr>
                <w:noProof/>
                <w:webHidden/>
              </w:rPr>
            </w:r>
            <w:r>
              <w:rPr>
                <w:noProof/>
                <w:webHidden/>
              </w:rPr>
              <w:fldChar w:fldCharType="separate"/>
            </w:r>
            <w:r>
              <w:rPr>
                <w:noProof/>
                <w:webHidden/>
              </w:rPr>
              <w:t>4</w:t>
            </w:r>
            <w:r>
              <w:rPr>
                <w:noProof/>
                <w:webHidden/>
              </w:rPr>
              <w:fldChar w:fldCharType="end"/>
            </w:r>
          </w:hyperlink>
        </w:p>
        <w:p w14:paraId="5EA53795" w14:textId="37933F30" w:rsidR="00D62A3A" w:rsidRDefault="00D62A3A">
          <w:pPr>
            <w:pStyle w:val="TOC2"/>
            <w:tabs>
              <w:tab w:val="right" w:leader="dot" w:pos="9016"/>
            </w:tabs>
            <w:rPr>
              <w:rFonts w:eastAsiaTheme="minorEastAsia"/>
              <w:noProof/>
              <w:sz w:val="24"/>
              <w:szCs w:val="24"/>
              <w:lang w:eastAsia="en-GB"/>
            </w:rPr>
          </w:pPr>
          <w:hyperlink w:anchor="_Toc194677817" w:history="1">
            <w:r w:rsidRPr="00EC297E">
              <w:rPr>
                <w:rStyle w:val="Hyperlink"/>
                <w:noProof/>
              </w:rPr>
              <w:t>Speed of growth</w:t>
            </w:r>
            <w:r>
              <w:rPr>
                <w:noProof/>
                <w:webHidden/>
              </w:rPr>
              <w:tab/>
            </w:r>
            <w:r>
              <w:rPr>
                <w:noProof/>
                <w:webHidden/>
              </w:rPr>
              <w:fldChar w:fldCharType="begin"/>
            </w:r>
            <w:r>
              <w:rPr>
                <w:noProof/>
                <w:webHidden/>
              </w:rPr>
              <w:instrText xml:space="preserve"> PAGEREF _Toc194677817 \h </w:instrText>
            </w:r>
            <w:r>
              <w:rPr>
                <w:noProof/>
                <w:webHidden/>
              </w:rPr>
            </w:r>
            <w:r>
              <w:rPr>
                <w:noProof/>
                <w:webHidden/>
              </w:rPr>
              <w:fldChar w:fldCharType="separate"/>
            </w:r>
            <w:r>
              <w:rPr>
                <w:noProof/>
                <w:webHidden/>
              </w:rPr>
              <w:t>5</w:t>
            </w:r>
            <w:r>
              <w:rPr>
                <w:noProof/>
                <w:webHidden/>
              </w:rPr>
              <w:fldChar w:fldCharType="end"/>
            </w:r>
          </w:hyperlink>
        </w:p>
        <w:p w14:paraId="035239AE" w14:textId="7CC4615F" w:rsidR="00D62A3A" w:rsidRDefault="00D62A3A">
          <w:pPr>
            <w:pStyle w:val="TOC1"/>
            <w:tabs>
              <w:tab w:val="right" w:leader="dot" w:pos="9016"/>
            </w:tabs>
            <w:rPr>
              <w:rFonts w:eastAsiaTheme="minorEastAsia"/>
              <w:noProof/>
              <w:sz w:val="24"/>
              <w:szCs w:val="24"/>
              <w:lang w:eastAsia="en-GB"/>
            </w:rPr>
          </w:pPr>
          <w:hyperlink w:anchor="_Toc194677818" w:history="1">
            <w:r w:rsidRPr="00EC297E">
              <w:rPr>
                <w:rStyle w:val="Hyperlink"/>
                <w:noProof/>
              </w:rPr>
              <w:t>Financial Strategy and Resource Allocation</w:t>
            </w:r>
            <w:r>
              <w:rPr>
                <w:noProof/>
                <w:webHidden/>
              </w:rPr>
              <w:tab/>
            </w:r>
            <w:r>
              <w:rPr>
                <w:noProof/>
                <w:webHidden/>
              </w:rPr>
              <w:fldChar w:fldCharType="begin"/>
            </w:r>
            <w:r>
              <w:rPr>
                <w:noProof/>
                <w:webHidden/>
              </w:rPr>
              <w:instrText xml:space="preserve"> PAGEREF _Toc194677818 \h </w:instrText>
            </w:r>
            <w:r>
              <w:rPr>
                <w:noProof/>
                <w:webHidden/>
              </w:rPr>
            </w:r>
            <w:r>
              <w:rPr>
                <w:noProof/>
                <w:webHidden/>
              </w:rPr>
              <w:fldChar w:fldCharType="separate"/>
            </w:r>
            <w:r>
              <w:rPr>
                <w:noProof/>
                <w:webHidden/>
              </w:rPr>
              <w:t>7</w:t>
            </w:r>
            <w:r>
              <w:rPr>
                <w:noProof/>
                <w:webHidden/>
              </w:rPr>
              <w:fldChar w:fldCharType="end"/>
            </w:r>
          </w:hyperlink>
        </w:p>
        <w:p w14:paraId="047B86EE" w14:textId="50C2F641" w:rsidR="00D62A3A" w:rsidRDefault="00D62A3A">
          <w:pPr>
            <w:pStyle w:val="TOC2"/>
            <w:tabs>
              <w:tab w:val="right" w:leader="dot" w:pos="9016"/>
            </w:tabs>
            <w:rPr>
              <w:rFonts w:eastAsiaTheme="minorEastAsia"/>
              <w:noProof/>
              <w:sz w:val="24"/>
              <w:szCs w:val="24"/>
              <w:lang w:eastAsia="en-GB"/>
            </w:rPr>
          </w:pPr>
          <w:hyperlink w:anchor="_Toc194677819" w:history="1">
            <w:r w:rsidRPr="00EC297E">
              <w:rPr>
                <w:rStyle w:val="Hyperlink"/>
                <w:noProof/>
              </w:rPr>
              <w:t>Funding Strategy</w:t>
            </w:r>
            <w:r>
              <w:rPr>
                <w:noProof/>
                <w:webHidden/>
              </w:rPr>
              <w:tab/>
            </w:r>
            <w:r>
              <w:rPr>
                <w:noProof/>
                <w:webHidden/>
              </w:rPr>
              <w:fldChar w:fldCharType="begin"/>
            </w:r>
            <w:r>
              <w:rPr>
                <w:noProof/>
                <w:webHidden/>
              </w:rPr>
              <w:instrText xml:space="preserve"> PAGEREF _Toc194677819 \h </w:instrText>
            </w:r>
            <w:r>
              <w:rPr>
                <w:noProof/>
                <w:webHidden/>
              </w:rPr>
            </w:r>
            <w:r>
              <w:rPr>
                <w:noProof/>
                <w:webHidden/>
              </w:rPr>
              <w:fldChar w:fldCharType="separate"/>
            </w:r>
            <w:r>
              <w:rPr>
                <w:noProof/>
                <w:webHidden/>
              </w:rPr>
              <w:t>7</w:t>
            </w:r>
            <w:r>
              <w:rPr>
                <w:noProof/>
                <w:webHidden/>
              </w:rPr>
              <w:fldChar w:fldCharType="end"/>
            </w:r>
          </w:hyperlink>
        </w:p>
        <w:p w14:paraId="11F40D37" w14:textId="11CB1070" w:rsidR="00D62A3A" w:rsidRDefault="00D62A3A">
          <w:pPr>
            <w:pStyle w:val="TOC2"/>
            <w:tabs>
              <w:tab w:val="right" w:leader="dot" w:pos="9016"/>
            </w:tabs>
            <w:rPr>
              <w:rFonts w:eastAsiaTheme="minorEastAsia"/>
              <w:noProof/>
              <w:sz w:val="24"/>
              <w:szCs w:val="24"/>
              <w:lang w:eastAsia="en-GB"/>
            </w:rPr>
          </w:pPr>
          <w:hyperlink w:anchor="_Toc194677820" w:history="1">
            <w:r w:rsidRPr="00EC297E">
              <w:rPr>
                <w:rStyle w:val="Hyperlink"/>
                <w:noProof/>
              </w:rPr>
              <w:t>Financial Benefits</w:t>
            </w:r>
            <w:r>
              <w:rPr>
                <w:noProof/>
                <w:webHidden/>
              </w:rPr>
              <w:tab/>
            </w:r>
            <w:r>
              <w:rPr>
                <w:noProof/>
                <w:webHidden/>
              </w:rPr>
              <w:fldChar w:fldCharType="begin"/>
            </w:r>
            <w:r>
              <w:rPr>
                <w:noProof/>
                <w:webHidden/>
              </w:rPr>
              <w:instrText xml:space="preserve"> PAGEREF _Toc194677820 \h </w:instrText>
            </w:r>
            <w:r>
              <w:rPr>
                <w:noProof/>
                <w:webHidden/>
              </w:rPr>
            </w:r>
            <w:r>
              <w:rPr>
                <w:noProof/>
                <w:webHidden/>
              </w:rPr>
              <w:fldChar w:fldCharType="separate"/>
            </w:r>
            <w:r>
              <w:rPr>
                <w:noProof/>
                <w:webHidden/>
              </w:rPr>
              <w:t>7</w:t>
            </w:r>
            <w:r>
              <w:rPr>
                <w:noProof/>
                <w:webHidden/>
              </w:rPr>
              <w:fldChar w:fldCharType="end"/>
            </w:r>
          </w:hyperlink>
        </w:p>
        <w:p w14:paraId="5AABBCA7" w14:textId="7BACAC25" w:rsidR="00D62A3A" w:rsidRDefault="00D62A3A">
          <w:pPr>
            <w:pStyle w:val="TOC1"/>
            <w:tabs>
              <w:tab w:val="right" w:leader="dot" w:pos="9016"/>
            </w:tabs>
            <w:rPr>
              <w:rFonts w:eastAsiaTheme="minorEastAsia"/>
              <w:noProof/>
              <w:sz w:val="24"/>
              <w:szCs w:val="24"/>
              <w:lang w:eastAsia="en-GB"/>
            </w:rPr>
          </w:pPr>
          <w:hyperlink w:anchor="_Toc194677821" w:history="1">
            <w:r w:rsidRPr="00EC297E">
              <w:rPr>
                <w:rStyle w:val="Hyperlink"/>
                <w:noProof/>
              </w:rPr>
              <w:t>Market and Competitive Positioning</w:t>
            </w:r>
            <w:r>
              <w:rPr>
                <w:noProof/>
                <w:webHidden/>
              </w:rPr>
              <w:tab/>
            </w:r>
            <w:r>
              <w:rPr>
                <w:noProof/>
                <w:webHidden/>
              </w:rPr>
              <w:fldChar w:fldCharType="begin"/>
            </w:r>
            <w:r>
              <w:rPr>
                <w:noProof/>
                <w:webHidden/>
              </w:rPr>
              <w:instrText xml:space="preserve"> PAGEREF _Toc194677821 \h </w:instrText>
            </w:r>
            <w:r>
              <w:rPr>
                <w:noProof/>
                <w:webHidden/>
              </w:rPr>
            </w:r>
            <w:r>
              <w:rPr>
                <w:noProof/>
                <w:webHidden/>
              </w:rPr>
              <w:fldChar w:fldCharType="separate"/>
            </w:r>
            <w:r>
              <w:rPr>
                <w:noProof/>
                <w:webHidden/>
              </w:rPr>
              <w:t>9</w:t>
            </w:r>
            <w:r>
              <w:rPr>
                <w:noProof/>
                <w:webHidden/>
              </w:rPr>
              <w:fldChar w:fldCharType="end"/>
            </w:r>
          </w:hyperlink>
        </w:p>
        <w:p w14:paraId="097140C7" w14:textId="46D6B2B9" w:rsidR="00D62A3A" w:rsidRDefault="00D62A3A">
          <w:pPr>
            <w:pStyle w:val="TOC2"/>
            <w:tabs>
              <w:tab w:val="right" w:leader="dot" w:pos="9016"/>
            </w:tabs>
            <w:rPr>
              <w:rFonts w:eastAsiaTheme="minorEastAsia"/>
              <w:noProof/>
              <w:sz w:val="24"/>
              <w:szCs w:val="24"/>
              <w:lang w:eastAsia="en-GB"/>
            </w:rPr>
          </w:pPr>
          <w:hyperlink w:anchor="_Toc194677822" w:history="1">
            <w:r w:rsidRPr="00EC297E">
              <w:rPr>
                <w:rStyle w:val="Hyperlink"/>
                <w:noProof/>
              </w:rPr>
              <w:t>Increased Power in the Market</w:t>
            </w:r>
            <w:r>
              <w:rPr>
                <w:noProof/>
                <w:webHidden/>
              </w:rPr>
              <w:tab/>
            </w:r>
            <w:r>
              <w:rPr>
                <w:noProof/>
                <w:webHidden/>
              </w:rPr>
              <w:fldChar w:fldCharType="begin"/>
            </w:r>
            <w:r>
              <w:rPr>
                <w:noProof/>
                <w:webHidden/>
              </w:rPr>
              <w:instrText xml:space="preserve"> PAGEREF _Toc194677822 \h </w:instrText>
            </w:r>
            <w:r>
              <w:rPr>
                <w:noProof/>
                <w:webHidden/>
              </w:rPr>
            </w:r>
            <w:r>
              <w:rPr>
                <w:noProof/>
                <w:webHidden/>
              </w:rPr>
              <w:fldChar w:fldCharType="separate"/>
            </w:r>
            <w:r>
              <w:rPr>
                <w:noProof/>
                <w:webHidden/>
              </w:rPr>
              <w:t>9</w:t>
            </w:r>
            <w:r>
              <w:rPr>
                <w:noProof/>
                <w:webHidden/>
              </w:rPr>
              <w:fldChar w:fldCharType="end"/>
            </w:r>
          </w:hyperlink>
        </w:p>
        <w:p w14:paraId="58CED5E1" w14:textId="159C1875" w:rsidR="00D62A3A" w:rsidRDefault="00D62A3A">
          <w:pPr>
            <w:pStyle w:val="TOC2"/>
            <w:tabs>
              <w:tab w:val="right" w:leader="dot" w:pos="9016"/>
            </w:tabs>
            <w:rPr>
              <w:rFonts w:eastAsiaTheme="minorEastAsia"/>
              <w:noProof/>
              <w:sz w:val="24"/>
              <w:szCs w:val="24"/>
              <w:lang w:eastAsia="en-GB"/>
            </w:rPr>
          </w:pPr>
          <w:hyperlink w:anchor="_Toc194677823" w:history="1">
            <w:r w:rsidRPr="00EC297E">
              <w:rPr>
                <w:rStyle w:val="Hyperlink"/>
                <w:noProof/>
              </w:rPr>
              <w:t>Diversification</w:t>
            </w:r>
            <w:r>
              <w:rPr>
                <w:noProof/>
                <w:webHidden/>
              </w:rPr>
              <w:tab/>
            </w:r>
            <w:r>
              <w:rPr>
                <w:noProof/>
                <w:webHidden/>
              </w:rPr>
              <w:fldChar w:fldCharType="begin"/>
            </w:r>
            <w:r>
              <w:rPr>
                <w:noProof/>
                <w:webHidden/>
              </w:rPr>
              <w:instrText xml:space="preserve"> PAGEREF _Toc194677823 \h </w:instrText>
            </w:r>
            <w:r>
              <w:rPr>
                <w:noProof/>
                <w:webHidden/>
              </w:rPr>
            </w:r>
            <w:r>
              <w:rPr>
                <w:noProof/>
                <w:webHidden/>
              </w:rPr>
              <w:fldChar w:fldCharType="separate"/>
            </w:r>
            <w:r>
              <w:rPr>
                <w:noProof/>
                <w:webHidden/>
              </w:rPr>
              <w:t>9</w:t>
            </w:r>
            <w:r>
              <w:rPr>
                <w:noProof/>
                <w:webHidden/>
              </w:rPr>
              <w:fldChar w:fldCharType="end"/>
            </w:r>
          </w:hyperlink>
        </w:p>
        <w:p w14:paraId="11EFEC70" w14:textId="6A517E92" w:rsidR="00D62A3A" w:rsidRDefault="00D62A3A">
          <w:pPr>
            <w:pStyle w:val="TOC1"/>
            <w:tabs>
              <w:tab w:val="right" w:leader="dot" w:pos="9016"/>
            </w:tabs>
            <w:rPr>
              <w:rFonts w:eastAsiaTheme="minorEastAsia"/>
              <w:noProof/>
              <w:sz w:val="24"/>
              <w:szCs w:val="24"/>
              <w:lang w:eastAsia="en-GB"/>
            </w:rPr>
          </w:pPr>
          <w:hyperlink w:anchor="_Toc194677824" w:history="1">
            <w:r w:rsidRPr="00EC297E">
              <w:rPr>
                <w:rStyle w:val="Hyperlink"/>
                <w:noProof/>
              </w:rPr>
              <w:t>Strategic Fit and Complementary Capabilities</w:t>
            </w:r>
            <w:r>
              <w:rPr>
                <w:noProof/>
                <w:webHidden/>
              </w:rPr>
              <w:tab/>
            </w:r>
            <w:r>
              <w:rPr>
                <w:noProof/>
                <w:webHidden/>
              </w:rPr>
              <w:fldChar w:fldCharType="begin"/>
            </w:r>
            <w:r>
              <w:rPr>
                <w:noProof/>
                <w:webHidden/>
              </w:rPr>
              <w:instrText xml:space="preserve"> PAGEREF _Toc194677824 \h </w:instrText>
            </w:r>
            <w:r>
              <w:rPr>
                <w:noProof/>
                <w:webHidden/>
              </w:rPr>
            </w:r>
            <w:r>
              <w:rPr>
                <w:noProof/>
                <w:webHidden/>
              </w:rPr>
              <w:fldChar w:fldCharType="separate"/>
            </w:r>
            <w:r>
              <w:rPr>
                <w:noProof/>
                <w:webHidden/>
              </w:rPr>
              <w:t>11</w:t>
            </w:r>
            <w:r>
              <w:rPr>
                <w:noProof/>
                <w:webHidden/>
              </w:rPr>
              <w:fldChar w:fldCharType="end"/>
            </w:r>
          </w:hyperlink>
        </w:p>
        <w:p w14:paraId="3C4E340B" w14:textId="4A27E29F" w:rsidR="00D62A3A" w:rsidRDefault="00D62A3A">
          <w:pPr>
            <w:pStyle w:val="TOC1"/>
            <w:tabs>
              <w:tab w:val="right" w:leader="dot" w:pos="9016"/>
            </w:tabs>
            <w:rPr>
              <w:rFonts w:eastAsiaTheme="minorEastAsia"/>
              <w:noProof/>
              <w:sz w:val="24"/>
              <w:szCs w:val="24"/>
              <w:lang w:eastAsia="en-GB"/>
            </w:rPr>
          </w:pPr>
          <w:hyperlink w:anchor="_Toc194677825" w:history="1">
            <w:r w:rsidRPr="00EC297E">
              <w:rPr>
                <w:rStyle w:val="Hyperlink"/>
                <w:noProof/>
              </w:rPr>
              <w:t>Legal and Ethical Considerations</w:t>
            </w:r>
            <w:r>
              <w:rPr>
                <w:noProof/>
                <w:webHidden/>
              </w:rPr>
              <w:tab/>
            </w:r>
            <w:r>
              <w:rPr>
                <w:noProof/>
                <w:webHidden/>
              </w:rPr>
              <w:fldChar w:fldCharType="begin"/>
            </w:r>
            <w:r>
              <w:rPr>
                <w:noProof/>
                <w:webHidden/>
              </w:rPr>
              <w:instrText xml:space="preserve"> PAGEREF _Toc194677825 \h </w:instrText>
            </w:r>
            <w:r>
              <w:rPr>
                <w:noProof/>
                <w:webHidden/>
              </w:rPr>
            </w:r>
            <w:r>
              <w:rPr>
                <w:noProof/>
                <w:webHidden/>
              </w:rPr>
              <w:fldChar w:fldCharType="separate"/>
            </w:r>
            <w:r>
              <w:rPr>
                <w:noProof/>
                <w:webHidden/>
              </w:rPr>
              <w:t>12</w:t>
            </w:r>
            <w:r>
              <w:rPr>
                <w:noProof/>
                <w:webHidden/>
              </w:rPr>
              <w:fldChar w:fldCharType="end"/>
            </w:r>
          </w:hyperlink>
        </w:p>
        <w:p w14:paraId="1F2F5C0B" w14:textId="38AF7222" w:rsidR="00D62A3A" w:rsidRDefault="00D62A3A">
          <w:pPr>
            <w:pStyle w:val="TOC2"/>
            <w:tabs>
              <w:tab w:val="right" w:leader="dot" w:pos="9016"/>
            </w:tabs>
            <w:rPr>
              <w:rFonts w:eastAsiaTheme="minorEastAsia"/>
              <w:noProof/>
              <w:sz w:val="24"/>
              <w:szCs w:val="24"/>
              <w:lang w:eastAsia="en-GB"/>
            </w:rPr>
          </w:pPr>
          <w:hyperlink w:anchor="_Toc194677826" w:history="1">
            <w:r w:rsidRPr="00EC297E">
              <w:rPr>
                <w:rStyle w:val="Hyperlink"/>
                <w:noProof/>
              </w:rPr>
              <w:t>Regulatory Framework</w:t>
            </w:r>
            <w:r>
              <w:rPr>
                <w:noProof/>
                <w:webHidden/>
              </w:rPr>
              <w:tab/>
            </w:r>
            <w:r>
              <w:rPr>
                <w:noProof/>
                <w:webHidden/>
              </w:rPr>
              <w:fldChar w:fldCharType="begin"/>
            </w:r>
            <w:r>
              <w:rPr>
                <w:noProof/>
                <w:webHidden/>
              </w:rPr>
              <w:instrText xml:space="preserve"> PAGEREF _Toc194677826 \h </w:instrText>
            </w:r>
            <w:r>
              <w:rPr>
                <w:noProof/>
                <w:webHidden/>
              </w:rPr>
            </w:r>
            <w:r>
              <w:rPr>
                <w:noProof/>
                <w:webHidden/>
              </w:rPr>
              <w:fldChar w:fldCharType="separate"/>
            </w:r>
            <w:r>
              <w:rPr>
                <w:noProof/>
                <w:webHidden/>
              </w:rPr>
              <w:t>12</w:t>
            </w:r>
            <w:r>
              <w:rPr>
                <w:noProof/>
                <w:webHidden/>
              </w:rPr>
              <w:fldChar w:fldCharType="end"/>
            </w:r>
          </w:hyperlink>
        </w:p>
        <w:p w14:paraId="76EAE7DC" w14:textId="48646803" w:rsidR="00D62A3A" w:rsidRDefault="00D62A3A">
          <w:pPr>
            <w:pStyle w:val="TOC2"/>
            <w:tabs>
              <w:tab w:val="right" w:leader="dot" w:pos="9016"/>
            </w:tabs>
            <w:rPr>
              <w:rFonts w:eastAsiaTheme="minorEastAsia"/>
              <w:noProof/>
              <w:sz w:val="24"/>
              <w:szCs w:val="24"/>
              <w:lang w:eastAsia="en-GB"/>
            </w:rPr>
          </w:pPr>
          <w:hyperlink w:anchor="_Toc194677827" w:history="1">
            <w:r w:rsidRPr="00EC297E">
              <w:rPr>
                <w:rStyle w:val="Hyperlink"/>
                <w:noProof/>
              </w:rPr>
              <w:t>Ethical Considerations</w:t>
            </w:r>
            <w:r>
              <w:rPr>
                <w:noProof/>
                <w:webHidden/>
              </w:rPr>
              <w:tab/>
            </w:r>
            <w:r>
              <w:rPr>
                <w:noProof/>
                <w:webHidden/>
              </w:rPr>
              <w:fldChar w:fldCharType="begin"/>
            </w:r>
            <w:r>
              <w:rPr>
                <w:noProof/>
                <w:webHidden/>
              </w:rPr>
              <w:instrText xml:space="preserve"> PAGEREF _Toc194677827 \h </w:instrText>
            </w:r>
            <w:r>
              <w:rPr>
                <w:noProof/>
                <w:webHidden/>
              </w:rPr>
            </w:r>
            <w:r>
              <w:rPr>
                <w:noProof/>
                <w:webHidden/>
              </w:rPr>
              <w:fldChar w:fldCharType="separate"/>
            </w:r>
            <w:r>
              <w:rPr>
                <w:noProof/>
                <w:webHidden/>
              </w:rPr>
              <w:t>12</w:t>
            </w:r>
            <w:r>
              <w:rPr>
                <w:noProof/>
                <w:webHidden/>
              </w:rPr>
              <w:fldChar w:fldCharType="end"/>
            </w:r>
          </w:hyperlink>
        </w:p>
        <w:p w14:paraId="2CCDE945" w14:textId="1EF69F11" w:rsidR="00D62A3A" w:rsidRDefault="00D62A3A">
          <w:pPr>
            <w:pStyle w:val="TOC1"/>
            <w:tabs>
              <w:tab w:val="right" w:leader="dot" w:pos="9016"/>
            </w:tabs>
            <w:rPr>
              <w:rFonts w:eastAsiaTheme="minorEastAsia"/>
              <w:noProof/>
              <w:sz w:val="24"/>
              <w:szCs w:val="24"/>
              <w:lang w:eastAsia="en-GB"/>
            </w:rPr>
          </w:pPr>
          <w:hyperlink w:anchor="_Toc194677828" w:history="1">
            <w:r w:rsidRPr="00EC297E">
              <w:rPr>
                <w:rStyle w:val="Hyperlink"/>
                <w:noProof/>
              </w:rPr>
              <w:t>Shareholder Impact</w:t>
            </w:r>
            <w:r>
              <w:rPr>
                <w:noProof/>
                <w:webHidden/>
              </w:rPr>
              <w:tab/>
            </w:r>
            <w:r>
              <w:rPr>
                <w:noProof/>
                <w:webHidden/>
              </w:rPr>
              <w:fldChar w:fldCharType="begin"/>
            </w:r>
            <w:r>
              <w:rPr>
                <w:noProof/>
                <w:webHidden/>
              </w:rPr>
              <w:instrText xml:space="preserve"> PAGEREF _Toc194677828 \h </w:instrText>
            </w:r>
            <w:r>
              <w:rPr>
                <w:noProof/>
                <w:webHidden/>
              </w:rPr>
            </w:r>
            <w:r>
              <w:rPr>
                <w:noProof/>
                <w:webHidden/>
              </w:rPr>
              <w:fldChar w:fldCharType="separate"/>
            </w:r>
            <w:r>
              <w:rPr>
                <w:noProof/>
                <w:webHidden/>
              </w:rPr>
              <w:t>13</w:t>
            </w:r>
            <w:r>
              <w:rPr>
                <w:noProof/>
                <w:webHidden/>
              </w:rPr>
              <w:fldChar w:fldCharType="end"/>
            </w:r>
          </w:hyperlink>
        </w:p>
        <w:p w14:paraId="727AC9C4" w14:textId="02FB4C68" w:rsidR="00D62A3A" w:rsidRDefault="00D62A3A">
          <w:pPr>
            <w:pStyle w:val="TOC1"/>
            <w:tabs>
              <w:tab w:val="right" w:leader="dot" w:pos="9016"/>
            </w:tabs>
            <w:rPr>
              <w:rFonts w:eastAsiaTheme="minorEastAsia"/>
              <w:noProof/>
              <w:sz w:val="24"/>
              <w:szCs w:val="24"/>
              <w:lang w:eastAsia="en-GB"/>
            </w:rPr>
          </w:pPr>
          <w:hyperlink w:anchor="_Toc194677829" w:history="1">
            <w:r w:rsidRPr="00EC297E">
              <w:rPr>
                <w:rStyle w:val="Hyperlink"/>
                <w:noProof/>
              </w:rPr>
              <w:t>Conclusion</w:t>
            </w:r>
            <w:r>
              <w:rPr>
                <w:noProof/>
                <w:webHidden/>
              </w:rPr>
              <w:tab/>
            </w:r>
            <w:r>
              <w:rPr>
                <w:noProof/>
                <w:webHidden/>
              </w:rPr>
              <w:fldChar w:fldCharType="begin"/>
            </w:r>
            <w:r>
              <w:rPr>
                <w:noProof/>
                <w:webHidden/>
              </w:rPr>
              <w:instrText xml:space="preserve"> PAGEREF _Toc194677829 \h </w:instrText>
            </w:r>
            <w:r>
              <w:rPr>
                <w:noProof/>
                <w:webHidden/>
              </w:rPr>
            </w:r>
            <w:r>
              <w:rPr>
                <w:noProof/>
                <w:webHidden/>
              </w:rPr>
              <w:fldChar w:fldCharType="separate"/>
            </w:r>
            <w:r>
              <w:rPr>
                <w:noProof/>
                <w:webHidden/>
              </w:rPr>
              <w:t>14</w:t>
            </w:r>
            <w:r>
              <w:rPr>
                <w:noProof/>
                <w:webHidden/>
              </w:rPr>
              <w:fldChar w:fldCharType="end"/>
            </w:r>
          </w:hyperlink>
        </w:p>
        <w:p w14:paraId="6B9B4BE7" w14:textId="2AC71EAF" w:rsidR="00D62A3A" w:rsidRDefault="00D62A3A">
          <w:pPr>
            <w:pStyle w:val="TOC1"/>
            <w:tabs>
              <w:tab w:val="right" w:leader="dot" w:pos="9016"/>
            </w:tabs>
            <w:rPr>
              <w:rFonts w:eastAsiaTheme="minorEastAsia"/>
              <w:noProof/>
              <w:sz w:val="24"/>
              <w:szCs w:val="24"/>
              <w:lang w:eastAsia="en-GB"/>
            </w:rPr>
          </w:pPr>
          <w:hyperlink w:anchor="_Toc194677830" w:history="1">
            <w:r w:rsidRPr="00EC297E">
              <w:rPr>
                <w:rStyle w:val="Hyperlink"/>
                <w:noProof/>
              </w:rPr>
              <w:t>Reference List</w:t>
            </w:r>
            <w:r>
              <w:rPr>
                <w:noProof/>
                <w:webHidden/>
              </w:rPr>
              <w:tab/>
            </w:r>
            <w:r>
              <w:rPr>
                <w:noProof/>
                <w:webHidden/>
              </w:rPr>
              <w:fldChar w:fldCharType="begin"/>
            </w:r>
            <w:r>
              <w:rPr>
                <w:noProof/>
                <w:webHidden/>
              </w:rPr>
              <w:instrText xml:space="preserve"> PAGEREF _Toc194677830 \h </w:instrText>
            </w:r>
            <w:r>
              <w:rPr>
                <w:noProof/>
                <w:webHidden/>
              </w:rPr>
            </w:r>
            <w:r>
              <w:rPr>
                <w:noProof/>
                <w:webHidden/>
              </w:rPr>
              <w:fldChar w:fldCharType="separate"/>
            </w:r>
            <w:r>
              <w:rPr>
                <w:noProof/>
                <w:webHidden/>
              </w:rPr>
              <w:t>15</w:t>
            </w:r>
            <w:r>
              <w:rPr>
                <w:noProof/>
                <w:webHidden/>
              </w:rPr>
              <w:fldChar w:fldCharType="end"/>
            </w:r>
          </w:hyperlink>
        </w:p>
        <w:p w14:paraId="188534B5" w14:textId="3FBBC5BE" w:rsidR="00074F4B" w:rsidRDefault="00074F4B">
          <w:pPr>
            <w:rPr>
              <w:b/>
              <w:bCs/>
              <w:noProof/>
            </w:rPr>
          </w:pPr>
          <w:r>
            <w:rPr>
              <w:b/>
              <w:bCs/>
              <w:noProof/>
            </w:rPr>
            <w:fldChar w:fldCharType="end"/>
          </w:r>
        </w:p>
        <w:p w14:paraId="1C1F56C5" w14:textId="650860B1" w:rsidR="00074F4B" w:rsidRPr="00074F4B" w:rsidRDefault="00074F4B">
          <w:pPr>
            <w:rPr>
              <w:b/>
              <w:bCs/>
              <w:noProof/>
            </w:rPr>
          </w:pPr>
          <w:r>
            <w:rPr>
              <w:b/>
              <w:bCs/>
              <w:noProof/>
            </w:rPr>
            <w:br w:type="page"/>
          </w:r>
        </w:p>
      </w:sdtContent>
    </w:sdt>
    <w:p w14:paraId="6AC1E7FB" w14:textId="2F9AFD54" w:rsidR="00074F4B" w:rsidRDefault="00074F4B" w:rsidP="00D62A3A">
      <w:pPr>
        <w:pStyle w:val="Heading1"/>
        <w:spacing w:line="360" w:lineRule="auto"/>
        <w:jc w:val="both"/>
      </w:pPr>
      <w:bookmarkStart w:id="0" w:name="_Toc194677812"/>
      <w:r>
        <w:lastRenderedPageBreak/>
        <w:t>Executive Summary</w:t>
      </w:r>
      <w:bookmarkEnd w:id="0"/>
    </w:p>
    <w:p w14:paraId="5F7B8044" w14:textId="77777777" w:rsidR="00AD4DCB" w:rsidRDefault="00AD4DCB" w:rsidP="00D62A3A">
      <w:pPr>
        <w:spacing w:line="360" w:lineRule="auto"/>
        <w:jc w:val="both"/>
        <w:rPr>
          <w:sz w:val="24"/>
          <w:szCs w:val="24"/>
        </w:rPr>
      </w:pPr>
      <w:r w:rsidRPr="00AD4DCB">
        <w:rPr>
          <w:sz w:val="24"/>
          <w:szCs w:val="24"/>
        </w:rPr>
        <w:t>This report evaluates Microsoft’s $26.2 billion acquisition of LinkedIn, examining its impact on Microsoft’s efficiency, financial position, market strength, and shareholder value. The findings show that the merger enabled Microsoft to expand into professional networking and online learning, enhance enterprise services, and improve internal operations through platform integration.</w:t>
      </w:r>
    </w:p>
    <w:p w14:paraId="45F7259D" w14:textId="014941CE" w:rsidR="00AD4DCB" w:rsidRDefault="00AD4DCB" w:rsidP="00D62A3A">
      <w:pPr>
        <w:spacing w:line="360" w:lineRule="auto"/>
        <w:jc w:val="both"/>
        <w:rPr>
          <w:sz w:val="24"/>
          <w:szCs w:val="24"/>
        </w:rPr>
      </w:pPr>
      <w:r w:rsidRPr="00AD4DCB">
        <w:rPr>
          <w:sz w:val="24"/>
          <w:szCs w:val="24"/>
        </w:rPr>
        <w:t xml:space="preserve">Financially, the deal was funded through debt, allowing Microsoft to take advantage of low global interest rates and avoid tax charges linked to overseas cash reserves. This approach supported revenue growth in </w:t>
      </w:r>
      <w:r w:rsidR="001D331E" w:rsidRPr="001D331E">
        <w:rPr>
          <w:sz w:val="24"/>
          <w:szCs w:val="24"/>
        </w:rPr>
        <w:t>its Productivity and Business Processes segment, while also contributing to a rise in its share price.</w:t>
      </w:r>
    </w:p>
    <w:p w14:paraId="269FC895" w14:textId="77777777" w:rsidR="00AD4DCB" w:rsidRPr="00AD4DCB" w:rsidRDefault="00AD4DCB" w:rsidP="00D62A3A">
      <w:pPr>
        <w:spacing w:line="360" w:lineRule="auto"/>
        <w:jc w:val="both"/>
        <w:rPr>
          <w:sz w:val="24"/>
          <w:szCs w:val="24"/>
        </w:rPr>
      </w:pPr>
      <w:r w:rsidRPr="00AD4DCB">
        <w:rPr>
          <w:sz w:val="24"/>
          <w:szCs w:val="24"/>
        </w:rPr>
        <w:t>Regulatory scrutiny—particularly in the EU—was addressed through binding conditions to ensure fair competition and data access. Although ethical concerns about data privacy were raised, they did not prevent the merger. Overall, the acquisition helped position Microsoft for long-term growth and reflected its strategic shift toward integrated enterprise services.</w:t>
      </w:r>
    </w:p>
    <w:p w14:paraId="7842A403" w14:textId="4855620B" w:rsidR="00B80105" w:rsidRPr="00074F4B" w:rsidRDefault="00074F4B" w:rsidP="00D62A3A">
      <w:pPr>
        <w:spacing w:line="360" w:lineRule="auto"/>
        <w:jc w:val="both"/>
        <w:rPr>
          <w:rFonts w:asciiTheme="majorHAnsi" w:eastAsiaTheme="majorEastAsia" w:hAnsiTheme="majorHAnsi" w:cstheme="majorBidi"/>
          <w:color w:val="0F4761" w:themeColor="accent1" w:themeShade="BF"/>
          <w:sz w:val="40"/>
          <w:szCs w:val="40"/>
        </w:rPr>
      </w:pPr>
      <w:r>
        <w:br w:type="page"/>
      </w:r>
    </w:p>
    <w:p w14:paraId="4AC609BE" w14:textId="3957B59F" w:rsidR="00074F4B" w:rsidRDefault="00074F4B" w:rsidP="00D62A3A">
      <w:pPr>
        <w:pStyle w:val="Heading1"/>
        <w:spacing w:line="360" w:lineRule="auto"/>
        <w:jc w:val="both"/>
      </w:pPr>
      <w:bookmarkStart w:id="1" w:name="_Toc194677813"/>
      <w:r>
        <w:lastRenderedPageBreak/>
        <w:t>Introduction</w:t>
      </w:r>
      <w:bookmarkEnd w:id="1"/>
    </w:p>
    <w:p w14:paraId="46B6FA9B" w14:textId="7DB98B57" w:rsidR="00AB4AAA" w:rsidRPr="00AB4AAA" w:rsidRDefault="00AB4AAA" w:rsidP="00D62A3A">
      <w:pPr>
        <w:spacing w:line="360" w:lineRule="auto"/>
        <w:jc w:val="both"/>
        <w:rPr>
          <w:sz w:val="24"/>
          <w:szCs w:val="24"/>
        </w:rPr>
      </w:pPr>
      <w:r w:rsidRPr="00AB4AAA">
        <w:rPr>
          <w:sz w:val="24"/>
          <w:szCs w:val="24"/>
        </w:rPr>
        <w:t xml:space="preserve">In a competitive and fast-moving business environment, mergers and acquisitions (M&amp;A) have become an essential strategy for companies aiming to expand their capabilities, enter new markets, and remain competitive amid rapid technological change. For firms in the technology sector, where innovation cycles are short and user expectations shift quickly, acquiring complementary platforms is often more efficient than building them </w:t>
      </w:r>
      <w:r w:rsidR="00AD4DCB">
        <w:rPr>
          <w:sz w:val="24"/>
          <w:szCs w:val="24"/>
        </w:rPr>
        <w:t>internally.</w:t>
      </w:r>
    </w:p>
    <w:p w14:paraId="74B8DD87" w14:textId="0D6079E4" w:rsidR="00AB4AAA" w:rsidRPr="00AB4AAA" w:rsidRDefault="00AB4AAA" w:rsidP="00D62A3A">
      <w:pPr>
        <w:spacing w:line="360" w:lineRule="auto"/>
        <w:jc w:val="both"/>
        <w:rPr>
          <w:sz w:val="24"/>
          <w:szCs w:val="24"/>
        </w:rPr>
      </w:pPr>
      <w:r w:rsidRPr="00AB4AAA">
        <w:rPr>
          <w:sz w:val="24"/>
          <w:szCs w:val="24"/>
        </w:rPr>
        <w:t xml:space="preserve">This report focuses on Microsoft’s acquisition of LinkedIn in 2016, a $26.2 billion deal that represented one of the largest technology mergers of the decade. </w:t>
      </w:r>
      <w:r w:rsidR="00AD4DCB" w:rsidRPr="00AD4DCB">
        <w:rPr>
          <w:sz w:val="24"/>
          <w:szCs w:val="24"/>
        </w:rPr>
        <w:t>The acquisition marked a strategic move to deepen Microsoft’s role in professional networking and enterprise services.</w:t>
      </w:r>
      <w:r w:rsidR="00AD4DCB">
        <w:rPr>
          <w:sz w:val="24"/>
          <w:szCs w:val="24"/>
        </w:rPr>
        <w:t xml:space="preserve"> </w:t>
      </w:r>
      <w:r w:rsidRPr="00AB4AAA">
        <w:rPr>
          <w:sz w:val="24"/>
          <w:szCs w:val="24"/>
        </w:rPr>
        <w:t xml:space="preserve">The report evaluates whether the merger achieved its intended goals by examining its impact across </w:t>
      </w:r>
      <w:proofErr w:type="gramStart"/>
      <w:r w:rsidRPr="00AB4AAA">
        <w:rPr>
          <w:sz w:val="24"/>
          <w:szCs w:val="24"/>
        </w:rPr>
        <w:t>a number of</w:t>
      </w:r>
      <w:proofErr w:type="gramEnd"/>
      <w:r w:rsidRPr="00AB4AAA">
        <w:rPr>
          <w:sz w:val="24"/>
          <w:szCs w:val="24"/>
        </w:rPr>
        <w:t xml:space="preserve"> key areas, including operational efficiency, financial strategy, market positioning, legal and ethical implications, and shareholder </w:t>
      </w:r>
      <w:r w:rsidR="00171DE1">
        <w:rPr>
          <w:sz w:val="24"/>
          <w:szCs w:val="24"/>
        </w:rPr>
        <w:t>impact</w:t>
      </w:r>
      <w:r w:rsidRPr="00AB4AAA">
        <w:rPr>
          <w:sz w:val="24"/>
          <w:szCs w:val="24"/>
        </w:rPr>
        <w:t>. Through this analysis, the report aims to assess the overall success of the acquisition and what it reveals about effective M&amp;A strategy in the tech</w:t>
      </w:r>
      <w:r w:rsidR="00171DE1">
        <w:rPr>
          <w:sz w:val="24"/>
          <w:szCs w:val="24"/>
        </w:rPr>
        <w:t>nology</w:t>
      </w:r>
      <w:r w:rsidRPr="00AB4AAA">
        <w:rPr>
          <w:sz w:val="24"/>
          <w:szCs w:val="24"/>
        </w:rPr>
        <w:t xml:space="preserve"> sector.</w:t>
      </w:r>
    </w:p>
    <w:p w14:paraId="1D452D45" w14:textId="77777777" w:rsidR="00183FB7" w:rsidRPr="00183FB7" w:rsidRDefault="00183FB7" w:rsidP="00D62A3A">
      <w:pPr>
        <w:spacing w:line="360" w:lineRule="auto"/>
        <w:jc w:val="both"/>
      </w:pPr>
    </w:p>
    <w:p w14:paraId="09BD2C43" w14:textId="386C9518" w:rsidR="00074F4B" w:rsidRPr="00074F4B" w:rsidRDefault="00074F4B" w:rsidP="00D62A3A">
      <w:pPr>
        <w:spacing w:line="360" w:lineRule="auto"/>
        <w:jc w:val="both"/>
        <w:rPr>
          <w:rFonts w:asciiTheme="majorHAnsi" w:eastAsiaTheme="majorEastAsia" w:hAnsiTheme="majorHAnsi" w:cstheme="majorBidi"/>
          <w:color w:val="0F4761" w:themeColor="accent1" w:themeShade="BF"/>
          <w:sz w:val="40"/>
          <w:szCs w:val="40"/>
        </w:rPr>
      </w:pPr>
      <w:r>
        <w:br w:type="page"/>
      </w:r>
    </w:p>
    <w:p w14:paraId="22AFD77C" w14:textId="77777777" w:rsidR="00074F4B" w:rsidRDefault="00074F4B" w:rsidP="00D62A3A">
      <w:pPr>
        <w:pStyle w:val="Heading1"/>
      </w:pPr>
      <w:bookmarkStart w:id="2" w:name="_Toc194677814"/>
      <w:r w:rsidRPr="00074F4B">
        <w:lastRenderedPageBreak/>
        <w:t>Business Benefits of the Merger</w:t>
      </w:r>
      <w:bookmarkEnd w:id="2"/>
    </w:p>
    <w:p w14:paraId="3D07F39F" w14:textId="6FE2579E" w:rsidR="00074F4B" w:rsidRDefault="00074F4B" w:rsidP="00D62A3A">
      <w:pPr>
        <w:spacing w:line="360" w:lineRule="auto"/>
        <w:jc w:val="both"/>
        <w:rPr>
          <w:sz w:val="24"/>
          <w:szCs w:val="24"/>
        </w:rPr>
      </w:pPr>
      <w:r w:rsidRPr="00074F4B">
        <w:rPr>
          <w:sz w:val="24"/>
          <w:szCs w:val="24"/>
        </w:rPr>
        <w:t xml:space="preserve">Companies often merge to gain strategic and operational benefits, such as growing </w:t>
      </w:r>
      <w:r w:rsidR="00171DE1">
        <w:rPr>
          <w:sz w:val="24"/>
          <w:szCs w:val="24"/>
        </w:rPr>
        <w:t>quickly</w:t>
      </w:r>
      <w:r w:rsidRPr="00074F4B">
        <w:rPr>
          <w:sz w:val="24"/>
          <w:szCs w:val="24"/>
        </w:rPr>
        <w:t>, cutting costs, and improving efficiency. This section explores whether Microsoft’s 2016 acquisition of LinkedIn achieved these aims, focusing on economies of scale, reducing inefficiencies, and faster growth.</w:t>
      </w:r>
    </w:p>
    <w:p w14:paraId="276E285C" w14:textId="775FE4BB" w:rsidR="000B3437" w:rsidRDefault="000B3437" w:rsidP="00D62A3A">
      <w:pPr>
        <w:pStyle w:val="Heading2"/>
      </w:pPr>
      <w:bookmarkStart w:id="3" w:name="_Toc194677815"/>
      <w:r>
        <w:t>Economies of Scale</w:t>
      </w:r>
      <w:bookmarkEnd w:id="3"/>
    </w:p>
    <w:p w14:paraId="79402BD5" w14:textId="29FF2AAE" w:rsidR="00E457B6" w:rsidRDefault="00E457B6" w:rsidP="00D62A3A">
      <w:pPr>
        <w:spacing w:line="360" w:lineRule="auto"/>
        <w:jc w:val="both"/>
        <w:rPr>
          <w:sz w:val="24"/>
          <w:szCs w:val="24"/>
        </w:rPr>
      </w:pPr>
      <w:r w:rsidRPr="00E457B6">
        <w:rPr>
          <w:sz w:val="24"/>
          <w:szCs w:val="24"/>
        </w:rPr>
        <w:t xml:space="preserve">Economies of scale refer to the cost advantages a </w:t>
      </w:r>
      <w:proofErr w:type="gramStart"/>
      <w:r w:rsidRPr="00E457B6">
        <w:rPr>
          <w:sz w:val="24"/>
          <w:szCs w:val="24"/>
        </w:rPr>
        <w:t>firm gains</w:t>
      </w:r>
      <w:proofErr w:type="gramEnd"/>
      <w:r w:rsidRPr="00E457B6">
        <w:rPr>
          <w:sz w:val="24"/>
          <w:szCs w:val="24"/>
        </w:rPr>
        <w:t xml:space="preserve"> as it increases production, where fixed costs are spread over a larger number of units, resulting in a lower cost per unit (Loo, 2025). This concept is particularly relevant to Microsoft’s acquisition of LinkedIn, which gave Microsoft access to a significantly larger user base and a strong network of enterprise clients. This expansion allowed Microsoft to offer bundled services—including cloud infrastructure, </w:t>
      </w:r>
      <w:r w:rsidR="00171DE1">
        <w:rPr>
          <w:sz w:val="24"/>
          <w:szCs w:val="24"/>
        </w:rPr>
        <w:t>customer relationship management</w:t>
      </w:r>
      <w:r w:rsidRPr="00E457B6">
        <w:rPr>
          <w:sz w:val="24"/>
          <w:szCs w:val="24"/>
        </w:rPr>
        <w:t>, and Office 365—to a wider audience, helping it spread fixed costs more effectively (</w:t>
      </w:r>
      <w:proofErr w:type="spellStart"/>
      <w:r w:rsidRPr="00E457B6">
        <w:rPr>
          <w:sz w:val="24"/>
          <w:szCs w:val="24"/>
        </w:rPr>
        <w:t>Trefis</w:t>
      </w:r>
      <w:proofErr w:type="spellEnd"/>
      <w:r w:rsidRPr="00E457B6">
        <w:rPr>
          <w:sz w:val="24"/>
          <w:szCs w:val="24"/>
        </w:rPr>
        <w:t xml:space="preserve"> Team, 2016). The integration of LinkedIn into Microsoft’s Office and cloud ecosystem also enabled the two firms to share data resources and marketing functions, reducing duplication and enhancing efficiency. As noted in Microsoft’s 2017 Annual Report, the merger strengthened productivity tools through more targeted engagement using LinkedIn’s data, further demonstrating how combining platforms supported cost savings at scale</w:t>
      </w:r>
      <w:r w:rsidR="00BF02A2">
        <w:rPr>
          <w:sz w:val="24"/>
          <w:szCs w:val="24"/>
        </w:rPr>
        <w:t xml:space="preserve"> </w:t>
      </w:r>
      <w:r w:rsidR="00BF02A2" w:rsidRPr="00BF02A2">
        <w:rPr>
          <w:sz w:val="24"/>
          <w:szCs w:val="24"/>
        </w:rPr>
        <w:t>(Microsoft Corporation, 2017)</w:t>
      </w:r>
      <w:r w:rsidRPr="00E457B6">
        <w:rPr>
          <w:sz w:val="24"/>
          <w:szCs w:val="24"/>
        </w:rPr>
        <w:t>.</w:t>
      </w:r>
      <w:r w:rsidR="00BF02A2">
        <w:rPr>
          <w:sz w:val="24"/>
          <w:szCs w:val="24"/>
        </w:rPr>
        <w:t xml:space="preserve"> </w:t>
      </w:r>
      <w:r w:rsidR="00BF02A2" w:rsidRPr="00BF02A2">
        <w:rPr>
          <w:sz w:val="24"/>
          <w:szCs w:val="24"/>
        </w:rPr>
        <w:t xml:space="preserve">These cost savings, in turn, contribute to long-term shareholder value by improving profit margins and increasing Microsoft’s competitiveness in the enterprise services market. </w:t>
      </w:r>
      <w:r w:rsidR="00933EE1" w:rsidRPr="00933EE1">
        <w:rPr>
          <w:sz w:val="24"/>
          <w:szCs w:val="24"/>
        </w:rPr>
        <w:t>However, the realisation of economies of scale relies heavily on effective post-merger integration. As noted by Hussain et al. (2022), firms with stronger financial and organisational capacity are better positioned to manage this process successfully and achieve the expected value from the merger.</w:t>
      </w:r>
    </w:p>
    <w:p w14:paraId="4A8629C2" w14:textId="6ADCE9D1" w:rsidR="00E457B6" w:rsidRDefault="00E457B6" w:rsidP="00D62A3A">
      <w:pPr>
        <w:pStyle w:val="Heading2"/>
      </w:pPr>
      <w:bookmarkStart w:id="4" w:name="_Toc194677816"/>
      <w:r>
        <w:t>Elimination of Inefficiencies</w:t>
      </w:r>
      <w:bookmarkEnd w:id="4"/>
      <w:r>
        <w:t xml:space="preserve"> </w:t>
      </w:r>
    </w:p>
    <w:p w14:paraId="48DB0630" w14:textId="77777777" w:rsidR="001D331E" w:rsidRDefault="001E4479" w:rsidP="00D62A3A">
      <w:pPr>
        <w:spacing w:line="360" w:lineRule="auto"/>
        <w:jc w:val="both"/>
        <w:rPr>
          <w:sz w:val="24"/>
          <w:szCs w:val="24"/>
        </w:rPr>
      </w:pPr>
      <w:r w:rsidRPr="001E4479">
        <w:rPr>
          <w:sz w:val="24"/>
          <w:szCs w:val="24"/>
        </w:rPr>
        <w:t xml:space="preserve">Eliminating inefficiencies is a common aim in mergers, where companies seek to streamline operations, reduce overlapping roles, and improve internal processes. </w:t>
      </w:r>
      <w:r w:rsidR="00291761" w:rsidRPr="00291761">
        <w:rPr>
          <w:sz w:val="24"/>
          <w:szCs w:val="24"/>
        </w:rPr>
        <w:t xml:space="preserve">These improvements, often described as operational synergies, involve reducing costs by </w:t>
      </w:r>
      <w:r w:rsidR="00291761" w:rsidRPr="00291761">
        <w:rPr>
          <w:sz w:val="24"/>
          <w:szCs w:val="24"/>
        </w:rPr>
        <w:lastRenderedPageBreak/>
        <w:t>aligning systems and simplifying processes across the merged firms</w:t>
      </w:r>
      <w:r w:rsidR="00291761">
        <w:rPr>
          <w:sz w:val="24"/>
          <w:szCs w:val="24"/>
        </w:rPr>
        <w:t xml:space="preserve"> </w:t>
      </w:r>
      <w:r w:rsidRPr="001E4479">
        <w:rPr>
          <w:sz w:val="24"/>
          <w:szCs w:val="24"/>
        </w:rPr>
        <w:t xml:space="preserve">(Schoenmaker and </w:t>
      </w:r>
      <w:proofErr w:type="spellStart"/>
      <w:r w:rsidRPr="001E4479">
        <w:rPr>
          <w:sz w:val="24"/>
          <w:szCs w:val="24"/>
        </w:rPr>
        <w:t>Schramade</w:t>
      </w:r>
      <w:proofErr w:type="spellEnd"/>
      <w:r w:rsidRPr="001E4479">
        <w:rPr>
          <w:sz w:val="24"/>
          <w:szCs w:val="24"/>
        </w:rPr>
        <w:t>, 2023)</w:t>
      </w:r>
      <w:r>
        <w:rPr>
          <w:sz w:val="24"/>
          <w:szCs w:val="24"/>
        </w:rPr>
        <w:t xml:space="preserve">. </w:t>
      </w:r>
    </w:p>
    <w:p w14:paraId="69B322F0" w14:textId="3F80BCE2" w:rsidR="00902D9E" w:rsidRDefault="00F40395" w:rsidP="00D62A3A">
      <w:pPr>
        <w:spacing w:line="360" w:lineRule="auto"/>
        <w:jc w:val="both"/>
        <w:rPr>
          <w:sz w:val="24"/>
          <w:szCs w:val="24"/>
        </w:rPr>
      </w:pPr>
      <w:r w:rsidRPr="00F40395">
        <w:rPr>
          <w:sz w:val="24"/>
          <w:szCs w:val="24"/>
        </w:rPr>
        <w:t xml:space="preserve">In the case of Microsoft and LinkedIn, this involved bringing LinkedIn’s tools, platforms, and processes in line with Microsoft’s existing operations. </w:t>
      </w:r>
      <w:r w:rsidR="009D4CA3" w:rsidRPr="009D4CA3">
        <w:rPr>
          <w:sz w:val="24"/>
          <w:szCs w:val="24"/>
        </w:rPr>
        <w:t>For example, LinkedIn Sales Navigator was integrated with Microsoft’s Dynamics 365 platform to enhance customer relationship management by connecting CRM functions with LinkedIn’s data and relationship insights. According to Microsoft (2024), this integration helps improve business processes by linking internal systems with real-time information about people, organisations, and relationships.</w:t>
      </w:r>
      <w:r w:rsidR="00503264">
        <w:rPr>
          <w:sz w:val="24"/>
          <w:szCs w:val="24"/>
        </w:rPr>
        <w:t xml:space="preserve"> </w:t>
      </w:r>
    </w:p>
    <w:p w14:paraId="2D368B58" w14:textId="77D1A3AA" w:rsidR="009058ED" w:rsidRDefault="001D331E" w:rsidP="00D62A3A">
      <w:pPr>
        <w:spacing w:line="360" w:lineRule="auto"/>
        <w:jc w:val="both"/>
        <w:rPr>
          <w:sz w:val="24"/>
          <w:szCs w:val="24"/>
        </w:rPr>
      </w:pPr>
      <w:r>
        <w:rPr>
          <w:sz w:val="24"/>
          <w:szCs w:val="24"/>
        </w:rPr>
        <w:t xml:space="preserve">Microsoft also </w:t>
      </w:r>
      <w:r w:rsidR="00902D9E" w:rsidRPr="00902D9E">
        <w:rPr>
          <w:sz w:val="24"/>
          <w:szCs w:val="24"/>
        </w:rPr>
        <w:t>began using LinkedIn’s audience data within Bing Ads to create more targeted advertising based on job roles, industries, and company details. This helped improve marketing efficiency by reducing wasted outreach</w:t>
      </w:r>
      <w:r w:rsidR="00902D9E">
        <w:rPr>
          <w:sz w:val="24"/>
          <w:szCs w:val="24"/>
        </w:rPr>
        <w:t xml:space="preserve"> </w:t>
      </w:r>
      <w:r w:rsidR="00902D9E" w:rsidRPr="00902D9E">
        <w:rPr>
          <w:sz w:val="24"/>
          <w:szCs w:val="24"/>
        </w:rPr>
        <w:t>(Irvine, 2021). Internally, Microsoft also made use of LinkedIn’s talent tools to support recruitment and workforce planning, helping to streamline its HR processes</w:t>
      </w:r>
      <w:r w:rsidR="00902D9E">
        <w:rPr>
          <w:sz w:val="24"/>
          <w:szCs w:val="24"/>
        </w:rPr>
        <w:t xml:space="preserve">. </w:t>
      </w:r>
      <w:r w:rsidR="009058ED" w:rsidRPr="009058ED">
        <w:rPr>
          <w:sz w:val="24"/>
          <w:szCs w:val="24"/>
        </w:rPr>
        <w:t>Beyond that, both companies were able to cut duplication in shared functions</w:t>
      </w:r>
      <w:r w:rsidR="009058ED">
        <w:rPr>
          <w:sz w:val="24"/>
          <w:szCs w:val="24"/>
        </w:rPr>
        <w:t xml:space="preserve">, </w:t>
      </w:r>
      <w:r w:rsidR="009058ED" w:rsidRPr="009058ED">
        <w:rPr>
          <w:sz w:val="24"/>
          <w:szCs w:val="24"/>
        </w:rPr>
        <w:t>such as IT, finance, and support</w:t>
      </w:r>
      <w:r w:rsidR="009058ED">
        <w:rPr>
          <w:sz w:val="24"/>
          <w:szCs w:val="24"/>
        </w:rPr>
        <w:t xml:space="preserve">, </w:t>
      </w:r>
      <w:r w:rsidR="009058ED" w:rsidRPr="009058ED">
        <w:rPr>
          <w:sz w:val="24"/>
          <w:szCs w:val="24"/>
        </w:rPr>
        <w:t>by aligning infrastructure and internal systems across the business. These back-end integrations helped reduce costs and improve internal coordination.</w:t>
      </w:r>
      <w:r w:rsidR="009058ED">
        <w:rPr>
          <w:sz w:val="24"/>
          <w:szCs w:val="24"/>
        </w:rPr>
        <w:t xml:space="preserve"> </w:t>
      </w:r>
    </w:p>
    <w:p w14:paraId="31F07E95" w14:textId="3CC002C1" w:rsidR="00F40395" w:rsidRDefault="00291761" w:rsidP="00D62A3A">
      <w:pPr>
        <w:spacing w:line="360" w:lineRule="auto"/>
        <w:jc w:val="both"/>
        <w:rPr>
          <w:sz w:val="24"/>
          <w:szCs w:val="24"/>
        </w:rPr>
      </w:pPr>
      <w:r w:rsidRPr="00291761">
        <w:rPr>
          <w:sz w:val="24"/>
          <w:szCs w:val="24"/>
        </w:rPr>
        <w:t xml:space="preserve">While these changes </w:t>
      </w:r>
      <w:r>
        <w:rPr>
          <w:sz w:val="24"/>
          <w:szCs w:val="24"/>
        </w:rPr>
        <w:t>aim</w:t>
      </w:r>
      <w:r w:rsidRPr="00291761">
        <w:rPr>
          <w:sz w:val="24"/>
          <w:szCs w:val="24"/>
        </w:rPr>
        <w:t xml:space="preserve"> to improve efficiency, aligning systems and processes after a merger can be challenging. However, in this case, Microsoft and LinkedIn’s shared focus on enterprise services likely supported a smoother integration and helped both firms improve overall performance and value delivery to stakeholders</w:t>
      </w:r>
      <w:r>
        <w:rPr>
          <w:sz w:val="24"/>
          <w:szCs w:val="24"/>
        </w:rPr>
        <w:t>.</w:t>
      </w:r>
    </w:p>
    <w:p w14:paraId="3C0A605F" w14:textId="0C77970E" w:rsidR="00291761" w:rsidRDefault="00291761" w:rsidP="00D62A3A">
      <w:pPr>
        <w:pStyle w:val="Heading2"/>
      </w:pPr>
      <w:bookmarkStart w:id="5" w:name="_Toc194677817"/>
      <w:r>
        <w:t>Speed of growth</w:t>
      </w:r>
      <w:bookmarkEnd w:id="5"/>
    </w:p>
    <w:p w14:paraId="6F67BDA8" w14:textId="77777777" w:rsidR="00171DE1" w:rsidRDefault="00291761" w:rsidP="00D62A3A">
      <w:pPr>
        <w:spacing w:line="360" w:lineRule="auto"/>
        <w:jc w:val="both"/>
        <w:rPr>
          <w:sz w:val="24"/>
          <w:szCs w:val="24"/>
        </w:rPr>
      </w:pPr>
      <w:r w:rsidRPr="00291761">
        <w:rPr>
          <w:sz w:val="24"/>
          <w:szCs w:val="24"/>
        </w:rPr>
        <w:t>Another reason companies may choose to grow through mergers and acquisitions is the ability to scale more quickly than through organic growth</w:t>
      </w:r>
      <w:r w:rsidR="00C72DC7">
        <w:rPr>
          <w:sz w:val="24"/>
          <w:szCs w:val="24"/>
        </w:rPr>
        <w:t xml:space="preserve"> </w:t>
      </w:r>
      <w:r w:rsidR="00C72DC7" w:rsidRPr="00C72DC7">
        <w:rPr>
          <w:sz w:val="24"/>
          <w:szCs w:val="24"/>
        </w:rPr>
        <w:t>(</w:t>
      </w:r>
      <w:proofErr w:type="spellStart"/>
      <w:r w:rsidR="00C72DC7" w:rsidRPr="00C72DC7">
        <w:rPr>
          <w:sz w:val="24"/>
          <w:szCs w:val="24"/>
        </w:rPr>
        <w:t>Renneboog</w:t>
      </w:r>
      <w:proofErr w:type="spellEnd"/>
      <w:r w:rsidR="00C72DC7" w:rsidRPr="00C72DC7">
        <w:rPr>
          <w:sz w:val="24"/>
          <w:szCs w:val="24"/>
        </w:rPr>
        <w:t xml:space="preserve"> and Vansteenkiste, 2019)</w:t>
      </w:r>
      <w:r w:rsidRPr="00291761">
        <w:rPr>
          <w:sz w:val="24"/>
          <w:szCs w:val="24"/>
        </w:rPr>
        <w:t>.</w:t>
      </w:r>
      <w:r w:rsidR="00F978FD">
        <w:rPr>
          <w:sz w:val="24"/>
          <w:szCs w:val="24"/>
        </w:rPr>
        <w:t xml:space="preserve"> </w:t>
      </w:r>
      <w:r w:rsidR="00F978FD" w:rsidRPr="00F978FD">
        <w:rPr>
          <w:sz w:val="24"/>
          <w:szCs w:val="24"/>
        </w:rPr>
        <w:t xml:space="preserve">By acquiring LinkedIn, Microsoft instantly gained access to 433 million users, including </w:t>
      </w:r>
      <w:proofErr w:type="gramStart"/>
      <w:r w:rsidR="00F978FD" w:rsidRPr="00F978FD">
        <w:rPr>
          <w:sz w:val="24"/>
          <w:szCs w:val="24"/>
        </w:rPr>
        <w:t>a large number of</w:t>
      </w:r>
      <w:proofErr w:type="gramEnd"/>
      <w:r w:rsidR="00F978FD" w:rsidRPr="00F978FD">
        <w:rPr>
          <w:sz w:val="24"/>
          <w:szCs w:val="24"/>
        </w:rPr>
        <w:t xml:space="preserve"> business clients. This gave </w:t>
      </w:r>
      <w:r w:rsidR="00E22A3D">
        <w:rPr>
          <w:sz w:val="24"/>
          <w:szCs w:val="24"/>
        </w:rPr>
        <w:t>Microsoft</w:t>
      </w:r>
      <w:r w:rsidR="00F978FD" w:rsidRPr="00F978FD">
        <w:rPr>
          <w:sz w:val="24"/>
          <w:szCs w:val="24"/>
        </w:rPr>
        <w:t xml:space="preserve"> a strong position in professional networking, social recruiting, and B2B marketing—something that would have taken years to build from scratch</w:t>
      </w:r>
      <w:r w:rsidR="00F978FD">
        <w:rPr>
          <w:sz w:val="24"/>
          <w:szCs w:val="24"/>
        </w:rPr>
        <w:t xml:space="preserve"> </w:t>
      </w:r>
      <w:r w:rsidR="00F978FD" w:rsidRPr="00F978FD">
        <w:rPr>
          <w:sz w:val="24"/>
          <w:szCs w:val="24"/>
        </w:rPr>
        <w:t xml:space="preserve">(Microsoft News </w:t>
      </w:r>
      <w:proofErr w:type="spellStart"/>
      <w:r w:rsidR="00F978FD" w:rsidRPr="00F978FD">
        <w:rPr>
          <w:sz w:val="24"/>
          <w:szCs w:val="24"/>
        </w:rPr>
        <w:t>Center</w:t>
      </w:r>
      <w:proofErr w:type="spellEnd"/>
      <w:r w:rsidR="00F978FD" w:rsidRPr="00F978FD">
        <w:rPr>
          <w:sz w:val="24"/>
          <w:szCs w:val="24"/>
        </w:rPr>
        <w:t>, 2016).</w:t>
      </w:r>
      <w:r w:rsidR="00F978FD">
        <w:rPr>
          <w:sz w:val="24"/>
          <w:szCs w:val="24"/>
        </w:rPr>
        <w:t xml:space="preserve"> </w:t>
      </w:r>
      <w:r w:rsidR="00F978FD" w:rsidRPr="00F978FD">
        <w:rPr>
          <w:sz w:val="24"/>
          <w:szCs w:val="24"/>
        </w:rPr>
        <w:t xml:space="preserve">This rapid scale-up allowed Microsoft to expand its presence in the enterprise and social business space </w:t>
      </w:r>
      <w:r w:rsidR="00F978FD">
        <w:rPr>
          <w:sz w:val="24"/>
          <w:szCs w:val="24"/>
        </w:rPr>
        <w:t>faster</w:t>
      </w:r>
      <w:r w:rsidR="00F978FD" w:rsidRPr="00F978FD">
        <w:rPr>
          <w:sz w:val="24"/>
          <w:szCs w:val="24"/>
        </w:rPr>
        <w:t xml:space="preserve"> than if it had developed a similar platform in-house.</w:t>
      </w:r>
      <w:r w:rsidR="00F5690E">
        <w:rPr>
          <w:sz w:val="24"/>
          <w:szCs w:val="24"/>
        </w:rPr>
        <w:t xml:space="preserve"> </w:t>
      </w:r>
      <w:r w:rsidR="00F5690E" w:rsidRPr="00F5690E">
        <w:rPr>
          <w:sz w:val="24"/>
          <w:szCs w:val="24"/>
        </w:rPr>
        <w:t xml:space="preserve">This speed of entry not only </w:t>
      </w:r>
      <w:r w:rsidR="00F5690E" w:rsidRPr="00F5690E">
        <w:rPr>
          <w:sz w:val="24"/>
          <w:szCs w:val="24"/>
        </w:rPr>
        <w:lastRenderedPageBreak/>
        <w:t>shortened Microsoft’s time to market but also helped it stay competitive in the rapidly evolving enterprise services landscape.</w:t>
      </w:r>
      <w:r w:rsidR="00F5690E">
        <w:rPr>
          <w:sz w:val="24"/>
          <w:szCs w:val="24"/>
        </w:rPr>
        <w:t xml:space="preserve"> </w:t>
      </w:r>
    </w:p>
    <w:p w14:paraId="1ADD49CE" w14:textId="234DC874" w:rsidR="00D62A3A" w:rsidRDefault="00E22A3D" w:rsidP="00D62A3A">
      <w:pPr>
        <w:spacing w:line="360" w:lineRule="auto"/>
        <w:jc w:val="both"/>
        <w:rPr>
          <w:sz w:val="24"/>
          <w:szCs w:val="24"/>
        </w:rPr>
      </w:pPr>
      <w:r w:rsidRPr="00E22A3D">
        <w:rPr>
          <w:sz w:val="24"/>
          <w:szCs w:val="24"/>
        </w:rPr>
        <w:t xml:space="preserve">While gaining scale quickly can offer clear advantages, rapid expansion through mergers can also create challenges, </w:t>
      </w:r>
      <w:r w:rsidR="001D331E" w:rsidRPr="001D331E">
        <w:rPr>
          <w:sz w:val="24"/>
          <w:szCs w:val="24"/>
        </w:rPr>
        <w:t>particularly when integrating different organisational cultures.</w:t>
      </w:r>
      <w:r w:rsidR="001D331E">
        <w:rPr>
          <w:sz w:val="24"/>
          <w:szCs w:val="24"/>
        </w:rPr>
        <w:t xml:space="preserve"> </w:t>
      </w:r>
      <w:r w:rsidRPr="00E22A3D">
        <w:rPr>
          <w:sz w:val="24"/>
          <w:szCs w:val="24"/>
        </w:rPr>
        <w:t xml:space="preserve">As Brede et al. (2024) note, cultural differences between merging firms may lead to internal </w:t>
      </w:r>
      <w:r>
        <w:rPr>
          <w:sz w:val="24"/>
          <w:szCs w:val="24"/>
        </w:rPr>
        <w:t>friction</w:t>
      </w:r>
      <w:r w:rsidRPr="00E22A3D">
        <w:rPr>
          <w:sz w:val="24"/>
          <w:szCs w:val="24"/>
        </w:rPr>
        <w:t>, making it harder to align structures, transfer knowledge, or maintain consistent practices during integration</w:t>
      </w:r>
      <w:r>
        <w:rPr>
          <w:sz w:val="24"/>
          <w:szCs w:val="24"/>
        </w:rPr>
        <w:t xml:space="preserve">. </w:t>
      </w:r>
      <w:r w:rsidR="00F5690E" w:rsidRPr="00F5690E">
        <w:rPr>
          <w:sz w:val="24"/>
          <w:szCs w:val="24"/>
        </w:rPr>
        <w:t>In Microsoft’s case, however, the strategic fit between the two firms likely helped ease this transition.</w:t>
      </w:r>
    </w:p>
    <w:p w14:paraId="44A905BC" w14:textId="49FB3BC9" w:rsidR="00291761" w:rsidRPr="00291761" w:rsidRDefault="00D62A3A" w:rsidP="00D62A3A">
      <w:pPr>
        <w:rPr>
          <w:sz w:val="24"/>
          <w:szCs w:val="24"/>
        </w:rPr>
      </w:pPr>
      <w:r>
        <w:rPr>
          <w:sz w:val="24"/>
          <w:szCs w:val="24"/>
        </w:rPr>
        <w:br w:type="page"/>
      </w:r>
    </w:p>
    <w:p w14:paraId="6A2F8A0E" w14:textId="7CA9DC46" w:rsidR="000B3437" w:rsidRDefault="001260C9" w:rsidP="00D62A3A">
      <w:pPr>
        <w:pStyle w:val="Heading1"/>
      </w:pPr>
      <w:bookmarkStart w:id="6" w:name="_Toc194677818"/>
      <w:r w:rsidRPr="001260C9">
        <w:lastRenderedPageBreak/>
        <w:t>Financial Strategy and Resource Allocation</w:t>
      </w:r>
      <w:bookmarkEnd w:id="6"/>
    </w:p>
    <w:p w14:paraId="66DB6E8B" w14:textId="77777777" w:rsidR="00304446" w:rsidRDefault="00304446" w:rsidP="00D62A3A">
      <w:pPr>
        <w:spacing w:line="360" w:lineRule="auto"/>
        <w:jc w:val="both"/>
        <w:rPr>
          <w:sz w:val="24"/>
          <w:szCs w:val="24"/>
        </w:rPr>
      </w:pPr>
      <w:r w:rsidRPr="00304446">
        <w:rPr>
          <w:sz w:val="24"/>
          <w:szCs w:val="24"/>
        </w:rPr>
        <w:t>Alongside strategic and operational goals, mergers and acquisitions are also shaped by financial decisions. This section looks at how Microsoft funded the LinkedIn deal and whether the acquisition delivered the financial benefits the company expected.</w:t>
      </w:r>
    </w:p>
    <w:p w14:paraId="63F1250A" w14:textId="79EBE127" w:rsidR="00304446" w:rsidRDefault="00304446" w:rsidP="00D62A3A">
      <w:pPr>
        <w:pStyle w:val="Heading2"/>
      </w:pPr>
      <w:bookmarkStart w:id="7" w:name="_Toc194677819"/>
      <w:r>
        <w:t>Funding Strategy</w:t>
      </w:r>
      <w:bookmarkEnd w:id="7"/>
    </w:p>
    <w:p w14:paraId="279CFF1C" w14:textId="0B2F878F" w:rsidR="00BB64A9" w:rsidRPr="00BB64A9" w:rsidRDefault="00BB64A9" w:rsidP="00D62A3A">
      <w:pPr>
        <w:spacing w:line="360" w:lineRule="auto"/>
        <w:jc w:val="both"/>
        <w:rPr>
          <w:sz w:val="24"/>
          <w:szCs w:val="24"/>
        </w:rPr>
      </w:pPr>
      <w:r w:rsidRPr="00BB64A9">
        <w:rPr>
          <w:sz w:val="24"/>
          <w:szCs w:val="24"/>
        </w:rPr>
        <w:t xml:space="preserve">At the time of the LinkedIn acquisition, Microsoft held over $100 billion in cash, cash equivalents, and short-term investments (Microsoft, 2016). However, it chose to fund the $26.2 billion deal through new debt rather than using that cash. This decision was largely influenced by the fact that a significant portion of Microsoft’s cash was held </w:t>
      </w:r>
      <w:proofErr w:type="gramStart"/>
      <w:r w:rsidR="001553A0" w:rsidRPr="00BB64A9">
        <w:rPr>
          <w:sz w:val="24"/>
          <w:szCs w:val="24"/>
        </w:rPr>
        <w:t>overseas</w:t>
      </w:r>
      <w:r w:rsidR="001553A0">
        <w:rPr>
          <w:sz w:val="24"/>
          <w:szCs w:val="24"/>
        </w:rPr>
        <w:t>,</w:t>
      </w:r>
      <w:r w:rsidR="001553A0" w:rsidRPr="00BB64A9">
        <w:rPr>
          <w:sz w:val="24"/>
          <w:szCs w:val="24"/>
        </w:rPr>
        <w:t xml:space="preserve"> and</w:t>
      </w:r>
      <w:proofErr w:type="gramEnd"/>
      <w:r w:rsidRPr="00BB64A9">
        <w:rPr>
          <w:sz w:val="24"/>
          <w:szCs w:val="24"/>
        </w:rPr>
        <w:t xml:space="preserve"> </w:t>
      </w:r>
      <w:r>
        <w:rPr>
          <w:sz w:val="24"/>
          <w:szCs w:val="24"/>
        </w:rPr>
        <w:t>bringing</w:t>
      </w:r>
      <w:r w:rsidRPr="00BB64A9">
        <w:rPr>
          <w:sz w:val="24"/>
          <w:szCs w:val="24"/>
        </w:rPr>
        <w:t xml:space="preserve"> it</w:t>
      </w:r>
      <w:r>
        <w:rPr>
          <w:sz w:val="24"/>
          <w:szCs w:val="24"/>
        </w:rPr>
        <w:t xml:space="preserve"> back</w:t>
      </w:r>
      <w:r w:rsidRPr="00BB64A9">
        <w:rPr>
          <w:sz w:val="24"/>
          <w:szCs w:val="24"/>
        </w:rPr>
        <w:t xml:space="preserve"> would have triggered high U.S. tax charges under the laws in place at the time (Foroohar, 2016). With global interest rates at historic lows, borrowing provided a more cost-effective and tax-efficient alternative. It also allowed Microsoft to preserve cash for other strategic investments, such as </w:t>
      </w:r>
      <w:r>
        <w:rPr>
          <w:sz w:val="24"/>
          <w:szCs w:val="24"/>
        </w:rPr>
        <w:t>research and development</w:t>
      </w:r>
      <w:r w:rsidRPr="00BB64A9">
        <w:rPr>
          <w:sz w:val="24"/>
          <w:szCs w:val="24"/>
        </w:rPr>
        <w:t xml:space="preserve"> or future acquisitions. Using debt in this way reflected a deliberate financial strategy—one that balanced short-term costs, long-term flexibility, and investment in growth. While this approach supported financial agility, it still introduced a degree of financial and strategic risk, particularly given the size of the deal and Microsoft’s mixed track record with major acquisitions like Nokia, which was written off just two years after purchase (Feller, 2016).</w:t>
      </w:r>
    </w:p>
    <w:p w14:paraId="72DE6D6A" w14:textId="7553B6E9" w:rsidR="001260C9" w:rsidRDefault="001260C9" w:rsidP="00D62A3A">
      <w:pPr>
        <w:pStyle w:val="Heading2"/>
      </w:pPr>
      <w:bookmarkStart w:id="8" w:name="_Toc194677820"/>
      <w:r>
        <w:t>Financial Benefits</w:t>
      </w:r>
      <w:bookmarkEnd w:id="8"/>
      <w:r>
        <w:t xml:space="preserve"> </w:t>
      </w:r>
    </w:p>
    <w:p w14:paraId="67B8455F" w14:textId="63FC6B43" w:rsidR="00D62A3A" w:rsidRDefault="00E61A7F" w:rsidP="00D62A3A">
      <w:pPr>
        <w:spacing w:line="360" w:lineRule="auto"/>
        <w:jc w:val="both"/>
        <w:rPr>
          <w:sz w:val="24"/>
          <w:szCs w:val="24"/>
        </w:rPr>
      </w:pPr>
      <w:r w:rsidRPr="00E61A7F">
        <w:rPr>
          <w:sz w:val="24"/>
          <w:szCs w:val="24"/>
        </w:rPr>
        <w:t>Beyond strategic and operational aims, Microsoft also expected the LinkedIn deal to deliver long-term financial returns. LinkedIn was already generating substantial revenue</w:t>
      </w:r>
      <w:r w:rsidR="001553A0">
        <w:rPr>
          <w:sz w:val="24"/>
          <w:szCs w:val="24"/>
        </w:rPr>
        <w:t xml:space="preserve">, </w:t>
      </w:r>
      <w:r w:rsidRPr="00E61A7F">
        <w:rPr>
          <w:sz w:val="24"/>
          <w:szCs w:val="24"/>
        </w:rPr>
        <w:t xml:space="preserve">reporting $861 million in </w:t>
      </w:r>
      <w:r>
        <w:rPr>
          <w:sz w:val="24"/>
          <w:szCs w:val="24"/>
        </w:rPr>
        <w:t>the first quarter of</w:t>
      </w:r>
      <w:r w:rsidRPr="00E61A7F">
        <w:rPr>
          <w:sz w:val="24"/>
          <w:szCs w:val="24"/>
        </w:rPr>
        <w:t xml:space="preserve"> 2016 alone</w:t>
      </w:r>
      <w:r w:rsidR="001553A0">
        <w:rPr>
          <w:sz w:val="24"/>
          <w:szCs w:val="24"/>
        </w:rPr>
        <w:t xml:space="preserve">, </w:t>
      </w:r>
      <w:r w:rsidRPr="00E61A7F">
        <w:rPr>
          <w:sz w:val="24"/>
          <w:szCs w:val="24"/>
        </w:rPr>
        <w:t>through services such as advertising, subscriptions, and job listings</w:t>
      </w:r>
      <w:r w:rsidR="00263AF8">
        <w:rPr>
          <w:sz w:val="24"/>
          <w:szCs w:val="24"/>
        </w:rPr>
        <w:t xml:space="preserve"> </w:t>
      </w:r>
      <w:r w:rsidR="00263AF8" w:rsidRPr="00263AF8">
        <w:rPr>
          <w:sz w:val="24"/>
          <w:szCs w:val="24"/>
        </w:rPr>
        <w:t>(Sordello, 2016)</w:t>
      </w:r>
      <w:r w:rsidRPr="00E61A7F">
        <w:rPr>
          <w:sz w:val="24"/>
          <w:szCs w:val="24"/>
        </w:rPr>
        <w:t xml:space="preserve">. Microsoft saw this as a chance to expand its revenue base and tap into new enterprise customers. </w:t>
      </w:r>
      <w:r w:rsidR="00D10222" w:rsidRPr="00D10222">
        <w:rPr>
          <w:sz w:val="24"/>
          <w:szCs w:val="24"/>
        </w:rPr>
        <w:t xml:space="preserve">The acquisition also </w:t>
      </w:r>
      <w:proofErr w:type="gramStart"/>
      <w:r w:rsidR="00D10222" w:rsidRPr="00D10222">
        <w:rPr>
          <w:sz w:val="24"/>
          <w:szCs w:val="24"/>
        </w:rPr>
        <w:t>opened up</w:t>
      </w:r>
      <w:proofErr w:type="gramEnd"/>
      <w:r w:rsidR="00D10222" w:rsidRPr="00D10222">
        <w:rPr>
          <w:sz w:val="24"/>
          <w:szCs w:val="24"/>
        </w:rPr>
        <w:t xml:space="preserve"> cross-selling opportunities, allowing Microsoft to expand its business services by offering LinkedIn’s tools and platforms alongside its own enterprise software</w:t>
      </w:r>
      <w:r w:rsidR="00D10222">
        <w:rPr>
          <w:sz w:val="24"/>
          <w:szCs w:val="24"/>
        </w:rPr>
        <w:t xml:space="preserve"> </w:t>
      </w:r>
      <w:r w:rsidR="00D10222" w:rsidRPr="00D10222">
        <w:rPr>
          <w:sz w:val="24"/>
          <w:szCs w:val="24"/>
        </w:rPr>
        <w:t>(Violeta and Diana, 2018).</w:t>
      </w:r>
      <w:r w:rsidRPr="00E61A7F">
        <w:rPr>
          <w:sz w:val="24"/>
          <w:szCs w:val="24"/>
        </w:rPr>
        <w:t xml:space="preserve"> </w:t>
      </w:r>
      <w:r w:rsidR="00A11D09" w:rsidRPr="00A11D09">
        <w:rPr>
          <w:sz w:val="24"/>
          <w:szCs w:val="24"/>
        </w:rPr>
        <w:t>However, these financial benefits were not guaranteed and ultimately depended on LinkedIn’s ability to scale its revenue and integrate effectively within Microsoft’s broader business strategy.</w:t>
      </w:r>
      <w:r w:rsidR="00A11D09" w:rsidRPr="00A11D09">
        <w:rPr>
          <w:sz w:val="24"/>
          <w:szCs w:val="24"/>
        </w:rPr>
        <w:br/>
      </w:r>
      <w:r w:rsidR="00684B9F" w:rsidRPr="00684B9F">
        <w:rPr>
          <w:sz w:val="24"/>
          <w:szCs w:val="24"/>
        </w:rPr>
        <w:t xml:space="preserve">In financial terms, one way to assess whether an acquisition has been successful is to </w:t>
      </w:r>
      <w:r w:rsidR="00684B9F" w:rsidRPr="00684B9F">
        <w:rPr>
          <w:sz w:val="24"/>
          <w:szCs w:val="24"/>
        </w:rPr>
        <w:lastRenderedPageBreak/>
        <w:t>consider whether it increases the firm’s net present value (NPV). A positive NPV means that the expected future cash flows from the combined business exceed the cost of the investment, which, according to Brealey et al.</w:t>
      </w:r>
      <w:r w:rsidR="00684B9F">
        <w:rPr>
          <w:sz w:val="24"/>
          <w:szCs w:val="24"/>
        </w:rPr>
        <w:t xml:space="preserve"> (</w:t>
      </w:r>
      <w:r w:rsidR="00684B9F" w:rsidRPr="00684B9F">
        <w:rPr>
          <w:sz w:val="24"/>
          <w:szCs w:val="24"/>
        </w:rPr>
        <w:t>2022)</w:t>
      </w:r>
      <w:r w:rsidR="00684B9F">
        <w:rPr>
          <w:sz w:val="24"/>
          <w:szCs w:val="24"/>
        </w:rPr>
        <w:t xml:space="preserve">, </w:t>
      </w:r>
      <w:r w:rsidR="00684B9F" w:rsidRPr="00684B9F">
        <w:rPr>
          <w:sz w:val="24"/>
          <w:szCs w:val="24"/>
        </w:rPr>
        <w:t>is how companies can best increase shareholder wealth. While exact NPV figures are not publicly available, LinkedIn’s contribution to new revenue streams and alignment with Microsoft’s long-term strategic goals suggest the deal likely supported value creation over time.</w:t>
      </w:r>
    </w:p>
    <w:p w14:paraId="61D2831A" w14:textId="0D230294" w:rsidR="00C12541" w:rsidRPr="00E61A7F" w:rsidRDefault="00D62A3A" w:rsidP="00D62A3A">
      <w:pPr>
        <w:rPr>
          <w:sz w:val="24"/>
          <w:szCs w:val="24"/>
        </w:rPr>
      </w:pPr>
      <w:r>
        <w:rPr>
          <w:sz w:val="24"/>
          <w:szCs w:val="24"/>
        </w:rPr>
        <w:br w:type="page"/>
      </w:r>
    </w:p>
    <w:p w14:paraId="308491AE" w14:textId="46719716" w:rsidR="00074F4B" w:rsidRDefault="001260C9" w:rsidP="00D62A3A">
      <w:pPr>
        <w:pStyle w:val="Heading1"/>
      </w:pPr>
      <w:bookmarkStart w:id="9" w:name="_Toc194677821"/>
      <w:r w:rsidRPr="001260C9">
        <w:lastRenderedPageBreak/>
        <w:t>Market and Competitive Positioning</w:t>
      </w:r>
      <w:bookmarkEnd w:id="9"/>
    </w:p>
    <w:p w14:paraId="39F5F231" w14:textId="67D40A53" w:rsidR="00327E53" w:rsidRPr="00327E53" w:rsidRDefault="00327E53" w:rsidP="00D62A3A">
      <w:pPr>
        <w:spacing w:line="360" w:lineRule="auto"/>
        <w:jc w:val="both"/>
        <w:rPr>
          <w:sz w:val="24"/>
          <w:szCs w:val="24"/>
        </w:rPr>
      </w:pPr>
      <w:r w:rsidRPr="00327E53">
        <w:rPr>
          <w:sz w:val="24"/>
          <w:szCs w:val="24"/>
        </w:rPr>
        <w:t>In addition to financial and operational goals, mergers are often used to strengthen a company’s market position and reduce risk through diversification. This section considers how Microsoft’s acquisition of LinkedIn increased its market influence and expanded its reach into new areas of business.</w:t>
      </w:r>
    </w:p>
    <w:p w14:paraId="649F966C" w14:textId="1CBA97F9" w:rsidR="001260C9" w:rsidRDefault="001260C9" w:rsidP="00D62A3A">
      <w:pPr>
        <w:pStyle w:val="Heading2"/>
      </w:pPr>
      <w:bookmarkStart w:id="10" w:name="_Toc194677822"/>
      <w:r w:rsidRPr="001260C9">
        <w:t>Increased Power in the Market</w:t>
      </w:r>
      <w:bookmarkEnd w:id="10"/>
    </w:p>
    <w:p w14:paraId="11732975" w14:textId="77777777" w:rsidR="009F0500" w:rsidRPr="009F0500" w:rsidRDefault="009F0500" w:rsidP="00D62A3A">
      <w:pPr>
        <w:spacing w:line="360" w:lineRule="auto"/>
        <w:jc w:val="both"/>
        <w:rPr>
          <w:sz w:val="24"/>
          <w:szCs w:val="24"/>
        </w:rPr>
      </w:pPr>
      <w:r w:rsidRPr="009F0500">
        <w:rPr>
          <w:sz w:val="24"/>
          <w:szCs w:val="24"/>
        </w:rPr>
        <w:t>Acquisitions are often used to improve a company’s competitive position within its industry, especially in markets where platform strength and network reach play a key role. Microsoft’s acquisition of LinkedIn helped strengthen its presence in the enterprise services space by integrating LinkedIn’s capabilities with Microsoft Office and Dynamics, making those tools more relevant to the daily work of business professionals (Shrivas, 2024). The deal also supported Microsoft’s efforts to differentiate itself from key rivals like Salesforce and Google by combining professional data with productivity tools—something those competitors could not replicate as easily.</w:t>
      </w:r>
    </w:p>
    <w:p w14:paraId="0A0A2B40" w14:textId="77777777" w:rsidR="009F0500" w:rsidRPr="009F0500" w:rsidRDefault="009F0500" w:rsidP="00D62A3A">
      <w:pPr>
        <w:spacing w:line="360" w:lineRule="auto"/>
        <w:jc w:val="both"/>
        <w:rPr>
          <w:sz w:val="24"/>
          <w:szCs w:val="24"/>
        </w:rPr>
      </w:pPr>
      <w:r w:rsidRPr="009F0500">
        <w:rPr>
          <w:sz w:val="24"/>
          <w:szCs w:val="24"/>
        </w:rPr>
        <w:t xml:space="preserve">LinkedIn’s reach among recruiters, marketers, and decision-makers helped Microsoft appeal more directly to business customers and expand its influence across B2B channels. This positioned the company not just as a software provider but as a broader business platform, helping it </w:t>
      </w:r>
      <w:proofErr w:type="gramStart"/>
      <w:r w:rsidRPr="009F0500">
        <w:rPr>
          <w:sz w:val="24"/>
          <w:szCs w:val="24"/>
        </w:rPr>
        <w:t>retain</w:t>
      </w:r>
      <w:proofErr w:type="gramEnd"/>
      <w:r w:rsidRPr="009F0500">
        <w:rPr>
          <w:sz w:val="24"/>
          <w:szCs w:val="24"/>
        </w:rPr>
        <w:t xml:space="preserve"> its competitive edge in a rapidly evolving market. While some analysts viewed the deal as a smart way for Microsoft to expand its role in business services, its long-term value ultimately depended on how effectively the two platforms could be integrated to deliver meaningful experiences for users (McBride, 2016).</w:t>
      </w:r>
    </w:p>
    <w:p w14:paraId="103FA96E" w14:textId="41AEFBD5" w:rsidR="001260C9" w:rsidRDefault="001260C9" w:rsidP="00D62A3A">
      <w:pPr>
        <w:pStyle w:val="Heading2"/>
      </w:pPr>
      <w:bookmarkStart w:id="11" w:name="_Toc194677823"/>
      <w:r w:rsidRPr="001260C9">
        <w:t>Diversification</w:t>
      </w:r>
      <w:bookmarkEnd w:id="11"/>
    </w:p>
    <w:p w14:paraId="12EE1042" w14:textId="3A792FE6" w:rsidR="00D62A3A" w:rsidRDefault="009E0787" w:rsidP="00D62A3A">
      <w:pPr>
        <w:spacing w:line="360" w:lineRule="auto"/>
        <w:jc w:val="both"/>
        <w:rPr>
          <w:sz w:val="24"/>
          <w:szCs w:val="24"/>
        </w:rPr>
      </w:pPr>
      <w:r w:rsidRPr="009E0787">
        <w:rPr>
          <w:sz w:val="24"/>
          <w:szCs w:val="24"/>
        </w:rPr>
        <w:t>Diversification is a common aim in mergers, where companies look to meet changing customer needs, reduce business risks, and strengthen their market position by expanding into new products or services</w:t>
      </w:r>
      <w:r>
        <w:rPr>
          <w:sz w:val="24"/>
          <w:szCs w:val="24"/>
        </w:rPr>
        <w:t xml:space="preserve"> </w:t>
      </w:r>
      <w:r w:rsidRPr="009E0787">
        <w:rPr>
          <w:sz w:val="24"/>
          <w:szCs w:val="24"/>
        </w:rPr>
        <w:t>(Li, 2023)</w:t>
      </w:r>
      <w:r>
        <w:rPr>
          <w:sz w:val="24"/>
          <w:szCs w:val="24"/>
        </w:rPr>
        <w:t xml:space="preserve">. </w:t>
      </w:r>
      <w:r w:rsidR="005A731A">
        <w:rPr>
          <w:sz w:val="24"/>
          <w:szCs w:val="24"/>
        </w:rPr>
        <w:t xml:space="preserve">In </w:t>
      </w:r>
      <w:r w:rsidR="005A731A" w:rsidRPr="005A731A">
        <w:rPr>
          <w:sz w:val="24"/>
          <w:szCs w:val="24"/>
        </w:rPr>
        <w:t>Microsoft’s</w:t>
      </w:r>
      <w:r w:rsidR="005A731A">
        <w:rPr>
          <w:sz w:val="24"/>
          <w:szCs w:val="24"/>
        </w:rPr>
        <w:t xml:space="preserve"> case,</w:t>
      </w:r>
      <w:r w:rsidR="005A731A" w:rsidRPr="005A731A">
        <w:rPr>
          <w:sz w:val="24"/>
          <w:szCs w:val="24"/>
        </w:rPr>
        <w:t xml:space="preserve"> acqui</w:t>
      </w:r>
      <w:r w:rsidR="005A731A">
        <w:rPr>
          <w:sz w:val="24"/>
          <w:szCs w:val="24"/>
        </w:rPr>
        <w:t xml:space="preserve">ring </w:t>
      </w:r>
      <w:r w:rsidR="005A731A" w:rsidRPr="005A731A">
        <w:rPr>
          <w:sz w:val="24"/>
          <w:szCs w:val="24"/>
        </w:rPr>
        <w:t xml:space="preserve">LinkedIn gave the company a way into the online learning market through LinkedIn Learning, helping it </w:t>
      </w:r>
      <w:proofErr w:type="gramStart"/>
      <w:r w:rsidR="005A731A" w:rsidRPr="005A731A">
        <w:rPr>
          <w:sz w:val="24"/>
          <w:szCs w:val="24"/>
        </w:rPr>
        <w:t>expand</w:t>
      </w:r>
      <w:proofErr w:type="gramEnd"/>
      <w:r w:rsidR="005A731A" w:rsidRPr="005A731A">
        <w:rPr>
          <w:sz w:val="24"/>
          <w:szCs w:val="24"/>
        </w:rPr>
        <w:t xml:space="preserve"> into an area it hadn’t focused on before while also complementing its existing Office tools</w:t>
      </w:r>
      <w:r w:rsidR="005A731A">
        <w:rPr>
          <w:sz w:val="24"/>
          <w:szCs w:val="24"/>
        </w:rPr>
        <w:t xml:space="preserve"> </w:t>
      </w:r>
      <w:r w:rsidR="005A731A" w:rsidRPr="005A731A">
        <w:rPr>
          <w:sz w:val="24"/>
          <w:szCs w:val="24"/>
        </w:rPr>
        <w:t>(Conlan-Donnelly, 2016).</w:t>
      </w:r>
      <w:r w:rsidR="005A731A">
        <w:rPr>
          <w:sz w:val="24"/>
          <w:szCs w:val="24"/>
        </w:rPr>
        <w:t xml:space="preserve"> </w:t>
      </w:r>
      <w:r w:rsidR="00FD2C1F" w:rsidRPr="00FD2C1F">
        <w:rPr>
          <w:sz w:val="24"/>
          <w:szCs w:val="24"/>
        </w:rPr>
        <w:t xml:space="preserve">LinkedIn’s focus on professional users and recruiters gave Microsoft access to a specialised audience that </w:t>
      </w:r>
      <w:r w:rsidR="00FD2C1F" w:rsidRPr="00FD2C1F">
        <w:rPr>
          <w:sz w:val="24"/>
          <w:szCs w:val="24"/>
        </w:rPr>
        <w:lastRenderedPageBreak/>
        <w:t xml:space="preserve">aligned well with its enterprise goals. </w:t>
      </w:r>
      <w:r w:rsidR="008E57D9" w:rsidRPr="008E57D9">
        <w:rPr>
          <w:sz w:val="24"/>
          <w:szCs w:val="24"/>
        </w:rPr>
        <w:t>The acquisition also brought in Lynda.com, an online course platform owned by LinkedIn, which offered training in practical business, technology, and design skills</w:t>
      </w:r>
      <w:r w:rsidR="008E57D9">
        <w:rPr>
          <w:sz w:val="24"/>
          <w:szCs w:val="24"/>
        </w:rPr>
        <w:t xml:space="preserve"> </w:t>
      </w:r>
      <w:r w:rsidR="008E57D9" w:rsidRPr="008E57D9">
        <w:rPr>
          <w:sz w:val="24"/>
          <w:szCs w:val="24"/>
        </w:rPr>
        <w:t>(Fain, 2015)</w:t>
      </w:r>
      <w:r w:rsidR="008E57D9">
        <w:rPr>
          <w:sz w:val="24"/>
          <w:szCs w:val="24"/>
        </w:rPr>
        <w:t xml:space="preserve">. </w:t>
      </w:r>
      <w:r w:rsidR="00FD2C1F" w:rsidRPr="00FD2C1F">
        <w:rPr>
          <w:sz w:val="24"/>
          <w:szCs w:val="24"/>
        </w:rPr>
        <w:t>This expanded Microsoft’s reach into professional development and online education</w:t>
      </w:r>
      <w:r w:rsidR="00FD2C1F">
        <w:rPr>
          <w:sz w:val="24"/>
          <w:szCs w:val="24"/>
        </w:rPr>
        <w:t xml:space="preserve">, </w:t>
      </w:r>
      <w:r w:rsidR="00FD2C1F" w:rsidRPr="00FD2C1F">
        <w:rPr>
          <w:sz w:val="24"/>
          <w:szCs w:val="24"/>
        </w:rPr>
        <w:t xml:space="preserve">areas it hadn’t previously focused on. </w:t>
      </w:r>
      <w:r w:rsidR="00684B9F" w:rsidRPr="00684B9F">
        <w:rPr>
          <w:sz w:val="24"/>
          <w:szCs w:val="24"/>
        </w:rPr>
        <w:t xml:space="preserve">Together, these additions created value beyond Microsoft’s traditional software products by introducing new services aimed at business and professional users. </w:t>
      </w:r>
      <w:r w:rsidR="008E78DB" w:rsidRPr="008E78DB">
        <w:rPr>
          <w:sz w:val="24"/>
          <w:szCs w:val="24"/>
        </w:rPr>
        <w:t>This reduced Microsoft’s reliance on enterprise software and supported growth across new areas, including cloud computing and other strategic acquisitions (Stadler, 2021).</w:t>
      </w:r>
      <w:r w:rsidR="008E78DB">
        <w:rPr>
          <w:sz w:val="24"/>
          <w:szCs w:val="24"/>
        </w:rPr>
        <w:t xml:space="preserve"> </w:t>
      </w:r>
      <w:r w:rsidR="00684B9F" w:rsidRPr="00684B9F">
        <w:rPr>
          <w:sz w:val="24"/>
          <w:szCs w:val="24"/>
        </w:rPr>
        <w:t>While this broadened Microsoft’s reach, it also required the company to operate in markets where it had less direct experience, which could bring new challenges.</w:t>
      </w:r>
    </w:p>
    <w:p w14:paraId="040121C5" w14:textId="728D2F79" w:rsidR="00EE597B" w:rsidRPr="00EE597B" w:rsidRDefault="00D62A3A" w:rsidP="00D62A3A">
      <w:pPr>
        <w:rPr>
          <w:sz w:val="24"/>
          <w:szCs w:val="24"/>
        </w:rPr>
      </w:pPr>
      <w:r>
        <w:rPr>
          <w:sz w:val="24"/>
          <w:szCs w:val="24"/>
        </w:rPr>
        <w:br w:type="page"/>
      </w:r>
    </w:p>
    <w:p w14:paraId="79EB8E73" w14:textId="77777777" w:rsidR="00FE4519" w:rsidRDefault="00FE4519" w:rsidP="00D62A3A">
      <w:pPr>
        <w:pStyle w:val="Heading1"/>
      </w:pPr>
      <w:bookmarkStart w:id="12" w:name="_Toc194677824"/>
      <w:r w:rsidRPr="00FE4519">
        <w:lastRenderedPageBreak/>
        <w:t>Strategic Fit and Complementary Capabilities</w:t>
      </w:r>
      <w:bookmarkEnd w:id="12"/>
    </w:p>
    <w:p w14:paraId="1488152F" w14:textId="77777777" w:rsidR="003A6472" w:rsidRPr="003A6472" w:rsidRDefault="003A6472" w:rsidP="00D62A3A">
      <w:pPr>
        <w:spacing w:line="360" w:lineRule="auto"/>
        <w:jc w:val="both"/>
        <w:rPr>
          <w:sz w:val="24"/>
          <w:szCs w:val="24"/>
        </w:rPr>
      </w:pPr>
      <w:r w:rsidRPr="003A6472">
        <w:rPr>
          <w:sz w:val="24"/>
          <w:szCs w:val="24"/>
        </w:rPr>
        <w:t xml:space="preserve">Mergers tend to work best when the companies involved have a good strategic fit, bringing together different strengths that complement each other, especially when it comes to products and markets (Faulkner, Satu </w:t>
      </w:r>
      <w:proofErr w:type="spellStart"/>
      <w:r w:rsidRPr="003A6472">
        <w:rPr>
          <w:sz w:val="24"/>
          <w:szCs w:val="24"/>
        </w:rPr>
        <w:t>Teerikangas</w:t>
      </w:r>
      <w:proofErr w:type="spellEnd"/>
      <w:r w:rsidRPr="003A6472">
        <w:rPr>
          <w:sz w:val="24"/>
          <w:szCs w:val="24"/>
        </w:rPr>
        <w:t xml:space="preserve"> and Joseph, 2012). In Microsoft’s case, this meant combining its strengths in enterprise software, cloud infrastructure, and productivity tools with LinkedIn’s professional network, user data, and tools for social selling and recruitment.</w:t>
      </w:r>
    </w:p>
    <w:p w14:paraId="43A170C9" w14:textId="46B345F1" w:rsidR="003A6472" w:rsidRPr="003A6472" w:rsidRDefault="001D331E" w:rsidP="00D62A3A">
      <w:pPr>
        <w:spacing w:line="360" w:lineRule="auto"/>
        <w:jc w:val="both"/>
        <w:rPr>
          <w:sz w:val="24"/>
          <w:szCs w:val="24"/>
        </w:rPr>
      </w:pPr>
      <w:r w:rsidRPr="001D331E">
        <w:rPr>
          <w:sz w:val="24"/>
          <w:szCs w:val="24"/>
        </w:rPr>
        <w:t>Rather than overlapping functions, the companies offered capabilities that extended each other’s reach.</w:t>
      </w:r>
      <w:r>
        <w:rPr>
          <w:sz w:val="24"/>
          <w:szCs w:val="24"/>
        </w:rPr>
        <w:t xml:space="preserve"> </w:t>
      </w:r>
      <w:r w:rsidR="003A6472" w:rsidRPr="003A6472">
        <w:rPr>
          <w:sz w:val="24"/>
          <w:szCs w:val="24"/>
        </w:rPr>
        <w:t>For example, integrating LinkedIn’s data into Microsoft’s Dynamics 365 enhanced its ability to deliver insight-driven customer relationship management (Shrivas, 2024). This added functionality supported Microsoft’s broader move toward AI-driven business tools.</w:t>
      </w:r>
    </w:p>
    <w:p w14:paraId="23709827" w14:textId="51A23E05" w:rsidR="00D62A3A" w:rsidRDefault="003A6472" w:rsidP="00D62A3A">
      <w:pPr>
        <w:spacing w:line="360" w:lineRule="auto"/>
        <w:jc w:val="both"/>
        <w:rPr>
          <w:sz w:val="24"/>
          <w:szCs w:val="24"/>
        </w:rPr>
      </w:pPr>
      <w:r w:rsidRPr="003A6472">
        <w:rPr>
          <w:sz w:val="24"/>
          <w:szCs w:val="24"/>
        </w:rPr>
        <w:t>By acquiring these complementary resources, Microsoft avoided the risks and costs of building similar systems in-house</w:t>
      </w:r>
      <w:r>
        <w:rPr>
          <w:sz w:val="24"/>
          <w:szCs w:val="24"/>
        </w:rPr>
        <w:t xml:space="preserve">, </w:t>
      </w:r>
      <w:r w:rsidRPr="003A6472">
        <w:rPr>
          <w:sz w:val="24"/>
          <w:szCs w:val="24"/>
        </w:rPr>
        <w:t xml:space="preserve">a path that would have been </w:t>
      </w:r>
      <w:r>
        <w:rPr>
          <w:sz w:val="24"/>
          <w:szCs w:val="24"/>
        </w:rPr>
        <w:t>more costly and</w:t>
      </w:r>
      <w:r w:rsidRPr="003A6472">
        <w:rPr>
          <w:sz w:val="24"/>
          <w:szCs w:val="24"/>
        </w:rPr>
        <w:t xml:space="preserve"> uncertain (Borin, 2016). However, realising these benefits still depended on effective integration, which is often a key reason </w:t>
      </w:r>
      <w:r>
        <w:rPr>
          <w:sz w:val="24"/>
          <w:szCs w:val="24"/>
        </w:rPr>
        <w:t xml:space="preserve">why </w:t>
      </w:r>
      <w:r w:rsidRPr="003A6472">
        <w:rPr>
          <w:sz w:val="24"/>
          <w:szCs w:val="24"/>
        </w:rPr>
        <w:t>mergers underperform when not managed carefully.</w:t>
      </w:r>
    </w:p>
    <w:p w14:paraId="25308670" w14:textId="158246E1" w:rsidR="003A6472" w:rsidRPr="003A6472" w:rsidRDefault="00D62A3A" w:rsidP="00D62A3A">
      <w:pPr>
        <w:rPr>
          <w:sz w:val="24"/>
          <w:szCs w:val="24"/>
        </w:rPr>
      </w:pPr>
      <w:r>
        <w:rPr>
          <w:sz w:val="24"/>
          <w:szCs w:val="24"/>
        </w:rPr>
        <w:br w:type="page"/>
      </w:r>
    </w:p>
    <w:p w14:paraId="66A73CD1" w14:textId="164FE73F" w:rsidR="00074F4B" w:rsidRDefault="001260C9" w:rsidP="00D62A3A">
      <w:pPr>
        <w:pStyle w:val="Heading1"/>
      </w:pPr>
      <w:bookmarkStart w:id="13" w:name="_Toc194677825"/>
      <w:r w:rsidRPr="001260C9">
        <w:lastRenderedPageBreak/>
        <w:t>Legal and Ethical Considerations</w:t>
      </w:r>
      <w:bookmarkEnd w:id="13"/>
    </w:p>
    <w:p w14:paraId="69184BB7" w14:textId="55D5A9C6" w:rsidR="002D1A57" w:rsidRPr="002D1A57" w:rsidRDefault="002D1A57" w:rsidP="00D62A3A">
      <w:pPr>
        <w:pStyle w:val="Heading2"/>
      </w:pPr>
      <w:bookmarkStart w:id="14" w:name="_Toc194677826"/>
      <w:r>
        <w:t>Regulatory Framework</w:t>
      </w:r>
      <w:bookmarkEnd w:id="14"/>
    </w:p>
    <w:p w14:paraId="5D307A51" w14:textId="5FC83AA5" w:rsidR="00BE2EFD" w:rsidRDefault="00BE2EFD" w:rsidP="00D62A3A">
      <w:pPr>
        <w:spacing w:line="360" w:lineRule="auto"/>
        <w:jc w:val="both"/>
        <w:rPr>
          <w:sz w:val="24"/>
          <w:szCs w:val="24"/>
        </w:rPr>
      </w:pPr>
      <w:r w:rsidRPr="00BE2EFD">
        <w:rPr>
          <w:sz w:val="24"/>
          <w:szCs w:val="24"/>
        </w:rPr>
        <w:t>Large mergers</w:t>
      </w:r>
      <w:r w:rsidR="00400D87">
        <w:rPr>
          <w:sz w:val="24"/>
          <w:szCs w:val="24"/>
        </w:rPr>
        <w:t>,</w:t>
      </w:r>
      <w:r w:rsidRPr="00BE2EFD">
        <w:rPr>
          <w:sz w:val="24"/>
          <w:szCs w:val="24"/>
        </w:rPr>
        <w:t xml:space="preserve"> like Microsoft’s acquisition of LinkedIn</w:t>
      </w:r>
      <w:r w:rsidR="00400D87">
        <w:rPr>
          <w:sz w:val="24"/>
          <w:szCs w:val="24"/>
        </w:rPr>
        <w:t xml:space="preserve">, </w:t>
      </w:r>
      <w:r w:rsidRPr="00BE2EFD">
        <w:rPr>
          <w:sz w:val="24"/>
          <w:szCs w:val="24"/>
        </w:rPr>
        <w:t xml:space="preserve">are subject to regulatory review to ensure they don’t harm competition or lead to unfair market dominance. The deal was reviewed by authorities in several countries, including the United States, </w:t>
      </w:r>
      <w:r w:rsidR="0033439D">
        <w:rPr>
          <w:sz w:val="24"/>
          <w:szCs w:val="24"/>
        </w:rPr>
        <w:t xml:space="preserve">the </w:t>
      </w:r>
      <w:r w:rsidRPr="00BE2EFD">
        <w:rPr>
          <w:sz w:val="24"/>
          <w:szCs w:val="24"/>
        </w:rPr>
        <w:t>European Union, Canada, and Brazil. The European Commission gave its approval in December 2016, concluding that the merger would not significantly reduce competition in the professional networking or software markets</w:t>
      </w:r>
      <w:r w:rsidR="0033439D">
        <w:rPr>
          <w:sz w:val="24"/>
          <w:szCs w:val="24"/>
        </w:rPr>
        <w:t xml:space="preserve"> </w:t>
      </w:r>
      <w:r w:rsidR="0033439D" w:rsidRPr="0033439D">
        <w:rPr>
          <w:sz w:val="24"/>
          <w:szCs w:val="24"/>
        </w:rPr>
        <w:t>(European Commission, 2016)</w:t>
      </w:r>
      <w:r w:rsidRPr="00BE2EFD">
        <w:rPr>
          <w:sz w:val="24"/>
          <w:szCs w:val="24"/>
        </w:rPr>
        <w:t xml:space="preserve">. </w:t>
      </w:r>
      <w:r w:rsidR="0033439D" w:rsidRPr="0033439D">
        <w:rPr>
          <w:sz w:val="24"/>
          <w:szCs w:val="24"/>
        </w:rPr>
        <w:t>However, some concerns were raised by competitors during the review process, including Salesforce, which argued that giving Microsoft control over LinkedIn’s data could give it an unfair advantage in the market for enterprise software</w:t>
      </w:r>
      <w:r w:rsidR="00E77F88">
        <w:rPr>
          <w:sz w:val="24"/>
          <w:szCs w:val="24"/>
        </w:rPr>
        <w:t xml:space="preserve"> </w:t>
      </w:r>
      <w:r w:rsidR="00E77F88" w:rsidRPr="00E77F88">
        <w:rPr>
          <w:sz w:val="24"/>
          <w:szCs w:val="24"/>
        </w:rPr>
        <w:t>(King, 2016)</w:t>
      </w:r>
      <w:r w:rsidR="0033439D" w:rsidRPr="0033439D">
        <w:rPr>
          <w:sz w:val="24"/>
          <w:szCs w:val="24"/>
        </w:rPr>
        <w:t>.</w:t>
      </w:r>
      <w:r w:rsidR="0033439D">
        <w:rPr>
          <w:sz w:val="24"/>
          <w:szCs w:val="24"/>
        </w:rPr>
        <w:t xml:space="preserve"> </w:t>
      </w:r>
      <w:r w:rsidR="00814998" w:rsidRPr="00814998">
        <w:rPr>
          <w:sz w:val="24"/>
          <w:szCs w:val="24"/>
        </w:rPr>
        <w:t xml:space="preserve">As a result, Microsoft agreed to certain conditions in Europe, such as allowing third-party CRM providers fair access to LinkedIn data and </w:t>
      </w:r>
      <w:r w:rsidR="00814998">
        <w:rPr>
          <w:sz w:val="24"/>
          <w:szCs w:val="24"/>
        </w:rPr>
        <w:t>ensuring</w:t>
      </w:r>
      <w:r w:rsidR="00814998" w:rsidRPr="00814998">
        <w:rPr>
          <w:sz w:val="24"/>
          <w:szCs w:val="24"/>
        </w:rPr>
        <w:t xml:space="preserve"> that users and PC manufacturers could choose </w:t>
      </w:r>
      <w:proofErr w:type="gramStart"/>
      <w:r w:rsidR="00814998" w:rsidRPr="00814998">
        <w:rPr>
          <w:sz w:val="24"/>
          <w:szCs w:val="24"/>
        </w:rPr>
        <w:t>whether or not</w:t>
      </w:r>
      <w:proofErr w:type="gramEnd"/>
      <w:r w:rsidR="00814998" w:rsidRPr="00814998">
        <w:rPr>
          <w:sz w:val="24"/>
          <w:szCs w:val="24"/>
        </w:rPr>
        <w:t xml:space="preserve"> to have LinkedIn pre-installed on Windows devices</w:t>
      </w:r>
      <w:r w:rsidR="00814998">
        <w:rPr>
          <w:sz w:val="24"/>
          <w:szCs w:val="24"/>
        </w:rPr>
        <w:t xml:space="preserve"> </w:t>
      </w:r>
      <w:r w:rsidR="00814998" w:rsidRPr="00814998">
        <w:rPr>
          <w:sz w:val="24"/>
          <w:szCs w:val="24"/>
        </w:rPr>
        <w:t>(Giannino, 2017).</w:t>
      </w:r>
      <w:r w:rsidR="00814998">
        <w:rPr>
          <w:sz w:val="24"/>
          <w:szCs w:val="24"/>
        </w:rPr>
        <w:t xml:space="preserve"> </w:t>
      </w:r>
      <w:r w:rsidR="002D1A57" w:rsidRPr="002D1A57">
        <w:rPr>
          <w:sz w:val="24"/>
          <w:szCs w:val="24"/>
        </w:rPr>
        <w:t>These conditions helped address the concerns raised and allowed the deal to proceed while protecting competition and maintaining user choice.</w:t>
      </w:r>
    </w:p>
    <w:p w14:paraId="3C19ABE5" w14:textId="0FAD22D1" w:rsidR="002D1A57" w:rsidRDefault="002D1A57" w:rsidP="00D62A3A">
      <w:pPr>
        <w:pStyle w:val="Heading2"/>
      </w:pPr>
      <w:bookmarkStart w:id="15" w:name="_Toc194677827"/>
      <w:r>
        <w:t>Ethical Considerations</w:t>
      </w:r>
      <w:bookmarkEnd w:id="15"/>
    </w:p>
    <w:p w14:paraId="176EA3E4" w14:textId="76EF5FAD" w:rsidR="00D62A3A" w:rsidRDefault="002D1A57" w:rsidP="00D62A3A">
      <w:pPr>
        <w:spacing w:line="360" w:lineRule="auto"/>
        <w:jc w:val="both"/>
        <w:rPr>
          <w:sz w:val="24"/>
          <w:szCs w:val="24"/>
        </w:rPr>
      </w:pPr>
      <w:r w:rsidRPr="002D1A57">
        <w:rPr>
          <w:sz w:val="24"/>
          <w:szCs w:val="24"/>
        </w:rPr>
        <w:t xml:space="preserve">While legal approval allowed the merger to proceed, ethical questions were raised around Microsoft’s access to LinkedIn’s user data. </w:t>
      </w:r>
      <w:r w:rsidR="0086320A" w:rsidRPr="0086320A">
        <w:rPr>
          <w:sz w:val="24"/>
          <w:szCs w:val="24"/>
        </w:rPr>
        <w:t>The scale of the deal meant that combining user data from two previously separate companies raised potential privacy and confidentiality risks, particularly around how personal profile information would be shared and used across Microsoft’s wider ecosystem</w:t>
      </w:r>
      <w:r w:rsidR="0086320A">
        <w:rPr>
          <w:sz w:val="24"/>
          <w:szCs w:val="24"/>
        </w:rPr>
        <w:t xml:space="preserve"> </w:t>
      </w:r>
      <w:r w:rsidR="0086320A" w:rsidRPr="0086320A">
        <w:rPr>
          <w:sz w:val="24"/>
          <w:szCs w:val="24"/>
        </w:rPr>
        <w:t>(CSO, 2016).</w:t>
      </w:r>
      <w:r w:rsidR="0086320A">
        <w:rPr>
          <w:sz w:val="24"/>
          <w:szCs w:val="24"/>
        </w:rPr>
        <w:t xml:space="preserve"> </w:t>
      </w:r>
      <w:r w:rsidRPr="002D1A57">
        <w:rPr>
          <w:sz w:val="24"/>
          <w:szCs w:val="24"/>
        </w:rPr>
        <w:t>Although Microsoft committed to maintaining user control and third-party access in Europe, critics argued that the concentration of data in the hands of one company could still pose long-term risks to transparency, choice, and digital trust.</w:t>
      </w:r>
    </w:p>
    <w:p w14:paraId="3ACD7431" w14:textId="3C304BFD" w:rsidR="002D1A57" w:rsidRPr="002D1A57" w:rsidRDefault="00D62A3A" w:rsidP="00D62A3A">
      <w:pPr>
        <w:rPr>
          <w:sz w:val="24"/>
          <w:szCs w:val="24"/>
        </w:rPr>
      </w:pPr>
      <w:r>
        <w:rPr>
          <w:sz w:val="24"/>
          <w:szCs w:val="24"/>
        </w:rPr>
        <w:br w:type="page"/>
      </w:r>
    </w:p>
    <w:p w14:paraId="56601670" w14:textId="66565B04" w:rsidR="00074F4B" w:rsidRDefault="001260C9" w:rsidP="00D62A3A">
      <w:pPr>
        <w:pStyle w:val="Heading1"/>
      </w:pPr>
      <w:bookmarkStart w:id="16" w:name="_Toc194677828"/>
      <w:r w:rsidRPr="001260C9">
        <w:lastRenderedPageBreak/>
        <w:t>Shareholder Impact</w:t>
      </w:r>
      <w:bookmarkEnd w:id="16"/>
    </w:p>
    <w:p w14:paraId="58FCCFE1" w14:textId="77777777" w:rsidR="00297074" w:rsidRPr="00297074" w:rsidRDefault="000E166A" w:rsidP="00D62A3A">
      <w:pPr>
        <w:spacing w:line="360" w:lineRule="auto"/>
        <w:jc w:val="both"/>
        <w:rPr>
          <w:sz w:val="24"/>
          <w:szCs w:val="24"/>
        </w:rPr>
      </w:pPr>
      <w:r w:rsidRPr="00297074">
        <w:rPr>
          <w:sz w:val="24"/>
          <w:szCs w:val="24"/>
        </w:rPr>
        <w:t>Shareholder value is a key measure of success in any acquisition. Microsoft’s share price initially dipped following the LinkedIn announcement but rose from around $50 in June 2016 to over $85 by the end of 2017 (McBride, 2016), reflecting growing investor confidence in the company’s</w:t>
      </w:r>
      <w:r w:rsidR="00297074" w:rsidRPr="00297074">
        <w:rPr>
          <w:sz w:val="24"/>
          <w:szCs w:val="24"/>
        </w:rPr>
        <w:t xml:space="preserve"> </w:t>
      </w:r>
      <w:r w:rsidRPr="00297074">
        <w:rPr>
          <w:sz w:val="24"/>
          <w:szCs w:val="24"/>
        </w:rPr>
        <w:t>strategy.</w:t>
      </w:r>
      <w:r w:rsidR="00297074" w:rsidRPr="00297074">
        <w:rPr>
          <w:sz w:val="24"/>
          <w:szCs w:val="24"/>
        </w:rPr>
        <w:t xml:space="preserve"> </w:t>
      </w:r>
    </w:p>
    <w:p w14:paraId="1E0BE26D" w14:textId="368F9A6F" w:rsidR="00297074" w:rsidRDefault="001D331E" w:rsidP="00D62A3A">
      <w:pPr>
        <w:spacing w:line="360" w:lineRule="auto"/>
        <w:jc w:val="both"/>
        <w:rPr>
          <w:sz w:val="24"/>
          <w:szCs w:val="24"/>
        </w:rPr>
      </w:pPr>
      <w:r w:rsidRPr="001D331E">
        <w:rPr>
          <w:sz w:val="24"/>
          <w:szCs w:val="24"/>
        </w:rPr>
        <w:t>LinkedIn supported strong revenue growth in Microsoft’s Productivity and Business Processes segment, rising from $26.5 billion in 2017 to $39.3 billion by 2019</w:t>
      </w:r>
      <w:r>
        <w:rPr>
          <w:sz w:val="24"/>
          <w:szCs w:val="24"/>
        </w:rPr>
        <w:t xml:space="preserve"> </w:t>
      </w:r>
      <w:r w:rsidR="000E166A" w:rsidRPr="00297074">
        <w:rPr>
          <w:sz w:val="24"/>
          <w:szCs w:val="24"/>
        </w:rPr>
        <w:t>(Microsoft, 2017; 2019). This growth likely helped strengthen investor confidence and reinforce the long-term value of the acquisition.</w:t>
      </w:r>
    </w:p>
    <w:p w14:paraId="0429DC8A" w14:textId="30CC80A4" w:rsidR="00074F4B" w:rsidRPr="00297074" w:rsidRDefault="00297074" w:rsidP="00D62A3A">
      <w:pPr>
        <w:spacing w:line="360" w:lineRule="auto"/>
        <w:jc w:val="both"/>
      </w:pPr>
      <w:r w:rsidRPr="00297074">
        <w:rPr>
          <w:sz w:val="24"/>
          <w:szCs w:val="24"/>
        </w:rPr>
        <w:t>More broadly, the deal supported Microsoft’s shift toward integrated enterprise services, helping position the company as a more complete platform for business customers. The market’s response suggests shareholders recognised both the strategic relevance and financial potential of the acquisition.</w:t>
      </w:r>
      <w:r w:rsidR="00074F4B" w:rsidRPr="00297074">
        <w:br w:type="page"/>
      </w:r>
    </w:p>
    <w:p w14:paraId="25D1841E" w14:textId="19EC1924" w:rsidR="00074F4B" w:rsidRDefault="00074F4B" w:rsidP="00D62A3A">
      <w:pPr>
        <w:pStyle w:val="Heading1"/>
        <w:spacing w:line="360" w:lineRule="auto"/>
        <w:jc w:val="both"/>
      </w:pPr>
      <w:bookmarkStart w:id="17" w:name="_Toc194677829"/>
      <w:r>
        <w:lastRenderedPageBreak/>
        <w:t>Conclusion</w:t>
      </w:r>
      <w:bookmarkEnd w:id="17"/>
    </w:p>
    <w:p w14:paraId="72FBB0E9" w14:textId="77777777" w:rsidR="006203E8" w:rsidRPr="006203E8" w:rsidRDefault="006203E8" w:rsidP="00D62A3A">
      <w:pPr>
        <w:spacing w:line="360" w:lineRule="auto"/>
        <w:jc w:val="both"/>
        <w:rPr>
          <w:sz w:val="24"/>
          <w:szCs w:val="24"/>
        </w:rPr>
      </w:pPr>
      <w:r w:rsidRPr="006203E8">
        <w:rPr>
          <w:sz w:val="24"/>
          <w:szCs w:val="24"/>
        </w:rPr>
        <w:t xml:space="preserve">Microsoft’s acquisition of LinkedIn illustrates how strategic </w:t>
      </w:r>
      <w:proofErr w:type="gramStart"/>
      <w:r w:rsidRPr="006203E8">
        <w:rPr>
          <w:sz w:val="24"/>
          <w:szCs w:val="24"/>
        </w:rPr>
        <w:t>alignment</w:t>
      </w:r>
      <w:proofErr w:type="gramEnd"/>
      <w:r w:rsidRPr="006203E8">
        <w:rPr>
          <w:sz w:val="24"/>
          <w:szCs w:val="24"/>
        </w:rPr>
        <w:t xml:space="preserve"> and complementary capabilities can create value in large-scale technology mergers. The deal strengthened Microsoft’s enterprise position, enabled entry into new markets, and unlocked additional revenue streams by combining LinkedIn’s network with Microsoft’s productivity tools.</w:t>
      </w:r>
    </w:p>
    <w:p w14:paraId="3CBED00F" w14:textId="77777777" w:rsidR="006203E8" w:rsidRPr="006203E8" w:rsidRDefault="006203E8" w:rsidP="00D62A3A">
      <w:pPr>
        <w:spacing w:line="360" w:lineRule="auto"/>
        <w:jc w:val="both"/>
        <w:rPr>
          <w:sz w:val="24"/>
          <w:szCs w:val="24"/>
        </w:rPr>
      </w:pPr>
      <w:r w:rsidRPr="006203E8">
        <w:rPr>
          <w:sz w:val="24"/>
          <w:szCs w:val="24"/>
        </w:rPr>
        <w:t>From a financial perspective, funding the acquisition through debt reflected a focus on tax efficiency and capital flexibility. While the scale of the investment carried risks, the resulting growth in revenue and share price suggests that the acquisition delivered both strategic and shareholder value.</w:t>
      </w:r>
    </w:p>
    <w:p w14:paraId="7F409B33" w14:textId="77777777" w:rsidR="006203E8" w:rsidRPr="006203E8" w:rsidRDefault="006203E8" w:rsidP="00D62A3A">
      <w:pPr>
        <w:spacing w:line="360" w:lineRule="auto"/>
        <w:jc w:val="both"/>
        <w:rPr>
          <w:sz w:val="24"/>
          <w:szCs w:val="24"/>
        </w:rPr>
      </w:pPr>
      <w:r w:rsidRPr="006203E8">
        <w:rPr>
          <w:sz w:val="24"/>
          <w:szCs w:val="24"/>
        </w:rPr>
        <w:t>Despite early concerns about competition and data control, Microsoft secured regulatory approval and addressed ethical issues through user protections and third-party access. Overall, the acquisition can be considered a strategic success, offering important lessons about integration, long-term planning, and the value of complementary assets in technology-driven M&amp;A.</w:t>
      </w:r>
    </w:p>
    <w:p w14:paraId="0D2FFA1F" w14:textId="77777777" w:rsidR="00183FB7" w:rsidRPr="00183FB7" w:rsidRDefault="00183FB7" w:rsidP="00D62A3A">
      <w:pPr>
        <w:spacing w:line="360" w:lineRule="auto"/>
      </w:pPr>
    </w:p>
    <w:p w14:paraId="49032D42" w14:textId="72809694" w:rsidR="00074F4B" w:rsidRPr="00074F4B" w:rsidRDefault="00074F4B" w:rsidP="00D62A3A">
      <w:pPr>
        <w:spacing w:line="360" w:lineRule="auto"/>
        <w:rPr>
          <w:rFonts w:asciiTheme="majorHAnsi" w:eastAsiaTheme="majorEastAsia" w:hAnsiTheme="majorHAnsi" w:cstheme="majorBidi"/>
          <w:color w:val="0F4761" w:themeColor="accent1" w:themeShade="BF"/>
          <w:sz w:val="40"/>
          <w:szCs w:val="40"/>
        </w:rPr>
      </w:pPr>
      <w:r>
        <w:br w:type="page"/>
      </w:r>
    </w:p>
    <w:p w14:paraId="1FA8AB43" w14:textId="77777777" w:rsidR="00190651" w:rsidRDefault="00074F4B" w:rsidP="00D62A3A">
      <w:pPr>
        <w:pStyle w:val="Heading1"/>
        <w:spacing w:line="360" w:lineRule="auto"/>
      </w:pPr>
      <w:bookmarkStart w:id="18" w:name="_Toc194677830"/>
      <w:r>
        <w:lastRenderedPageBreak/>
        <w:t>Reference List</w:t>
      </w:r>
      <w:bookmarkEnd w:id="18"/>
      <w:r>
        <w:t xml:space="preserve"> </w:t>
      </w:r>
    </w:p>
    <w:p w14:paraId="07EC6DDB" w14:textId="539A349A" w:rsidR="00190651" w:rsidRPr="001B69A7" w:rsidRDefault="00190651" w:rsidP="00D62A3A">
      <w:pPr>
        <w:spacing w:line="360" w:lineRule="auto"/>
        <w:jc w:val="both"/>
        <w:rPr>
          <w:sz w:val="24"/>
          <w:szCs w:val="24"/>
        </w:rPr>
      </w:pPr>
      <w:r w:rsidRPr="001B69A7">
        <w:rPr>
          <w:sz w:val="24"/>
          <w:szCs w:val="24"/>
        </w:rPr>
        <w:t xml:space="preserve">Borin, M. (2016). The Microsoft-LinkedIn Deal and ‘The Nature of the Firm’. Available at: </w:t>
      </w:r>
      <w:hyperlink r:id="rId8" w:history="1">
        <w:r w:rsidR="001B69A7" w:rsidRPr="00572F3E">
          <w:rPr>
            <w:rStyle w:val="Hyperlink"/>
            <w:sz w:val="24"/>
            <w:szCs w:val="24"/>
          </w:rPr>
          <w:t>https://blogs.cfainstitute.org/investor/2016/07/13/the-microsoft-linkedin-deal-and-the-nature-of-the-firm/</w:t>
        </w:r>
      </w:hyperlink>
      <w:r w:rsidR="001B69A7">
        <w:rPr>
          <w:sz w:val="24"/>
          <w:szCs w:val="24"/>
        </w:rPr>
        <w:t xml:space="preserve"> </w:t>
      </w:r>
      <w:r w:rsidRPr="001B69A7">
        <w:rPr>
          <w:sz w:val="24"/>
          <w:szCs w:val="24"/>
        </w:rPr>
        <w:t xml:space="preserve"> </w:t>
      </w:r>
      <w:r w:rsidR="001B69A7">
        <w:rPr>
          <w:sz w:val="24"/>
          <w:szCs w:val="24"/>
        </w:rPr>
        <w:t>(</w:t>
      </w:r>
      <w:r w:rsidRPr="001B69A7">
        <w:rPr>
          <w:sz w:val="24"/>
          <w:szCs w:val="24"/>
        </w:rPr>
        <w:t>Accessed 27 Mar</w:t>
      </w:r>
      <w:r w:rsidR="001B69A7">
        <w:rPr>
          <w:sz w:val="24"/>
          <w:szCs w:val="24"/>
        </w:rPr>
        <w:t>ch</w:t>
      </w:r>
      <w:r w:rsidRPr="001B69A7">
        <w:rPr>
          <w:sz w:val="24"/>
          <w:szCs w:val="24"/>
        </w:rPr>
        <w:t xml:space="preserve"> 2025</w:t>
      </w:r>
      <w:r w:rsidR="001B69A7">
        <w:rPr>
          <w:sz w:val="24"/>
          <w:szCs w:val="24"/>
        </w:rPr>
        <w:t>)</w:t>
      </w:r>
      <w:r w:rsidRPr="001B69A7">
        <w:rPr>
          <w:sz w:val="24"/>
          <w:szCs w:val="24"/>
        </w:rPr>
        <w:t>.</w:t>
      </w:r>
    </w:p>
    <w:p w14:paraId="143F0DEE" w14:textId="02BA6075" w:rsidR="00190651" w:rsidRPr="00190651" w:rsidRDefault="00190651" w:rsidP="00D62A3A">
      <w:pPr>
        <w:spacing w:line="360" w:lineRule="auto"/>
        <w:jc w:val="both"/>
        <w:rPr>
          <w:sz w:val="24"/>
          <w:szCs w:val="24"/>
        </w:rPr>
      </w:pPr>
      <w:r w:rsidRPr="00190651">
        <w:rPr>
          <w:sz w:val="24"/>
          <w:szCs w:val="24"/>
        </w:rPr>
        <w:t>Brealey, R.A., Myers, S.C., Allen, F. and Edmans, A. (2022)</w:t>
      </w:r>
      <w:r w:rsidR="001B69A7">
        <w:rPr>
          <w:sz w:val="24"/>
          <w:szCs w:val="24"/>
        </w:rPr>
        <w:t>’,</w:t>
      </w:r>
      <w:r w:rsidRPr="00190651">
        <w:rPr>
          <w:sz w:val="24"/>
          <w:szCs w:val="24"/>
        </w:rPr>
        <w:t xml:space="preserve"> </w:t>
      </w:r>
      <w:r w:rsidRPr="00190651">
        <w:rPr>
          <w:i/>
          <w:iCs/>
          <w:sz w:val="24"/>
          <w:szCs w:val="24"/>
        </w:rPr>
        <w:t>Principles of corporate finance</w:t>
      </w:r>
      <w:r w:rsidR="001B69A7">
        <w:rPr>
          <w:i/>
          <w:iCs/>
          <w:sz w:val="24"/>
          <w:szCs w:val="24"/>
        </w:rPr>
        <w:t>’</w:t>
      </w:r>
      <w:r w:rsidR="001B69A7">
        <w:rPr>
          <w:sz w:val="24"/>
          <w:szCs w:val="24"/>
        </w:rPr>
        <w:t>.</w:t>
      </w:r>
      <w:r w:rsidRPr="00190651">
        <w:rPr>
          <w:sz w:val="24"/>
          <w:szCs w:val="24"/>
        </w:rPr>
        <w:t xml:space="preserve"> 14th ed. New York: McGraw-Hill Education.</w:t>
      </w:r>
    </w:p>
    <w:p w14:paraId="52060CBF" w14:textId="13FBE2CE" w:rsidR="00190651" w:rsidRPr="00190651" w:rsidRDefault="00190651" w:rsidP="00D62A3A">
      <w:pPr>
        <w:spacing w:line="360" w:lineRule="auto"/>
        <w:jc w:val="both"/>
        <w:rPr>
          <w:sz w:val="24"/>
          <w:szCs w:val="24"/>
        </w:rPr>
      </w:pPr>
      <w:r w:rsidRPr="00190651">
        <w:rPr>
          <w:sz w:val="24"/>
          <w:szCs w:val="24"/>
        </w:rPr>
        <w:t xml:space="preserve">Brede, M., Gerstel, H., </w:t>
      </w:r>
      <w:proofErr w:type="spellStart"/>
      <w:r w:rsidRPr="00190651">
        <w:rPr>
          <w:sz w:val="24"/>
          <w:szCs w:val="24"/>
        </w:rPr>
        <w:t>Wöhrmann</w:t>
      </w:r>
      <w:proofErr w:type="spellEnd"/>
      <w:r w:rsidRPr="00190651">
        <w:rPr>
          <w:sz w:val="24"/>
          <w:szCs w:val="24"/>
        </w:rPr>
        <w:t xml:space="preserve">, A. and Bausch, A. (2024) </w:t>
      </w:r>
      <w:r w:rsidR="001B69A7">
        <w:rPr>
          <w:sz w:val="24"/>
          <w:szCs w:val="24"/>
        </w:rPr>
        <w:t>‘</w:t>
      </w:r>
      <w:r w:rsidRPr="00190651">
        <w:rPr>
          <w:sz w:val="24"/>
          <w:szCs w:val="24"/>
        </w:rPr>
        <w:t xml:space="preserve">Mind the gap: the effect of cultural distance on mergers and acquisitions—evidence from </w:t>
      </w:r>
      <w:proofErr w:type="spellStart"/>
      <w:r w:rsidRPr="00190651">
        <w:rPr>
          <w:sz w:val="24"/>
          <w:szCs w:val="24"/>
        </w:rPr>
        <w:t>glassdoor</w:t>
      </w:r>
      <w:proofErr w:type="spellEnd"/>
      <w:r w:rsidRPr="00190651">
        <w:rPr>
          <w:sz w:val="24"/>
          <w:szCs w:val="24"/>
        </w:rPr>
        <w:t xml:space="preserve"> reviews</w:t>
      </w:r>
      <w:r w:rsidR="001B69A7">
        <w:rPr>
          <w:sz w:val="24"/>
          <w:szCs w:val="24"/>
        </w:rPr>
        <w:t>’,</w:t>
      </w:r>
      <w:r w:rsidRPr="00190651">
        <w:rPr>
          <w:sz w:val="24"/>
          <w:szCs w:val="24"/>
        </w:rPr>
        <w:t xml:space="preserve"> </w:t>
      </w:r>
      <w:r w:rsidRPr="00190651">
        <w:rPr>
          <w:i/>
          <w:iCs/>
          <w:sz w:val="24"/>
          <w:szCs w:val="24"/>
        </w:rPr>
        <w:t>Review of Managerial Science</w:t>
      </w:r>
      <w:r w:rsidRPr="00190651">
        <w:rPr>
          <w:sz w:val="24"/>
          <w:szCs w:val="24"/>
        </w:rPr>
        <w:t xml:space="preserve">, 18(2). </w:t>
      </w:r>
      <w:proofErr w:type="spellStart"/>
      <w:proofErr w:type="gramStart"/>
      <w:r w:rsidRPr="00190651">
        <w:rPr>
          <w:sz w:val="24"/>
          <w:szCs w:val="24"/>
        </w:rPr>
        <w:t>doi:https</w:t>
      </w:r>
      <w:proofErr w:type="spellEnd"/>
      <w:r w:rsidRPr="00190651">
        <w:rPr>
          <w:sz w:val="24"/>
          <w:szCs w:val="24"/>
        </w:rPr>
        <w:t>://doi.org/10.1007/s11846-024-00811-8</w:t>
      </w:r>
      <w:proofErr w:type="gramEnd"/>
      <w:r w:rsidRPr="00190651">
        <w:rPr>
          <w:sz w:val="24"/>
          <w:szCs w:val="24"/>
        </w:rPr>
        <w:t>.</w:t>
      </w:r>
    </w:p>
    <w:p w14:paraId="4D23D872" w14:textId="2C58E01A" w:rsidR="00190651" w:rsidRPr="00190651" w:rsidRDefault="00190651" w:rsidP="00D62A3A">
      <w:pPr>
        <w:spacing w:line="360" w:lineRule="auto"/>
        <w:jc w:val="both"/>
        <w:rPr>
          <w:sz w:val="24"/>
          <w:szCs w:val="24"/>
        </w:rPr>
      </w:pPr>
      <w:r w:rsidRPr="00190651">
        <w:rPr>
          <w:sz w:val="24"/>
          <w:szCs w:val="24"/>
        </w:rPr>
        <w:t xml:space="preserve">Conlan-Donnelly, M. (2016) </w:t>
      </w:r>
      <w:r w:rsidRPr="00190651">
        <w:rPr>
          <w:i/>
          <w:iCs/>
          <w:sz w:val="24"/>
          <w:szCs w:val="24"/>
        </w:rPr>
        <w:t>How Will Microsoft’s Acquisition of LinkedIn Affect Higher Ed?</w:t>
      </w:r>
      <w:r w:rsidR="001B69A7">
        <w:rPr>
          <w:sz w:val="24"/>
          <w:szCs w:val="24"/>
        </w:rPr>
        <w:t xml:space="preserve"> </w:t>
      </w:r>
      <w:r w:rsidRPr="00190651">
        <w:rPr>
          <w:sz w:val="24"/>
          <w:szCs w:val="24"/>
        </w:rPr>
        <w:t xml:space="preserve">Available at: </w:t>
      </w:r>
      <w:hyperlink r:id="rId9" w:history="1">
        <w:r w:rsidR="001B69A7" w:rsidRPr="00190651">
          <w:rPr>
            <w:rStyle w:val="Hyperlink"/>
            <w:sz w:val="24"/>
            <w:szCs w:val="24"/>
          </w:rPr>
          <w:t>https://edtechmagazine.com/higher/article/2016/06/how-will-microsofts-acquisition-linkedin-affect-higher-ed</w:t>
        </w:r>
      </w:hyperlink>
      <w:r w:rsidR="001B69A7">
        <w:rPr>
          <w:sz w:val="24"/>
          <w:szCs w:val="24"/>
        </w:rPr>
        <w:t xml:space="preserve"> (</w:t>
      </w:r>
      <w:r w:rsidRPr="00190651">
        <w:rPr>
          <w:sz w:val="24"/>
          <w:szCs w:val="24"/>
        </w:rPr>
        <w:t>Accessed 27 Mar</w:t>
      </w:r>
      <w:r w:rsidR="001B69A7">
        <w:rPr>
          <w:sz w:val="24"/>
          <w:szCs w:val="24"/>
        </w:rPr>
        <w:t>ch</w:t>
      </w:r>
      <w:r w:rsidRPr="00190651">
        <w:rPr>
          <w:sz w:val="24"/>
          <w:szCs w:val="24"/>
        </w:rPr>
        <w:t xml:space="preserve"> 2025</w:t>
      </w:r>
      <w:r w:rsidR="001B69A7">
        <w:rPr>
          <w:sz w:val="24"/>
          <w:szCs w:val="24"/>
        </w:rPr>
        <w:t>)</w:t>
      </w:r>
      <w:r w:rsidRPr="00190651">
        <w:rPr>
          <w:sz w:val="24"/>
          <w:szCs w:val="24"/>
        </w:rPr>
        <w:t>.</w:t>
      </w:r>
    </w:p>
    <w:p w14:paraId="73337E2E" w14:textId="26295344" w:rsidR="00190651" w:rsidRPr="00190651" w:rsidRDefault="00190651" w:rsidP="00D62A3A">
      <w:pPr>
        <w:spacing w:line="360" w:lineRule="auto"/>
        <w:jc w:val="both"/>
        <w:rPr>
          <w:sz w:val="24"/>
          <w:szCs w:val="24"/>
        </w:rPr>
      </w:pPr>
      <w:r w:rsidRPr="00190651">
        <w:rPr>
          <w:sz w:val="24"/>
          <w:szCs w:val="24"/>
        </w:rPr>
        <w:t xml:space="preserve">CSO (2016) </w:t>
      </w:r>
      <w:r w:rsidRPr="00190651">
        <w:rPr>
          <w:i/>
          <w:iCs/>
          <w:sz w:val="24"/>
          <w:szCs w:val="24"/>
        </w:rPr>
        <w:t>Does Microsoft’s acquisition of LinkedIn present data privacy risks?</w:t>
      </w:r>
      <w:r w:rsidRPr="00190651">
        <w:rPr>
          <w:sz w:val="24"/>
          <w:szCs w:val="24"/>
        </w:rPr>
        <w:t xml:space="preserve"> Available at: </w:t>
      </w:r>
      <w:hyperlink r:id="rId10" w:history="1">
        <w:r w:rsidR="001B69A7" w:rsidRPr="00190651">
          <w:rPr>
            <w:rStyle w:val="Hyperlink"/>
            <w:sz w:val="24"/>
            <w:szCs w:val="24"/>
          </w:rPr>
          <w:t>https://www.csoonline.com/article/556543/does-microsofts-acquisition-of-linkedin-present-data-privacy-risks.html</w:t>
        </w:r>
      </w:hyperlink>
      <w:r w:rsidR="001B69A7">
        <w:rPr>
          <w:sz w:val="24"/>
          <w:szCs w:val="24"/>
        </w:rPr>
        <w:t xml:space="preserve"> (A</w:t>
      </w:r>
      <w:r w:rsidRPr="00190651">
        <w:rPr>
          <w:sz w:val="24"/>
          <w:szCs w:val="24"/>
        </w:rPr>
        <w:t>ccessed 28 Mar</w:t>
      </w:r>
      <w:r w:rsidR="001B69A7">
        <w:rPr>
          <w:sz w:val="24"/>
          <w:szCs w:val="24"/>
        </w:rPr>
        <w:t>ch</w:t>
      </w:r>
      <w:r w:rsidRPr="00190651">
        <w:rPr>
          <w:sz w:val="24"/>
          <w:szCs w:val="24"/>
        </w:rPr>
        <w:t xml:space="preserve"> 2025</w:t>
      </w:r>
      <w:r w:rsidR="001B69A7">
        <w:rPr>
          <w:sz w:val="24"/>
          <w:szCs w:val="24"/>
        </w:rPr>
        <w:t>)</w:t>
      </w:r>
      <w:r w:rsidRPr="00190651">
        <w:rPr>
          <w:sz w:val="24"/>
          <w:szCs w:val="24"/>
        </w:rPr>
        <w:t>.</w:t>
      </w:r>
    </w:p>
    <w:p w14:paraId="197C92B7" w14:textId="5CAE845A" w:rsidR="00190651" w:rsidRPr="00190651" w:rsidRDefault="00190651" w:rsidP="00D62A3A">
      <w:pPr>
        <w:spacing w:line="360" w:lineRule="auto"/>
        <w:jc w:val="both"/>
        <w:rPr>
          <w:sz w:val="24"/>
          <w:szCs w:val="24"/>
        </w:rPr>
      </w:pPr>
      <w:r w:rsidRPr="00190651">
        <w:rPr>
          <w:sz w:val="24"/>
          <w:szCs w:val="24"/>
        </w:rPr>
        <w:t xml:space="preserve">European Commission (2016) </w:t>
      </w:r>
      <w:r w:rsidRPr="00190651">
        <w:rPr>
          <w:i/>
          <w:iCs/>
          <w:sz w:val="24"/>
          <w:szCs w:val="24"/>
        </w:rPr>
        <w:t>Press corner</w:t>
      </w:r>
      <w:r w:rsidRPr="00190651">
        <w:rPr>
          <w:sz w:val="24"/>
          <w:szCs w:val="24"/>
        </w:rPr>
        <w:t>.</w:t>
      </w:r>
      <w:r w:rsidR="001B69A7">
        <w:rPr>
          <w:sz w:val="24"/>
          <w:szCs w:val="24"/>
        </w:rPr>
        <w:t xml:space="preserve"> </w:t>
      </w:r>
      <w:r w:rsidRPr="00190651">
        <w:rPr>
          <w:sz w:val="24"/>
          <w:szCs w:val="24"/>
        </w:rPr>
        <w:t xml:space="preserve">Available at: </w:t>
      </w:r>
      <w:hyperlink r:id="rId11" w:history="1">
        <w:r w:rsidR="001B69A7" w:rsidRPr="00190651">
          <w:rPr>
            <w:rStyle w:val="Hyperlink"/>
            <w:sz w:val="24"/>
            <w:szCs w:val="24"/>
          </w:rPr>
          <w:t>https://ec.europa.eu/commission/presscorner/detail/en/IP_16_4284</w:t>
        </w:r>
      </w:hyperlink>
      <w:r w:rsidR="001B69A7">
        <w:rPr>
          <w:sz w:val="24"/>
          <w:szCs w:val="24"/>
        </w:rPr>
        <w:t xml:space="preserve"> (</w:t>
      </w:r>
      <w:r w:rsidRPr="00190651">
        <w:rPr>
          <w:sz w:val="24"/>
          <w:szCs w:val="24"/>
        </w:rPr>
        <w:t>Accessed 28 Mar</w:t>
      </w:r>
      <w:r w:rsidR="001B69A7">
        <w:rPr>
          <w:sz w:val="24"/>
          <w:szCs w:val="24"/>
        </w:rPr>
        <w:t xml:space="preserve">ch </w:t>
      </w:r>
      <w:r w:rsidRPr="00190651">
        <w:rPr>
          <w:sz w:val="24"/>
          <w:szCs w:val="24"/>
        </w:rPr>
        <w:t>2025</w:t>
      </w:r>
      <w:r w:rsidR="001B69A7">
        <w:rPr>
          <w:sz w:val="24"/>
          <w:szCs w:val="24"/>
        </w:rPr>
        <w:t>)</w:t>
      </w:r>
      <w:r w:rsidRPr="00190651">
        <w:rPr>
          <w:sz w:val="24"/>
          <w:szCs w:val="24"/>
        </w:rPr>
        <w:t>.</w:t>
      </w:r>
    </w:p>
    <w:p w14:paraId="5B152E73" w14:textId="1C7B35F1" w:rsidR="00190651" w:rsidRPr="00190651" w:rsidRDefault="00190651" w:rsidP="00D62A3A">
      <w:pPr>
        <w:spacing w:line="360" w:lineRule="auto"/>
        <w:jc w:val="both"/>
        <w:rPr>
          <w:sz w:val="24"/>
          <w:szCs w:val="24"/>
        </w:rPr>
      </w:pPr>
      <w:r w:rsidRPr="00190651">
        <w:rPr>
          <w:sz w:val="24"/>
          <w:szCs w:val="24"/>
        </w:rPr>
        <w:t xml:space="preserve">Fain, P. (2015) </w:t>
      </w:r>
      <w:r w:rsidRPr="00190651">
        <w:rPr>
          <w:i/>
          <w:iCs/>
          <w:sz w:val="24"/>
          <w:szCs w:val="24"/>
        </w:rPr>
        <w:t>LinkedIn continues move into higher education with purchase of lynda.com for $1.5 billion</w:t>
      </w:r>
      <w:r w:rsidRPr="00190651">
        <w:rPr>
          <w:sz w:val="24"/>
          <w:szCs w:val="24"/>
        </w:rPr>
        <w:t>.</w:t>
      </w:r>
      <w:r w:rsidR="001B69A7">
        <w:rPr>
          <w:sz w:val="24"/>
          <w:szCs w:val="24"/>
        </w:rPr>
        <w:t xml:space="preserve"> </w:t>
      </w:r>
      <w:r w:rsidRPr="00190651">
        <w:rPr>
          <w:sz w:val="24"/>
          <w:szCs w:val="24"/>
        </w:rPr>
        <w:t xml:space="preserve">Available at: </w:t>
      </w:r>
      <w:hyperlink r:id="rId12" w:history="1">
        <w:r w:rsidR="001B69A7" w:rsidRPr="00190651">
          <w:rPr>
            <w:rStyle w:val="Hyperlink"/>
            <w:sz w:val="24"/>
            <w:szCs w:val="24"/>
          </w:rPr>
          <w:t>https://www.insidehighered.com/news/2015/04/10/linkedin-continues-move-higher-education-purchase-lyndacom-15-billion</w:t>
        </w:r>
      </w:hyperlink>
      <w:r w:rsidR="001B69A7">
        <w:rPr>
          <w:sz w:val="24"/>
          <w:szCs w:val="24"/>
        </w:rPr>
        <w:t xml:space="preserve"> (</w:t>
      </w:r>
      <w:r w:rsidRPr="00190651">
        <w:rPr>
          <w:sz w:val="24"/>
          <w:szCs w:val="24"/>
        </w:rPr>
        <w:t>Accessed 27 Mar</w:t>
      </w:r>
      <w:r w:rsidR="001B69A7">
        <w:rPr>
          <w:sz w:val="24"/>
          <w:szCs w:val="24"/>
        </w:rPr>
        <w:t>ch</w:t>
      </w:r>
      <w:r w:rsidRPr="00190651">
        <w:rPr>
          <w:sz w:val="24"/>
          <w:szCs w:val="24"/>
        </w:rPr>
        <w:t xml:space="preserve"> 2025</w:t>
      </w:r>
      <w:r w:rsidR="001B69A7">
        <w:rPr>
          <w:sz w:val="24"/>
          <w:szCs w:val="24"/>
        </w:rPr>
        <w:t>)</w:t>
      </w:r>
      <w:r w:rsidRPr="00190651">
        <w:rPr>
          <w:sz w:val="24"/>
          <w:szCs w:val="24"/>
        </w:rPr>
        <w:t>.</w:t>
      </w:r>
    </w:p>
    <w:p w14:paraId="56A3E5EA" w14:textId="3DD12595" w:rsidR="00190651" w:rsidRPr="00190651" w:rsidRDefault="00190651" w:rsidP="00D62A3A">
      <w:pPr>
        <w:spacing w:line="360" w:lineRule="auto"/>
        <w:jc w:val="both"/>
        <w:rPr>
          <w:sz w:val="24"/>
          <w:szCs w:val="24"/>
        </w:rPr>
      </w:pPr>
      <w:r w:rsidRPr="00190651">
        <w:rPr>
          <w:sz w:val="24"/>
          <w:szCs w:val="24"/>
        </w:rPr>
        <w:t xml:space="preserve">Faulkner, D., Satu </w:t>
      </w:r>
      <w:proofErr w:type="spellStart"/>
      <w:r w:rsidRPr="00190651">
        <w:rPr>
          <w:sz w:val="24"/>
          <w:szCs w:val="24"/>
        </w:rPr>
        <w:t>Teerikangas</w:t>
      </w:r>
      <w:proofErr w:type="spellEnd"/>
      <w:r w:rsidRPr="00190651">
        <w:rPr>
          <w:sz w:val="24"/>
          <w:szCs w:val="24"/>
        </w:rPr>
        <w:t xml:space="preserve"> and Joseph, R.J. (2012) </w:t>
      </w:r>
      <w:r w:rsidRPr="00190651">
        <w:rPr>
          <w:i/>
          <w:iCs/>
          <w:sz w:val="24"/>
          <w:szCs w:val="24"/>
        </w:rPr>
        <w:t>The handbook of mergers and acquisitions</w:t>
      </w:r>
      <w:r w:rsidRPr="00190651">
        <w:rPr>
          <w:sz w:val="24"/>
          <w:szCs w:val="24"/>
        </w:rPr>
        <w:t>. Oxford: Oxford University Press.</w:t>
      </w:r>
    </w:p>
    <w:p w14:paraId="68B830AD" w14:textId="7A4D603F" w:rsidR="00190651" w:rsidRPr="00190651" w:rsidRDefault="00190651" w:rsidP="00D62A3A">
      <w:pPr>
        <w:spacing w:line="360" w:lineRule="auto"/>
        <w:jc w:val="both"/>
        <w:rPr>
          <w:sz w:val="24"/>
          <w:szCs w:val="24"/>
        </w:rPr>
      </w:pPr>
      <w:r w:rsidRPr="00190651">
        <w:rPr>
          <w:sz w:val="24"/>
          <w:szCs w:val="24"/>
        </w:rPr>
        <w:t xml:space="preserve">Feller, G. (2016) </w:t>
      </w:r>
      <w:r w:rsidRPr="00190651">
        <w:rPr>
          <w:i/>
          <w:iCs/>
          <w:sz w:val="24"/>
          <w:szCs w:val="24"/>
        </w:rPr>
        <w:t xml:space="preserve">This Is </w:t>
      </w:r>
      <w:proofErr w:type="gramStart"/>
      <w:r w:rsidRPr="00190651">
        <w:rPr>
          <w:i/>
          <w:iCs/>
          <w:sz w:val="24"/>
          <w:szCs w:val="24"/>
        </w:rPr>
        <w:t>The</w:t>
      </w:r>
      <w:proofErr w:type="gramEnd"/>
      <w:r w:rsidRPr="00190651">
        <w:rPr>
          <w:i/>
          <w:iCs/>
          <w:sz w:val="24"/>
          <w:szCs w:val="24"/>
        </w:rPr>
        <w:t xml:space="preserve"> Real Reason Microsoft Bought LinkedIn</w:t>
      </w:r>
      <w:r w:rsidRPr="00190651">
        <w:rPr>
          <w:sz w:val="24"/>
          <w:szCs w:val="24"/>
        </w:rPr>
        <w:t>.</w:t>
      </w:r>
      <w:r w:rsidR="001B69A7">
        <w:rPr>
          <w:sz w:val="24"/>
          <w:szCs w:val="24"/>
        </w:rPr>
        <w:t xml:space="preserve"> </w:t>
      </w:r>
      <w:r w:rsidRPr="00190651">
        <w:rPr>
          <w:sz w:val="24"/>
          <w:szCs w:val="24"/>
        </w:rPr>
        <w:t xml:space="preserve">Available at: </w:t>
      </w:r>
      <w:hyperlink r:id="rId13" w:history="1">
        <w:r w:rsidR="001B69A7" w:rsidRPr="00190651">
          <w:rPr>
            <w:rStyle w:val="Hyperlink"/>
            <w:sz w:val="24"/>
            <w:szCs w:val="24"/>
          </w:rPr>
          <w:t>https://www.forbes.com/sites/grantfeller/2016/06/14/this-is-the-real-reason-microsoft-bought-linkedin/</w:t>
        </w:r>
      </w:hyperlink>
      <w:r w:rsidR="001B69A7">
        <w:rPr>
          <w:sz w:val="24"/>
          <w:szCs w:val="24"/>
        </w:rPr>
        <w:t xml:space="preserve"> (</w:t>
      </w:r>
      <w:r w:rsidRPr="00190651">
        <w:rPr>
          <w:sz w:val="24"/>
          <w:szCs w:val="24"/>
        </w:rPr>
        <w:t>Accessed 23 Mar</w:t>
      </w:r>
      <w:r w:rsidR="001B69A7">
        <w:rPr>
          <w:sz w:val="24"/>
          <w:szCs w:val="24"/>
        </w:rPr>
        <w:t>ch</w:t>
      </w:r>
      <w:r w:rsidRPr="00190651">
        <w:rPr>
          <w:sz w:val="24"/>
          <w:szCs w:val="24"/>
        </w:rPr>
        <w:t xml:space="preserve"> 2025</w:t>
      </w:r>
      <w:r w:rsidR="001B69A7">
        <w:rPr>
          <w:sz w:val="24"/>
          <w:szCs w:val="24"/>
        </w:rPr>
        <w:t>)</w:t>
      </w:r>
      <w:r w:rsidRPr="00190651">
        <w:rPr>
          <w:sz w:val="24"/>
          <w:szCs w:val="24"/>
        </w:rPr>
        <w:t>.</w:t>
      </w:r>
    </w:p>
    <w:p w14:paraId="7D30418C" w14:textId="55AE6E64" w:rsidR="00190651" w:rsidRPr="00190651" w:rsidRDefault="00190651" w:rsidP="00D62A3A">
      <w:pPr>
        <w:spacing w:line="360" w:lineRule="auto"/>
        <w:jc w:val="both"/>
        <w:rPr>
          <w:sz w:val="24"/>
          <w:szCs w:val="24"/>
        </w:rPr>
      </w:pPr>
      <w:r w:rsidRPr="00190651">
        <w:rPr>
          <w:sz w:val="24"/>
          <w:szCs w:val="24"/>
        </w:rPr>
        <w:lastRenderedPageBreak/>
        <w:t xml:space="preserve">Foroohar, R. (2016) </w:t>
      </w:r>
      <w:r w:rsidRPr="00190651">
        <w:rPr>
          <w:i/>
          <w:iCs/>
          <w:sz w:val="24"/>
          <w:szCs w:val="24"/>
        </w:rPr>
        <w:t>Microsoft’s Massive LinkedIn Deal Is a Sign of Something Dangerous</w:t>
      </w:r>
      <w:r w:rsidRPr="00190651">
        <w:rPr>
          <w:sz w:val="24"/>
          <w:szCs w:val="24"/>
        </w:rPr>
        <w:t>.</w:t>
      </w:r>
      <w:r w:rsidR="001B69A7">
        <w:rPr>
          <w:sz w:val="24"/>
          <w:szCs w:val="24"/>
        </w:rPr>
        <w:t xml:space="preserve"> </w:t>
      </w:r>
      <w:r w:rsidRPr="00190651">
        <w:rPr>
          <w:sz w:val="24"/>
          <w:szCs w:val="24"/>
        </w:rPr>
        <w:t xml:space="preserve">Available at: </w:t>
      </w:r>
      <w:hyperlink r:id="rId14" w:history="1">
        <w:r w:rsidR="001B69A7" w:rsidRPr="00190651">
          <w:rPr>
            <w:rStyle w:val="Hyperlink"/>
            <w:sz w:val="24"/>
            <w:szCs w:val="24"/>
          </w:rPr>
          <w:t>https://time.com/4368047/microsoft-linkedin-deal-merger-debt/</w:t>
        </w:r>
      </w:hyperlink>
      <w:r w:rsidR="001B69A7">
        <w:rPr>
          <w:sz w:val="24"/>
          <w:szCs w:val="24"/>
        </w:rPr>
        <w:t xml:space="preserve"> (</w:t>
      </w:r>
      <w:r w:rsidRPr="00190651">
        <w:rPr>
          <w:sz w:val="24"/>
          <w:szCs w:val="24"/>
        </w:rPr>
        <w:t>Accessed 23 Mar</w:t>
      </w:r>
      <w:r w:rsidR="001B69A7">
        <w:rPr>
          <w:sz w:val="24"/>
          <w:szCs w:val="24"/>
        </w:rPr>
        <w:t>ch</w:t>
      </w:r>
      <w:r w:rsidRPr="00190651">
        <w:rPr>
          <w:sz w:val="24"/>
          <w:szCs w:val="24"/>
        </w:rPr>
        <w:t xml:space="preserve"> 2025</w:t>
      </w:r>
      <w:r w:rsidR="001B69A7">
        <w:rPr>
          <w:sz w:val="24"/>
          <w:szCs w:val="24"/>
        </w:rPr>
        <w:t>)</w:t>
      </w:r>
      <w:r w:rsidRPr="00190651">
        <w:rPr>
          <w:sz w:val="24"/>
          <w:szCs w:val="24"/>
        </w:rPr>
        <w:t>.</w:t>
      </w:r>
    </w:p>
    <w:p w14:paraId="3F4F9CDC" w14:textId="2086BBC6" w:rsidR="00190651" w:rsidRPr="00190651" w:rsidRDefault="00190651" w:rsidP="00D62A3A">
      <w:pPr>
        <w:spacing w:line="360" w:lineRule="auto"/>
        <w:jc w:val="both"/>
        <w:rPr>
          <w:sz w:val="24"/>
          <w:szCs w:val="24"/>
        </w:rPr>
      </w:pPr>
      <w:r w:rsidRPr="00190651">
        <w:rPr>
          <w:sz w:val="24"/>
          <w:szCs w:val="24"/>
        </w:rPr>
        <w:t xml:space="preserve">Giannino, M. (2017) </w:t>
      </w:r>
      <w:r w:rsidR="00E24F6D">
        <w:rPr>
          <w:sz w:val="24"/>
          <w:szCs w:val="24"/>
        </w:rPr>
        <w:t>‘</w:t>
      </w:r>
      <w:r w:rsidRPr="00190651">
        <w:rPr>
          <w:sz w:val="24"/>
          <w:szCs w:val="24"/>
        </w:rPr>
        <w:t>Microsoft/LinkedIn: What the European Commission Said on the Competition Review of Digital Market Mergers</w:t>
      </w:r>
      <w:r w:rsidR="00E24F6D">
        <w:rPr>
          <w:sz w:val="24"/>
          <w:szCs w:val="24"/>
        </w:rPr>
        <w:t>’,</w:t>
      </w:r>
      <w:r w:rsidRPr="00190651">
        <w:rPr>
          <w:sz w:val="24"/>
          <w:szCs w:val="24"/>
        </w:rPr>
        <w:t xml:space="preserve"> </w:t>
      </w:r>
      <w:r w:rsidRPr="00190651">
        <w:rPr>
          <w:i/>
          <w:iCs/>
          <w:sz w:val="24"/>
          <w:szCs w:val="24"/>
        </w:rPr>
        <w:t>SSRN Electronic Journal</w:t>
      </w:r>
      <w:r w:rsidRPr="00190651">
        <w:rPr>
          <w:sz w:val="24"/>
          <w:szCs w:val="24"/>
        </w:rPr>
        <w:t xml:space="preserve">. </w:t>
      </w:r>
      <w:proofErr w:type="spellStart"/>
      <w:proofErr w:type="gramStart"/>
      <w:r w:rsidRPr="00190651">
        <w:rPr>
          <w:sz w:val="24"/>
          <w:szCs w:val="24"/>
        </w:rPr>
        <w:t>doi:https</w:t>
      </w:r>
      <w:proofErr w:type="spellEnd"/>
      <w:r w:rsidRPr="00190651">
        <w:rPr>
          <w:sz w:val="24"/>
          <w:szCs w:val="24"/>
        </w:rPr>
        <w:t>://doi.org/10.2139/ssrn.3005299</w:t>
      </w:r>
      <w:proofErr w:type="gramEnd"/>
      <w:r w:rsidRPr="00190651">
        <w:rPr>
          <w:sz w:val="24"/>
          <w:szCs w:val="24"/>
        </w:rPr>
        <w:t>.</w:t>
      </w:r>
    </w:p>
    <w:p w14:paraId="6C416748" w14:textId="533DB3EE" w:rsidR="00190651" w:rsidRPr="00190651" w:rsidRDefault="00190651" w:rsidP="00D62A3A">
      <w:pPr>
        <w:spacing w:line="360" w:lineRule="auto"/>
        <w:jc w:val="both"/>
        <w:rPr>
          <w:sz w:val="24"/>
          <w:szCs w:val="24"/>
        </w:rPr>
      </w:pPr>
      <w:r w:rsidRPr="00190651">
        <w:rPr>
          <w:sz w:val="24"/>
          <w:szCs w:val="24"/>
        </w:rPr>
        <w:t xml:space="preserve">Hussain, T., </w:t>
      </w:r>
      <w:proofErr w:type="spellStart"/>
      <w:r w:rsidRPr="00190651">
        <w:rPr>
          <w:sz w:val="24"/>
          <w:szCs w:val="24"/>
        </w:rPr>
        <w:t>Tunyi</w:t>
      </w:r>
      <w:proofErr w:type="spellEnd"/>
      <w:r w:rsidRPr="00190651">
        <w:rPr>
          <w:sz w:val="24"/>
          <w:szCs w:val="24"/>
        </w:rPr>
        <w:t xml:space="preserve">, A.A., Sufyan, M. and Shahab, Y. (2022) </w:t>
      </w:r>
      <w:r w:rsidR="00E24F6D">
        <w:rPr>
          <w:sz w:val="24"/>
          <w:szCs w:val="24"/>
        </w:rPr>
        <w:t>‘</w:t>
      </w:r>
      <w:r w:rsidRPr="00190651">
        <w:rPr>
          <w:sz w:val="24"/>
          <w:szCs w:val="24"/>
        </w:rPr>
        <w:t>Powerful bidders and value creation in M&amp;As</w:t>
      </w:r>
      <w:r w:rsidR="00E24F6D">
        <w:rPr>
          <w:sz w:val="24"/>
          <w:szCs w:val="24"/>
        </w:rPr>
        <w:t>’,</w:t>
      </w:r>
      <w:r w:rsidRPr="00190651">
        <w:rPr>
          <w:sz w:val="24"/>
          <w:szCs w:val="24"/>
        </w:rPr>
        <w:t xml:space="preserve"> </w:t>
      </w:r>
      <w:r w:rsidRPr="00190651">
        <w:rPr>
          <w:i/>
          <w:iCs/>
          <w:sz w:val="24"/>
          <w:szCs w:val="24"/>
        </w:rPr>
        <w:t>International Review of Financial Analysis</w:t>
      </w:r>
      <w:r w:rsidRPr="00190651">
        <w:rPr>
          <w:sz w:val="24"/>
          <w:szCs w:val="24"/>
        </w:rPr>
        <w:t xml:space="preserve">, 81, p.102076. </w:t>
      </w:r>
      <w:proofErr w:type="spellStart"/>
      <w:proofErr w:type="gramStart"/>
      <w:r w:rsidRPr="00190651">
        <w:rPr>
          <w:sz w:val="24"/>
          <w:szCs w:val="24"/>
        </w:rPr>
        <w:t>doi:https</w:t>
      </w:r>
      <w:proofErr w:type="spellEnd"/>
      <w:r w:rsidRPr="00190651">
        <w:rPr>
          <w:sz w:val="24"/>
          <w:szCs w:val="24"/>
        </w:rPr>
        <w:t>://doi.org/10.1016/j.irfa.2022.102076</w:t>
      </w:r>
      <w:proofErr w:type="gramEnd"/>
      <w:r w:rsidRPr="00190651">
        <w:rPr>
          <w:sz w:val="24"/>
          <w:szCs w:val="24"/>
        </w:rPr>
        <w:t>.</w:t>
      </w:r>
    </w:p>
    <w:p w14:paraId="24241A50" w14:textId="02470E59" w:rsidR="00190651" w:rsidRPr="00190651" w:rsidRDefault="00190651" w:rsidP="00D62A3A">
      <w:pPr>
        <w:spacing w:line="360" w:lineRule="auto"/>
        <w:jc w:val="both"/>
        <w:rPr>
          <w:sz w:val="24"/>
          <w:szCs w:val="24"/>
        </w:rPr>
      </w:pPr>
      <w:r w:rsidRPr="00190651">
        <w:rPr>
          <w:sz w:val="24"/>
          <w:szCs w:val="24"/>
        </w:rPr>
        <w:t xml:space="preserve">Irvine, M. (2021) </w:t>
      </w:r>
      <w:r w:rsidRPr="00190651">
        <w:rPr>
          <w:i/>
          <w:iCs/>
          <w:sz w:val="24"/>
          <w:szCs w:val="24"/>
        </w:rPr>
        <w:t>Bing Ads Announces New LinkedIn Profile Targeting</w:t>
      </w:r>
      <w:r w:rsidRPr="00190651">
        <w:rPr>
          <w:sz w:val="24"/>
          <w:szCs w:val="24"/>
        </w:rPr>
        <w:t>.</w:t>
      </w:r>
      <w:r w:rsidR="00E24F6D">
        <w:rPr>
          <w:sz w:val="24"/>
          <w:szCs w:val="24"/>
        </w:rPr>
        <w:t xml:space="preserve"> </w:t>
      </w:r>
      <w:r w:rsidRPr="00190651">
        <w:rPr>
          <w:sz w:val="24"/>
          <w:szCs w:val="24"/>
        </w:rPr>
        <w:t xml:space="preserve">Available at: </w:t>
      </w:r>
      <w:hyperlink r:id="rId15" w:history="1">
        <w:r w:rsidR="00E24F6D" w:rsidRPr="00190651">
          <w:rPr>
            <w:rStyle w:val="Hyperlink"/>
            <w:sz w:val="24"/>
            <w:szCs w:val="24"/>
          </w:rPr>
          <w:t>https://www.wordstream.com/blog/ws/2018/10/24/bing-ads-linkedin-profile-targeting</w:t>
        </w:r>
      </w:hyperlink>
      <w:r w:rsidR="00E24F6D">
        <w:rPr>
          <w:sz w:val="24"/>
          <w:szCs w:val="24"/>
        </w:rPr>
        <w:t xml:space="preserve"> (</w:t>
      </w:r>
      <w:r w:rsidRPr="00190651">
        <w:rPr>
          <w:sz w:val="24"/>
          <w:szCs w:val="24"/>
        </w:rPr>
        <w:t>Accessed 2 Apr</w:t>
      </w:r>
      <w:r w:rsidR="00E24F6D">
        <w:rPr>
          <w:sz w:val="24"/>
          <w:szCs w:val="24"/>
        </w:rPr>
        <w:t>il</w:t>
      </w:r>
      <w:r w:rsidRPr="00190651">
        <w:rPr>
          <w:sz w:val="24"/>
          <w:szCs w:val="24"/>
        </w:rPr>
        <w:t xml:space="preserve"> 2025</w:t>
      </w:r>
      <w:r w:rsidR="00E24F6D">
        <w:rPr>
          <w:sz w:val="24"/>
          <w:szCs w:val="24"/>
        </w:rPr>
        <w:t>)</w:t>
      </w:r>
      <w:r w:rsidRPr="00190651">
        <w:rPr>
          <w:sz w:val="24"/>
          <w:szCs w:val="24"/>
        </w:rPr>
        <w:t>.</w:t>
      </w:r>
    </w:p>
    <w:p w14:paraId="18122AEF" w14:textId="7D4AC2E7" w:rsidR="00190651" w:rsidRPr="00190651" w:rsidRDefault="00190651" w:rsidP="00D62A3A">
      <w:pPr>
        <w:spacing w:line="360" w:lineRule="auto"/>
        <w:jc w:val="both"/>
        <w:rPr>
          <w:sz w:val="24"/>
          <w:szCs w:val="24"/>
        </w:rPr>
      </w:pPr>
      <w:r w:rsidRPr="00190651">
        <w:rPr>
          <w:sz w:val="24"/>
          <w:szCs w:val="24"/>
        </w:rPr>
        <w:t xml:space="preserve">King, R. (2016) </w:t>
      </w:r>
      <w:r w:rsidRPr="00190651">
        <w:rPr>
          <w:i/>
          <w:iCs/>
          <w:sz w:val="24"/>
          <w:szCs w:val="24"/>
        </w:rPr>
        <w:t>Salesforce.com to Press Regulators to Block Microsoft-LinkedIn Deal</w:t>
      </w:r>
      <w:r w:rsidRPr="00190651">
        <w:rPr>
          <w:sz w:val="24"/>
          <w:szCs w:val="24"/>
        </w:rPr>
        <w:t>.</w:t>
      </w:r>
      <w:r w:rsidR="00E24F6D">
        <w:rPr>
          <w:sz w:val="24"/>
          <w:szCs w:val="24"/>
        </w:rPr>
        <w:t xml:space="preserve"> </w:t>
      </w:r>
      <w:r w:rsidRPr="00190651">
        <w:rPr>
          <w:sz w:val="24"/>
          <w:szCs w:val="24"/>
        </w:rPr>
        <w:t xml:space="preserve">Available at: https://www.wsj.com/articles/salesforce-com-to-press-regulators-to-block-microsoft-linkedin-deal-1475178870 </w:t>
      </w:r>
      <w:r w:rsidR="00E24F6D">
        <w:rPr>
          <w:sz w:val="24"/>
          <w:szCs w:val="24"/>
        </w:rPr>
        <w:t>(</w:t>
      </w:r>
      <w:r w:rsidRPr="00190651">
        <w:rPr>
          <w:sz w:val="24"/>
          <w:szCs w:val="24"/>
        </w:rPr>
        <w:t>Accessed 28 Mar</w:t>
      </w:r>
      <w:r w:rsidR="00E24F6D">
        <w:rPr>
          <w:sz w:val="24"/>
          <w:szCs w:val="24"/>
        </w:rPr>
        <w:t>ch</w:t>
      </w:r>
      <w:r w:rsidRPr="00190651">
        <w:rPr>
          <w:sz w:val="24"/>
          <w:szCs w:val="24"/>
        </w:rPr>
        <w:t xml:space="preserve"> 2025</w:t>
      </w:r>
      <w:r w:rsidR="00E24F6D">
        <w:rPr>
          <w:sz w:val="24"/>
          <w:szCs w:val="24"/>
        </w:rPr>
        <w:t>)</w:t>
      </w:r>
      <w:r w:rsidRPr="00190651">
        <w:rPr>
          <w:sz w:val="24"/>
          <w:szCs w:val="24"/>
        </w:rPr>
        <w:t>.</w:t>
      </w:r>
    </w:p>
    <w:p w14:paraId="0C05CB53" w14:textId="41405874" w:rsidR="00190651" w:rsidRPr="00190651" w:rsidRDefault="00190651" w:rsidP="00D62A3A">
      <w:pPr>
        <w:spacing w:line="360" w:lineRule="auto"/>
        <w:jc w:val="both"/>
        <w:rPr>
          <w:sz w:val="24"/>
          <w:szCs w:val="24"/>
        </w:rPr>
      </w:pPr>
      <w:r w:rsidRPr="00190651">
        <w:rPr>
          <w:sz w:val="24"/>
          <w:szCs w:val="24"/>
        </w:rPr>
        <w:t xml:space="preserve">Li, M. (2023) </w:t>
      </w:r>
      <w:r w:rsidR="00E24F6D">
        <w:rPr>
          <w:sz w:val="24"/>
          <w:szCs w:val="24"/>
        </w:rPr>
        <w:t>‘</w:t>
      </w:r>
      <w:r w:rsidRPr="00190651">
        <w:rPr>
          <w:sz w:val="24"/>
          <w:szCs w:val="24"/>
        </w:rPr>
        <w:t xml:space="preserve">Risks </w:t>
      </w:r>
      <w:proofErr w:type="gramStart"/>
      <w:r w:rsidRPr="00190651">
        <w:rPr>
          <w:sz w:val="24"/>
          <w:szCs w:val="24"/>
        </w:rPr>
        <w:t>And</w:t>
      </w:r>
      <w:proofErr w:type="gramEnd"/>
      <w:r w:rsidRPr="00190651">
        <w:rPr>
          <w:sz w:val="24"/>
          <w:szCs w:val="24"/>
        </w:rPr>
        <w:t xml:space="preserve"> Countermeasures Related to Diversification Strategy: Taking Yunnan </w:t>
      </w:r>
      <w:proofErr w:type="spellStart"/>
      <w:r w:rsidRPr="00190651">
        <w:rPr>
          <w:sz w:val="24"/>
          <w:szCs w:val="24"/>
        </w:rPr>
        <w:t>Baiyao</w:t>
      </w:r>
      <w:proofErr w:type="spellEnd"/>
      <w:r w:rsidRPr="00190651">
        <w:rPr>
          <w:sz w:val="24"/>
          <w:szCs w:val="24"/>
        </w:rPr>
        <w:t xml:space="preserve"> as An Example</w:t>
      </w:r>
      <w:r w:rsidR="00E24F6D">
        <w:rPr>
          <w:sz w:val="24"/>
          <w:szCs w:val="24"/>
        </w:rPr>
        <w:t>’,</w:t>
      </w:r>
      <w:r w:rsidRPr="00190651">
        <w:rPr>
          <w:sz w:val="24"/>
          <w:szCs w:val="24"/>
        </w:rPr>
        <w:t xml:space="preserve"> </w:t>
      </w:r>
      <w:r w:rsidRPr="00190651">
        <w:rPr>
          <w:i/>
          <w:iCs/>
          <w:sz w:val="24"/>
          <w:szCs w:val="24"/>
        </w:rPr>
        <w:t>BCP business &amp; management</w:t>
      </w:r>
      <w:r w:rsidRPr="00190651">
        <w:rPr>
          <w:sz w:val="24"/>
          <w:szCs w:val="24"/>
        </w:rPr>
        <w:t xml:space="preserve">, 46, pp.295–300. </w:t>
      </w:r>
      <w:proofErr w:type="spellStart"/>
      <w:proofErr w:type="gramStart"/>
      <w:r w:rsidRPr="00190651">
        <w:rPr>
          <w:sz w:val="24"/>
          <w:szCs w:val="24"/>
        </w:rPr>
        <w:t>doi:https</w:t>
      </w:r>
      <w:proofErr w:type="spellEnd"/>
      <w:r w:rsidRPr="00190651">
        <w:rPr>
          <w:sz w:val="24"/>
          <w:szCs w:val="24"/>
        </w:rPr>
        <w:t>://doi.org/10.54691/bcpbm.v46i.5109</w:t>
      </w:r>
      <w:proofErr w:type="gramEnd"/>
      <w:r w:rsidRPr="00190651">
        <w:rPr>
          <w:sz w:val="24"/>
          <w:szCs w:val="24"/>
        </w:rPr>
        <w:t>.</w:t>
      </w:r>
    </w:p>
    <w:p w14:paraId="5555E0FB" w14:textId="33B4689C" w:rsidR="00190651" w:rsidRPr="00190651" w:rsidRDefault="00190651" w:rsidP="00D62A3A">
      <w:pPr>
        <w:spacing w:line="360" w:lineRule="auto"/>
        <w:jc w:val="both"/>
        <w:rPr>
          <w:sz w:val="24"/>
          <w:szCs w:val="24"/>
        </w:rPr>
      </w:pPr>
      <w:r w:rsidRPr="00190651">
        <w:rPr>
          <w:sz w:val="24"/>
          <w:szCs w:val="24"/>
        </w:rPr>
        <w:t xml:space="preserve">Loo, A. (2025) </w:t>
      </w:r>
      <w:r w:rsidRPr="00190651">
        <w:rPr>
          <w:i/>
          <w:iCs/>
          <w:sz w:val="24"/>
          <w:szCs w:val="24"/>
        </w:rPr>
        <w:t>Economies of Scale</w:t>
      </w:r>
      <w:r w:rsidRPr="00190651">
        <w:rPr>
          <w:sz w:val="24"/>
          <w:szCs w:val="24"/>
        </w:rPr>
        <w:t>.</w:t>
      </w:r>
      <w:r w:rsidR="00E24F6D">
        <w:rPr>
          <w:sz w:val="24"/>
          <w:szCs w:val="24"/>
        </w:rPr>
        <w:t xml:space="preserve"> </w:t>
      </w:r>
      <w:r w:rsidRPr="00190651">
        <w:rPr>
          <w:sz w:val="24"/>
          <w:szCs w:val="24"/>
        </w:rPr>
        <w:t xml:space="preserve">Available at: </w:t>
      </w:r>
      <w:hyperlink r:id="rId16" w:history="1">
        <w:r w:rsidR="00E24F6D" w:rsidRPr="00190651">
          <w:rPr>
            <w:rStyle w:val="Hyperlink"/>
            <w:sz w:val="24"/>
            <w:szCs w:val="24"/>
          </w:rPr>
          <w:t>https://corporatefinanceinstitute.com/resources/economics/economies-of-scale/</w:t>
        </w:r>
      </w:hyperlink>
      <w:r w:rsidR="00E24F6D">
        <w:rPr>
          <w:sz w:val="24"/>
          <w:szCs w:val="24"/>
        </w:rPr>
        <w:t xml:space="preserve"> (</w:t>
      </w:r>
      <w:r w:rsidRPr="00190651">
        <w:rPr>
          <w:sz w:val="24"/>
          <w:szCs w:val="24"/>
        </w:rPr>
        <w:t>Accessed 23 Mar</w:t>
      </w:r>
      <w:r w:rsidR="00E24F6D">
        <w:rPr>
          <w:sz w:val="24"/>
          <w:szCs w:val="24"/>
        </w:rPr>
        <w:t xml:space="preserve">ch </w:t>
      </w:r>
      <w:r w:rsidRPr="00190651">
        <w:rPr>
          <w:sz w:val="24"/>
          <w:szCs w:val="24"/>
        </w:rPr>
        <w:t>2025</w:t>
      </w:r>
      <w:r w:rsidR="00E24F6D">
        <w:rPr>
          <w:sz w:val="24"/>
          <w:szCs w:val="24"/>
        </w:rPr>
        <w:t>)</w:t>
      </w:r>
      <w:r w:rsidRPr="00190651">
        <w:rPr>
          <w:sz w:val="24"/>
          <w:szCs w:val="24"/>
        </w:rPr>
        <w:t>.</w:t>
      </w:r>
    </w:p>
    <w:p w14:paraId="5AA4CF01" w14:textId="15EDF356" w:rsidR="00190651" w:rsidRPr="00190651" w:rsidRDefault="00190651" w:rsidP="00D62A3A">
      <w:pPr>
        <w:spacing w:line="360" w:lineRule="auto"/>
        <w:jc w:val="both"/>
        <w:rPr>
          <w:sz w:val="24"/>
          <w:szCs w:val="24"/>
        </w:rPr>
      </w:pPr>
      <w:r w:rsidRPr="00190651">
        <w:rPr>
          <w:sz w:val="24"/>
          <w:szCs w:val="24"/>
        </w:rPr>
        <w:t xml:space="preserve">McBride, S. (2016) </w:t>
      </w:r>
      <w:r w:rsidR="00E24F6D">
        <w:rPr>
          <w:sz w:val="24"/>
          <w:szCs w:val="24"/>
        </w:rPr>
        <w:t>‘</w:t>
      </w:r>
      <w:r w:rsidRPr="00190651">
        <w:rPr>
          <w:sz w:val="24"/>
          <w:szCs w:val="24"/>
        </w:rPr>
        <w:t>Microsoft to buy LinkedIn for $26.2 billion in its largest deal</w:t>
      </w:r>
      <w:r w:rsidR="00E24F6D">
        <w:rPr>
          <w:sz w:val="24"/>
          <w:szCs w:val="24"/>
        </w:rPr>
        <w:t>’,</w:t>
      </w:r>
      <w:r w:rsidRPr="00190651">
        <w:rPr>
          <w:sz w:val="24"/>
          <w:szCs w:val="24"/>
        </w:rPr>
        <w:t xml:space="preserve"> </w:t>
      </w:r>
      <w:r w:rsidRPr="00190651">
        <w:rPr>
          <w:i/>
          <w:iCs/>
          <w:sz w:val="24"/>
          <w:szCs w:val="24"/>
        </w:rPr>
        <w:t>Reuters</w:t>
      </w:r>
      <w:r w:rsidRPr="00190651">
        <w:rPr>
          <w:sz w:val="24"/>
          <w:szCs w:val="24"/>
        </w:rPr>
        <w:t>.</w:t>
      </w:r>
      <w:r w:rsidR="00E24F6D">
        <w:rPr>
          <w:sz w:val="24"/>
          <w:szCs w:val="24"/>
        </w:rPr>
        <w:t xml:space="preserve"> </w:t>
      </w:r>
      <w:r w:rsidRPr="00190651">
        <w:rPr>
          <w:sz w:val="24"/>
          <w:szCs w:val="24"/>
        </w:rPr>
        <w:t>Available at: https://www.reuters.com/article/business/microsoft-to-buy-linkedin-for-262-billion-in-its-largest-deal-idUSKCN0YZ1FO/.</w:t>
      </w:r>
    </w:p>
    <w:p w14:paraId="7FA640B0" w14:textId="76D09AE2" w:rsidR="00190651" w:rsidRPr="00190651" w:rsidRDefault="00190651" w:rsidP="00D62A3A">
      <w:pPr>
        <w:spacing w:line="360" w:lineRule="auto"/>
        <w:jc w:val="both"/>
        <w:rPr>
          <w:sz w:val="24"/>
          <w:szCs w:val="24"/>
        </w:rPr>
      </w:pPr>
      <w:r w:rsidRPr="00190651">
        <w:rPr>
          <w:sz w:val="24"/>
          <w:szCs w:val="24"/>
        </w:rPr>
        <w:t xml:space="preserve">Microsoft (2016) </w:t>
      </w:r>
      <w:r w:rsidRPr="00190651">
        <w:rPr>
          <w:i/>
          <w:iCs/>
          <w:sz w:val="24"/>
          <w:szCs w:val="24"/>
        </w:rPr>
        <w:t>Microsoft 2016 Annual Report</w:t>
      </w:r>
      <w:r w:rsidRPr="00190651">
        <w:rPr>
          <w:sz w:val="24"/>
          <w:szCs w:val="24"/>
        </w:rPr>
        <w:t>.</w:t>
      </w:r>
      <w:r w:rsidR="00E24F6D">
        <w:rPr>
          <w:sz w:val="24"/>
          <w:szCs w:val="24"/>
        </w:rPr>
        <w:t xml:space="preserve"> </w:t>
      </w:r>
      <w:r w:rsidRPr="00190651">
        <w:rPr>
          <w:sz w:val="24"/>
          <w:szCs w:val="24"/>
        </w:rPr>
        <w:t>Available at: https://www.microsoft.com/investor/reports/ar16/index.html.</w:t>
      </w:r>
    </w:p>
    <w:p w14:paraId="280C8C49" w14:textId="3AAE0DA7" w:rsidR="00190651" w:rsidRPr="00190651" w:rsidRDefault="00190651" w:rsidP="00D62A3A">
      <w:pPr>
        <w:spacing w:line="360" w:lineRule="auto"/>
        <w:jc w:val="both"/>
        <w:rPr>
          <w:sz w:val="24"/>
          <w:szCs w:val="24"/>
        </w:rPr>
      </w:pPr>
      <w:r w:rsidRPr="00190651">
        <w:rPr>
          <w:sz w:val="24"/>
          <w:szCs w:val="24"/>
        </w:rPr>
        <w:t xml:space="preserve">Microsoft (2019) </w:t>
      </w:r>
      <w:r w:rsidRPr="00190651">
        <w:rPr>
          <w:i/>
          <w:iCs/>
          <w:sz w:val="24"/>
          <w:szCs w:val="24"/>
        </w:rPr>
        <w:t>2019 Annual Report</w:t>
      </w:r>
      <w:r w:rsidRPr="00190651">
        <w:rPr>
          <w:sz w:val="24"/>
          <w:szCs w:val="24"/>
        </w:rPr>
        <w:t>. Available at: https://www.microsoft.com/investor/reports/ar19/index.html</w:t>
      </w:r>
      <w:r w:rsidR="00E24F6D">
        <w:rPr>
          <w:sz w:val="24"/>
          <w:szCs w:val="24"/>
        </w:rPr>
        <w:t>.</w:t>
      </w:r>
    </w:p>
    <w:p w14:paraId="046E992D" w14:textId="1FF5D1C2" w:rsidR="00190651" w:rsidRPr="00190651" w:rsidRDefault="00190651" w:rsidP="00D62A3A">
      <w:pPr>
        <w:spacing w:line="360" w:lineRule="auto"/>
        <w:jc w:val="both"/>
        <w:rPr>
          <w:sz w:val="24"/>
          <w:szCs w:val="24"/>
        </w:rPr>
      </w:pPr>
      <w:r w:rsidRPr="00190651">
        <w:rPr>
          <w:sz w:val="24"/>
          <w:szCs w:val="24"/>
        </w:rPr>
        <w:lastRenderedPageBreak/>
        <w:t xml:space="preserve">Microsoft (2024) </w:t>
      </w:r>
      <w:r w:rsidRPr="00190651">
        <w:rPr>
          <w:i/>
          <w:iCs/>
          <w:sz w:val="24"/>
          <w:szCs w:val="24"/>
        </w:rPr>
        <w:t>Integrate LinkedIn Sales Navigator with Dynamics 365 Sales</w:t>
      </w:r>
      <w:r w:rsidRPr="00190651">
        <w:rPr>
          <w:sz w:val="24"/>
          <w:szCs w:val="24"/>
        </w:rPr>
        <w:t>.</w:t>
      </w:r>
      <w:r w:rsidR="00E24F6D">
        <w:rPr>
          <w:sz w:val="24"/>
          <w:szCs w:val="24"/>
        </w:rPr>
        <w:t xml:space="preserve"> </w:t>
      </w:r>
      <w:r w:rsidRPr="00190651">
        <w:rPr>
          <w:sz w:val="24"/>
          <w:szCs w:val="24"/>
        </w:rPr>
        <w:t xml:space="preserve">Available at: https://learn.microsoft.com/en-us/dynamics365/sales/linkedin/integrate-sales-navigator </w:t>
      </w:r>
      <w:r w:rsidR="00E24F6D">
        <w:rPr>
          <w:sz w:val="24"/>
          <w:szCs w:val="24"/>
        </w:rPr>
        <w:t>(</w:t>
      </w:r>
      <w:r w:rsidRPr="00190651">
        <w:rPr>
          <w:sz w:val="24"/>
          <w:szCs w:val="24"/>
        </w:rPr>
        <w:t>Accessed 23 Mar</w:t>
      </w:r>
      <w:r w:rsidR="00E24F6D">
        <w:rPr>
          <w:sz w:val="24"/>
          <w:szCs w:val="24"/>
        </w:rPr>
        <w:t>ch</w:t>
      </w:r>
      <w:r w:rsidRPr="00190651">
        <w:rPr>
          <w:sz w:val="24"/>
          <w:szCs w:val="24"/>
        </w:rPr>
        <w:t xml:space="preserve"> 2025</w:t>
      </w:r>
      <w:r w:rsidR="00E24F6D">
        <w:rPr>
          <w:sz w:val="24"/>
          <w:szCs w:val="24"/>
        </w:rPr>
        <w:t>)</w:t>
      </w:r>
      <w:r w:rsidRPr="00190651">
        <w:rPr>
          <w:sz w:val="24"/>
          <w:szCs w:val="24"/>
        </w:rPr>
        <w:t>.</w:t>
      </w:r>
    </w:p>
    <w:p w14:paraId="21F6FFDB" w14:textId="24FDE8F8" w:rsidR="00190651" w:rsidRPr="00190651" w:rsidRDefault="00190651" w:rsidP="00D62A3A">
      <w:pPr>
        <w:spacing w:line="360" w:lineRule="auto"/>
        <w:jc w:val="both"/>
        <w:rPr>
          <w:sz w:val="24"/>
          <w:szCs w:val="24"/>
        </w:rPr>
      </w:pPr>
      <w:r w:rsidRPr="00190651">
        <w:rPr>
          <w:sz w:val="24"/>
          <w:szCs w:val="24"/>
        </w:rPr>
        <w:t xml:space="preserve">Microsoft Corporation (2017) </w:t>
      </w:r>
      <w:r w:rsidRPr="00190651">
        <w:rPr>
          <w:i/>
          <w:iCs/>
          <w:sz w:val="24"/>
          <w:szCs w:val="24"/>
        </w:rPr>
        <w:t>Annual Report 2017</w:t>
      </w:r>
      <w:r w:rsidRPr="00190651">
        <w:rPr>
          <w:sz w:val="24"/>
          <w:szCs w:val="24"/>
        </w:rPr>
        <w:t>.</w:t>
      </w:r>
      <w:r w:rsidR="00E24F6D">
        <w:rPr>
          <w:sz w:val="24"/>
          <w:szCs w:val="24"/>
        </w:rPr>
        <w:t xml:space="preserve"> </w:t>
      </w:r>
      <w:r w:rsidRPr="00190651">
        <w:rPr>
          <w:sz w:val="24"/>
          <w:szCs w:val="24"/>
        </w:rPr>
        <w:t>Available at: https://stocklight.com/stocks/us/nasdaq-msft/microsoft-corporation/annual-reports/nasdaq-msft-2017-10K-171000067.pdf.</w:t>
      </w:r>
    </w:p>
    <w:p w14:paraId="1BC24A5B" w14:textId="23C778EB" w:rsidR="00190651" w:rsidRPr="00190651" w:rsidRDefault="00190651" w:rsidP="00D62A3A">
      <w:pPr>
        <w:spacing w:line="360" w:lineRule="auto"/>
        <w:jc w:val="both"/>
        <w:rPr>
          <w:sz w:val="24"/>
          <w:szCs w:val="24"/>
        </w:rPr>
      </w:pPr>
      <w:r w:rsidRPr="00190651">
        <w:rPr>
          <w:sz w:val="24"/>
          <w:szCs w:val="24"/>
        </w:rPr>
        <w:t xml:space="preserve">Microsoft News </w:t>
      </w:r>
      <w:proofErr w:type="spellStart"/>
      <w:r w:rsidRPr="00190651">
        <w:rPr>
          <w:sz w:val="24"/>
          <w:szCs w:val="24"/>
        </w:rPr>
        <w:t>Center</w:t>
      </w:r>
      <w:proofErr w:type="spellEnd"/>
      <w:r w:rsidRPr="00190651">
        <w:rPr>
          <w:sz w:val="24"/>
          <w:szCs w:val="24"/>
        </w:rPr>
        <w:t xml:space="preserve"> (2016) </w:t>
      </w:r>
      <w:r w:rsidRPr="00190651">
        <w:rPr>
          <w:i/>
          <w:iCs/>
          <w:sz w:val="24"/>
          <w:szCs w:val="24"/>
        </w:rPr>
        <w:t>Microsoft to Acquire LinkedIn - Stories</w:t>
      </w:r>
      <w:r w:rsidRPr="00190651">
        <w:rPr>
          <w:sz w:val="24"/>
          <w:szCs w:val="24"/>
        </w:rPr>
        <w:t>.</w:t>
      </w:r>
      <w:r w:rsidR="00E24F6D">
        <w:rPr>
          <w:sz w:val="24"/>
          <w:szCs w:val="24"/>
        </w:rPr>
        <w:t xml:space="preserve"> </w:t>
      </w:r>
      <w:r w:rsidRPr="00190651">
        <w:rPr>
          <w:sz w:val="24"/>
          <w:szCs w:val="24"/>
        </w:rPr>
        <w:t xml:space="preserve">Available at: </w:t>
      </w:r>
      <w:hyperlink r:id="rId17" w:history="1">
        <w:r w:rsidR="00E24F6D" w:rsidRPr="00190651">
          <w:rPr>
            <w:rStyle w:val="Hyperlink"/>
            <w:sz w:val="24"/>
            <w:szCs w:val="24"/>
          </w:rPr>
          <w:t>https://news.microsoft.com/2016/06/13/microsoft-to-acquire-linkedin/</w:t>
        </w:r>
      </w:hyperlink>
      <w:r w:rsidR="00E24F6D">
        <w:rPr>
          <w:sz w:val="24"/>
          <w:szCs w:val="24"/>
        </w:rPr>
        <w:t xml:space="preserve"> (</w:t>
      </w:r>
      <w:r w:rsidRPr="00190651">
        <w:rPr>
          <w:sz w:val="24"/>
          <w:szCs w:val="24"/>
        </w:rPr>
        <w:t>Accessed 23 Mar</w:t>
      </w:r>
      <w:r w:rsidR="00E24F6D">
        <w:rPr>
          <w:sz w:val="24"/>
          <w:szCs w:val="24"/>
        </w:rPr>
        <w:t xml:space="preserve">ch </w:t>
      </w:r>
      <w:r w:rsidRPr="00190651">
        <w:rPr>
          <w:sz w:val="24"/>
          <w:szCs w:val="24"/>
        </w:rPr>
        <w:t>2025</w:t>
      </w:r>
      <w:r w:rsidR="00E24F6D">
        <w:rPr>
          <w:sz w:val="24"/>
          <w:szCs w:val="24"/>
        </w:rPr>
        <w:t>)</w:t>
      </w:r>
      <w:r w:rsidRPr="00190651">
        <w:rPr>
          <w:sz w:val="24"/>
          <w:szCs w:val="24"/>
        </w:rPr>
        <w:t>.</w:t>
      </w:r>
    </w:p>
    <w:p w14:paraId="07AB37B7" w14:textId="72C3106D" w:rsidR="00190651" w:rsidRPr="00190651" w:rsidRDefault="00190651" w:rsidP="00D62A3A">
      <w:pPr>
        <w:spacing w:line="360" w:lineRule="auto"/>
        <w:jc w:val="both"/>
        <w:rPr>
          <w:sz w:val="24"/>
          <w:szCs w:val="24"/>
        </w:rPr>
      </w:pPr>
      <w:proofErr w:type="spellStart"/>
      <w:r w:rsidRPr="00190651">
        <w:rPr>
          <w:sz w:val="24"/>
          <w:szCs w:val="24"/>
        </w:rPr>
        <w:t>Renneboog</w:t>
      </w:r>
      <w:proofErr w:type="spellEnd"/>
      <w:r w:rsidRPr="00190651">
        <w:rPr>
          <w:sz w:val="24"/>
          <w:szCs w:val="24"/>
        </w:rPr>
        <w:t xml:space="preserve">, L. and Vansteenkiste, C. (2019) </w:t>
      </w:r>
      <w:r w:rsidR="00E24F6D">
        <w:rPr>
          <w:sz w:val="24"/>
          <w:szCs w:val="24"/>
        </w:rPr>
        <w:t>‘</w:t>
      </w:r>
      <w:r w:rsidRPr="00190651">
        <w:rPr>
          <w:sz w:val="24"/>
          <w:szCs w:val="24"/>
        </w:rPr>
        <w:t>Failure and Success in Mergers and Acquisitions</w:t>
      </w:r>
      <w:r w:rsidR="00E24F6D">
        <w:rPr>
          <w:sz w:val="24"/>
          <w:szCs w:val="24"/>
        </w:rPr>
        <w:t>’,</w:t>
      </w:r>
      <w:r w:rsidRPr="00190651">
        <w:rPr>
          <w:sz w:val="24"/>
          <w:szCs w:val="24"/>
        </w:rPr>
        <w:t xml:space="preserve"> </w:t>
      </w:r>
      <w:r w:rsidRPr="00190651">
        <w:rPr>
          <w:i/>
          <w:iCs/>
          <w:sz w:val="24"/>
          <w:szCs w:val="24"/>
        </w:rPr>
        <w:t>Journal of Corporate Finance</w:t>
      </w:r>
      <w:r w:rsidRPr="00190651">
        <w:rPr>
          <w:sz w:val="24"/>
          <w:szCs w:val="24"/>
        </w:rPr>
        <w:t>,</w:t>
      </w:r>
      <w:r w:rsidR="00E24F6D">
        <w:rPr>
          <w:sz w:val="24"/>
          <w:szCs w:val="24"/>
        </w:rPr>
        <w:t xml:space="preserve"> </w:t>
      </w:r>
      <w:r w:rsidRPr="00190651">
        <w:rPr>
          <w:sz w:val="24"/>
          <w:szCs w:val="24"/>
        </w:rPr>
        <w:t>58(58), pp.650–699. Available at: https://www.sciencedirect.com/science/article/pii/S0929119918303298.</w:t>
      </w:r>
    </w:p>
    <w:p w14:paraId="4E8512DD" w14:textId="405A2AAC" w:rsidR="00190651" w:rsidRPr="00190651" w:rsidRDefault="00190651" w:rsidP="00D62A3A">
      <w:pPr>
        <w:spacing w:line="360" w:lineRule="auto"/>
        <w:jc w:val="both"/>
        <w:rPr>
          <w:sz w:val="24"/>
          <w:szCs w:val="24"/>
        </w:rPr>
      </w:pPr>
      <w:r w:rsidRPr="00190651">
        <w:rPr>
          <w:sz w:val="24"/>
          <w:szCs w:val="24"/>
        </w:rPr>
        <w:t xml:space="preserve">Schoenmaker, D. and </w:t>
      </w:r>
      <w:proofErr w:type="spellStart"/>
      <w:r w:rsidRPr="00190651">
        <w:rPr>
          <w:sz w:val="24"/>
          <w:szCs w:val="24"/>
        </w:rPr>
        <w:t>Schramade</w:t>
      </w:r>
      <w:proofErr w:type="spellEnd"/>
      <w:r w:rsidRPr="00190651">
        <w:rPr>
          <w:sz w:val="24"/>
          <w:szCs w:val="24"/>
        </w:rPr>
        <w:t xml:space="preserve">, W. (2023) </w:t>
      </w:r>
      <w:r w:rsidRPr="00190651">
        <w:rPr>
          <w:i/>
          <w:iCs/>
          <w:sz w:val="24"/>
          <w:szCs w:val="24"/>
        </w:rPr>
        <w:t>Corporate Finance for Long-Term Value</w:t>
      </w:r>
      <w:r w:rsidRPr="00190651">
        <w:rPr>
          <w:sz w:val="24"/>
          <w:szCs w:val="24"/>
        </w:rPr>
        <w:t>. Springer Nature.</w:t>
      </w:r>
    </w:p>
    <w:p w14:paraId="623188A4" w14:textId="0434AF19" w:rsidR="00190651" w:rsidRPr="00190651" w:rsidRDefault="00190651" w:rsidP="00D62A3A">
      <w:pPr>
        <w:spacing w:line="360" w:lineRule="auto"/>
        <w:jc w:val="both"/>
        <w:rPr>
          <w:sz w:val="24"/>
          <w:szCs w:val="24"/>
        </w:rPr>
      </w:pPr>
      <w:r w:rsidRPr="00190651">
        <w:rPr>
          <w:sz w:val="24"/>
          <w:szCs w:val="24"/>
        </w:rPr>
        <w:t xml:space="preserve">Shrivas, N. (2024) </w:t>
      </w:r>
      <w:proofErr w:type="spellStart"/>
      <w:r w:rsidRPr="00190651">
        <w:rPr>
          <w:i/>
          <w:iCs/>
          <w:sz w:val="24"/>
          <w:szCs w:val="24"/>
        </w:rPr>
        <w:t>Analyzing</w:t>
      </w:r>
      <w:proofErr w:type="spellEnd"/>
      <w:r w:rsidRPr="00190651">
        <w:rPr>
          <w:i/>
          <w:iCs/>
          <w:sz w:val="24"/>
          <w:szCs w:val="24"/>
        </w:rPr>
        <w:t xml:space="preserve"> the Benefits of Microsoft’s Acquisition of LinkedIn</w:t>
      </w:r>
      <w:r w:rsidRPr="00190651">
        <w:rPr>
          <w:sz w:val="24"/>
          <w:szCs w:val="24"/>
        </w:rPr>
        <w:t>.</w:t>
      </w:r>
      <w:r w:rsidR="00E24F6D">
        <w:rPr>
          <w:sz w:val="24"/>
          <w:szCs w:val="24"/>
        </w:rPr>
        <w:t xml:space="preserve"> </w:t>
      </w:r>
      <w:r w:rsidRPr="00190651">
        <w:rPr>
          <w:sz w:val="24"/>
          <w:szCs w:val="24"/>
        </w:rPr>
        <w:t xml:space="preserve">Available at: </w:t>
      </w:r>
      <w:hyperlink r:id="rId18" w:history="1">
        <w:r w:rsidR="00E24F6D" w:rsidRPr="00190651">
          <w:rPr>
            <w:rStyle w:val="Hyperlink"/>
            <w:sz w:val="24"/>
            <w:szCs w:val="24"/>
          </w:rPr>
          <w:t>https://www.linkedin.com/pulse/analyzing-benefits-microsofts-acquisition-linkedin-nitesh-shrivas-uxeyf/</w:t>
        </w:r>
      </w:hyperlink>
      <w:r w:rsidR="00E24F6D">
        <w:rPr>
          <w:sz w:val="24"/>
          <w:szCs w:val="24"/>
        </w:rPr>
        <w:t xml:space="preserve"> (</w:t>
      </w:r>
      <w:r w:rsidRPr="00190651">
        <w:rPr>
          <w:sz w:val="24"/>
          <w:szCs w:val="24"/>
        </w:rPr>
        <w:t>Accessed 25 Mar</w:t>
      </w:r>
      <w:r w:rsidR="00E24F6D">
        <w:rPr>
          <w:sz w:val="24"/>
          <w:szCs w:val="24"/>
        </w:rPr>
        <w:t>ch</w:t>
      </w:r>
      <w:r w:rsidRPr="00190651">
        <w:rPr>
          <w:sz w:val="24"/>
          <w:szCs w:val="24"/>
        </w:rPr>
        <w:t xml:space="preserve"> 2025</w:t>
      </w:r>
      <w:r w:rsidR="00E24F6D">
        <w:rPr>
          <w:sz w:val="24"/>
          <w:szCs w:val="24"/>
        </w:rPr>
        <w:t>)</w:t>
      </w:r>
      <w:r w:rsidRPr="00190651">
        <w:rPr>
          <w:sz w:val="24"/>
          <w:szCs w:val="24"/>
        </w:rPr>
        <w:t>.</w:t>
      </w:r>
    </w:p>
    <w:p w14:paraId="2153EC0C" w14:textId="47A752D7" w:rsidR="00190651" w:rsidRPr="00190651" w:rsidRDefault="00190651" w:rsidP="00D62A3A">
      <w:pPr>
        <w:spacing w:line="360" w:lineRule="auto"/>
        <w:jc w:val="both"/>
        <w:rPr>
          <w:sz w:val="24"/>
          <w:szCs w:val="24"/>
        </w:rPr>
      </w:pPr>
      <w:r w:rsidRPr="00190651">
        <w:rPr>
          <w:sz w:val="24"/>
          <w:szCs w:val="24"/>
        </w:rPr>
        <w:t xml:space="preserve">Sordello, S. (2016) </w:t>
      </w:r>
      <w:r w:rsidRPr="00190651">
        <w:rPr>
          <w:i/>
          <w:iCs/>
          <w:sz w:val="24"/>
          <w:szCs w:val="24"/>
        </w:rPr>
        <w:t>LinkedIn’s Q1 2016 Earnings</w:t>
      </w:r>
      <w:r w:rsidRPr="00190651">
        <w:rPr>
          <w:sz w:val="24"/>
          <w:szCs w:val="24"/>
        </w:rPr>
        <w:t>.</w:t>
      </w:r>
      <w:r w:rsidR="00E24F6D">
        <w:rPr>
          <w:sz w:val="24"/>
          <w:szCs w:val="24"/>
        </w:rPr>
        <w:t xml:space="preserve"> </w:t>
      </w:r>
      <w:r w:rsidRPr="00190651">
        <w:rPr>
          <w:sz w:val="24"/>
          <w:szCs w:val="24"/>
        </w:rPr>
        <w:t xml:space="preserve">Available at: </w:t>
      </w:r>
      <w:hyperlink r:id="rId19" w:history="1">
        <w:r w:rsidR="00E24F6D" w:rsidRPr="00190651">
          <w:rPr>
            <w:rStyle w:val="Hyperlink"/>
            <w:sz w:val="24"/>
            <w:szCs w:val="24"/>
          </w:rPr>
          <w:t>https://www.linkedin.com/blog/member/product/linkedin-s-q1-2016-earnings</w:t>
        </w:r>
      </w:hyperlink>
      <w:r w:rsidR="00E24F6D">
        <w:rPr>
          <w:sz w:val="24"/>
          <w:szCs w:val="24"/>
        </w:rPr>
        <w:t xml:space="preserve"> (</w:t>
      </w:r>
      <w:r w:rsidRPr="00190651">
        <w:rPr>
          <w:sz w:val="24"/>
          <w:szCs w:val="24"/>
        </w:rPr>
        <w:t>Accessed 24 Mar</w:t>
      </w:r>
      <w:r w:rsidR="00E24F6D">
        <w:rPr>
          <w:sz w:val="24"/>
          <w:szCs w:val="24"/>
        </w:rPr>
        <w:t xml:space="preserve">ch </w:t>
      </w:r>
      <w:r w:rsidRPr="00190651">
        <w:rPr>
          <w:sz w:val="24"/>
          <w:szCs w:val="24"/>
        </w:rPr>
        <w:t>2025</w:t>
      </w:r>
      <w:r w:rsidR="00E24F6D">
        <w:rPr>
          <w:sz w:val="24"/>
          <w:szCs w:val="24"/>
        </w:rPr>
        <w:t>)</w:t>
      </w:r>
      <w:r w:rsidRPr="00190651">
        <w:rPr>
          <w:sz w:val="24"/>
          <w:szCs w:val="24"/>
        </w:rPr>
        <w:t>.</w:t>
      </w:r>
    </w:p>
    <w:p w14:paraId="2B93547D" w14:textId="208D5D71" w:rsidR="00190651" w:rsidRPr="00190651" w:rsidRDefault="00190651" w:rsidP="00D62A3A">
      <w:pPr>
        <w:spacing w:line="360" w:lineRule="auto"/>
        <w:jc w:val="both"/>
        <w:rPr>
          <w:sz w:val="24"/>
          <w:szCs w:val="24"/>
        </w:rPr>
      </w:pPr>
      <w:r w:rsidRPr="00190651">
        <w:rPr>
          <w:sz w:val="24"/>
          <w:szCs w:val="24"/>
        </w:rPr>
        <w:t>Stadler, C. (2021)</w:t>
      </w:r>
      <w:r w:rsidR="00E24F6D">
        <w:rPr>
          <w:sz w:val="24"/>
          <w:szCs w:val="24"/>
        </w:rPr>
        <w:t xml:space="preserve"> </w:t>
      </w:r>
      <w:r w:rsidRPr="00190651">
        <w:rPr>
          <w:i/>
          <w:iCs/>
          <w:sz w:val="24"/>
          <w:szCs w:val="24"/>
        </w:rPr>
        <w:t xml:space="preserve">To Understand </w:t>
      </w:r>
      <w:proofErr w:type="gramStart"/>
      <w:r w:rsidRPr="00190651">
        <w:rPr>
          <w:i/>
          <w:iCs/>
          <w:sz w:val="24"/>
          <w:szCs w:val="24"/>
        </w:rPr>
        <w:t>The</w:t>
      </w:r>
      <w:proofErr w:type="gramEnd"/>
      <w:r w:rsidRPr="00190651">
        <w:rPr>
          <w:i/>
          <w:iCs/>
          <w:sz w:val="24"/>
          <w:szCs w:val="24"/>
        </w:rPr>
        <w:t xml:space="preserve"> Future </w:t>
      </w:r>
      <w:proofErr w:type="gramStart"/>
      <w:r w:rsidRPr="00190651">
        <w:rPr>
          <w:i/>
          <w:iCs/>
          <w:sz w:val="24"/>
          <w:szCs w:val="24"/>
        </w:rPr>
        <w:t>Of</w:t>
      </w:r>
      <w:proofErr w:type="gramEnd"/>
      <w:r w:rsidRPr="00190651">
        <w:rPr>
          <w:i/>
          <w:iCs/>
          <w:sz w:val="24"/>
          <w:szCs w:val="24"/>
        </w:rPr>
        <w:t xml:space="preserve"> Diversification, Compare Microsoft </w:t>
      </w:r>
      <w:proofErr w:type="gramStart"/>
      <w:r w:rsidRPr="00190651">
        <w:rPr>
          <w:i/>
          <w:iCs/>
          <w:sz w:val="24"/>
          <w:szCs w:val="24"/>
        </w:rPr>
        <w:t>And</w:t>
      </w:r>
      <w:proofErr w:type="gramEnd"/>
      <w:r w:rsidRPr="00190651">
        <w:rPr>
          <w:i/>
          <w:iCs/>
          <w:sz w:val="24"/>
          <w:szCs w:val="24"/>
        </w:rPr>
        <w:t xml:space="preserve"> IBM</w:t>
      </w:r>
      <w:r w:rsidRPr="00190651">
        <w:rPr>
          <w:sz w:val="24"/>
          <w:szCs w:val="24"/>
        </w:rPr>
        <w:t>.</w:t>
      </w:r>
      <w:r w:rsidR="00E24F6D">
        <w:rPr>
          <w:sz w:val="24"/>
          <w:szCs w:val="24"/>
        </w:rPr>
        <w:t xml:space="preserve"> </w:t>
      </w:r>
      <w:r w:rsidRPr="00190651">
        <w:rPr>
          <w:sz w:val="24"/>
          <w:szCs w:val="24"/>
        </w:rPr>
        <w:t xml:space="preserve">Available at: </w:t>
      </w:r>
      <w:hyperlink r:id="rId20" w:history="1">
        <w:r w:rsidR="00E24F6D" w:rsidRPr="00190651">
          <w:rPr>
            <w:rStyle w:val="Hyperlink"/>
            <w:sz w:val="24"/>
            <w:szCs w:val="24"/>
          </w:rPr>
          <w:t>https://www.forbes.com/sites/christianstadler/2021/11/15/to-understand-the-future-of-diversification-compare-microsoft-and-ibm/</w:t>
        </w:r>
      </w:hyperlink>
      <w:r w:rsidR="00E24F6D">
        <w:rPr>
          <w:sz w:val="24"/>
          <w:szCs w:val="24"/>
        </w:rPr>
        <w:t xml:space="preserve"> (</w:t>
      </w:r>
      <w:r w:rsidRPr="00190651">
        <w:rPr>
          <w:sz w:val="24"/>
          <w:szCs w:val="24"/>
        </w:rPr>
        <w:t>Accessed 27 Mar</w:t>
      </w:r>
      <w:r w:rsidR="00E24F6D">
        <w:rPr>
          <w:sz w:val="24"/>
          <w:szCs w:val="24"/>
        </w:rPr>
        <w:t>ch</w:t>
      </w:r>
      <w:r w:rsidRPr="00190651">
        <w:rPr>
          <w:sz w:val="24"/>
          <w:szCs w:val="24"/>
        </w:rPr>
        <w:t xml:space="preserve"> 2025</w:t>
      </w:r>
      <w:r w:rsidR="00E24F6D">
        <w:rPr>
          <w:sz w:val="24"/>
          <w:szCs w:val="24"/>
        </w:rPr>
        <w:t>)</w:t>
      </w:r>
      <w:r w:rsidRPr="00190651">
        <w:rPr>
          <w:sz w:val="24"/>
          <w:szCs w:val="24"/>
        </w:rPr>
        <w:t>.</w:t>
      </w:r>
    </w:p>
    <w:p w14:paraId="4E1D07DE" w14:textId="725D8CA7" w:rsidR="00190651" w:rsidRPr="00190651" w:rsidRDefault="00190651" w:rsidP="00D62A3A">
      <w:pPr>
        <w:spacing w:line="360" w:lineRule="auto"/>
        <w:jc w:val="both"/>
        <w:rPr>
          <w:sz w:val="24"/>
          <w:szCs w:val="24"/>
        </w:rPr>
      </w:pPr>
      <w:proofErr w:type="spellStart"/>
      <w:r w:rsidRPr="00190651">
        <w:rPr>
          <w:sz w:val="24"/>
          <w:szCs w:val="24"/>
        </w:rPr>
        <w:t>Trefis</w:t>
      </w:r>
      <w:proofErr w:type="spellEnd"/>
      <w:r w:rsidRPr="00190651">
        <w:rPr>
          <w:sz w:val="24"/>
          <w:szCs w:val="24"/>
        </w:rPr>
        <w:t xml:space="preserve"> Team (2016) </w:t>
      </w:r>
      <w:r w:rsidRPr="00190651">
        <w:rPr>
          <w:i/>
          <w:iCs/>
          <w:sz w:val="24"/>
          <w:szCs w:val="24"/>
        </w:rPr>
        <w:t xml:space="preserve">How Will Microsoft Benefit </w:t>
      </w:r>
      <w:proofErr w:type="gramStart"/>
      <w:r w:rsidRPr="00190651">
        <w:rPr>
          <w:i/>
          <w:iCs/>
          <w:sz w:val="24"/>
          <w:szCs w:val="24"/>
        </w:rPr>
        <w:t>From</w:t>
      </w:r>
      <w:proofErr w:type="gramEnd"/>
      <w:r w:rsidRPr="00190651">
        <w:rPr>
          <w:i/>
          <w:iCs/>
          <w:sz w:val="24"/>
          <w:szCs w:val="24"/>
        </w:rPr>
        <w:t xml:space="preserve"> LinkedIn’s Enterprise Relationships?</w:t>
      </w:r>
      <w:r w:rsidR="00E24F6D">
        <w:rPr>
          <w:sz w:val="24"/>
          <w:szCs w:val="24"/>
        </w:rPr>
        <w:t xml:space="preserve"> </w:t>
      </w:r>
      <w:r w:rsidRPr="00190651">
        <w:rPr>
          <w:sz w:val="24"/>
          <w:szCs w:val="24"/>
        </w:rPr>
        <w:t xml:space="preserve">Available at: </w:t>
      </w:r>
      <w:hyperlink r:id="rId21" w:history="1">
        <w:r w:rsidR="00E24F6D" w:rsidRPr="00190651">
          <w:rPr>
            <w:rStyle w:val="Hyperlink"/>
            <w:sz w:val="24"/>
            <w:szCs w:val="24"/>
          </w:rPr>
          <w:t>https://www.forbes.com/sites/greatspeculations/2016/06/16/how-will-microsoft-benefit-from-linkedins-enterprise-relationships/</w:t>
        </w:r>
      </w:hyperlink>
      <w:r w:rsidR="00E24F6D">
        <w:rPr>
          <w:sz w:val="24"/>
          <w:szCs w:val="24"/>
        </w:rPr>
        <w:t xml:space="preserve"> (</w:t>
      </w:r>
      <w:r w:rsidRPr="00190651">
        <w:rPr>
          <w:sz w:val="24"/>
          <w:szCs w:val="24"/>
        </w:rPr>
        <w:t>Accessed 23 Mar</w:t>
      </w:r>
      <w:r w:rsidR="00E24F6D">
        <w:rPr>
          <w:sz w:val="24"/>
          <w:szCs w:val="24"/>
        </w:rPr>
        <w:t>ch</w:t>
      </w:r>
      <w:r w:rsidRPr="00190651">
        <w:rPr>
          <w:sz w:val="24"/>
          <w:szCs w:val="24"/>
        </w:rPr>
        <w:t xml:space="preserve"> 2025</w:t>
      </w:r>
      <w:r w:rsidR="00E24F6D">
        <w:rPr>
          <w:sz w:val="24"/>
          <w:szCs w:val="24"/>
        </w:rPr>
        <w:t>)</w:t>
      </w:r>
      <w:r w:rsidRPr="00190651">
        <w:rPr>
          <w:sz w:val="24"/>
          <w:szCs w:val="24"/>
        </w:rPr>
        <w:t>.</w:t>
      </w:r>
    </w:p>
    <w:p w14:paraId="4AC39BED" w14:textId="75EB00DA" w:rsidR="00190651" w:rsidRPr="00190651" w:rsidRDefault="00190651" w:rsidP="00D62A3A">
      <w:pPr>
        <w:spacing w:line="360" w:lineRule="auto"/>
        <w:jc w:val="both"/>
        <w:rPr>
          <w:sz w:val="24"/>
          <w:szCs w:val="24"/>
        </w:rPr>
      </w:pPr>
      <w:r w:rsidRPr="00190651">
        <w:rPr>
          <w:sz w:val="24"/>
          <w:szCs w:val="24"/>
        </w:rPr>
        <w:lastRenderedPageBreak/>
        <w:t xml:space="preserve">Violeta, S. and Diana, S. (2018) </w:t>
      </w:r>
      <w:r w:rsidR="00E24F6D">
        <w:rPr>
          <w:sz w:val="24"/>
          <w:szCs w:val="24"/>
        </w:rPr>
        <w:t>‘</w:t>
      </w:r>
      <w:r w:rsidRPr="00190651">
        <w:rPr>
          <w:sz w:val="24"/>
          <w:szCs w:val="24"/>
        </w:rPr>
        <w:t>Purchased Goodwill and types of Synergies in Businesses Combinations. Microsoft-LinkedIn Transaction</w:t>
      </w:r>
      <w:r w:rsidR="00E24F6D">
        <w:rPr>
          <w:sz w:val="24"/>
          <w:szCs w:val="24"/>
        </w:rPr>
        <w:t>’,</w:t>
      </w:r>
      <w:r w:rsidRPr="00190651">
        <w:rPr>
          <w:sz w:val="24"/>
          <w:szCs w:val="24"/>
        </w:rPr>
        <w:t xml:space="preserve"> </w:t>
      </w:r>
      <w:r w:rsidRPr="00190651">
        <w:rPr>
          <w:i/>
          <w:iCs/>
          <w:sz w:val="24"/>
          <w:szCs w:val="24"/>
        </w:rPr>
        <w:t xml:space="preserve">Procedia - Social and </w:t>
      </w:r>
      <w:proofErr w:type="spellStart"/>
      <w:r w:rsidRPr="00190651">
        <w:rPr>
          <w:i/>
          <w:iCs/>
          <w:sz w:val="24"/>
          <w:szCs w:val="24"/>
        </w:rPr>
        <w:t>Behavioral</w:t>
      </w:r>
      <w:proofErr w:type="spellEnd"/>
      <w:r w:rsidRPr="00190651">
        <w:rPr>
          <w:i/>
          <w:iCs/>
          <w:sz w:val="24"/>
          <w:szCs w:val="24"/>
        </w:rPr>
        <w:t xml:space="preserve"> Sciences</w:t>
      </w:r>
      <w:r w:rsidRPr="00190651">
        <w:rPr>
          <w:sz w:val="24"/>
          <w:szCs w:val="24"/>
        </w:rPr>
        <w:t xml:space="preserve">, 238, pp.286–292. </w:t>
      </w:r>
      <w:proofErr w:type="spellStart"/>
      <w:proofErr w:type="gramStart"/>
      <w:r w:rsidRPr="00190651">
        <w:rPr>
          <w:sz w:val="24"/>
          <w:szCs w:val="24"/>
        </w:rPr>
        <w:t>doi:https</w:t>
      </w:r>
      <w:proofErr w:type="spellEnd"/>
      <w:r w:rsidRPr="00190651">
        <w:rPr>
          <w:sz w:val="24"/>
          <w:szCs w:val="24"/>
        </w:rPr>
        <w:t>://doi.org/10.1016/j.sbspro.2018.04.004</w:t>
      </w:r>
      <w:proofErr w:type="gramEnd"/>
      <w:r w:rsidRPr="00190651">
        <w:rPr>
          <w:sz w:val="24"/>
          <w:szCs w:val="24"/>
        </w:rPr>
        <w:t>.</w:t>
      </w:r>
    </w:p>
    <w:p w14:paraId="20669B8F" w14:textId="77777777" w:rsidR="00190651" w:rsidRPr="001B69A7" w:rsidRDefault="00190651" w:rsidP="001B69A7">
      <w:pPr>
        <w:jc w:val="both"/>
        <w:rPr>
          <w:sz w:val="24"/>
          <w:szCs w:val="24"/>
        </w:rPr>
      </w:pPr>
    </w:p>
    <w:sectPr w:rsidR="00190651" w:rsidRPr="001B69A7" w:rsidSect="00074F4B">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9CC9E" w14:textId="77777777" w:rsidR="00AC6A7B" w:rsidRDefault="00AC6A7B" w:rsidP="00074F4B">
      <w:pPr>
        <w:spacing w:after="0" w:line="240" w:lineRule="auto"/>
      </w:pPr>
      <w:r>
        <w:separator/>
      </w:r>
    </w:p>
  </w:endnote>
  <w:endnote w:type="continuationSeparator" w:id="0">
    <w:p w14:paraId="2E797244" w14:textId="77777777" w:rsidR="00AC6A7B" w:rsidRDefault="00AC6A7B" w:rsidP="00074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126205"/>
      <w:docPartObj>
        <w:docPartGallery w:val="Page Numbers (Bottom of Page)"/>
        <w:docPartUnique/>
      </w:docPartObj>
    </w:sdtPr>
    <w:sdtEndPr>
      <w:rPr>
        <w:noProof/>
      </w:rPr>
    </w:sdtEndPr>
    <w:sdtContent>
      <w:p w14:paraId="7F2BA618" w14:textId="5504ED2F" w:rsidR="00074F4B" w:rsidRDefault="00074F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19028F" w14:textId="77777777" w:rsidR="00074F4B" w:rsidRDefault="00074F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DE228" w14:textId="77777777" w:rsidR="00AC6A7B" w:rsidRDefault="00AC6A7B" w:rsidP="00074F4B">
      <w:pPr>
        <w:spacing w:after="0" w:line="240" w:lineRule="auto"/>
      </w:pPr>
      <w:r>
        <w:separator/>
      </w:r>
    </w:p>
  </w:footnote>
  <w:footnote w:type="continuationSeparator" w:id="0">
    <w:p w14:paraId="596BB9FE" w14:textId="77777777" w:rsidR="00AC6A7B" w:rsidRDefault="00AC6A7B" w:rsidP="00074F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8D391A"/>
    <w:multiLevelType w:val="multilevel"/>
    <w:tmpl w:val="9014E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1042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F4B"/>
    <w:rsid w:val="00074F4B"/>
    <w:rsid w:val="000B3437"/>
    <w:rsid w:val="000C0744"/>
    <w:rsid w:val="000E166A"/>
    <w:rsid w:val="001260C9"/>
    <w:rsid w:val="001553A0"/>
    <w:rsid w:val="00171DE1"/>
    <w:rsid w:val="00181A0F"/>
    <w:rsid w:val="00183FB7"/>
    <w:rsid w:val="00190651"/>
    <w:rsid w:val="001A120D"/>
    <w:rsid w:val="001B69A7"/>
    <w:rsid w:val="001D331E"/>
    <w:rsid w:val="001E4479"/>
    <w:rsid w:val="00201BE1"/>
    <w:rsid w:val="00214384"/>
    <w:rsid w:val="002606DF"/>
    <w:rsid w:val="00263AF8"/>
    <w:rsid w:val="00291761"/>
    <w:rsid w:val="00292036"/>
    <w:rsid w:val="00297074"/>
    <w:rsid w:val="002B7C94"/>
    <w:rsid w:val="002D1A57"/>
    <w:rsid w:val="00304446"/>
    <w:rsid w:val="00307B4A"/>
    <w:rsid w:val="00327E53"/>
    <w:rsid w:val="0033439D"/>
    <w:rsid w:val="003A6472"/>
    <w:rsid w:val="003E0B5D"/>
    <w:rsid w:val="00400D87"/>
    <w:rsid w:val="00407489"/>
    <w:rsid w:val="00442A3E"/>
    <w:rsid w:val="00473160"/>
    <w:rsid w:val="005021E0"/>
    <w:rsid w:val="005027B9"/>
    <w:rsid w:val="00503264"/>
    <w:rsid w:val="005117B6"/>
    <w:rsid w:val="005A731A"/>
    <w:rsid w:val="006203E8"/>
    <w:rsid w:val="00665C52"/>
    <w:rsid w:val="00684B9F"/>
    <w:rsid w:val="006A4D5E"/>
    <w:rsid w:val="0070248D"/>
    <w:rsid w:val="00730EA3"/>
    <w:rsid w:val="007763B4"/>
    <w:rsid w:val="00780683"/>
    <w:rsid w:val="007A5043"/>
    <w:rsid w:val="007B04E9"/>
    <w:rsid w:val="007D6088"/>
    <w:rsid w:val="007E52DB"/>
    <w:rsid w:val="007E6C77"/>
    <w:rsid w:val="008053B4"/>
    <w:rsid w:val="00805C64"/>
    <w:rsid w:val="00814998"/>
    <w:rsid w:val="0086320A"/>
    <w:rsid w:val="0089546F"/>
    <w:rsid w:val="008B11AC"/>
    <w:rsid w:val="008E1453"/>
    <w:rsid w:val="008E57D9"/>
    <w:rsid w:val="008E78DB"/>
    <w:rsid w:val="00902D9E"/>
    <w:rsid w:val="009058ED"/>
    <w:rsid w:val="00926AD5"/>
    <w:rsid w:val="00933EE1"/>
    <w:rsid w:val="009837F7"/>
    <w:rsid w:val="009D4CA3"/>
    <w:rsid w:val="009E0787"/>
    <w:rsid w:val="009F0500"/>
    <w:rsid w:val="00A00878"/>
    <w:rsid w:val="00A11D09"/>
    <w:rsid w:val="00A76DAB"/>
    <w:rsid w:val="00AB4AAA"/>
    <w:rsid w:val="00AB6A43"/>
    <w:rsid w:val="00AC6A7B"/>
    <w:rsid w:val="00AD4DCB"/>
    <w:rsid w:val="00B232D5"/>
    <w:rsid w:val="00B27BD7"/>
    <w:rsid w:val="00B80105"/>
    <w:rsid w:val="00BB64A9"/>
    <w:rsid w:val="00BE2EFD"/>
    <w:rsid w:val="00BF02A2"/>
    <w:rsid w:val="00C12541"/>
    <w:rsid w:val="00C72DC7"/>
    <w:rsid w:val="00CB0843"/>
    <w:rsid w:val="00D10222"/>
    <w:rsid w:val="00D141F0"/>
    <w:rsid w:val="00D62A3A"/>
    <w:rsid w:val="00E17B82"/>
    <w:rsid w:val="00E22A3D"/>
    <w:rsid w:val="00E24F6D"/>
    <w:rsid w:val="00E457B6"/>
    <w:rsid w:val="00E61A7F"/>
    <w:rsid w:val="00E77F88"/>
    <w:rsid w:val="00EE597B"/>
    <w:rsid w:val="00EF1697"/>
    <w:rsid w:val="00F40395"/>
    <w:rsid w:val="00F5690E"/>
    <w:rsid w:val="00F978FD"/>
    <w:rsid w:val="00FD2C1F"/>
    <w:rsid w:val="00FE28CB"/>
    <w:rsid w:val="00FE4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462006"/>
  <w15:chartTrackingRefBased/>
  <w15:docId w15:val="{D508F1DA-AD38-459B-A0AE-5B9BE52BA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4F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4F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4F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F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F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F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F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F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F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F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4F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4F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4F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4F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F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F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F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F4B"/>
    <w:rPr>
      <w:rFonts w:eastAsiaTheme="majorEastAsia" w:cstheme="majorBidi"/>
      <w:color w:val="272727" w:themeColor="text1" w:themeTint="D8"/>
    </w:rPr>
  </w:style>
  <w:style w:type="paragraph" w:styleId="Title">
    <w:name w:val="Title"/>
    <w:basedOn w:val="Normal"/>
    <w:next w:val="Normal"/>
    <w:link w:val="TitleChar"/>
    <w:uiPriority w:val="10"/>
    <w:qFormat/>
    <w:rsid w:val="00074F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F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F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F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F4B"/>
    <w:pPr>
      <w:spacing w:before="160"/>
      <w:jc w:val="center"/>
    </w:pPr>
    <w:rPr>
      <w:i/>
      <w:iCs/>
      <w:color w:val="404040" w:themeColor="text1" w:themeTint="BF"/>
    </w:rPr>
  </w:style>
  <w:style w:type="character" w:customStyle="1" w:styleId="QuoteChar">
    <w:name w:val="Quote Char"/>
    <w:basedOn w:val="DefaultParagraphFont"/>
    <w:link w:val="Quote"/>
    <w:uiPriority w:val="29"/>
    <w:rsid w:val="00074F4B"/>
    <w:rPr>
      <w:i/>
      <w:iCs/>
      <w:color w:val="404040" w:themeColor="text1" w:themeTint="BF"/>
    </w:rPr>
  </w:style>
  <w:style w:type="paragraph" w:styleId="ListParagraph">
    <w:name w:val="List Paragraph"/>
    <w:basedOn w:val="Normal"/>
    <w:uiPriority w:val="34"/>
    <w:qFormat/>
    <w:rsid w:val="00074F4B"/>
    <w:pPr>
      <w:ind w:left="720"/>
      <w:contextualSpacing/>
    </w:pPr>
  </w:style>
  <w:style w:type="character" w:styleId="IntenseEmphasis">
    <w:name w:val="Intense Emphasis"/>
    <w:basedOn w:val="DefaultParagraphFont"/>
    <w:uiPriority w:val="21"/>
    <w:qFormat/>
    <w:rsid w:val="00074F4B"/>
    <w:rPr>
      <w:i/>
      <w:iCs/>
      <w:color w:val="0F4761" w:themeColor="accent1" w:themeShade="BF"/>
    </w:rPr>
  </w:style>
  <w:style w:type="paragraph" w:styleId="IntenseQuote">
    <w:name w:val="Intense Quote"/>
    <w:basedOn w:val="Normal"/>
    <w:next w:val="Normal"/>
    <w:link w:val="IntenseQuoteChar"/>
    <w:uiPriority w:val="30"/>
    <w:qFormat/>
    <w:rsid w:val="00074F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F4B"/>
    <w:rPr>
      <w:i/>
      <w:iCs/>
      <w:color w:val="0F4761" w:themeColor="accent1" w:themeShade="BF"/>
    </w:rPr>
  </w:style>
  <w:style w:type="character" w:styleId="IntenseReference">
    <w:name w:val="Intense Reference"/>
    <w:basedOn w:val="DefaultParagraphFont"/>
    <w:uiPriority w:val="32"/>
    <w:qFormat/>
    <w:rsid w:val="00074F4B"/>
    <w:rPr>
      <w:b/>
      <w:bCs/>
      <w:smallCaps/>
      <w:color w:val="0F4761" w:themeColor="accent1" w:themeShade="BF"/>
      <w:spacing w:val="5"/>
    </w:rPr>
  </w:style>
  <w:style w:type="paragraph" w:styleId="NoSpacing">
    <w:name w:val="No Spacing"/>
    <w:link w:val="NoSpacingChar"/>
    <w:uiPriority w:val="1"/>
    <w:qFormat/>
    <w:rsid w:val="00074F4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74F4B"/>
    <w:rPr>
      <w:rFonts w:eastAsiaTheme="minorEastAsia"/>
      <w:kern w:val="0"/>
      <w:lang w:val="en-US"/>
      <w14:ligatures w14:val="none"/>
    </w:rPr>
  </w:style>
  <w:style w:type="paragraph" w:styleId="TOCHeading">
    <w:name w:val="TOC Heading"/>
    <w:basedOn w:val="Heading1"/>
    <w:next w:val="Normal"/>
    <w:uiPriority w:val="39"/>
    <w:unhideWhenUsed/>
    <w:qFormat/>
    <w:rsid w:val="00074F4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74F4B"/>
    <w:pPr>
      <w:spacing w:after="100"/>
    </w:pPr>
  </w:style>
  <w:style w:type="paragraph" w:styleId="TOC2">
    <w:name w:val="toc 2"/>
    <w:basedOn w:val="Normal"/>
    <w:next w:val="Normal"/>
    <w:autoRedefine/>
    <w:uiPriority w:val="39"/>
    <w:unhideWhenUsed/>
    <w:rsid w:val="00074F4B"/>
    <w:pPr>
      <w:spacing w:after="100"/>
      <w:ind w:left="220"/>
    </w:pPr>
  </w:style>
  <w:style w:type="character" w:styleId="Hyperlink">
    <w:name w:val="Hyperlink"/>
    <w:basedOn w:val="DefaultParagraphFont"/>
    <w:uiPriority w:val="99"/>
    <w:unhideWhenUsed/>
    <w:rsid w:val="00074F4B"/>
    <w:rPr>
      <w:color w:val="467886" w:themeColor="hyperlink"/>
      <w:u w:val="single"/>
    </w:rPr>
  </w:style>
  <w:style w:type="paragraph" w:styleId="Header">
    <w:name w:val="header"/>
    <w:basedOn w:val="Normal"/>
    <w:link w:val="HeaderChar"/>
    <w:uiPriority w:val="99"/>
    <w:unhideWhenUsed/>
    <w:rsid w:val="00074F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F4B"/>
  </w:style>
  <w:style w:type="paragraph" w:styleId="Footer">
    <w:name w:val="footer"/>
    <w:basedOn w:val="Normal"/>
    <w:link w:val="FooterChar"/>
    <w:uiPriority w:val="99"/>
    <w:unhideWhenUsed/>
    <w:rsid w:val="00074F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F4B"/>
  </w:style>
  <w:style w:type="paragraph" w:styleId="TOC3">
    <w:name w:val="toc 3"/>
    <w:basedOn w:val="Normal"/>
    <w:next w:val="Normal"/>
    <w:autoRedefine/>
    <w:uiPriority w:val="39"/>
    <w:unhideWhenUsed/>
    <w:rsid w:val="00E457B6"/>
    <w:pPr>
      <w:spacing w:after="100"/>
      <w:ind w:left="440"/>
    </w:pPr>
  </w:style>
  <w:style w:type="character" w:styleId="UnresolvedMention">
    <w:name w:val="Unresolved Mention"/>
    <w:basedOn w:val="DefaultParagraphFont"/>
    <w:uiPriority w:val="99"/>
    <w:semiHidden/>
    <w:unhideWhenUsed/>
    <w:rsid w:val="001B6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5316">
      <w:bodyDiv w:val="1"/>
      <w:marLeft w:val="0"/>
      <w:marRight w:val="0"/>
      <w:marTop w:val="0"/>
      <w:marBottom w:val="0"/>
      <w:divBdr>
        <w:top w:val="none" w:sz="0" w:space="0" w:color="auto"/>
        <w:left w:val="none" w:sz="0" w:space="0" w:color="auto"/>
        <w:bottom w:val="none" w:sz="0" w:space="0" w:color="auto"/>
        <w:right w:val="none" w:sz="0" w:space="0" w:color="auto"/>
      </w:divBdr>
    </w:div>
    <w:div w:id="64376662">
      <w:bodyDiv w:val="1"/>
      <w:marLeft w:val="0"/>
      <w:marRight w:val="0"/>
      <w:marTop w:val="0"/>
      <w:marBottom w:val="0"/>
      <w:divBdr>
        <w:top w:val="none" w:sz="0" w:space="0" w:color="auto"/>
        <w:left w:val="none" w:sz="0" w:space="0" w:color="auto"/>
        <w:bottom w:val="none" w:sz="0" w:space="0" w:color="auto"/>
        <w:right w:val="none" w:sz="0" w:space="0" w:color="auto"/>
      </w:divBdr>
    </w:div>
    <w:div w:id="75513772">
      <w:bodyDiv w:val="1"/>
      <w:marLeft w:val="0"/>
      <w:marRight w:val="0"/>
      <w:marTop w:val="0"/>
      <w:marBottom w:val="0"/>
      <w:divBdr>
        <w:top w:val="none" w:sz="0" w:space="0" w:color="auto"/>
        <w:left w:val="none" w:sz="0" w:space="0" w:color="auto"/>
        <w:bottom w:val="none" w:sz="0" w:space="0" w:color="auto"/>
        <w:right w:val="none" w:sz="0" w:space="0" w:color="auto"/>
      </w:divBdr>
    </w:div>
    <w:div w:id="78454238">
      <w:bodyDiv w:val="1"/>
      <w:marLeft w:val="0"/>
      <w:marRight w:val="0"/>
      <w:marTop w:val="0"/>
      <w:marBottom w:val="0"/>
      <w:divBdr>
        <w:top w:val="none" w:sz="0" w:space="0" w:color="auto"/>
        <w:left w:val="none" w:sz="0" w:space="0" w:color="auto"/>
        <w:bottom w:val="none" w:sz="0" w:space="0" w:color="auto"/>
        <w:right w:val="none" w:sz="0" w:space="0" w:color="auto"/>
      </w:divBdr>
    </w:div>
    <w:div w:id="89938915">
      <w:bodyDiv w:val="1"/>
      <w:marLeft w:val="0"/>
      <w:marRight w:val="0"/>
      <w:marTop w:val="0"/>
      <w:marBottom w:val="0"/>
      <w:divBdr>
        <w:top w:val="none" w:sz="0" w:space="0" w:color="auto"/>
        <w:left w:val="none" w:sz="0" w:space="0" w:color="auto"/>
        <w:bottom w:val="none" w:sz="0" w:space="0" w:color="auto"/>
        <w:right w:val="none" w:sz="0" w:space="0" w:color="auto"/>
      </w:divBdr>
    </w:div>
    <w:div w:id="103381051">
      <w:bodyDiv w:val="1"/>
      <w:marLeft w:val="0"/>
      <w:marRight w:val="0"/>
      <w:marTop w:val="0"/>
      <w:marBottom w:val="0"/>
      <w:divBdr>
        <w:top w:val="none" w:sz="0" w:space="0" w:color="auto"/>
        <w:left w:val="none" w:sz="0" w:space="0" w:color="auto"/>
        <w:bottom w:val="none" w:sz="0" w:space="0" w:color="auto"/>
        <w:right w:val="none" w:sz="0" w:space="0" w:color="auto"/>
      </w:divBdr>
    </w:div>
    <w:div w:id="114521885">
      <w:bodyDiv w:val="1"/>
      <w:marLeft w:val="0"/>
      <w:marRight w:val="0"/>
      <w:marTop w:val="0"/>
      <w:marBottom w:val="0"/>
      <w:divBdr>
        <w:top w:val="none" w:sz="0" w:space="0" w:color="auto"/>
        <w:left w:val="none" w:sz="0" w:space="0" w:color="auto"/>
        <w:bottom w:val="none" w:sz="0" w:space="0" w:color="auto"/>
        <w:right w:val="none" w:sz="0" w:space="0" w:color="auto"/>
      </w:divBdr>
    </w:div>
    <w:div w:id="136609555">
      <w:bodyDiv w:val="1"/>
      <w:marLeft w:val="0"/>
      <w:marRight w:val="0"/>
      <w:marTop w:val="0"/>
      <w:marBottom w:val="0"/>
      <w:divBdr>
        <w:top w:val="none" w:sz="0" w:space="0" w:color="auto"/>
        <w:left w:val="none" w:sz="0" w:space="0" w:color="auto"/>
        <w:bottom w:val="none" w:sz="0" w:space="0" w:color="auto"/>
        <w:right w:val="none" w:sz="0" w:space="0" w:color="auto"/>
      </w:divBdr>
    </w:div>
    <w:div w:id="145171666">
      <w:bodyDiv w:val="1"/>
      <w:marLeft w:val="0"/>
      <w:marRight w:val="0"/>
      <w:marTop w:val="0"/>
      <w:marBottom w:val="0"/>
      <w:divBdr>
        <w:top w:val="none" w:sz="0" w:space="0" w:color="auto"/>
        <w:left w:val="none" w:sz="0" w:space="0" w:color="auto"/>
        <w:bottom w:val="none" w:sz="0" w:space="0" w:color="auto"/>
        <w:right w:val="none" w:sz="0" w:space="0" w:color="auto"/>
      </w:divBdr>
    </w:div>
    <w:div w:id="161632282">
      <w:bodyDiv w:val="1"/>
      <w:marLeft w:val="0"/>
      <w:marRight w:val="0"/>
      <w:marTop w:val="0"/>
      <w:marBottom w:val="0"/>
      <w:divBdr>
        <w:top w:val="none" w:sz="0" w:space="0" w:color="auto"/>
        <w:left w:val="none" w:sz="0" w:space="0" w:color="auto"/>
        <w:bottom w:val="none" w:sz="0" w:space="0" w:color="auto"/>
        <w:right w:val="none" w:sz="0" w:space="0" w:color="auto"/>
      </w:divBdr>
    </w:div>
    <w:div w:id="213467296">
      <w:bodyDiv w:val="1"/>
      <w:marLeft w:val="0"/>
      <w:marRight w:val="0"/>
      <w:marTop w:val="0"/>
      <w:marBottom w:val="0"/>
      <w:divBdr>
        <w:top w:val="none" w:sz="0" w:space="0" w:color="auto"/>
        <w:left w:val="none" w:sz="0" w:space="0" w:color="auto"/>
        <w:bottom w:val="none" w:sz="0" w:space="0" w:color="auto"/>
        <w:right w:val="none" w:sz="0" w:space="0" w:color="auto"/>
      </w:divBdr>
    </w:div>
    <w:div w:id="221017982">
      <w:bodyDiv w:val="1"/>
      <w:marLeft w:val="0"/>
      <w:marRight w:val="0"/>
      <w:marTop w:val="0"/>
      <w:marBottom w:val="0"/>
      <w:divBdr>
        <w:top w:val="none" w:sz="0" w:space="0" w:color="auto"/>
        <w:left w:val="none" w:sz="0" w:space="0" w:color="auto"/>
        <w:bottom w:val="none" w:sz="0" w:space="0" w:color="auto"/>
        <w:right w:val="none" w:sz="0" w:space="0" w:color="auto"/>
      </w:divBdr>
    </w:div>
    <w:div w:id="230578155">
      <w:bodyDiv w:val="1"/>
      <w:marLeft w:val="0"/>
      <w:marRight w:val="0"/>
      <w:marTop w:val="0"/>
      <w:marBottom w:val="0"/>
      <w:divBdr>
        <w:top w:val="none" w:sz="0" w:space="0" w:color="auto"/>
        <w:left w:val="none" w:sz="0" w:space="0" w:color="auto"/>
        <w:bottom w:val="none" w:sz="0" w:space="0" w:color="auto"/>
        <w:right w:val="none" w:sz="0" w:space="0" w:color="auto"/>
      </w:divBdr>
    </w:div>
    <w:div w:id="245383103">
      <w:bodyDiv w:val="1"/>
      <w:marLeft w:val="0"/>
      <w:marRight w:val="0"/>
      <w:marTop w:val="0"/>
      <w:marBottom w:val="0"/>
      <w:divBdr>
        <w:top w:val="none" w:sz="0" w:space="0" w:color="auto"/>
        <w:left w:val="none" w:sz="0" w:space="0" w:color="auto"/>
        <w:bottom w:val="none" w:sz="0" w:space="0" w:color="auto"/>
        <w:right w:val="none" w:sz="0" w:space="0" w:color="auto"/>
      </w:divBdr>
    </w:div>
    <w:div w:id="266616770">
      <w:bodyDiv w:val="1"/>
      <w:marLeft w:val="0"/>
      <w:marRight w:val="0"/>
      <w:marTop w:val="0"/>
      <w:marBottom w:val="0"/>
      <w:divBdr>
        <w:top w:val="none" w:sz="0" w:space="0" w:color="auto"/>
        <w:left w:val="none" w:sz="0" w:space="0" w:color="auto"/>
        <w:bottom w:val="none" w:sz="0" w:space="0" w:color="auto"/>
        <w:right w:val="none" w:sz="0" w:space="0" w:color="auto"/>
      </w:divBdr>
    </w:div>
    <w:div w:id="282462752">
      <w:bodyDiv w:val="1"/>
      <w:marLeft w:val="0"/>
      <w:marRight w:val="0"/>
      <w:marTop w:val="0"/>
      <w:marBottom w:val="0"/>
      <w:divBdr>
        <w:top w:val="none" w:sz="0" w:space="0" w:color="auto"/>
        <w:left w:val="none" w:sz="0" w:space="0" w:color="auto"/>
        <w:bottom w:val="none" w:sz="0" w:space="0" w:color="auto"/>
        <w:right w:val="none" w:sz="0" w:space="0" w:color="auto"/>
      </w:divBdr>
    </w:div>
    <w:div w:id="295568677">
      <w:bodyDiv w:val="1"/>
      <w:marLeft w:val="0"/>
      <w:marRight w:val="0"/>
      <w:marTop w:val="0"/>
      <w:marBottom w:val="0"/>
      <w:divBdr>
        <w:top w:val="none" w:sz="0" w:space="0" w:color="auto"/>
        <w:left w:val="none" w:sz="0" w:space="0" w:color="auto"/>
        <w:bottom w:val="none" w:sz="0" w:space="0" w:color="auto"/>
        <w:right w:val="none" w:sz="0" w:space="0" w:color="auto"/>
      </w:divBdr>
    </w:div>
    <w:div w:id="359862352">
      <w:bodyDiv w:val="1"/>
      <w:marLeft w:val="0"/>
      <w:marRight w:val="0"/>
      <w:marTop w:val="0"/>
      <w:marBottom w:val="0"/>
      <w:divBdr>
        <w:top w:val="none" w:sz="0" w:space="0" w:color="auto"/>
        <w:left w:val="none" w:sz="0" w:space="0" w:color="auto"/>
        <w:bottom w:val="none" w:sz="0" w:space="0" w:color="auto"/>
        <w:right w:val="none" w:sz="0" w:space="0" w:color="auto"/>
      </w:divBdr>
    </w:div>
    <w:div w:id="368459239">
      <w:bodyDiv w:val="1"/>
      <w:marLeft w:val="0"/>
      <w:marRight w:val="0"/>
      <w:marTop w:val="0"/>
      <w:marBottom w:val="0"/>
      <w:divBdr>
        <w:top w:val="none" w:sz="0" w:space="0" w:color="auto"/>
        <w:left w:val="none" w:sz="0" w:space="0" w:color="auto"/>
        <w:bottom w:val="none" w:sz="0" w:space="0" w:color="auto"/>
        <w:right w:val="none" w:sz="0" w:space="0" w:color="auto"/>
      </w:divBdr>
      <w:divsChild>
        <w:div w:id="18950450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4736883">
      <w:bodyDiv w:val="1"/>
      <w:marLeft w:val="0"/>
      <w:marRight w:val="0"/>
      <w:marTop w:val="0"/>
      <w:marBottom w:val="0"/>
      <w:divBdr>
        <w:top w:val="none" w:sz="0" w:space="0" w:color="auto"/>
        <w:left w:val="none" w:sz="0" w:space="0" w:color="auto"/>
        <w:bottom w:val="none" w:sz="0" w:space="0" w:color="auto"/>
        <w:right w:val="none" w:sz="0" w:space="0" w:color="auto"/>
      </w:divBdr>
    </w:div>
    <w:div w:id="382751353">
      <w:bodyDiv w:val="1"/>
      <w:marLeft w:val="0"/>
      <w:marRight w:val="0"/>
      <w:marTop w:val="0"/>
      <w:marBottom w:val="0"/>
      <w:divBdr>
        <w:top w:val="none" w:sz="0" w:space="0" w:color="auto"/>
        <w:left w:val="none" w:sz="0" w:space="0" w:color="auto"/>
        <w:bottom w:val="none" w:sz="0" w:space="0" w:color="auto"/>
        <w:right w:val="none" w:sz="0" w:space="0" w:color="auto"/>
      </w:divBdr>
    </w:div>
    <w:div w:id="386418161">
      <w:bodyDiv w:val="1"/>
      <w:marLeft w:val="0"/>
      <w:marRight w:val="0"/>
      <w:marTop w:val="0"/>
      <w:marBottom w:val="0"/>
      <w:divBdr>
        <w:top w:val="none" w:sz="0" w:space="0" w:color="auto"/>
        <w:left w:val="none" w:sz="0" w:space="0" w:color="auto"/>
        <w:bottom w:val="none" w:sz="0" w:space="0" w:color="auto"/>
        <w:right w:val="none" w:sz="0" w:space="0" w:color="auto"/>
      </w:divBdr>
    </w:div>
    <w:div w:id="395708906">
      <w:bodyDiv w:val="1"/>
      <w:marLeft w:val="0"/>
      <w:marRight w:val="0"/>
      <w:marTop w:val="0"/>
      <w:marBottom w:val="0"/>
      <w:divBdr>
        <w:top w:val="none" w:sz="0" w:space="0" w:color="auto"/>
        <w:left w:val="none" w:sz="0" w:space="0" w:color="auto"/>
        <w:bottom w:val="none" w:sz="0" w:space="0" w:color="auto"/>
        <w:right w:val="none" w:sz="0" w:space="0" w:color="auto"/>
      </w:divBdr>
    </w:div>
    <w:div w:id="402992285">
      <w:bodyDiv w:val="1"/>
      <w:marLeft w:val="0"/>
      <w:marRight w:val="0"/>
      <w:marTop w:val="0"/>
      <w:marBottom w:val="0"/>
      <w:divBdr>
        <w:top w:val="none" w:sz="0" w:space="0" w:color="auto"/>
        <w:left w:val="none" w:sz="0" w:space="0" w:color="auto"/>
        <w:bottom w:val="none" w:sz="0" w:space="0" w:color="auto"/>
        <w:right w:val="none" w:sz="0" w:space="0" w:color="auto"/>
      </w:divBdr>
    </w:div>
    <w:div w:id="432170561">
      <w:bodyDiv w:val="1"/>
      <w:marLeft w:val="0"/>
      <w:marRight w:val="0"/>
      <w:marTop w:val="0"/>
      <w:marBottom w:val="0"/>
      <w:divBdr>
        <w:top w:val="none" w:sz="0" w:space="0" w:color="auto"/>
        <w:left w:val="none" w:sz="0" w:space="0" w:color="auto"/>
        <w:bottom w:val="none" w:sz="0" w:space="0" w:color="auto"/>
        <w:right w:val="none" w:sz="0" w:space="0" w:color="auto"/>
      </w:divBdr>
    </w:div>
    <w:div w:id="444885570">
      <w:bodyDiv w:val="1"/>
      <w:marLeft w:val="0"/>
      <w:marRight w:val="0"/>
      <w:marTop w:val="0"/>
      <w:marBottom w:val="0"/>
      <w:divBdr>
        <w:top w:val="none" w:sz="0" w:space="0" w:color="auto"/>
        <w:left w:val="none" w:sz="0" w:space="0" w:color="auto"/>
        <w:bottom w:val="none" w:sz="0" w:space="0" w:color="auto"/>
        <w:right w:val="none" w:sz="0" w:space="0" w:color="auto"/>
      </w:divBdr>
    </w:div>
    <w:div w:id="451173387">
      <w:bodyDiv w:val="1"/>
      <w:marLeft w:val="0"/>
      <w:marRight w:val="0"/>
      <w:marTop w:val="0"/>
      <w:marBottom w:val="0"/>
      <w:divBdr>
        <w:top w:val="none" w:sz="0" w:space="0" w:color="auto"/>
        <w:left w:val="none" w:sz="0" w:space="0" w:color="auto"/>
        <w:bottom w:val="none" w:sz="0" w:space="0" w:color="auto"/>
        <w:right w:val="none" w:sz="0" w:space="0" w:color="auto"/>
      </w:divBdr>
    </w:div>
    <w:div w:id="458307123">
      <w:bodyDiv w:val="1"/>
      <w:marLeft w:val="0"/>
      <w:marRight w:val="0"/>
      <w:marTop w:val="0"/>
      <w:marBottom w:val="0"/>
      <w:divBdr>
        <w:top w:val="none" w:sz="0" w:space="0" w:color="auto"/>
        <w:left w:val="none" w:sz="0" w:space="0" w:color="auto"/>
        <w:bottom w:val="none" w:sz="0" w:space="0" w:color="auto"/>
        <w:right w:val="none" w:sz="0" w:space="0" w:color="auto"/>
      </w:divBdr>
    </w:div>
    <w:div w:id="476991479">
      <w:bodyDiv w:val="1"/>
      <w:marLeft w:val="0"/>
      <w:marRight w:val="0"/>
      <w:marTop w:val="0"/>
      <w:marBottom w:val="0"/>
      <w:divBdr>
        <w:top w:val="none" w:sz="0" w:space="0" w:color="auto"/>
        <w:left w:val="none" w:sz="0" w:space="0" w:color="auto"/>
        <w:bottom w:val="none" w:sz="0" w:space="0" w:color="auto"/>
        <w:right w:val="none" w:sz="0" w:space="0" w:color="auto"/>
      </w:divBdr>
      <w:divsChild>
        <w:div w:id="1835295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8424010">
      <w:bodyDiv w:val="1"/>
      <w:marLeft w:val="0"/>
      <w:marRight w:val="0"/>
      <w:marTop w:val="0"/>
      <w:marBottom w:val="0"/>
      <w:divBdr>
        <w:top w:val="none" w:sz="0" w:space="0" w:color="auto"/>
        <w:left w:val="none" w:sz="0" w:space="0" w:color="auto"/>
        <w:bottom w:val="none" w:sz="0" w:space="0" w:color="auto"/>
        <w:right w:val="none" w:sz="0" w:space="0" w:color="auto"/>
      </w:divBdr>
    </w:div>
    <w:div w:id="530262064">
      <w:bodyDiv w:val="1"/>
      <w:marLeft w:val="0"/>
      <w:marRight w:val="0"/>
      <w:marTop w:val="0"/>
      <w:marBottom w:val="0"/>
      <w:divBdr>
        <w:top w:val="none" w:sz="0" w:space="0" w:color="auto"/>
        <w:left w:val="none" w:sz="0" w:space="0" w:color="auto"/>
        <w:bottom w:val="none" w:sz="0" w:space="0" w:color="auto"/>
        <w:right w:val="none" w:sz="0" w:space="0" w:color="auto"/>
      </w:divBdr>
    </w:div>
    <w:div w:id="572205979">
      <w:bodyDiv w:val="1"/>
      <w:marLeft w:val="0"/>
      <w:marRight w:val="0"/>
      <w:marTop w:val="0"/>
      <w:marBottom w:val="0"/>
      <w:divBdr>
        <w:top w:val="none" w:sz="0" w:space="0" w:color="auto"/>
        <w:left w:val="none" w:sz="0" w:space="0" w:color="auto"/>
        <w:bottom w:val="none" w:sz="0" w:space="0" w:color="auto"/>
        <w:right w:val="none" w:sz="0" w:space="0" w:color="auto"/>
      </w:divBdr>
    </w:div>
    <w:div w:id="601493228">
      <w:bodyDiv w:val="1"/>
      <w:marLeft w:val="0"/>
      <w:marRight w:val="0"/>
      <w:marTop w:val="0"/>
      <w:marBottom w:val="0"/>
      <w:divBdr>
        <w:top w:val="none" w:sz="0" w:space="0" w:color="auto"/>
        <w:left w:val="none" w:sz="0" w:space="0" w:color="auto"/>
        <w:bottom w:val="none" w:sz="0" w:space="0" w:color="auto"/>
        <w:right w:val="none" w:sz="0" w:space="0" w:color="auto"/>
      </w:divBdr>
    </w:div>
    <w:div w:id="614410460">
      <w:bodyDiv w:val="1"/>
      <w:marLeft w:val="0"/>
      <w:marRight w:val="0"/>
      <w:marTop w:val="0"/>
      <w:marBottom w:val="0"/>
      <w:divBdr>
        <w:top w:val="none" w:sz="0" w:space="0" w:color="auto"/>
        <w:left w:val="none" w:sz="0" w:space="0" w:color="auto"/>
        <w:bottom w:val="none" w:sz="0" w:space="0" w:color="auto"/>
        <w:right w:val="none" w:sz="0" w:space="0" w:color="auto"/>
      </w:divBdr>
    </w:div>
    <w:div w:id="626933121">
      <w:bodyDiv w:val="1"/>
      <w:marLeft w:val="0"/>
      <w:marRight w:val="0"/>
      <w:marTop w:val="0"/>
      <w:marBottom w:val="0"/>
      <w:divBdr>
        <w:top w:val="none" w:sz="0" w:space="0" w:color="auto"/>
        <w:left w:val="none" w:sz="0" w:space="0" w:color="auto"/>
        <w:bottom w:val="none" w:sz="0" w:space="0" w:color="auto"/>
        <w:right w:val="none" w:sz="0" w:space="0" w:color="auto"/>
      </w:divBdr>
      <w:divsChild>
        <w:div w:id="1573197062">
          <w:marLeft w:val="0"/>
          <w:marRight w:val="0"/>
          <w:marTop w:val="0"/>
          <w:marBottom w:val="0"/>
          <w:divBdr>
            <w:top w:val="none" w:sz="0" w:space="0" w:color="auto"/>
            <w:left w:val="none" w:sz="0" w:space="0" w:color="auto"/>
            <w:bottom w:val="none" w:sz="0" w:space="0" w:color="auto"/>
            <w:right w:val="none" w:sz="0" w:space="0" w:color="auto"/>
          </w:divBdr>
        </w:div>
      </w:divsChild>
    </w:div>
    <w:div w:id="627901798">
      <w:bodyDiv w:val="1"/>
      <w:marLeft w:val="0"/>
      <w:marRight w:val="0"/>
      <w:marTop w:val="0"/>
      <w:marBottom w:val="0"/>
      <w:divBdr>
        <w:top w:val="none" w:sz="0" w:space="0" w:color="auto"/>
        <w:left w:val="none" w:sz="0" w:space="0" w:color="auto"/>
        <w:bottom w:val="none" w:sz="0" w:space="0" w:color="auto"/>
        <w:right w:val="none" w:sz="0" w:space="0" w:color="auto"/>
      </w:divBdr>
      <w:divsChild>
        <w:div w:id="12980295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3293442">
      <w:bodyDiv w:val="1"/>
      <w:marLeft w:val="0"/>
      <w:marRight w:val="0"/>
      <w:marTop w:val="0"/>
      <w:marBottom w:val="0"/>
      <w:divBdr>
        <w:top w:val="none" w:sz="0" w:space="0" w:color="auto"/>
        <w:left w:val="none" w:sz="0" w:space="0" w:color="auto"/>
        <w:bottom w:val="none" w:sz="0" w:space="0" w:color="auto"/>
        <w:right w:val="none" w:sz="0" w:space="0" w:color="auto"/>
      </w:divBdr>
    </w:div>
    <w:div w:id="673339571">
      <w:bodyDiv w:val="1"/>
      <w:marLeft w:val="0"/>
      <w:marRight w:val="0"/>
      <w:marTop w:val="0"/>
      <w:marBottom w:val="0"/>
      <w:divBdr>
        <w:top w:val="none" w:sz="0" w:space="0" w:color="auto"/>
        <w:left w:val="none" w:sz="0" w:space="0" w:color="auto"/>
        <w:bottom w:val="none" w:sz="0" w:space="0" w:color="auto"/>
        <w:right w:val="none" w:sz="0" w:space="0" w:color="auto"/>
      </w:divBdr>
    </w:div>
    <w:div w:id="709888639">
      <w:bodyDiv w:val="1"/>
      <w:marLeft w:val="0"/>
      <w:marRight w:val="0"/>
      <w:marTop w:val="0"/>
      <w:marBottom w:val="0"/>
      <w:divBdr>
        <w:top w:val="none" w:sz="0" w:space="0" w:color="auto"/>
        <w:left w:val="none" w:sz="0" w:space="0" w:color="auto"/>
        <w:bottom w:val="none" w:sz="0" w:space="0" w:color="auto"/>
        <w:right w:val="none" w:sz="0" w:space="0" w:color="auto"/>
      </w:divBdr>
    </w:div>
    <w:div w:id="715592820">
      <w:bodyDiv w:val="1"/>
      <w:marLeft w:val="0"/>
      <w:marRight w:val="0"/>
      <w:marTop w:val="0"/>
      <w:marBottom w:val="0"/>
      <w:divBdr>
        <w:top w:val="none" w:sz="0" w:space="0" w:color="auto"/>
        <w:left w:val="none" w:sz="0" w:space="0" w:color="auto"/>
        <w:bottom w:val="none" w:sz="0" w:space="0" w:color="auto"/>
        <w:right w:val="none" w:sz="0" w:space="0" w:color="auto"/>
      </w:divBdr>
    </w:div>
    <w:div w:id="737551748">
      <w:bodyDiv w:val="1"/>
      <w:marLeft w:val="0"/>
      <w:marRight w:val="0"/>
      <w:marTop w:val="0"/>
      <w:marBottom w:val="0"/>
      <w:divBdr>
        <w:top w:val="none" w:sz="0" w:space="0" w:color="auto"/>
        <w:left w:val="none" w:sz="0" w:space="0" w:color="auto"/>
        <w:bottom w:val="none" w:sz="0" w:space="0" w:color="auto"/>
        <w:right w:val="none" w:sz="0" w:space="0" w:color="auto"/>
      </w:divBdr>
    </w:div>
    <w:div w:id="743140534">
      <w:bodyDiv w:val="1"/>
      <w:marLeft w:val="0"/>
      <w:marRight w:val="0"/>
      <w:marTop w:val="0"/>
      <w:marBottom w:val="0"/>
      <w:divBdr>
        <w:top w:val="none" w:sz="0" w:space="0" w:color="auto"/>
        <w:left w:val="none" w:sz="0" w:space="0" w:color="auto"/>
        <w:bottom w:val="none" w:sz="0" w:space="0" w:color="auto"/>
        <w:right w:val="none" w:sz="0" w:space="0" w:color="auto"/>
      </w:divBdr>
      <w:divsChild>
        <w:div w:id="216665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0734978">
      <w:bodyDiv w:val="1"/>
      <w:marLeft w:val="0"/>
      <w:marRight w:val="0"/>
      <w:marTop w:val="0"/>
      <w:marBottom w:val="0"/>
      <w:divBdr>
        <w:top w:val="none" w:sz="0" w:space="0" w:color="auto"/>
        <w:left w:val="none" w:sz="0" w:space="0" w:color="auto"/>
        <w:bottom w:val="none" w:sz="0" w:space="0" w:color="auto"/>
        <w:right w:val="none" w:sz="0" w:space="0" w:color="auto"/>
      </w:divBdr>
    </w:div>
    <w:div w:id="797450404">
      <w:bodyDiv w:val="1"/>
      <w:marLeft w:val="0"/>
      <w:marRight w:val="0"/>
      <w:marTop w:val="0"/>
      <w:marBottom w:val="0"/>
      <w:divBdr>
        <w:top w:val="none" w:sz="0" w:space="0" w:color="auto"/>
        <w:left w:val="none" w:sz="0" w:space="0" w:color="auto"/>
        <w:bottom w:val="none" w:sz="0" w:space="0" w:color="auto"/>
        <w:right w:val="none" w:sz="0" w:space="0" w:color="auto"/>
      </w:divBdr>
    </w:div>
    <w:div w:id="808666832">
      <w:bodyDiv w:val="1"/>
      <w:marLeft w:val="0"/>
      <w:marRight w:val="0"/>
      <w:marTop w:val="0"/>
      <w:marBottom w:val="0"/>
      <w:divBdr>
        <w:top w:val="none" w:sz="0" w:space="0" w:color="auto"/>
        <w:left w:val="none" w:sz="0" w:space="0" w:color="auto"/>
        <w:bottom w:val="none" w:sz="0" w:space="0" w:color="auto"/>
        <w:right w:val="none" w:sz="0" w:space="0" w:color="auto"/>
      </w:divBdr>
    </w:div>
    <w:div w:id="815731190">
      <w:bodyDiv w:val="1"/>
      <w:marLeft w:val="0"/>
      <w:marRight w:val="0"/>
      <w:marTop w:val="0"/>
      <w:marBottom w:val="0"/>
      <w:divBdr>
        <w:top w:val="none" w:sz="0" w:space="0" w:color="auto"/>
        <w:left w:val="none" w:sz="0" w:space="0" w:color="auto"/>
        <w:bottom w:val="none" w:sz="0" w:space="0" w:color="auto"/>
        <w:right w:val="none" w:sz="0" w:space="0" w:color="auto"/>
      </w:divBdr>
    </w:div>
    <w:div w:id="829252938">
      <w:bodyDiv w:val="1"/>
      <w:marLeft w:val="0"/>
      <w:marRight w:val="0"/>
      <w:marTop w:val="0"/>
      <w:marBottom w:val="0"/>
      <w:divBdr>
        <w:top w:val="none" w:sz="0" w:space="0" w:color="auto"/>
        <w:left w:val="none" w:sz="0" w:space="0" w:color="auto"/>
        <w:bottom w:val="none" w:sz="0" w:space="0" w:color="auto"/>
        <w:right w:val="none" w:sz="0" w:space="0" w:color="auto"/>
      </w:divBdr>
    </w:div>
    <w:div w:id="831414294">
      <w:bodyDiv w:val="1"/>
      <w:marLeft w:val="0"/>
      <w:marRight w:val="0"/>
      <w:marTop w:val="0"/>
      <w:marBottom w:val="0"/>
      <w:divBdr>
        <w:top w:val="none" w:sz="0" w:space="0" w:color="auto"/>
        <w:left w:val="none" w:sz="0" w:space="0" w:color="auto"/>
        <w:bottom w:val="none" w:sz="0" w:space="0" w:color="auto"/>
        <w:right w:val="none" w:sz="0" w:space="0" w:color="auto"/>
      </w:divBdr>
    </w:div>
    <w:div w:id="835456478">
      <w:bodyDiv w:val="1"/>
      <w:marLeft w:val="0"/>
      <w:marRight w:val="0"/>
      <w:marTop w:val="0"/>
      <w:marBottom w:val="0"/>
      <w:divBdr>
        <w:top w:val="none" w:sz="0" w:space="0" w:color="auto"/>
        <w:left w:val="none" w:sz="0" w:space="0" w:color="auto"/>
        <w:bottom w:val="none" w:sz="0" w:space="0" w:color="auto"/>
        <w:right w:val="none" w:sz="0" w:space="0" w:color="auto"/>
      </w:divBdr>
    </w:div>
    <w:div w:id="857280974">
      <w:bodyDiv w:val="1"/>
      <w:marLeft w:val="0"/>
      <w:marRight w:val="0"/>
      <w:marTop w:val="0"/>
      <w:marBottom w:val="0"/>
      <w:divBdr>
        <w:top w:val="none" w:sz="0" w:space="0" w:color="auto"/>
        <w:left w:val="none" w:sz="0" w:space="0" w:color="auto"/>
        <w:bottom w:val="none" w:sz="0" w:space="0" w:color="auto"/>
        <w:right w:val="none" w:sz="0" w:space="0" w:color="auto"/>
      </w:divBdr>
    </w:div>
    <w:div w:id="882907982">
      <w:bodyDiv w:val="1"/>
      <w:marLeft w:val="0"/>
      <w:marRight w:val="0"/>
      <w:marTop w:val="0"/>
      <w:marBottom w:val="0"/>
      <w:divBdr>
        <w:top w:val="none" w:sz="0" w:space="0" w:color="auto"/>
        <w:left w:val="none" w:sz="0" w:space="0" w:color="auto"/>
        <w:bottom w:val="none" w:sz="0" w:space="0" w:color="auto"/>
        <w:right w:val="none" w:sz="0" w:space="0" w:color="auto"/>
      </w:divBdr>
    </w:div>
    <w:div w:id="889461956">
      <w:bodyDiv w:val="1"/>
      <w:marLeft w:val="0"/>
      <w:marRight w:val="0"/>
      <w:marTop w:val="0"/>
      <w:marBottom w:val="0"/>
      <w:divBdr>
        <w:top w:val="none" w:sz="0" w:space="0" w:color="auto"/>
        <w:left w:val="none" w:sz="0" w:space="0" w:color="auto"/>
        <w:bottom w:val="none" w:sz="0" w:space="0" w:color="auto"/>
        <w:right w:val="none" w:sz="0" w:space="0" w:color="auto"/>
      </w:divBdr>
    </w:div>
    <w:div w:id="909849409">
      <w:bodyDiv w:val="1"/>
      <w:marLeft w:val="0"/>
      <w:marRight w:val="0"/>
      <w:marTop w:val="0"/>
      <w:marBottom w:val="0"/>
      <w:divBdr>
        <w:top w:val="none" w:sz="0" w:space="0" w:color="auto"/>
        <w:left w:val="none" w:sz="0" w:space="0" w:color="auto"/>
        <w:bottom w:val="none" w:sz="0" w:space="0" w:color="auto"/>
        <w:right w:val="none" w:sz="0" w:space="0" w:color="auto"/>
      </w:divBdr>
    </w:div>
    <w:div w:id="925109949">
      <w:bodyDiv w:val="1"/>
      <w:marLeft w:val="0"/>
      <w:marRight w:val="0"/>
      <w:marTop w:val="0"/>
      <w:marBottom w:val="0"/>
      <w:divBdr>
        <w:top w:val="none" w:sz="0" w:space="0" w:color="auto"/>
        <w:left w:val="none" w:sz="0" w:space="0" w:color="auto"/>
        <w:bottom w:val="none" w:sz="0" w:space="0" w:color="auto"/>
        <w:right w:val="none" w:sz="0" w:space="0" w:color="auto"/>
      </w:divBdr>
    </w:div>
    <w:div w:id="946082933">
      <w:bodyDiv w:val="1"/>
      <w:marLeft w:val="0"/>
      <w:marRight w:val="0"/>
      <w:marTop w:val="0"/>
      <w:marBottom w:val="0"/>
      <w:divBdr>
        <w:top w:val="none" w:sz="0" w:space="0" w:color="auto"/>
        <w:left w:val="none" w:sz="0" w:space="0" w:color="auto"/>
        <w:bottom w:val="none" w:sz="0" w:space="0" w:color="auto"/>
        <w:right w:val="none" w:sz="0" w:space="0" w:color="auto"/>
      </w:divBdr>
      <w:divsChild>
        <w:div w:id="779910554">
          <w:marLeft w:val="0"/>
          <w:marRight w:val="0"/>
          <w:marTop w:val="0"/>
          <w:marBottom w:val="0"/>
          <w:divBdr>
            <w:top w:val="none" w:sz="0" w:space="0" w:color="auto"/>
            <w:left w:val="none" w:sz="0" w:space="0" w:color="auto"/>
            <w:bottom w:val="none" w:sz="0" w:space="0" w:color="auto"/>
            <w:right w:val="none" w:sz="0" w:space="0" w:color="auto"/>
          </w:divBdr>
        </w:div>
      </w:divsChild>
    </w:div>
    <w:div w:id="947616725">
      <w:bodyDiv w:val="1"/>
      <w:marLeft w:val="0"/>
      <w:marRight w:val="0"/>
      <w:marTop w:val="0"/>
      <w:marBottom w:val="0"/>
      <w:divBdr>
        <w:top w:val="none" w:sz="0" w:space="0" w:color="auto"/>
        <w:left w:val="none" w:sz="0" w:space="0" w:color="auto"/>
        <w:bottom w:val="none" w:sz="0" w:space="0" w:color="auto"/>
        <w:right w:val="none" w:sz="0" w:space="0" w:color="auto"/>
      </w:divBdr>
    </w:div>
    <w:div w:id="992947488">
      <w:bodyDiv w:val="1"/>
      <w:marLeft w:val="0"/>
      <w:marRight w:val="0"/>
      <w:marTop w:val="0"/>
      <w:marBottom w:val="0"/>
      <w:divBdr>
        <w:top w:val="none" w:sz="0" w:space="0" w:color="auto"/>
        <w:left w:val="none" w:sz="0" w:space="0" w:color="auto"/>
        <w:bottom w:val="none" w:sz="0" w:space="0" w:color="auto"/>
        <w:right w:val="none" w:sz="0" w:space="0" w:color="auto"/>
      </w:divBdr>
    </w:div>
    <w:div w:id="1011567414">
      <w:bodyDiv w:val="1"/>
      <w:marLeft w:val="0"/>
      <w:marRight w:val="0"/>
      <w:marTop w:val="0"/>
      <w:marBottom w:val="0"/>
      <w:divBdr>
        <w:top w:val="none" w:sz="0" w:space="0" w:color="auto"/>
        <w:left w:val="none" w:sz="0" w:space="0" w:color="auto"/>
        <w:bottom w:val="none" w:sz="0" w:space="0" w:color="auto"/>
        <w:right w:val="none" w:sz="0" w:space="0" w:color="auto"/>
      </w:divBdr>
    </w:div>
    <w:div w:id="1040325234">
      <w:bodyDiv w:val="1"/>
      <w:marLeft w:val="0"/>
      <w:marRight w:val="0"/>
      <w:marTop w:val="0"/>
      <w:marBottom w:val="0"/>
      <w:divBdr>
        <w:top w:val="none" w:sz="0" w:space="0" w:color="auto"/>
        <w:left w:val="none" w:sz="0" w:space="0" w:color="auto"/>
        <w:bottom w:val="none" w:sz="0" w:space="0" w:color="auto"/>
        <w:right w:val="none" w:sz="0" w:space="0" w:color="auto"/>
      </w:divBdr>
    </w:div>
    <w:div w:id="1054700522">
      <w:bodyDiv w:val="1"/>
      <w:marLeft w:val="0"/>
      <w:marRight w:val="0"/>
      <w:marTop w:val="0"/>
      <w:marBottom w:val="0"/>
      <w:divBdr>
        <w:top w:val="none" w:sz="0" w:space="0" w:color="auto"/>
        <w:left w:val="none" w:sz="0" w:space="0" w:color="auto"/>
        <w:bottom w:val="none" w:sz="0" w:space="0" w:color="auto"/>
        <w:right w:val="none" w:sz="0" w:space="0" w:color="auto"/>
      </w:divBdr>
    </w:div>
    <w:div w:id="1057895943">
      <w:bodyDiv w:val="1"/>
      <w:marLeft w:val="0"/>
      <w:marRight w:val="0"/>
      <w:marTop w:val="0"/>
      <w:marBottom w:val="0"/>
      <w:divBdr>
        <w:top w:val="none" w:sz="0" w:space="0" w:color="auto"/>
        <w:left w:val="none" w:sz="0" w:space="0" w:color="auto"/>
        <w:bottom w:val="none" w:sz="0" w:space="0" w:color="auto"/>
        <w:right w:val="none" w:sz="0" w:space="0" w:color="auto"/>
      </w:divBdr>
    </w:div>
    <w:div w:id="1166700974">
      <w:bodyDiv w:val="1"/>
      <w:marLeft w:val="0"/>
      <w:marRight w:val="0"/>
      <w:marTop w:val="0"/>
      <w:marBottom w:val="0"/>
      <w:divBdr>
        <w:top w:val="none" w:sz="0" w:space="0" w:color="auto"/>
        <w:left w:val="none" w:sz="0" w:space="0" w:color="auto"/>
        <w:bottom w:val="none" w:sz="0" w:space="0" w:color="auto"/>
        <w:right w:val="none" w:sz="0" w:space="0" w:color="auto"/>
      </w:divBdr>
    </w:div>
    <w:div w:id="1194343481">
      <w:bodyDiv w:val="1"/>
      <w:marLeft w:val="0"/>
      <w:marRight w:val="0"/>
      <w:marTop w:val="0"/>
      <w:marBottom w:val="0"/>
      <w:divBdr>
        <w:top w:val="none" w:sz="0" w:space="0" w:color="auto"/>
        <w:left w:val="none" w:sz="0" w:space="0" w:color="auto"/>
        <w:bottom w:val="none" w:sz="0" w:space="0" w:color="auto"/>
        <w:right w:val="none" w:sz="0" w:space="0" w:color="auto"/>
      </w:divBdr>
    </w:div>
    <w:div w:id="1279681581">
      <w:bodyDiv w:val="1"/>
      <w:marLeft w:val="0"/>
      <w:marRight w:val="0"/>
      <w:marTop w:val="0"/>
      <w:marBottom w:val="0"/>
      <w:divBdr>
        <w:top w:val="none" w:sz="0" w:space="0" w:color="auto"/>
        <w:left w:val="none" w:sz="0" w:space="0" w:color="auto"/>
        <w:bottom w:val="none" w:sz="0" w:space="0" w:color="auto"/>
        <w:right w:val="none" w:sz="0" w:space="0" w:color="auto"/>
      </w:divBdr>
    </w:div>
    <w:div w:id="1295334579">
      <w:bodyDiv w:val="1"/>
      <w:marLeft w:val="0"/>
      <w:marRight w:val="0"/>
      <w:marTop w:val="0"/>
      <w:marBottom w:val="0"/>
      <w:divBdr>
        <w:top w:val="none" w:sz="0" w:space="0" w:color="auto"/>
        <w:left w:val="none" w:sz="0" w:space="0" w:color="auto"/>
        <w:bottom w:val="none" w:sz="0" w:space="0" w:color="auto"/>
        <w:right w:val="none" w:sz="0" w:space="0" w:color="auto"/>
      </w:divBdr>
    </w:div>
    <w:div w:id="1310013742">
      <w:bodyDiv w:val="1"/>
      <w:marLeft w:val="0"/>
      <w:marRight w:val="0"/>
      <w:marTop w:val="0"/>
      <w:marBottom w:val="0"/>
      <w:divBdr>
        <w:top w:val="none" w:sz="0" w:space="0" w:color="auto"/>
        <w:left w:val="none" w:sz="0" w:space="0" w:color="auto"/>
        <w:bottom w:val="none" w:sz="0" w:space="0" w:color="auto"/>
        <w:right w:val="none" w:sz="0" w:space="0" w:color="auto"/>
      </w:divBdr>
    </w:div>
    <w:div w:id="1328553240">
      <w:bodyDiv w:val="1"/>
      <w:marLeft w:val="0"/>
      <w:marRight w:val="0"/>
      <w:marTop w:val="0"/>
      <w:marBottom w:val="0"/>
      <w:divBdr>
        <w:top w:val="none" w:sz="0" w:space="0" w:color="auto"/>
        <w:left w:val="none" w:sz="0" w:space="0" w:color="auto"/>
        <w:bottom w:val="none" w:sz="0" w:space="0" w:color="auto"/>
        <w:right w:val="none" w:sz="0" w:space="0" w:color="auto"/>
      </w:divBdr>
    </w:div>
    <w:div w:id="1411387290">
      <w:bodyDiv w:val="1"/>
      <w:marLeft w:val="0"/>
      <w:marRight w:val="0"/>
      <w:marTop w:val="0"/>
      <w:marBottom w:val="0"/>
      <w:divBdr>
        <w:top w:val="none" w:sz="0" w:space="0" w:color="auto"/>
        <w:left w:val="none" w:sz="0" w:space="0" w:color="auto"/>
        <w:bottom w:val="none" w:sz="0" w:space="0" w:color="auto"/>
        <w:right w:val="none" w:sz="0" w:space="0" w:color="auto"/>
      </w:divBdr>
      <w:divsChild>
        <w:div w:id="1727294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7870979">
      <w:bodyDiv w:val="1"/>
      <w:marLeft w:val="0"/>
      <w:marRight w:val="0"/>
      <w:marTop w:val="0"/>
      <w:marBottom w:val="0"/>
      <w:divBdr>
        <w:top w:val="none" w:sz="0" w:space="0" w:color="auto"/>
        <w:left w:val="none" w:sz="0" w:space="0" w:color="auto"/>
        <w:bottom w:val="none" w:sz="0" w:space="0" w:color="auto"/>
        <w:right w:val="none" w:sz="0" w:space="0" w:color="auto"/>
      </w:divBdr>
    </w:div>
    <w:div w:id="1534417978">
      <w:bodyDiv w:val="1"/>
      <w:marLeft w:val="0"/>
      <w:marRight w:val="0"/>
      <w:marTop w:val="0"/>
      <w:marBottom w:val="0"/>
      <w:divBdr>
        <w:top w:val="none" w:sz="0" w:space="0" w:color="auto"/>
        <w:left w:val="none" w:sz="0" w:space="0" w:color="auto"/>
        <w:bottom w:val="none" w:sz="0" w:space="0" w:color="auto"/>
        <w:right w:val="none" w:sz="0" w:space="0" w:color="auto"/>
      </w:divBdr>
    </w:div>
    <w:div w:id="1620137674">
      <w:bodyDiv w:val="1"/>
      <w:marLeft w:val="0"/>
      <w:marRight w:val="0"/>
      <w:marTop w:val="0"/>
      <w:marBottom w:val="0"/>
      <w:divBdr>
        <w:top w:val="none" w:sz="0" w:space="0" w:color="auto"/>
        <w:left w:val="none" w:sz="0" w:space="0" w:color="auto"/>
        <w:bottom w:val="none" w:sz="0" w:space="0" w:color="auto"/>
        <w:right w:val="none" w:sz="0" w:space="0" w:color="auto"/>
      </w:divBdr>
    </w:div>
    <w:div w:id="1632397940">
      <w:bodyDiv w:val="1"/>
      <w:marLeft w:val="0"/>
      <w:marRight w:val="0"/>
      <w:marTop w:val="0"/>
      <w:marBottom w:val="0"/>
      <w:divBdr>
        <w:top w:val="none" w:sz="0" w:space="0" w:color="auto"/>
        <w:left w:val="none" w:sz="0" w:space="0" w:color="auto"/>
        <w:bottom w:val="none" w:sz="0" w:space="0" w:color="auto"/>
        <w:right w:val="none" w:sz="0" w:space="0" w:color="auto"/>
      </w:divBdr>
    </w:div>
    <w:div w:id="1820219976">
      <w:bodyDiv w:val="1"/>
      <w:marLeft w:val="0"/>
      <w:marRight w:val="0"/>
      <w:marTop w:val="0"/>
      <w:marBottom w:val="0"/>
      <w:divBdr>
        <w:top w:val="none" w:sz="0" w:space="0" w:color="auto"/>
        <w:left w:val="none" w:sz="0" w:space="0" w:color="auto"/>
        <w:bottom w:val="none" w:sz="0" w:space="0" w:color="auto"/>
        <w:right w:val="none" w:sz="0" w:space="0" w:color="auto"/>
      </w:divBdr>
    </w:div>
    <w:div w:id="1848860138">
      <w:bodyDiv w:val="1"/>
      <w:marLeft w:val="0"/>
      <w:marRight w:val="0"/>
      <w:marTop w:val="0"/>
      <w:marBottom w:val="0"/>
      <w:divBdr>
        <w:top w:val="none" w:sz="0" w:space="0" w:color="auto"/>
        <w:left w:val="none" w:sz="0" w:space="0" w:color="auto"/>
        <w:bottom w:val="none" w:sz="0" w:space="0" w:color="auto"/>
        <w:right w:val="none" w:sz="0" w:space="0" w:color="auto"/>
      </w:divBdr>
    </w:div>
    <w:div w:id="1861698275">
      <w:bodyDiv w:val="1"/>
      <w:marLeft w:val="0"/>
      <w:marRight w:val="0"/>
      <w:marTop w:val="0"/>
      <w:marBottom w:val="0"/>
      <w:divBdr>
        <w:top w:val="none" w:sz="0" w:space="0" w:color="auto"/>
        <w:left w:val="none" w:sz="0" w:space="0" w:color="auto"/>
        <w:bottom w:val="none" w:sz="0" w:space="0" w:color="auto"/>
        <w:right w:val="none" w:sz="0" w:space="0" w:color="auto"/>
      </w:divBdr>
    </w:div>
    <w:div w:id="1868522538">
      <w:bodyDiv w:val="1"/>
      <w:marLeft w:val="0"/>
      <w:marRight w:val="0"/>
      <w:marTop w:val="0"/>
      <w:marBottom w:val="0"/>
      <w:divBdr>
        <w:top w:val="none" w:sz="0" w:space="0" w:color="auto"/>
        <w:left w:val="none" w:sz="0" w:space="0" w:color="auto"/>
        <w:bottom w:val="none" w:sz="0" w:space="0" w:color="auto"/>
        <w:right w:val="none" w:sz="0" w:space="0" w:color="auto"/>
      </w:divBdr>
    </w:div>
    <w:div w:id="1916665913">
      <w:bodyDiv w:val="1"/>
      <w:marLeft w:val="0"/>
      <w:marRight w:val="0"/>
      <w:marTop w:val="0"/>
      <w:marBottom w:val="0"/>
      <w:divBdr>
        <w:top w:val="none" w:sz="0" w:space="0" w:color="auto"/>
        <w:left w:val="none" w:sz="0" w:space="0" w:color="auto"/>
        <w:bottom w:val="none" w:sz="0" w:space="0" w:color="auto"/>
        <w:right w:val="none" w:sz="0" w:space="0" w:color="auto"/>
      </w:divBdr>
    </w:div>
    <w:div w:id="1933315827">
      <w:bodyDiv w:val="1"/>
      <w:marLeft w:val="0"/>
      <w:marRight w:val="0"/>
      <w:marTop w:val="0"/>
      <w:marBottom w:val="0"/>
      <w:divBdr>
        <w:top w:val="none" w:sz="0" w:space="0" w:color="auto"/>
        <w:left w:val="none" w:sz="0" w:space="0" w:color="auto"/>
        <w:bottom w:val="none" w:sz="0" w:space="0" w:color="auto"/>
        <w:right w:val="none" w:sz="0" w:space="0" w:color="auto"/>
      </w:divBdr>
    </w:div>
    <w:div w:id="1936399346">
      <w:bodyDiv w:val="1"/>
      <w:marLeft w:val="0"/>
      <w:marRight w:val="0"/>
      <w:marTop w:val="0"/>
      <w:marBottom w:val="0"/>
      <w:divBdr>
        <w:top w:val="none" w:sz="0" w:space="0" w:color="auto"/>
        <w:left w:val="none" w:sz="0" w:space="0" w:color="auto"/>
        <w:bottom w:val="none" w:sz="0" w:space="0" w:color="auto"/>
        <w:right w:val="none" w:sz="0" w:space="0" w:color="auto"/>
      </w:divBdr>
    </w:div>
    <w:div w:id="1938706444">
      <w:bodyDiv w:val="1"/>
      <w:marLeft w:val="0"/>
      <w:marRight w:val="0"/>
      <w:marTop w:val="0"/>
      <w:marBottom w:val="0"/>
      <w:divBdr>
        <w:top w:val="none" w:sz="0" w:space="0" w:color="auto"/>
        <w:left w:val="none" w:sz="0" w:space="0" w:color="auto"/>
        <w:bottom w:val="none" w:sz="0" w:space="0" w:color="auto"/>
        <w:right w:val="none" w:sz="0" w:space="0" w:color="auto"/>
      </w:divBdr>
    </w:div>
    <w:div w:id="1970357063">
      <w:bodyDiv w:val="1"/>
      <w:marLeft w:val="0"/>
      <w:marRight w:val="0"/>
      <w:marTop w:val="0"/>
      <w:marBottom w:val="0"/>
      <w:divBdr>
        <w:top w:val="none" w:sz="0" w:space="0" w:color="auto"/>
        <w:left w:val="none" w:sz="0" w:space="0" w:color="auto"/>
        <w:bottom w:val="none" w:sz="0" w:space="0" w:color="auto"/>
        <w:right w:val="none" w:sz="0" w:space="0" w:color="auto"/>
      </w:divBdr>
    </w:div>
    <w:div w:id="1975479041">
      <w:bodyDiv w:val="1"/>
      <w:marLeft w:val="0"/>
      <w:marRight w:val="0"/>
      <w:marTop w:val="0"/>
      <w:marBottom w:val="0"/>
      <w:divBdr>
        <w:top w:val="none" w:sz="0" w:space="0" w:color="auto"/>
        <w:left w:val="none" w:sz="0" w:space="0" w:color="auto"/>
        <w:bottom w:val="none" w:sz="0" w:space="0" w:color="auto"/>
        <w:right w:val="none" w:sz="0" w:space="0" w:color="auto"/>
      </w:divBdr>
      <w:divsChild>
        <w:div w:id="1409959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6258084">
      <w:bodyDiv w:val="1"/>
      <w:marLeft w:val="0"/>
      <w:marRight w:val="0"/>
      <w:marTop w:val="0"/>
      <w:marBottom w:val="0"/>
      <w:divBdr>
        <w:top w:val="none" w:sz="0" w:space="0" w:color="auto"/>
        <w:left w:val="none" w:sz="0" w:space="0" w:color="auto"/>
        <w:bottom w:val="none" w:sz="0" w:space="0" w:color="auto"/>
        <w:right w:val="none" w:sz="0" w:space="0" w:color="auto"/>
      </w:divBdr>
    </w:div>
    <w:div w:id="1993172377">
      <w:bodyDiv w:val="1"/>
      <w:marLeft w:val="0"/>
      <w:marRight w:val="0"/>
      <w:marTop w:val="0"/>
      <w:marBottom w:val="0"/>
      <w:divBdr>
        <w:top w:val="none" w:sz="0" w:space="0" w:color="auto"/>
        <w:left w:val="none" w:sz="0" w:space="0" w:color="auto"/>
        <w:bottom w:val="none" w:sz="0" w:space="0" w:color="auto"/>
        <w:right w:val="none" w:sz="0" w:space="0" w:color="auto"/>
      </w:divBdr>
    </w:div>
    <w:div w:id="2004509129">
      <w:bodyDiv w:val="1"/>
      <w:marLeft w:val="0"/>
      <w:marRight w:val="0"/>
      <w:marTop w:val="0"/>
      <w:marBottom w:val="0"/>
      <w:divBdr>
        <w:top w:val="none" w:sz="0" w:space="0" w:color="auto"/>
        <w:left w:val="none" w:sz="0" w:space="0" w:color="auto"/>
        <w:bottom w:val="none" w:sz="0" w:space="0" w:color="auto"/>
        <w:right w:val="none" w:sz="0" w:space="0" w:color="auto"/>
      </w:divBdr>
    </w:div>
    <w:div w:id="2009431977">
      <w:bodyDiv w:val="1"/>
      <w:marLeft w:val="0"/>
      <w:marRight w:val="0"/>
      <w:marTop w:val="0"/>
      <w:marBottom w:val="0"/>
      <w:divBdr>
        <w:top w:val="none" w:sz="0" w:space="0" w:color="auto"/>
        <w:left w:val="none" w:sz="0" w:space="0" w:color="auto"/>
        <w:bottom w:val="none" w:sz="0" w:space="0" w:color="auto"/>
        <w:right w:val="none" w:sz="0" w:space="0" w:color="auto"/>
      </w:divBdr>
    </w:div>
    <w:div w:id="2090927703">
      <w:bodyDiv w:val="1"/>
      <w:marLeft w:val="0"/>
      <w:marRight w:val="0"/>
      <w:marTop w:val="0"/>
      <w:marBottom w:val="0"/>
      <w:divBdr>
        <w:top w:val="none" w:sz="0" w:space="0" w:color="auto"/>
        <w:left w:val="none" w:sz="0" w:space="0" w:color="auto"/>
        <w:bottom w:val="none" w:sz="0" w:space="0" w:color="auto"/>
        <w:right w:val="none" w:sz="0" w:space="0" w:color="auto"/>
      </w:divBdr>
    </w:div>
    <w:div w:id="209774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cfainstitute.org/investor/2016/07/13/the-microsoft-linkedin-deal-and-the-nature-of-the-firm/" TargetMode="External"/><Relationship Id="rId13" Type="http://schemas.openxmlformats.org/officeDocument/2006/relationships/hyperlink" Target="https://www.forbes.com/sites/grantfeller/2016/06/14/this-is-the-real-reason-microsoft-bought-linkedin/" TargetMode="External"/><Relationship Id="rId18" Type="http://schemas.openxmlformats.org/officeDocument/2006/relationships/hyperlink" Target="https://www.linkedin.com/pulse/analyzing-benefits-microsofts-acquisition-linkedin-nitesh-shrivas-uxeyf/" TargetMode="External"/><Relationship Id="rId3" Type="http://schemas.openxmlformats.org/officeDocument/2006/relationships/styles" Target="styles.xml"/><Relationship Id="rId21" Type="http://schemas.openxmlformats.org/officeDocument/2006/relationships/hyperlink" Target="https://www.forbes.com/sites/greatspeculations/2016/06/16/how-will-microsoft-benefit-from-linkedins-enterprise-relationships/" TargetMode="External"/><Relationship Id="rId7" Type="http://schemas.openxmlformats.org/officeDocument/2006/relationships/endnotes" Target="endnotes.xml"/><Relationship Id="rId12" Type="http://schemas.openxmlformats.org/officeDocument/2006/relationships/hyperlink" Target="https://www.insidehighered.com/news/2015/04/10/linkedin-continues-move-higher-education-purchase-lyndacom-15-billion" TargetMode="External"/><Relationship Id="rId17" Type="http://schemas.openxmlformats.org/officeDocument/2006/relationships/hyperlink" Target="https://news.microsoft.com/2016/06/13/microsoft-to-acquire-linkedin/" TargetMode="External"/><Relationship Id="rId2" Type="http://schemas.openxmlformats.org/officeDocument/2006/relationships/numbering" Target="numbering.xml"/><Relationship Id="rId16" Type="http://schemas.openxmlformats.org/officeDocument/2006/relationships/hyperlink" Target="https://corporatefinanceinstitute.com/resources/economics/economies-of-scale/" TargetMode="External"/><Relationship Id="rId20" Type="http://schemas.openxmlformats.org/officeDocument/2006/relationships/hyperlink" Target="https://www.forbes.com/sites/christianstadler/2021/11/15/to-understand-the-future-of-diversification-compare-microsoft-and-ib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commission/presscorner/detail/en/IP_16_428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wordstream.com/blog/ws/2018/10/24/bing-ads-linkedin-profile-targeting" TargetMode="External"/><Relationship Id="rId23" Type="http://schemas.openxmlformats.org/officeDocument/2006/relationships/fontTable" Target="fontTable.xml"/><Relationship Id="rId10" Type="http://schemas.openxmlformats.org/officeDocument/2006/relationships/hyperlink" Target="https://www.csoonline.com/article/556543/does-microsofts-acquisition-of-linkedin-present-data-privacy-risks.html" TargetMode="External"/><Relationship Id="rId19" Type="http://schemas.openxmlformats.org/officeDocument/2006/relationships/hyperlink" Target="https://www.linkedin.com/blog/member/product/linkedin-s-q1-2016-earnings" TargetMode="External"/><Relationship Id="rId4" Type="http://schemas.openxmlformats.org/officeDocument/2006/relationships/settings" Target="settings.xml"/><Relationship Id="rId9" Type="http://schemas.openxmlformats.org/officeDocument/2006/relationships/hyperlink" Target="https://edtechmagazine.com/higher/article/2016/06/how-will-microsofts-acquisition-linkedin-affect-higher-ed" TargetMode="External"/><Relationship Id="rId14" Type="http://schemas.openxmlformats.org/officeDocument/2006/relationships/hyperlink" Target="https://time.com/4368047/microsoft-linkedin-deal-merger-deb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6EEE1-D798-4368-91DA-EB1EBD89A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9834</TotalTime>
  <Pages>19</Pages>
  <Words>3548</Words>
  <Characters>23884</Characters>
  <Application>Microsoft Office Word</Application>
  <DocSecurity>0</DocSecurity>
  <Lines>404</Lines>
  <Paragraphs>126</Paragraphs>
  <ScaleCrop>false</ScaleCrop>
  <HeadingPairs>
    <vt:vector size="2" baseType="variant">
      <vt:variant>
        <vt:lpstr>Title</vt:lpstr>
      </vt:variant>
      <vt:variant>
        <vt:i4>1</vt:i4>
      </vt:variant>
    </vt:vector>
  </HeadingPairs>
  <TitlesOfParts>
    <vt:vector size="1" baseType="lpstr">
      <vt:lpstr>Mergers and Acquisitions – Microsoft and LinkedIn</vt:lpstr>
    </vt:vector>
  </TitlesOfParts>
  <Company>University of Wales Trinity Saint David</Company>
  <LinksUpToDate>false</LinksUpToDate>
  <CharactersWithSpaces>27306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Mergers and Acquisitions – Microsoft and LinkedIn</dc:title>
  <dc:subject>BMBM6007 Financial Management</dc:subject>
  <dc:creator>Katy Grummett (2209790)</dc:creator>
  <cp:keywords/>
  <dc:description/>
  <cp:lastModifiedBy>Katy Grummett (2209790)</cp:lastModifiedBy>
  <cp:revision>29</cp:revision>
  <dcterms:created xsi:type="dcterms:W3CDTF">2025-03-23T12:15:00Z</dcterms:created>
  <dcterms:modified xsi:type="dcterms:W3CDTF">2025-04-04T15:50:00Z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5c3d57f4-3a04-441c-9341-8081f1a9f36b</vt:lpwstr>
  </property>
</Properties>
</file>