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583B5C" w14:textId="77777777" w:rsidR="00E562A7" w:rsidRDefault="00E562A7" w:rsidP="00354148">
      <w:pPr>
        <w:spacing w:before="100" w:beforeAutospacing="1" w:after="100" w:afterAutospacing="1" w:line="360" w:lineRule="auto"/>
        <w:jc w:val="both"/>
        <w:outlineLvl w:val="1"/>
        <w:rPr>
          <w:rFonts w:ascii="Arial" w:eastAsia="Times New Roman" w:hAnsi="Arial" w:cs="Arial"/>
          <w:b/>
          <w:bCs/>
        </w:rPr>
      </w:pPr>
    </w:p>
    <w:p w14:paraId="28EA2CDD" w14:textId="77777777" w:rsidR="00E562A7" w:rsidRDefault="00E562A7" w:rsidP="00E562A7">
      <w:pPr>
        <w:spacing w:before="100" w:beforeAutospacing="1" w:after="100" w:afterAutospacing="1" w:line="360" w:lineRule="auto"/>
        <w:ind w:left="4320"/>
        <w:jc w:val="both"/>
        <w:outlineLvl w:val="1"/>
        <w:rPr>
          <w:rFonts w:ascii="Arial" w:eastAsia="Times New Roman" w:hAnsi="Arial" w:cs="Arial"/>
          <w:b/>
          <w:bCs/>
        </w:rPr>
      </w:pPr>
      <w:r>
        <w:rPr>
          <w:rFonts w:ascii="Arial" w:eastAsia="Times New Roman" w:hAnsi="Arial" w:cs="Arial"/>
          <w:b/>
          <w:bCs/>
          <w:noProof/>
        </w:rPr>
        <w:drawing>
          <wp:inline distT="0" distB="0" distL="0" distR="0" wp14:anchorId="07FE6ABF" wp14:editId="4651DC5B">
            <wp:extent cx="2792095" cy="1158240"/>
            <wp:effectExtent l="0" t="0" r="825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E562A7" w:rsidRPr="0036151A" w14:paraId="451026E4" w14:textId="77777777" w:rsidTr="00E558EB">
        <w:trPr>
          <w:trHeight w:val="179"/>
          <w:jc w:val="center"/>
        </w:trPr>
        <w:tc>
          <w:tcPr>
            <w:tcW w:w="0" w:type="auto"/>
            <w:hideMark/>
          </w:tcPr>
          <w:p w14:paraId="3AC7D81A" w14:textId="77777777" w:rsidR="00E562A7" w:rsidRPr="0036151A" w:rsidRDefault="00E562A7" w:rsidP="00E558EB">
            <w:pPr>
              <w:tabs>
                <w:tab w:val="right" w:pos="2299"/>
              </w:tabs>
              <w:spacing w:line="360" w:lineRule="auto"/>
              <w:jc w:val="both"/>
              <w:rPr>
                <w:rFonts w:ascii="Arial" w:eastAsia="Times New Roman" w:hAnsi="Arial" w:cs="Arial"/>
                <w:b/>
                <w:bCs/>
              </w:rPr>
            </w:pPr>
            <w:r w:rsidRPr="0036151A">
              <w:rPr>
                <w:rFonts w:ascii="Arial" w:eastAsia="Times New Roman" w:hAnsi="Arial" w:cs="Arial"/>
                <w:b/>
                <w:bCs/>
              </w:rPr>
              <w:t>Student Name:</w:t>
            </w:r>
            <w:r w:rsidRPr="0036151A">
              <w:rPr>
                <w:rFonts w:ascii="Arial" w:eastAsia="Times New Roman" w:hAnsi="Arial" w:cs="Arial"/>
                <w:b/>
                <w:bCs/>
              </w:rPr>
              <w:tab/>
            </w:r>
          </w:p>
        </w:tc>
        <w:tc>
          <w:tcPr>
            <w:tcW w:w="5825" w:type="dxa"/>
            <w:hideMark/>
          </w:tcPr>
          <w:p w14:paraId="1FBA31AB" w14:textId="75C71935" w:rsidR="00E562A7" w:rsidRPr="0036151A" w:rsidRDefault="00AE423D" w:rsidP="00E558EB">
            <w:pPr>
              <w:spacing w:line="360" w:lineRule="auto"/>
              <w:jc w:val="both"/>
              <w:rPr>
                <w:rFonts w:ascii="Arial" w:eastAsia="Times New Roman" w:hAnsi="Arial" w:cs="Arial"/>
                <w:bCs/>
              </w:rPr>
            </w:pPr>
            <w:r>
              <w:rPr>
                <w:rFonts w:ascii="Arial" w:eastAsia="Times New Roman" w:hAnsi="Arial" w:cs="Arial"/>
                <w:bCs/>
              </w:rPr>
              <w:t>Salma Munir</w:t>
            </w:r>
          </w:p>
        </w:tc>
      </w:tr>
      <w:tr w:rsidR="00E562A7" w:rsidRPr="0036151A" w14:paraId="681AB79E" w14:textId="77777777" w:rsidTr="00E558EB">
        <w:trPr>
          <w:jc w:val="center"/>
        </w:trPr>
        <w:tc>
          <w:tcPr>
            <w:tcW w:w="0" w:type="auto"/>
            <w:hideMark/>
          </w:tcPr>
          <w:p w14:paraId="17B0D465" w14:textId="77777777" w:rsidR="00E562A7" w:rsidRPr="0036151A" w:rsidRDefault="00E562A7" w:rsidP="00E558EB">
            <w:pPr>
              <w:spacing w:line="360" w:lineRule="auto"/>
              <w:jc w:val="both"/>
              <w:rPr>
                <w:rFonts w:ascii="Arial" w:eastAsia="Times New Roman" w:hAnsi="Arial" w:cs="Arial"/>
              </w:rPr>
            </w:pPr>
            <w:r w:rsidRPr="0036151A">
              <w:rPr>
                <w:rFonts w:ascii="Arial" w:eastAsia="Times New Roman" w:hAnsi="Arial" w:cs="Arial"/>
                <w:b/>
                <w:bCs/>
              </w:rPr>
              <w:t>Student ID Number:</w:t>
            </w:r>
          </w:p>
        </w:tc>
        <w:tc>
          <w:tcPr>
            <w:tcW w:w="5825" w:type="dxa"/>
            <w:hideMark/>
          </w:tcPr>
          <w:p w14:paraId="75D0D8D1" w14:textId="505263BB" w:rsidR="00E562A7" w:rsidRPr="0036151A" w:rsidRDefault="00AE423D" w:rsidP="00E558EB">
            <w:pPr>
              <w:spacing w:line="360" w:lineRule="auto"/>
              <w:jc w:val="both"/>
              <w:rPr>
                <w:rFonts w:ascii="Arial" w:eastAsia="Times New Roman" w:hAnsi="Arial" w:cs="Arial"/>
              </w:rPr>
            </w:pPr>
            <w:r>
              <w:rPr>
                <w:rFonts w:ascii="Arial" w:eastAsia="Times New Roman" w:hAnsi="Arial" w:cs="Arial"/>
              </w:rPr>
              <w:t>2333495</w:t>
            </w:r>
          </w:p>
        </w:tc>
      </w:tr>
      <w:tr w:rsidR="00E562A7" w:rsidRPr="0036151A" w14:paraId="432E9429" w14:textId="77777777" w:rsidTr="00E558EB">
        <w:trPr>
          <w:jc w:val="center"/>
        </w:trPr>
        <w:tc>
          <w:tcPr>
            <w:tcW w:w="0" w:type="auto"/>
            <w:hideMark/>
          </w:tcPr>
          <w:p w14:paraId="6403259A" w14:textId="77777777" w:rsidR="00E562A7" w:rsidRPr="0036151A" w:rsidRDefault="00E562A7" w:rsidP="00E558EB">
            <w:pPr>
              <w:spacing w:line="360" w:lineRule="auto"/>
              <w:jc w:val="both"/>
              <w:rPr>
                <w:rFonts w:ascii="Arial" w:eastAsia="Times New Roman" w:hAnsi="Arial" w:cs="Arial"/>
              </w:rPr>
            </w:pPr>
            <w:proofErr w:type="spellStart"/>
            <w:r w:rsidRPr="0036151A">
              <w:rPr>
                <w:rFonts w:ascii="Arial" w:eastAsia="Times New Roman" w:hAnsi="Arial" w:cs="Arial"/>
                <w:b/>
                <w:bCs/>
              </w:rPr>
              <w:t>Programme</w:t>
            </w:r>
            <w:proofErr w:type="spellEnd"/>
            <w:r w:rsidRPr="0036151A">
              <w:rPr>
                <w:rFonts w:ascii="Arial" w:eastAsia="Times New Roman" w:hAnsi="Arial" w:cs="Arial"/>
                <w:b/>
                <w:bCs/>
              </w:rPr>
              <w:t>:</w:t>
            </w:r>
          </w:p>
        </w:tc>
        <w:tc>
          <w:tcPr>
            <w:tcW w:w="5825" w:type="dxa"/>
            <w:hideMark/>
          </w:tcPr>
          <w:p w14:paraId="67C672CA" w14:textId="77777777" w:rsidR="00E562A7" w:rsidRPr="0036151A" w:rsidRDefault="00E562A7" w:rsidP="00E558EB">
            <w:pPr>
              <w:spacing w:line="360" w:lineRule="auto"/>
              <w:jc w:val="both"/>
              <w:rPr>
                <w:rFonts w:ascii="Arial" w:eastAsia="Times New Roman" w:hAnsi="Arial" w:cs="Arial"/>
                <w:b/>
              </w:rPr>
            </w:pPr>
            <w:r w:rsidRPr="002834FE">
              <w:rPr>
                <w:rFonts w:ascii="Arial" w:hAnsi="Arial" w:cs="Arial"/>
                <w:b/>
              </w:rPr>
              <w:t>Certificate of Higher Education Skills for the Workplace (Health &amp; Social Care)</w:t>
            </w:r>
          </w:p>
        </w:tc>
      </w:tr>
      <w:tr w:rsidR="00E562A7" w:rsidRPr="0036151A" w14:paraId="28CB2F65" w14:textId="77777777" w:rsidTr="00E558EB">
        <w:trPr>
          <w:jc w:val="center"/>
        </w:trPr>
        <w:tc>
          <w:tcPr>
            <w:tcW w:w="0" w:type="auto"/>
            <w:hideMark/>
          </w:tcPr>
          <w:p w14:paraId="6CF6CE7F" w14:textId="77777777" w:rsidR="00E562A7" w:rsidRPr="0036151A" w:rsidRDefault="00E562A7" w:rsidP="00E558EB">
            <w:pPr>
              <w:spacing w:line="360" w:lineRule="auto"/>
              <w:jc w:val="both"/>
              <w:rPr>
                <w:rFonts w:ascii="Arial" w:eastAsia="Times New Roman" w:hAnsi="Arial" w:cs="Arial"/>
              </w:rPr>
            </w:pPr>
            <w:r w:rsidRPr="0036151A">
              <w:rPr>
                <w:rFonts w:ascii="Arial" w:eastAsia="Times New Roman" w:hAnsi="Arial" w:cs="Arial"/>
                <w:b/>
                <w:bCs/>
              </w:rPr>
              <w:t>Module Title:</w:t>
            </w:r>
          </w:p>
        </w:tc>
        <w:tc>
          <w:tcPr>
            <w:tcW w:w="5825" w:type="dxa"/>
            <w:hideMark/>
          </w:tcPr>
          <w:p w14:paraId="535CC3AA" w14:textId="77777777" w:rsidR="00E562A7" w:rsidRPr="0036151A" w:rsidRDefault="00E562A7" w:rsidP="00E558EB">
            <w:pPr>
              <w:spacing w:line="360" w:lineRule="auto"/>
              <w:jc w:val="both"/>
              <w:rPr>
                <w:rFonts w:ascii="Arial" w:eastAsia="Times New Roman" w:hAnsi="Arial" w:cs="Arial"/>
                <w:b/>
              </w:rPr>
            </w:pPr>
            <w:r>
              <w:rPr>
                <w:rFonts w:ascii="Arial" w:hAnsi="Arial" w:cs="Arial"/>
                <w:b/>
              </w:rPr>
              <w:t>Introduction to Public Health</w:t>
            </w:r>
          </w:p>
        </w:tc>
      </w:tr>
      <w:tr w:rsidR="00E562A7" w:rsidRPr="0036151A" w14:paraId="769BA590" w14:textId="77777777" w:rsidTr="00E558EB">
        <w:trPr>
          <w:jc w:val="center"/>
        </w:trPr>
        <w:tc>
          <w:tcPr>
            <w:tcW w:w="0" w:type="auto"/>
            <w:hideMark/>
          </w:tcPr>
          <w:p w14:paraId="15E5F8FB" w14:textId="77777777" w:rsidR="00E562A7" w:rsidRPr="0036151A" w:rsidRDefault="00E562A7" w:rsidP="00E558EB">
            <w:pPr>
              <w:spacing w:line="360" w:lineRule="auto"/>
              <w:jc w:val="both"/>
              <w:rPr>
                <w:rFonts w:ascii="Arial" w:eastAsia="Times New Roman" w:hAnsi="Arial" w:cs="Arial"/>
              </w:rPr>
            </w:pPr>
            <w:r w:rsidRPr="0036151A">
              <w:rPr>
                <w:rFonts w:ascii="Arial" w:eastAsia="Times New Roman" w:hAnsi="Arial" w:cs="Arial"/>
                <w:b/>
                <w:bCs/>
              </w:rPr>
              <w:t>Module Code:</w:t>
            </w:r>
          </w:p>
        </w:tc>
        <w:tc>
          <w:tcPr>
            <w:tcW w:w="5825" w:type="dxa"/>
            <w:hideMark/>
          </w:tcPr>
          <w:p w14:paraId="328D6D02" w14:textId="77777777" w:rsidR="00E562A7" w:rsidRPr="0036151A" w:rsidRDefault="00E562A7" w:rsidP="00E558EB">
            <w:pPr>
              <w:spacing w:line="360" w:lineRule="auto"/>
              <w:jc w:val="both"/>
              <w:rPr>
                <w:rFonts w:ascii="Arial" w:eastAsia="Times New Roman" w:hAnsi="Arial" w:cs="Arial"/>
                <w:b/>
              </w:rPr>
            </w:pPr>
            <w:r>
              <w:rPr>
                <w:rFonts w:ascii="Arial" w:hAnsi="Arial" w:cs="Arial"/>
                <w:b/>
              </w:rPr>
              <w:t>LCHS4008</w:t>
            </w:r>
          </w:p>
        </w:tc>
      </w:tr>
      <w:tr w:rsidR="00E562A7" w:rsidRPr="0036151A" w14:paraId="0CF66AF2" w14:textId="77777777" w:rsidTr="00E558EB">
        <w:trPr>
          <w:jc w:val="center"/>
        </w:trPr>
        <w:tc>
          <w:tcPr>
            <w:tcW w:w="0" w:type="auto"/>
            <w:hideMark/>
          </w:tcPr>
          <w:p w14:paraId="4C2B7C39" w14:textId="77777777" w:rsidR="00E562A7" w:rsidRPr="0036151A" w:rsidRDefault="00E562A7" w:rsidP="00E558EB">
            <w:pPr>
              <w:spacing w:line="360" w:lineRule="auto"/>
              <w:jc w:val="both"/>
              <w:rPr>
                <w:rFonts w:ascii="Arial" w:eastAsia="Times New Roman" w:hAnsi="Arial" w:cs="Arial"/>
              </w:rPr>
            </w:pPr>
            <w:r w:rsidRPr="0036151A">
              <w:rPr>
                <w:rFonts w:ascii="Arial" w:eastAsia="Times New Roman" w:hAnsi="Arial" w:cs="Arial"/>
                <w:b/>
                <w:bCs/>
              </w:rPr>
              <w:t>Lecturer:</w:t>
            </w:r>
          </w:p>
        </w:tc>
        <w:tc>
          <w:tcPr>
            <w:tcW w:w="5825" w:type="dxa"/>
            <w:hideMark/>
          </w:tcPr>
          <w:p w14:paraId="3B497ABD" w14:textId="1FFB8210" w:rsidR="00E562A7" w:rsidRPr="0036151A" w:rsidRDefault="00AE423D" w:rsidP="00E558EB">
            <w:pPr>
              <w:spacing w:line="360" w:lineRule="auto"/>
              <w:jc w:val="both"/>
              <w:rPr>
                <w:rFonts w:ascii="Arial" w:eastAsia="Times New Roman" w:hAnsi="Arial" w:cs="Arial"/>
              </w:rPr>
            </w:pPr>
            <w:r>
              <w:rPr>
                <w:rFonts w:ascii="Arial" w:eastAsia="Times New Roman" w:hAnsi="Arial" w:cs="Arial"/>
              </w:rPr>
              <w:t>Gillian Weaver( Module Lead)</w:t>
            </w:r>
          </w:p>
        </w:tc>
      </w:tr>
    </w:tbl>
    <w:p w14:paraId="647187ED" w14:textId="49AAE9B3" w:rsidR="00E562A7" w:rsidRDefault="00E562A7" w:rsidP="00354148">
      <w:pPr>
        <w:spacing w:before="100" w:beforeAutospacing="1" w:after="100" w:afterAutospacing="1" w:line="360" w:lineRule="auto"/>
        <w:jc w:val="both"/>
        <w:outlineLvl w:val="1"/>
        <w:rPr>
          <w:rFonts w:ascii="Arial" w:eastAsia="Times New Roman" w:hAnsi="Arial" w:cs="Arial"/>
          <w:b/>
          <w:bCs/>
        </w:rPr>
      </w:pPr>
    </w:p>
    <w:p w14:paraId="727869E8" w14:textId="77777777" w:rsidR="00E562A7" w:rsidRDefault="00E562A7" w:rsidP="00354148">
      <w:pPr>
        <w:spacing w:before="100" w:beforeAutospacing="1" w:after="100" w:afterAutospacing="1" w:line="360" w:lineRule="auto"/>
        <w:jc w:val="both"/>
        <w:outlineLvl w:val="1"/>
        <w:rPr>
          <w:rFonts w:ascii="Arial" w:eastAsia="Times New Roman" w:hAnsi="Arial" w:cs="Arial"/>
          <w:b/>
          <w:bCs/>
        </w:rPr>
      </w:pPr>
    </w:p>
    <w:p w14:paraId="1083EF2E" w14:textId="77777777" w:rsidR="00E562A7" w:rsidRDefault="00E562A7" w:rsidP="00354148">
      <w:pPr>
        <w:spacing w:before="100" w:beforeAutospacing="1" w:after="100" w:afterAutospacing="1" w:line="360" w:lineRule="auto"/>
        <w:jc w:val="both"/>
        <w:outlineLvl w:val="1"/>
        <w:rPr>
          <w:rFonts w:ascii="Arial" w:eastAsia="Times New Roman" w:hAnsi="Arial" w:cs="Arial"/>
          <w:b/>
          <w:bCs/>
        </w:rPr>
      </w:pPr>
    </w:p>
    <w:p w14:paraId="307B81F7" w14:textId="77777777" w:rsidR="00E562A7" w:rsidRDefault="00E562A7" w:rsidP="00354148">
      <w:pPr>
        <w:spacing w:before="100" w:beforeAutospacing="1" w:after="100" w:afterAutospacing="1" w:line="360" w:lineRule="auto"/>
        <w:jc w:val="both"/>
        <w:outlineLvl w:val="1"/>
        <w:rPr>
          <w:rFonts w:ascii="Arial" w:eastAsia="Times New Roman" w:hAnsi="Arial" w:cs="Arial"/>
          <w:b/>
          <w:bCs/>
        </w:rPr>
      </w:pPr>
    </w:p>
    <w:p w14:paraId="0D35BACC" w14:textId="77777777" w:rsidR="00E562A7" w:rsidRDefault="00E562A7" w:rsidP="00354148">
      <w:pPr>
        <w:spacing w:before="100" w:beforeAutospacing="1" w:after="100" w:afterAutospacing="1" w:line="360" w:lineRule="auto"/>
        <w:jc w:val="both"/>
        <w:outlineLvl w:val="1"/>
        <w:rPr>
          <w:rFonts w:ascii="Arial" w:eastAsia="Times New Roman" w:hAnsi="Arial" w:cs="Arial"/>
          <w:b/>
          <w:bCs/>
        </w:rPr>
      </w:pPr>
    </w:p>
    <w:p w14:paraId="614BE452" w14:textId="77777777" w:rsidR="00E562A7" w:rsidRDefault="00E562A7" w:rsidP="00354148">
      <w:pPr>
        <w:spacing w:before="100" w:beforeAutospacing="1" w:after="100" w:afterAutospacing="1" w:line="360" w:lineRule="auto"/>
        <w:jc w:val="both"/>
        <w:outlineLvl w:val="1"/>
        <w:rPr>
          <w:rFonts w:ascii="Arial" w:eastAsia="Times New Roman" w:hAnsi="Arial" w:cs="Arial"/>
          <w:b/>
          <w:bCs/>
        </w:rPr>
      </w:pPr>
    </w:p>
    <w:p w14:paraId="3783112E" w14:textId="77777777" w:rsidR="00E562A7" w:rsidRDefault="00E562A7" w:rsidP="00354148">
      <w:pPr>
        <w:spacing w:before="100" w:beforeAutospacing="1" w:after="100" w:afterAutospacing="1" w:line="360" w:lineRule="auto"/>
        <w:jc w:val="both"/>
        <w:outlineLvl w:val="1"/>
        <w:rPr>
          <w:rFonts w:ascii="Arial" w:eastAsia="Times New Roman" w:hAnsi="Arial" w:cs="Arial"/>
          <w:b/>
          <w:bCs/>
        </w:rPr>
      </w:pPr>
    </w:p>
    <w:p w14:paraId="3A36E110" w14:textId="77777777" w:rsidR="00E562A7" w:rsidRDefault="00E562A7" w:rsidP="00354148">
      <w:pPr>
        <w:spacing w:before="100" w:beforeAutospacing="1" w:after="100" w:afterAutospacing="1" w:line="360" w:lineRule="auto"/>
        <w:jc w:val="both"/>
        <w:outlineLvl w:val="1"/>
        <w:rPr>
          <w:rFonts w:ascii="Arial" w:eastAsia="Times New Roman" w:hAnsi="Arial" w:cs="Arial"/>
          <w:b/>
          <w:bCs/>
        </w:rPr>
      </w:pPr>
    </w:p>
    <w:p w14:paraId="6664E400" w14:textId="77777777" w:rsidR="00E562A7" w:rsidRDefault="00E562A7" w:rsidP="00354148">
      <w:pPr>
        <w:spacing w:before="100" w:beforeAutospacing="1" w:after="100" w:afterAutospacing="1" w:line="360" w:lineRule="auto"/>
        <w:jc w:val="both"/>
        <w:outlineLvl w:val="1"/>
        <w:rPr>
          <w:rFonts w:ascii="Arial" w:eastAsia="Times New Roman" w:hAnsi="Arial" w:cs="Arial"/>
          <w:b/>
          <w:bCs/>
        </w:rPr>
      </w:pPr>
    </w:p>
    <w:p w14:paraId="478BAEE3" w14:textId="77777777" w:rsidR="00E562A7" w:rsidRDefault="00E562A7" w:rsidP="00354148">
      <w:pPr>
        <w:spacing w:before="100" w:beforeAutospacing="1" w:after="100" w:afterAutospacing="1" w:line="360" w:lineRule="auto"/>
        <w:jc w:val="both"/>
        <w:outlineLvl w:val="1"/>
        <w:rPr>
          <w:rFonts w:ascii="Arial" w:eastAsia="Times New Roman" w:hAnsi="Arial" w:cs="Arial"/>
          <w:b/>
          <w:bCs/>
        </w:rPr>
      </w:pPr>
    </w:p>
    <w:p w14:paraId="54C120F7" w14:textId="77777777" w:rsidR="00E562A7" w:rsidRDefault="00E562A7" w:rsidP="00354148">
      <w:pPr>
        <w:spacing w:before="100" w:beforeAutospacing="1" w:after="100" w:afterAutospacing="1" w:line="360" w:lineRule="auto"/>
        <w:jc w:val="both"/>
        <w:outlineLvl w:val="1"/>
        <w:rPr>
          <w:rFonts w:ascii="Arial" w:eastAsia="Times New Roman" w:hAnsi="Arial" w:cs="Arial"/>
          <w:b/>
          <w:bCs/>
        </w:rPr>
      </w:pPr>
    </w:p>
    <w:p w14:paraId="101A9028" w14:textId="77777777" w:rsidR="00E562A7" w:rsidRDefault="00E562A7" w:rsidP="00E562A7">
      <w:pPr>
        <w:spacing w:before="100" w:beforeAutospacing="1" w:after="100" w:afterAutospacing="1" w:line="240" w:lineRule="auto"/>
        <w:outlineLvl w:val="0"/>
        <w:rPr>
          <w:rFonts w:ascii="Arial" w:eastAsia="Times New Roman" w:hAnsi="Arial" w:cs="Arial"/>
          <w:b/>
          <w:bCs/>
        </w:rPr>
      </w:pPr>
    </w:p>
    <w:p w14:paraId="6618FBA3" w14:textId="77777777" w:rsidR="00E562A7" w:rsidRDefault="00E562A7" w:rsidP="00E562A7">
      <w:pPr>
        <w:spacing w:before="100" w:beforeAutospacing="1" w:after="100" w:afterAutospacing="1" w:line="240" w:lineRule="auto"/>
        <w:outlineLvl w:val="0"/>
        <w:rPr>
          <w:rFonts w:ascii="Arial" w:eastAsia="Times New Roman" w:hAnsi="Arial" w:cs="Arial"/>
          <w:b/>
          <w:bCs/>
        </w:rPr>
      </w:pPr>
    </w:p>
    <w:p w14:paraId="677A8364" w14:textId="77777777" w:rsidR="00E562A7" w:rsidRPr="00E562A7" w:rsidRDefault="00E562A7" w:rsidP="00E562A7">
      <w:pPr>
        <w:spacing w:before="100" w:beforeAutospacing="1" w:after="100" w:afterAutospacing="1" w:line="240" w:lineRule="auto"/>
        <w:outlineLvl w:val="0"/>
        <w:rPr>
          <w:rFonts w:ascii="Arial" w:eastAsia="Times New Roman" w:hAnsi="Arial" w:cs="Arial"/>
          <w:b/>
          <w:bCs/>
          <w:kern w:val="36"/>
          <w:sz w:val="28"/>
          <w:szCs w:val="28"/>
        </w:rPr>
      </w:pPr>
      <w:r w:rsidRPr="00E562A7">
        <w:rPr>
          <w:rFonts w:ascii="Arial" w:eastAsia="Times New Roman" w:hAnsi="Arial" w:cs="Arial"/>
          <w:b/>
          <w:bCs/>
          <w:kern w:val="36"/>
          <w:sz w:val="28"/>
          <w:szCs w:val="28"/>
        </w:rPr>
        <w:t>Table of Contents</w:t>
      </w:r>
    </w:p>
    <w:p w14:paraId="620F71BC" w14:textId="77777777" w:rsidR="00E562A7" w:rsidRPr="00E562A7" w:rsidRDefault="00E562A7" w:rsidP="00E562A7">
      <w:pPr>
        <w:spacing w:before="100" w:beforeAutospacing="1" w:after="100" w:afterAutospacing="1" w:line="240" w:lineRule="auto"/>
        <w:rPr>
          <w:rFonts w:ascii="Arial" w:eastAsia="Times New Roman" w:hAnsi="Arial" w:cs="Arial"/>
          <w:sz w:val="28"/>
          <w:szCs w:val="28"/>
        </w:rPr>
      </w:pPr>
      <w:r>
        <w:rPr>
          <w:rFonts w:ascii="Arial" w:eastAsia="Times New Roman" w:hAnsi="Arial" w:cs="Arial"/>
          <w:b/>
          <w:bCs/>
          <w:sz w:val="28"/>
          <w:szCs w:val="28"/>
        </w:rPr>
        <w:t xml:space="preserve">  1.</w:t>
      </w:r>
      <w:r w:rsidRPr="00E562A7">
        <w:rPr>
          <w:rFonts w:ascii="Arial" w:eastAsia="Times New Roman" w:hAnsi="Arial" w:cs="Arial"/>
          <w:b/>
          <w:bCs/>
          <w:sz w:val="28"/>
          <w:szCs w:val="28"/>
        </w:rPr>
        <w:t>Introduction</w:t>
      </w:r>
      <w:r w:rsidRPr="00E562A7">
        <w:rPr>
          <w:rFonts w:ascii="Arial" w:eastAsia="Times New Roman" w:hAnsi="Arial" w:cs="Arial"/>
          <w:sz w:val="28"/>
          <w:szCs w:val="28"/>
        </w:rPr>
        <w:t xml:space="preserve"> ......................................................................................... </w:t>
      </w:r>
      <w:r>
        <w:rPr>
          <w:rFonts w:ascii="Arial" w:eastAsia="Times New Roman" w:hAnsi="Arial" w:cs="Arial"/>
          <w:sz w:val="28"/>
          <w:szCs w:val="28"/>
        </w:rPr>
        <w:t>3</w:t>
      </w:r>
      <w:r w:rsidRPr="00E562A7">
        <w:rPr>
          <w:rFonts w:ascii="Arial" w:eastAsia="Times New Roman" w:hAnsi="Arial" w:cs="Arial"/>
          <w:sz w:val="28"/>
          <w:szCs w:val="28"/>
        </w:rPr>
        <w:br/>
      </w:r>
      <w:r w:rsidRPr="00E562A7">
        <w:t> </w:t>
      </w:r>
      <w:r w:rsidRPr="00E562A7">
        <w:rPr>
          <w:rFonts w:ascii="Arial" w:eastAsia="Times New Roman" w:hAnsi="Arial" w:cs="Arial"/>
          <w:b/>
          <w:bCs/>
          <w:sz w:val="28"/>
          <w:szCs w:val="28"/>
        </w:rPr>
        <w:t>2.1 Approaches Used to Measure and Monitor Dementia</w:t>
      </w:r>
      <w:r w:rsidRPr="00E562A7">
        <w:rPr>
          <w:rFonts w:ascii="Arial" w:eastAsia="Times New Roman" w:hAnsi="Arial" w:cs="Arial"/>
          <w:sz w:val="28"/>
          <w:szCs w:val="28"/>
        </w:rPr>
        <w:t xml:space="preserve"> .........</w:t>
      </w:r>
      <w:r>
        <w:rPr>
          <w:rFonts w:ascii="Arial" w:eastAsia="Times New Roman" w:hAnsi="Arial" w:cs="Arial"/>
          <w:sz w:val="28"/>
          <w:szCs w:val="28"/>
        </w:rPr>
        <w:t>......</w:t>
      </w:r>
      <w:r w:rsidRPr="00E562A7">
        <w:rPr>
          <w:rFonts w:ascii="Arial" w:eastAsia="Times New Roman" w:hAnsi="Arial" w:cs="Arial"/>
          <w:sz w:val="28"/>
          <w:szCs w:val="28"/>
        </w:rPr>
        <w:t>...</w:t>
      </w:r>
      <w:r>
        <w:rPr>
          <w:rFonts w:ascii="Arial" w:eastAsia="Times New Roman" w:hAnsi="Arial" w:cs="Arial"/>
          <w:sz w:val="28"/>
          <w:szCs w:val="28"/>
        </w:rPr>
        <w:t>4</w:t>
      </w:r>
      <w:r w:rsidRPr="00E562A7">
        <w:rPr>
          <w:rFonts w:ascii="Arial" w:eastAsia="Times New Roman" w:hAnsi="Arial" w:cs="Arial"/>
          <w:sz w:val="28"/>
          <w:szCs w:val="28"/>
        </w:rPr>
        <w:t xml:space="preserve"> </w:t>
      </w:r>
      <w:r w:rsidRPr="00E562A7">
        <w:rPr>
          <w:rFonts w:ascii="Arial" w:eastAsia="Times New Roman" w:hAnsi="Arial" w:cs="Arial"/>
          <w:sz w:val="28"/>
          <w:szCs w:val="28"/>
        </w:rPr>
        <w:br/>
      </w:r>
      <w:r w:rsidRPr="00E562A7">
        <w:t> </w:t>
      </w:r>
      <w:r w:rsidRPr="00E562A7">
        <w:rPr>
          <w:rFonts w:ascii="Arial" w:eastAsia="Times New Roman" w:hAnsi="Arial" w:cs="Arial"/>
          <w:b/>
          <w:bCs/>
          <w:sz w:val="28"/>
          <w:szCs w:val="28"/>
        </w:rPr>
        <w:t>2.2 How Dementia is Controlled</w:t>
      </w:r>
      <w:r w:rsidRPr="00E562A7">
        <w:rPr>
          <w:rFonts w:ascii="Arial" w:eastAsia="Times New Roman" w:hAnsi="Arial" w:cs="Arial"/>
          <w:sz w:val="28"/>
          <w:szCs w:val="28"/>
        </w:rPr>
        <w:t xml:space="preserve"> .....................................................</w:t>
      </w:r>
      <w:r>
        <w:rPr>
          <w:rFonts w:ascii="Arial" w:eastAsia="Times New Roman" w:hAnsi="Arial" w:cs="Arial"/>
          <w:sz w:val="28"/>
          <w:szCs w:val="28"/>
        </w:rPr>
        <w:t>.....</w:t>
      </w:r>
      <w:r w:rsidRPr="00E562A7">
        <w:rPr>
          <w:rFonts w:ascii="Arial" w:eastAsia="Times New Roman" w:hAnsi="Arial" w:cs="Arial"/>
          <w:sz w:val="28"/>
          <w:szCs w:val="28"/>
        </w:rPr>
        <w:t>..</w:t>
      </w:r>
      <w:r>
        <w:rPr>
          <w:rFonts w:ascii="Arial" w:eastAsia="Times New Roman" w:hAnsi="Arial" w:cs="Arial"/>
          <w:sz w:val="28"/>
          <w:szCs w:val="28"/>
        </w:rPr>
        <w:t>4</w:t>
      </w:r>
      <w:r w:rsidRPr="00E562A7">
        <w:rPr>
          <w:rFonts w:ascii="Arial" w:eastAsia="Times New Roman" w:hAnsi="Arial" w:cs="Arial"/>
          <w:sz w:val="28"/>
          <w:szCs w:val="28"/>
        </w:rPr>
        <w:t xml:space="preserve"> </w:t>
      </w:r>
      <w:r w:rsidRPr="00E562A7">
        <w:rPr>
          <w:rFonts w:ascii="Arial" w:eastAsia="Times New Roman" w:hAnsi="Arial" w:cs="Arial"/>
          <w:sz w:val="28"/>
          <w:szCs w:val="28"/>
        </w:rPr>
        <w:br/>
      </w:r>
      <w:r w:rsidRPr="00E562A7">
        <w:t> </w:t>
      </w:r>
      <w:r w:rsidRPr="00E562A7">
        <w:rPr>
          <w:rFonts w:ascii="Arial" w:eastAsia="Times New Roman" w:hAnsi="Arial" w:cs="Arial"/>
          <w:b/>
          <w:bCs/>
          <w:sz w:val="28"/>
          <w:szCs w:val="28"/>
        </w:rPr>
        <w:t>2.3 Consequences of Dementia on People in the Community</w:t>
      </w:r>
      <w:r w:rsidRPr="00E562A7">
        <w:rPr>
          <w:rFonts w:ascii="Arial" w:eastAsia="Times New Roman" w:hAnsi="Arial" w:cs="Arial"/>
          <w:sz w:val="28"/>
          <w:szCs w:val="28"/>
        </w:rPr>
        <w:t xml:space="preserve"> .....</w:t>
      </w:r>
      <w:r>
        <w:rPr>
          <w:rFonts w:ascii="Arial" w:eastAsia="Times New Roman" w:hAnsi="Arial" w:cs="Arial"/>
          <w:sz w:val="28"/>
          <w:szCs w:val="28"/>
        </w:rPr>
        <w:t>....</w:t>
      </w:r>
      <w:r w:rsidRPr="00E562A7">
        <w:rPr>
          <w:rFonts w:ascii="Arial" w:eastAsia="Times New Roman" w:hAnsi="Arial" w:cs="Arial"/>
          <w:sz w:val="28"/>
          <w:szCs w:val="28"/>
        </w:rPr>
        <w:t xml:space="preserve">. </w:t>
      </w:r>
      <w:r>
        <w:rPr>
          <w:rFonts w:ascii="Arial" w:eastAsia="Times New Roman" w:hAnsi="Arial" w:cs="Arial"/>
          <w:sz w:val="28"/>
          <w:szCs w:val="28"/>
        </w:rPr>
        <w:t>6</w:t>
      </w:r>
      <w:r w:rsidRPr="00E562A7">
        <w:rPr>
          <w:rFonts w:ascii="Arial" w:eastAsia="Times New Roman" w:hAnsi="Arial" w:cs="Arial"/>
          <w:sz w:val="28"/>
          <w:szCs w:val="28"/>
        </w:rPr>
        <w:br/>
      </w:r>
      <w:r w:rsidRPr="00E562A7">
        <w:t> </w:t>
      </w:r>
      <w:r w:rsidRPr="00E562A7">
        <w:rPr>
          <w:rFonts w:ascii="Arial" w:eastAsia="Times New Roman" w:hAnsi="Arial" w:cs="Arial"/>
          <w:b/>
          <w:bCs/>
          <w:sz w:val="28"/>
          <w:szCs w:val="28"/>
        </w:rPr>
        <w:t>2.4 Health and Social Care Support Services Required</w:t>
      </w:r>
      <w:r w:rsidRPr="00E562A7">
        <w:rPr>
          <w:rFonts w:ascii="Arial" w:eastAsia="Times New Roman" w:hAnsi="Arial" w:cs="Arial"/>
          <w:sz w:val="28"/>
          <w:szCs w:val="28"/>
        </w:rPr>
        <w:t xml:space="preserve"> ...........</w:t>
      </w:r>
      <w:r>
        <w:rPr>
          <w:rFonts w:ascii="Arial" w:eastAsia="Times New Roman" w:hAnsi="Arial" w:cs="Arial"/>
          <w:sz w:val="28"/>
          <w:szCs w:val="28"/>
        </w:rPr>
        <w:t>........</w:t>
      </w:r>
      <w:r w:rsidRPr="00E562A7">
        <w:rPr>
          <w:rFonts w:ascii="Arial" w:eastAsia="Times New Roman" w:hAnsi="Arial" w:cs="Arial"/>
          <w:sz w:val="28"/>
          <w:szCs w:val="28"/>
        </w:rPr>
        <w:t>...</w:t>
      </w:r>
      <w:r>
        <w:rPr>
          <w:rFonts w:ascii="Arial" w:eastAsia="Times New Roman" w:hAnsi="Arial" w:cs="Arial"/>
          <w:sz w:val="28"/>
          <w:szCs w:val="28"/>
        </w:rPr>
        <w:t>6</w:t>
      </w:r>
    </w:p>
    <w:p w14:paraId="058B3468" w14:textId="77777777" w:rsidR="00E562A7" w:rsidRPr="00E562A7" w:rsidRDefault="00E562A7" w:rsidP="00E562A7">
      <w:pPr>
        <w:spacing w:before="100" w:beforeAutospacing="1" w:after="100" w:afterAutospacing="1" w:line="240" w:lineRule="auto"/>
        <w:rPr>
          <w:rFonts w:ascii="Arial" w:eastAsia="Times New Roman" w:hAnsi="Arial" w:cs="Arial"/>
          <w:sz w:val="28"/>
          <w:szCs w:val="28"/>
        </w:rPr>
      </w:pPr>
      <w:r w:rsidRPr="00E562A7">
        <w:rPr>
          <w:rFonts w:ascii="Arial" w:eastAsia="Times New Roman" w:hAnsi="Arial" w:cs="Arial"/>
          <w:sz w:val="28"/>
          <w:szCs w:val="28"/>
        </w:rPr>
        <w:t xml:space="preserve">   </w:t>
      </w:r>
      <w:r w:rsidRPr="00E562A7">
        <w:rPr>
          <w:rFonts w:ascii="Arial" w:eastAsia="Times New Roman" w:hAnsi="Arial" w:cs="Arial"/>
          <w:b/>
          <w:bCs/>
          <w:sz w:val="28"/>
          <w:szCs w:val="28"/>
        </w:rPr>
        <w:t>Conclusion</w:t>
      </w:r>
      <w:r w:rsidRPr="00E562A7">
        <w:rPr>
          <w:rFonts w:ascii="Arial" w:eastAsia="Times New Roman" w:hAnsi="Arial" w:cs="Arial"/>
          <w:sz w:val="28"/>
          <w:szCs w:val="28"/>
        </w:rPr>
        <w:t xml:space="preserve"> .............................................................</w:t>
      </w:r>
      <w:r>
        <w:rPr>
          <w:rFonts w:ascii="Arial" w:eastAsia="Times New Roman" w:hAnsi="Arial" w:cs="Arial"/>
          <w:sz w:val="28"/>
          <w:szCs w:val="28"/>
        </w:rPr>
        <w:t>................................ 7</w:t>
      </w:r>
    </w:p>
    <w:p w14:paraId="48663DF7" w14:textId="77777777" w:rsidR="00E562A7" w:rsidRPr="00E562A7" w:rsidRDefault="00E562A7" w:rsidP="00E562A7">
      <w:pPr>
        <w:spacing w:before="100" w:beforeAutospacing="1" w:after="100" w:afterAutospacing="1" w:line="240" w:lineRule="auto"/>
        <w:rPr>
          <w:rFonts w:ascii="Arial" w:eastAsia="Times New Roman" w:hAnsi="Arial" w:cs="Arial"/>
          <w:sz w:val="28"/>
          <w:szCs w:val="28"/>
        </w:rPr>
      </w:pPr>
      <w:r w:rsidRPr="00E562A7">
        <w:rPr>
          <w:rFonts w:ascii="Arial" w:eastAsia="Times New Roman" w:hAnsi="Arial" w:cs="Arial"/>
          <w:b/>
          <w:bCs/>
          <w:sz w:val="28"/>
          <w:szCs w:val="28"/>
        </w:rPr>
        <w:t xml:space="preserve">   References</w:t>
      </w:r>
      <w:r w:rsidRPr="00E562A7">
        <w:rPr>
          <w:rFonts w:ascii="Arial" w:eastAsia="Times New Roman" w:hAnsi="Arial" w:cs="Arial"/>
          <w:sz w:val="28"/>
          <w:szCs w:val="28"/>
        </w:rPr>
        <w:t xml:space="preserve"> ............................................................</w:t>
      </w:r>
      <w:r>
        <w:rPr>
          <w:rFonts w:ascii="Arial" w:eastAsia="Times New Roman" w:hAnsi="Arial" w:cs="Arial"/>
          <w:sz w:val="28"/>
          <w:szCs w:val="28"/>
        </w:rPr>
        <w:t>................................. 8</w:t>
      </w:r>
    </w:p>
    <w:p w14:paraId="156411D0" w14:textId="77777777" w:rsidR="00E562A7" w:rsidRPr="00E562A7" w:rsidRDefault="00E562A7" w:rsidP="00E562A7">
      <w:pPr>
        <w:tabs>
          <w:tab w:val="left" w:pos="6420"/>
          <w:tab w:val="left" w:pos="7130"/>
        </w:tabs>
        <w:spacing w:before="100" w:beforeAutospacing="1" w:after="100" w:afterAutospacing="1" w:line="360" w:lineRule="auto"/>
        <w:jc w:val="both"/>
        <w:outlineLvl w:val="1"/>
        <w:rPr>
          <w:rFonts w:ascii="Arial" w:eastAsia="Times New Roman" w:hAnsi="Arial" w:cs="Arial"/>
          <w:b/>
          <w:bCs/>
          <w:sz w:val="28"/>
          <w:szCs w:val="28"/>
        </w:rPr>
      </w:pPr>
      <w:r w:rsidRPr="00E562A7">
        <w:rPr>
          <w:rFonts w:ascii="Arial" w:eastAsia="Times New Roman" w:hAnsi="Arial" w:cs="Arial"/>
          <w:b/>
          <w:bCs/>
          <w:sz w:val="28"/>
          <w:szCs w:val="28"/>
        </w:rPr>
        <w:tab/>
      </w:r>
      <w:r w:rsidRPr="00E562A7">
        <w:rPr>
          <w:rFonts w:ascii="Arial" w:eastAsia="Times New Roman" w:hAnsi="Arial" w:cs="Arial"/>
          <w:b/>
          <w:bCs/>
          <w:sz w:val="28"/>
          <w:szCs w:val="28"/>
        </w:rPr>
        <w:tab/>
      </w:r>
    </w:p>
    <w:p w14:paraId="3B0C0D50" w14:textId="77777777" w:rsidR="00E562A7" w:rsidRDefault="00E562A7" w:rsidP="00354148">
      <w:pPr>
        <w:spacing w:before="100" w:beforeAutospacing="1" w:after="100" w:afterAutospacing="1" w:line="360" w:lineRule="auto"/>
        <w:jc w:val="both"/>
        <w:outlineLvl w:val="1"/>
        <w:rPr>
          <w:rFonts w:ascii="Arial" w:eastAsia="Times New Roman" w:hAnsi="Arial" w:cs="Arial"/>
          <w:b/>
          <w:bCs/>
        </w:rPr>
      </w:pPr>
    </w:p>
    <w:p w14:paraId="58678B1B" w14:textId="77777777" w:rsidR="00E562A7" w:rsidRDefault="00E562A7" w:rsidP="00354148">
      <w:pPr>
        <w:spacing w:before="100" w:beforeAutospacing="1" w:after="100" w:afterAutospacing="1" w:line="360" w:lineRule="auto"/>
        <w:jc w:val="both"/>
        <w:outlineLvl w:val="1"/>
        <w:rPr>
          <w:rFonts w:ascii="Arial" w:eastAsia="Times New Roman" w:hAnsi="Arial" w:cs="Arial"/>
          <w:b/>
          <w:bCs/>
        </w:rPr>
      </w:pPr>
    </w:p>
    <w:p w14:paraId="17506ADF" w14:textId="77777777" w:rsidR="00E562A7" w:rsidRDefault="00E562A7" w:rsidP="00354148">
      <w:pPr>
        <w:spacing w:before="100" w:beforeAutospacing="1" w:after="100" w:afterAutospacing="1" w:line="360" w:lineRule="auto"/>
        <w:jc w:val="both"/>
        <w:outlineLvl w:val="1"/>
        <w:rPr>
          <w:rFonts w:ascii="Arial" w:eastAsia="Times New Roman" w:hAnsi="Arial" w:cs="Arial"/>
          <w:b/>
          <w:bCs/>
        </w:rPr>
      </w:pPr>
    </w:p>
    <w:p w14:paraId="03209B3F" w14:textId="77777777" w:rsidR="00E562A7" w:rsidRDefault="00E562A7" w:rsidP="00354148">
      <w:pPr>
        <w:spacing w:before="100" w:beforeAutospacing="1" w:after="100" w:afterAutospacing="1" w:line="360" w:lineRule="auto"/>
        <w:jc w:val="both"/>
        <w:outlineLvl w:val="1"/>
        <w:rPr>
          <w:rFonts w:ascii="Arial" w:eastAsia="Times New Roman" w:hAnsi="Arial" w:cs="Arial"/>
          <w:b/>
          <w:bCs/>
        </w:rPr>
      </w:pPr>
    </w:p>
    <w:p w14:paraId="14F07623" w14:textId="77777777" w:rsidR="00E562A7" w:rsidRDefault="00E562A7" w:rsidP="00354148">
      <w:pPr>
        <w:spacing w:before="100" w:beforeAutospacing="1" w:after="100" w:afterAutospacing="1" w:line="360" w:lineRule="auto"/>
        <w:jc w:val="both"/>
        <w:outlineLvl w:val="1"/>
        <w:rPr>
          <w:rFonts w:ascii="Arial" w:eastAsia="Times New Roman" w:hAnsi="Arial" w:cs="Arial"/>
          <w:b/>
          <w:bCs/>
        </w:rPr>
      </w:pPr>
    </w:p>
    <w:p w14:paraId="67F0E3AC" w14:textId="77777777" w:rsidR="00E562A7" w:rsidRDefault="00E562A7" w:rsidP="00354148">
      <w:pPr>
        <w:spacing w:before="100" w:beforeAutospacing="1" w:after="100" w:afterAutospacing="1" w:line="360" w:lineRule="auto"/>
        <w:jc w:val="both"/>
        <w:outlineLvl w:val="1"/>
        <w:rPr>
          <w:rFonts w:ascii="Arial" w:eastAsia="Times New Roman" w:hAnsi="Arial" w:cs="Arial"/>
          <w:b/>
          <w:bCs/>
        </w:rPr>
      </w:pPr>
    </w:p>
    <w:p w14:paraId="1F5B2EDA" w14:textId="77777777" w:rsidR="00E562A7" w:rsidRDefault="00E562A7" w:rsidP="00354148">
      <w:pPr>
        <w:spacing w:before="100" w:beforeAutospacing="1" w:after="100" w:afterAutospacing="1" w:line="360" w:lineRule="auto"/>
        <w:jc w:val="both"/>
        <w:outlineLvl w:val="1"/>
        <w:rPr>
          <w:rFonts w:ascii="Arial" w:eastAsia="Times New Roman" w:hAnsi="Arial" w:cs="Arial"/>
          <w:b/>
          <w:bCs/>
        </w:rPr>
      </w:pPr>
    </w:p>
    <w:p w14:paraId="08213438" w14:textId="77777777" w:rsidR="00E562A7" w:rsidRDefault="00E562A7" w:rsidP="00354148">
      <w:pPr>
        <w:spacing w:before="100" w:beforeAutospacing="1" w:after="100" w:afterAutospacing="1" w:line="360" w:lineRule="auto"/>
        <w:jc w:val="both"/>
        <w:outlineLvl w:val="1"/>
        <w:rPr>
          <w:rFonts w:ascii="Arial" w:eastAsia="Times New Roman" w:hAnsi="Arial" w:cs="Arial"/>
          <w:b/>
          <w:bCs/>
        </w:rPr>
      </w:pPr>
    </w:p>
    <w:p w14:paraId="7CDD05B5" w14:textId="77777777" w:rsidR="00E562A7" w:rsidRDefault="00E562A7" w:rsidP="00354148">
      <w:pPr>
        <w:spacing w:before="100" w:beforeAutospacing="1" w:after="100" w:afterAutospacing="1" w:line="360" w:lineRule="auto"/>
        <w:jc w:val="both"/>
        <w:outlineLvl w:val="1"/>
        <w:rPr>
          <w:rFonts w:ascii="Arial" w:eastAsia="Times New Roman" w:hAnsi="Arial" w:cs="Arial"/>
          <w:b/>
          <w:bCs/>
        </w:rPr>
      </w:pPr>
    </w:p>
    <w:p w14:paraId="4630E7E4" w14:textId="77777777" w:rsidR="00E562A7" w:rsidRDefault="00E562A7" w:rsidP="00354148">
      <w:pPr>
        <w:spacing w:before="100" w:beforeAutospacing="1" w:after="100" w:afterAutospacing="1" w:line="360" w:lineRule="auto"/>
        <w:jc w:val="both"/>
        <w:outlineLvl w:val="1"/>
        <w:rPr>
          <w:rFonts w:ascii="Arial" w:eastAsia="Times New Roman" w:hAnsi="Arial" w:cs="Arial"/>
          <w:b/>
          <w:bCs/>
        </w:rPr>
      </w:pPr>
    </w:p>
    <w:p w14:paraId="5D3CE879" w14:textId="77777777" w:rsidR="00E562A7" w:rsidRDefault="00E562A7" w:rsidP="00354148">
      <w:pPr>
        <w:spacing w:before="100" w:beforeAutospacing="1" w:after="100" w:afterAutospacing="1" w:line="360" w:lineRule="auto"/>
        <w:jc w:val="both"/>
        <w:outlineLvl w:val="1"/>
        <w:rPr>
          <w:rFonts w:ascii="Arial" w:eastAsia="Times New Roman" w:hAnsi="Arial" w:cs="Arial"/>
          <w:b/>
          <w:bCs/>
        </w:rPr>
      </w:pPr>
    </w:p>
    <w:p w14:paraId="04AF5136" w14:textId="77777777" w:rsidR="00354148" w:rsidRPr="00354148" w:rsidRDefault="00354148" w:rsidP="00354148">
      <w:pPr>
        <w:spacing w:before="100" w:beforeAutospacing="1" w:after="100" w:afterAutospacing="1" w:line="360" w:lineRule="auto"/>
        <w:jc w:val="both"/>
        <w:outlineLvl w:val="1"/>
        <w:rPr>
          <w:rFonts w:ascii="Arial" w:eastAsia="Times New Roman" w:hAnsi="Arial" w:cs="Arial"/>
          <w:b/>
          <w:bCs/>
        </w:rPr>
      </w:pPr>
      <w:r w:rsidRPr="00354148">
        <w:rPr>
          <w:rFonts w:ascii="Arial" w:eastAsia="Times New Roman" w:hAnsi="Arial" w:cs="Arial"/>
          <w:b/>
          <w:bCs/>
        </w:rPr>
        <w:lastRenderedPageBreak/>
        <w:t xml:space="preserve">Introduction </w:t>
      </w:r>
    </w:p>
    <w:p w14:paraId="54CB43A2" w14:textId="77777777" w:rsidR="00354148" w:rsidRPr="00354148" w:rsidRDefault="00354148" w:rsidP="00354148">
      <w:pPr>
        <w:spacing w:before="100" w:beforeAutospacing="1" w:after="100" w:afterAutospacing="1" w:line="360" w:lineRule="auto"/>
        <w:jc w:val="both"/>
        <w:rPr>
          <w:rFonts w:ascii="Arial" w:eastAsia="Times New Roman" w:hAnsi="Arial" w:cs="Arial"/>
        </w:rPr>
      </w:pPr>
      <w:r w:rsidRPr="00354148">
        <w:rPr>
          <w:rFonts w:ascii="Arial" w:eastAsia="Times New Roman" w:hAnsi="Arial" w:cs="Arial"/>
        </w:rPr>
        <w:t xml:space="preserve">Dementia is a progressive neurodegenerative condition </w:t>
      </w:r>
      <w:proofErr w:type="spellStart"/>
      <w:r w:rsidRPr="00354148">
        <w:rPr>
          <w:rFonts w:ascii="Arial" w:eastAsia="Times New Roman" w:hAnsi="Arial" w:cs="Arial"/>
        </w:rPr>
        <w:t>characterised</w:t>
      </w:r>
      <w:proofErr w:type="spellEnd"/>
      <w:r w:rsidRPr="00354148">
        <w:rPr>
          <w:rFonts w:ascii="Arial" w:eastAsia="Times New Roman" w:hAnsi="Arial" w:cs="Arial"/>
        </w:rPr>
        <w:t xml:space="preserve"> by cognitive decline, affecting memory, language, reasoning and daily functioning (Livingston et al., 2020). It encompasses several subtypes, with Alzheimer’s disease and vascular dementia being the most prevalent (Nichols et al., 2022). Early symptoms typically include short-term memory loss, disorientation and difficulty with communication, while advanced stages involve significant functional impairment, </w:t>
      </w:r>
      <w:proofErr w:type="spellStart"/>
      <w:r w:rsidRPr="00354148">
        <w:rPr>
          <w:rFonts w:ascii="Arial" w:eastAsia="Times New Roman" w:hAnsi="Arial" w:cs="Arial"/>
        </w:rPr>
        <w:t>behavioural</w:t>
      </w:r>
      <w:proofErr w:type="spellEnd"/>
      <w:r w:rsidRPr="00354148">
        <w:rPr>
          <w:rFonts w:ascii="Arial" w:eastAsia="Times New Roman" w:hAnsi="Arial" w:cs="Arial"/>
        </w:rPr>
        <w:t xml:space="preserve"> changes and loss of independence (Wu et al., 2021). Globally, dementia affects approximately 57 million people, with nearly 10 million new cases annually, reflecting its growing public health burden (Nichols et al., 2022). In the United Kingdom, an estimated 496,000 people are living with dementia, making it a leading cause of death and one of the primary drivers of health and social care demand (Office for Health Improvement and Disparities, 2024; Alzheimer’s Society, 2024). The condition places substantial strain on families, caregivers and community services, highlighting the critical need for effective monitoring, prevention and supportive care strategies (Livingston et al., 2020).</w:t>
      </w:r>
    </w:p>
    <w:p w14:paraId="14EE6E7A" w14:textId="77777777" w:rsidR="00354148" w:rsidRPr="00354148" w:rsidRDefault="00354148" w:rsidP="00354148">
      <w:pPr>
        <w:spacing w:before="100" w:beforeAutospacing="1" w:after="100" w:afterAutospacing="1" w:line="360" w:lineRule="auto"/>
        <w:jc w:val="both"/>
        <w:outlineLvl w:val="1"/>
        <w:rPr>
          <w:rFonts w:ascii="Arial" w:eastAsia="Times New Roman" w:hAnsi="Arial" w:cs="Arial"/>
          <w:b/>
          <w:bCs/>
        </w:rPr>
      </w:pPr>
      <w:r w:rsidRPr="00354148">
        <w:rPr>
          <w:rFonts w:ascii="Arial" w:eastAsia="Times New Roman" w:hAnsi="Arial" w:cs="Arial"/>
          <w:b/>
          <w:bCs/>
          <w:noProof/>
        </w:rPr>
        <w:drawing>
          <wp:inline distT="0" distB="0" distL="0" distR="0" wp14:anchorId="4D7F6706" wp14:editId="2BA03476">
            <wp:extent cx="5942330" cy="3930650"/>
            <wp:effectExtent l="0" t="0" r="1270" b="0"/>
            <wp:docPr id="3" name="Picture 3" descr="Understanding my diagnosis - Penn Memory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derstanding my diagnosis - Penn Memory Cent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931490"/>
                    </a:xfrm>
                    <a:prstGeom prst="rect">
                      <a:avLst/>
                    </a:prstGeom>
                    <a:noFill/>
                    <a:ln>
                      <a:noFill/>
                    </a:ln>
                  </pic:spPr>
                </pic:pic>
              </a:graphicData>
            </a:graphic>
          </wp:inline>
        </w:drawing>
      </w:r>
    </w:p>
    <w:p w14:paraId="1A1102E2" w14:textId="77777777" w:rsidR="00354148" w:rsidRPr="00354148" w:rsidRDefault="00354148" w:rsidP="00354148">
      <w:pPr>
        <w:spacing w:before="100" w:beforeAutospacing="1" w:after="100" w:afterAutospacing="1" w:line="360" w:lineRule="auto"/>
        <w:jc w:val="both"/>
        <w:outlineLvl w:val="1"/>
        <w:rPr>
          <w:rFonts w:ascii="Arial" w:eastAsia="Times New Roman" w:hAnsi="Arial" w:cs="Arial"/>
          <w:b/>
          <w:bCs/>
        </w:rPr>
      </w:pPr>
      <w:r w:rsidRPr="00354148">
        <w:rPr>
          <w:rFonts w:ascii="Arial" w:eastAsia="Times New Roman" w:hAnsi="Arial" w:cs="Arial"/>
          <w:b/>
          <w:bCs/>
        </w:rPr>
        <w:t xml:space="preserve">                              </w:t>
      </w:r>
      <w:r>
        <w:rPr>
          <w:rFonts w:ascii="Arial" w:eastAsia="Times New Roman" w:hAnsi="Arial" w:cs="Arial"/>
          <w:b/>
          <w:bCs/>
        </w:rPr>
        <w:t xml:space="preserve">               </w:t>
      </w:r>
      <w:r w:rsidRPr="00354148">
        <w:rPr>
          <w:rFonts w:ascii="Arial" w:eastAsia="Times New Roman" w:hAnsi="Arial" w:cs="Arial"/>
          <w:b/>
          <w:bCs/>
        </w:rPr>
        <w:t xml:space="preserve">(Memory </w:t>
      </w:r>
      <w:proofErr w:type="spellStart"/>
      <w:r w:rsidRPr="00354148">
        <w:rPr>
          <w:rFonts w:ascii="Arial" w:eastAsia="Times New Roman" w:hAnsi="Arial" w:cs="Arial"/>
          <w:b/>
          <w:bCs/>
        </w:rPr>
        <w:t>centre</w:t>
      </w:r>
      <w:proofErr w:type="spellEnd"/>
      <w:r w:rsidRPr="00354148">
        <w:rPr>
          <w:rFonts w:ascii="Arial" w:eastAsia="Times New Roman" w:hAnsi="Arial" w:cs="Arial"/>
          <w:b/>
          <w:bCs/>
        </w:rPr>
        <w:t>, 2019)</w:t>
      </w:r>
    </w:p>
    <w:p w14:paraId="19A8534C" w14:textId="77777777" w:rsidR="00354148" w:rsidRPr="00354148" w:rsidRDefault="00354148" w:rsidP="00354148">
      <w:pPr>
        <w:spacing w:before="100" w:beforeAutospacing="1" w:after="100" w:afterAutospacing="1" w:line="360" w:lineRule="auto"/>
        <w:jc w:val="both"/>
        <w:outlineLvl w:val="1"/>
        <w:rPr>
          <w:rFonts w:ascii="Arial" w:eastAsia="Times New Roman" w:hAnsi="Arial" w:cs="Arial"/>
          <w:b/>
          <w:bCs/>
        </w:rPr>
      </w:pPr>
      <w:r w:rsidRPr="00354148">
        <w:rPr>
          <w:rFonts w:ascii="Arial" w:eastAsia="Times New Roman" w:hAnsi="Arial" w:cs="Arial"/>
          <w:b/>
          <w:bCs/>
        </w:rPr>
        <w:lastRenderedPageBreak/>
        <w:t xml:space="preserve">2.1 Approaches Used to Measure and Monitor Dementia </w:t>
      </w:r>
    </w:p>
    <w:p w14:paraId="6990511D" w14:textId="77777777" w:rsidR="00354148" w:rsidRPr="00354148" w:rsidRDefault="00354148" w:rsidP="00354148">
      <w:pPr>
        <w:spacing w:before="100" w:beforeAutospacing="1" w:after="100" w:afterAutospacing="1" w:line="360" w:lineRule="auto"/>
        <w:jc w:val="both"/>
        <w:rPr>
          <w:rFonts w:ascii="Arial" w:eastAsia="Times New Roman" w:hAnsi="Arial" w:cs="Arial"/>
        </w:rPr>
      </w:pPr>
      <w:r w:rsidRPr="00354148">
        <w:rPr>
          <w:rFonts w:ascii="Arial" w:eastAsia="Times New Roman" w:hAnsi="Arial" w:cs="Arial"/>
        </w:rPr>
        <w:t xml:space="preserve">Monitoring dementia effectively is crucial for early detection, service planning, and evaluating public health interventions. At the population level, epidemiological surveillance provides key insights into prevalence, incidence, and mortality trends. In the United Kingdom, the Office for Health Improvement and Disparities (2024) </w:t>
      </w:r>
      <w:proofErr w:type="gramStart"/>
      <w:r w:rsidRPr="00354148">
        <w:rPr>
          <w:rFonts w:ascii="Arial" w:eastAsia="Times New Roman" w:hAnsi="Arial" w:cs="Arial"/>
        </w:rPr>
        <w:t>maintains</w:t>
      </w:r>
      <w:proofErr w:type="gramEnd"/>
      <w:r w:rsidRPr="00354148">
        <w:rPr>
          <w:rFonts w:ascii="Arial" w:eastAsia="Times New Roman" w:hAnsi="Arial" w:cs="Arial"/>
        </w:rPr>
        <w:t xml:space="preserve"> national dementia profiles that report diagnosis rates, regional variation, and projected population-level trends. Similarly, NHS England (2024) collects primary care data through memory clinics and general practice records, which allows for ongoing assessment of service coverage and early detection rates. Despite these systems, evidence suggests underdiagnosis remains a concern, particularly among minority ethnic groups and socioeconomically deprived populations (Mukadam et al., 2025; Cooper et al., 2022).</w:t>
      </w:r>
    </w:p>
    <w:p w14:paraId="6084C2D0" w14:textId="77777777" w:rsidR="00354148" w:rsidRPr="00354148" w:rsidRDefault="00354148" w:rsidP="00354148">
      <w:pPr>
        <w:spacing w:before="100" w:beforeAutospacing="1" w:after="100" w:afterAutospacing="1" w:line="360" w:lineRule="auto"/>
        <w:jc w:val="both"/>
        <w:rPr>
          <w:rFonts w:ascii="Arial" w:eastAsia="Times New Roman" w:hAnsi="Arial" w:cs="Arial"/>
        </w:rPr>
      </w:pPr>
      <w:r w:rsidRPr="00354148">
        <w:rPr>
          <w:rFonts w:ascii="Arial" w:eastAsia="Times New Roman" w:hAnsi="Arial" w:cs="Arial"/>
        </w:rPr>
        <w:t>Clinical monitoring relies on standardized cognitive assessments. Tools such as the Mini-Mental State Examination (MMSE) and the Montreal Cognitive Assessment (MoCA) are widely used in UK primary care and memory clinics to screen for cognitive deficits and guide referral decisions (Wu et al., 2021). These tests are complemented by functional assessments, patient history, and caregiver reports to enhance diagnostic accuracy (Livingston et al., 2020). Neuroimaging techniques, including magnetic resonance imaging (MRI) and computed tomography (CT), are employed to identify structural changes indicative of dementia, particularly Alzheimer’s and vascular subtypes (Nichols et al., 2022).</w:t>
      </w:r>
    </w:p>
    <w:p w14:paraId="60329A60" w14:textId="77777777" w:rsidR="00354148" w:rsidRPr="00354148" w:rsidRDefault="00354148" w:rsidP="00354148">
      <w:pPr>
        <w:spacing w:before="100" w:beforeAutospacing="1" w:after="100" w:afterAutospacing="1" w:line="360" w:lineRule="auto"/>
        <w:jc w:val="both"/>
        <w:rPr>
          <w:rFonts w:ascii="Arial" w:eastAsia="Times New Roman" w:hAnsi="Arial" w:cs="Arial"/>
        </w:rPr>
      </w:pPr>
      <w:r w:rsidRPr="00354148">
        <w:rPr>
          <w:rFonts w:ascii="Arial" w:eastAsia="Times New Roman" w:hAnsi="Arial" w:cs="Arial"/>
        </w:rPr>
        <w:t>Emerging approaches include blood-based biomarkers and digital cognitive monitoring, which show promise in facilitating earlier and more precise diagnosis (Lu et al., 2025). However, equitable access to these advanced tools remains limited in some UK regions. Strengthening integrated health information systems, expanding memory clinic capacity, and targeting underdiagnosed populations are critical priorities to improve monitoring and timely intervention (Alzheimer’s Society, 2024; NHS England, 2024).</w:t>
      </w:r>
    </w:p>
    <w:p w14:paraId="10593589" w14:textId="77777777" w:rsidR="00354148" w:rsidRPr="00354148" w:rsidRDefault="00354148" w:rsidP="00354148">
      <w:pPr>
        <w:tabs>
          <w:tab w:val="left" w:pos="7480"/>
        </w:tabs>
        <w:spacing w:before="100" w:beforeAutospacing="1" w:after="100" w:afterAutospacing="1" w:line="360" w:lineRule="auto"/>
        <w:jc w:val="both"/>
        <w:outlineLvl w:val="1"/>
        <w:rPr>
          <w:rFonts w:ascii="Arial" w:eastAsia="Times New Roman" w:hAnsi="Arial" w:cs="Arial"/>
          <w:b/>
          <w:bCs/>
        </w:rPr>
      </w:pPr>
      <w:r w:rsidRPr="00354148">
        <w:rPr>
          <w:rFonts w:ascii="Arial" w:eastAsia="Times New Roman" w:hAnsi="Arial" w:cs="Arial"/>
          <w:b/>
          <w:bCs/>
        </w:rPr>
        <w:t xml:space="preserve">2.2 How Dementia is Controlled </w:t>
      </w:r>
    </w:p>
    <w:p w14:paraId="49678862" w14:textId="77777777" w:rsidR="00354148" w:rsidRPr="00354148" w:rsidRDefault="00354148" w:rsidP="00354148">
      <w:pPr>
        <w:spacing w:before="100" w:beforeAutospacing="1" w:after="100" w:afterAutospacing="1" w:line="360" w:lineRule="auto"/>
        <w:jc w:val="both"/>
        <w:rPr>
          <w:rFonts w:ascii="Arial" w:eastAsia="Times New Roman" w:hAnsi="Arial" w:cs="Arial"/>
        </w:rPr>
      </w:pPr>
      <w:r w:rsidRPr="00354148">
        <w:rPr>
          <w:rFonts w:ascii="Arial" w:eastAsia="Times New Roman" w:hAnsi="Arial" w:cs="Arial"/>
        </w:rPr>
        <w:t xml:space="preserve">Control of dementia requires a multifaceted approach, encompassing primary, secondary, and tertiary strategies to reduce risk, detect the condition early, and manage symptoms effectively. Primary prevention focuses on modifiable lifestyle and vascular risk factors, including physical activity, healthy diet, blood pressure management, and diabetes control, which are associated </w:t>
      </w:r>
      <w:r w:rsidRPr="00354148">
        <w:rPr>
          <w:rFonts w:ascii="Arial" w:eastAsia="Times New Roman" w:hAnsi="Arial" w:cs="Arial"/>
        </w:rPr>
        <w:lastRenderedPageBreak/>
        <w:t>with reduced dementia incidence (Livingston et al., 2020; Mukadam et al., 2025). Public health campaigns in the UK target these risk factors, promoting cognitive health across ageing populations (NHS England, 2024).</w:t>
      </w:r>
    </w:p>
    <w:p w14:paraId="23E7F99C" w14:textId="77777777" w:rsidR="00354148" w:rsidRPr="00354148" w:rsidRDefault="00354148" w:rsidP="00354148">
      <w:pPr>
        <w:spacing w:before="100" w:beforeAutospacing="1" w:after="100" w:afterAutospacing="1" w:line="360" w:lineRule="auto"/>
        <w:jc w:val="both"/>
        <w:rPr>
          <w:rFonts w:ascii="Arial" w:eastAsia="Times New Roman" w:hAnsi="Arial" w:cs="Arial"/>
        </w:rPr>
      </w:pPr>
      <w:r w:rsidRPr="00354148">
        <w:rPr>
          <w:rFonts w:ascii="Arial" w:eastAsia="Times New Roman" w:hAnsi="Arial" w:cs="Arial"/>
        </w:rPr>
        <w:t>Secondary prevention emphasizes early diagnosis to enable timely intervention and coordinated care. General practitioners are often the first point of contact, with structured referral pathways to memory assessment services ensuring comprehensive evaluation (Cooper et al., 2022). The National Institute for Health and Care Excellence (NICE, 2021) guidelines recommend a combination of cognitive assessments, clinical history, and neuroimaging to achieve accurate diagnosis. Early recognition facilitates care planning, psychological support, and access to community resources, mitigating adverse outcomes for patients and carers (Alzheimer’s Society, 2024).</w:t>
      </w:r>
    </w:p>
    <w:p w14:paraId="155F9FA1" w14:textId="77777777" w:rsidR="00354148" w:rsidRPr="00354148" w:rsidRDefault="00354148" w:rsidP="00354148">
      <w:pPr>
        <w:spacing w:before="100" w:beforeAutospacing="1" w:after="100" w:afterAutospacing="1" w:line="360" w:lineRule="auto"/>
        <w:jc w:val="both"/>
        <w:rPr>
          <w:rFonts w:ascii="Arial" w:eastAsia="Times New Roman" w:hAnsi="Arial" w:cs="Arial"/>
        </w:rPr>
      </w:pPr>
      <w:r w:rsidRPr="00354148">
        <w:rPr>
          <w:rFonts w:ascii="Arial" w:eastAsia="Times New Roman" w:hAnsi="Arial" w:cs="Arial"/>
        </w:rPr>
        <w:t>Tertiary management focuses on symptom control and maintaining quality of life. Pharmacological treatments, including cholinesterase inhibitors and memantine, provide modest cognitive benefits in specific dementia subtypes, but are not curative (Nichols et al., 2022). Non-pharmacological interventions, such as cognitive stimulation therapy, structured activities, and person-</w:t>
      </w:r>
      <w:proofErr w:type="spellStart"/>
      <w:r w:rsidRPr="00354148">
        <w:rPr>
          <w:rFonts w:ascii="Arial" w:eastAsia="Times New Roman" w:hAnsi="Arial" w:cs="Arial"/>
        </w:rPr>
        <w:t>centred</w:t>
      </w:r>
      <w:proofErr w:type="spellEnd"/>
      <w:r w:rsidRPr="00354148">
        <w:rPr>
          <w:rFonts w:ascii="Arial" w:eastAsia="Times New Roman" w:hAnsi="Arial" w:cs="Arial"/>
        </w:rPr>
        <w:t xml:space="preserve"> care, are central to UK practice (Livingston et al., 2020). Multidisciplinary approaches, integrating health and social care services, are promoted through the NHS Long Term Plan to support individuals in community settings and reduce hospital admissions (NHS England, 2024). Despite these efforts, workforce limitations and increasing prevalence continue to challenge effective dementia control, highlighting the need for ongoing investment in prevention, diagnosis, and community-based care.</w:t>
      </w:r>
    </w:p>
    <w:p w14:paraId="107BA1AF" w14:textId="77777777" w:rsidR="00354148" w:rsidRPr="00354148" w:rsidRDefault="00354148" w:rsidP="00354148">
      <w:pPr>
        <w:spacing w:before="100" w:beforeAutospacing="1" w:after="100" w:afterAutospacing="1" w:line="360" w:lineRule="auto"/>
        <w:jc w:val="both"/>
        <w:outlineLvl w:val="2"/>
        <w:rPr>
          <w:rFonts w:ascii="Arial" w:eastAsia="Times New Roman" w:hAnsi="Arial" w:cs="Arial"/>
          <w:b/>
          <w:bCs/>
        </w:rPr>
      </w:pPr>
      <w:r w:rsidRPr="00354148">
        <w:rPr>
          <w:rFonts w:ascii="Arial" w:eastAsia="Times New Roman" w:hAnsi="Arial" w:cs="Arial"/>
          <w:b/>
          <w:bCs/>
        </w:rPr>
        <w:t>Table 1: Approaches to Measure, Monitor, and Manage Dementia in the UK</w:t>
      </w:r>
    </w:p>
    <w:tbl>
      <w:tblPr>
        <w:tblStyle w:val="PlainTable3"/>
        <w:tblW w:w="0" w:type="auto"/>
        <w:tblLook w:val="04A0" w:firstRow="1" w:lastRow="0" w:firstColumn="1" w:lastColumn="0" w:noHBand="0" w:noVBand="1"/>
      </w:tblPr>
      <w:tblGrid>
        <w:gridCol w:w="3451"/>
        <w:gridCol w:w="3186"/>
        <w:gridCol w:w="2723"/>
      </w:tblGrid>
      <w:tr w:rsidR="00354148" w:rsidRPr="00354148" w14:paraId="05303D1F" w14:textId="77777777" w:rsidTr="0035414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71F660E8" w14:textId="77777777" w:rsidR="00354148" w:rsidRPr="00354148" w:rsidRDefault="00354148" w:rsidP="00354148">
            <w:pPr>
              <w:rPr>
                <w:rFonts w:ascii="Arial" w:eastAsia="Times New Roman" w:hAnsi="Arial" w:cs="Arial"/>
              </w:rPr>
            </w:pPr>
            <w:r w:rsidRPr="00354148">
              <w:rPr>
                <w:rFonts w:ascii="Arial" w:eastAsia="Times New Roman" w:hAnsi="Arial" w:cs="Arial"/>
              </w:rPr>
              <w:t xml:space="preserve">Approach </w:t>
            </w:r>
          </w:p>
        </w:tc>
        <w:tc>
          <w:tcPr>
            <w:tcW w:w="0" w:type="auto"/>
            <w:hideMark/>
          </w:tcPr>
          <w:p w14:paraId="13F0962D" w14:textId="77777777" w:rsidR="00354148" w:rsidRPr="00354148" w:rsidRDefault="00354148" w:rsidP="00354148">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354148">
              <w:rPr>
                <w:rFonts w:ascii="Arial" w:eastAsia="Times New Roman" w:hAnsi="Arial" w:cs="Arial"/>
              </w:rPr>
              <w:t xml:space="preserve">Purpose </w:t>
            </w:r>
          </w:p>
        </w:tc>
        <w:tc>
          <w:tcPr>
            <w:tcW w:w="0" w:type="auto"/>
            <w:hideMark/>
          </w:tcPr>
          <w:p w14:paraId="0FBDF36C" w14:textId="77777777" w:rsidR="00354148" w:rsidRPr="00354148" w:rsidRDefault="00354148" w:rsidP="00354148">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354148">
              <w:rPr>
                <w:rFonts w:ascii="Arial" w:eastAsia="Times New Roman" w:hAnsi="Arial" w:cs="Arial"/>
              </w:rPr>
              <w:t>References</w:t>
            </w:r>
          </w:p>
        </w:tc>
      </w:tr>
      <w:tr w:rsidR="00354148" w:rsidRPr="00354148" w14:paraId="13E87ADB" w14:textId="77777777" w:rsidTr="003541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A57B4C" w14:textId="77777777" w:rsidR="00354148" w:rsidRPr="00354148" w:rsidRDefault="00354148" w:rsidP="00354148">
            <w:pPr>
              <w:rPr>
                <w:rFonts w:ascii="Arial" w:eastAsia="Times New Roman" w:hAnsi="Arial" w:cs="Arial"/>
              </w:rPr>
            </w:pPr>
            <w:r w:rsidRPr="00354148">
              <w:rPr>
                <w:rFonts w:ascii="Arial" w:eastAsia="Times New Roman" w:hAnsi="Arial" w:cs="Arial"/>
              </w:rPr>
              <w:t>Cognitive Tests (MMSE, MoCA)</w:t>
            </w:r>
          </w:p>
        </w:tc>
        <w:tc>
          <w:tcPr>
            <w:tcW w:w="0" w:type="auto"/>
            <w:hideMark/>
          </w:tcPr>
          <w:p w14:paraId="3577CC74" w14:textId="77777777" w:rsidR="00354148" w:rsidRPr="00354148" w:rsidRDefault="00354148" w:rsidP="0035414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354148">
              <w:rPr>
                <w:rFonts w:ascii="Arial" w:eastAsia="Times New Roman" w:hAnsi="Arial" w:cs="Arial"/>
              </w:rPr>
              <w:t>Early detection and assessment of cognitive function</w:t>
            </w:r>
          </w:p>
        </w:tc>
        <w:tc>
          <w:tcPr>
            <w:tcW w:w="0" w:type="auto"/>
            <w:hideMark/>
          </w:tcPr>
          <w:p w14:paraId="4FEB60AC" w14:textId="77777777" w:rsidR="00354148" w:rsidRPr="00354148" w:rsidRDefault="00354148" w:rsidP="0035414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354148">
              <w:rPr>
                <w:rFonts w:ascii="Arial" w:eastAsia="Times New Roman" w:hAnsi="Arial" w:cs="Arial"/>
              </w:rPr>
              <w:t>Wu et al., 2021; Livingston et al., 2020</w:t>
            </w:r>
          </w:p>
        </w:tc>
      </w:tr>
      <w:tr w:rsidR="00354148" w:rsidRPr="00354148" w14:paraId="04C90D87" w14:textId="77777777" w:rsidTr="00354148">
        <w:tc>
          <w:tcPr>
            <w:cnfStyle w:val="001000000000" w:firstRow="0" w:lastRow="0" w:firstColumn="1" w:lastColumn="0" w:oddVBand="0" w:evenVBand="0" w:oddHBand="0" w:evenHBand="0" w:firstRowFirstColumn="0" w:firstRowLastColumn="0" w:lastRowFirstColumn="0" w:lastRowLastColumn="0"/>
            <w:tcW w:w="0" w:type="auto"/>
            <w:hideMark/>
          </w:tcPr>
          <w:p w14:paraId="58BDEB44" w14:textId="77777777" w:rsidR="00354148" w:rsidRPr="00354148" w:rsidRDefault="00354148" w:rsidP="00354148">
            <w:pPr>
              <w:rPr>
                <w:rFonts w:ascii="Arial" w:eastAsia="Times New Roman" w:hAnsi="Arial" w:cs="Arial"/>
              </w:rPr>
            </w:pPr>
            <w:r w:rsidRPr="00354148">
              <w:rPr>
                <w:rFonts w:ascii="Arial" w:eastAsia="Times New Roman" w:hAnsi="Arial" w:cs="Arial"/>
              </w:rPr>
              <w:t>Neuroimaging (MRI, CT)</w:t>
            </w:r>
          </w:p>
        </w:tc>
        <w:tc>
          <w:tcPr>
            <w:tcW w:w="0" w:type="auto"/>
            <w:hideMark/>
          </w:tcPr>
          <w:p w14:paraId="08F76307" w14:textId="77777777" w:rsidR="00354148" w:rsidRPr="00354148" w:rsidRDefault="00354148" w:rsidP="0035414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354148">
              <w:rPr>
                <w:rFonts w:ascii="Arial" w:eastAsia="Times New Roman" w:hAnsi="Arial" w:cs="Arial"/>
              </w:rPr>
              <w:t>Confirms diagnosis and differentiates dementia types</w:t>
            </w:r>
          </w:p>
        </w:tc>
        <w:tc>
          <w:tcPr>
            <w:tcW w:w="0" w:type="auto"/>
            <w:hideMark/>
          </w:tcPr>
          <w:p w14:paraId="159EB66C" w14:textId="77777777" w:rsidR="00354148" w:rsidRPr="00354148" w:rsidRDefault="00354148" w:rsidP="0035414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354148">
              <w:rPr>
                <w:rFonts w:ascii="Arial" w:eastAsia="Times New Roman" w:hAnsi="Arial" w:cs="Arial"/>
              </w:rPr>
              <w:t>Nichols et al., 2022; Lu et al., 2025</w:t>
            </w:r>
          </w:p>
        </w:tc>
      </w:tr>
      <w:tr w:rsidR="00354148" w:rsidRPr="00354148" w14:paraId="56E6F962" w14:textId="77777777" w:rsidTr="003541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18A1AD" w14:textId="77777777" w:rsidR="00354148" w:rsidRPr="00354148" w:rsidRDefault="00354148" w:rsidP="00354148">
            <w:pPr>
              <w:rPr>
                <w:rFonts w:ascii="Arial" w:eastAsia="Times New Roman" w:hAnsi="Arial" w:cs="Arial"/>
              </w:rPr>
            </w:pPr>
            <w:r w:rsidRPr="00354148">
              <w:rPr>
                <w:rFonts w:ascii="Arial" w:eastAsia="Times New Roman" w:hAnsi="Arial" w:cs="Arial"/>
              </w:rPr>
              <w:t>Lifestyle &amp; Prevention</w:t>
            </w:r>
          </w:p>
        </w:tc>
        <w:tc>
          <w:tcPr>
            <w:tcW w:w="0" w:type="auto"/>
            <w:hideMark/>
          </w:tcPr>
          <w:p w14:paraId="3BFF3514" w14:textId="77777777" w:rsidR="00354148" w:rsidRPr="00354148" w:rsidRDefault="00354148" w:rsidP="0035414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354148">
              <w:rPr>
                <w:rFonts w:ascii="Arial" w:eastAsia="Times New Roman" w:hAnsi="Arial" w:cs="Arial"/>
              </w:rPr>
              <w:t>Reduces risk and slows disease progression</w:t>
            </w:r>
          </w:p>
        </w:tc>
        <w:tc>
          <w:tcPr>
            <w:tcW w:w="0" w:type="auto"/>
            <w:hideMark/>
          </w:tcPr>
          <w:p w14:paraId="48A401D4" w14:textId="77777777" w:rsidR="00354148" w:rsidRPr="00354148" w:rsidRDefault="00354148" w:rsidP="0035414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354148">
              <w:rPr>
                <w:rFonts w:ascii="Arial" w:eastAsia="Times New Roman" w:hAnsi="Arial" w:cs="Arial"/>
              </w:rPr>
              <w:t>Livingston et al., 2020; Mukadam et al., 2025</w:t>
            </w:r>
          </w:p>
        </w:tc>
      </w:tr>
      <w:tr w:rsidR="00354148" w:rsidRPr="00354148" w14:paraId="18614651" w14:textId="77777777" w:rsidTr="00354148">
        <w:tc>
          <w:tcPr>
            <w:cnfStyle w:val="001000000000" w:firstRow="0" w:lastRow="0" w:firstColumn="1" w:lastColumn="0" w:oddVBand="0" w:evenVBand="0" w:oddHBand="0" w:evenHBand="0" w:firstRowFirstColumn="0" w:firstRowLastColumn="0" w:lastRowFirstColumn="0" w:lastRowLastColumn="0"/>
            <w:tcW w:w="0" w:type="auto"/>
            <w:hideMark/>
          </w:tcPr>
          <w:p w14:paraId="75F9F67F" w14:textId="77777777" w:rsidR="00354148" w:rsidRPr="00354148" w:rsidRDefault="00354148" w:rsidP="00354148">
            <w:pPr>
              <w:rPr>
                <w:rFonts w:ascii="Arial" w:eastAsia="Times New Roman" w:hAnsi="Arial" w:cs="Arial"/>
              </w:rPr>
            </w:pPr>
            <w:r w:rsidRPr="00354148">
              <w:rPr>
                <w:rFonts w:ascii="Arial" w:eastAsia="Times New Roman" w:hAnsi="Arial" w:cs="Arial"/>
              </w:rPr>
              <w:t>Memory Clinics &amp; Multidisciplinary Care</w:t>
            </w:r>
          </w:p>
        </w:tc>
        <w:tc>
          <w:tcPr>
            <w:tcW w:w="0" w:type="auto"/>
            <w:hideMark/>
          </w:tcPr>
          <w:p w14:paraId="1172546F" w14:textId="77777777" w:rsidR="00354148" w:rsidRPr="00354148" w:rsidRDefault="00354148" w:rsidP="0035414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354148">
              <w:rPr>
                <w:rFonts w:ascii="Arial" w:eastAsia="Times New Roman" w:hAnsi="Arial" w:cs="Arial"/>
              </w:rPr>
              <w:t>Coordinated diagnosis and care, supports independence</w:t>
            </w:r>
          </w:p>
        </w:tc>
        <w:tc>
          <w:tcPr>
            <w:tcW w:w="0" w:type="auto"/>
            <w:hideMark/>
          </w:tcPr>
          <w:p w14:paraId="6A1DE82F" w14:textId="77777777" w:rsidR="00354148" w:rsidRPr="00354148" w:rsidRDefault="00354148" w:rsidP="0035414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354148">
              <w:rPr>
                <w:rFonts w:ascii="Arial" w:eastAsia="Times New Roman" w:hAnsi="Arial" w:cs="Arial"/>
              </w:rPr>
              <w:t>NHS England, 2024; NICE, 2021</w:t>
            </w:r>
          </w:p>
        </w:tc>
      </w:tr>
      <w:tr w:rsidR="00354148" w:rsidRPr="00354148" w14:paraId="69F951D3" w14:textId="77777777" w:rsidTr="003541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D352D6" w14:textId="77777777" w:rsidR="00354148" w:rsidRPr="00354148" w:rsidRDefault="00354148" w:rsidP="00354148">
            <w:pPr>
              <w:rPr>
                <w:rFonts w:ascii="Arial" w:eastAsia="Times New Roman" w:hAnsi="Arial" w:cs="Arial"/>
              </w:rPr>
            </w:pPr>
            <w:r w:rsidRPr="00354148">
              <w:rPr>
                <w:rFonts w:ascii="Arial" w:eastAsia="Times New Roman" w:hAnsi="Arial" w:cs="Arial"/>
              </w:rPr>
              <w:t>Community / Voluntary Support</w:t>
            </w:r>
          </w:p>
        </w:tc>
        <w:tc>
          <w:tcPr>
            <w:tcW w:w="0" w:type="auto"/>
            <w:hideMark/>
          </w:tcPr>
          <w:p w14:paraId="541DCB89" w14:textId="77777777" w:rsidR="00354148" w:rsidRPr="00354148" w:rsidRDefault="00354148" w:rsidP="0035414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354148">
              <w:rPr>
                <w:rFonts w:ascii="Arial" w:eastAsia="Times New Roman" w:hAnsi="Arial" w:cs="Arial"/>
              </w:rPr>
              <w:t>Reduces caregiver burden and enhances social engagement</w:t>
            </w:r>
          </w:p>
        </w:tc>
        <w:tc>
          <w:tcPr>
            <w:tcW w:w="0" w:type="auto"/>
            <w:hideMark/>
          </w:tcPr>
          <w:p w14:paraId="161620E9" w14:textId="77777777" w:rsidR="00354148" w:rsidRPr="00354148" w:rsidRDefault="00354148" w:rsidP="0035414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354148">
              <w:rPr>
                <w:rFonts w:ascii="Arial" w:eastAsia="Times New Roman" w:hAnsi="Arial" w:cs="Arial"/>
              </w:rPr>
              <w:t>Alzheimer’s Society, 2024</w:t>
            </w:r>
          </w:p>
        </w:tc>
      </w:tr>
    </w:tbl>
    <w:p w14:paraId="1CC4FAEC" w14:textId="77777777" w:rsidR="00354148" w:rsidRPr="00354148" w:rsidRDefault="00354148" w:rsidP="00354148">
      <w:pPr>
        <w:tabs>
          <w:tab w:val="left" w:pos="7260"/>
          <w:tab w:val="left" w:pos="7660"/>
        </w:tabs>
        <w:spacing w:before="100" w:beforeAutospacing="1" w:after="100" w:afterAutospacing="1" w:line="360" w:lineRule="auto"/>
        <w:jc w:val="both"/>
        <w:outlineLvl w:val="1"/>
        <w:rPr>
          <w:rFonts w:ascii="Arial" w:eastAsia="Times New Roman" w:hAnsi="Arial" w:cs="Arial"/>
          <w:b/>
          <w:bCs/>
        </w:rPr>
      </w:pPr>
      <w:r w:rsidRPr="00354148">
        <w:rPr>
          <w:rFonts w:ascii="Arial" w:eastAsia="Times New Roman" w:hAnsi="Arial" w:cs="Arial"/>
          <w:b/>
          <w:bCs/>
        </w:rPr>
        <w:lastRenderedPageBreak/>
        <w:tab/>
      </w:r>
      <w:r>
        <w:rPr>
          <w:rFonts w:ascii="Arial" w:eastAsia="Times New Roman" w:hAnsi="Arial" w:cs="Arial"/>
          <w:b/>
          <w:bCs/>
        </w:rPr>
        <w:tab/>
      </w:r>
    </w:p>
    <w:p w14:paraId="4BDAFF75" w14:textId="77777777" w:rsidR="00354148" w:rsidRPr="00354148" w:rsidRDefault="00354148" w:rsidP="00354148">
      <w:pPr>
        <w:spacing w:before="100" w:beforeAutospacing="1" w:after="100" w:afterAutospacing="1" w:line="360" w:lineRule="auto"/>
        <w:jc w:val="both"/>
        <w:outlineLvl w:val="1"/>
        <w:rPr>
          <w:rFonts w:ascii="Arial" w:eastAsia="Times New Roman" w:hAnsi="Arial" w:cs="Arial"/>
          <w:b/>
          <w:bCs/>
        </w:rPr>
      </w:pPr>
      <w:r w:rsidRPr="00354148">
        <w:rPr>
          <w:rFonts w:ascii="Arial" w:eastAsia="Times New Roman" w:hAnsi="Arial" w:cs="Arial"/>
          <w:b/>
          <w:bCs/>
        </w:rPr>
        <w:t xml:space="preserve">2.3 Consequences of Dementia on People in the Community </w:t>
      </w:r>
    </w:p>
    <w:p w14:paraId="2B870F89" w14:textId="77777777" w:rsidR="00354148" w:rsidRPr="00354148" w:rsidRDefault="00354148" w:rsidP="00354148">
      <w:pPr>
        <w:spacing w:before="100" w:beforeAutospacing="1" w:after="100" w:afterAutospacing="1" w:line="360" w:lineRule="auto"/>
        <w:jc w:val="both"/>
        <w:rPr>
          <w:rFonts w:ascii="Arial" w:eastAsia="Times New Roman" w:hAnsi="Arial" w:cs="Arial"/>
        </w:rPr>
      </w:pPr>
      <w:r w:rsidRPr="00354148">
        <w:rPr>
          <w:rFonts w:ascii="Arial" w:eastAsia="Times New Roman" w:hAnsi="Arial" w:cs="Arial"/>
        </w:rPr>
        <w:t xml:space="preserve">Dementia has wide-ranging consequences for individuals, families, and communities, impacting physical, cognitive, emotional, and social well-being. At the individual level, progressive cognitive decline affects memory, attention, reasoning, and executive functioning, leading to loss of independence in daily activities (Wu et al., 2021; Livingston et al., 2020). </w:t>
      </w:r>
      <w:proofErr w:type="spellStart"/>
      <w:r w:rsidRPr="00354148">
        <w:rPr>
          <w:rFonts w:ascii="Arial" w:eastAsia="Times New Roman" w:hAnsi="Arial" w:cs="Arial"/>
        </w:rPr>
        <w:t>Behavioural</w:t>
      </w:r>
      <w:proofErr w:type="spellEnd"/>
      <w:r w:rsidRPr="00354148">
        <w:rPr>
          <w:rFonts w:ascii="Arial" w:eastAsia="Times New Roman" w:hAnsi="Arial" w:cs="Arial"/>
        </w:rPr>
        <w:t xml:space="preserve"> and psychological symptoms, including depression, anxiety, agitation, and sleep disturbances, are common and contribute to reduced quality of life (Nichols et al., 2022). Advanced stages often result in increased vulnerability to physical comorbidities, falls, and </w:t>
      </w:r>
      <w:proofErr w:type="spellStart"/>
      <w:r w:rsidRPr="00354148">
        <w:rPr>
          <w:rFonts w:ascii="Arial" w:eastAsia="Times New Roman" w:hAnsi="Arial" w:cs="Arial"/>
        </w:rPr>
        <w:t>hospitalisation</w:t>
      </w:r>
      <w:proofErr w:type="spellEnd"/>
      <w:r w:rsidRPr="00354148">
        <w:rPr>
          <w:rFonts w:ascii="Arial" w:eastAsia="Times New Roman" w:hAnsi="Arial" w:cs="Arial"/>
        </w:rPr>
        <w:t xml:space="preserve"> (Mukadam et al., 2025).</w:t>
      </w:r>
    </w:p>
    <w:p w14:paraId="776BC10D" w14:textId="77777777" w:rsidR="00354148" w:rsidRPr="00354148" w:rsidRDefault="00354148" w:rsidP="00354148">
      <w:pPr>
        <w:spacing w:before="100" w:beforeAutospacing="1" w:after="100" w:afterAutospacing="1" w:line="360" w:lineRule="auto"/>
        <w:jc w:val="both"/>
        <w:rPr>
          <w:rFonts w:ascii="Arial" w:eastAsia="Times New Roman" w:hAnsi="Arial" w:cs="Arial"/>
        </w:rPr>
      </w:pPr>
      <w:r w:rsidRPr="00354148">
        <w:rPr>
          <w:rFonts w:ascii="Arial" w:eastAsia="Times New Roman" w:hAnsi="Arial" w:cs="Arial"/>
        </w:rPr>
        <w:t xml:space="preserve">Family carers experience substantial emotional, physical, and financial burden. Informal caregivers provide most of the community-based support, often facing chronic stress, sleep deprivation, and social isolation (Livingston et al., 2020; Cooper et al., 2022). Caregiver strain is a significant predictor of </w:t>
      </w:r>
      <w:proofErr w:type="spellStart"/>
      <w:r w:rsidRPr="00354148">
        <w:rPr>
          <w:rFonts w:ascii="Arial" w:eastAsia="Times New Roman" w:hAnsi="Arial" w:cs="Arial"/>
        </w:rPr>
        <w:t>institutionalisation</w:t>
      </w:r>
      <w:proofErr w:type="spellEnd"/>
      <w:r w:rsidRPr="00354148">
        <w:rPr>
          <w:rFonts w:ascii="Arial" w:eastAsia="Times New Roman" w:hAnsi="Arial" w:cs="Arial"/>
        </w:rPr>
        <w:t>, highlighting the broader societal implications of inadequate support (Alzheimer’s Society, 2024).</w:t>
      </w:r>
    </w:p>
    <w:p w14:paraId="7BD9F818" w14:textId="77777777" w:rsidR="00354148" w:rsidRPr="00354148" w:rsidRDefault="00354148" w:rsidP="00354148">
      <w:pPr>
        <w:spacing w:before="100" w:beforeAutospacing="1" w:after="100" w:afterAutospacing="1" w:line="360" w:lineRule="auto"/>
        <w:jc w:val="both"/>
        <w:rPr>
          <w:rFonts w:ascii="Arial" w:eastAsia="Times New Roman" w:hAnsi="Arial" w:cs="Arial"/>
        </w:rPr>
      </w:pPr>
      <w:r w:rsidRPr="00354148">
        <w:rPr>
          <w:rFonts w:ascii="Arial" w:eastAsia="Times New Roman" w:hAnsi="Arial" w:cs="Arial"/>
        </w:rPr>
        <w:t>At the community level, dementia generates economic and service pressures. Rising prevalence due to the ageing UK population increases demand on primary care, memory clinics, community health teams, and social care services (Office for Health Improvement and Disparities, 2024). Inequalities persist, with minority ethnic groups and individuals living in deprived areas often diagnosed later and receiving fewer services (Mukadam et al., 2025). These factors underline dementia as a major public health and social care challenge, requiring integrated interventions to mitigate its impact on individuals, carers, and the broader community.</w:t>
      </w:r>
    </w:p>
    <w:p w14:paraId="740FB1F8" w14:textId="77777777" w:rsidR="00354148" w:rsidRPr="00354148" w:rsidRDefault="00354148" w:rsidP="00354148">
      <w:pPr>
        <w:spacing w:before="100" w:beforeAutospacing="1" w:after="100" w:afterAutospacing="1" w:line="360" w:lineRule="auto"/>
        <w:jc w:val="both"/>
        <w:outlineLvl w:val="1"/>
        <w:rPr>
          <w:rFonts w:ascii="Arial" w:eastAsia="Times New Roman" w:hAnsi="Arial" w:cs="Arial"/>
          <w:b/>
          <w:bCs/>
        </w:rPr>
      </w:pPr>
      <w:r w:rsidRPr="00354148">
        <w:rPr>
          <w:rFonts w:ascii="Arial" w:eastAsia="Times New Roman" w:hAnsi="Arial" w:cs="Arial"/>
          <w:b/>
          <w:bCs/>
        </w:rPr>
        <w:t xml:space="preserve">2.4 Health and Social Care Support Services Required in the Community </w:t>
      </w:r>
    </w:p>
    <w:p w14:paraId="192B5DAC" w14:textId="77777777" w:rsidR="00354148" w:rsidRPr="00354148" w:rsidRDefault="00354148" w:rsidP="00354148">
      <w:pPr>
        <w:spacing w:before="100" w:beforeAutospacing="1" w:after="100" w:afterAutospacing="1" w:line="360" w:lineRule="auto"/>
        <w:jc w:val="both"/>
        <w:rPr>
          <w:rFonts w:ascii="Arial" w:eastAsia="Times New Roman" w:hAnsi="Arial" w:cs="Arial"/>
        </w:rPr>
      </w:pPr>
      <w:r w:rsidRPr="00354148">
        <w:rPr>
          <w:rFonts w:ascii="Arial" w:eastAsia="Times New Roman" w:hAnsi="Arial" w:cs="Arial"/>
        </w:rPr>
        <w:t>Providing effective health and social care support is essential to meet the complex needs of people living with dementia in the United Kingdom. Primary care services form the first point of contact, with general practitioners responsible for initial assessment, diagnosis, medication review, and referral to specialist services (Cooper et al., 2022; NHS England, 2024). Memory clinics deliver comprehensive evaluations, including cognitive testing, functional assessments, and neuroimaging, and provide post-diagnostic support to patients and families (Livingston et al., 2020).</w:t>
      </w:r>
    </w:p>
    <w:p w14:paraId="2FB55C96" w14:textId="77777777" w:rsidR="00354148" w:rsidRPr="00354148" w:rsidRDefault="00354148" w:rsidP="00354148">
      <w:pPr>
        <w:spacing w:before="100" w:beforeAutospacing="1" w:after="100" w:afterAutospacing="1" w:line="360" w:lineRule="auto"/>
        <w:jc w:val="both"/>
        <w:rPr>
          <w:rFonts w:ascii="Arial" w:eastAsia="Times New Roman" w:hAnsi="Arial" w:cs="Arial"/>
        </w:rPr>
      </w:pPr>
      <w:r w:rsidRPr="00354148">
        <w:rPr>
          <w:rFonts w:ascii="Arial" w:eastAsia="Times New Roman" w:hAnsi="Arial" w:cs="Arial"/>
        </w:rPr>
        <w:lastRenderedPageBreak/>
        <w:t xml:space="preserve">Social care services complement medical support by promoting independence and quality of life. Local authorities provide domiciliary care, respite services, day </w:t>
      </w:r>
      <w:proofErr w:type="spellStart"/>
      <w:r w:rsidRPr="00354148">
        <w:rPr>
          <w:rFonts w:ascii="Arial" w:eastAsia="Times New Roman" w:hAnsi="Arial" w:cs="Arial"/>
        </w:rPr>
        <w:t>centres</w:t>
      </w:r>
      <w:proofErr w:type="spellEnd"/>
      <w:r w:rsidRPr="00354148">
        <w:rPr>
          <w:rFonts w:ascii="Arial" w:eastAsia="Times New Roman" w:hAnsi="Arial" w:cs="Arial"/>
        </w:rPr>
        <w:t xml:space="preserve">, and, when necessary, residential or nursing home placements. These services reduce caregiver burden and delay </w:t>
      </w:r>
      <w:proofErr w:type="spellStart"/>
      <w:r w:rsidRPr="00354148">
        <w:rPr>
          <w:rFonts w:ascii="Arial" w:eastAsia="Times New Roman" w:hAnsi="Arial" w:cs="Arial"/>
        </w:rPr>
        <w:t>institutionalisation</w:t>
      </w:r>
      <w:proofErr w:type="spellEnd"/>
      <w:r w:rsidRPr="00354148">
        <w:rPr>
          <w:rFonts w:ascii="Arial" w:eastAsia="Times New Roman" w:hAnsi="Arial" w:cs="Arial"/>
        </w:rPr>
        <w:t xml:space="preserve">, although variations in funding and eligibility criteria can limit access (Alzheimer’s Society, 2024). Community-based interventions, including occupational therapy and structured activity </w:t>
      </w:r>
      <w:proofErr w:type="spellStart"/>
      <w:r w:rsidRPr="00354148">
        <w:rPr>
          <w:rFonts w:ascii="Arial" w:eastAsia="Times New Roman" w:hAnsi="Arial" w:cs="Arial"/>
        </w:rPr>
        <w:t>programmes</w:t>
      </w:r>
      <w:proofErr w:type="spellEnd"/>
      <w:r w:rsidRPr="00354148">
        <w:rPr>
          <w:rFonts w:ascii="Arial" w:eastAsia="Times New Roman" w:hAnsi="Arial" w:cs="Arial"/>
        </w:rPr>
        <w:t>, support cognitive stimulation and social engagement.</w:t>
      </w:r>
    </w:p>
    <w:p w14:paraId="5BADBCCF" w14:textId="77777777" w:rsidR="00354148" w:rsidRPr="00354148" w:rsidRDefault="00354148" w:rsidP="00354148">
      <w:pPr>
        <w:spacing w:before="100" w:beforeAutospacing="1" w:after="100" w:afterAutospacing="1" w:line="360" w:lineRule="auto"/>
        <w:jc w:val="both"/>
        <w:rPr>
          <w:rFonts w:ascii="Arial" w:eastAsia="Times New Roman" w:hAnsi="Arial" w:cs="Arial"/>
        </w:rPr>
      </w:pPr>
      <w:r w:rsidRPr="00354148">
        <w:rPr>
          <w:rFonts w:ascii="Arial" w:eastAsia="Times New Roman" w:hAnsi="Arial" w:cs="Arial"/>
        </w:rPr>
        <w:t xml:space="preserve">Voluntary sector </w:t>
      </w:r>
      <w:proofErr w:type="spellStart"/>
      <w:r w:rsidRPr="00354148">
        <w:rPr>
          <w:rFonts w:ascii="Arial" w:eastAsia="Times New Roman" w:hAnsi="Arial" w:cs="Arial"/>
        </w:rPr>
        <w:t>organisations</w:t>
      </w:r>
      <w:proofErr w:type="spellEnd"/>
      <w:r w:rsidRPr="00354148">
        <w:rPr>
          <w:rFonts w:ascii="Arial" w:eastAsia="Times New Roman" w:hAnsi="Arial" w:cs="Arial"/>
        </w:rPr>
        <w:t>, such as the Alzheimer’s Society, play a crucial role in offering education, peer support, and carer advice, enhancing statutory services (Alzheimer’s Society, 2024). The UK policy emphasis on person-</w:t>
      </w:r>
      <w:proofErr w:type="spellStart"/>
      <w:r w:rsidRPr="00354148">
        <w:rPr>
          <w:rFonts w:ascii="Arial" w:eastAsia="Times New Roman" w:hAnsi="Arial" w:cs="Arial"/>
        </w:rPr>
        <w:t>centred</w:t>
      </w:r>
      <w:proofErr w:type="spellEnd"/>
      <w:r w:rsidRPr="00354148">
        <w:rPr>
          <w:rFonts w:ascii="Arial" w:eastAsia="Times New Roman" w:hAnsi="Arial" w:cs="Arial"/>
        </w:rPr>
        <w:t>, integrated care through multidisciplinary teams ensures coordinated support across health and social care settings (NICE, 2021; NHS England, 2024). Despite these measures, workforce shortages, regional disparities, and increasing prevalence continue to challenge service delivery. Strengthening integrated care pathways, investing in workforce capacity, and ensuring equitable access are essential to meet the needs of people living with dementia in UK communities (Mukadam et al., 2025; Office for Health Improvement and Disparities, 2024).</w:t>
      </w:r>
    </w:p>
    <w:p w14:paraId="333134A1" w14:textId="77777777" w:rsidR="00354148" w:rsidRPr="00354148" w:rsidRDefault="00354148" w:rsidP="00354148">
      <w:pPr>
        <w:spacing w:before="100" w:beforeAutospacing="1" w:after="100" w:afterAutospacing="1" w:line="360" w:lineRule="auto"/>
        <w:jc w:val="both"/>
        <w:outlineLvl w:val="1"/>
        <w:rPr>
          <w:rFonts w:ascii="Arial" w:eastAsia="Times New Roman" w:hAnsi="Arial" w:cs="Arial"/>
          <w:b/>
          <w:bCs/>
        </w:rPr>
      </w:pPr>
      <w:r w:rsidRPr="00354148">
        <w:rPr>
          <w:rFonts w:ascii="Arial" w:eastAsia="Times New Roman" w:hAnsi="Arial" w:cs="Arial"/>
          <w:b/>
          <w:bCs/>
        </w:rPr>
        <w:t xml:space="preserve">Conclusion </w:t>
      </w:r>
    </w:p>
    <w:p w14:paraId="01BCDFC1" w14:textId="77777777" w:rsidR="00354148" w:rsidRPr="00354148" w:rsidRDefault="00354148" w:rsidP="00354148">
      <w:pPr>
        <w:spacing w:before="100" w:beforeAutospacing="1" w:after="100" w:afterAutospacing="1" w:line="360" w:lineRule="auto"/>
        <w:jc w:val="both"/>
        <w:rPr>
          <w:rFonts w:ascii="Arial" w:eastAsia="Times New Roman" w:hAnsi="Arial" w:cs="Arial"/>
        </w:rPr>
      </w:pPr>
      <w:r w:rsidRPr="00354148">
        <w:rPr>
          <w:rFonts w:ascii="Arial" w:eastAsia="Times New Roman" w:hAnsi="Arial" w:cs="Arial"/>
        </w:rPr>
        <w:t xml:space="preserve">Dementia presents a significant public health and social care challenge in the United Kingdom, with profound consequences for individuals, families, and communities. Progressive cognitive decline and </w:t>
      </w:r>
      <w:proofErr w:type="spellStart"/>
      <w:r w:rsidRPr="00354148">
        <w:rPr>
          <w:rFonts w:ascii="Arial" w:eastAsia="Times New Roman" w:hAnsi="Arial" w:cs="Arial"/>
        </w:rPr>
        <w:t>behavioural</w:t>
      </w:r>
      <w:proofErr w:type="spellEnd"/>
      <w:r w:rsidRPr="00354148">
        <w:rPr>
          <w:rFonts w:ascii="Arial" w:eastAsia="Times New Roman" w:hAnsi="Arial" w:cs="Arial"/>
        </w:rPr>
        <w:t xml:space="preserve"> symptoms reduce independence, quality of life, and increase vulnerability to comorbidities, while informal caregivers face substantial emotional, physical, and financial strain (Livingston et al., 2020; Cooper et al., 2022). Rising prevalence due to an ageing population places considerable pressure on primary care, memory clinics, community health teams, and social care services (Office for Health Improvement and Disparities, 2024). Effective control requires a combination of primary prevention through lifestyle modification, early diagnosis via structured assessment pathways, and comprehensive, person-</w:t>
      </w:r>
      <w:proofErr w:type="spellStart"/>
      <w:r w:rsidRPr="00354148">
        <w:rPr>
          <w:rFonts w:ascii="Arial" w:eastAsia="Times New Roman" w:hAnsi="Arial" w:cs="Arial"/>
        </w:rPr>
        <w:t>centred</w:t>
      </w:r>
      <w:proofErr w:type="spellEnd"/>
      <w:r w:rsidRPr="00354148">
        <w:rPr>
          <w:rFonts w:ascii="Arial" w:eastAsia="Times New Roman" w:hAnsi="Arial" w:cs="Arial"/>
        </w:rPr>
        <w:t xml:space="preserve"> management integrating pharmacological and non-pharmacological interventions (Nichols et al., 2022; NICE, 2021). Community-based health and social care, supported by voluntary </w:t>
      </w:r>
      <w:proofErr w:type="spellStart"/>
      <w:r w:rsidRPr="00354148">
        <w:rPr>
          <w:rFonts w:ascii="Arial" w:eastAsia="Times New Roman" w:hAnsi="Arial" w:cs="Arial"/>
        </w:rPr>
        <w:t>organisations</w:t>
      </w:r>
      <w:proofErr w:type="spellEnd"/>
      <w:r w:rsidRPr="00354148">
        <w:rPr>
          <w:rFonts w:ascii="Arial" w:eastAsia="Times New Roman" w:hAnsi="Arial" w:cs="Arial"/>
        </w:rPr>
        <w:t>, is essential to maintain independence, reduce caregiver burden, and improve outcomes. Strengthening integrated care pathways, workforce capacity, and equitable service access will be critical to addressing the growing impact of dementia in UK communities (Alzheimer’s Society, 2024; Mukadam et al., 2025).</w:t>
      </w:r>
    </w:p>
    <w:p w14:paraId="45E0ABBB" w14:textId="77777777" w:rsidR="00D23330" w:rsidRDefault="00E562A7" w:rsidP="00354148">
      <w:pPr>
        <w:spacing w:line="360" w:lineRule="auto"/>
        <w:jc w:val="both"/>
        <w:rPr>
          <w:rFonts w:ascii="Arial" w:hAnsi="Arial" w:cs="Arial"/>
          <w:b/>
        </w:rPr>
      </w:pPr>
      <w:r w:rsidRPr="00E562A7">
        <w:rPr>
          <w:rFonts w:ascii="Arial" w:hAnsi="Arial" w:cs="Arial"/>
          <w:b/>
        </w:rPr>
        <w:lastRenderedPageBreak/>
        <w:t>REFERENCES</w:t>
      </w:r>
    </w:p>
    <w:p w14:paraId="5728FCC0" w14:textId="77777777" w:rsidR="00E562A7" w:rsidRPr="00E562A7" w:rsidRDefault="00E562A7" w:rsidP="00E562A7">
      <w:pPr>
        <w:spacing w:line="360" w:lineRule="auto"/>
        <w:jc w:val="both"/>
        <w:rPr>
          <w:rFonts w:ascii="Arial" w:hAnsi="Arial" w:cs="Arial"/>
          <w:b/>
        </w:rPr>
      </w:pPr>
    </w:p>
    <w:p w14:paraId="5A753E18" w14:textId="77777777" w:rsidR="00E562A7" w:rsidRPr="00E562A7" w:rsidRDefault="00E562A7" w:rsidP="00E562A7">
      <w:pPr>
        <w:pStyle w:val="NormalWeb"/>
        <w:spacing w:line="360" w:lineRule="auto"/>
        <w:ind w:left="360"/>
        <w:jc w:val="both"/>
        <w:rPr>
          <w:rFonts w:ascii="Arial" w:hAnsi="Arial" w:cs="Arial"/>
          <w:sz w:val="22"/>
          <w:szCs w:val="22"/>
        </w:rPr>
      </w:pPr>
      <w:r w:rsidRPr="00E562A7">
        <w:rPr>
          <w:rFonts w:ascii="Arial" w:hAnsi="Arial" w:cs="Arial"/>
          <w:sz w:val="22"/>
          <w:szCs w:val="22"/>
        </w:rPr>
        <w:t xml:space="preserve">Alzheimer’s Society (2024) </w:t>
      </w:r>
      <w:r w:rsidRPr="00E562A7">
        <w:rPr>
          <w:rStyle w:val="Emphasis"/>
          <w:rFonts w:ascii="Arial" w:hAnsi="Arial" w:cs="Arial"/>
          <w:sz w:val="22"/>
          <w:szCs w:val="22"/>
        </w:rPr>
        <w:t>Dementia UK: Update on prevalence and costs</w:t>
      </w:r>
      <w:r w:rsidRPr="00E562A7">
        <w:rPr>
          <w:rFonts w:ascii="Arial" w:hAnsi="Arial" w:cs="Arial"/>
          <w:sz w:val="22"/>
          <w:szCs w:val="22"/>
        </w:rPr>
        <w:t xml:space="preserve">. Available at: </w:t>
      </w:r>
      <w:hyperlink r:id="rId9" w:tgtFrame="_new" w:history="1">
        <w:r w:rsidRPr="00E562A7">
          <w:rPr>
            <w:rStyle w:val="Hyperlink"/>
            <w:rFonts w:ascii="Arial" w:hAnsi="Arial" w:cs="Arial"/>
            <w:sz w:val="22"/>
            <w:szCs w:val="22"/>
          </w:rPr>
          <w:t>https://www.alzheimers.org.uk/about-us/policy-and-influencing/dementia-scale-impact-numbers</w:t>
        </w:r>
      </w:hyperlink>
    </w:p>
    <w:p w14:paraId="5EDC1195" w14:textId="77777777" w:rsidR="00E562A7" w:rsidRPr="00E562A7" w:rsidRDefault="00E562A7" w:rsidP="00E562A7">
      <w:pPr>
        <w:pStyle w:val="NormalWeb"/>
        <w:spacing w:line="360" w:lineRule="auto"/>
        <w:ind w:left="360"/>
        <w:jc w:val="both"/>
        <w:rPr>
          <w:rFonts w:ascii="Arial" w:hAnsi="Arial" w:cs="Arial"/>
          <w:sz w:val="22"/>
          <w:szCs w:val="22"/>
        </w:rPr>
      </w:pPr>
      <w:r w:rsidRPr="00E562A7">
        <w:rPr>
          <w:rFonts w:ascii="Arial" w:hAnsi="Arial" w:cs="Arial"/>
          <w:sz w:val="22"/>
          <w:szCs w:val="22"/>
        </w:rPr>
        <w:t>Cooper, C., Lodwick, R., Walters, K., et al. (</w:t>
      </w:r>
      <w:proofErr w:type="gramStart"/>
      <w:r w:rsidRPr="00E562A7">
        <w:rPr>
          <w:rFonts w:ascii="Arial" w:hAnsi="Arial" w:cs="Arial"/>
          <w:sz w:val="22"/>
          <w:szCs w:val="22"/>
        </w:rPr>
        <w:t>2022) ‘</w:t>
      </w:r>
      <w:proofErr w:type="gramEnd"/>
      <w:r w:rsidRPr="00E562A7">
        <w:rPr>
          <w:rFonts w:ascii="Arial" w:hAnsi="Arial" w:cs="Arial"/>
          <w:sz w:val="22"/>
          <w:szCs w:val="22"/>
        </w:rPr>
        <w:t xml:space="preserve">Observational cohort study: inequalities in receipt of mental and physical healthcare in people with dementia’, </w:t>
      </w:r>
      <w:r w:rsidRPr="00E562A7">
        <w:rPr>
          <w:rStyle w:val="Emphasis"/>
          <w:rFonts w:ascii="Arial" w:hAnsi="Arial" w:cs="Arial"/>
          <w:sz w:val="22"/>
          <w:szCs w:val="22"/>
        </w:rPr>
        <w:t>BMJ Open</w:t>
      </w:r>
      <w:r w:rsidRPr="00E562A7">
        <w:rPr>
          <w:rFonts w:ascii="Arial" w:hAnsi="Arial" w:cs="Arial"/>
          <w:sz w:val="22"/>
          <w:szCs w:val="22"/>
        </w:rPr>
        <w:t>, 12(3), e054056.</w:t>
      </w:r>
    </w:p>
    <w:p w14:paraId="3B9B6C6D" w14:textId="77777777" w:rsidR="00E562A7" w:rsidRPr="00E562A7" w:rsidRDefault="00E562A7" w:rsidP="00E562A7">
      <w:pPr>
        <w:pStyle w:val="NormalWeb"/>
        <w:spacing w:line="360" w:lineRule="auto"/>
        <w:ind w:left="360"/>
        <w:jc w:val="both"/>
        <w:rPr>
          <w:rFonts w:ascii="Arial" w:hAnsi="Arial" w:cs="Arial"/>
          <w:sz w:val="22"/>
          <w:szCs w:val="22"/>
        </w:rPr>
      </w:pPr>
      <w:r w:rsidRPr="00E562A7">
        <w:rPr>
          <w:rFonts w:ascii="Arial" w:hAnsi="Arial" w:cs="Arial"/>
          <w:sz w:val="22"/>
          <w:szCs w:val="22"/>
        </w:rPr>
        <w:t xml:space="preserve">Livingston, G., Huntley, J., </w:t>
      </w:r>
      <w:proofErr w:type="spellStart"/>
      <w:r w:rsidRPr="00E562A7">
        <w:rPr>
          <w:rFonts w:ascii="Arial" w:hAnsi="Arial" w:cs="Arial"/>
          <w:sz w:val="22"/>
          <w:szCs w:val="22"/>
        </w:rPr>
        <w:t>Sommerlad</w:t>
      </w:r>
      <w:proofErr w:type="spellEnd"/>
      <w:r w:rsidRPr="00E562A7">
        <w:rPr>
          <w:rFonts w:ascii="Arial" w:hAnsi="Arial" w:cs="Arial"/>
          <w:sz w:val="22"/>
          <w:szCs w:val="22"/>
        </w:rPr>
        <w:t xml:space="preserve">, A., et al. (2020) ‘Dementia prevention, intervention, and care: 2020 report of the Lancet Commission’, </w:t>
      </w:r>
      <w:r w:rsidRPr="00E562A7">
        <w:rPr>
          <w:rStyle w:val="Emphasis"/>
          <w:rFonts w:ascii="Arial" w:hAnsi="Arial" w:cs="Arial"/>
          <w:sz w:val="22"/>
          <w:szCs w:val="22"/>
        </w:rPr>
        <w:t>The Lancet</w:t>
      </w:r>
      <w:r w:rsidRPr="00E562A7">
        <w:rPr>
          <w:rFonts w:ascii="Arial" w:hAnsi="Arial" w:cs="Arial"/>
          <w:sz w:val="22"/>
          <w:szCs w:val="22"/>
        </w:rPr>
        <w:t>, 396(10248), pp. 413–446.</w:t>
      </w:r>
    </w:p>
    <w:p w14:paraId="549B6FA2" w14:textId="77777777" w:rsidR="00E562A7" w:rsidRPr="00E562A7" w:rsidRDefault="00E562A7" w:rsidP="00E562A7">
      <w:pPr>
        <w:pStyle w:val="NormalWeb"/>
        <w:spacing w:line="360" w:lineRule="auto"/>
        <w:ind w:left="360"/>
        <w:jc w:val="both"/>
        <w:rPr>
          <w:rFonts w:ascii="Arial" w:hAnsi="Arial" w:cs="Arial"/>
          <w:sz w:val="22"/>
          <w:szCs w:val="22"/>
        </w:rPr>
      </w:pPr>
      <w:r w:rsidRPr="00E562A7">
        <w:rPr>
          <w:rFonts w:ascii="Arial" w:hAnsi="Arial" w:cs="Arial"/>
          <w:sz w:val="22"/>
          <w:szCs w:val="22"/>
        </w:rPr>
        <w:t xml:space="preserve">Lu, Y., Li, B. and Yao, Z. (2025) ‘Digital biomarkers of cognitive decline and neurodegenerative diseases’, </w:t>
      </w:r>
      <w:r w:rsidRPr="00E562A7">
        <w:rPr>
          <w:rStyle w:val="Emphasis"/>
          <w:rFonts w:ascii="Arial" w:hAnsi="Arial" w:cs="Arial"/>
          <w:sz w:val="22"/>
          <w:szCs w:val="22"/>
        </w:rPr>
        <w:t>Nature Reviews Neurology</w:t>
      </w:r>
      <w:r w:rsidRPr="00E562A7">
        <w:rPr>
          <w:rFonts w:ascii="Arial" w:hAnsi="Arial" w:cs="Arial"/>
          <w:sz w:val="22"/>
          <w:szCs w:val="22"/>
        </w:rPr>
        <w:t>, 21, pp. 112–125.</w:t>
      </w:r>
    </w:p>
    <w:p w14:paraId="6A16721D" w14:textId="77777777" w:rsidR="00E562A7" w:rsidRPr="00E562A7" w:rsidRDefault="00E562A7" w:rsidP="00E562A7">
      <w:pPr>
        <w:pStyle w:val="NormalWeb"/>
        <w:spacing w:line="360" w:lineRule="auto"/>
        <w:ind w:left="360"/>
        <w:jc w:val="both"/>
        <w:rPr>
          <w:rFonts w:ascii="Arial" w:hAnsi="Arial" w:cs="Arial"/>
          <w:sz w:val="22"/>
          <w:szCs w:val="22"/>
        </w:rPr>
      </w:pPr>
      <w:r w:rsidRPr="00E562A7">
        <w:rPr>
          <w:rFonts w:ascii="Arial" w:hAnsi="Arial" w:cs="Arial"/>
          <w:sz w:val="22"/>
          <w:szCs w:val="22"/>
        </w:rPr>
        <w:t>Mukadam, N., et al. (</w:t>
      </w:r>
      <w:proofErr w:type="gramStart"/>
      <w:r w:rsidRPr="00E562A7">
        <w:rPr>
          <w:rFonts w:ascii="Arial" w:hAnsi="Arial" w:cs="Arial"/>
          <w:sz w:val="22"/>
          <w:szCs w:val="22"/>
        </w:rPr>
        <w:t>2025) ‘</w:t>
      </w:r>
      <w:proofErr w:type="spellStart"/>
      <w:proofErr w:type="gramEnd"/>
      <w:r w:rsidRPr="00E562A7">
        <w:rPr>
          <w:rFonts w:ascii="Arial" w:hAnsi="Arial" w:cs="Arial"/>
          <w:sz w:val="22"/>
          <w:szCs w:val="22"/>
        </w:rPr>
        <w:t>Minoritised</w:t>
      </w:r>
      <w:proofErr w:type="spellEnd"/>
      <w:r w:rsidRPr="00E562A7">
        <w:rPr>
          <w:rFonts w:ascii="Arial" w:hAnsi="Arial" w:cs="Arial"/>
          <w:sz w:val="22"/>
          <w:szCs w:val="22"/>
        </w:rPr>
        <w:t xml:space="preserve"> ethnic groups and modifiable dementia risk: a UK scoping review’, </w:t>
      </w:r>
      <w:r w:rsidRPr="00E562A7">
        <w:rPr>
          <w:rStyle w:val="Emphasis"/>
          <w:rFonts w:ascii="Arial" w:hAnsi="Arial" w:cs="Arial"/>
          <w:sz w:val="22"/>
          <w:szCs w:val="22"/>
        </w:rPr>
        <w:t>Journal of Epidemiology &amp; Community Health</w:t>
      </w:r>
      <w:r w:rsidRPr="00E562A7">
        <w:rPr>
          <w:rFonts w:ascii="Arial" w:hAnsi="Arial" w:cs="Arial"/>
          <w:sz w:val="22"/>
          <w:szCs w:val="22"/>
        </w:rPr>
        <w:t>.</w:t>
      </w:r>
    </w:p>
    <w:p w14:paraId="7A24C1AF" w14:textId="77777777" w:rsidR="00E562A7" w:rsidRPr="00E562A7" w:rsidRDefault="00E562A7" w:rsidP="00E562A7">
      <w:pPr>
        <w:pStyle w:val="NormalWeb"/>
        <w:spacing w:line="360" w:lineRule="auto"/>
        <w:ind w:left="360"/>
        <w:jc w:val="both"/>
        <w:rPr>
          <w:rFonts w:ascii="Arial" w:hAnsi="Arial" w:cs="Arial"/>
          <w:sz w:val="22"/>
          <w:szCs w:val="22"/>
        </w:rPr>
      </w:pPr>
      <w:r w:rsidRPr="00E562A7">
        <w:rPr>
          <w:rFonts w:ascii="Arial" w:hAnsi="Arial" w:cs="Arial"/>
          <w:sz w:val="22"/>
          <w:szCs w:val="22"/>
        </w:rPr>
        <w:t xml:space="preserve">Mukadam, N., </w:t>
      </w:r>
      <w:proofErr w:type="spellStart"/>
      <w:r w:rsidRPr="00E562A7">
        <w:rPr>
          <w:rFonts w:ascii="Arial" w:hAnsi="Arial" w:cs="Arial"/>
          <w:sz w:val="22"/>
          <w:szCs w:val="22"/>
        </w:rPr>
        <w:t>Sommerlad</w:t>
      </w:r>
      <w:proofErr w:type="spellEnd"/>
      <w:r w:rsidRPr="00E562A7">
        <w:rPr>
          <w:rFonts w:ascii="Arial" w:hAnsi="Arial" w:cs="Arial"/>
          <w:sz w:val="22"/>
          <w:szCs w:val="22"/>
        </w:rPr>
        <w:t xml:space="preserve">, A. and Livingston, G. (2021) ‘The Lancet Commission on dementia prevention, intervention, and care: a call for action’, </w:t>
      </w:r>
      <w:r w:rsidRPr="00E562A7">
        <w:rPr>
          <w:rStyle w:val="Emphasis"/>
          <w:rFonts w:ascii="Arial" w:hAnsi="Arial" w:cs="Arial"/>
          <w:sz w:val="22"/>
          <w:szCs w:val="22"/>
        </w:rPr>
        <w:t>Journal of Prevention of Alzheimer’s Disease</w:t>
      </w:r>
      <w:r w:rsidRPr="00E562A7">
        <w:rPr>
          <w:rFonts w:ascii="Arial" w:hAnsi="Arial" w:cs="Arial"/>
          <w:sz w:val="22"/>
          <w:szCs w:val="22"/>
        </w:rPr>
        <w:t>, 8(3), pp. 277–278.</w:t>
      </w:r>
    </w:p>
    <w:p w14:paraId="6F276024" w14:textId="77777777" w:rsidR="00E562A7" w:rsidRPr="00E562A7" w:rsidRDefault="00E562A7" w:rsidP="00E562A7">
      <w:pPr>
        <w:pStyle w:val="NormalWeb"/>
        <w:spacing w:line="360" w:lineRule="auto"/>
        <w:ind w:left="360"/>
        <w:jc w:val="both"/>
        <w:rPr>
          <w:rFonts w:ascii="Arial" w:hAnsi="Arial" w:cs="Arial"/>
          <w:sz w:val="22"/>
          <w:szCs w:val="22"/>
        </w:rPr>
      </w:pPr>
      <w:r w:rsidRPr="00E562A7">
        <w:rPr>
          <w:rFonts w:ascii="Arial" w:hAnsi="Arial" w:cs="Arial"/>
          <w:sz w:val="22"/>
          <w:szCs w:val="22"/>
        </w:rPr>
        <w:t xml:space="preserve">National Institute for Health and Care Excellence (NICE) (2021) </w:t>
      </w:r>
      <w:r w:rsidRPr="00E562A7">
        <w:rPr>
          <w:rStyle w:val="Emphasis"/>
          <w:rFonts w:ascii="Arial" w:hAnsi="Arial" w:cs="Arial"/>
          <w:sz w:val="22"/>
          <w:szCs w:val="22"/>
        </w:rPr>
        <w:t xml:space="preserve">Dementia: assessment, management and support for people living with dementia and their </w:t>
      </w:r>
      <w:proofErr w:type="spellStart"/>
      <w:r w:rsidRPr="00E562A7">
        <w:rPr>
          <w:rStyle w:val="Emphasis"/>
          <w:rFonts w:ascii="Arial" w:hAnsi="Arial" w:cs="Arial"/>
          <w:sz w:val="22"/>
          <w:szCs w:val="22"/>
        </w:rPr>
        <w:t>carers</w:t>
      </w:r>
      <w:proofErr w:type="spellEnd"/>
      <w:r w:rsidRPr="00E562A7">
        <w:rPr>
          <w:rFonts w:ascii="Arial" w:hAnsi="Arial" w:cs="Arial"/>
          <w:sz w:val="22"/>
          <w:szCs w:val="22"/>
        </w:rPr>
        <w:t xml:space="preserve">. Available at: </w:t>
      </w:r>
      <w:hyperlink r:id="rId10" w:tgtFrame="_new" w:history="1">
        <w:r w:rsidRPr="00E562A7">
          <w:rPr>
            <w:rStyle w:val="Hyperlink"/>
            <w:rFonts w:ascii="Arial" w:hAnsi="Arial" w:cs="Arial"/>
            <w:sz w:val="22"/>
            <w:szCs w:val="22"/>
          </w:rPr>
          <w:t>https://www.nice.org.uk/guidance/ng97</w:t>
        </w:r>
      </w:hyperlink>
    </w:p>
    <w:p w14:paraId="54A031CC" w14:textId="77777777" w:rsidR="00E562A7" w:rsidRPr="00E562A7" w:rsidRDefault="00E562A7" w:rsidP="00E562A7">
      <w:pPr>
        <w:pStyle w:val="NormalWeb"/>
        <w:spacing w:line="360" w:lineRule="auto"/>
        <w:ind w:left="360"/>
        <w:jc w:val="both"/>
        <w:rPr>
          <w:rFonts w:ascii="Arial" w:hAnsi="Arial" w:cs="Arial"/>
          <w:sz w:val="22"/>
          <w:szCs w:val="22"/>
        </w:rPr>
      </w:pPr>
      <w:r w:rsidRPr="00E562A7">
        <w:rPr>
          <w:rFonts w:ascii="Arial" w:hAnsi="Arial" w:cs="Arial"/>
          <w:sz w:val="22"/>
          <w:szCs w:val="22"/>
        </w:rPr>
        <w:t xml:space="preserve">NHS England (2024) </w:t>
      </w:r>
      <w:r w:rsidRPr="00E562A7">
        <w:rPr>
          <w:rStyle w:val="Emphasis"/>
          <w:rFonts w:ascii="Arial" w:hAnsi="Arial" w:cs="Arial"/>
          <w:sz w:val="22"/>
          <w:szCs w:val="22"/>
        </w:rPr>
        <w:t xml:space="preserve">Dementia diagnoses in England </w:t>
      </w:r>
      <w:proofErr w:type="gramStart"/>
      <w:r w:rsidRPr="00E562A7">
        <w:rPr>
          <w:rStyle w:val="Emphasis"/>
          <w:rFonts w:ascii="Arial" w:hAnsi="Arial" w:cs="Arial"/>
          <w:sz w:val="22"/>
          <w:szCs w:val="22"/>
        </w:rPr>
        <w:t>at</w:t>
      </w:r>
      <w:proofErr w:type="gramEnd"/>
      <w:r w:rsidRPr="00E562A7">
        <w:rPr>
          <w:rStyle w:val="Emphasis"/>
          <w:rFonts w:ascii="Arial" w:hAnsi="Arial" w:cs="Arial"/>
          <w:sz w:val="22"/>
          <w:szCs w:val="22"/>
        </w:rPr>
        <w:t xml:space="preserve"> record high</w:t>
      </w:r>
      <w:r w:rsidRPr="00E562A7">
        <w:rPr>
          <w:rFonts w:ascii="Arial" w:hAnsi="Arial" w:cs="Arial"/>
          <w:sz w:val="22"/>
          <w:szCs w:val="22"/>
        </w:rPr>
        <w:t xml:space="preserve">. Available at: </w:t>
      </w:r>
      <w:hyperlink r:id="rId11" w:tgtFrame="_new" w:history="1">
        <w:r w:rsidRPr="00E562A7">
          <w:rPr>
            <w:rStyle w:val="Hyperlink"/>
            <w:rFonts w:ascii="Arial" w:hAnsi="Arial" w:cs="Arial"/>
            <w:sz w:val="22"/>
            <w:szCs w:val="22"/>
          </w:rPr>
          <w:t>https://www.england.nhs.uk/2024/07/dementia-diagnoses-in-england-at-record-high/</w:t>
        </w:r>
      </w:hyperlink>
    </w:p>
    <w:p w14:paraId="20A34E88" w14:textId="77777777" w:rsidR="00E562A7" w:rsidRPr="00E562A7" w:rsidRDefault="00E562A7" w:rsidP="00E562A7">
      <w:pPr>
        <w:pStyle w:val="NormalWeb"/>
        <w:spacing w:line="360" w:lineRule="auto"/>
        <w:ind w:left="360"/>
        <w:jc w:val="both"/>
        <w:rPr>
          <w:rFonts w:ascii="Arial" w:hAnsi="Arial" w:cs="Arial"/>
          <w:sz w:val="22"/>
          <w:szCs w:val="22"/>
        </w:rPr>
      </w:pPr>
      <w:r w:rsidRPr="00E562A7">
        <w:rPr>
          <w:rFonts w:ascii="Arial" w:hAnsi="Arial" w:cs="Arial"/>
          <w:sz w:val="22"/>
          <w:szCs w:val="22"/>
        </w:rPr>
        <w:t xml:space="preserve">Nichols, E., Steinmetz, J.D., </w:t>
      </w:r>
      <w:proofErr w:type="spellStart"/>
      <w:r w:rsidRPr="00E562A7">
        <w:rPr>
          <w:rFonts w:ascii="Arial" w:hAnsi="Arial" w:cs="Arial"/>
          <w:sz w:val="22"/>
          <w:szCs w:val="22"/>
        </w:rPr>
        <w:t>Vollset</w:t>
      </w:r>
      <w:proofErr w:type="spellEnd"/>
      <w:r w:rsidRPr="00E562A7">
        <w:rPr>
          <w:rFonts w:ascii="Arial" w:hAnsi="Arial" w:cs="Arial"/>
          <w:sz w:val="22"/>
          <w:szCs w:val="22"/>
        </w:rPr>
        <w:t xml:space="preserve">, S.E., et al. (2022) ‘Estimation of the global prevalence of dementia in 2019 and forecasted prevalence in 2050’, </w:t>
      </w:r>
      <w:r w:rsidRPr="00E562A7">
        <w:rPr>
          <w:rStyle w:val="Emphasis"/>
          <w:rFonts w:ascii="Arial" w:hAnsi="Arial" w:cs="Arial"/>
          <w:sz w:val="22"/>
          <w:szCs w:val="22"/>
        </w:rPr>
        <w:t>The Lancet Public Health</w:t>
      </w:r>
      <w:r w:rsidRPr="00E562A7">
        <w:rPr>
          <w:rFonts w:ascii="Arial" w:hAnsi="Arial" w:cs="Arial"/>
          <w:sz w:val="22"/>
          <w:szCs w:val="22"/>
        </w:rPr>
        <w:t>, 7(2), pp. e105–e125.</w:t>
      </w:r>
    </w:p>
    <w:p w14:paraId="34086EB4" w14:textId="77777777" w:rsidR="00E562A7" w:rsidRPr="00E562A7" w:rsidRDefault="00E562A7" w:rsidP="00E562A7">
      <w:pPr>
        <w:pStyle w:val="NormalWeb"/>
        <w:spacing w:line="360" w:lineRule="auto"/>
        <w:ind w:left="360"/>
        <w:jc w:val="both"/>
        <w:rPr>
          <w:rFonts w:ascii="Arial" w:hAnsi="Arial" w:cs="Arial"/>
          <w:sz w:val="22"/>
          <w:szCs w:val="22"/>
        </w:rPr>
      </w:pPr>
      <w:r w:rsidRPr="00E562A7">
        <w:rPr>
          <w:rFonts w:ascii="Arial" w:hAnsi="Arial" w:cs="Arial"/>
          <w:sz w:val="22"/>
          <w:szCs w:val="22"/>
        </w:rPr>
        <w:lastRenderedPageBreak/>
        <w:t xml:space="preserve">Office for Health Improvement and Disparities (2024) </w:t>
      </w:r>
      <w:r w:rsidRPr="00E562A7">
        <w:rPr>
          <w:rStyle w:val="Emphasis"/>
          <w:rFonts w:ascii="Arial" w:hAnsi="Arial" w:cs="Arial"/>
          <w:sz w:val="22"/>
          <w:szCs w:val="22"/>
        </w:rPr>
        <w:t>Dementia profile statistical commentary: December 2024 update</w:t>
      </w:r>
      <w:r w:rsidRPr="00E562A7">
        <w:rPr>
          <w:rFonts w:ascii="Arial" w:hAnsi="Arial" w:cs="Arial"/>
          <w:sz w:val="22"/>
          <w:szCs w:val="22"/>
        </w:rPr>
        <w:t xml:space="preserve">. Available at: </w:t>
      </w:r>
      <w:hyperlink r:id="rId12" w:tgtFrame="_new" w:history="1">
        <w:r w:rsidRPr="00E562A7">
          <w:rPr>
            <w:rStyle w:val="Hyperlink"/>
            <w:rFonts w:ascii="Arial" w:hAnsi="Arial" w:cs="Arial"/>
            <w:sz w:val="22"/>
            <w:szCs w:val="22"/>
          </w:rPr>
          <w:t>https://www.gov.uk/government/statistics/dementia-profile-updates/statistical-commentary-dementia-profile-december-2024-update</w:t>
        </w:r>
      </w:hyperlink>
    </w:p>
    <w:p w14:paraId="428BCB2E" w14:textId="77777777" w:rsidR="00E562A7" w:rsidRPr="00E562A7" w:rsidRDefault="00E562A7" w:rsidP="00E562A7">
      <w:pPr>
        <w:pStyle w:val="NormalWeb"/>
        <w:spacing w:line="360" w:lineRule="auto"/>
        <w:ind w:left="360"/>
        <w:jc w:val="both"/>
        <w:rPr>
          <w:rFonts w:ascii="Arial" w:hAnsi="Arial" w:cs="Arial"/>
          <w:sz w:val="22"/>
          <w:szCs w:val="22"/>
        </w:rPr>
      </w:pPr>
      <w:r w:rsidRPr="00E562A7">
        <w:rPr>
          <w:rFonts w:ascii="Arial" w:hAnsi="Arial" w:cs="Arial"/>
          <w:sz w:val="22"/>
          <w:szCs w:val="22"/>
        </w:rPr>
        <w:t xml:space="preserve">Wu, Y.T., Beiser, A.S., </w:t>
      </w:r>
      <w:proofErr w:type="spellStart"/>
      <w:r w:rsidRPr="00E562A7">
        <w:rPr>
          <w:rFonts w:ascii="Arial" w:hAnsi="Arial" w:cs="Arial"/>
          <w:sz w:val="22"/>
          <w:szCs w:val="22"/>
        </w:rPr>
        <w:t>Breteler</w:t>
      </w:r>
      <w:proofErr w:type="spellEnd"/>
      <w:r w:rsidRPr="00E562A7">
        <w:rPr>
          <w:rFonts w:ascii="Arial" w:hAnsi="Arial" w:cs="Arial"/>
          <w:sz w:val="22"/>
          <w:szCs w:val="22"/>
        </w:rPr>
        <w:t>, M.M.B., et al. (2021) ‘The changing prevalence and in</w:t>
      </w:r>
      <w:r>
        <w:rPr>
          <w:rFonts w:ascii="Arial" w:hAnsi="Arial" w:cs="Arial"/>
          <w:sz w:val="22"/>
          <w:szCs w:val="22"/>
        </w:rPr>
        <w:t xml:space="preserve">cidence of dementia over time </w:t>
      </w:r>
      <w:r w:rsidRPr="00E562A7">
        <w:rPr>
          <w:rFonts w:ascii="Arial" w:hAnsi="Arial" w:cs="Arial"/>
          <w:sz w:val="22"/>
          <w:szCs w:val="22"/>
        </w:rPr>
        <w:t xml:space="preserve">current evidence’, </w:t>
      </w:r>
      <w:r w:rsidRPr="00E562A7">
        <w:rPr>
          <w:rStyle w:val="Emphasis"/>
          <w:rFonts w:ascii="Arial" w:hAnsi="Arial" w:cs="Arial"/>
          <w:sz w:val="22"/>
          <w:szCs w:val="22"/>
        </w:rPr>
        <w:t>Nature Reviews Neurology</w:t>
      </w:r>
      <w:r w:rsidRPr="00E562A7">
        <w:rPr>
          <w:rFonts w:ascii="Arial" w:hAnsi="Arial" w:cs="Arial"/>
          <w:sz w:val="22"/>
          <w:szCs w:val="22"/>
        </w:rPr>
        <w:t>, 17(6), pp. 327–338.</w:t>
      </w:r>
    </w:p>
    <w:sectPr w:rsidR="00E562A7" w:rsidRPr="00E562A7" w:rsidSect="00E562A7">
      <w:footerReference w:type="default" r:id="rId13"/>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25DBDE" w14:textId="77777777" w:rsidR="00AF130F" w:rsidRDefault="00AF130F" w:rsidP="00E562A7">
      <w:pPr>
        <w:spacing w:after="0" w:line="240" w:lineRule="auto"/>
      </w:pPr>
      <w:r>
        <w:separator/>
      </w:r>
    </w:p>
  </w:endnote>
  <w:endnote w:type="continuationSeparator" w:id="0">
    <w:p w14:paraId="50E2C976" w14:textId="77777777" w:rsidR="00AF130F" w:rsidRDefault="00AF130F" w:rsidP="00E562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3595551"/>
      <w:docPartObj>
        <w:docPartGallery w:val="Page Numbers (Bottom of Page)"/>
        <w:docPartUnique/>
      </w:docPartObj>
    </w:sdtPr>
    <w:sdtEndPr>
      <w:rPr>
        <w:noProof/>
      </w:rPr>
    </w:sdtEndPr>
    <w:sdtContent>
      <w:p w14:paraId="0FF55172" w14:textId="77777777" w:rsidR="00E562A7" w:rsidRDefault="00E562A7">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51424087" w14:textId="77777777" w:rsidR="00E562A7" w:rsidRDefault="00E562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C1312E" w14:textId="77777777" w:rsidR="00AF130F" w:rsidRDefault="00AF130F" w:rsidP="00E562A7">
      <w:pPr>
        <w:spacing w:after="0" w:line="240" w:lineRule="auto"/>
      </w:pPr>
      <w:r>
        <w:separator/>
      </w:r>
    </w:p>
  </w:footnote>
  <w:footnote w:type="continuationSeparator" w:id="0">
    <w:p w14:paraId="76645D25" w14:textId="77777777" w:rsidR="00AF130F" w:rsidRDefault="00AF130F" w:rsidP="00E562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95019"/>
    <w:multiLevelType w:val="hybridMultilevel"/>
    <w:tmpl w:val="E23A8444"/>
    <w:lvl w:ilvl="0" w:tplc="0C045298">
      <w:start w:val="1"/>
      <w:numFmt w:val="decimal"/>
      <w:lvlText w:val="%1."/>
      <w:lvlJc w:val="left"/>
      <w:pPr>
        <w:ind w:left="670" w:hanging="360"/>
      </w:pPr>
      <w:rPr>
        <w:rFonts w:hint="default"/>
        <w:b/>
      </w:rPr>
    </w:lvl>
    <w:lvl w:ilvl="1" w:tplc="04090019" w:tentative="1">
      <w:start w:val="1"/>
      <w:numFmt w:val="lowerLetter"/>
      <w:lvlText w:val="%2."/>
      <w:lvlJc w:val="left"/>
      <w:pPr>
        <w:ind w:left="1390" w:hanging="360"/>
      </w:pPr>
    </w:lvl>
    <w:lvl w:ilvl="2" w:tplc="0409001B" w:tentative="1">
      <w:start w:val="1"/>
      <w:numFmt w:val="lowerRoman"/>
      <w:lvlText w:val="%3."/>
      <w:lvlJc w:val="right"/>
      <w:pPr>
        <w:ind w:left="2110" w:hanging="180"/>
      </w:pPr>
    </w:lvl>
    <w:lvl w:ilvl="3" w:tplc="0409000F" w:tentative="1">
      <w:start w:val="1"/>
      <w:numFmt w:val="decimal"/>
      <w:lvlText w:val="%4."/>
      <w:lvlJc w:val="left"/>
      <w:pPr>
        <w:ind w:left="2830" w:hanging="360"/>
      </w:pPr>
    </w:lvl>
    <w:lvl w:ilvl="4" w:tplc="04090019" w:tentative="1">
      <w:start w:val="1"/>
      <w:numFmt w:val="lowerLetter"/>
      <w:lvlText w:val="%5."/>
      <w:lvlJc w:val="left"/>
      <w:pPr>
        <w:ind w:left="3550" w:hanging="360"/>
      </w:pPr>
    </w:lvl>
    <w:lvl w:ilvl="5" w:tplc="0409001B" w:tentative="1">
      <w:start w:val="1"/>
      <w:numFmt w:val="lowerRoman"/>
      <w:lvlText w:val="%6."/>
      <w:lvlJc w:val="right"/>
      <w:pPr>
        <w:ind w:left="4270" w:hanging="180"/>
      </w:pPr>
    </w:lvl>
    <w:lvl w:ilvl="6" w:tplc="0409000F" w:tentative="1">
      <w:start w:val="1"/>
      <w:numFmt w:val="decimal"/>
      <w:lvlText w:val="%7."/>
      <w:lvlJc w:val="left"/>
      <w:pPr>
        <w:ind w:left="4990" w:hanging="360"/>
      </w:pPr>
    </w:lvl>
    <w:lvl w:ilvl="7" w:tplc="04090019" w:tentative="1">
      <w:start w:val="1"/>
      <w:numFmt w:val="lowerLetter"/>
      <w:lvlText w:val="%8."/>
      <w:lvlJc w:val="left"/>
      <w:pPr>
        <w:ind w:left="5710" w:hanging="360"/>
      </w:pPr>
    </w:lvl>
    <w:lvl w:ilvl="8" w:tplc="0409001B" w:tentative="1">
      <w:start w:val="1"/>
      <w:numFmt w:val="lowerRoman"/>
      <w:lvlText w:val="%9."/>
      <w:lvlJc w:val="right"/>
      <w:pPr>
        <w:ind w:left="6430" w:hanging="180"/>
      </w:pPr>
    </w:lvl>
  </w:abstractNum>
  <w:abstractNum w:abstractNumId="1" w15:restartNumberingAfterBreak="0">
    <w:nsid w:val="6A017670"/>
    <w:multiLevelType w:val="multilevel"/>
    <w:tmpl w:val="F54639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99279428">
    <w:abstractNumId w:val="1"/>
  </w:num>
  <w:num w:numId="2" w16cid:durableId="5382750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4148"/>
    <w:rsid w:val="00321129"/>
    <w:rsid w:val="00354148"/>
    <w:rsid w:val="006707BB"/>
    <w:rsid w:val="00AE423D"/>
    <w:rsid w:val="00AF130F"/>
    <w:rsid w:val="00D23330"/>
    <w:rsid w:val="00E562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B601B"/>
  <w15:chartTrackingRefBased/>
  <w15:docId w15:val="{7A829926-349E-4F6F-8DE5-AE5B3CEF1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541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5414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35414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35414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rmalWeb">
    <w:name w:val="Normal (Web)"/>
    <w:basedOn w:val="Normal"/>
    <w:uiPriority w:val="99"/>
    <w:semiHidden/>
    <w:unhideWhenUsed/>
    <w:rsid w:val="00E562A7"/>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E562A7"/>
    <w:rPr>
      <w:i/>
      <w:iCs/>
    </w:rPr>
  </w:style>
  <w:style w:type="character" w:styleId="Hyperlink">
    <w:name w:val="Hyperlink"/>
    <w:basedOn w:val="DefaultParagraphFont"/>
    <w:uiPriority w:val="99"/>
    <w:semiHidden/>
    <w:unhideWhenUsed/>
    <w:rsid w:val="00E562A7"/>
    <w:rPr>
      <w:color w:val="0000FF"/>
      <w:u w:val="single"/>
    </w:rPr>
  </w:style>
  <w:style w:type="paragraph" w:styleId="Header">
    <w:name w:val="header"/>
    <w:basedOn w:val="Normal"/>
    <w:link w:val="HeaderChar"/>
    <w:uiPriority w:val="99"/>
    <w:unhideWhenUsed/>
    <w:rsid w:val="00E562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62A7"/>
  </w:style>
  <w:style w:type="paragraph" w:styleId="Footer">
    <w:name w:val="footer"/>
    <w:basedOn w:val="Normal"/>
    <w:link w:val="FooterChar"/>
    <w:uiPriority w:val="99"/>
    <w:unhideWhenUsed/>
    <w:rsid w:val="00E562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62A7"/>
  </w:style>
  <w:style w:type="paragraph" w:styleId="ListParagraph">
    <w:name w:val="List Paragraph"/>
    <w:basedOn w:val="Normal"/>
    <w:uiPriority w:val="34"/>
    <w:qFormat/>
    <w:rsid w:val="00E562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032667">
      <w:bodyDiv w:val="1"/>
      <w:marLeft w:val="0"/>
      <w:marRight w:val="0"/>
      <w:marTop w:val="0"/>
      <w:marBottom w:val="0"/>
      <w:divBdr>
        <w:top w:val="none" w:sz="0" w:space="0" w:color="auto"/>
        <w:left w:val="none" w:sz="0" w:space="0" w:color="auto"/>
        <w:bottom w:val="none" w:sz="0" w:space="0" w:color="auto"/>
        <w:right w:val="none" w:sz="0" w:space="0" w:color="auto"/>
      </w:divBdr>
    </w:div>
    <w:div w:id="365909197">
      <w:bodyDiv w:val="1"/>
      <w:marLeft w:val="0"/>
      <w:marRight w:val="0"/>
      <w:marTop w:val="0"/>
      <w:marBottom w:val="0"/>
      <w:divBdr>
        <w:top w:val="none" w:sz="0" w:space="0" w:color="auto"/>
        <w:left w:val="none" w:sz="0" w:space="0" w:color="auto"/>
        <w:bottom w:val="none" w:sz="0" w:space="0" w:color="auto"/>
        <w:right w:val="none" w:sz="0" w:space="0" w:color="auto"/>
      </w:divBdr>
    </w:div>
    <w:div w:id="382481510">
      <w:bodyDiv w:val="1"/>
      <w:marLeft w:val="0"/>
      <w:marRight w:val="0"/>
      <w:marTop w:val="0"/>
      <w:marBottom w:val="0"/>
      <w:divBdr>
        <w:top w:val="none" w:sz="0" w:space="0" w:color="auto"/>
        <w:left w:val="none" w:sz="0" w:space="0" w:color="auto"/>
        <w:bottom w:val="none" w:sz="0" w:space="0" w:color="auto"/>
        <w:right w:val="none" w:sz="0" w:space="0" w:color="auto"/>
      </w:divBdr>
    </w:div>
    <w:div w:id="832917641">
      <w:bodyDiv w:val="1"/>
      <w:marLeft w:val="0"/>
      <w:marRight w:val="0"/>
      <w:marTop w:val="0"/>
      <w:marBottom w:val="0"/>
      <w:divBdr>
        <w:top w:val="none" w:sz="0" w:space="0" w:color="auto"/>
        <w:left w:val="none" w:sz="0" w:space="0" w:color="auto"/>
        <w:bottom w:val="none" w:sz="0" w:space="0" w:color="auto"/>
        <w:right w:val="none" w:sz="0" w:space="0" w:color="auto"/>
      </w:divBdr>
    </w:div>
    <w:div w:id="858466563">
      <w:bodyDiv w:val="1"/>
      <w:marLeft w:val="0"/>
      <w:marRight w:val="0"/>
      <w:marTop w:val="0"/>
      <w:marBottom w:val="0"/>
      <w:divBdr>
        <w:top w:val="none" w:sz="0" w:space="0" w:color="auto"/>
        <w:left w:val="none" w:sz="0" w:space="0" w:color="auto"/>
        <w:bottom w:val="none" w:sz="0" w:space="0" w:color="auto"/>
        <w:right w:val="none" w:sz="0" w:space="0" w:color="auto"/>
      </w:divBdr>
    </w:div>
    <w:div w:id="894394654">
      <w:bodyDiv w:val="1"/>
      <w:marLeft w:val="0"/>
      <w:marRight w:val="0"/>
      <w:marTop w:val="0"/>
      <w:marBottom w:val="0"/>
      <w:divBdr>
        <w:top w:val="none" w:sz="0" w:space="0" w:color="auto"/>
        <w:left w:val="none" w:sz="0" w:space="0" w:color="auto"/>
        <w:bottom w:val="none" w:sz="0" w:space="0" w:color="auto"/>
        <w:right w:val="none" w:sz="0" w:space="0" w:color="auto"/>
      </w:divBdr>
    </w:div>
    <w:div w:id="1063717953">
      <w:bodyDiv w:val="1"/>
      <w:marLeft w:val="0"/>
      <w:marRight w:val="0"/>
      <w:marTop w:val="0"/>
      <w:marBottom w:val="0"/>
      <w:divBdr>
        <w:top w:val="none" w:sz="0" w:space="0" w:color="auto"/>
        <w:left w:val="none" w:sz="0" w:space="0" w:color="auto"/>
        <w:bottom w:val="none" w:sz="0" w:space="0" w:color="auto"/>
        <w:right w:val="none" w:sz="0" w:space="0" w:color="auto"/>
      </w:divBdr>
    </w:div>
    <w:div w:id="1145590467">
      <w:bodyDiv w:val="1"/>
      <w:marLeft w:val="0"/>
      <w:marRight w:val="0"/>
      <w:marTop w:val="0"/>
      <w:marBottom w:val="0"/>
      <w:divBdr>
        <w:top w:val="none" w:sz="0" w:space="0" w:color="auto"/>
        <w:left w:val="none" w:sz="0" w:space="0" w:color="auto"/>
        <w:bottom w:val="none" w:sz="0" w:space="0" w:color="auto"/>
        <w:right w:val="none" w:sz="0" w:space="0" w:color="auto"/>
      </w:divBdr>
    </w:div>
    <w:div w:id="1298603622">
      <w:bodyDiv w:val="1"/>
      <w:marLeft w:val="0"/>
      <w:marRight w:val="0"/>
      <w:marTop w:val="0"/>
      <w:marBottom w:val="0"/>
      <w:divBdr>
        <w:top w:val="none" w:sz="0" w:space="0" w:color="auto"/>
        <w:left w:val="none" w:sz="0" w:space="0" w:color="auto"/>
        <w:bottom w:val="none" w:sz="0" w:space="0" w:color="auto"/>
        <w:right w:val="none" w:sz="0" w:space="0" w:color="auto"/>
      </w:divBdr>
    </w:div>
    <w:div w:id="1319843572">
      <w:bodyDiv w:val="1"/>
      <w:marLeft w:val="0"/>
      <w:marRight w:val="0"/>
      <w:marTop w:val="0"/>
      <w:marBottom w:val="0"/>
      <w:divBdr>
        <w:top w:val="none" w:sz="0" w:space="0" w:color="auto"/>
        <w:left w:val="none" w:sz="0" w:space="0" w:color="auto"/>
        <w:bottom w:val="none" w:sz="0" w:space="0" w:color="auto"/>
        <w:right w:val="none" w:sz="0" w:space="0" w:color="auto"/>
      </w:divBdr>
    </w:div>
    <w:div w:id="2099716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uk/government/statistics/dementia-profile-updates/statistical-commentary-dementia-profile-december-2024-update?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2024/07/dementia-diagnoses-in-england-at-record-high/?utm_source=chatgpt.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nice.org.uk/guidance/ng97" TargetMode="External"/><Relationship Id="rId4" Type="http://schemas.openxmlformats.org/officeDocument/2006/relationships/webSettings" Target="webSettings.xml"/><Relationship Id="rId9" Type="http://schemas.openxmlformats.org/officeDocument/2006/relationships/hyperlink" Target="https://www.alzheimers.org.uk/about-us/policy-and-influencing/dementia-scale-impact-number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2220</Words>
  <Characters>12659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dc:creator>
  <cp:keywords/>
  <dc:description/>
  <cp:lastModifiedBy>Salma Munir (2333495)</cp:lastModifiedBy>
  <cp:revision>2</cp:revision>
  <dcterms:created xsi:type="dcterms:W3CDTF">2026-03-18T11:49:00Z</dcterms:created>
  <dcterms:modified xsi:type="dcterms:W3CDTF">2026-03-18T11:49:00Z</dcterms:modified>
</cp:coreProperties>
</file>