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DF71D5" w:rsidRDefault="00F37B62">
      <w:pPr>
        <w:rPr>
          <w:rFonts w:ascii="Arial" w:hAnsi="Arial" w:cs="Arial"/>
        </w:rPr>
      </w:pPr>
      <w:r w:rsidRPr="00DF71D5">
        <w:rPr>
          <w:rFonts w:ascii="Arial" w:hAnsi="Arial" w:cs="Arial"/>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DF71D5" w:rsidRDefault="00F37B62">
      <w:pPr>
        <w:rPr>
          <w:rFonts w:ascii="Arial" w:hAnsi="Arial" w:cs="Arial"/>
        </w:rPr>
      </w:pPr>
    </w:p>
    <w:p w14:paraId="5BDFF3BD" w14:textId="5EDF5E29" w:rsidR="00F37B62" w:rsidRPr="00DF71D5" w:rsidRDefault="00F37B62">
      <w:pPr>
        <w:rPr>
          <w:rFonts w:ascii="Arial" w:hAnsi="Arial" w:cs="Arial"/>
        </w:rPr>
      </w:pPr>
    </w:p>
    <w:p w14:paraId="3A2C342B" w14:textId="4CDA3754" w:rsidR="00F37B62" w:rsidRPr="00DF71D5" w:rsidRDefault="00F37B62">
      <w:pPr>
        <w:rPr>
          <w:rFonts w:ascii="Arial" w:hAnsi="Arial" w:cs="Arial"/>
        </w:rPr>
      </w:pPr>
    </w:p>
    <w:p w14:paraId="6A8965F5" w14:textId="13A7753E" w:rsidR="00F37B62" w:rsidRPr="00DF71D5" w:rsidRDefault="006833D5">
      <w:pPr>
        <w:rPr>
          <w:rFonts w:ascii="Arial" w:hAnsi="Arial" w:cs="Arial"/>
          <w:b/>
          <w:bCs/>
          <w:sz w:val="44"/>
          <w:szCs w:val="44"/>
        </w:rPr>
      </w:pPr>
      <w:r w:rsidRPr="00DF71D5">
        <w:rPr>
          <w:rFonts w:ascii="Arial" w:hAnsi="Arial" w:cs="Arial"/>
          <w:b/>
          <w:bCs/>
          <w:sz w:val="44"/>
          <w:szCs w:val="44"/>
        </w:rPr>
        <w:t xml:space="preserve">BA (Hons) Leadership and Management </w:t>
      </w:r>
    </w:p>
    <w:p w14:paraId="43FA50BC" w14:textId="77777777" w:rsidR="00F37B62" w:rsidRPr="00DF71D5" w:rsidRDefault="00F37B62" w:rsidP="00F37B62">
      <w:pPr>
        <w:spacing w:line="600" w:lineRule="auto"/>
        <w:rPr>
          <w:rFonts w:ascii="Arial" w:hAnsi="Arial" w:cs="Arial"/>
          <w:i/>
          <w:iCs/>
          <w:sz w:val="24"/>
          <w:szCs w:val="24"/>
        </w:rPr>
      </w:pPr>
    </w:p>
    <w:p w14:paraId="1EE10BBF" w14:textId="7E9A6919" w:rsidR="00F37B62" w:rsidRPr="00DF71D5" w:rsidRDefault="00F37B62" w:rsidP="00F37B62">
      <w:pPr>
        <w:spacing w:line="600" w:lineRule="auto"/>
        <w:rPr>
          <w:rFonts w:ascii="Arial" w:hAnsi="Arial" w:cs="Arial"/>
          <w:b/>
          <w:bCs/>
          <w:i/>
          <w:iCs/>
          <w:sz w:val="24"/>
          <w:szCs w:val="24"/>
        </w:rPr>
      </w:pPr>
      <w:r w:rsidRPr="00DF71D5">
        <w:rPr>
          <w:rFonts w:ascii="Arial" w:hAnsi="Arial" w:cs="Arial"/>
          <w:b/>
          <w:bCs/>
          <w:i/>
          <w:iCs/>
          <w:sz w:val="24"/>
          <w:szCs w:val="24"/>
        </w:rPr>
        <w:t>Student Name:</w:t>
      </w:r>
      <w:r w:rsidR="002809A6" w:rsidRPr="00DF71D5">
        <w:rPr>
          <w:rFonts w:ascii="Arial" w:hAnsi="Arial" w:cs="Arial"/>
          <w:b/>
          <w:bCs/>
          <w:i/>
          <w:iCs/>
          <w:sz w:val="24"/>
          <w:szCs w:val="24"/>
        </w:rPr>
        <w:t xml:space="preserve"> Juan Camilo Sanchez Bayer</w:t>
      </w:r>
    </w:p>
    <w:p w14:paraId="432CDF3F" w14:textId="3869A9F5" w:rsidR="00F37B62" w:rsidRPr="00DF71D5" w:rsidRDefault="00F37B62" w:rsidP="00F37B62">
      <w:pPr>
        <w:spacing w:line="600" w:lineRule="auto"/>
        <w:rPr>
          <w:rFonts w:ascii="Arial" w:hAnsi="Arial" w:cs="Arial"/>
          <w:b/>
          <w:bCs/>
          <w:i/>
          <w:iCs/>
          <w:sz w:val="24"/>
          <w:szCs w:val="24"/>
        </w:rPr>
      </w:pPr>
      <w:r w:rsidRPr="00DF71D5">
        <w:rPr>
          <w:rFonts w:ascii="Arial" w:hAnsi="Arial" w:cs="Arial"/>
          <w:b/>
          <w:bCs/>
          <w:i/>
          <w:iCs/>
          <w:sz w:val="24"/>
          <w:szCs w:val="24"/>
        </w:rPr>
        <w:t>Student Number:</w:t>
      </w:r>
      <w:r w:rsidR="002809A6" w:rsidRPr="00DF71D5">
        <w:rPr>
          <w:rFonts w:ascii="Arial" w:hAnsi="Arial" w:cs="Arial"/>
          <w:b/>
          <w:bCs/>
          <w:i/>
          <w:iCs/>
          <w:sz w:val="24"/>
          <w:szCs w:val="24"/>
        </w:rPr>
        <w:t xml:space="preserve"> 2411673</w:t>
      </w:r>
    </w:p>
    <w:p w14:paraId="777CB569" w14:textId="12655473" w:rsidR="00F37B62" w:rsidRPr="00DF71D5" w:rsidRDefault="00F37B62" w:rsidP="19DF5ED4">
      <w:pPr>
        <w:spacing w:line="600" w:lineRule="auto"/>
        <w:rPr>
          <w:rFonts w:ascii="Arial" w:hAnsi="Arial" w:cs="Arial"/>
          <w:b/>
          <w:bCs/>
          <w:i/>
          <w:iCs/>
          <w:sz w:val="24"/>
          <w:szCs w:val="24"/>
        </w:rPr>
      </w:pPr>
      <w:r w:rsidRPr="00DF71D5">
        <w:rPr>
          <w:rFonts w:ascii="Arial" w:hAnsi="Arial" w:cs="Arial"/>
          <w:b/>
          <w:bCs/>
          <w:i/>
          <w:iCs/>
          <w:sz w:val="24"/>
          <w:szCs w:val="24"/>
        </w:rPr>
        <w:t>Course Name:</w:t>
      </w:r>
      <w:r w:rsidRPr="00DF71D5">
        <w:rPr>
          <w:rFonts w:ascii="Arial" w:hAnsi="Arial" w:cs="Arial"/>
          <w:i/>
          <w:iCs/>
          <w:sz w:val="24"/>
          <w:szCs w:val="24"/>
        </w:rPr>
        <w:t xml:space="preserve"> </w:t>
      </w:r>
      <w:r w:rsidR="006833D5" w:rsidRPr="00DF71D5">
        <w:rPr>
          <w:rFonts w:ascii="Arial" w:hAnsi="Arial" w:cs="Arial"/>
          <w:b/>
          <w:bCs/>
          <w:i/>
          <w:iCs/>
          <w:sz w:val="24"/>
          <w:szCs w:val="24"/>
        </w:rPr>
        <w:t>Understanding and Engaging stakeholders LCLM5001</w:t>
      </w:r>
    </w:p>
    <w:p w14:paraId="556C6252" w14:textId="48A9ED4D" w:rsidR="00F37B62" w:rsidRPr="00DF71D5" w:rsidRDefault="00F37B62" w:rsidP="00F37B62">
      <w:pPr>
        <w:spacing w:line="600" w:lineRule="auto"/>
        <w:rPr>
          <w:rFonts w:ascii="Arial" w:hAnsi="Arial" w:cs="Arial"/>
          <w:i/>
          <w:iCs/>
          <w:sz w:val="24"/>
          <w:szCs w:val="24"/>
        </w:rPr>
      </w:pPr>
      <w:r w:rsidRPr="00DF71D5">
        <w:rPr>
          <w:rFonts w:ascii="Arial" w:hAnsi="Arial" w:cs="Arial"/>
          <w:b/>
          <w:bCs/>
          <w:i/>
          <w:iCs/>
          <w:sz w:val="24"/>
          <w:szCs w:val="24"/>
        </w:rPr>
        <w:t xml:space="preserve">Lecturer Name: </w:t>
      </w:r>
      <w:r w:rsidR="006833D5" w:rsidRPr="00DF71D5">
        <w:rPr>
          <w:rFonts w:ascii="Arial" w:hAnsi="Arial" w:cs="Arial"/>
          <w:b/>
          <w:bCs/>
          <w:i/>
          <w:iCs/>
          <w:sz w:val="24"/>
          <w:szCs w:val="24"/>
        </w:rPr>
        <w:t>Kazeem Oseni</w:t>
      </w:r>
      <w:r w:rsidR="006833D5" w:rsidRPr="00DF71D5">
        <w:rPr>
          <w:rFonts w:ascii="Arial" w:hAnsi="Arial" w:cs="Arial"/>
          <w:i/>
          <w:iCs/>
          <w:sz w:val="24"/>
          <w:szCs w:val="24"/>
        </w:rPr>
        <w:t xml:space="preserve"> </w:t>
      </w:r>
    </w:p>
    <w:p w14:paraId="0CF901E6" w14:textId="65D2E4A1" w:rsidR="00F37B62" w:rsidRPr="00DF71D5" w:rsidRDefault="00F37B62" w:rsidP="19DF5ED4">
      <w:pPr>
        <w:spacing w:line="600" w:lineRule="auto"/>
        <w:rPr>
          <w:rFonts w:ascii="Arial" w:hAnsi="Arial" w:cs="Arial"/>
          <w:b/>
          <w:bCs/>
          <w:i/>
          <w:iCs/>
          <w:sz w:val="24"/>
          <w:szCs w:val="24"/>
        </w:rPr>
      </w:pPr>
      <w:r w:rsidRPr="00DF71D5">
        <w:rPr>
          <w:rFonts w:ascii="Arial" w:hAnsi="Arial" w:cs="Arial"/>
          <w:b/>
          <w:bCs/>
          <w:i/>
          <w:iCs/>
          <w:sz w:val="24"/>
          <w:szCs w:val="24"/>
        </w:rPr>
        <w:t>Session</w:t>
      </w:r>
      <w:r w:rsidRPr="00DF71D5">
        <w:rPr>
          <w:rFonts w:ascii="Arial" w:hAnsi="Arial" w:cs="Arial"/>
          <w:i/>
          <w:iCs/>
          <w:sz w:val="24"/>
          <w:szCs w:val="24"/>
        </w:rPr>
        <w:t>:</w:t>
      </w:r>
      <w:r w:rsidR="008D1598" w:rsidRPr="00DF71D5">
        <w:rPr>
          <w:rFonts w:ascii="Arial" w:hAnsi="Arial" w:cs="Arial"/>
          <w:i/>
          <w:iCs/>
          <w:sz w:val="24"/>
          <w:szCs w:val="24"/>
        </w:rPr>
        <w:t xml:space="preserve"> </w:t>
      </w:r>
      <w:r w:rsidR="002809A6" w:rsidRPr="00DF71D5">
        <w:rPr>
          <w:rFonts w:ascii="Arial" w:hAnsi="Arial" w:cs="Arial"/>
          <w:b/>
          <w:bCs/>
          <w:i/>
          <w:iCs/>
          <w:sz w:val="24"/>
          <w:szCs w:val="24"/>
        </w:rPr>
        <w:t>October</w:t>
      </w:r>
      <w:r w:rsidR="002809A6" w:rsidRPr="00DF71D5">
        <w:rPr>
          <w:rFonts w:ascii="Arial" w:hAnsi="Arial" w:cs="Arial"/>
          <w:i/>
          <w:iCs/>
          <w:sz w:val="24"/>
          <w:szCs w:val="24"/>
        </w:rPr>
        <w:t xml:space="preserve"> </w:t>
      </w:r>
      <w:r w:rsidRPr="00DF71D5">
        <w:rPr>
          <w:rFonts w:ascii="Arial" w:hAnsi="Arial" w:cs="Arial"/>
          <w:b/>
          <w:bCs/>
          <w:i/>
          <w:iCs/>
          <w:sz w:val="24"/>
          <w:szCs w:val="24"/>
        </w:rPr>
        <w:t>202</w:t>
      </w:r>
      <w:r w:rsidR="008D1598" w:rsidRPr="00DF71D5">
        <w:rPr>
          <w:rFonts w:ascii="Arial" w:hAnsi="Arial" w:cs="Arial"/>
          <w:b/>
          <w:bCs/>
          <w:i/>
          <w:iCs/>
          <w:sz w:val="24"/>
          <w:szCs w:val="24"/>
        </w:rPr>
        <w:t>5</w:t>
      </w:r>
      <w:r w:rsidRPr="00DF71D5">
        <w:rPr>
          <w:rFonts w:ascii="Arial" w:hAnsi="Arial" w:cs="Arial"/>
          <w:b/>
          <w:bCs/>
          <w:i/>
          <w:iCs/>
          <w:sz w:val="24"/>
          <w:szCs w:val="24"/>
        </w:rPr>
        <w:t xml:space="preserve"> Term </w:t>
      </w:r>
    </w:p>
    <w:p w14:paraId="5A7D7C48" w14:textId="45598E74" w:rsidR="19DF5ED4" w:rsidRPr="00DF71D5" w:rsidRDefault="19DF5ED4" w:rsidP="19DF5ED4">
      <w:pPr>
        <w:spacing w:line="600" w:lineRule="auto"/>
        <w:rPr>
          <w:rFonts w:ascii="Arial" w:hAnsi="Arial" w:cs="Arial"/>
          <w:b/>
          <w:bCs/>
          <w:i/>
          <w:iCs/>
          <w:sz w:val="24"/>
          <w:szCs w:val="24"/>
        </w:rPr>
      </w:pPr>
    </w:p>
    <w:p w14:paraId="0A78FB5C" w14:textId="2271F2D6" w:rsidR="19DF5ED4" w:rsidRPr="00DF71D5" w:rsidRDefault="19DF5ED4" w:rsidP="19DF5ED4">
      <w:pPr>
        <w:spacing w:line="600" w:lineRule="auto"/>
        <w:rPr>
          <w:rFonts w:ascii="Arial" w:hAnsi="Arial" w:cs="Arial"/>
          <w:b/>
          <w:bCs/>
          <w:i/>
          <w:iCs/>
        </w:rPr>
      </w:pPr>
    </w:p>
    <w:p w14:paraId="22AF23BB" w14:textId="39790727" w:rsidR="19DF5ED4" w:rsidRPr="00DF71D5" w:rsidRDefault="19DF5ED4" w:rsidP="19DF5ED4">
      <w:pPr>
        <w:spacing w:line="600" w:lineRule="auto"/>
        <w:rPr>
          <w:rFonts w:ascii="Arial" w:hAnsi="Arial" w:cs="Arial"/>
          <w:b/>
          <w:bCs/>
          <w:i/>
          <w:iCs/>
        </w:rPr>
      </w:pPr>
    </w:p>
    <w:p w14:paraId="6005BE0B" w14:textId="562CEB2F" w:rsidR="19DF5ED4" w:rsidRPr="00DF71D5" w:rsidRDefault="19DF5ED4" w:rsidP="19DF5ED4">
      <w:pPr>
        <w:spacing w:line="600" w:lineRule="auto"/>
        <w:rPr>
          <w:rFonts w:ascii="Arial" w:hAnsi="Arial" w:cs="Arial"/>
          <w:b/>
          <w:bCs/>
          <w:i/>
          <w:iCs/>
        </w:rPr>
      </w:pPr>
    </w:p>
    <w:p w14:paraId="390047F9" w14:textId="694B2E1D" w:rsidR="19DF5ED4" w:rsidRPr="00DF71D5" w:rsidRDefault="19DF5ED4" w:rsidP="19DF5ED4">
      <w:pPr>
        <w:spacing w:line="600" w:lineRule="auto"/>
        <w:rPr>
          <w:rFonts w:ascii="Arial" w:hAnsi="Arial" w:cs="Arial"/>
          <w:b/>
          <w:bCs/>
          <w:i/>
          <w:iCs/>
        </w:rPr>
      </w:pPr>
    </w:p>
    <w:p w14:paraId="557D2D02" w14:textId="12865687" w:rsidR="19DF5ED4" w:rsidRPr="00DF71D5" w:rsidRDefault="545F6007" w:rsidP="19DF5ED4">
      <w:pPr>
        <w:spacing w:line="600" w:lineRule="auto"/>
        <w:rPr>
          <w:rFonts w:ascii="Arial" w:hAnsi="Arial" w:cs="Arial"/>
          <w:b/>
          <w:bCs/>
          <w:sz w:val="36"/>
          <w:szCs w:val="36"/>
        </w:rPr>
      </w:pPr>
      <w:r w:rsidRPr="00DF71D5">
        <w:rPr>
          <w:rFonts w:ascii="Arial" w:hAnsi="Arial" w:cs="Arial"/>
          <w:b/>
          <w:bCs/>
          <w:sz w:val="36"/>
          <w:szCs w:val="36"/>
        </w:rPr>
        <w:lastRenderedPageBreak/>
        <w:t xml:space="preserve">Table of Content </w:t>
      </w:r>
    </w:p>
    <w:p w14:paraId="3CAD78A0" w14:textId="77777777" w:rsidR="002809A6" w:rsidRPr="00DF71D5" w:rsidRDefault="002809A6" w:rsidP="19DF5ED4">
      <w:pPr>
        <w:spacing w:line="600" w:lineRule="auto"/>
        <w:rPr>
          <w:rFonts w:ascii="Arial" w:hAnsi="Arial" w:cs="Arial"/>
          <w:b/>
          <w:bCs/>
        </w:rPr>
      </w:pPr>
    </w:p>
    <w:p w14:paraId="00BAFCEC" w14:textId="147B1B1A" w:rsidR="002809A6" w:rsidRPr="00DF71D5" w:rsidRDefault="002809A6" w:rsidP="002809A6">
      <w:pPr>
        <w:spacing w:line="600" w:lineRule="auto"/>
        <w:rPr>
          <w:rFonts w:ascii="Arial" w:hAnsi="Arial" w:cs="Arial"/>
          <w:b/>
          <w:bCs/>
        </w:rPr>
      </w:pPr>
      <w:hyperlink r:id="rId9" w:anchor="_precdviqkthd" w:history="1">
        <w:r w:rsidRPr="00DF71D5">
          <w:rPr>
            <w:rStyle w:val="Hyperlink"/>
            <w:rFonts w:ascii="Arial" w:hAnsi="Arial" w:cs="Arial"/>
            <w:b/>
            <w:bCs/>
            <w:color w:val="auto"/>
            <w:u w:val="none"/>
          </w:rPr>
          <w:t>1.0. Introduction to the Chosen Organization</w:t>
        </w:r>
      </w:hyperlink>
    </w:p>
    <w:p w14:paraId="2085A05C" w14:textId="0572627C" w:rsidR="002809A6" w:rsidRPr="00DF71D5" w:rsidRDefault="002809A6" w:rsidP="002809A6">
      <w:pPr>
        <w:spacing w:line="600" w:lineRule="auto"/>
        <w:rPr>
          <w:rFonts w:ascii="Arial" w:hAnsi="Arial" w:cs="Arial"/>
          <w:b/>
          <w:bCs/>
        </w:rPr>
      </w:pPr>
      <w:hyperlink r:id="rId10" w:anchor="_1ht06pfeh20s" w:history="1">
        <w:r w:rsidRPr="00DF71D5">
          <w:rPr>
            <w:rStyle w:val="Hyperlink"/>
            <w:rFonts w:ascii="Arial" w:hAnsi="Arial" w:cs="Arial"/>
            <w:b/>
            <w:bCs/>
            <w:color w:val="auto"/>
            <w:u w:val="none"/>
          </w:rPr>
          <w:t>2.0. Objectives of the project (SMART)</w:t>
        </w:r>
      </w:hyperlink>
    </w:p>
    <w:p w14:paraId="4165ACDC" w14:textId="4D662408" w:rsidR="002809A6" w:rsidRPr="00DF71D5" w:rsidRDefault="002809A6" w:rsidP="002809A6">
      <w:pPr>
        <w:spacing w:line="600" w:lineRule="auto"/>
        <w:rPr>
          <w:rFonts w:ascii="Arial" w:hAnsi="Arial" w:cs="Arial"/>
          <w:b/>
          <w:bCs/>
        </w:rPr>
      </w:pPr>
      <w:hyperlink r:id="rId11" w:anchor="_kh0agjb6h2b3" w:history="1">
        <w:r w:rsidRPr="00DF71D5">
          <w:rPr>
            <w:rStyle w:val="Hyperlink"/>
            <w:rFonts w:ascii="Arial" w:hAnsi="Arial" w:cs="Arial"/>
            <w:b/>
            <w:bCs/>
            <w:color w:val="auto"/>
            <w:u w:val="none"/>
          </w:rPr>
          <w:t>3.0. Identifying Key Stakeholders</w:t>
        </w:r>
      </w:hyperlink>
    </w:p>
    <w:p w14:paraId="74A5452E" w14:textId="54293F16" w:rsidR="002809A6" w:rsidRPr="00DF71D5" w:rsidRDefault="002809A6" w:rsidP="002809A6">
      <w:pPr>
        <w:spacing w:line="600" w:lineRule="auto"/>
        <w:rPr>
          <w:rFonts w:ascii="Arial" w:hAnsi="Arial" w:cs="Arial"/>
          <w:b/>
          <w:bCs/>
        </w:rPr>
      </w:pPr>
      <w:hyperlink r:id="rId12" w:anchor="_ytyfu9r30mvs" w:history="1">
        <w:r w:rsidRPr="00DF71D5">
          <w:rPr>
            <w:rStyle w:val="Hyperlink"/>
            <w:rFonts w:ascii="Arial" w:hAnsi="Arial" w:cs="Arial"/>
            <w:b/>
            <w:bCs/>
            <w:color w:val="auto"/>
            <w:u w:val="none"/>
          </w:rPr>
          <w:t>3.1. Identification  of the stakeholders</w:t>
        </w:r>
      </w:hyperlink>
    </w:p>
    <w:p w14:paraId="035BE25C" w14:textId="6A4780E8" w:rsidR="002809A6" w:rsidRPr="00DF71D5" w:rsidRDefault="002809A6" w:rsidP="002809A6">
      <w:pPr>
        <w:spacing w:line="600" w:lineRule="auto"/>
        <w:rPr>
          <w:rFonts w:ascii="Arial" w:hAnsi="Arial" w:cs="Arial"/>
          <w:b/>
          <w:bCs/>
        </w:rPr>
      </w:pPr>
      <w:hyperlink r:id="rId13" w:anchor="_5as1ejf50h69" w:history="1">
        <w:r w:rsidRPr="00DF71D5">
          <w:rPr>
            <w:rStyle w:val="Hyperlink"/>
            <w:rFonts w:ascii="Arial" w:hAnsi="Arial" w:cs="Arial"/>
            <w:b/>
            <w:bCs/>
            <w:color w:val="auto"/>
            <w:u w:val="none"/>
          </w:rPr>
          <w:t>3.2. Benefits and challenges</w:t>
        </w:r>
      </w:hyperlink>
    </w:p>
    <w:p w14:paraId="7707A595" w14:textId="373E40C4" w:rsidR="002809A6" w:rsidRPr="00DF71D5" w:rsidRDefault="002809A6" w:rsidP="002809A6">
      <w:pPr>
        <w:spacing w:line="600" w:lineRule="auto"/>
        <w:rPr>
          <w:rFonts w:ascii="Arial" w:hAnsi="Arial" w:cs="Arial"/>
          <w:b/>
          <w:bCs/>
        </w:rPr>
      </w:pPr>
      <w:hyperlink r:id="rId14" w:anchor="_ib5qo8l3v3or" w:history="1">
        <w:r w:rsidRPr="00DF71D5">
          <w:rPr>
            <w:rStyle w:val="Hyperlink"/>
            <w:rFonts w:ascii="Arial" w:hAnsi="Arial" w:cs="Arial"/>
            <w:b/>
            <w:bCs/>
            <w:color w:val="auto"/>
            <w:u w:val="none"/>
          </w:rPr>
          <w:t>3.3. Stakeholder Analysis Tools</w:t>
        </w:r>
      </w:hyperlink>
    </w:p>
    <w:p w14:paraId="7B682DE0" w14:textId="2D68F3E8" w:rsidR="002809A6" w:rsidRPr="00DF71D5" w:rsidRDefault="002809A6" w:rsidP="002809A6">
      <w:pPr>
        <w:spacing w:line="600" w:lineRule="auto"/>
        <w:rPr>
          <w:rFonts w:ascii="Arial" w:hAnsi="Arial" w:cs="Arial"/>
          <w:b/>
          <w:bCs/>
        </w:rPr>
      </w:pPr>
      <w:hyperlink r:id="rId15" w:anchor="_pbeqka9wigma" w:history="1">
        <w:r w:rsidRPr="00DF71D5">
          <w:rPr>
            <w:rStyle w:val="Hyperlink"/>
            <w:rFonts w:ascii="Arial" w:hAnsi="Arial" w:cs="Arial"/>
            <w:b/>
            <w:bCs/>
            <w:color w:val="auto"/>
            <w:u w:val="none"/>
          </w:rPr>
          <w:t>4.0. Roles of the Manager in Engaging Stakeholders</w:t>
        </w:r>
      </w:hyperlink>
    </w:p>
    <w:p w14:paraId="66B4E82D" w14:textId="364919A1" w:rsidR="002809A6" w:rsidRPr="00DF71D5" w:rsidRDefault="002809A6" w:rsidP="002809A6">
      <w:pPr>
        <w:spacing w:line="600" w:lineRule="auto"/>
        <w:rPr>
          <w:rFonts w:ascii="Arial" w:hAnsi="Arial" w:cs="Arial"/>
          <w:b/>
          <w:bCs/>
        </w:rPr>
      </w:pPr>
      <w:hyperlink r:id="rId16" w:anchor="_jvd1kd4z9a61" w:history="1">
        <w:r w:rsidRPr="00DF71D5">
          <w:rPr>
            <w:rStyle w:val="Hyperlink"/>
            <w:rFonts w:ascii="Arial" w:hAnsi="Arial" w:cs="Arial"/>
            <w:b/>
            <w:bCs/>
            <w:color w:val="auto"/>
            <w:u w:val="none"/>
          </w:rPr>
          <w:t>4.1. Communication Plan</w:t>
        </w:r>
      </w:hyperlink>
    </w:p>
    <w:p w14:paraId="2AB1A273" w14:textId="6528BE4C" w:rsidR="002809A6" w:rsidRPr="00DF71D5" w:rsidRDefault="002809A6" w:rsidP="002809A6">
      <w:pPr>
        <w:spacing w:line="600" w:lineRule="auto"/>
        <w:rPr>
          <w:rFonts w:ascii="Arial" w:hAnsi="Arial" w:cs="Arial"/>
          <w:b/>
          <w:bCs/>
        </w:rPr>
      </w:pPr>
      <w:hyperlink r:id="rId17" w:anchor="_td9uyjshdsa3" w:history="1">
        <w:r w:rsidRPr="00DF71D5">
          <w:rPr>
            <w:rStyle w:val="Hyperlink"/>
            <w:rFonts w:ascii="Arial" w:hAnsi="Arial" w:cs="Arial"/>
            <w:b/>
            <w:bCs/>
            <w:color w:val="auto"/>
            <w:u w:val="none"/>
          </w:rPr>
          <w:t>4.2. Level of Engagement</w:t>
        </w:r>
      </w:hyperlink>
    </w:p>
    <w:p w14:paraId="7BB1D3E4" w14:textId="1BF0DAAF" w:rsidR="002809A6" w:rsidRPr="00DF71D5" w:rsidRDefault="002809A6" w:rsidP="00924D05">
      <w:pPr>
        <w:tabs>
          <w:tab w:val="left" w:pos="720"/>
          <w:tab w:val="left" w:pos="1440"/>
          <w:tab w:val="left" w:pos="2160"/>
          <w:tab w:val="left" w:pos="2880"/>
          <w:tab w:val="left" w:pos="3600"/>
          <w:tab w:val="left" w:pos="4320"/>
          <w:tab w:val="left" w:pos="5040"/>
          <w:tab w:val="left" w:pos="5689"/>
        </w:tabs>
        <w:spacing w:line="600" w:lineRule="auto"/>
        <w:rPr>
          <w:rFonts w:ascii="Arial" w:hAnsi="Arial" w:cs="Arial"/>
          <w:b/>
          <w:bCs/>
        </w:rPr>
      </w:pPr>
      <w:hyperlink r:id="rId18" w:anchor="_5ssuppltoj5r" w:history="1">
        <w:r w:rsidRPr="00DF71D5">
          <w:rPr>
            <w:rStyle w:val="Hyperlink"/>
            <w:rFonts w:ascii="Arial" w:hAnsi="Arial" w:cs="Arial"/>
            <w:b/>
            <w:bCs/>
            <w:color w:val="auto"/>
            <w:u w:val="none"/>
          </w:rPr>
          <w:t>5.0.  Importance of Stakeholder Engagement</w:t>
        </w:r>
      </w:hyperlink>
    </w:p>
    <w:p w14:paraId="6F3E1302" w14:textId="3013DE8C" w:rsidR="19DF5ED4" w:rsidRDefault="002809A6" w:rsidP="19DF5ED4">
      <w:pPr>
        <w:spacing w:line="600" w:lineRule="auto"/>
        <w:rPr>
          <w:rFonts w:ascii="Arial" w:hAnsi="Arial" w:cs="Arial"/>
        </w:rPr>
      </w:pPr>
      <w:hyperlink r:id="rId19" w:anchor="_kp6ou0fsivz6" w:history="1">
        <w:r w:rsidRPr="00DF71D5">
          <w:rPr>
            <w:rStyle w:val="Hyperlink"/>
            <w:rFonts w:ascii="Arial" w:hAnsi="Arial" w:cs="Arial"/>
            <w:b/>
            <w:bCs/>
            <w:color w:val="auto"/>
            <w:u w:val="none"/>
          </w:rPr>
          <w:t>5.1.  Justification of the statement</w:t>
        </w:r>
        <w:r w:rsidRPr="00DF71D5">
          <w:rPr>
            <w:rStyle w:val="Hyperlink"/>
            <w:rFonts w:ascii="Arial" w:hAnsi="Arial" w:cs="Arial"/>
            <w:b/>
            <w:bCs/>
            <w:color w:val="auto"/>
            <w:u w:val="none"/>
          </w:rPr>
          <w:tab/>
        </w:r>
      </w:hyperlink>
    </w:p>
    <w:p w14:paraId="541A0C73" w14:textId="0E6D5F76" w:rsidR="00923C12" w:rsidRDefault="00923C12" w:rsidP="19DF5ED4">
      <w:pPr>
        <w:spacing w:line="600" w:lineRule="auto"/>
        <w:rPr>
          <w:rFonts w:ascii="Arial" w:hAnsi="Arial" w:cs="Arial"/>
          <w:b/>
          <w:bCs/>
        </w:rPr>
      </w:pPr>
      <w:r w:rsidRPr="00923C12">
        <w:rPr>
          <w:rFonts w:ascii="Arial" w:hAnsi="Arial" w:cs="Arial"/>
          <w:b/>
          <w:bCs/>
        </w:rPr>
        <w:t xml:space="preserve">6.0 conclusion </w:t>
      </w:r>
    </w:p>
    <w:p w14:paraId="6A144543" w14:textId="4A3F960F" w:rsidR="00923C12" w:rsidRPr="00923C12" w:rsidRDefault="00923C12" w:rsidP="19DF5ED4">
      <w:pPr>
        <w:spacing w:line="600" w:lineRule="auto"/>
        <w:rPr>
          <w:rFonts w:ascii="Arial" w:hAnsi="Arial" w:cs="Arial"/>
          <w:b/>
          <w:bCs/>
        </w:rPr>
      </w:pPr>
      <w:r>
        <w:rPr>
          <w:rFonts w:ascii="Arial" w:hAnsi="Arial" w:cs="Arial"/>
          <w:b/>
          <w:bCs/>
        </w:rPr>
        <w:t xml:space="preserve">6.1 References </w:t>
      </w:r>
    </w:p>
    <w:p w14:paraId="3B864186" w14:textId="77777777" w:rsidR="00924D05" w:rsidRPr="00DF71D5" w:rsidRDefault="00924D05" w:rsidP="19DF5ED4">
      <w:pPr>
        <w:spacing w:line="600" w:lineRule="auto"/>
        <w:rPr>
          <w:rFonts w:ascii="Arial" w:hAnsi="Arial" w:cs="Arial"/>
          <w:b/>
          <w:bCs/>
        </w:rPr>
      </w:pPr>
    </w:p>
    <w:p w14:paraId="125A4E05" w14:textId="47B6F5F1" w:rsidR="19DF5ED4" w:rsidRPr="00DF71D5" w:rsidRDefault="19DF5ED4" w:rsidP="19DF5ED4">
      <w:pPr>
        <w:spacing w:line="600" w:lineRule="auto"/>
        <w:rPr>
          <w:rFonts w:ascii="Arial" w:hAnsi="Arial" w:cs="Arial"/>
          <w:b/>
          <w:bCs/>
          <w:i/>
          <w:iCs/>
        </w:rPr>
      </w:pPr>
    </w:p>
    <w:p w14:paraId="5D792768" w14:textId="76B4FDA3" w:rsidR="00DF71D5" w:rsidRPr="00DF71D5" w:rsidRDefault="007A502D" w:rsidP="00FC6067">
      <w:pPr>
        <w:spacing w:line="360" w:lineRule="auto"/>
        <w:rPr>
          <w:rFonts w:ascii="Arial" w:hAnsi="Arial" w:cs="Arial"/>
          <w:b/>
          <w:bCs/>
          <w:sz w:val="40"/>
          <w:szCs w:val="40"/>
          <w:highlight w:val="yellow"/>
        </w:rPr>
      </w:pPr>
      <w:r>
        <w:rPr>
          <w:rFonts w:ascii="Arial" w:hAnsi="Arial" w:cs="Arial"/>
          <w:b/>
          <w:bCs/>
          <w:sz w:val="36"/>
          <w:szCs w:val="36"/>
          <w:highlight w:val="yellow"/>
        </w:rPr>
        <w:lastRenderedPageBreak/>
        <w:t xml:space="preserve">1.0 </w:t>
      </w:r>
      <w:r w:rsidR="00DF71D5" w:rsidRPr="00DF71D5">
        <w:rPr>
          <w:rFonts w:ascii="Arial" w:hAnsi="Arial" w:cs="Arial"/>
          <w:b/>
          <w:bCs/>
          <w:sz w:val="36"/>
          <w:szCs w:val="36"/>
          <w:highlight w:val="yellow"/>
        </w:rPr>
        <w:t>Introduction: AstraZeneca and the Project Context</w:t>
      </w:r>
    </w:p>
    <w:p w14:paraId="0BE9A257" w14:textId="77777777" w:rsidR="00DF71D5" w:rsidRPr="00DF71D5" w:rsidRDefault="00DF71D5" w:rsidP="00FC6067">
      <w:pPr>
        <w:spacing w:line="360" w:lineRule="auto"/>
        <w:rPr>
          <w:rFonts w:ascii="Arial" w:hAnsi="Arial" w:cs="Arial"/>
          <w:sz w:val="24"/>
          <w:szCs w:val="24"/>
        </w:rPr>
      </w:pPr>
      <w:r w:rsidRPr="00DF71D5">
        <w:rPr>
          <w:rFonts w:ascii="Arial" w:hAnsi="Arial" w:cs="Arial"/>
          <w:sz w:val="24"/>
          <w:szCs w:val="24"/>
        </w:rPr>
        <w:t>AstraZeneca stands as a global biopharmaceutical leader, headquartered in Cambridge, UK. The company’s core focus is the discovery, development, and commercialization of prescription medicines, with strengths in oncology, rare diseases, cardiovascular, renal, metabolism, and respiratory and immunology fields. AstraZeneca operates in over 100 countries, serving millions of patients worldwide. The company’s commitment to science-driven innovation is matched by its drive for sustainability, health equity, and system resilience.</w:t>
      </w:r>
    </w:p>
    <w:p w14:paraId="1D05AA1E" w14:textId="77777777" w:rsidR="00DF71D5" w:rsidRPr="00DF71D5" w:rsidRDefault="00DF71D5" w:rsidP="00FC6067">
      <w:pPr>
        <w:spacing w:line="360" w:lineRule="auto"/>
        <w:rPr>
          <w:rFonts w:ascii="Arial" w:hAnsi="Arial" w:cs="Arial"/>
          <w:sz w:val="24"/>
          <w:szCs w:val="24"/>
        </w:rPr>
      </w:pPr>
      <w:r w:rsidRPr="00DF71D5">
        <w:rPr>
          <w:rFonts w:ascii="Arial" w:hAnsi="Arial" w:cs="Arial"/>
          <w:sz w:val="24"/>
          <w:szCs w:val="24"/>
        </w:rPr>
        <w:t>In November 2023, AstraZeneca launched Evinova, a digital health subsidiary. Evinova’s mission is to accelerate innovation in life sciences, deliver scalable digital health solutions, and improve clinical trial outcomes. Evinova leverages AstraZeneca’s expertise in AI, digital product development, and patient-centric design. Its solutions are already deployed in over 40 countries, supporting decentralized and hybrid clinical trials, remote patient monitoring, and digital therapeutics.</w:t>
      </w:r>
    </w:p>
    <w:p w14:paraId="7D5BF173" w14:textId="57D7C62F" w:rsidR="00DF71D5" w:rsidRPr="00DF71D5" w:rsidRDefault="00DF71D5" w:rsidP="00FC6067">
      <w:pPr>
        <w:spacing w:line="360" w:lineRule="auto"/>
        <w:rPr>
          <w:rFonts w:ascii="Arial" w:hAnsi="Arial" w:cs="Arial"/>
          <w:sz w:val="24"/>
          <w:szCs w:val="24"/>
        </w:rPr>
      </w:pPr>
      <w:r w:rsidRPr="00DF71D5">
        <w:rPr>
          <w:rFonts w:ascii="Arial" w:hAnsi="Arial" w:cs="Arial"/>
          <w:sz w:val="24"/>
          <w:szCs w:val="24"/>
        </w:rPr>
        <w:t>The wearable health device project sits at the intersection of these ambitions. The device aims to enable continuous, real</w:t>
      </w:r>
      <w:r w:rsidR="00FC6067">
        <w:rPr>
          <w:rFonts w:ascii="Arial" w:hAnsi="Arial" w:cs="Arial"/>
          <w:sz w:val="24"/>
          <w:szCs w:val="24"/>
        </w:rPr>
        <w:t xml:space="preserve"> </w:t>
      </w:r>
      <w:r w:rsidRPr="00DF71D5">
        <w:rPr>
          <w:rFonts w:ascii="Arial" w:hAnsi="Arial" w:cs="Arial"/>
          <w:sz w:val="24"/>
          <w:szCs w:val="24"/>
        </w:rPr>
        <w:t>time patient monitoring, support remote care, and generate actionable health data. It is designed for integration into clinical trials and routine care, targeting chronic disease management and early intervention. The project aligns with AstraZeneca’s sustainability and digital transformation goals, aiming to reduce healthcare costs, improve outcomes, and minimize environmental impact.</w:t>
      </w:r>
    </w:p>
    <w:p w14:paraId="4B4ABD97" w14:textId="77777777" w:rsidR="00DF71D5" w:rsidRPr="00DF71D5" w:rsidRDefault="00DF71D5" w:rsidP="00FC6067">
      <w:pPr>
        <w:spacing w:line="360" w:lineRule="auto"/>
        <w:rPr>
          <w:rFonts w:ascii="Arial" w:hAnsi="Arial" w:cs="Arial"/>
          <w:sz w:val="24"/>
          <w:szCs w:val="24"/>
        </w:rPr>
      </w:pPr>
      <w:r w:rsidRPr="00DF71D5">
        <w:rPr>
          <w:rFonts w:ascii="Arial" w:hAnsi="Arial" w:cs="Arial"/>
          <w:sz w:val="24"/>
          <w:szCs w:val="24"/>
        </w:rPr>
        <w:t>AstraZeneca’s approach is not insular. The company collaborates with contract research organizations (CROs), technology partners like Accenture and Amazon Web Services, and regulatory bodies. Evinova’s digital suite is co-created with patients and clinicians, emphasizing usability, inclusivity, and evidence-based design. The wearable device launch is a strategic move to cement AstraZeneca’s leadership in digital health, drive adoption of remote monitoring, and set new standards for stakeholder engagement in MedTech.</w:t>
      </w:r>
    </w:p>
    <w:p w14:paraId="0D582A97" w14:textId="5DE06DE2" w:rsidR="00DF71D5" w:rsidRPr="00FC6067" w:rsidRDefault="00DF71D5" w:rsidP="00FC6067">
      <w:pPr>
        <w:spacing w:line="360" w:lineRule="auto"/>
        <w:rPr>
          <w:rFonts w:ascii="Arial" w:hAnsi="Arial" w:cs="Arial"/>
          <w:sz w:val="24"/>
          <w:szCs w:val="24"/>
        </w:rPr>
      </w:pPr>
    </w:p>
    <w:p w14:paraId="0A66A971" w14:textId="05FE49D3" w:rsidR="00DF71D5" w:rsidRPr="00DF71D5" w:rsidRDefault="007A502D" w:rsidP="00FC6067">
      <w:pPr>
        <w:spacing w:line="360" w:lineRule="auto"/>
        <w:rPr>
          <w:rFonts w:ascii="Arial" w:hAnsi="Arial" w:cs="Arial"/>
          <w:b/>
          <w:bCs/>
          <w:sz w:val="36"/>
          <w:szCs w:val="36"/>
        </w:rPr>
      </w:pPr>
      <w:r>
        <w:rPr>
          <w:rFonts w:ascii="Arial" w:hAnsi="Arial" w:cs="Arial"/>
          <w:b/>
          <w:bCs/>
          <w:sz w:val="36"/>
          <w:szCs w:val="36"/>
          <w:highlight w:val="yellow"/>
        </w:rPr>
        <w:lastRenderedPageBreak/>
        <w:t xml:space="preserve">2.0 </w:t>
      </w:r>
      <w:r w:rsidR="00DF71D5" w:rsidRPr="00DF71D5">
        <w:rPr>
          <w:rFonts w:ascii="Arial" w:hAnsi="Arial" w:cs="Arial"/>
          <w:b/>
          <w:bCs/>
          <w:sz w:val="36"/>
          <w:szCs w:val="36"/>
          <w:highlight w:val="yellow"/>
        </w:rPr>
        <w:t>SMART Objectives for the Wearable Device Launch</w:t>
      </w:r>
    </w:p>
    <w:p w14:paraId="1F7F0B93" w14:textId="108C95D2" w:rsidR="00DF71D5" w:rsidRPr="00DF71D5" w:rsidRDefault="00DF71D5" w:rsidP="00FC6067">
      <w:pPr>
        <w:spacing w:line="360" w:lineRule="auto"/>
        <w:rPr>
          <w:rFonts w:ascii="Arial" w:hAnsi="Arial" w:cs="Arial"/>
          <w:sz w:val="24"/>
          <w:szCs w:val="24"/>
        </w:rPr>
      </w:pPr>
      <w:r w:rsidRPr="00DF71D5">
        <w:rPr>
          <w:rFonts w:ascii="Arial" w:hAnsi="Arial" w:cs="Arial"/>
          <w:sz w:val="24"/>
          <w:szCs w:val="24"/>
        </w:rPr>
        <w:t>AstraZeneca’s wearable device launch is governed by SMART objectives</w:t>
      </w:r>
      <w:r>
        <w:rPr>
          <w:rFonts w:ascii="Arial" w:hAnsi="Arial" w:cs="Arial"/>
          <w:sz w:val="24"/>
          <w:szCs w:val="24"/>
        </w:rPr>
        <w:t xml:space="preserve"> </w:t>
      </w:r>
      <w:r w:rsidRPr="00DF71D5">
        <w:rPr>
          <w:rFonts w:ascii="Arial" w:hAnsi="Arial" w:cs="Arial"/>
          <w:sz w:val="24"/>
          <w:szCs w:val="24"/>
        </w:rPr>
        <w:t>Specific, Measurable, Achievable, Relevant, and Time</w:t>
      </w:r>
      <w:r>
        <w:rPr>
          <w:rFonts w:ascii="Arial" w:hAnsi="Arial" w:cs="Arial"/>
          <w:sz w:val="24"/>
          <w:szCs w:val="24"/>
        </w:rPr>
        <w:t xml:space="preserve"> </w:t>
      </w:r>
      <w:r w:rsidRPr="00DF71D5">
        <w:rPr>
          <w:rFonts w:ascii="Arial" w:hAnsi="Arial" w:cs="Arial"/>
          <w:sz w:val="24"/>
          <w:szCs w:val="24"/>
        </w:rPr>
        <w:t>bound</w:t>
      </w:r>
      <w:r>
        <w:rPr>
          <w:rFonts w:ascii="Arial" w:hAnsi="Arial" w:cs="Arial"/>
          <w:sz w:val="24"/>
          <w:szCs w:val="24"/>
        </w:rPr>
        <w:t xml:space="preserve"> </w:t>
      </w:r>
      <w:r w:rsidRPr="00DF71D5">
        <w:rPr>
          <w:rFonts w:ascii="Arial" w:hAnsi="Arial" w:cs="Arial"/>
          <w:sz w:val="24"/>
          <w:szCs w:val="24"/>
        </w:rPr>
        <w:t>ensuring clarity and accountability.</w:t>
      </w:r>
    </w:p>
    <w:p w14:paraId="67EBD0BB" w14:textId="77777777" w:rsidR="00DF71D5" w:rsidRPr="00DF71D5" w:rsidRDefault="00DF71D5" w:rsidP="00FC6067">
      <w:pPr>
        <w:spacing w:line="360" w:lineRule="auto"/>
        <w:rPr>
          <w:rFonts w:ascii="Arial" w:hAnsi="Arial" w:cs="Arial"/>
          <w:sz w:val="24"/>
          <w:szCs w:val="24"/>
          <w:lang w:val="es-ES"/>
        </w:rPr>
      </w:pPr>
      <w:r w:rsidRPr="00DF71D5">
        <w:rPr>
          <w:rFonts w:ascii="Arial" w:hAnsi="Arial" w:cs="Arial"/>
          <w:b/>
          <w:bCs/>
          <w:sz w:val="24"/>
          <w:szCs w:val="24"/>
          <w:lang w:val="es-ES"/>
        </w:rPr>
        <w:t>Specific:</w:t>
      </w:r>
    </w:p>
    <w:p w14:paraId="5CB376F7" w14:textId="77777777" w:rsidR="00DF71D5" w:rsidRPr="00DF71D5" w:rsidRDefault="00DF71D5" w:rsidP="00FC6067">
      <w:pPr>
        <w:numPr>
          <w:ilvl w:val="0"/>
          <w:numId w:val="1"/>
        </w:numPr>
        <w:spacing w:line="360" w:lineRule="auto"/>
        <w:rPr>
          <w:rFonts w:ascii="Arial" w:hAnsi="Arial" w:cs="Arial"/>
          <w:sz w:val="24"/>
          <w:szCs w:val="24"/>
        </w:rPr>
      </w:pPr>
      <w:r w:rsidRPr="00DF71D5">
        <w:rPr>
          <w:rFonts w:ascii="Arial" w:hAnsi="Arial" w:cs="Arial"/>
          <w:sz w:val="24"/>
          <w:szCs w:val="24"/>
        </w:rPr>
        <w:t>Launch a wearable health device for remote patient monitoring, targeting chronic disease management and clinical trial optimization.</w:t>
      </w:r>
    </w:p>
    <w:p w14:paraId="6BE7C42F" w14:textId="77777777" w:rsidR="00DF71D5" w:rsidRPr="00DF71D5" w:rsidRDefault="00DF71D5" w:rsidP="00FC6067">
      <w:pPr>
        <w:numPr>
          <w:ilvl w:val="0"/>
          <w:numId w:val="1"/>
        </w:numPr>
        <w:spacing w:line="360" w:lineRule="auto"/>
        <w:rPr>
          <w:rFonts w:ascii="Arial" w:hAnsi="Arial" w:cs="Arial"/>
          <w:sz w:val="24"/>
          <w:szCs w:val="24"/>
        </w:rPr>
      </w:pPr>
      <w:r w:rsidRPr="00DF71D5">
        <w:rPr>
          <w:rFonts w:ascii="Arial" w:hAnsi="Arial" w:cs="Arial"/>
          <w:sz w:val="24"/>
          <w:szCs w:val="24"/>
        </w:rPr>
        <w:t>Integrate the device into Evinova’s digital health suite, ensuring interoperability with existing platforms and electronic health records.</w:t>
      </w:r>
    </w:p>
    <w:p w14:paraId="355E32D7" w14:textId="77777777" w:rsidR="00DF71D5" w:rsidRPr="00DF71D5" w:rsidRDefault="00DF71D5" w:rsidP="00FC6067">
      <w:pPr>
        <w:spacing w:line="360" w:lineRule="auto"/>
        <w:rPr>
          <w:rFonts w:ascii="Arial" w:hAnsi="Arial" w:cs="Arial"/>
          <w:sz w:val="24"/>
          <w:szCs w:val="24"/>
          <w:lang w:val="es-ES"/>
        </w:rPr>
      </w:pPr>
      <w:r w:rsidRPr="00DF71D5">
        <w:rPr>
          <w:rFonts w:ascii="Arial" w:hAnsi="Arial" w:cs="Arial"/>
          <w:b/>
          <w:bCs/>
          <w:sz w:val="24"/>
          <w:szCs w:val="24"/>
          <w:lang w:val="es-ES"/>
        </w:rPr>
        <w:t>Measurable:</w:t>
      </w:r>
    </w:p>
    <w:p w14:paraId="79D12E01" w14:textId="77777777" w:rsidR="00DF71D5" w:rsidRPr="00DF71D5" w:rsidRDefault="00DF71D5" w:rsidP="00FC6067">
      <w:pPr>
        <w:numPr>
          <w:ilvl w:val="0"/>
          <w:numId w:val="2"/>
        </w:numPr>
        <w:spacing w:line="360" w:lineRule="auto"/>
        <w:rPr>
          <w:rFonts w:ascii="Arial" w:hAnsi="Arial" w:cs="Arial"/>
          <w:sz w:val="24"/>
          <w:szCs w:val="24"/>
        </w:rPr>
      </w:pPr>
      <w:r w:rsidRPr="00DF71D5">
        <w:rPr>
          <w:rFonts w:ascii="Arial" w:hAnsi="Arial" w:cs="Arial"/>
          <w:sz w:val="24"/>
          <w:szCs w:val="24"/>
        </w:rPr>
        <w:t>Achieve deployment in at least 10 pilot healthcare systems and 5 major clinical trials within 12 months.</w:t>
      </w:r>
    </w:p>
    <w:p w14:paraId="68DEDCA3" w14:textId="77777777" w:rsidR="00DF71D5" w:rsidRPr="00DF71D5" w:rsidRDefault="00DF71D5" w:rsidP="00FC6067">
      <w:pPr>
        <w:numPr>
          <w:ilvl w:val="0"/>
          <w:numId w:val="2"/>
        </w:numPr>
        <w:spacing w:line="360" w:lineRule="auto"/>
        <w:rPr>
          <w:rFonts w:ascii="Arial" w:hAnsi="Arial" w:cs="Arial"/>
          <w:sz w:val="24"/>
          <w:szCs w:val="24"/>
        </w:rPr>
      </w:pPr>
      <w:r w:rsidRPr="00DF71D5">
        <w:rPr>
          <w:rFonts w:ascii="Arial" w:hAnsi="Arial" w:cs="Arial"/>
          <w:sz w:val="24"/>
          <w:szCs w:val="24"/>
        </w:rPr>
        <w:t>Target a 20% reduction in trial recruitment time and a 15% improvement in patient adherence, measured by device usage analytics and trial metrics.</w:t>
      </w:r>
    </w:p>
    <w:p w14:paraId="48C35838" w14:textId="77777777" w:rsidR="00DF71D5" w:rsidRPr="00DF71D5" w:rsidRDefault="00DF71D5" w:rsidP="00FC6067">
      <w:pPr>
        <w:numPr>
          <w:ilvl w:val="0"/>
          <w:numId w:val="2"/>
        </w:numPr>
        <w:spacing w:line="360" w:lineRule="auto"/>
        <w:rPr>
          <w:rFonts w:ascii="Arial" w:hAnsi="Arial" w:cs="Arial"/>
          <w:sz w:val="24"/>
          <w:szCs w:val="24"/>
        </w:rPr>
      </w:pPr>
      <w:r w:rsidRPr="00DF71D5">
        <w:rPr>
          <w:rFonts w:ascii="Arial" w:hAnsi="Arial" w:cs="Arial"/>
          <w:sz w:val="24"/>
          <w:szCs w:val="24"/>
        </w:rPr>
        <w:t>Reduce carbon emissions associated with patient travel and paper-based processes by 10% in pilot sites.</w:t>
      </w:r>
    </w:p>
    <w:p w14:paraId="091C319E" w14:textId="77777777" w:rsidR="00DF71D5" w:rsidRPr="00DF71D5" w:rsidRDefault="00DF71D5" w:rsidP="00FC6067">
      <w:pPr>
        <w:spacing w:line="360" w:lineRule="auto"/>
        <w:rPr>
          <w:rFonts w:ascii="Arial" w:hAnsi="Arial" w:cs="Arial"/>
          <w:sz w:val="24"/>
          <w:szCs w:val="24"/>
          <w:lang w:val="es-ES"/>
        </w:rPr>
      </w:pPr>
      <w:r w:rsidRPr="00DF71D5">
        <w:rPr>
          <w:rFonts w:ascii="Arial" w:hAnsi="Arial" w:cs="Arial"/>
          <w:b/>
          <w:bCs/>
          <w:sz w:val="24"/>
          <w:szCs w:val="24"/>
          <w:lang w:val="es-ES"/>
        </w:rPr>
        <w:t>Achievable:</w:t>
      </w:r>
    </w:p>
    <w:p w14:paraId="19A822A3" w14:textId="77777777" w:rsidR="00DF71D5" w:rsidRPr="00DF71D5" w:rsidRDefault="00DF71D5" w:rsidP="00FC6067">
      <w:pPr>
        <w:numPr>
          <w:ilvl w:val="0"/>
          <w:numId w:val="3"/>
        </w:numPr>
        <w:spacing w:line="360" w:lineRule="auto"/>
        <w:rPr>
          <w:rFonts w:ascii="Arial" w:hAnsi="Arial" w:cs="Arial"/>
          <w:sz w:val="24"/>
          <w:szCs w:val="24"/>
        </w:rPr>
      </w:pPr>
      <w:r w:rsidRPr="00DF71D5">
        <w:rPr>
          <w:rFonts w:ascii="Arial" w:hAnsi="Arial" w:cs="Arial"/>
          <w:sz w:val="24"/>
          <w:szCs w:val="24"/>
        </w:rPr>
        <w:t>Leverage AstraZeneca’s partnerships with CROs, technology vendors, and healthcare providers to ensure technical and operational feasibility.</w:t>
      </w:r>
    </w:p>
    <w:p w14:paraId="62458F72" w14:textId="77777777" w:rsidR="00DF71D5" w:rsidRPr="00DF71D5" w:rsidRDefault="00DF71D5" w:rsidP="00FC6067">
      <w:pPr>
        <w:numPr>
          <w:ilvl w:val="0"/>
          <w:numId w:val="3"/>
        </w:numPr>
        <w:spacing w:line="360" w:lineRule="auto"/>
        <w:rPr>
          <w:rFonts w:ascii="Arial" w:hAnsi="Arial" w:cs="Arial"/>
          <w:sz w:val="24"/>
          <w:szCs w:val="24"/>
        </w:rPr>
      </w:pPr>
      <w:r w:rsidRPr="00DF71D5">
        <w:rPr>
          <w:rFonts w:ascii="Arial" w:hAnsi="Arial" w:cs="Arial"/>
          <w:sz w:val="24"/>
          <w:szCs w:val="24"/>
        </w:rPr>
        <w:t>Utilize existing regulatory pathways and digital health frameworks to expedite approvals.</w:t>
      </w:r>
    </w:p>
    <w:p w14:paraId="219CE627" w14:textId="77777777" w:rsidR="00DF71D5" w:rsidRPr="00DF71D5" w:rsidRDefault="00DF71D5" w:rsidP="00FC6067">
      <w:pPr>
        <w:spacing w:line="360" w:lineRule="auto"/>
        <w:rPr>
          <w:rFonts w:ascii="Arial" w:hAnsi="Arial" w:cs="Arial"/>
          <w:sz w:val="24"/>
          <w:szCs w:val="24"/>
          <w:lang w:val="es-ES"/>
        </w:rPr>
      </w:pPr>
      <w:r w:rsidRPr="00DF71D5">
        <w:rPr>
          <w:rFonts w:ascii="Arial" w:hAnsi="Arial" w:cs="Arial"/>
          <w:b/>
          <w:bCs/>
          <w:sz w:val="24"/>
          <w:szCs w:val="24"/>
          <w:lang w:val="es-ES"/>
        </w:rPr>
        <w:t>Relevant:</w:t>
      </w:r>
    </w:p>
    <w:p w14:paraId="1B362290" w14:textId="1136EB3C" w:rsidR="00DF71D5" w:rsidRPr="00DF71D5" w:rsidRDefault="00DF71D5" w:rsidP="00FC6067">
      <w:pPr>
        <w:numPr>
          <w:ilvl w:val="0"/>
          <w:numId w:val="4"/>
        </w:numPr>
        <w:spacing w:line="360" w:lineRule="auto"/>
        <w:rPr>
          <w:rFonts w:ascii="Arial" w:hAnsi="Arial" w:cs="Arial"/>
          <w:sz w:val="24"/>
          <w:szCs w:val="24"/>
        </w:rPr>
      </w:pPr>
      <w:r w:rsidRPr="00DF71D5">
        <w:rPr>
          <w:rFonts w:ascii="Arial" w:hAnsi="Arial" w:cs="Arial"/>
          <w:sz w:val="24"/>
          <w:szCs w:val="24"/>
        </w:rPr>
        <w:t>Address the rising burden of chronic diseases and the need for decentralized, patient</w:t>
      </w:r>
      <w:r w:rsidR="007A502D">
        <w:rPr>
          <w:rFonts w:ascii="Arial" w:hAnsi="Arial" w:cs="Arial"/>
          <w:sz w:val="24"/>
          <w:szCs w:val="24"/>
        </w:rPr>
        <w:t xml:space="preserve"> </w:t>
      </w:r>
      <w:r w:rsidRPr="00DF71D5">
        <w:rPr>
          <w:rFonts w:ascii="Arial" w:hAnsi="Arial" w:cs="Arial"/>
          <w:sz w:val="24"/>
          <w:szCs w:val="24"/>
        </w:rPr>
        <w:t>centric care.</w:t>
      </w:r>
    </w:p>
    <w:p w14:paraId="06D8B13A" w14:textId="77777777" w:rsidR="00DF71D5" w:rsidRPr="00DF71D5" w:rsidRDefault="00DF71D5" w:rsidP="00FC6067">
      <w:pPr>
        <w:numPr>
          <w:ilvl w:val="0"/>
          <w:numId w:val="4"/>
        </w:numPr>
        <w:spacing w:line="360" w:lineRule="auto"/>
        <w:rPr>
          <w:rFonts w:ascii="Arial" w:hAnsi="Arial" w:cs="Arial"/>
          <w:sz w:val="24"/>
          <w:szCs w:val="24"/>
        </w:rPr>
      </w:pPr>
      <w:r w:rsidRPr="00DF71D5">
        <w:rPr>
          <w:rFonts w:ascii="Arial" w:hAnsi="Arial" w:cs="Arial"/>
          <w:sz w:val="24"/>
          <w:szCs w:val="24"/>
        </w:rPr>
        <w:t>Align with AstraZeneca’s sustainability, health equity, and digital transformation strategies.</w:t>
      </w:r>
    </w:p>
    <w:p w14:paraId="4213B96A"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lastRenderedPageBreak/>
        <w:t>Time-bound:</w:t>
      </w:r>
    </w:p>
    <w:p w14:paraId="09BCEBF5" w14:textId="77777777" w:rsidR="00DF71D5" w:rsidRPr="00DF71D5" w:rsidRDefault="00DF71D5">
      <w:pPr>
        <w:numPr>
          <w:ilvl w:val="0"/>
          <w:numId w:val="5"/>
        </w:numPr>
        <w:spacing w:line="360" w:lineRule="auto"/>
        <w:rPr>
          <w:rFonts w:ascii="Arial" w:hAnsi="Arial" w:cs="Arial"/>
          <w:sz w:val="24"/>
          <w:szCs w:val="24"/>
        </w:rPr>
      </w:pPr>
      <w:r w:rsidRPr="00DF71D5">
        <w:rPr>
          <w:rFonts w:ascii="Arial" w:hAnsi="Arial" w:cs="Arial"/>
          <w:sz w:val="24"/>
          <w:szCs w:val="24"/>
        </w:rPr>
        <w:t>Complete pilot deployments and initial data collection within 12 months of launch.</w:t>
      </w:r>
    </w:p>
    <w:p w14:paraId="2FB4BE51" w14:textId="77777777" w:rsidR="00DF71D5" w:rsidRPr="00DF71D5" w:rsidRDefault="00DF71D5">
      <w:pPr>
        <w:numPr>
          <w:ilvl w:val="0"/>
          <w:numId w:val="5"/>
        </w:numPr>
        <w:spacing w:line="360" w:lineRule="auto"/>
        <w:rPr>
          <w:rFonts w:ascii="Arial" w:hAnsi="Arial" w:cs="Arial"/>
          <w:sz w:val="24"/>
          <w:szCs w:val="24"/>
        </w:rPr>
      </w:pPr>
      <w:r w:rsidRPr="00DF71D5">
        <w:rPr>
          <w:rFonts w:ascii="Arial" w:hAnsi="Arial" w:cs="Arial"/>
          <w:sz w:val="24"/>
          <w:szCs w:val="24"/>
        </w:rPr>
        <w:t>Achieve full commercial rollout in target markets within 24 months.</w:t>
      </w:r>
    </w:p>
    <w:p w14:paraId="43F5F8A0" w14:textId="2D9B1AF6"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These objectives are not aspirational</w:t>
      </w:r>
      <w:r w:rsidR="007A502D">
        <w:rPr>
          <w:rFonts w:ascii="Arial" w:hAnsi="Arial" w:cs="Arial"/>
          <w:sz w:val="24"/>
          <w:szCs w:val="24"/>
        </w:rPr>
        <w:t xml:space="preserve"> </w:t>
      </w:r>
      <w:r w:rsidRPr="00DF71D5">
        <w:rPr>
          <w:rFonts w:ascii="Arial" w:hAnsi="Arial" w:cs="Arial"/>
          <w:sz w:val="24"/>
          <w:szCs w:val="24"/>
        </w:rPr>
        <w:t>they are grounded in AstraZeneca’s broader corporate goals. By 2030, the company aims to impact 1 billion people, including 400 million from underserved groups, and halve value chain emissions. The wearable device project is a tactical lever to realize these ambitions, delivering measurable value to patients, providers, and the health system.</w:t>
      </w:r>
    </w:p>
    <w:p w14:paraId="4E4FEBBD" w14:textId="4DB6A4B5" w:rsidR="00DF71D5" w:rsidRPr="00FC6067" w:rsidRDefault="00DF71D5" w:rsidP="00DF71D5">
      <w:pPr>
        <w:spacing w:line="360" w:lineRule="auto"/>
        <w:rPr>
          <w:rFonts w:ascii="Arial" w:hAnsi="Arial" w:cs="Arial"/>
          <w:sz w:val="24"/>
          <w:szCs w:val="24"/>
        </w:rPr>
      </w:pPr>
    </w:p>
    <w:p w14:paraId="20DFFD76" w14:textId="77777777" w:rsidR="0077767C" w:rsidRDefault="0077767C" w:rsidP="00DF71D5">
      <w:pPr>
        <w:spacing w:line="360" w:lineRule="auto"/>
        <w:rPr>
          <w:rFonts w:ascii="Arial" w:hAnsi="Arial" w:cs="Arial"/>
          <w:b/>
          <w:bCs/>
          <w:sz w:val="36"/>
          <w:szCs w:val="36"/>
          <w:highlight w:val="yellow"/>
        </w:rPr>
      </w:pPr>
    </w:p>
    <w:p w14:paraId="686D3F9B" w14:textId="77777777" w:rsidR="0077767C" w:rsidRDefault="0077767C" w:rsidP="00DF71D5">
      <w:pPr>
        <w:spacing w:line="360" w:lineRule="auto"/>
        <w:rPr>
          <w:rFonts w:ascii="Arial" w:hAnsi="Arial" w:cs="Arial"/>
          <w:b/>
          <w:bCs/>
          <w:sz w:val="36"/>
          <w:szCs w:val="36"/>
          <w:highlight w:val="yellow"/>
        </w:rPr>
      </w:pPr>
    </w:p>
    <w:p w14:paraId="792CF5F0" w14:textId="77777777" w:rsidR="0077767C" w:rsidRDefault="0077767C" w:rsidP="00DF71D5">
      <w:pPr>
        <w:spacing w:line="360" w:lineRule="auto"/>
        <w:rPr>
          <w:rFonts w:ascii="Arial" w:hAnsi="Arial" w:cs="Arial"/>
          <w:b/>
          <w:bCs/>
          <w:sz w:val="36"/>
          <w:szCs w:val="36"/>
          <w:highlight w:val="yellow"/>
        </w:rPr>
      </w:pPr>
    </w:p>
    <w:p w14:paraId="60276CCC" w14:textId="77777777" w:rsidR="0077767C" w:rsidRDefault="0077767C" w:rsidP="00DF71D5">
      <w:pPr>
        <w:spacing w:line="360" w:lineRule="auto"/>
        <w:rPr>
          <w:rFonts w:ascii="Arial" w:hAnsi="Arial" w:cs="Arial"/>
          <w:b/>
          <w:bCs/>
          <w:sz w:val="36"/>
          <w:szCs w:val="36"/>
          <w:highlight w:val="yellow"/>
        </w:rPr>
      </w:pPr>
    </w:p>
    <w:p w14:paraId="1DE154E7" w14:textId="77777777" w:rsidR="0077767C" w:rsidRDefault="0077767C" w:rsidP="00DF71D5">
      <w:pPr>
        <w:spacing w:line="360" w:lineRule="auto"/>
        <w:rPr>
          <w:rFonts w:ascii="Arial" w:hAnsi="Arial" w:cs="Arial"/>
          <w:b/>
          <w:bCs/>
          <w:sz w:val="36"/>
          <w:szCs w:val="36"/>
          <w:highlight w:val="yellow"/>
        </w:rPr>
      </w:pPr>
    </w:p>
    <w:p w14:paraId="00A599D2" w14:textId="77777777" w:rsidR="0077767C" w:rsidRDefault="0077767C" w:rsidP="00DF71D5">
      <w:pPr>
        <w:spacing w:line="360" w:lineRule="auto"/>
        <w:rPr>
          <w:rFonts w:ascii="Arial" w:hAnsi="Arial" w:cs="Arial"/>
          <w:b/>
          <w:bCs/>
          <w:sz w:val="36"/>
          <w:szCs w:val="36"/>
          <w:highlight w:val="yellow"/>
        </w:rPr>
      </w:pPr>
    </w:p>
    <w:p w14:paraId="743009C3" w14:textId="77777777" w:rsidR="0077767C" w:rsidRDefault="0077767C" w:rsidP="00DF71D5">
      <w:pPr>
        <w:spacing w:line="360" w:lineRule="auto"/>
        <w:rPr>
          <w:rFonts w:ascii="Arial" w:hAnsi="Arial" w:cs="Arial"/>
          <w:b/>
          <w:bCs/>
          <w:sz w:val="36"/>
          <w:szCs w:val="36"/>
          <w:highlight w:val="yellow"/>
        </w:rPr>
      </w:pPr>
    </w:p>
    <w:p w14:paraId="21AAE69D" w14:textId="77777777" w:rsidR="0077767C" w:rsidRDefault="0077767C" w:rsidP="00DF71D5">
      <w:pPr>
        <w:spacing w:line="360" w:lineRule="auto"/>
        <w:rPr>
          <w:rFonts w:ascii="Arial" w:hAnsi="Arial" w:cs="Arial"/>
          <w:b/>
          <w:bCs/>
          <w:sz w:val="36"/>
          <w:szCs w:val="36"/>
          <w:highlight w:val="yellow"/>
        </w:rPr>
      </w:pPr>
    </w:p>
    <w:p w14:paraId="0D8E9381" w14:textId="77777777" w:rsidR="0077767C" w:rsidRDefault="0077767C" w:rsidP="00DF71D5">
      <w:pPr>
        <w:spacing w:line="360" w:lineRule="auto"/>
        <w:rPr>
          <w:rFonts w:ascii="Arial" w:hAnsi="Arial" w:cs="Arial"/>
          <w:b/>
          <w:bCs/>
          <w:sz w:val="36"/>
          <w:szCs w:val="36"/>
          <w:highlight w:val="yellow"/>
        </w:rPr>
      </w:pPr>
    </w:p>
    <w:p w14:paraId="4E844A53" w14:textId="77777777" w:rsidR="0077767C" w:rsidRDefault="0077767C" w:rsidP="00DF71D5">
      <w:pPr>
        <w:spacing w:line="360" w:lineRule="auto"/>
        <w:rPr>
          <w:rFonts w:ascii="Arial" w:hAnsi="Arial" w:cs="Arial"/>
          <w:b/>
          <w:bCs/>
          <w:sz w:val="36"/>
          <w:szCs w:val="36"/>
          <w:highlight w:val="yellow"/>
        </w:rPr>
      </w:pPr>
    </w:p>
    <w:p w14:paraId="3B7078AB" w14:textId="77777777" w:rsidR="0077767C" w:rsidRDefault="0077767C" w:rsidP="00DF71D5">
      <w:pPr>
        <w:spacing w:line="360" w:lineRule="auto"/>
        <w:rPr>
          <w:rFonts w:ascii="Arial" w:hAnsi="Arial" w:cs="Arial"/>
          <w:b/>
          <w:bCs/>
          <w:sz w:val="36"/>
          <w:szCs w:val="36"/>
          <w:highlight w:val="yellow"/>
        </w:rPr>
      </w:pPr>
    </w:p>
    <w:p w14:paraId="6AAE9489" w14:textId="77777777" w:rsidR="0077767C" w:rsidRDefault="0077767C" w:rsidP="00DF71D5">
      <w:pPr>
        <w:spacing w:line="360" w:lineRule="auto"/>
        <w:rPr>
          <w:rFonts w:ascii="Arial" w:hAnsi="Arial" w:cs="Arial"/>
          <w:b/>
          <w:bCs/>
          <w:sz w:val="36"/>
          <w:szCs w:val="36"/>
          <w:highlight w:val="yellow"/>
        </w:rPr>
      </w:pPr>
    </w:p>
    <w:p w14:paraId="6B1394CA" w14:textId="72703DB0" w:rsidR="00DF71D5" w:rsidRPr="00DF71D5" w:rsidRDefault="00DF71D5" w:rsidP="00DF71D5">
      <w:pPr>
        <w:spacing w:line="360" w:lineRule="auto"/>
        <w:rPr>
          <w:rFonts w:ascii="Arial" w:hAnsi="Arial" w:cs="Arial"/>
          <w:b/>
          <w:bCs/>
          <w:sz w:val="44"/>
          <w:szCs w:val="44"/>
        </w:rPr>
      </w:pPr>
      <w:r w:rsidRPr="00DF71D5">
        <w:rPr>
          <w:rFonts w:ascii="Arial" w:hAnsi="Arial" w:cs="Arial"/>
          <w:b/>
          <w:bCs/>
          <w:sz w:val="36"/>
          <w:szCs w:val="36"/>
          <w:highlight w:val="yellow"/>
        </w:rPr>
        <w:lastRenderedPageBreak/>
        <w:t>PESTLE Analysis of the External Environment</w:t>
      </w:r>
    </w:p>
    <w:p w14:paraId="693FEF22" w14:textId="6EA69649"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 rigorous PESTLE analysis</w:t>
      </w:r>
      <w:r w:rsidR="007A502D">
        <w:rPr>
          <w:rFonts w:ascii="Arial" w:hAnsi="Arial" w:cs="Arial"/>
          <w:sz w:val="24"/>
          <w:szCs w:val="24"/>
        </w:rPr>
        <w:t xml:space="preserve"> </w:t>
      </w:r>
      <w:r w:rsidRPr="00DF71D5">
        <w:rPr>
          <w:rFonts w:ascii="Arial" w:hAnsi="Arial" w:cs="Arial"/>
          <w:sz w:val="24"/>
          <w:szCs w:val="24"/>
        </w:rPr>
        <w:t>Political, Economic, Social, Technological, Legal, Environmental</w:t>
      </w:r>
      <w:r w:rsidR="007A502D">
        <w:rPr>
          <w:rFonts w:ascii="Arial" w:hAnsi="Arial" w:cs="Arial"/>
          <w:sz w:val="24"/>
          <w:szCs w:val="24"/>
        </w:rPr>
        <w:t xml:space="preserve"> </w:t>
      </w:r>
      <w:r w:rsidRPr="00DF71D5">
        <w:rPr>
          <w:rFonts w:ascii="Arial" w:hAnsi="Arial" w:cs="Arial"/>
          <w:sz w:val="24"/>
          <w:szCs w:val="24"/>
        </w:rPr>
        <w:t>frames the external forces shaping the wearable device launch.</w:t>
      </w:r>
    </w:p>
    <w:p w14:paraId="54C5DEF7" w14:textId="77777777"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t>Political</w:t>
      </w:r>
    </w:p>
    <w:p w14:paraId="46078DFC" w14:textId="4CCAB9DE"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UK and global healthcare landscapes are shaped by shifting policies, funding models, and regulatory regimes. The NHS Long Term Plan emphasizes digital transformation, prevention, and community</w:t>
      </w:r>
      <w:r w:rsidR="007A502D">
        <w:rPr>
          <w:rFonts w:ascii="Arial" w:hAnsi="Arial" w:cs="Arial"/>
          <w:sz w:val="24"/>
          <w:szCs w:val="24"/>
        </w:rPr>
        <w:t xml:space="preserve"> </w:t>
      </w:r>
      <w:r w:rsidRPr="00DF71D5">
        <w:rPr>
          <w:rFonts w:ascii="Arial" w:hAnsi="Arial" w:cs="Arial"/>
          <w:sz w:val="24"/>
          <w:szCs w:val="24"/>
        </w:rPr>
        <w:t>based care. Government funding for digital health is rising, but austerity and political instability can disrupt priorities. Brexit has introduced regulatory divergence, with the UK adopting the UKCA mark alongside the EU’s CE mark for medical devices. The Medicines and Healthcare Products Regulatory Agency (MHRA) is tightening post</w:t>
      </w:r>
      <w:r w:rsidR="007A502D">
        <w:rPr>
          <w:rFonts w:ascii="Arial" w:hAnsi="Arial" w:cs="Arial"/>
          <w:sz w:val="24"/>
          <w:szCs w:val="24"/>
        </w:rPr>
        <w:t xml:space="preserve"> </w:t>
      </w:r>
      <w:r w:rsidRPr="00DF71D5">
        <w:rPr>
          <w:rFonts w:ascii="Arial" w:hAnsi="Arial" w:cs="Arial"/>
          <w:sz w:val="24"/>
          <w:szCs w:val="24"/>
        </w:rPr>
        <w:t>market surveillance and safety requirements, demanding robust compliance from device manufacturers.</w:t>
      </w:r>
    </w:p>
    <w:p w14:paraId="2ADED7BC"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Internationally, regulatory harmonization is a moving target. The EU’s Medical Device Regulation (MDR) and In Vitro Diagnostic Regulation (IVDR) impose stringent evidence and reporting standards. The US FDA’s Breakthrough Devices Program accelerates access for innovative products but raises the bar for clinical validation. Political support for digital health is strong, but the risk of policy shifts and regional disparities remains.</w:t>
      </w:r>
    </w:p>
    <w:p w14:paraId="4207234F" w14:textId="77777777"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t>Economic</w:t>
      </w:r>
    </w:p>
    <w:p w14:paraId="26E269A3" w14:textId="522E3BE6"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Healthcare budgets are under pressure from aging populations, chronic disease prevalence, and post</w:t>
      </w:r>
      <w:r w:rsidR="007A502D">
        <w:rPr>
          <w:rFonts w:ascii="Arial" w:hAnsi="Arial" w:cs="Arial"/>
          <w:sz w:val="24"/>
          <w:szCs w:val="24"/>
        </w:rPr>
        <w:t xml:space="preserve"> </w:t>
      </w:r>
      <w:r w:rsidRPr="00DF71D5">
        <w:rPr>
          <w:rFonts w:ascii="Arial" w:hAnsi="Arial" w:cs="Arial"/>
          <w:sz w:val="24"/>
          <w:szCs w:val="24"/>
        </w:rPr>
        <w:t>pandemic recovery costs. Digital health is seen as a lever for cost containment and productivity gains. The global digital health market is projected to exceed $900 billion by 2032, with remote patient monitoring and care delivery comprising 60% of the market. In the UK, NHS funding is rising, but public health grants have fallen by 27% per capita since 2015, hitting deprived areas hardest.</w:t>
      </w:r>
    </w:p>
    <w:p w14:paraId="56FB672F"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Adoption of wearable devices is driven by the promise of reduced hospitalizations, improved adherence, and lower administrative costs. However, high initial investments, IT skill shortages, and affordability barriers can slow uptake, especially in smaller providers and low-resource settings. Economic volatility, inflation, and reimbursement uncertainties are persistent threats.</w:t>
      </w:r>
    </w:p>
    <w:p w14:paraId="05B24F2B" w14:textId="77777777" w:rsidR="00DF71D5" w:rsidRPr="00DF71D5" w:rsidRDefault="00DF71D5" w:rsidP="0077767C">
      <w:pPr>
        <w:spacing w:line="360" w:lineRule="auto"/>
        <w:rPr>
          <w:rFonts w:ascii="Arial" w:hAnsi="Arial" w:cs="Arial"/>
          <w:b/>
          <w:bCs/>
          <w:sz w:val="24"/>
          <w:szCs w:val="24"/>
        </w:rPr>
      </w:pPr>
      <w:r w:rsidRPr="00DF71D5">
        <w:rPr>
          <w:rFonts w:ascii="Arial" w:hAnsi="Arial" w:cs="Arial"/>
          <w:b/>
          <w:bCs/>
          <w:sz w:val="24"/>
          <w:szCs w:val="24"/>
        </w:rPr>
        <w:lastRenderedPageBreak/>
        <w:t>Social</w:t>
      </w:r>
    </w:p>
    <w:p w14:paraId="2493D6FA" w14:textId="5D7038D9"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Demographic shifts</w:t>
      </w:r>
      <w:r w:rsidR="007A502D">
        <w:rPr>
          <w:rFonts w:ascii="Arial" w:hAnsi="Arial" w:cs="Arial"/>
          <w:sz w:val="24"/>
          <w:szCs w:val="24"/>
        </w:rPr>
        <w:t xml:space="preserve"> </w:t>
      </w:r>
      <w:r w:rsidRPr="00DF71D5">
        <w:rPr>
          <w:rFonts w:ascii="Arial" w:hAnsi="Arial" w:cs="Arial"/>
          <w:sz w:val="24"/>
          <w:szCs w:val="24"/>
        </w:rPr>
        <w:t>aging populations, rising chronic disease, and health inequalities</w:t>
      </w:r>
      <w:r w:rsidR="007A502D">
        <w:rPr>
          <w:rFonts w:ascii="Arial" w:hAnsi="Arial" w:cs="Arial"/>
          <w:sz w:val="24"/>
          <w:szCs w:val="24"/>
        </w:rPr>
        <w:t xml:space="preserve"> </w:t>
      </w:r>
      <w:r w:rsidRPr="00DF71D5">
        <w:rPr>
          <w:rFonts w:ascii="Arial" w:hAnsi="Arial" w:cs="Arial"/>
          <w:sz w:val="24"/>
          <w:szCs w:val="24"/>
        </w:rPr>
        <w:t>drive demand for remote monitoring and personalized care. Patients are increasingly empowered, seeking self-management tools and digital engagement. However, digital exclusion remains a risk: 13% of the UK population lacks a smartphone, with the poorest and most vulnerable most affected.</w:t>
      </w:r>
    </w:p>
    <w:p w14:paraId="56AAEAB1" w14:textId="77777777"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Health literacy, trust in technology, and cultural attitudes shape adoption. Patient advocacy groups are vocal, demanding transparency, inclusivity, and co-design. Workforce shortages and burnout among clinicians heighten the need for efficient, user-friendly solutions.</w:t>
      </w:r>
    </w:p>
    <w:p w14:paraId="75FA7924" w14:textId="77777777" w:rsidR="00DF71D5" w:rsidRPr="00DF71D5" w:rsidRDefault="00DF71D5" w:rsidP="0077767C">
      <w:pPr>
        <w:spacing w:line="360" w:lineRule="auto"/>
        <w:rPr>
          <w:rFonts w:ascii="Arial" w:hAnsi="Arial" w:cs="Arial"/>
          <w:b/>
          <w:bCs/>
          <w:sz w:val="24"/>
          <w:szCs w:val="24"/>
        </w:rPr>
      </w:pPr>
      <w:r w:rsidRPr="00DF71D5">
        <w:rPr>
          <w:rFonts w:ascii="Arial" w:hAnsi="Arial" w:cs="Arial"/>
          <w:b/>
          <w:bCs/>
          <w:sz w:val="24"/>
          <w:szCs w:val="24"/>
        </w:rPr>
        <w:t>Technological</w:t>
      </w:r>
    </w:p>
    <w:p w14:paraId="2506490D" w14:textId="77777777"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Wearable health devices are advancing rapidly, integrating biosensors, AI analytics, and cloud connectivity. Interoperability with electronic health records (EHRs) and adherence to standards like HL7 FHIR are critical for seamless data exchange. The NHS and global health systems are investing in digital infrastructure, but legacy systems and cybersecurity risks persist.</w:t>
      </w:r>
    </w:p>
    <w:p w14:paraId="7D2D2BA5" w14:textId="53D4D667"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AI and machine learning enable predictive analytics, early detection, and personalized interventions. However, technical reliability, data accuracy, and integration challenges remain. The digital divide</w:t>
      </w:r>
      <w:r w:rsidR="007A502D">
        <w:rPr>
          <w:rFonts w:ascii="Arial" w:hAnsi="Arial" w:cs="Arial"/>
          <w:sz w:val="24"/>
          <w:szCs w:val="24"/>
        </w:rPr>
        <w:t xml:space="preserve"> </w:t>
      </w:r>
      <w:r w:rsidRPr="00DF71D5">
        <w:rPr>
          <w:rFonts w:ascii="Arial" w:hAnsi="Arial" w:cs="Arial"/>
          <w:sz w:val="24"/>
          <w:szCs w:val="24"/>
        </w:rPr>
        <w:t>differences in access, skills, and infrastructure</w:t>
      </w:r>
      <w:r w:rsidR="007A502D">
        <w:rPr>
          <w:rFonts w:ascii="Arial" w:hAnsi="Arial" w:cs="Arial"/>
          <w:sz w:val="24"/>
          <w:szCs w:val="24"/>
        </w:rPr>
        <w:t xml:space="preserve"> </w:t>
      </w:r>
      <w:r w:rsidRPr="00DF71D5">
        <w:rPr>
          <w:rFonts w:ascii="Arial" w:hAnsi="Arial" w:cs="Arial"/>
          <w:sz w:val="24"/>
          <w:szCs w:val="24"/>
        </w:rPr>
        <w:t>can exacerbate inequalities.</w:t>
      </w:r>
    </w:p>
    <w:p w14:paraId="48F0546C" w14:textId="77777777" w:rsidR="00DF71D5" w:rsidRPr="00DF71D5" w:rsidRDefault="00DF71D5" w:rsidP="0077767C">
      <w:pPr>
        <w:spacing w:line="360" w:lineRule="auto"/>
        <w:rPr>
          <w:rFonts w:ascii="Arial" w:hAnsi="Arial" w:cs="Arial"/>
          <w:b/>
          <w:bCs/>
          <w:sz w:val="24"/>
          <w:szCs w:val="24"/>
        </w:rPr>
      </w:pPr>
      <w:r w:rsidRPr="00DF71D5">
        <w:rPr>
          <w:rFonts w:ascii="Arial" w:hAnsi="Arial" w:cs="Arial"/>
          <w:b/>
          <w:bCs/>
          <w:sz w:val="24"/>
          <w:szCs w:val="24"/>
        </w:rPr>
        <w:t>Legal</w:t>
      </w:r>
    </w:p>
    <w:p w14:paraId="46E39A43" w14:textId="57E9EF52"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Medical device regulation is tightening. The UK’s MHRA is phasing in new requirements for pre-market approval, post-market surveillance, and cybersecurity. Devices must comply with UKCA and/or CE marking, with increasing alignment to international standards. Data protection laws</w:t>
      </w:r>
      <w:r w:rsidR="007A502D">
        <w:rPr>
          <w:rFonts w:ascii="Arial" w:hAnsi="Arial" w:cs="Arial"/>
          <w:sz w:val="24"/>
          <w:szCs w:val="24"/>
        </w:rPr>
        <w:t xml:space="preserve"> </w:t>
      </w:r>
      <w:r w:rsidRPr="00DF71D5">
        <w:rPr>
          <w:rFonts w:ascii="Arial" w:hAnsi="Arial" w:cs="Arial"/>
          <w:sz w:val="24"/>
          <w:szCs w:val="24"/>
        </w:rPr>
        <w:t>GDPR, Data Protection Act 2018</w:t>
      </w:r>
      <w:r w:rsidR="007A502D">
        <w:rPr>
          <w:rFonts w:ascii="Arial" w:hAnsi="Arial" w:cs="Arial"/>
          <w:sz w:val="24"/>
          <w:szCs w:val="24"/>
        </w:rPr>
        <w:t xml:space="preserve"> </w:t>
      </w:r>
      <w:r w:rsidRPr="00DF71D5">
        <w:rPr>
          <w:rFonts w:ascii="Arial" w:hAnsi="Arial" w:cs="Arial"/>
          <w:sz w:val="24"/>
          <w:szCs w:val="24"/>
        </w:rPr>
        <w:t>mandate robust consent, privacy, and security controls.</w:t>
      </w:r>
    </w:p>
    <w:p w14:paraId="24A1CCD1" w14:textId="39F9128D" w:rsidR="00DF71D5" w:rsidRPr="00DF71D5" w:rsidRDefault="00DF71D5" w:rsidP="0077767C">
      <w:pPr>
        <w:spacing w:line="360" w:lineRule="auto"/>
        <w:rPr>
          <w:rFonts w:ascii="Arial" w:hAnsi="Arial" w:cs="Arial"/>
          <w:sz w:val="24"/>
          <w:szCs w:val="24"/>
        </w:rPr>
      </w:pPr>
      <w:r w:rsidRPr="00DF71D5">
        <w:rPr>
          <w:rFonts w:ascii="Arial" w:hAnsi="Arial" w:cs="Arial"/>
          <w:sz w:val="24"/>
          <w:szCs w:val="24"/>
        </w:rPr>
        <w:t>Legal risks include product liability, clinical negligence, and compliance failures. Intellectual property protection is vital, but patent expirations and generic competition are threats. Regulatory delays, shifting standards, and cross</w:t>
      </w:r>
      <w:r w:rsidR="007A502D">
        <w:rPr>
          <w:rFonts w:ascii="Arial" w:hAnsi="Arial" w:cs="Arial"/>
          <w:sz w:val="24"/>
          <w:szCs w:val="24"/>
        </w:rPr>
        <w:t xml:space="preserve"> </w:t>
      </w:r>
      <w:r w:rsidRPr="00DF71D5">
        <w:rPr>
          <w:rFonts w:ascii="Arial" w:hAnsi="Arial" w:cs="Arial"/>
          <w:sz w:val="24"/>
          <w:szCs w:val="24"/>
        </w:rPr>
        <w:t>border data transfer restrictions add complexity.</w:t>
      </w:r>
    </w:p>
    <w:p w14:paraId="6E3B248C" w14:textId="77777777"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lastRenderedPageBreak/>
        <w:t>Environmental</w:t>
      </w:r>
    </w:p>
    <w:p w14:paraId="6DF5F8A8" w14:textId="47C8AB43"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Sustainability is a strategic imperative. Healthcare accounts for 5% of global greenhouse gas emissions. AstraZeneca targets net</w:t>
      </w:r>
      <w:r w:rsidR="007A502D">
        <w:rPr>
          <w:rFonts w:ascii="Arial" w:hAnsi="Arial" w:cs="Arial"/>
          <w:sz w:val="24"/>
          <w:szCs w:val="24"/>
        </w:rPr>
        <w:t xml:space="preserve"> </w:t>
      </w:r>
      <w:r w:rsidRPr="00DF71D5">
        <w:rPr>
          <w:rFonts w:ascii="Arial" w:hAnsi="Arial" w:cs="Arial"/>
          <w:sz w:val="24"/>
          <w:szCs w:val="24"/>
        </w:rPr>
        <w:t>zero emissions by 2045, with interim goals for renewable energy and supply chain decarbonization. The wearable device project aims to reduce the environmental footprint by enabling remote care, minimizing travel, and digitizing information.</w:t>
      </w:r>
    </w:p>
    <w:p w14:paraId="10513128" w14:textId="505AC935" w:rsidR="00D02AD8" w:rsidRDefault="00DF71D5" w:rsidP="00DF71D5">
      <w:pPr>
        <w:spacing w:line="360" w:lineRule="auto"/>
        <w:rPr>
          <w:rFonts w:ascii="Arial" w:hAnsi="Arial" w:cs="Arial"/>
          <w:sz w:val="24"/>
          <w:szCs w:val="24"/>
        </w:rPr>
      </w:pPr>
      <w:r w:rsidRPr="00DF71D5">
        <w:rPr>
          <w:rFonts w:ascii="Arial" w:hAnsi="Arial" w:cs="Arial"/>
          <w:sz w:val="24"/>
          <w:szCs w:val="24"/>
        </w:rPr>
        <w:t>Life cycle assessments (LCAs) are used to quantify carbon, water, and material impacts across the device’s lifespan. Regulatory and investor scrutiny of environmental performance is rising. Device design must balance durability, recyclability, and compliance with evolving standards.</w:t>
      </w:r>
    </w:p>
    <w:p w14:paraId="45E5CD2C" w14:textId="77777777" w:rsidR="00D02AD8" w:rsidRDefault="00D02AD8">
      <w:pPr>
        <w:rPr>
          <w:rFonts w:ascii="Arial" w:hAnsi="Arial" w:cs="Arial"/>
          <w:sz w:val="24"/>
          <w:szCs w:val="24"/>
        </w:rPr>
      </w:pPr>
      <w:r>
        <w:rPr>
          <w:rFonts w:ascii="Arial" w:hAnsi="Arial" w:cs="Arial"/>
          <w:sz w:val="24"/>
          <w:szCs w:val="24"/>
        </w:rPr>
        <w:br w:type="page"/>
      </w:r>
    </w:p>
    <w:p w14:paraId="55467EAA" w14:textId="77777777" w:rsidR="00D02AD8" w:rsidRPr="00D02AD8" w:rsidRDefault="00D02AD8" w:rsidP="00D02AD8">
      <w:pPr>
        <w:spacing w:line="360" w:lineRule="auto"/>
        <w:rPr>
          <w:rFonts w:ascii="Arial" w:hAnsi="Arial" w:cs="Arial"/>
          <w:b/>
          <w:bCs/>
          <w:sz w:val="36"/>
          <w:szCs w:val="36"/>
        </w:rPr>
      </w:pPr>
      <w:r w:rsidRPr="00D02AD8">
        <w:rPr>
          <w:rFonts w:ascii="Arial" w:hAnsi="Arial" w:cs="Arial"/>
          <w:b/>
          <w:bCs/>
          <w:sz w:val="36"/>
          <w:szCs w:val="36"/>
          <w:highlight w:val="yellow"/>
        </w:rPr>
        <w:lastRenderedPageBreak/>
        <w:t xml:space="preserve">3.0 </w:t>
      </w:r>
      <w:r w:rsidRPr="00D02AD8">
        <w:rPr>
          <w:rFonts w:ascii="Arial" w:hAnsi="Arial" w:cs="Arial"/>
          <w:b/>
          <w:bCs/>
          <w:sz w:val="36"/>
          <w:szCs w:val="36"/>
          <w:highlight w:val="yellow"/>
        </w:rPr>
        <w:t>Identifying key stakeholders</w:t>
      </w:r>
      <w:r w:rsidRPr="00D02AD8">
        <w:rPr>
          <w:rFonts w:ascii="Arial" w:hAnsi="Arial" w:cs="Arial"/>
          <w:b/>
          <w:bCs/>
          <w:sz w:val="36"/>
          <w:szCs w:val="36"/>
        </w:rPr>
        <w:t xml:space="preserve"> </w:t>
      </w:r>
    </w:p>
    <w:p w14:paraId="27C086B1" w14:textId="4B09E296" w:rsidR="00D02AD8" w:rsidRPr="00D02AD8" w:rsidRDefault="00D02AD8" w:rsidP="00D02AD8">
      <w:pPr>
        <w:spacing w:line="360" w:lineRule="auto"/>
        <w:rPr>
          <w:rFonts w:ascii="Arial" w:hAnsi="Arial" w:cs="Arial"/>
          <w:sz w:val="24"/>
          <w:szCs w:val="24"/>
        </w:rPr>
      </w:pPr>
      <w:r w:rsidRPr="00D02AD8">
        <w:rPr>
          <w:rFonts w:ascii="Arial" w:hAnsi="Arial" w:cs="Arial"/>
          <w:sz w:val="24"/>
          <w:szCs w:val="24"/>
        </w:rPr>
        <w:t>involves systematically recognizing all individuals or groups who have an interest, influence, or are affected by a project or initiative. This process is crucial because it helps ensure that the needs, expectations, and potential impacts of these stakeholders are understood and managed effectively.</w:t>
      </w:r>
    </w:p>
    <w:p w14:paraId="1FFBEE73" w14:textId="77777777" w:rsidR="00D02AD8" w:rsidRPr="00D02AD8" w:rsidRDefault="00D02AD8" w:rsidP="00D02AD8">
      <w:pPr>
        <w:spacing w:line="360" w:lineRule="auto"/>
        <w:rPr>
          <w:rFonts w:ascii="Arial" w:hAnsi="Arial" w:cs="Arial"/>
          <w:sz w:val="24"/>
          <w:szCs w:val="24"/>
        </w:rPr>
      </w:pPr>
      <w:r w:rsidRPr="00D02AD8">
        <w:rPr>
          <w:rFonts w:ascii="Arial" w:hAnsi="Arial" w:cs="Arial"/>
          <w:sz w:val="24"/>
          <w:szCs w:val="24"/>
        </w:rPr>
        <w:t>Key steps in identifying stakeholders include:</w:t>
      </w:r>
    </w:p>
    <w:p w14:paraId="1EF76375" w14:textId="77777777" w:rsidR="00D02AD8" w:rsidRPr="00D02AD8" w:rsidRDefault="00D02AD8" w:rsidP="00D02AD8">
      <w:pPr>
        <w:numPr>
          <w:ilvl w:val="0"/>
          <w:numId w:val="23"/>
        </w:numPr>
        <w:spacing w:line="360" w:lineRule="auto"/>
        <w:rPr>
          <w:rFonts w:ascii="Arial" w:hAnsi="Arial" w:cs="Arial"/>
          <w:sz w:val="24"/>
          <w:szCs w:val="24"/>
        </w:rPr>
      </w:pPr>
      <w:r w:rsidRPr="00D02AD8">
        <w:rPr>
          <w:rFonts w:ascii="Arial" w:hAnsi="Arial" w:cs="Arial"/>
          <w:b/>
          <w:bCs/>
          <w:sz w:val="24"/>
          <w:szCs w:val="24"/>
        </w:rPr>
        <w:t>Listing all potential stakeholders:</w:t>
      </w:r>
      <w:r w:rsidRPr="00D02AD8">
        <w:rPr>
          <w:rFonts w:ascii="Arial" w:hAnsi="Arial" w:cs="Arial"/>
          <w:sz w:val="24"/>
          <w:szCs w:val="24"/>
        </w:rPr>
        <w:t xml:space="preserve"> This includes internal groups like team members, executives, and departments, as well as external parties such as customers, suppliers, regulators, and community members.</w:t>
      </w:r>
    </w:p>
    <w:p w14:paraId="13AF4364" w14:textId="77777777" w:rsidR="00D02AD8" w:rsidRPr="00D02AD8" w:rsidRDefault="00D02AD8" w:rsidP="00D02AD8">
      <w:pPr>
        <w:numPr>
          <w:ilvl w:val="0"/>
          <w:numId w:val="23"/>
        </w:numPr>
        <w:spacing w:line="360" w:lineRule="auto"/>
        <w:rPr>
          <w:rFonts w:ascii="Arial" w:hAnsi="Arial" w:cs="Arial"/>
          <w:sz w:val="24"/>
          <w:szCs w:val="24"/>
        </w:rPr>
      </w:pPr>
      <w:r w:rsidRPr="00D02AD8">
        <w:rPr>
          <w:rFonts w:ascii="Arial" w:hAnsi="Arial" w:cs="Arial"/>
          <w:b/>
          <w:bCs/>
          <w:sz w:val="24"/>
          <w:szCs w:val="24"/>
        </w:rPr>
        <w:t>Understanding their interests and influence:</w:t>
      </w:r>
      <w:r w:rsidRPr="00D02AD8">
        <w:rPr>
          <w:rFonts w:ascii="Arial" w:hAnsi="Arial" w:cs="Arial"/>
          <w:sz w:val="24"/>
          <w:szCs w:val="24"/>
        </w:rPr>
        <w:t xml:space="preserve"> Determine what each stakeholder cares about, their goals, concerns, and how much power or influence they have over the project.</w:t>
      </w:r>
    </w:p>
    <w:p w14:paraId="7BA299D0" w14:textId="228B36DF" w:rsidR="00D02AD8" w:rsidRPr="00D02AD8" w:rsidRDefault="00D02AD8" w:rsidP="00D02AD8">
      <w:pPr>
        <w:numPr>
          <w:ilvl w:val="0"/>
          <w:numId w:val="23"/>
        </w:numPr>
        <w:spacing w:line="360" w:lineRule="auto"/>
        <w:rPr>
          <w:rFonts w:ascii="Arial" w:hAnsi="Arial" w:cs="Arial"/>
          <w:sz w:val="24"/>
          <w:szCs w:val="24"/>
        </w:rPr>
      </w:pPr>
      <w:r w:rsidRPr="00D02AD8">
        <w:rPr>
          <w:rFonts w:ascii="Arial" w:hAnsi="Arial" w:cs="Arial"/>
          <w:b/>
          <w:bCs/>
          <w:sz w:val="24"/>
          <w:szCs w:val="24"/>
        </w:rPr>
        <w:t>Prioritizing stakeholders:</w:t>
      </w:r>
      <w:r w:rsidRPr="00D02AD8">
        <w:rPr>
          <w:rFonts w:ascii="Arial" w:hAnsi="Arial" w:cs="Arial"/>
          <w:sz w:val="24"/>
          <w:szCs w:val="24"/>
        </w:rPr>
        <w:t xml:space="preserve"> Not all stakeholders have the same level of impact or interest. Identifying key stakeholders means focusing on those who have the highest influence or are most critical to the project's success.</w:t>
      </w:r>
    </w:p>
    <w:p w14:paraId="27F3B53A" w14:textId="77777777" w:rsidR="00D02AD8" w:rsidRDefault="00D02AD8" w:rsidP="00D02AD8">
      <w:pPr>
        <w:numPr>
          <w:ilvl w:val="0"/>
          <w:numId w:val="23"/>
        </w:numPr>
        <w:spacing w:line="360" w:lineRule="auto"/>
        <w:rPr>
          <w:rFonts w:ascii="Arial" w:hAnsi="Arial" w:cs="Arial"/>
          <w:sz w:val="24"/>
          <w:szCs w:val="24"/>
        </w:rPr>
      </w:pPr>
      <w:r w:rsidRPr="00D02AD8">
        <w:rPr>
          <w:rFonts w:ascii="Arial" w:hAnsi="Arial" w:cs="Arial"/>
          <w:b/>
          <w:bCs/>
          <w:sz w:val="24"/>
          <w:szCs w:val="24"/>
        </w:rPr>
        <w:t>Engagement planning:</w:t>
      </w:r>
      <w:r w:rsidRPr="00D02AD8">
        <w:rPr>
          <w:rFonts w:ascii="Arial" w:hAnsi="Arial" w:cs="Arial"/>
          <w:sz w:val="24"/>
          <w:szCs w:val="24"/>
        </w:rPr>
        <w:t xml:space="preserve"> Once identified, develop tailored communication and engagement strategies to address their needs and expectations effectively.</w:t>
      </w:r>
    </w:p>
    <w:p w14:paraId="2BF71AC7" w14:textId="77777777" w:rsidR="00D02AD8" w:rsidRPr="00D02AD8" w:rsidRDefault="00D02AD8" w:rsidP="00D02AD8">
      <w:pPr>
        <w:spacing w:line="360" w:lineRule="auto"/>
        <w:ind w:left="720"/>
        <w:rPr>
          <w:rFonts w:ascii="Arial" w:hAnsi="Arial" w:cs="Arial"/>
          <w:sz w:val="24"/>
          <w:szCs w:val="24"/>
        </w:rPr>
      </w:pPr>
    </w:p>
    <w:p w14:paraId="4B7C44DE" w14:textId="5C698403" w:rsidR="00FB53E8" w:rsidRDefault="00D02AD8" w:rsidP="00D02AD8">
      <w:pPr>
        <w:spacing w:line="360" w:lineRule="auto"/>
        <w:ind w:left="720"/>
        <w:rPr>
          <w:rFonts w:ascii="Arial" w:hAnsi="Arial" w:cs="Arial"/>
          <w:sz w:val="24"/>
          <w:szCs w:val="24"/>
        </w:rPr>
      </w:pPr>
      <w:r w:rsidRPr="00D02AD8">
        <w:rPr>
          <w:rFonts w:ascii="Arial" w:hAnsi="Arial" w:cs="Arial"/>
          <w:sz w:val="24"/>
          <w:szCs w:val="24"/>
        </w:rPr>
        <w:t>This process helps reduce risks, gain buy-in, and align project outcomes with stakeholder expectations, ultimately increasing the chances of success</w:t>
      </w:r>
    </w:p>
    <w:p w14:paraId="56FA474C" w14:textId="77777777" w:rsidR="00FB53E8" w:rsidRDefault="00FB53E8">
      <w:pPr>
        <w:rPr>
          <w:rFonts w:ascii="Arial" w:hAnsi="Arial" w:cs="Arial"/>
          <w:sz w:val="24"/>
          <w:szCs w:val="24"/>
        </w:rPr>
      </w:pPr>
      <w:r>
        <w:rPr>
          <w:rFonts w:ascii="Arial" w:hAnsi="Arial" w:cs="Arial"/>
          <w:sz w:val="24"/>
          <w:szCs w:val="24"/>
        </w:rPr>
        <w:br w:type="page"/>
      </w:r>
    </w:p>
    <w:p w14:paraId="44711063" w14:textId="77777777" w:rsidR="00FB53E8" w:rsidRPr="00DF71D5" w:rsidRDefault="00FB53E8" w:rsidP="00FB53E8">
      <w:pPr>
        <w:spacing w:line="360" w:lineRule="auto"/>
        <w:rPr>
          <w:rFonts w:ascii="Arial" w:hAnsi="Arial" w:cs="Arial"/>
          <w:sz w:val="24"/>
          <w:szCs w:val="24"/>
        </w:rPr>
      </w:pPr>
      <w:r w:rsidRPr="00DF71D5">
        <w:rPr>
          <w:rFonts w:ascii="Arial" w:hAnsi="Arial" w:cs="Arial"/>
          <w:sz w:val="24"/>
          <w:szCs w:val="24"/>
        </w:rPr>
        <w:lastRenderedPageBreak/>
        <w:t>Stakeholder engagement is central to the wearable device launch. Stakeholders are mapped across internal and external domains, each with distinct interests, influence, and roles.</w:t>
      </w:r>
    </w:p>
    <w:p w14:paraId="2F2ED49B" w14:textId="77777777" w:rsidR="00FB53E8" w:rsidRDefault="00FB53E8" w:rsidP="00FB53E8">
      <w:pPr>
        <w:spacing w:line="360" w:lineRule="auto"/>
        <w:rPr>
          <w:rFonts w:ascii="Arial" w:hAnsi="Arial" w:cs="Arial"/>
          <w:b/>
          <w:bCs/>
          <w:sz w:val="24"/>
          <w:szCs w:val="24"/>
          <w:lang w:val="es-ES"/>
        </w:rPr>
      </w:pPr>
    </w:p>
    <w:p w14:paraId="408E8CB1" w14:textId="329F14C7" w:rsidR="00FB53E8" w:rsidRPr="00DF71D5" w:rsidRDefault="00FB53E8" w:rsidP="00FB53E8">
      <w:pPr>
        <w:spacing w:line="360" w:lineRule="auto"/>
        <w:rPr>
          <w:rFonts w:ascii="Arial" w:hAnsi="Arial" w:cs="Arial"/>
          <w:b/>
          <w:bCs/>
          <w:sz w:val="24"/>
          <w:szCs w:val="24"/>
          <w:lang w:val="es-ES"/>
        </w:rPr>
      </w:pPr>
      <w:proofErr w:type="spellStart"/>
      <w:r w:rsidRPr="00DF71D5">
        <w:rPr>
          <w:rFonts w:ascii="Arial" w:hAnsi="Arial" w:cs="Arial"/>
          <w:b/>
          <w:bCs/>
          <w:sz w:val="24"/>
          <w:szCs w:val="24"/>
          <w:lang w:val="es-ES"/>
        </w:rPr>
        <w:t>Internal</w:t>
      </w:r>
      <w:proofErr w:type="spellEnd"/>
      <w:r w:rsidRPr="00DF71D5">
        <w:rPr>
          <w:rFonts w:ascii="Arial" w:hAnsi="Arial" w:cs="Arial"/>
          <w:b/>
          <w:bCs/>
          <w:sz w:val="24"/>
          <w:szCs w:val="24"/>
          <w:lang w:val="es-ES"/>
        </w:rPr>
        <w:t xml:space="preserve"> </w:t>
      </w:r>
      <w:proofErr w:type="spellStart"/>
      <w:r w:rsidRPr="00DF71D5">
        <w:rPr>
          <w:rFonts w:ascii="Arial" w:hAnsi="Arial" w:cs="Arial"/>
          <w:b/>
          <w:bCs/>
          <w:sz w:val="24"/>
          <w:szCs w:val="24"/>
          <w:lang w:val="es-ES"/>
        </w:rPr>
        <w:t>Stakeholders</w:t>
      </w:r>
      <w:proofErr w:type="spellEnd"/>
    </w:p>
    <w:p w14:paraId="37B83D44"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Executive Leadership:</w:t>
      </w:r>
      <w:r w:rsidRPr="00DF71D5">
        <w:rPr>
          <w:rFonts w:ascii="Arial" w:hAnsi="Arial" w:cs="Arial"/>
          <w:sz w:val="24"/>
          <w:szCs w:val="24"/>
        </w:rPr>
        <w:t xml:space="preserve"> Sets strategic direction, allocates resources, and ensures alignment with corporate goals.</w:t>
      </w:r>
    </w:p>
    <w:p w14:paraId="321320D0" w14:textId="77777777" w:rsidR="00FB53E8" w:rsidRPr="00DF71D5" w:rsidRDefault="00FB53E8" w:rsidP="00FB53E8">
      <w:pPr>
        <w:numPr>
          <w:ilvl w:val="0"/>
          <w:numId w:val="10"/>
        </w:numPr>
        <w:spacing w:line="360" w:lineRule="auto"/>
        <w:rPr>
          <w:rFonts w:ascii="Arial" w:hAnsi="Arial" w:cs="Arial"/>
          <w:sz w:val="24"/>
          <w:szCs w:val="24"/>
        </w:rPr>
      </w:pPr>
      <w:proofErr w:type="spellStart"/>
      <w:r w:rsidRPr="00DF71D5">
        <w:rPr>
          <w:rFonts w:ascii="Arial" w:hAnsi="Arial" w:cs="Arial"/>
          <w:b/>
          <w:bCs/>
          <w:sz w:val="24"/>
          <w:szCs w:val="24"/>
        </w:rPr>
        <w:t>Evinova</w:t>
      </w:r>
      <w:proofErr w:type="spellEnd"/>
      <w:r w:rsidRPr="00DF71D5">
        <w:rPr>
          <w:rFonts w:ascii="Arial" w:hAnsi="Arial" w:cs="Arial"/>
          <w:b/>
          <w:bCs/>
          <w:sz w:val="24"/>
          <w:szCs w:val="24"/>
        </w:rPr>
        <w:t xml:space="preserve"> Digital Health Team:</w:t>
      </w:r>
      <w:r w:rsidRPr="00DF71D5">
        <w:rPr>
          <w:rFonts w:ascii="Arial" w:hAnsi="Arial" w:cs="Arial"/>
          <w:sz w:val="24"/>
          <w:szCs w:val="24"/>
        </w:rPr>
        <w:t xml:space="preserve"> Leads device design, development, and integration into digital platforms.</w:t>
      </w:r>
    </w:p>
    <w:p w14:paraId="22DE8D80"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Clinical Operations:</w:t>
      </w:r>
      <w:r w:rsidRPr="00DF71D5">
        <w:rPr>
          <w:rFonts w:ascii="Arial" w:hAnsi="Arial" w:cs="Arial"/>
          <w:sz w:val="24"/>
          <w:szCs w:val="24"/>
        </w:rPr>
        <w:t xml:space="preserve"> Manages clinical trial deployment, data collection, and regulatory compliance.</w:t>
      </w:r>
    </w:p>
    <w:p w14:paraId="4EE73B58"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R&amp;D Scientists:</w:t>
      </w:r>
      <w:r w:rsidRPr="00DF71D5">
        <w:rPr>
          <w:rFonts w:ascii="Arial" w:hAnsi="Arial" w:cs="Arial"/>
          <w:sz w:val="24"/>
          <w:szCs w:val="24"/>
        </w:rPr>
        <w:t xml:space="preserve"> Drive innovation, validate device efficacy, and ensure scientific rigor.</w:t>
      </w:r>
    </w:p>
    <w:p w14:paraId="17DC82A0"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Regulatory Affairs:</w:t>
      </w:r>
      <w:r w:rsidRPr="00DF71D5">
        <w:rPr>
          <w:rFonts w:ascii="Arial" w:hAnsi="Arial" w:cs="Arial"/>
          <w:sz w:val="24"/>
          <w:szCs w:val="24"/>
        </w:rPr>
        <w:t xml:space="preserve"> Navigates approval processes, ensures compliance, and manages submissions.</w:t>
      </w:r>
    </w:p>
    <w:p w14:paraId="018BFDEF"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IT and Data Security:</w:t>
      </w:r>
      <w:r w:rsidRPr="00DF71D5">
        <w:rPr>
          <w:rFonts w:ascii="Arial" w:hAnsi="Arial" w:cs="Arial"/>
          <w:sz w:val="24"/>
          <w:szCs w:val="24"/>
        </w:rPr>
        <w:t xml:space="preserve"> Safeguards data integrity, privacy, and cybersecurity.</w:t>
      </w:r>
    </w:p>
    <w:p w14:paraId="72996A13"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Sustainability and ESG Teams:</w:t>
      </w:r>
      <w:r w:rsidRPr="00DF71D5">
        <w:rPr>
          <w:rFonts w:ascii="Arial" w:hAnsi="Arial" w:cs="Arial"/>
          <w:sz w:val="24"/>
          <w:szCs w:val="24"/>
        </w:rPr>
        <w:t xml:space="preserve"> Ensure environmental targets are met and reported.</w:t>
      </w:r>
    </w:p>
    <w:p w14:paraId="02875A36"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Marketing and Commercial:</w:t>
      </w:r>
      <w:r w:rsidRPr="00DF71D5">
        <w:rPr>
          <w:rFonts w:ascii="Arial" w:hAnsi="Arial" w:cs="Arial"/>
          <w:sz w:val="24"/>
          <w:szCs w:val="24"/>
        </w:rPr>
        <w:t xml:space="preserve"> Develops go-to-market strategies, stakeholder communications, and adoption campaigns.</w:t>
      </w:r>
    </w:p>
    <w:p w14:paraId="1D9C79A6"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Legal and Compliance:</w:t>
      </w:r>
      <w:r w:rsidRPr="00DF71D5">
        <w:rPr>
          <w:rFonts w:ascii="Arial" w:hAnsi="Arial" w:cs="Arial"/>
          <w:sz w:val="24"/>
          <w:szCs w:val="24"/>
        </w:rPr>
        <w:t xml:space="preserve"> Manages contracts, intellectual property, and risk mitigation.</w:t>
      </w:r>
    </w:p>
    <w:p w14:paraId="16F39958" w14:textId="77777777" w:rsidR="00FB53E8" w:rsidRPr="00DF71D5" w:rsidRDefault="00FB53E8" w:rsidP="00FB53E8">
      <w:pPr>
        <w:numPr>
          <w:ilvl w:val="0"/>
          <w:numId w:val="10"/>
        </w:numPr>
        <w:spacing w:line="360" w:lineRule="auto"/>
        <w:rPr>
          <w:rFonts w:ascii="Arial" w:hAnsi="Arial" w:cs="Arial"/>
          <w:sz w:val="24"/>
          <w:szCs w:val="24"/>
        </w:rPr>
      </w:pPr>
      <w:r w:rsidRPr="00DF71D5">
        <w:rPr>
          <w:rFonts w:ascii="Arial" w:hAnsi="Arial" w:cs="Arial"/>
          <w:b/>
          <w:bCs/>
          <w:sz w:val="24"/>
          <w:szCs w:val="24"/>
        </w:rPr>
        <w:t>Human Resources:</w:t>
      </w:r>
      <w:r w:rsidRPr="00DF71D5">
        <w:rPr>
          <w:rFonts w:ascii="Arial" w:hAnsi="Arial" w:cs="Arial"/>
          <w:sz w:val="24"/>
          <w:szCs w:val="24"/>
        </w:rPr>
        <w:t xml:space="preserve"> Supports talent acquisition, training, and change management.</w:t>
      </w:r>
    </w:p>
    <w:p w14:paraId="1A4E8CC1" w14:textId="77777777" w:rsidR="00FB53E8" w:rsidRPr="00FC6067" w:rsidRDefault="00FB53E8" w:rsidP="00FB53E8">
      <w:pPr>
        <w:spacing w:line="360" w:lineRule="auto"/>
        <w:rPr>
          <w:rFonts w:ascii="Arial" w:hAnsi="Arial" w:cs="Arial"/>
          <w:b/>
          <w:bCs/>
          <w:sz w:val="24"/>
          <w:szCs w:val="24"/>
        </w:rPr>
      </w:pPr>
    </w:p>
    <w:p w14:paraId="527A7C0A" w14:textId="77777777" w:rsidR="00FB53E8" w:rsidRPr="00FC6067" w:rsidRDefault="00FB53E8" w:rsidP="00FB53E8">
      <w:pPr>
        <w:spacing w:line="360" w:lineRule="auto"/>
        <w:rPr>
          <w:rFonts w:ascii="Arial" w:hAnsi="Arial" w:cs="Arial"/>
          <w:b/>
          <w:bCs/>
          <w:sz w:val="24"/>
          <w:szCs w:val="24"/>
        </w:rPr>
      </w:pPr>
    </w:p>
    <w:p w14:paraId="3FF560C0" w14:textId="77777777" w:rsidR="00FB53E8" w:rsidRPr="00FC6067" w:rsidRDefault="00FB53E8" w:rsidP="00FB53E8">
      <w:pPr>
        <w:spacing w:line="360" w:lineRule="auto"/>
        <w:rPr>
          <w:rFonts w:ascii="Arial" w:hAnsi="Arial" w:cs="Arial"/>
          <w:b/>
          <w:bCs/>
          <w:sz w:val="24"/>
          <w:szCs w:val="24"/>
        </w:rPr>
      </w:pPr>
    </w:p>
    <w:p w14:paraId="438D8CC7" w14:textId="0CB1A845" w:rsidR="00FB53E8" w:rsidRPr="00DF71D5" w:rsidRDefault="00FB53E8" w:rsidP="00FB53E8">
      <w:pPr>
        <w:spacing w:line="360" w:lineRule="auto"/>
        <w:rPr>
          <w:rFonts w:ascii="Arial" w:hAnsi="Arial" w:cs="Arial"/>
          <w:b/>
          <w:bCs/>
          <w:sz w:val="24"/>
          <w:szCs w:val="24"/>
          <w:lang w:val="es-ES"/>
        </w:rPr>
      </w:pPr>
      <w:proofErr w:type="spellStart"/>
      <w:r w:rsidRPr="00DF71D5">
        <w:rPr>
          <w:rFonts w:ascii="Arial" w:hAnsi="Arial" w:cs="Arial"/>
          <w:b/>
          <w:bCs/>
          <w:sz w:val="24"/>
          <w:szCs w:val="24"/>
          <w:lang w:val="es-ES"/>
        </w:rPr>
        <w:lastRenderedPageBreak/>
        <w:t>External</w:t>
      </w:r>
      <w:proofErr w:type="spellEnd"/>
      <w:r w:rsidRPr="00DF71D5">
        <w:rPr>
          <w:rFonts w:ascii="Arial" w:hAnsi="Arial" w:cs="Arial"/>
          <w:b/>
          <w:bCs/>
          <w:sz w:val="24"/>
          <w:szCs w:val="24"/>
          <w:lang w:val="es-ES"/>
        </w:rPr>
        <w:t xml:space="preserve"> </w:t>
      </w:r>
      <w:proofErr w:type="spellStart"/>
      <w:r w:rsidRPr="00DF71D5">
        <w:rPr>
          <w:rFonts w:ascii="Arial" w:hAnsi="Arial" w:cs="Arial"/>
          <w:b/>
          <w:bCs/>
          <w:sz w:val="24"/>
          <w:szCs w:val="24"/>
          <w:lang w:val="es-ES"/>
        </w:rPr>
        <w:t>Stakeholders</w:t>
      </w:r>
      <w:proofErr w:type="spellEnd"/>
    </w:p>
    <w:p w14:paraId="285E7EC5" w14:textId="77777777" w:rsidR="00FB53E8" w:rsidRPr="00DF71D5" w:rsidRDefault="00FB53E8" w:rsidP="00FB53E8">
      <w:pPr>
        <w:numPr>
          <w:ilvl w:val="0"/>
          <w:numId w:val="11"/>
        </w:numPr>
        <w:spacing w:line="360" w:lineRule="auto"/>
        <w:rPr>
          <w:rFonts w:ascii="Arial" w:hAnsi="Arial" w:cs="Arial"/>
          <w:sz w:val="24"/>
          <w:szCs w:val="24"/>
          <w:lang w:val="es-ES"/>
        </w:rPr>
      </w:pPr>
      <w:r w:rsidRPr="00DF71D5">
        <w:rPr>
          <w:rFonts w:ascii="Arial" w:hAnsi="Arial" w:cs="Arial"/>
          <w:b/>
          <w:bCs/>
          <w:sz w:val="24"/>
          <w:szCs w:val="24"/>
        </w:rPr>
        <w:t>Patients and Patient Advocacy Groups:</w:t>
      </w:r>
      <w:r w:rsidRPr="00DF71D5">
        <w:rPr>
          <w:rFonts w:ascii="Arial" w:hAnsi="Arial" w:cs="Arial"/>
          <w:sz w:val="24"/>
          <w:szCs w:val="24"/>
        </w:rPr>
        <w:t xml:space="preserve"> End users, co-design partners, and data contributors. </w:t>
      </w:r>
      <w:proofErr w:type="spellStart"/>
      <w:r w:rsidRPr="00DF71D5">
        <w:rPr>
          <w:rFonts w:ascii="Arial" w:hAnsi="Arial" w:cs="Arial"/>
          <w:sz w:val="24"/>
          <w:szCs w:val="24"/>
          <w:lang w:val="es-ES"/>
        </w:rPr>
        <w:t>Their</w:t>
      </w:r>
      <w:proofErr w:type="spellEnd"/>
      <w:r w:rsidRPr="00DF71D5">
        <w:rPr>
          <w:rFonts w:ascii="Arial" w:hAnsi="Arial" w:cs="Arial"/>
          <w:sz w:val="24"/>
          <w:szCs w:val="24"/>
          <w:lang w:val="es-ES"/>
        </w:rPr>
        <w:t xml:space="preserve"> </w:t>
      </w:r>
      <w:proofErr w:type="spellStart"/>
      <w:r w:rsidRPr="00DF71D5">
        <w:rPr>
          <w:rFonts w:ascii="Arial" w:hAnsi="Arial" w:cs="Arial"/>
          <w:sz w:val="24"/>
          <w:szCs w:val="24"/>
          <w:lang w:val="es-ES"/>
        </w:rPr>
        <w:t>feedback</w:t>
      </w:r>
      <w:proofErr w:type="spellEnd"/>
      <w:r w:rsidRPr="00DF71D5">
        <w:rPr>
          <w:rFonts w:ascii="Arial" w:hAnsi="Arial" w:cs="Arial"/>
          <w:sz w:val="24"/>
          <w:szCs w:val="24"/>
          <w:lang w:val="es-ES"/>
        </w:rPr>
        <w:t xml:space="preserve"> </w:t>
      </w:r>
      <w:proofErr w:type="spellStart"/>
      <w:r w:rsidRPr="00DF71D5">
        <w:rPr>
          <w:rFonts w:ascii="Arial" w:hAnsi="Arial" w:cs="Arial"/>
          <w:sz w:val="24"/>
          <w:szCs w:val="24"/>
          <w:lang w:val="es-ES"/>
        </w:rPr>
        <w:t>shapes</w:t>
      </w:r>
      <w:proofErr w:type="spellEnd"/>
      <w:r w:rsidRPr="00DF71D5">
        <w:rPr>
          <w:rFonts w:ascii="Arial" w:hAnsi="Arial" w:cs="Arial"/>
          <w:sz w:val="24"/>
          <w:szCs w:val="24"/>
          <w:lang w:val="es-ES"/>
        </w:rPr>
        <w:t xml:space="preserve"> </w:t>
      </w:r>
      <w:proofErr w:type="spellStart"/>
      <w:r w:rsidRPr="00DF71D5">
        <w:rPr>
          <w:rFonts w:ascii="Arial" w:hAnsi="Arial" w:cs="Arial"/>
          <w:sz w:val="24"/>
          <w:szCs w:val="24"/>
          <w:lang w:val="es-ES"/>
        </w:rPr>
        <w:t>usability</w:t>
      </w:r>
      <w:proofErr w:type="spellEnd"/>
      <w:r w:rsidRPr="00DF71D5">
        <w:rPr>
          <w:rFonts w:ascii="Arial" w:hAnsi="Arial" w:cs="Arial"/>
          <w:sz w:val="24"/>
          <w:szCs w:val="24"/>
          <w:lang w:val="es-ES"/>
        </w:rPr>
        <w:t xml:space="preserve">, </w:t>
      </w:r>
      <w:proofErr w:type="spellStart"/>
      <w:r w:rsidRPr="00DF71D5">
        <w:rPr>
          <w:rFonts w:ascii="Arial" w:hAnsi="Arial" w:cs="Arial"/>
          <w:sz w:val="24"/>
          <w:szCs w:val="24"/>
          <w:lang w:val="es-ES"/>
        </w:rPr>
        <w:t>inclusivity</w:t>
      </w:r>
      <w:proofErr w:type="spellEnd"/>
      <w:r w:rsidRPr="00DF71D5">
        <w:rPr>
          <w:rFonts w:ascii="Arial" w:hAnsi="Arial" w:cs="Arial"/>
          <w:sz w:val="24"/>
          <w:szCs w:val="24"/>
          <w:lang w:val="es-ES"/>
        </w:rPr>
        <w:t xml:space="preserve">, and </w:t>
      </w:r>
      <w:proofErr w:type="spellStart"/>
      <w:r w:rsidRPr="00DF71D5">
        <w:rPr>
          <w:rFonts w:ascii="Arial" w:hAnsi="Arial" w:cs="Arial"/>
          <w:sz w:val="24"/>
          <w:szCs w:val="24"/>
          <w:lang w:val="es-ES"/>
        </w:rPr>
        <w:t>adoption</w:t>
      </w:r>
      <w:proofErr w:type="spellEnd"/>
      <w:r w:rsidRPr="00DF71D5">
        <w:rPr>
          <w:rFonts w:ascii="Arial" w:hAnsi="Arial" w:cs="Arial"/>
          <w:sz w:val="24"/>
          <w:szCs w:val="24"/>
          <w:lang w:val="es-ES"/>
        </w:rPr>
        <w:t>.</w:t>
      </w:r>
    </w:p>
    <w:p w14:paraId="4C320230"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Healthcare Providers:</w:t>
      </w:r>
      <w:r w:rsidRPr="00DF71D5">
        <w:rPr>
          <w:rFonts w:ascii="Arial" w:hAnsi="Arial" w:cs="Arial"/>
          <w:sz w:val="24"/>
          <w:szCs w:val="24"/>
        </w:rPr>
        <w:t xml:space="preserve"> Clinicians, nurses, and allied health professionals who prescribe, deploy, and monitor device use.</w:t>
      </w:r>
    </w:p>
    <w:p w14:paraId="358AD53D"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Clinical Trial Sites and CROs:</w:t>
      </w:r>
      <w:r w:rsidRPr="00DF71D5">
        <w:rPr>
          <w:rFonts w:ascii="Arial" w:hAnsi="Arial" w:cs="Arial"/>
          <w:sz w:val="24"/>
          <w:szCs w:val="24"/>
        </w:rPr>
        <w:t xml:space="preserve"> Implement device-based protocols, collect data, and ensure regulatory adherence.</w:t>
      </w:r>
    </w:p>
    <w:p w14:paraId="2A234AEC"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Payers and Insurers:</w:t>
      </w:r>
      <w:r w:rsidRPr="00DF71D5">
        <w:rPr>
          <w:rFonts w:ascii="Arial" w:hAnsi="Arial" w:cs="Arial"/>
          <w:sz w:val="24"/>
          <w:szCs w:val="24"/>
        </w:rPr>
        <w:t xml:space="preserve"> Determine reimbursement, assess cost-effectiveness, and influence adoption.</w:t>
      </w:r>
    </w:p>
    <w:p w14:paraId="26FDF755"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Regulatory Authorities:</w:t>
      </w:r>
      <w:r w:rsidRPr="00DF71D5">
        <w:rPr>
          <w:rFonts w:ascii="Arial" w:hAnsi="Arial" w:cs="Arial"/>
          <w:sz w:val="24"/>
          <w:szCs w:val="24"/>
        </w:rPr>
        <w:t xml:space="preserve"> MHRA, FDA, EMA, and other bodies that approve and monitor device safety and efficacy.</w:t>
      </w:r>
    </w:p>
    <w:p w14:paraId="7806492C"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Technology Partners:</w:t>
      </w:r>
      <w:r w:rsidRPr="00DF71D5">
        <w:rPr>
          <w:rFonts w:ascii="Arial" w:hAnsi="Arial" w:cs="Arial"/>
          <w:sz w:val="24"/>
          <w:szCs w:val="24"/>
        </w:rPr>
        <w:t xml:space="preserve"> Vendors providing cloud infrastructure, AI analytics, and interoperability solutions.</w:t>
      </w:r>
    </w:p>
    <w:p w14:paraId="24322043"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Suppliers and Manufacturers:</w:t>
      </w:r>
      <w:r w:rsidRPr="00DF71D5">
        <w:rPr>
          <w:rFonts w:ascii="Arial" w:hAnsi="Arial" w:cs="Arial"/>
          <w:sz w:val="24"/>
          <w:szCs w:val="24"/>
        </w:rPr>
        <w:t xml:space="preserve"> Ensure quality, scalability, and sustainability of device production.</w:t>
      </w:r>
    </w:p>
    <w:p w14:paraId="320C66CF"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Academic and Research Institutions:</w:t>
      </w:r>
      <w:r w:rsidRPr="00DF71D5">
        <w:rPr>
          <w:rFonts w:ascii="Arial" w:hAnsi="Arial" w:cs="Arial"/>
          <w:sz w:val="24"/>
          <w:szCs w:val="24"/>
        </w:rPr>
        <w:t xml:space="preserve"> Collaborate on validation studies, innovation, and training.</w:t>
      </w:r>
    </w:p>
    <w:p w14:paraId="20D0DD15"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Distributors and Retailers:</w:t>
      </w:r>
      <w:r w:rsidRPr="00DF71D5">
        <w:rPr>
          <w:rFonts w:ascii="Arial" w:hAnsi="Arial" w:cs="Arial"/>
          <w:sz w:val="24"/>
          <w:szCs w:val="24"/>
        </w:rPr>
        <w:t xml:space="preserve"> Manage logistics, inventory, and market access.</w:t>
      </w:r>
    </w:p>
    <w:p w14:paraId="07BE25DB"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Media and Public:</w:t>
      </w:r>
      <w:r w:rsidRPr="00DF71D5">
        <w:rPr>
          <w:rFonts w:ascii="Arial" w:hAnsi="Arial" w:cs="Arial"/>
          <w:sz w:val="24"/>
          <w:szCs w:val="24"/>
        </w:rPr>
        <w:t xml:space="preserve"> Shape perception, trust, and demand through coverage and commentary.</w:t>
      </w:r>
    </w:p>
    <w:p w14:paraId="24BEF104" w14:textId="77777777" w:rsidR="00FB53E8" w:rsidRPr="00DF71D5" w:rsidRDefault="00FB53E8" w:rsidP="00FB53E8">
      <w:pPr>
        <w:numPr>
          <w:ilvl w:val="0"/>
          <w:numId w:val="11"/>
        </w:numPr>
        <w:spacing w:line="360" w:lineRule="auto"/>
        <w:rPr>
          <w:rFonts w:ascii="Arial" w:hAnsi="Arial" w:cs="Arial"/>
          <w:sz w:val="24"/>
          <w:szCs w:val="24"/>
        </w:rPr>
      </w:pPr>
      <w:r w:rsidRPr="00DF71D5">
        <w:rPr>
          <w:rFonts w:ascii="Arial" w:hAnsi="Arial" w:cs="Arial"/>
          <w:b/>
          <w:bCs/>
          <w:sz w:val="24"/>
          <w:szCs w:val="24"/>
        </w:rPr>
        <w:t>Investors and Analysts:</w:t>
      </w:r>
      <w:r w:rsidRPr="00DF71D5">
        <w:rPr>
          <w:rFonts w:ascii="Arial" w:hAnsi="Arial" w:cs="Arial"/>
          <w:sz w:val="24"/>
          <w:szCs w:val="24"/>
        </w:rPr>
        <w:t xml:space="preserve"> Monitor performance, risk, and strategic alignment.</w:t>
      </w:r>
    </w:p>
    <w:p w14:paraId="4C30F19B" w14:textId="77777777" w:rsidR="00FB53E8" w:rsidRPr="00DF71D5" w:rsidRDefault="00FB53E8" w:rsidP="00FB53E8">
      <w:pPr>
        <w:spacing w:line="360" w:lineRule="auto"/>
        <w:rPr>
          <w:rFonts w:ascii="Arial" w:hAnsi="Arial" w:cs="Arial"/>
          <w:sz w:val="24"/>
          <w:szCs w:val="24"/>
        </w:rPr>
      </w:pPr>
      <w:r w:rsidRPr="00DF71D5">
        <w:rPr>
          <w:rFonts w:ascii="Arial" w:hAnsi="Arial" w:cs="Arial"/>
          <w:sz w:val="24"/>
          <w:szCs w:val="24"/>
        </w:rPr>
        <w:t>Stakeholder mapping is dynamic. Influence and interest shift across the project lifecycle. Early engagement, clear communication, and tailored strategies are essential for alignment and success.</w:t>
      </w:r>
    </w:p>
    <w:p w14:paraId="070B6D37" w14:textId="504B117C" w:rsidR="00FB53E8" w:rsidRDefault="00FB53E8" w:rsidP="00D02AD8">
      <w:pPr>
        <w:spacing w:line="360" w:lineRule="auto"/>
        <w:ind w:left="720"/>
        <w:rPr>
          <w:rFonts w:ascii="Arial" w:hAnsi="Arial" w:cs="Arial"/>
          <w:sz w:val="24"/>
          <w:szCs w:val="24"/>
        </w:rPr>
      </w:pPr>
    </w:p>
    <w:p w14:paraId="4DA1AF9C" w14:textId="10B25CDB" w:rsidR="00FC6067" w:rsidRPr="00FB53E8" w:rsidRDefault="00FB53E8" w:rsidP="00FB53E8">
      <w:pPr>
        <w:rPr>
          <w:rFonts w:ascii="Arial" w:hAnsi="Arial" w:cs="Arial"/>
          <w:sz w:val="24"/>
          <w:szCs w:val="24"/>
        </w:rPr>
      </w:pPr>
      <w:r>
        <w:rPr>
          <w:rFonts w:ascii="Arial" w:hAnsi="Arial" w:cs="Arial"/>
          <w:sz w:val="24"/>
          <w:szCs w:val="24"/>
        </w:rPr>
        <w:br w:type="page"/>
      </w:r>
      <w:r w:rsidR="00FC6067" w:rsidRPr="00FC6067">
        <w:rPr>
          <w:rFonts w:ascii="Arial" w:hAnsi="Arial" w:cs="Arial"/>
          <w:b/>
          <w:bCs/>
          <w:sz w:val="36"/>
          <w:szCs w:val="36"/>
          <w:highlight w:val="yellow"/>
        </w:rPr>
        <w:lastRenderedPageBreak/>
        <w:t>3.1 Identification of the Stakeholders</w:t>
      </w:r>
    </w:p>
    <w:p w14:paraId="4EDACA4A"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rPr>
        <w:t xml:space="preserve">Stakeholders are the backbone of delivery. Each one holds influence. Each one carries risk. </w:t>
      </w:r>
      <w:r w:rsidRPr="00FC6067">
        <w:rPr>
          <w:rFonts w:ascii="Arial" w:hAnsi="Arial" w:cs="Arial"/>
          <w:sz w:val="24"/>
          <w:szCs w:val="24"/>
          <w:lang w:val="es-ES"/>
        </w:rPr>
        <w:t>Identifying them early prevents drift. Aligning them ensures momentum.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9"/>
        <w:gridCol w:w="941"/>
        <w:gridCol w:w="5806"/>
      </w:tblGrid>
      <w:tr w:rsidR="00FC6067" w:rsidRPr="00FC6067" w14:paraId="26819EC8" w14:textId="77777777">
        <w:trPr>
          <w:tblHeader/>
          <w:tblCellSpacing w:w="15" w:type="dxa"/>
        </w:trPr>
        <w:tc>
          <w:tcPr>
            <w:tcW w:w="0" w:type="auto"/>
            <w:vAlign w:val="center"/>
            <w:hideMark/>
          </w:tcPr>
          <w:p w14:paraId="3A8F51D3" w14:textId="77777777" w:rsidR="00FC6067" w:rsidRPr="00FC6067" w:rsidRDefault="00FC6067" w:rsidP="00FC6067">
            <w:pPr>
              <w:spacing w:line="360" w:lineRule="auto"/>
              <w:rPr>
                <w:rFonts w:ascii="Arial" w:hAnsi="Arial" w:cs="Arial"/>
                <w:b/>
                <w:bCs/>
                <w:sz w:val="24"/>
                <w:szCs w:val="24"/>
                <w:lang w:val="es-ES"/>
              </w:rPr>
            </w:pPr>
            <w:r w:rsidRPr="00FC6067">
              <w:rPr>
                <w:rFonts w:ascii="Arial" w:hAnsi="Arial" w:cs="Arial"/>
                <w:b/>
                <w:bCs/>
                <w:sz w:val="24"/>
                <w:szCs w:val="24"/>
                <w:lang w:val="es-ES"/>
              </w:rPr>
              <w:t>Stakeholder</w:t>
            </w:r>
          </w:p>
        </w:tc>
        <w:tc>
          <w:tcPr>
            <w:tcW w:w="0" w:type="auto"/>
            <w:vAlign w:val="center"/>
            <w:hideMark/>
          </w:tcPr>
          <w:p w14:paraId="2742D66F" w14:textId="77777777" w:rsidR="00FC6067" w:rsidRPr="00FC6067" w:rsidRDefault="00FC6067" w:rsidP="00FC6067">
            <w:pPr>
              <w:spacing w:line="360" w:lineRule="auto"/>
              <w:rPr>
                <w:rFonts w:ascii="Arial" w:hAnsi="Arial" w:cs="Arial"/>
                <w:b/>
                <w:bCs/>
                <w:sz w:val="24"/>
                <w:szCs w:val="24"/>
                <w:lang w:val="es-ES"/>
              </w:rPr>
            </w:pPr>
            <w:r w:rsidRPr="00FC6067">
              <w:rPr>
                <w:rFonts w:ascii="Arial" w:hAnsi="Arial" w:cs="Arial"/>
                <w:b/>
                <w:bCs/>
                <w:sz w:val="24"/>
                <w:szCs w:val="24"/>
                <w:lang w:val="es-ES"/>
              </w:rPr>
              <w:t>Type</w:t>
            </w:r>
          </w:p>
        </w:tc>
        <w:tc>
          <w:tcPr>
            <w:tcW w:w="0" w:type="auto"/>
            <w:vAlign w:val="center"/>
            <w:hideMark/>
          </w:tcPr>
          <w:p w14:paraId="4A291E71" w14:textId="77777777" w:rsidR="00FC6067" w:rsidRPr="00FC6067" w:rsidRDefault="00FC6067" w:rsidP="00FC6067">
            <w:pPr>
              <w:spacing w:line="360" w:lineRule="auto"/>
              <w:rPr>
                <w:rFonts w:ascii="Arial" w:hAnsi="Arial" w:cs="Arial"/>
                <w:b/>
                <w:bCs/>
                <w:sz w:val="24"/>
                <w:szCs w:val="24"/>
                <w:lang w:val="es-ES"/>
              </w:rPr>
            </w:pPr>
            <w:r w:rsidRPr="00FC6067">
              <w:rPr>
                <w:rFonts w:ascii="Arial" w:hAnsi="Arial" w:cs="Arial"/>
                <w:b/>
                <w:bCs/>
                <w:sz w:val="24"/>
                <w:szCs w:val="24"/>
                <w:lang w:val="es-ES"/>
              </w:rPr>
              <w:t>Role in Project</w:t>
            </w:r>
          </w:p>
        </w:tc>
      </w:tr>
      <w:tr w:rsidR="00FC6067" w:rsidRPr="00FC6067" w14:paraId="5AFCF281" w14:textId="77777777">
        <w:trPr>
          <w:tblCellSpacing w:w="15" w:type="dxa"/>
        </w:trPr>
        <w:tc>
          <w:tcPr>
            <w:tcW w:w="0" w:type="auto"/>
            <w:vAlign w:val="center"/>
            <w:hideMark/>
          </w:tcPr>
          <w:p w14:paraId="55B52E4E"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Product Development</w:t>
            </w:r>
          </w:p>
        </w:tc>
        <w:tc>
          <w:tcPr>
            <w:tcW w:w="0" w:type="auto"/>
            <w:vAlign w:val="center"/>
            <w:hideMark/>
          </w:tcPr>
          <w:p w14:paraId="22BE4366"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Internal</w:t>
            </w:r>
          </w:p>
        </w:tc>
        <w:tc>
          <w:tcPr>
            <w:tcW w:w="0" w:type="auto"/>
            <w:vAlign w:val="center"/>
            <w:hideMark/>
          </w:tcPr>
          <w:p w14:paraId="782C6A75"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Designs, prototypes, and tests the wearable device</w:t>
            </w:r>
          </w:p>
        </w:tc>
      </w:tr>
      <w:tr w:rsidR="00FC6067" w:rsidRPr="00FC6067" w14:paraId="0469235C" w14:textId="77777777">
        <w:trPr>
          <w:tblCellSpacing w:w="15" w:type="dxa"/>
        </w:trPr>
        <w:tc>
          <w:tcPr>
            <w:tcW w:w="0" w:type="auto"/>
            <w:vAlign w:val="center"/>
            <w:hideMark/>
          </w:tcPr>
          <w:p w14:paraId="34F01D33"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Regulatory Affairs</w:t>
            </w:r>
          </w:p>
        </w:tc>
        <w:tc>
          <w:tcPr>
            <w:tcW w:w="0" w:type="auto"/>
            <w:vAlign w:val="center"/>
            <w:hideMark/>
          </w:tcPr>
          <w:p w14:paraId="7A9CFB4D"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Internal</w:t>
            </w:r>
          </w:p>
        </w:tc>
        <w:tc>
          <w:tcPr>
            <w:tcW w:w="0" w:type="auto"/>
            <w:vAlign w:val="center"/>
            <w:hideMark/>
          </w:tcPr>
          <w:p w14:paraId="7361A7A4"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Ensures compliance with MHRA, EMA, and GDPR standards</w:t>
            </w:r>
          </w:p>
        </w:tc>
      </w:tr>
      <w:tr w:rsidR="00FC6067" w:rsidRPr="00FC6067" w14:paraId="18DB6F22" w14:textId="77777777">
        <w:trPr>
          <w:tblCellSpacing w:w="15" w:type="dxa"/>
        </w:trPr>
        <w:tc>
          <w:tcPr>
            <w:tcW w:w="0" w:type="auto"/>
            <w:vAlign w:val="center"/>
            <w:hideMark/>
          </w:tcPr>
          <w:p w14:paraId="507E3FBC"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IT &amp; Cybersecurity</w:t>
            </w:r>
          </w:p>
        </w:tc>
        <w:tc>
          <w:tcPr>
            <w:tcW w:w="0" w:type="auto"/>
            <w:vAlign w:val="center"/>
            <w:hideMark/>
          </w:tcPr>
          <w:p w14:paraId="165FFBCC"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Internal</w:t>
            </w:r>
          </w:p>
        </w:tc>
        <w:tc>
          <w:tcPr>
            <w:tcW w:w="0" w:type="auto"/>
            <w:vAlign w:val="center"/>
            <w:hideMark/>
          </w:tcPr>
          <w:p w14:paraId="7B4B752E"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Builds secure infrastructure and protects patient data</w:t>
            </w:r>
          </w:p>
        </w:tc>
      </w:tr>
      <w:tr w:rsidR="00FC6067" w:rsidRPr="00FC6067" w14:paraId="0993C39C" w14:textId="77777777">
        <w:trPr>
          <w:tblCellSpacing w:w="15" w:type="dxa"/>
        </w:trPr>
        <w:tc>
          <w:tcPr>
            <w:tcW w:w="0" w:type="auto"/>
            <w:vAlign w:val="center"/>
            <w:hideMark/>
          </w:tcPr>
          <w:p w14:paraId="354323EC"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Marketing &amp; Sales</w:t>
            </w:r>
          </w:p>
        </w:tc>
        <w:tc>
          <w:tcPr>
            <w:tcW w:w="0" w:type="auto"/>
            <w:vAlign w:val="center"/>
            <w:hideMark/>
          </w:tcPr>
          <w:p w14:paraId="6BC5F3E4"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Internal</w:t>
            </w:r>
          </w:p>
        </w:tc>
        <w:tc>
          <w:tcPr>
            <w:tcW w:w="0" w:type="auto"/>
            <w:vAlign w:val="center"/>
            <w:hideMark/>
          </w:tcPr>
          <w:p w14:paraId="242A65E5"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Develops go-to-market strategy and drives adoption</w:t>
            </w:r>
          </w:p>
        </w:tc>
      </w:tr>
      <w:tr w:rsidR="00FC6067" w:rsidRPr="00FC6067" w14:paraId="43BFE6F0" w14:textId="77777777">
        <w:trPr>
          <w:tblCellSpacing w:w="15" w:type="dxa"/>
        </w:trPr>
        <w:tc>
          <w:tcPr>
            <w:tcW w:w="0" w:type="auto"/>
            <w:vAlign w:val="center"/>
            <w:hideMark/>
          </w:tcPr>
          <w:p w14:paraId="04C3DABE"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Executive Leadership</w:t>
            </w:r>
          </w:p>
        </w:tc>
        <w:tc>
          <w:tcPr>
            <w:tcW w:w="0" w:type="auto"/>
            <w:vAlign w:val="center"/>
            <w:hideMark/>
          </w:tcPr>
          <w:p w14:paraId="68AB5ECC"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Internal</w:t>
            </w:r>
          </w:p>
        </w:tc>
        <w:tc>
          <w:tcPr>
            <w:tcW w:w="0" w:type="auto"/>
            <w:vAlign w:val="center"/>
            <w:hideMark/>
          </w:tcPr>
          <w:p w14:paraId="1160A5A8"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Provides funding, strategic oversight, and governance</w:t>
            </w:r>
          </w:p>
        </w:tc>
      </w:tr>
      <w:tr w:rsidR="00FC6067" w:rsidRPr="00FC6067" w14:paraId="262A435E" w14:textId="77777777">
        <w:trPr>
          <w:tblCellSpacing w:w="15" w:type="dxa"/>
        </w:trPr>
        <w:tc>
          <w:tcPr>
            <w:tcW w:w="0" w:type="auto"/>
            <w:vAlign w:val="center"/>
            <w:hideMark/>
          </w:tcPr>
          <w:p w14:paraId="340B54EA"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Healthcare Providers</w:t>
            </w:r>
          </w:p>
        </w:tc>
        <w:tc>
          <w:tcPr>
            <w:tcW w:w="0" w:type="auto"/>
            <w:vAlign w:val="center"/>
            <w:hideMark/>
          </w:tcPr>
          <w:p w14:paraId="31C552AD"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External</w:t>
            </w:r>
          </w:p>
        </w:tc>
        <w:tc>
          <w:tcPr>
            <w:tcW w:w="0" w:type="auto"/>
            <w:vAlign w:val="center"/>
            <w:hideMark/>
          </w:tcPr>
          <w:p w14:paraId="7A017D21"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Validates clinical utility and integrates device into patient care workflows</w:t>
            </w:r>
          </w:p>
        </w:tc>
      </w:tr>
      <w:tr w:rsidR="00FC6067" w:rsidRPr="00FC6067" w14:paraId="31BA4191" w14:textId="77777777">
        <w:trPr>
          <w:tblCellSpacing w:w="15" w:type="dxa"/>
        </w:trPr>
        <w:tc>
          <w:tcPr>
            <w:tcW w:w="0" w:type="auto"/>
            <w:vAlign w:val="center"/>
            <w:hideMark/>
          </w:tcPr>
          <w:p w14:paraId="3E6721AC"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Patients &amp; End Users</w:t>
            </w:r>
          </w:p>
        </w:tc>
        <w:tc>
          <w:tcPr>
            <w:tcW w:w="0" w:type="auto"/>
            <w:vAlign w:val="center"/>
            <w:hideMark/>
          </w:tcPr>
          <w:p w14:paraId="1583A9FD"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External</w:t>
            </w:r>
          </w:p>
        </w:tc>
        <w:tc>
          <w:tcPr>
            <w:tcW w:w="0" w:type="auto"/>
            <w:vAlign w:val="center"/>
            <w:hideMark/>
          </w:tcPr>
          <w:p w14:paraId="771D14F7"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Use the device, provide feedback, and influence adoption</w:t>
            </w:r>
          </w:p>
        </w:tc>
      </w:tr>
      <w:tr w:rsidR="00FC6067" w:rsidRPr="00FC6067" w14:paraId="5CEB4FDC" w14:textId="77777777">
        <w:trPr>
          <w:tblCellSpacing w:w="15" w:type="dxa"/>
        </w:trPr>
        <w:tc>
          <w:tcPr>
            <w:tcW w:w="0" w:type="auto"/>
            <w:vAlign w:val="center"/>
            <w:hideMark/>
          </w:tcPr>
          <w:p w14:paraId="517218A3"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Retail &amp; Distribution</w:t>
            </w:r>
          </w:p>
        </w:tc>
        <w:tc>
          <w:tcPr>
            <w:tcW w:w="0" w:type="auto"/>
            <w:vAlign w:val="center"/>
            <w:hideMark/>
          </w:tcPr>
          <w:p w14:paraId="21281190"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External</w:t>
            </w:r>
          </w:p>
        </w:tc>
        <w:tc>
          <w:tcPr>
            <w:tcW w:w="0" w:type="auto"/>
            <w:vAlign w:val="center"/>
            <w:hideMark/>
          </w:tcPr>
          <w:p w14:paraId="19368DD1"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Manages physical delivery and retail partnerships</w:t>
            </w:r>
          </w:p>
        </w:tc>
      </w:tr>
      <w:tr w:rsidR="00FC6067" w:rsidRPr="00FC6067" w14:paraId="5341B6C3" w14:textId="77777777">
        <w:trPr>
          <w:tblCellSpacing w:w="15" w:type="dxa"/>
        </w:trPr>
        <w:tc>
          <w:tcPr>
            <w:tcW w:w="0" w:type="auto"/>
            <w:vAlign w:val="center"/>
            <w:hideMark/>
          </w:tcPr>
          <w:p w14:paraId="4A6388F5"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Data Regulators</w:t>
            </w:r>
          </w:p>
        </w:tc>
        <w:tc>
          <w:tcPr>
            <w:tcW w:w="0" w:type="auto"/>
            <w:vAlign w:val="center"/>
            <w:hideMark/>
          </w:tcPr>
          <w:p w14:paraId="6789F744"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External</w:t>
            </w:r>
          </w:p>
        </w:tc>
        <w:tc>
          <w:tcPr>
            <w:tcW w:w="0" w:type="auto"/>
            <w:vAlign w:val="center"/>
            <w:hideMark/>
          </w:tcPr>
          <w:p w14:paraId="32DFEADC"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Enforces data protection laws and monitors compliance</w:t>
            </w:r>
          </w:p>
        </w:tc>
      </w:tr>
      <w:tr w:rsidR="00FC6067" w:rsidRPr="00FC6067" w14:paraId="32001219" w14:textId="77777777">
        <w:trPr>
          <w:tblCellSpacing w:w="15" w:type="dxa"/>
        </w:trPr>
        <w:tc>
          <w:tcPr>
            <w:tcW w:w="0" w:type="auto"/>
            <w:vAlign w:val="center"/>
            <w:hideMark/>
          </w:tcPr>
          <w:p w14:paraId="1B0D4390"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b/>
                <w:bCs/>
                <w:sz w:val="24"/>
                <w:szCs w:val="24"/>
                <w:lang w:val="es-ES"/>
              </w:rPr>
              <w:t>Insurance Providers</w:t>
            </w:r>
          </w:p>
        </w:tc>
        <w:tc>
          <w:tcPr>
            <w:tcW w:w="0" w:type="auto"/>
            <w:vAlign w:val="center"/>
            <w:hideMark/>
          </w:tcPr>
          <w:p w14:paraId="66E5B44A" w14:textId="77777777" w:rsidR="00FC6067" w:rsidRPr="00FC6067" w:rsidRDefault="00FC6067" w:rsidP="00FC6067">
            <w:pPr>
              <w:spacing w:line="360" w:lineRule="auto"/>
              <w:rPr>
                <w:rFonts w:ascii="Arial" w:hAnsi="Arial" w:cs="Arial"/>
                <w:sz w:val="24"/>
                <w:szCs w:val="24"/>
                <w:lang w:val="es-ES"/>
              </w:rPr>
            </w:pPr>
            <w:r w:rsidRPr="00FC6067">
              <w:rPr>
                <w:rFonts w:ascii="Arial" w:hAnsi="Arial" w:cs="Arial"/>
                <w:sz w:val="24"/>
                <w:szCs w:val="24"/>
                <w:lang w:val="es-ES"/>
              </w:rPr>
              <w:t>External</w:t>
            </w:r>
          </w:p>
        </w:tc>
        <w:tc>
          <w:tcPr>
            <w:tcW w:w="0" w:type="auto"/>
            <w:vAlign w:val="center"/>
            <w:hideMark/>
          </w:tcPr>
          <w:p w14:paraId="154277F1" w14:textId="77777777" w:rsidR="00FC6067" w:rsidRPr="00FC6067" w:rsidRDefault="00FC6067" w:rsidP="00FC6067">
            <w:pPr>
              <w:spacing w:line="360" w:lineRule="auto"/>
              <w:rPr>
                <w:rFonts w:ascii="Arial" w:hAnsi="Arial" w:cs="Arial"/>
                <w:sz w:val="24"/>
                <w:szCs w:val="24"/>
              </w:rPr>
            </w:pPr>
            <w:r w:rsidRPr="00FC6067">
              <w:rPr>
                <w:rFonts w:ascii="Arial" w:hAnsi="Arial" w:cs="Arial"/>
                <w:sz w:val="24"/>
                <w:szCs w:val="24"/>
              </w:rPr>
              <w:t>Evaluates reimbursement models and wellness program integration</w:t>
            </w:r>
          </w:p>
        </w:tc>
      </w:tr>
    </w:tbl>
    <w:p w14:paraId="07699ECD" w14:textId="77777777" w:rsidR="00FC6067" w:rsidRPr="00FC6067" w:rsidRDefault="00FC6067" w:rsidP="00DF71D5">
      <w:pPr>
        <w:spacing w:line="360" w:lineRule="auto"/>
        <w:rPr>
          <w:rFonts w:ascii="Arial" w:hAnsi="Arial" w:cs="Arial"/>
          <w:sz w:val="24"/>
          <w:szCs w:val="24"/>
        </w:rPr>
      </w:pPr>
      <w:r w:rsidRPr="00FC6067">
        <w:rPr>
          <w:rFonts w:ascii="Arial" w:hAnsi="Arial" w:cs="Arial"/>
          <w:sz w:val="24"/>
          <w:szCs w:val="24"/>
        </w:rPr>
        <w:t>Each stakeholder is a force. Some build. Some approve. Some challenge. All must be engaged</w:t>
      </w:r>
    </w:p>
    <w:p w14:paraId="2DEF0E0B" w14:textId="77777777" w:rsidR="00FB53E8" w:rsidRDefault="00FB53E8" w:rsidP="00DF71D5">
      <w:pPr>
        <w:spacing w:line="360" w:lineRule="auto"/>
        <w:rPr>
          <w:rFonts w:ascii="Arial" w:hAnsi="Arial" w:cs="Arial"/>
          <w:b/>
          <w:bCs/>
          <w:sz w:val="36"/>
          <w:szCs w:val="36"/>
          <w:highlight w:val="yellow"/>
        </w:rPr>
      </w:pPr>
    </w:p>
    <w:p w14:paraId="07D13A29" w14:textId="25A10950" w:rsidR="00DF71D5" w:rsidRPr="00FC6067" w:rsidRDefault="00DF71D5" w:rsidP="00DF71D5">
      <w:pPr>
        <w:spacing w:line="360" w:lineRule="auto"/>
        <w:rPr>
          <w:rFonts w:ascii="Arial" w:hAnsi="Arial" w:cs="Arial"/>
          <w:sz w:val="24"/>
          <w:szCs w:val="24"/>
        </w:rPr>
      </w:pPr>
      <w:r w:rsidRPr="00DF71D5">
        <w:rPr>
          <w:rFonts w:ascii="Arial" w:hAnsi="Arial" w:cs="Arial"/>
          <w:b/>
          <w:bCs/>
          <w:sz w:val="36"/>
          <w:szCs w:val="36"/>
          <w:highlight w:val="yellow"/>
        </w:rPr>
        <w:lastRenderedPageBreak/>
        <w:t>SWOT Analysis: AstraZeneca’s Internal and External Positioning</w:t>
      </w:r>
    </w:p>
    <w:p w14:paraId="00B0E953"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AstraZeneca’s position in the wearable device market is defined by its internal strengths, weaknesses, external opportunities, and threats.</w:t>
      </w:r>
    </w:p>
    <w:p w14:paraId="1DF3D1FF"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Strengths</w:t>
      </w:r>
    </w:p>
    <w:p w14:paraId="2DCBE9FF" w14:textId="77777777" w:rsidR="00DF71D5" w:rsidRPr="00DF71D5" w:rsidRDefault="00DF71D5">
      <w:pPr>
        <w:numPr>
          <w:ilvl w:val="0"/>
          <w:numId w:val="6"/>
        </w:numPr>
        <w:spacing w:line="360" w:lineRule="auto"/>
        <w:rPr>
          <w:rFonts w:ascii="Arial" w:hAnsi="Arial" w:cs="Arial"/>
          <w:sz w:val="24"/>
          <w:szCs w:val="24"/>
        </w:rPr>
      </w:pPr>
      <w:r w:rsidRPr="00DF71D5">
        <w:rPr>
          <w:rFonts w:ascii="Arial" w:hAnsi="Arial" w:cs="Arial"/>
          <w:b/>
          <w:bCs/>
          <w:sz w:val="24"/>
          <w:szCs w:val="24"/>
        </w:rPr>
        <w:t>Innovation and R&amp;D:</w:t>
      </w:r>
      <w:r w:rsidRPr="00DF71D5">
        <w:rPr>
          <w:rFonts w:ascii="Arial" w:hAnsi="Arial" w:cs="Arial"/>
          <w:sz w:val="24"/>
          <w:szCs w:val="24"/>
        </w:rPr>
        <w:t xml:space="preserve"> AstraZeneca invests heavily in research, with a robust pipeline in oncology, cardiovascular, and respiratory fields. Evinova’s digital health expertise and AI capabilities are industry-leading.</w:t>
      </w:r>
    </w:p>
    <w:p w14:paraId="02DCB01F" w14:textId="77777777" w:rsidR="00DF71D5" w:rsidRPr="00DF71D5" w:rsidRDefault="00DF71D5">
      <w:pPr>
        <w:numPr>
          <w:ilvl w:val="0"/>
          <w:numId w:val="6"/>
        </w:numPr>
        <w:spacing w:line="360" w:lineRule="auto"/>
        <w:rPr>
          <w:rFonts w:ascii="Arial" w:hAnsi="Arial" w:cs="Arial"/>
          <w:sz w:val="24"/>
          <w:szCs w:val="24"/>
        </w:rPr>
      </w:pPr>
      <w:r w:rsidRPr="00DF71D5">
        <w:rPr>
          <w:rFonts w:ascii="Arial" w:hAnsi="Arial" w:cs="Arial"/>
          <w:b/>
          <w:bCs/>
          <w:sz w:val="24"/>
          <w:szCs w:val="24"/>
        </w:rPr>
        <w:t>Global Reach:</w:t>
      </w:r>
      <w:r w:rsidRPr="00DF71D5">
        <w:rPr>
          <w:rFonts w:ascii="Arial" w:hAnsi="Arial" w:cs="Arial"/>
          <w:sz w:val="24"/>
          <w:szCs w:val="24"/>
        </w:rPr>
        <w:t xml:space="preserve"> Operations in over 100 countries, with established partnerships and regulatory experience.</w:t>
      </w:r>
    </w:p>
    <w:p w14:paraId="675D543D" w14:textId="77777777" w:rsidR="00DF71D5" w:rsidRPr="00DF71D5" w:rsidRDefault="00DF71D5">
      <w:pPr>
        <w:numPr>
          <w:ilvl w:val="0"/>
          <w:numId w:val="6"/>
        </w:numPr>
        <w:spacing w:line="360" w:lineRule="auto"/>
        <w:rPr>
          <w:rFonts w:ascii="Arial" w:hAnsi="Arial" w:cs="Arial"/>
          <w:sz w:val="24"/>
          <w:szCs w:val="24"/>
        </w:rPr>
      </w:pPr>
      <w:r w:rsidRPr="00DF71D5">
        <w:rPr>
          <w:rFonts w:ascii="Arial" w:hAnsi="Arial" w:cs="Arial"/>
          <w:b/>
          <w:bCs/>
          <w:sz w:val="24"/>
          <w:szCs w:val="24"/>
        </w:rPr>
        <w:t>Sustainability Leadership:</w:t>
      </w:r>
      <w:r w:rsidRPr="00DF71D5">
        <w:rPr>
          <w:rFonts w:ascii="Arial" w:hAnsi="Arial" w:cs="Arial"/>
          <w:sz w:val="24"/>
          <w:szCs w:val="24"/>
        </w:rPr>
        <w:t xml:space="preserve"> Recognized for decarbonization, green labs, and environmental certifications. Ranked in the top five of the Access to Medicine Index.</w:t>
      </w:r>
    </w:p>
    <w:p w14:paraId="0275887D" w14:textId="77777777" w:rsidR="00DF71D5" w:rsidRPr="00DF71D5" w:rsidRDefault="00DF71D5">
      <w:pPr>
        <w:numPr>
          <w:ilvl w:val="0"/>
          <w:numId w:val="6"/>
        </w:numPr>
        <w:spacing w:line="360" w:lineRule="auto"/>
        <w:rPr>
          <w:rFonts w:ascii="Arial" w:hAnsi="Arial" w:cs="Arial"/>
          <w:sz w:val="24"/>
          <w:szCs w:val="24"/>
        </w:rPr>
      </w:pPr>
      <w:r w:rsidRPr="00DF71D5">
        <w:rPr>
          <w:rFonts w:ascii="Arial" w:hAnsi="Arial" w:cs="Arial"/>
          <w:b/>
          <w:bCs/>
          <w:sz w:val="24"/>
          <w:szCs w:val="24"/>
        </w:rPr>
        <w:t>Strategic Partnerships:</w:t>
      </w:r>
      <w:r w:rsidRPr="00DF71D5">
        <w:rPr>
          <w:rFonts w:ascii="Arial" w:hAnsi="Arial" w:cs="Arial"/>
          <w:sz w:val="24"/>
          <w:szCs w:val="24"/>
        </w:rPr>
        <w:t xml:space="preserve"> Collaborations with CROs, technology vendors, and academic institutions enhance reach and capability.</w:t>
      </w:r>
    </w:p>
    <w:p w14:paraId="7201C773" w14:textId="708287F3" w:rsidR="00DF71D5" w:rsidRPr="00DF71D5" w:rsidRDefault="00DF71D5">
      <w:pPr>
        <w:numPr>
          <w:ilvl w:val="0"/>
          <w:numId w:val="6"/>
        </w:numPr>
        <w:spacing w:line="360" w:lineRule="auto"/>
        <w:rPr>
          <w:rFonts w:ascii="Arial" w:hAnsi="Arial" w:cs="Arial"/>
          <w:sz w:val="24"/>
          <w:szCs w:val="24"/>
        </w:rPr>
      </w:pPr>
      <w:r w:rsidRPr="00DF71D5">
        <w:rPr>
          <w:rFonts w:ascii="Arial" w:hAnsi="Arial" w:cs="Arial"/>
          <w:b/>
          <w:bCs/>
          <w:sz w:val="24"/>
          <w:szCs w:val="24"/>
        </w:rPr>
        <w:t>Patient</w:t>
      </w:r>
      <w:r w:rsidR="007A502D">
        <w:rPr>
          <w:rFonts w:ascii="Arial" w:hAnsi="Arial" w:cs="Arial"/>
          <w:b/>
          <w:bCs/>
          <w:sz w:val="24"/>
          <w:szCs w:val="24"/>
        </w:rPr>
        <w:t xml:space="preserve"> </w:t>
      </w:r>
      <w:r w:rsidRPr="00DF71D5">
        <w:rPr>
          <w:rFonts w:ascii="Arial" w:hAnsi="Arial" w:cs="Arial"/>
          <w:b/>
          <w:bCs/>
          <w:sz w:val="24"/>
          <w:szCs w:val="24"/>
        </w:rPr>
        <w:t>Centric Design:</w:t>
      </w:r>
      <w:r w:rsidRPr="00DF71D5">
        <w:rPr>
          <w:rFonts w:ascii="Arial" w:hAnsi="Arial" w:cs="Arial"/>
          <w:sz w:val="24"/>
          <w:szCs w:val="24"/>
        </w:rPr>
        <w:t xml:space="preserve"> Co-creation with patients and clinicians ensures usability and inclusivity.</w:t>
      </w:r>
    </w:p>
    <w:p w14:paraId="494D6EC8"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Weaknesses</w:t>
      </w:r>
    </w:p>
    <w:p w14:paraId="3A9FBDB5" w14:textId="77777777" w:rsidR="00DF71D5" w:rsidRPr="00DF71D5" w:rsidRDefault="00DF71D5">
      <w:pPr>
        <w:numPr>
          <w:ilvl w:val="0"/>
          <w:numId w:val="7"/>
        </w:numPr>
        <w:spacing w:line="360" w:lineRule="auto"/>
        <w:rPr>
          <w:rFonts w:ascii="Arial" w:hAnsi="Arial" w:cs="Arial"/>
          <w:sz w:val="24"/>
          <w:szCs w:val="24"/>
        </w:rPr>
      </w:pPr>
      <w:r w:rsidRPr="00DF71D5">
        <w:rPr>
          <w:rFonts w:ascii="Arial" w:hAnsi="Arial" w:cs="Arial"/>
          <w:b/>
          <w:bCs/>
          <w:sz w:val="24"/>
          <w:szCs w:val="24"/>
        </w:rPr>
        <w:t>Regulatory Complexity:</w:t>
      </w:r>
      <w:r w:rsidRPr="00DF71D5">
        <w:rPr>
          <w:rFonts w:ascii="Arial" w:hAnsi="Arial" w:cs="Arial"/>
          <w:sz w:val="24"/>
          <w:szCs w:val="24"/>
        </w:rPr>
        <w:t xml:space="preserve"> Navigating divergent and evolving device regulations increases risk and resource demands.</w:t>
      </w:r>
    </w:p>
    <w:p w14:paraId="1D3D946F" w14:textId="77777777" w:rsidR="00DF71D5" w:rsidRPr="00DF71D5" w:rsidRDefault="00DF71D5">
      <w:pPr>
        <w:numPr>
          <w:ilvl w:val="0"/>
          <w:numId w:val="7"/>
        </w:numPr>
        <w:spacing w:line="360" w:lineRule="auto"/>
        <w:rPr>
          <w:rFonts w:ascii="Arial" w:hAnsi="Arial" w:cs="Arial"/>
          <w:sz w:val="24"/>
          <w:szCs w:val="24"/>
        </w:rPr>
      </w:pPr>
      <w:r w:rsidRPr="00DF71D5">
        <w:rPr>
          <w:rFonts w:ascii="Arial" w:hAnsi="Arial" w:cs="Arial"/>
          <w:b/>
          <w:bCs/>
          <w:sz w:val="24"/>
          <w:szCs w:val="24"/>
        </w:rPr>
        <w:t>Dependence on Key Products:</w:t>
      </w:r>
      <w:r w:rsidRPr="00DF71D5">
        <w:rPr>
          <w:rFonts w:ascii="Arial" w:hAnsi="Arial" w:cs="Arial"/>
          <w:sz w:val="24"/>
          <w:szCs w:val="24"/>
        </w:rPr>
        <w:t xml:space="preserve"> Heavy reliance on blockbuster drugs and flagship digital solutions can expose the company to market shocks.</w:t>
      </w:r>
    </w:p>
    <w:p w14:paraId="5E742B55" w14:textId="77777777" w:rsidR="00DF71D5" w:rsidRPr="00DF71D5" w:rsidRDefault="00DF71D5">
      <w:pPr>
        <w:numPr>
          <w:ilvl w:val="0"/>
          <w:numId w:val="7"/>
        </w:numPr>
        <w:spacing w:line="360" w:lineRule="auto"/>
        <w:rPr>
          <w:rFonts w:ascii="Arial" w:hAnsi="Arial" w:cs="Arial"/>
          <w:sz w:val="24"/>
          <w:szCs w:val="24"/>
        </w:rPr>
      </w:pPr>
      <w:r w:rsidRPr="00DF71D5">
        <w:rPr>
          <w:rFonts w:ascii="Arial" w:hAnsi="Arial" w:cs="Arial"/>
          <w:b/>
          <w:bCs/>
          <w:sz w:val="24"/>
          <w:szCs w:val="24"/>
        </w:rPr>
        <w:t>Integration Challenges:</w:t>
      </w:r>
      <w:r w:rsidRPr="00DF71D5">
        <w:rPr>
          <w:rFonts w:ascii="Arial" w:hAnsi="Arial" w:cs="Arial"/>
          <w:sz w:val="24"/>
          <w:szCs w:val="24"/>
        </w:rPr>
        <w:t xml:space="preserve"> Merging digital and traditional operations, and integrating new acquisitions, can strain organizational cohesion.</w:t>
      </w:r>
    </w:p>
    <w:p w14:paraId="29AF40E2" w14:textId="77777777" w:rsidR="00DF71D5" w:rsidRPr="00DF71D5" w:rsidRDefault="00DF71D5">
      <w:pPr>
        <w:numPr>
          <w:ilvl w:val="0"/>
          <w:numId w:val="7"/>
        </w:numPr>
        <w:spacing w:line="360" w:lineRule="auto"/>
        <w:rPr>
          <w:rFonts w:ascii="Arial" w:hAnsi="Arial" w:cs="Arial"/>
          <w:sz w:val="24"/>
          <w:szCs w:val="24"/>
        </w:rPr>
      </w:pPr>
      <w:r w:rsidRPr="00DF71D5">
        <w:rPr>
          <w:rFonts w:ascii="Arial" w:hAnsi="Arial" w:cs="Arial"/>
          <w:b/>
          <w:bCs/>
          <w:sz w:val="24"/>
          <w:szCs w:val="24"/>
        </w:rPr>
        <w:t>R&amp;D Productivity:</w:t>
      </w:r>
      <w:r w:rsidRPr="00DF71D5">
        <w:rPr>
          <w:rFonts w:ascii="Arial" w:hAnsi="Arial" w:cs="Arial"/>
          <w:sz w:val="24"/>
          <w:szCs w:val="24"/>
        </w:rPr>
        <w:t xml:space="preserve"> High investment does not always yield marketable products; attrition rates in device development are significant.</w:t>
      </w:r>
    </w:p>
    <w:p w14:paraId="4358F23F" w14:textId="77777777" w:rsidR="00DF71D5" w:rsidRPr="00DF71D5" w:rsidRDefault="00DF71D5">
      <w:pPr>
        <w:numPr>
          <w:ilvl w:val="0"/>
          <w:numId w:val="7"/>
        </w:numPr>
        <w:spacing w:line="360" w:lineRule="auto"/>
        <w:rPr>
          <w:rFonts w:ascii="Arial" w:hAnsi="Arial" w:cs="Arial"/>
          <w:sz w:val="24"/>
          <w:szCs w:val="24"/>
        </w:rPr>
      </w:pPr>
      <w:r w:rsidRPr="00DF71D5">
        <w:rPr>
          <w:rFonts w:ascii="Arial" w:hAnsi="Arial" w:cs="Arial"/>
          <w:b/>
          <w:bCs/>
          <w:sz w:val="24"/>
          <w:szCs w:val="24"/>
        </w:rPr>
        <w:t>Digital Exclusion:</w:t>
      </w:r>
      <w:r w:rsidRPr="00DF71D5">
        <w:rPr>
          <w:rFonts w:ascii="Arial" w:hAnsi="Arial" w:cs="Arial"/>
          <w:sz w:val="24"/>
          <w:szCs w:val="24"/>
        </w:rPr>
        <w:t xml:space="preserve"> Risk of excluding vulnerable populations due to technology access or literacy gaps.</w:t>
      </w:r>
    </w:p>
    <w:p w14:paraId="4652340D"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lastRenderedPageBreak/>
        <w:t>Opportunities</w:t>
      </w:r>
    </w:p>
    <w:p w14:paraId="5AA3B668" w14:textId="77777777" w:rsidR="00DF71D5" w:rsidRPr="00DF71D5" w:rsidRDefault="00DF71D5">
      <w:pPr>
        <w:numPr>
          <w:ilvl w:val="0"/>
          <w:numId w:val="8"/>
        </w:numPr>
        <w:spacing w:line="360" w:lineRule="auto"/>
        <w:rPr>
          <w:rFonts w:ascii="Arial" w:hAnsi="Arial" w:cs="Arial"/>
          <w:sz w:val="24"/>
          <w:szCs w:val="24"/>
        </w:rPr>
      </w:pPr>
      <w:r w:rsidRPr="00DF71D5">
        <w:rPr>
          <w:rFonts w:ascii="Arial" w:hAnsi="Arial" w:cs="Arial"/>
          <w:b/>
          <w:bCs/>
          <w:sz w:val="24"/>
          <w:szCs w:val="24"/>
        </w:rPr>
        <w:t>Market Growth:</w:t>
      </w:r>
      <w:r w:rsidRPr="00DF71D5">
        <w:rPr>
          <w:rFonts w:ascii="Arial" w:hAnsi="Arial" w:cs="Arial"/>
          <w:sz w:val="24"/>
          <w:szCs w:val="24"/>
        </w:rPr>
        <w:t xml:space="preserve"> The digital health and remote patient monitoring markets are expanding rapidly, with strong demand for wearable solutions.</w:t>
      </w:r>
    </w:p>
    <w:p w14:paraId="55998BE5" w14:textId="77777777" w:rsidR="00DF71D5" w:rsidRPr="00DF71D5" w:rsidRDefault="00DF71D5">
      <w:pPr>
        <w:numPr>
          <w:ilvl w:val="0"/>
          <w:numId w:val="8"/>
        </w:numPr>
        <w:spacing w:line="360" w:lineRule="auto"/>
        <w:rPr>
          <w:rFonts w:ascii="Arial" w:hAnsi="Arial" w:cs="Arial"/>
          <w:sz w:val="24"/>
          <w:szCs w:val="24"/>
        </w:rPr>
      </w:pPr>
      <w:r w:rsidRPr="00DF71D5">
        <w:rPr>
          <w:rFonts w:ascii="Arial" w:hAnsi="Arial" w:cs="Arial"/>
          <w:b/>
          <w:bCs/>
          <w:sz w:val="24"/>
          <w:szCs w:val="24"/>
        </w:rPr>
        <w:t>Emerging Markets:</w:t>
      </w:r>
      <w:r w:rsidRPr="00DF71D5">
        <w:rPr>
          <w:rFonts w:ascii="Arial" w:hAnsi="Arial" w:cs="Arial"/>
          <w:sz w:val="24"/>
          <w:szCs w:val="24"/>
        </w:rPr>
        <w:t xml:space="preserve"> Expansion into low- and middle-income countries offers growth potential, especially with scalable, affordable devices.</w:t>
      </w:r>
    </w:p>
    <w:p w14:paraId="7E98C168" w14:textId="77777777" w:rsidR="00DF71D5" w:rsidRPr="00DF71D5" w:rsidRDefault="00DF71D5">
      <w:pPr>
        <w:numPr>
          <w:ilvl w:val="0"/>
          <w:numId w:val="8"/>
        </w:numPr>
        <w:spacing w:line="360" w:lineRule="auto"/>
        <w:rPr>
          <w:rFonts w:ascii="Arial" w:hAnsi="Arial" w:cs="Arial"/>
          <w:sz w:val="24"/>
          <w:szCs w:val="24"/>
        </w:rPr>
      </w:pPr>
      <w:r w:rsidRPr="00DF71D5">
        <w:rPr>
          <w:rFonts w:ascii="Arial" w:hAnsi="Arial" w:cs="Arial"/>
          <w:b/>
          <w:bCs/>
          <w:sz w:val="24"/>
          <w:szCs w:val="24"/>
        </w:rPr>
        <w:t>Personalized Medicine:</w:t>
      </w:r>
      <w:r w:rsidRPr="00DF71D5">
        <w:rPr>
          <w:rFonts w:ascii="Arial" w:hAnsi="Arial" w:cs="Arial"/>
          <w:sz w:val="24"/>
          <w:szCs w:val="24"/>
        </w:rPr>
        <w:t xml:space="preserve"> Integration of AI and real-time data enables tailored interventions and proactive care.</w:t>
      </w:r>
    </w:p>
    <w:p w14:paraId="45409E3A" w14:textId="77777777" w:rsidR="00DF71D5" w:rsidRPr="00DF71D5" w:rsidRDefault="00DF71D5">
      <w:pPr>
        <w:numPr>
          <w:ilvl w:val="0"/>
          <w:numId w:val="8"/>
        </w:numPr>
        <w:spacing w:line="360" w:lineRule="auto"/>
        <w:rPr>
          <w:rFonts w:ascii="Arial" w:hAnsi="Arial" w:cs="Arial"/>
          <w:sz w:val="24"/>
          <w:szCs w:val="24"/>
        </w:rPr>
      </w:pPr>
      <w:r w:rsidRPr="00DF71D5">
        <w:rPr>
          <w:rFonts w:ascii="Arial" w:hAnsi="Arial" w:cs="Arial"/>
          <w:b/>
          <w:bCs/>
          <w:sz w:val="24"/>
          <w:szCs w:val="24"/>
        </w:rPr>
        <w:t>Sustainability Differentiation:</w:t>
      </w:r>
      <w:r w:rsidRPr="00DF71D5">
        <w:rPr>
          <w:rFonts w:ascii="Arial" w:hAnsi="Arial" w:cs="Arial"/>
          <w:sz w:val="24"/>
          <w:szCs w:val="24"/>
        </w:rPr>
        <w:t xml:space="preserve"> Leadership in green device design and supply chain decarbonization can enhance brand value and meet procurement criteria.</w:t>
      </w:r>
    </w:p>
    <w:p w14:paraId="5B030331" w14:textId="77777777" w:rsidR="00DF71D5" w:rsidRPr="00DF71D5" w:rsidRDefault="00DF71D5">
      <w:pPr>
        <w:numPr>
          <w:ilvl w:val="0"/>
          <w:numId w:val="8"/>
        </w:numPr>
        <w:spacing w:line="360" w:lineRule="auto"/>
        <w:rPr>
          <w:rFonts w:ascii="Arial" w:hAnsi="Arial" w:cs="Arial"/>
          <w:sz w:val="24"/>
          <w:szCs w:val="24"/>
        </w:rPr>
      </w:pPr>
      <w:r w:rsidRPr="00DF71D5">
        <w:rPr>
          <w:rFonts w:ascii="Arial" w:hAnsi="Arial" w:cs="Arial"/>
          <w:b/>
          <w:bCs/>
          <w:sz w:val="24"/>
          <w:szCs w:val="24"/>
        </w:rPr>
        <w:t>Regulatory Alignment:</w:t>
      </w:r>
      <w:r w:rsidRPr="00DF71D5">
        <w:rPr>
          <w:rFonts w:ascii="Arial" w:hAnsi="Arial" w:cs="Arial"/>
          <w:sz w:val="24"/>
          <w:szCs w:val="24"/>
        </w:rPr>
        <w:t xml:space="preserve"> Early adoption of new standards and proactive engagement with regulators can accelerate market access.</w:t>
      </w:r>
    </w:p>
    <w:p w14:paraId="1D9E4CC3"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Threats</w:t>
      </w:r>
    </w:p>
    <w:p w14:paraId="5CF3A623" w14:textId="77777777" w:rsidR="00DF71D5" w:rsidRPr="00DF71D5" w:rsidRDefault="00DF71D5">
      <w:pPr>
        <w:numPr>
          <w:ilvl w:val="0"/>
          <w:numId w:val="9"/>
        </w:numPr>
        <w:spacing w:line="360" w:lineRule="auto"/>
        <w:rPr>
          <w:rFonts w:ascii="Arial" w:hAnsi="Arial" w:cs="Arial"/>
          <w:sz w:val="24"/>
          <w:szCs w:val="24"/>
        </w:rPr>
      </w:pPr>
      <w:r w:rsidRPr="00DF71D5">
        <w:rPr>
          <w:rFonts w:ascii="Arial" w:hAnsi="Arial" w:cs="Arial"/>
          <w:b/>
          <w:bCs/>
          <w:sz w:val="24"/>
          <w:szCs w:val="24"/>
        </w:rPr>
        <w:t>Intense Competition:</w:t>
      </w:r>
      <w:r w:rsidRPr="00DF71D5">
        <w:rPr>
          <w:rFonts w:ascii="Arial" w:hAnsi="Arial" w:cs="Arial"/>
          <w:sz w:val="24"/>
          <w:szCs w:val="24"/>
        </w:rPr>
        <w:t xml:space="preserve"> The MedTech and digital health sectors are crowded, with established players and agile start-ups vying for market share.</w:t>
      </w:r>
    </w:p>
    <w:p w14:paraId="0A3969A1" w14:textId="77777777" w:rsidR="00DF71D5" w:rsidRPr="00DF71D5" w:rsidRDefault="00DF71D5">
      <w:pPr>
        <w:numPr>
          <w:ilvl w:val="0"/>
          <w:numId w:val="9"/>
        </w:numPr>
        <w:spacing w:line="360" w:lineRule="auto"/>
        <w:rPr>
          <w:rFonts w:ascii="Arial" w:hAnsi="Arial" w:cs="Arial"/>
          <w:sz w:val="24"/>
          <w:szCs w:val="24"/>
        </w:rPr>
      </w:pPr>
      <w:r w:rsidRPr="00DF71D5">
        <w:rPr>
          <w:rFonts w:ascii="Arial" w:hAnsi="Arial" w:cs="Arial"/>
          <w:b/>
          <w:bCs/>
          <w:sz w:val="24"/>
          <w:szCs w:val="24"/>
        </w:rPr>
        <w:t>Cybersecurity Risks:</w:t>
      </w:r>
      <w:r w:rsidRPr="00DF71D5">
        <w:rPr>
          <w:rFonts w:ascii="Arial" w:hAnsi="Arial" w:cs="Arial"/>
          <w:sz w:val="24"/>
          <w:szCs w:val="24"/>
        </w:rPr>
        <w:t xml:space="preserve"> Increasing connectivity heightens exposure to data breaches, ransomware, and regulatory penalties.</w:t>
      </w:r>
    </w:p>
    <w:p w14:paraId="579601F4" w14:textId="77777777" w:rsidR="00DF71D5" w:rsidRPr="00DF71D5" w:rsidRDefault="00DF71D5">
      <w:pPr>
        <w:numPr>
          <w:ilvl w:val="0"/>
          <w:numId w:val="9"/>
        </w:numPr>
        <w:spacing w:line="360" w:lineRule="auto"/>
        <w:rPr>
          <w:rFonts w:ascii="Arial" w:hAnsi="Arial" w:cs="Arial"/>
          <w:sz w:val="24"/>
          <w:szCs w:val="24"/>
        </w:rPr>
      </w:pPr>
      <w:r w:rsidRPr="00DF71D5">
        <w:rPr>
          <w:rFonts w:ascii="Arial" w:hAnsi="Arial" w:cs="Arial"/>
          <w:b/>
          <w:bCs/>
          <w:sz w:val="24"/>
          <w:szCs w:val="24"/>
        </w:rPr>
        <w:t>Regulatory Delays:</w:t>
      </w:r>
      <w:r w:rsidRPr="00DF71D5">
        <w:rPr>
          <w:rFonts w:ascii="Arial" w:hAnsi="Arial" w:cs="Arial"/>
          <w:sz w:val="24"/>
          <w:szCs w:val="24"/>
        </w:rPr>
        <w:t xml:space="preserve"> Shifting requirements, slow approvals, and divergent standards can delay launches and erode competitive advantage.</w:t>
      </w:r>
    </w:p>
    <w:p w14:paraId="30D5DDE2" w14:textId="77777777" w:rsidR="00DF71D5" w:rsidRPr="00DF71D5" w:rsidRDefault="00DF71D5">
      <w:pPr>
        <w:numPr>
          <w:ilvl w:val="0"/>
          <w:numId w:val="9"/>
        </w:numPr>
        <w:spacing w:line="360" w:lineRule="auto"/>
        <w:rPr>
          <w:rFonts w:ascii="Arial" w:hAnsi="Arial" w:cs="Arial"/>
          <w:sz w:val="24"/>
          <w:szCs w:val="24"/>
        </w:rPr>
      </w:pPr>
      <w:r w:rsidRPr="00DF71D5">
        <w:rPr>
          <w:rFonts w:ascii="Arial" w:hAnsi="Arial" w:cs="Arial"/>
          <w:b/>
          <w:bCs/>
          <w:sz w:val="24"/>
          <w:szCs w:val="24"/>
        </w:rPr>
        <w:t>Pricing Pressure:</w:t>
      </w:r>
      <w:r w:rsidRPr="00DF71D5">
        <w:rPr>
          <w:rFonts w:ascii="Arial" w:hAnsi="Arial" w:cs="Arial"/>
          <w:sz w:val="24"/>
          <w:szCs w:val="24"/>
        </w:rPr>
        <w:t xml:space="preserve"> Payers and health systems demand cost-effectiveness, threatening margins.</w:t>
      </w:r>
    </w:p>
    <w:p w14:paraId="17AE04B1" w14:textId="77777777" w:rsidR="00DF71D5" w:rsidRPr="00DF71D5" w:rsidRDefault="00DF71D5">
      <w:pPr>
        <w:numPr>
          <w:ilvl w:val="0"/>
          <w:numId w:val="9"/>
        </w:numPr>
        <w:spacing w:line="360" w:lineRule="auto"/>
        <w:rPr>
          <w:rFonts w:ascii="Arial" w:hAnsi="Arial" w:cs="Arial"/>
          <w:sz w:val="24"/>
          <w:szCs w:val="24"/>
        </w:rPr>
      </w:pPr>
      <w:r w:rsidRPr="00DF71D5">
        <w:rPr>
          <w:rFonts w:ascii="Arial" w:hAnsi="Arial" w:cs="Arial"/>
          <w:b/>
          <w:bCs/>
          <w:sz w:val="24"/>
          <w:szCs w:val="24"/>
        </w:rPr>
        <w:t>Supply Chain Disruptions:</w:t>
      </w:r>
      <w:r w:rsidRPr="00DF71D5">
        <w:rPr>
          <w:rFonts w:ascii="Arial" w:hAnsi="Arial" w:cs="Arial"/>
          <w:sz w:val="24"/>
          <w:szCs w:val="24"/>
        </w:rPr>
        <w:t xml:space="preserve"> Geopolitical instability, pandemics, and climate events can disrupt manufacturing and distribution.</w:t>
      </w:r>
    </w:p>
    <w:p w14:paraId="786DFCFB" w14:textId="77777777" w:rsidR="00923C12" w:rsidRPr="00FC6067" w:rsidRDefault="00923C12" w:rsidP="00DF71D5">
      <w:pPr>
        <w:spacing w:line="360" w:lineRule="auto"/>
        <w:rPr>
          <w:rFonts w:ascii="Arial" w:hAnsi="Arial" w:cs="Arial"/>
          <w:sz w:val="36"/>
          <w:szCs w:val="36"/>
        </w:rPr>
      </w:pPr>
    </w:p>
    <w:p w14:paraId="19713385" w14:textId="77777777" w:rsidR="00371D9A" w:rsidRDefault="00371D9A" w:rsidP="00DF71D5">
      <w:pPr>
        <w:spacing w:line="360" w:lineRule="auto"/>
        <w:rPr>
          <w:rFonts w:ascii="Arial" w:hAnsi="Arial" w:cs="Arial"/>
          <w:b/>
          <w:bCs/>
          <w:sz w:val="36"/>
          <w:szCs w:val="36"/>
          <w:highlight w:val="yellow"/>
        </w:rPr>
      </w:pPr>
    </w:p>
    <w:p w14:paraId="6A67C367" w14:textId="77777777" w:rsidR="00371D9A" w:rsidRDefault="00371D9A" w:rsidP="00DF71D5">
      <w:pPr>
        <w:spacing w:line="360" w:lineRule="auto"/>
        <w:rPr>
          <w:rFonts w:ascii="Arial" w:hAnsi="Arial" w:cs="Arial"/>
          <w:b/>
          <w:bCs/>
          <w:sz w:val="36"/>
          <w:szCs w:val="36"/>
          <w:highlight w:val="yellow"/>
        </w:rPr>
      </w:pPr>
    </w:p>
    <w:p w14:paraId="5D5A8957" w14:textId="7EBE5D19" w:rsidR="00DF71D5" w:rsidRPr="00DF71D5" w:rsidRDefault="0072723E" w:rsidP="00DF71D5">
      <w:pPr>
        <w:spacing w:line="360" w:lineRule="auto"/>
        <w:rPr>
          <w:rFonts w:ascii="Arial" w:hAnsi="Arial" w:cs="Arial"/>
          <w:b/>
          <w:bCs/>
          <w:sz w:val="36"/>
          <w:szCs w:val="36"/>
        </w:rPr>
      </w:pPr>
      <w:r>
        <w:rPr>
          <w:rFonts w:ascii="Arial" w:hAnsi="Arial" w:cs="Arial"/>
          <w:b/>
          <w:bCs/>
          <w:sz w:val="36"/>
          <w:szCs w:val="36"/>
          <w:highlight w:val="yellow"/>
        </w:rPr>
        <w:lastRenderedPageBreak/>
        <w:t xml:space="preserve">3.2 </w:t>
      </w:r>
      <w:r w:rsidR="00DF71D5" w:rsidRPr="00DF71D5">
        <w:rPr>
          <w:rFonts w:ascii="Arial" w:hAnsi="Arial" w:cs="Arial"/>
          <w:b/>
          <w:bCs/>
          <w:sz w:val="36"/>
          <w:szCs w:val="36"/>
          <w:highlight w:val="yellow"/>
        </w:rPr>
        <w:t>Benefits and Challenges of Stakeholder Involvement</w:t>
      </w:r>
    </w:p>
    <w:p w14:paraId="7553B1F5"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Benefits</w:t>
      </w:r>
    </w:p>
    <w:p w14:paraId="26DEFEAA" w14:textId="380F7CC8"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Alignment and Bu</w:t>
      </w:r>
      <w:r w:rsidR="007A502D">
        <w:rPr>
          <w:rFonts w:ascii="Arial" w:hAnsi="Arial" w:cs="Arial"/>
          <w:b/>
          <w:bCs/>
          <w:sz w:val="24"/>
          <w:szCs w:val="24"/>
        </w:rPr>
        <w:t xml:space="preserve">y </w:t>
      </w:r>
      <w:r w:rsidRPr="00DF71D5">
        <w:rPr>
          <w:rFonts w:ascii="Arial" w:hAnsi="Arial" w:cs="Arial"/>
          <w:b/>
          <w:bCs/>
          <w:sz w:val="24"/>
          <w:szCs w:val="24"/>
        </w:rPr>
        <w:t>In:</w:t>
      </w:r>
      <w:r w:rsidRPr="00DF71D5">
        <w:rPr>
          <w:rFonts w:ascii="Arial" w:hAnsi="Arial" w:cs="Arial"/>
          <w:sz w:val="24"/>
          <w:szCs w:val="24"/>
        </w:rPr>
        <w:t xml:space="preserve"> Early and sustained engagement ensures objectives reflect stakeholder needs, increasing adoption and satisfaction.</w:t>
      </w:r>
    </w:p>
    <w:p w14:paraId="53DC8092"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Risk Mitigation:</w:t>
      </w:r>
      <w:r w:rsidRPr="00DF71D5">
        <w:rPr>
          <w:rFonts w:ascii="Arial" w:hAnsi="Arial" w:cs="Arial"/>
          <w:sz w:val="24"/>
          <w:szCs w:val="24"/>
        </w:rPr>
        <w:t xml:space="preserve"> Diverse perspectives identify risks, barriers, and unintended consequences early, enabling proactive solutions.</w:t>
      </w:r>
    </w:p>
    <w:p w14:paraId="4D3D3F73"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Innovation and Usability:</w:t>
      </w:r>
      <w:r w:rsidRPr="00DF71D5">
        <w:rPr>
          <w:rFonts w:ascii="Arial" w:hAnsi="Arial" w:cs="Arial"/>
          <w:sz w:val="24"/>
          <w:szCs w:val="24"/>
        </w:rPr>
        <w:t xml:space="preserve"> Co-design with patients and clinicians enhances device functionality, accessibility, and real-world relevance.</w:t>
      </w:r>
    </w:p>
    <w:p w14:paraId="41B7F385"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Regulatory Success:</w:t>
      </w:r>
      <w:r w:rsidRPr="00DF71D5">
        <w:rPr>
          <w:rFonts w:ascii="Arial" w:hAnsi="Arial" w:cs="Arial"/>
          <w:sz w:val="24"/>
          <w:szCs w:val="24"/>
        </w:rPr>
        <w:t xml:space="preserve"> Collaboration with authorities and adherence to evolving standards smooths approval and compliance.</w:t>
      </w:r>
    </w:p>
    <w:p w14:paraId="49061FDD"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Trust and Transparency:</w:t>
      </w:r>
      <w:r w:rsidRPr="00DF71D5">
        <w:rPr>
          <w:rFonts w:ascii="Arial" w:hAnsi="Arial" w:cs="Arial"/>
          <w:sz w:val="24"/>
          <w:szCs w:val="24"/>
        </w:rPr>
        <w:t xml:space="preserve"> Open communication builds trust, manages expectations, and fosters accountability.</w:t>
      </w:r>
    </w:p>
    <w:p w14:paraId="0B01465E"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Sustainability:</w:t>
      </w:r>
      <w:r w:rsidRPr="00DF71D5">
        <w:rPr>
          <w:rFonts w:ascii="Arial" w:hAnsi="Arial" w:cs="Arial"/>
          <w:sz w:val="24"/>
          <w:szCs w:val="24"/>
        </w:rPr>
        <w:t xml:space="preserve"> Engaging ESG teams and external partners ensures environmental targets are met and reported.</w:t>
      </w:r>
    </w:p>
    <w:p w14:paraId="4AF538E6" w14:textId="77777777" w:rsidR="00DF71D5" w:rsidRPr="00DF71D5" w:rsidRDefault="00DF71D5">
      <w:pPr>
        <w:numPr>
          <w:ilvl w:val="0"/>
          <w:numId w:val="12"/>
        </w:numPr>
        <w:spacing w:line="360" w:lineRule="auto"/>
        <w:rPr>
          <w:rFonts w:ascii="Arial" w:hAnsi="Arial" w:cs="Arial"/>
          <w:sz w:val="24"/>
          <w:szCs w:val="24"/>
        </w:rPr>
      </w:pPr>
      <w:r w:rsidRPr="00DF71D5">
        <w:rPr>
          <w:rFonts w:ascii="Arial" w:hAnsi="Arial" w:cs="Arial"/>
          <w:b/>
          <w:bCs/>
          <w:sz w:val="24"/>
          <w:szCs w:val="24"/>
        </w:rPr>
        <w:t>Market Access:</w:t>
      </w:r>
      <w:r w:rsidRPr="00DF71D5">
        <w:rPr>
          <w:rFonts w:ascii="Arial" w:hAnsi="Arial" w:cs="Arial"/>
          <w:sz w:val="24"/>
          <w:szCs w:val="24"/>
        </w:rPr>
        <w:t xml:space="preserve"> Payer and provider input informs value propositions, reimbursement strategies, and adoption pathways.</w:t>
      </w:r>
    </w:p>
    <w:p w14:paraId="3C94A499"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Challenges</w:t>
      </w:r>
    </w:p>
    <w:p w14:paraId="2D7B61A4"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Complexity and Coordination:</w:t>
      </w:r>
      <w:r w:rsidRPr="00DF71D5">
        <w:rPr>
          <w:rFonts w:ascii="Arial" w:hAnsi="Arial" w:cs="Arial"/>
          <w:sz w:val="24"/>
          <w:szCs w:val="24"/>
        </w:rPr>
        <w:t xml:space="preserve"> Multiple stakeholders with divergent interests can slow decision-making and create conflict.</w:t>
      </w:r>
    </w:p>
    <w:p w14:paraId="715DA52B"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Resource Intensity:</w:t>
      </w:r>
      <w:r w:rsidRPr="00DF71D5">
        <w:rPr>
          <w:rFonts w:ascii="Arial" w:hAnsi="Arial" w:cs="Arial"/>
          <w:sz w:val="24"/>
          <w:szCs w:val="24"/>
        </w:rPr>
        <w:t xml:space="preserve"> Effective engagement demands time, personnel, and financial investment.</w:t>
      </w:r>
    </w:p>
    <w:p w14:paraId="30966599"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Digital Exclusion:</w:t>
      </w:r>
      <w:r w:rsidRPr="00DF71D5">
        <w:rPr>
          <w:rFonts w:ascii="Arial" w:hAnsi="Arial" w:cs="Arial"/>
          <w:sz w:val="24"/>
          <w:szCs w:val="24"/>
        </w:rPr>
        <w:t xml:space="preserve"> Risk of marginalizing vulnerable populations without targeted inclusion strategies.</w:t>
      </w:r>
    </w:p>
    <w:p w14:paraId="14C4658B"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Data Governance:</w:t>
      </w:r>
      <w:r w:rsidRPr="00DF71D5">
        <w:rPr>
          <w:rFonts w:ascii="Arial" w:hAnsi="Arial" w:cs="Arial"/>
          <w:sz w:val="24"/>
          <w:szCs w:val="24"/>
        </w:rPr>
        <w:t xml:space="preserve"> Balancing data access, privacy, and consent across jurisdictions is complex and high-stakes.</w:t>
      </w:r>
    </w:p>
    <w:p w14:paraId="4D78397F"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lastRenderedPageBreak/>
        <w:t>Change Resistance:</w:t>
      </w:r>
      <w:r w:rsidRPr="00DF71D5">
        <w:rPr>
          <w:rFonts w:ascii="Arial" w:hAnsi="Arial" w:cs="Arial"/>
          <w:sz w:val="24"/>
          <w:szCs w:val="24"/>
        </w:rPr>
        <w:t xml:space="preserve"> Clinicians and staff may resist new workflows or technologies without clear incentives and training.</w:t>
      </w:r>
    </w:p>
    <w:p w14:paraId="1842993A"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Evaluation and Measurement:</w:t>
      </w:r>
      <w:r w:rsidRPr="00DF71D5">
        <w:rPr>
          <w:rFonts w:ascii="Arial" w:hAnsi="Arial" w:cs="Arial"/>
          <w:sz w:val="24"/>
          <w:szCs w:val="24"/>
        </w:rPr>
        <w:t xml:space="preserve"> Demonstrating the impact of engagement on outcomes requires robust metrics and feedback loops.</w:t>
      </w:r>
    </w:p>
    <w:p w14:paraId="4DFD029D" w14:textId="77777777" w:rsidR="00DF71D5" w:rsidRPr="00DF71D5" w:rsidRDefault="00DF71D5">
      <w:pPr>
        <w:numPr>
          <w:ilvl w:val="0"/>
          <w:numId w:val="13"/>
        </w:numPr>
        <w:spacing w:line="360" w:lineRule="auto"/>
        <w:rPr>
          <w:rFonts w:ascii="Arial" w:hAnsi="Arial" w:cs="Arial"/>
          <w:sz w:val="24"/>
          <w:szCs w:val="24"/>
        </w:rPr>
      </w:pPr>
      <w:r w:rsidRPr="00DF71D5">
        <w:rPr>
          <w:rFonts w:ascii="Arial" w:hAnsi="Arial" w:cs="Arial"/>
          <w:b/>
          <w:bCs/>
          <w:sz w:val="24"/>
          <w:szCs w:val="24"/>
        </w:rPr>
        <w:t>Sustaining Engagement:</w:t>
      </w:r>
      <w:r w:rsidRPr="00DF71D5">
        <w:rPr>
          <w:rFonts w:ascii="Arial" w:hAnsi="Arial" w:cs="Arial"/>
          <w:sz w:val="24"/>
          <w:szCs w:val="24"/>
        </w:rPr>
        <w:t xml:space="preserve"> Maintaining momentum and relevance across the project lifecycle is challenging, especially post-launch.</w:t>
      </w:r>
    </w:p>
    <w:p w14:paraId="7E5A11E1"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Mitigation strategies include structured stakeholder analysis, clear roles and responsibilities, continuous feedback, and adaptive communication plans.</w:t>
      </w:r>
    </w:p>
    <w:p w14:paraId="606CE490" w14:textId="749100AD" w:rsidR="00DF71D5" w:rsidRPr="00FC6067" w:rsidRDefault="00DF71D5" w:rsidP="00DF71D5">
      <w:pPr>
        <w:spacing w:line="360" w:lineRule="auto"/>
        <w:rPr>
          <w:rFonts w:ascii="Arial" w:hAnsi="Arial" w:cs="Arial"/>
          <w:sz w:val="24"/>
          <w:szCs w:val="24"/>
        </w:rPr>
      </w:pPr>
    </w:p>
    <w:p w14:paraId="5250DC6F" w14:textId="77777777" w:rsidR="0077767C" w:rsidRPr="00FC6067" w:rsidRDefault="0077767C" w:rsidP="00DF71D5">
      <w:pPr>
        <w:spacing w:line="360" w:lineRule="auto"/>
        <w:rPr>
          <w:rFonts w:ascii="Arial" w:hAnsi="Arial" w:cs="Arial"/>
          <w:sz w:val="24"/>
          <w:szCs w:val="24"/>
        </w:rPr>
      </w:pPr>
    </w:p>
    <w:p w14:paraId="4EE5D03D" w14:textId="77777777" w:rsidR="0077767C" w:rsidRPr="00FC6067" w:rsidRDefault="0077767C" w:rsidP="00DF71D5">
      <w:pPr>
        <w:spacing w:line="360" w:lineRule="auto"/>
        <w:rPr>
          <w:rFonts w:ascii="Arial" w:hAnsi="Arial" w:cs="Arial"/>
          <w:sz w:val="24"/>
          <w:szCs w:val="24"/>
        </w:rPr>
      </w:pPr>
    </w:p>
    <w:p w14:paraId="01994BDF" w14:textId="77777777" w:rsidR="0077767C" w:rsidRPr="00FC6067" w:rsidRDefault="0077767C" w:rsidP="00DF71D5">
      <w:pPr>
        <w:spacing w:line="360" w:lineRule="auto"/>
        <w:rPr>
          <w:rFonts w:ascii="Arial" w:hAnsi="Arial" w:cs="Arial"/>
          <w:sz w:val="24"/>
          <w:szCs w:val="24"/>
        </w:rPr>
      </w:pPr>
    </w:p>
    <w:p w14:paraId="3463095B" w14:textId="77777777" w:rsidR="0077767C" w:rsidRPr="00FC6067" w:rsidRDefault="0077767C" w:rsidP="00DF71D5">
      <w:pPr>
        <w:spacing w:line="360" w:lineRule="auto"/>
        <w:rPr>
          <w:rFonts w:ascii="Arial" w:hAnsi="Arial" w:cs="Arial"/>
          <w:sz w:val="24"/>
          <w:szCs w:val="24"/>
        </w:rPr>
      </w:pPr>
    </w:p>
    <w:p w14:paraId="549294C8" w14:textId="77777777" w:rsidR="0077767C" w:rsidRPr="00FC6067" w:rsidRDefault="0077767C" w:rsidP="00DF71D5">
      <w:pPr>
        <w:spacing w:line="360" w:lineRule="auto"/>
        <w:rPr>
          <w:rFonts w:ascii="Arial" w:hAnsi="Arial" w:cs="Arial"/>
          <w:sz w:val="24"/>
          <w:szCs w:val="24"/>
        </w:rPr>
      </w:pPr>
    </w:p>
    <w:p w14:paraId="62FFEC18" w14:textId="77777777" w:rsidR="0077767C" w:rsidRPr="00FC6067" w:rsidRDefault="0077767C" w:rsidP="00DF71D5">
      <w:pPr>
        <w:spacing w:line="360" w:lineRule="auto"/>
        <w:rPr>
          <w:rFonts w:ascii="Arial" w:hAnsi="Arial" w:cs="Arial"/>
          <w:sz w:val="24"/>
          <w:szCs w:val="24"/>
        </w:rPr>
      </w:pPr>
    </w:p>
    <w:p w14:paraId="251C489E" w14:textId="77777777" w:rsidR="0077767C" w:rsidRPr="00FC6067" w:rsidRDefault="0077767C" w:rsidP="00DF71D5">
      <w:pPr>
        <w:spacing w:line="360" w:lineRule="auto"/>
        <w:rPr>
          <w:rFonts w:ascii="Arial" w:hAnsi="Arial" w:cs="Arial"/>
          <w:sz w:val="24"/>
          <w:szCs w:val="24"/>
        </w:rPr>
      </w:pPr>
    </w:p>
    <w:p w14:paraId="1D7CE2F5" w14:textId="77777777" w:rsidR="0077767C" w:rsidRPr="00FC6067" w:rsidRDefault="0077767C" w:rsidP="00DF71D5">
      <w:pPr>
        <w:spacing w:line="360" w:lineRule="auto"/>
        <w:rPr>
          <w:rFonts w:ascii="Arial" w:hAnsi="Arial" w:cs="Arial"/>
          <w:sz w:val="24"/>
          <w:szCs w:val="24"/>
        </w:rPr>
      </w:pPr>
    </w:p>
    <w:p w14:paraId="4DAA06D5" w14:textId="77777777" w:rsidR="0077767C" w:rsidRPr="00FC6067" w:rsidRDefault="0077767C" w:rsidP="00DF71D5">
      <w:pPr>
        <w:spacing w:line="360" w:lineRule="auto"/>
        <w:rPr>
          <w:rFonts w:ascii="Arial" w:hAnsi="Arial" w:cs="Arial"/>
          <w:sz w:val="24"/>
          <w:szCs w:val="24"/>
        </w:rPr>
      </w:pPr>
    </w:p>
    <w:p w14:paraId="1B863161" w14:textId="77777777" w:rsidR="0077767C" w:rsidRPr="00FC6067" w:rsidRDefault="0077767C" w:rsidP="00DF71D5">
      <w:pPr>
        <w:spacing w:line="360" w:lineRule="auto"/>
        <w:rPr>
          <w:rFonts w:ascii="Arial" w:hAnsi="Arial" w:cs="Arial"/>
          <w:sz w:val="24"/>
          <w:szCs w:val="24"/>
        </w:rPr>
      </w:pPr>
    </w:p>
    <w:p w14:paraId="3E55EDF1" w14:textId="77777777" w:rsidR="0077767C" w:rsidRPr="00FC6067" w:rsidRDefault="0077767C" w:rsidP="00DF71D5">
      <w:pPr>
        <w:spacing w:line="360" w:lineRule="auto"/>
        <w:rPr>
          <w:rFonts w:ascii="Arial" w:hAnsi="Arial" w:cs="Arial"/>
          <w:sz w:val="24"/>
          <w:szCs w:val="24"/>
        </w:rPr>
      </w:pPr>
    </w:p>
    <w:p w14:paraId="7721C56D" w14:textId="77777777" w:rsidR="0077767C" w:rsidRPr="00FC6067" w:rsidRDefault="0077767C" w:rsidP="00DF71D5">
      <w:pPr>
        <w:spacing w:line="360" w:lineRule="auto"/>
        <w:rPr>
          <w:rFonts w:ascii="Arial" w:hAnsi="Arial" w:cs="Arial"/>
          <w:sz w:val="24"/>
          <w:szCs w:val="24"/>
        </w:rPr>
      </w:pPr>
    </w:p>
    <w:p w14:paraId="2EE94B10" w14:textId="77777777" w:rsidR="0072723E" w:rsidRPr="00FC6067" w:rsidRDefault="0072723E" w:rsidP="00DF71D5">
      <w:pPr>
        <w:spacing w:line="360" w:lineRule="auto"/>
        <w:rPr>
          <w:rFonts w:ascii="Arial" w:hAnsi="Arial" w:cs="Arial"/>
          <w:sz w:val="24"/>
          <w:szCs w:val="24"/>
        </w:rPr>
      </w:pPr>
    </w:p>
    <w:p w14:paraId="42FD4644" w14:textId="77777777" w:rsidR="00923C12" w:rsidRDefault="00923C12" w:rsidP="00DF71D5">
      <w:pPr>
        <w:spacing w:line="360" w:lineRule="auto"/>
        <w:rPr>
          <w:rFonts w:ascii="Arial" w:hAnsi="Arial" w:cs="Arial"/>
          <w:b/>
          <w:bCs/>
          <w:sz w:val="36"/>
          <w:szCs w:val="36"/>
          <w:highlight w:val="yellow"/>
        </w:rPr>
      </w:pPr>
    </w:p>
    <w:p w14:paraId="2ABA7E5F" w14:textId="77777777" w:rsidR="00923C12" w:rsidRDefault="00923C12" w:rsidP="00DF71D5">
      <w:pPr>
        <w:spacing w:line="360" w:lineRule="auto"/>
        <w:rPr>
          <w:rFonts w:ascii="Arial" w:hAnsi="Arial" w:cs="Arial"/>
          <w:b/>
          <w:bCs/>
          <w:sz w:val="36"/>
          <w:szCs w:val="36"/>
          <w:highlight w:val="yellow"/>
        </w:rPr>
      </w:pPr>
    </w:p>
    <w:p w14:paraId="4C896405" w14:textId="097D65E3" w:rsidR="00DF71D5" w:rsidRPr="00DF71D5" w:rsidRDefault="0072723E" w:rsidP="00DF71D5">
      <w:pPr>
        <w:spacing w:line="360" w:lineRule="auto"/>
        <w:rPr>
          <w:rFonts w:ascii="Arial" w:hAnsi="Arial" w:cs="Arial"/>
          <w:b/>
          <w:bCs/>
          <w:sz w:val="36"/>
          <w:szCs w:val="36"/>
        </w:rPr>
      </w:pPr>
      <w:r>
        <w:rPr>
          <w:rFonts w:ascii="Arial" w:hAnsi="Arial" w:cs="Arial"/>
          <w:b/>
          <w:bCs/>
          <w:sz w:val="36"/>
          <w:szCs w:val="36"/>
          <w:highlight w:val="yellow"/>
        </w:rPr>
        <w:lastRenderedPageBreak/>
        <w:t xml:space="preserve">3.3 </w:t>
      </w:r>
      <w:r w:rsidR="00DF71D5" w:rsidRPr="00DF71D5">
        <w:rPr>
          <w:rFonts w:ascii="Arial" w:hAnsi="Arial" w:cs="Arial"/>
          <w:b/>
          <w:bCs/>
          <w:sz w:val="36"/>
          <w:szCs w:val="36"/>
          <w:highlight w:val="yellow"/>
        </w:rPr>
        <w:t>Stakeholder Analysis Tools: Mendelow’s Matrix, RACI, and 4Cs</w:t>
      </w:r>
    </w:p>
    <w:p w14:paraId="4DCEE962" w14:textId="77777777" w:rsidR="00DF71D5" w:rsidRDefault="00DF71D5" w:rsidP="00DF71D5">
      <w:pPr>
        <w:spacing w:line="360" w:lineRule="auto"/>
        <w:rPr>
          <w:rFonts w:ascii="Arial" w:hAnsi="Arial" w:cs="Arial"/>
          <w:sz w:val="24"/>
          <w:szCs w:val="24"/>
        </w:rPr>
      </w:pPr>
      <w:r w:rsidRPr="00DF71D5">
        <w:rPr>
          <w:rFonts w:ascii="Arial" w:hAnsi="Arial" w:cs="Arial"/>
          <w:sz w:val="24"/>
          <w:szCs w:val="24"/>
        </w:rPr>
        <w:t>Structured tools are essential for mapping, prioritizing, and managing stakeholder engagement. Three core frameworks are applied: Mendelow’s Matrix, RACI, and the 4Cs model.</w:t>
      </w:r>
    </w:p>
    <w:p w14:paraId="255282B8" w14:textId="77777777" w:rsidR="0077767C" w:rsidRPr="00DF71D5" w:rsidRDefault="0077767C" w:rsidP="00DF71D5">
      <w:pPr>
        <w:spacing w:line="360" w:lineRule="auto"/>
        <w:rPr>
          <w:rFonts w:ascii="Arial" w:hAnsi="Arial" w:cs="Arial"/>
          <w:sz w:val="24"/>
          <w:szCs w:val="24"/>
        </w:rPr>
      </w:pPr>
    </w:p>
    <w:p w14:paraId="15DC3F14" w14:textId="77777777"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t>Mendelow’s Matrix</w:t>
      </w:r>
    </w:p>
    <w:p w14:paraId="3D6C9A03"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Mendelow stakeholder matrix categorizes stakeholders by their power (influence) and interest in the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6"/>
        <w:gridCol w:w="2707"/>
        <w:gridCol w:w="1737"/>
        <w:gridCol w:w="1789"/>
        <w:gridCol w:w="1597"/>
      </w:tblGrid>
      <w:tr w:rsidR="00DF71D5" w:rsidRPr="00DF71D5" w14:paraId="006CD09C" w14:textId="77777777">
        <w:trPr>
          <w:tblHeader/>
          <w:tblCellSpacing w:w="15" w:type="dxa"/>
        </w:trPr>
        <w:tc>
          <w:tcPr>
            <w:tcW w:w="0" w:type="auto"/>
            <w:vAlign w:val="center"/>
            <w:hideMark/>
          </w:tcPr>
          <w:p w14:paraId="0A5D4454" w14:textId="77777777" w:rsidR="00DF71D5" w:rsidRPr="00DF71D5" w:rsidRDefault="00DF71D5" w:rsidP="00DF71D5">
            <w:pPr>
              <w:spacing w:line="360" w:lineRule="auto"/>
              <w:rPr>
                <w:rFonts w:ascii="Arial" w:hAnsi="Arial" w:cs="Arial"/>
                <w:sz w:val="24"/>
                <w:szCs w:val="24"/>
              </w:rPr>
            </w:pPr>
          </w:p>
        </w:tc>
        <w:tc>
          <w:tcPr>
            <w:tcW w:w="0" w:type="auto"/>
            <w:vAlign w:val="center"/>
            <w:hideMark/>
          </w:tcPr>
          <w:p w14:paraId="3712F8D2"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High Power, High Interest</w:t>
            </w:r>
          </w:p>
        </w:tc>
        <w:tc>
          <w:tcPr>
            <w:tcW w:w="0" w:type="auto"/>
            <w:vAlign w:val="center"/>
            <w:hideMark/>
          </w:tcPr>
          <w:p w14:paraId="6DE073DE"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High Power, Low Interest</w:t>
            </w:r>
          </w:p>
        </w:tc>
        <w:tc>
          <w:tcPr>
            <w:tcW w:w="0" w:type="auto"/>
            <w:vAlign w:val="center"/>
            <w:hideMark/>
          </w:tcPr>
          <w:p w14:paraId="56C9F4D9"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Low Power, High Interest</w:t>
            </w:r>
          </w:p>
        </w:tc>
        <w:tc>
          <w:tcPr>
            <w:tcW w:w="0" w:type="auto"/>
            <w:vAlign w:val="center"/>
            <w:hideMark/>
          </w:tcPr>
          <w:p w14:paraId="1CC30393"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Low Power, Low Interest</w:t>
            </w:r>
          </w:p>
        </w:tc>
      </w:tr>
      <w:tr w:rsidR="00DF71D5" w:rsidRPr="00DF71D5" w14:paraId="431A839E" w14:textId="77777777">
        <w:trPr>
          <w:tblCellSpacing w:w="15" w:type="dxa"/>
        </w:trPr>
        <w:tc>
          <w:tcPr>
            <w:tcW w:w="0" w:type="auto"/>
            <w:vAlign w:val="center"/>
            <w:hideMark/>
          </w:tcPr>
          <w:p w14:paraId="698B989B"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Strategy</w:t>
            </w:r>
          </w:p>
        </w:tc>
        <w:tc>
          <w:tcPr>
            <w:tcW w:w="0" w:type="auto"/>
            <w:vAlign w:val="center"/>
            <w:hideMark/>
          </w:tcPr>
          <w:p w14:paraId="2B6A6B65"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Manage Closely</w:t>
            </w:r>
          </w:p>
        </w:tc>
        <w:tc>
          <w:tcPr>
            <w:tcW w:w="0" w:type="auto"/>
            <w:vAlign w:val="center"/>
            <w:hideMark/>
          </w:tcPr>
          <w:p w14:paraId="2CA6D50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Keep Satisfied</w:t>
            </w:r>
          </w:p>
        </w:tc>
        <w:tc>
          <w:tcPr>
            <w:tcW w:w="0" w:type="auto"/>
            <w:vAlign w:val="center"/>
            <w:hideMark/>
          </w:tcPr>
          <w:p w14:paraId="1746AD55"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Keep Informed</w:t>
            </w:r>
          </w:p>
        </w:tc>
        <w:tc>
          <w:tcPr>
            <w:tcW w:w="0" w:type="auto"/>
            <w:vAlign w:val="center"/>
            <w:hideMark/>
          </w:tcPr>
          <w:p w14:paraId="0D74562C"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Monitor</w:t>
            </w:r>
          </w:p>
        </w:tc>
      </w:tr>
      <w:tr w:rsidR="00DF71D5" w:rsidRPr="00DF71D5" w14:paraId="3E6218ED" w14:textId="77777777">
        <w:trPr>
          <w:tblCellSpacing w:w="15" w:type="dxa"/>
        </w:trPr>
        <w:tc>
          <w:tcPr>
            <w:tcW w:w="0" w:type="auto"/>
            <w:vAlign w:val="center"/>
            <w:hideMark/>
          </w:tcPr>
          <w:p w14:paraId="6B380FA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Examples</w:t>
            </w:r>
          </w:p>
        </w:tc>
        <w:tc>
          <w:tcPr>
            <w:tcW w:w="0" w:type="auto"/>
            <w:vAlign w:val="center"/>
            <w:hideMark/>
          </w:tcPr>
          <w:p w14:paraId="60BC550D"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Executive Leadership, Regulatory Authorities, Key CROs, Major Payers</w:t>
            </w:r>
          </w:p>
        </w:tc>
        <w:tc>
          <w:tcPr>
            <w:tcW w:w="0" w:type="auto"/>
            <w:vAlign w:val="center"/>
            <w:hideMark/>
          </w:tcPr>
          <w:p w14:paraId="3417AB2A"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Board of Directors, Strategic Partners</w:t>
            </w:r>
          </w:p>
        </w:tc>
        <w:tc>
          <w:tcPr>
            <w:tcW w:w="0" w:type="auto"/>
            <w:vAlign w:val="center"/>
            <w:hideMark/>
          </w:tcPr>
          <w:p w14:paraId="0B0E4320"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Patient Advocacy Groups, Clinical Staff</w:t>
            </w:r>
          </w:p>
        </w:tc>
        <w:tc>
          <w:tcPr>
            <w:tcW w:w="0" w:type="auto"/>
            <w:vAlign w:val="center"/>
            <w:hideMark/>
          </w:tcPr>
          <w:p w14:paraId="3D31E67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General Public, Minor Suppliers</w:t>
            </w:r>
          </w:p>
        </w:tc>
      </w:tr>
    </w:tbl>
    <w:p w14:paraId="54630574"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Application:</w:t>
      </w:r>
    </w:p>
    <w:p w14:paraId="75D5064F" w14:textId="77777777" w:rsidR="00DF71D5" w:rsidRPr="00DF71D5" w:rsidRDefault="00DF71D5">
      <w:pPr>
        <w:numPr>
          <w:ilvl w:val="0"/>
          <w:numId w:val="14"/>
        </w:numPr>
        <w:spacing w:line="360" w:lineRule="auto"/>
        <w:rPr>
          <w:rFonts w:ascii="Arial" w:hAnsi="Arial" w:cs="Arial"/>
          <w:sz w:val="24"/>
          <w:szCs w:val="24"/>
        </w:rPr>
      </w:pPr>
      <w:r w:rsidRPr="00DF71D5">
        <w:rPr>
          <w:rFonts w:ascii="Arial" w:hAnsi="Arial" w:cs="Arial"/>
          <w:b/>
          <w:bCs/>
          <w:sz w:val="24"/>
          <w:szCs w:val="24"/>
        </w:rPr>
        <w:t>Manage Closely:</w:t>
      </w:r>
      <w:r w:rsidRPr="00DF71D5">
        <w:rPr>
          <w:rFonts w:ascii="Arial" w:hAnsi="Arial" w:cs="Arial"/>
          <w:sz w:val="24"/>
          <w:szCs w:val="24"/>
        </w:rPr>
        <w:t xml:space="preserve"> Executive leadership, regulatory authorities, and major payers require direct involvement, regular updates, and shared decision-making.</w:t>
      </w:r>
    </w:p>
    <w:p w14:paraId="085FF65F" w14:textId="77777777" w:rsidR="00DF71D5" w:rsidRPr="00DF71D5" w:rsidRDefault="00DF71D5">
      <w:pPr>
        <w:numPr>
          <w:ilvl w:val="0"/>
          <w:numId w:val="14"/>
        </w:numPr>
        <w:spacing w:line="360" w:lineRule="auto"/>
        <w:rPr>
          <w:rFonts w:ascii="Arial" w:hAnsi="Arial" w:cs="Arial"/>
          <w:sz w:val="24"/>
          <w:szCs w:val="24"/>
        </w:rPr>
      </w:pPr>
      <w:r w:rsidRPr="00DF71D5">
        <w:rPr>
          <w:rFonts w:ascii="Arial" w:hAnsi="Arial" w:cs="Arial"/>
          <w:b/>
          <w:bCs/>
          <w:sz w:val="24"/>
          <w:szCs w:val="24"/>
        </w:rPr>
        <w:t>Keep Satisfied:</w:t>
      </w:r>
      <w:r w:rsidRPr="00DF71D5">
        <w:rPr>
          <w:rFonts w:ascii="Arial" w:hAnsi="Arial" w:cs="Arial"/>
          <w:sz w:val="24"/>
          <w:szCs w:val="24"/>
        </w:rPr>
        <w:t xml:space="preserve"> Board members and strategic partners need periodic briefings and assurance of alignment with broader goals.</w:t>
      </w:r>
    </w:p>
    <w:p w14:paraId="647B3CC1" w14:textId="77777777" w:rsidR="00DF71D5" w:rsidRPr="00DF71D5" w:rsidRDefault="00DF71D5">
      <w:pPr>
        <w:numPr>
          <w:ilvl w:val="0"/>
          <w:numId w:val="14"/>
        </w:numPr>
        <w:spacing w:line="360" w:lineRule="auto"/>
        <w:rPr>
          <w:rFonts w:ascii="Arial" w:hAnsi="Arial" w:cs="Arial"/>
          <w:sz w:val="24"/>
          <w:szCs w:val="24"/>
        </w:rPr>
      </w:pPr>
      <w:r w:rsidRPr="00DF71D5">
        <w:rPr>
          <w:rFonts w:ascii="Arial" w:hAnsi="Arial" w:cs="Arial"/>
          <w:b/>
          <w:bCs/>
          <w:sz w:val="24"/>
          <w:szCs w:val="24"/>
        </w:rPr>
        <w:t>Keep Informed:</w:t>
      </w:r>
      <w:r w:rsidRPr="00DF71D5">
        <w:rPr>
          <w:rFonts w:ascii="Arial" w:hAnsi="Arial" w:cs="Arial"/>
          <w:sz w:val="24"/>
          <w:szCs w:val="24"/>
        </w:rPr>
        <w:t xml:space="preserve"> Patient groups and clinical staff benefit from transparent communication, training, and feedback channels.</w:t>
      </w:r>
    </w:p>
    <w:p w14:paraId="66D69253" w14:textId="77777777" w:rsidR="00DF71D5" w:rsidRPr="00DF71D5" w:rsidRDefault="00DF71D5">
      <w:pPr>
        <w:numPr>
          <w:ilvl w:val="0"/>
          <w:numId w:val="14"/>
        </w:numPr>
        <w:spacing w:line="360" w:lineRule="auto"/>
        <w:rPr>
          <w:rFonts w:ascii="Arial" w:hAnsi="Arial" w:cs="Arial"/>
          <w:sz w:val="24"/>
          <w:szCs w:val="24"/>
        </w:rPr>
      </w:pPr>
      <w:r w:rsidRPr="00DF71D5">
        <w:rPr>
          <w:rFonts w:ascii="Arial" w:hAnsi="Arial" w:cs="Arial"/>
          <w:b/>
          <w:bCs/>
          <w:sz w:val="24"/>
          <w:szCs w:val="24"/>
        </w:rPr>
        <w:t>Monitor:</w:t>
      </w:r>
      <w:r w:rsidRPr="00DF71D5">
        <w:rPr>
          <w:rFonts w:ascii="Arial" w:hAnsi="Arial" w:cs="Arial"/>
          <w:sz w:val="24"/>
          <w:szCs w:val="24"/>
        </w:rPr>
        <w:t xml:space="preserve"> The general public and minor suppliers require basic oversight and occasional updates.</w:t>
      </w:r>
    </w:p>
    <w:p w14:paraId="50B86EAA"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lastRenderedPageBreak/>
        <w:t>This matrix is reviewed regularly, with stakeholders repositioned as influence and interest evolve.</w:t>
      </w:r>
    </w:p>
    <w:p w14:paraId="39414217" w14:textId="77777777" w:rsidR="0072723E" w:rsidRDefault="0072723E" w:rsidP="00DF71D5">
      <w:pPr>
        <w:spacing w:line="360" w:lineRule="auto"/>
        <w:rPr>
          <w:rFonts w:ascii="Arial" w:hAnsi="Arial" w:cs="Arial"/>
          <w:b/>
          <w:bCs/>
          <w:sz w:val="24"/>
          <w:szCs w:val="24"/>
        </w:rPr>
      </w:pPr>
    </w:p>
    <w:p w14:paraId="3BD716FB" w14:textId="77777777" w:rsidR="0072723E" w:rsidRDefault="0072723E" w:rsidP="00DF71D5">
      <w:pPr>
        <w:spacing w:line="360" w:lineRule="auto"/>
        <w:rPr>
          <w:rFonts w:ascii="Arial" w:hAnsi="Arial" w:cs="Arial"/>
          <w:b/>
          <w:bCs/>
          <w:sz w:val="24"/>
          <w:szCs w:val="24"/>
        </w:rPr>
      </w:pPr>
    </w:p>
    <w:p w14:paraId="2CDD4553" w14:textId="77777777" w:rsidR="0072723E" w:rsidRDefault="0072723E" w:rsidP="00DF71D5">
      <w:pPr>
        <w:spacing w:line="360" w:lineRule="auto"/>
        <w:rPr>
          <w:rFonts w:ascii="Arial" w:hAnsi="Arial" w:cs="Arial"/>
          <w:b/>
          <w:bCs/>
          <w:sz w:val="24"/>
          <w:szCs w:val="24"/>
        </w:rPr>
      </w:pPr>
    </w:p>
    <w:p w14:paraId="438E8356" w14:textId="77777777" w:rsidR="0072723E" w:rsidRDefault="0072723E" w:rsidP="00DF71D5">
      <w:pPr>
        <w:spacing w:line="360" w:lineRule="auto"/>
        <w:rPr>
          <w:rFonts w:ascii="Arial" w:hAnsi="Arial" w:cs="Arial"/>
          <w:b/>
          <w:bCs/>
          <w:sz w:val="24"/>
          <w:szCs w:val="24"/>
        </w:rPr>
      </w:pPr>
    </w:p>
    <w:p w14:paraId="42C32A6F" w14:textId="77777777" w:rsidR="0072723E" w:rsidRDefault="0072723E" w:rsidP="00DF71D5">
      <w:pPr>
        <w:spacing w:line="360" w:lineRule="auto"/>
        <w:rPr>
          <w:rFonts w:ascii="Arial" w:hAnsi="Arial" w:cs="Arial"/>
          <w:b/>
          <w:bCs/>
          <w:sz w:val="24"/>
          <w:szCs w:val="24"/>
        </w:rPr>
      </w:pPr>
    </w:p>
    <w:p w14:paraId="29E2A04A" w14:textId="77777777" w:rsidR="0072723E" w:rsidRDefault="0072723E" w:rsidP="00DF71D5">
      <w:pPr>
        <w:spacing w:line="360" w:lineRule="auto"/>
        <w:rPr>
          <w:rFonts w:ascii="Arial" w:hAnsi="Arial" w:cs="Arial"/>
          <w:b/>
          <w:bCs/>
          <w:sz w:val="24"/>
          <w:szCs w:val="24"/>
        </w:rPr>
      </w:pPr>
    </w:p>
    <w:p w14:paraId="0FEFA465" w14:textId="77777777" w:rsidR="0072723E" w:rsidRDefault="0072723E" w:rsidP="00DF71D5">
      <w:pPr>
        <w:spacing w:line="360" w:lineRule="auto"/>
        <w:rPr>
          <w:rFonts w:ascii="Arial" w:hAnsi="Arial" w:cs="Arial"/>
          <w:b/>
          <w:bCs/>
          <w:sz w:val="24"/>
          <w:szCs w:val="24"/>
        </w:rPr>
      </w:pPr>
    </w:p>
    <w:p w14:paraId="63E765FF" w14:textId="77777777" w:rsidR="0072723E" w:rsidRDefault="0072723E" w:rsidP="00DF71D5">
      <w:pPr>
        <w:spacing w:line="360" w:lineRule="auto"/>
        <w:rPr>
          <w:rFonts w:ascii="Arial" w:hAnsi="Arial" w:cs="Arial"/>
          <w:b/>
          <w:bCs/>
          <w:sz w:val="24"/>
          <w:szCs w:val="24"/>
        </w:rPr>
      </w:pPr>
    </w:p>
    <w:p w14:paraId="323FB783" w14:textId="77777777" w:rsidR="0072723E" w:rsidRDefault="0072723E" w:rsidP="00DF71D5">
      <w:pPr>
        <w:spacing w:line="360" w:lineRule="auto"/>
        <w:rPr>
          <w:rFonts w:ascii="Arial" w:hAnsi="Arial" w:cs="Arial"/>
          <w:b/>
          <w:bCs/>
          <w:sz w:val="24"/>
          <w:szCs w:val="24"/>
        </w:rPr>
      </w:pPr>
    </w:p>
    <w:p w14:paraId="4BF5122C" w14:textId="77777777" w:rsidR="0072723E" w:rsidRDefault="0072723E" w:rsidP="00DF71D5">
      <w:pPr>
        <w:spacing w:line="360" w:lineRule="auto"/>
        <w:rPr>
          <w:rFonts w:ascii="Arial" w:hAnsi="Arial" w:cs="Arial"/>
          <w:b/>
          <w:bCs/>
          <w:sz w:val="24"/>
          <w:szCs w:val="24"/>
        </w:rPr>
      </w:pPr>
    </w:p>
    <w:p w14:paraId="53B79F53" w14:textId="77777777" w:rsidR="0072723E" w:rsidRDefault="0072723E" w:rsidP="00DF71D5">
      <w:pPr>
        <w:spacing w:line="360" w:lineRule="auto"/>
        <w:rPr>
          <w:rFonts w:ascii="Arial" w:hAnsi="Arial" w:cs="Arial"/>
          <w:b/>
          <w:bCs/>
          <w:sz w:val="24"/>
          <w:szCs w:val="24"/>
        </w:rPr>
      </w:pPr>
    </w:p>
    <w:p w14:paraId="20B5FEB9" w14:textId="77777777" w:rsidR="0072723E" w:rsidRDefault="0072723E" w:rsidP="00DF71D5">
      <w:pPr>
        <w:spacing w:line="360" w:lineRule="auto"/>
        <w:rPr>
          <w:rFonts w:ascii="Arial" w:hAnsi="Arial" w:cs="Arial"/>
          <w:b/>
          <w:bCs/>
          <w:sz w:val="24"/>
          <w:szCs w:val="24"/>
        </w:rPr>
      </w:pPr>
    </w:p>
    <w:p w14:paraId="09EC0B59" w14:textId="77777777" w:rsidR="0072723E" w:rsidRDefault="0072723E" w:rsidP="00DF71D5">
      <w:pPr>
        <w:spacing w:line="360" w:lineRule="auto"/>
        <w:rPr>
          <w:rFonts w:ascii="Arial" w:hAnsi="Arial" w:cs="Arial"/>
          <w:b/>
          <w:bCs/>
          <w:sz w:val="24"/>
          <w:szCs w:val="24"/>
        </w:rPr>
      </w:pPr>
    </w:p>
    <w:p w14:paraId="1578FE38" w14:textId="77777777" w:rsidR="0072723E" w:rsidRDefault="0072723E" w:rsidP="00DF71D5">
      <w:pPr>
        <w:spacing w:line="360" w:lineRule="auto"/>
        <w:rPr>
          <w:rFonts w:ascii="Arial" w:hAnsi="Arial" w:cs="Arial"/>
          <w:b/>
          <w:bCs/>
          <w:sz w:val="24"/>
          <w:szCs w:val="24"/>
        </w:rPr>
      </w:pPr>
    </w:p>
    <w:p w14:paraId="4654A0FC" w14:textId="77777777" w:rsidR="0072723E" w:rsidRDefault="0072723E" w:rsidP="00DF71D5">
      <w:pPr>
        <w:spacing w:line="360" w:lineRule="auto"/>
        <w:rPr>
          <w:rFonts w:ascii="Arial" w:hAnsi="Arial" w:cs="Arial"/>
          <w:b/>
          <w:bCs/>
          <w:sz w:val="24"/>
          <w:szCs w:val="24"/>
        </w:rPr>
      </w:pPr>
    </w:p>
    <w:p w14:paraId="12B1ACE4" w14:textId="77777777" w:rsidR="0072723E" w:rsidRDefault="0072723E" w:rsidP="00DF71D5">
      <w:pPr>
        <w:spacing w:line="360" w:lineRule="auto"/>
        <w:rPr>
          <w:rFonts w:ascii="Arial" w:hAnsi="Arial" w:cs="Arial"/>
          <w:b/>
          <w:bCs/>
          <w:sz w:val="24"/>
          <w:szCs w:val="24"/>
        </w:rPr>
      </w:pPr>
    </w:p>
    <w:p w14:paraId="1CD45C6B" w14:textId="77777777" w:rsidR="0072723E" w:rsidRDefault="0072723E" w:rsidP="00DF71D5">
      <w:pPr>
        <w:spacing w:line="360" w:lineRule="auto"/>
        <w:rPr>
          <w:rFonts w:ascii="Arial" w:hAnsi="Arial" w:cs="Arial"/>
          <w:b/>
          <w:bCs/>
          <w:sz w:val="24"/>
          <w:szCs w:val="24"/>
        </w:rPr>
      </w:pPr>
    </w:p>
    <w:p w14:paraId="46EF91F2" w14:textId="77777777" w:rsidR="0072723E" w:rsidRDefault="0072723E" w:rsidP="00DF71D5">
      <w:pPr>
        <w:spacing w:line="360" w:lineRule="auto"/>
        <w:rPr>
          <w:rFonts w:ascii="Arial" w:hAnsi="Arial" w:cs="Arial"/>
          <w:b/>
          <w:bCs/>
          <w:sz w:val="24"/>
          <w:szCs w:val="24"/>
        </w:rPr>
      </w:pPr>
    </w:p>
    <w:p w14:paraId="0327DA4D" w14:textId="77777777" w:rsidR="0072723E" w:rsidRDefault="0072723E" w:rsidP="00DF71D5">
      <w:pPr>
        <w:spacing w:line="360" w:lineRule="auto"/>
        <w:rPr>
          <w:rFonts w:ascii="Arial" w:hAnsi="Arial" w:cs="Arial"/>
          <w:b/>
          <w:bCs/>
          <w:sz w:val="24"/>
          <w:szCs w:val="24"/>
        </w:rPr>
      </w:pPr>
    </w:p>
    <w:p w14:paraId="18479FAE" w14:textId="77777777" w:rsidR="0072723E" w:rsidRDefault="0072723E" w:rsidP="00DF71D5">
      <w:pPr>
        <w:spacing w:line="360" w:lineRule="auto"/>
        <w:rPr>
          <w:rFonts w:ascii="Arial" w:hAnsi="Arial" w:cs="Arial"/>
          <w:b/>
          <w:bCs/>
          <w:sz w:val="24"/>
          <w:szCs w:val="24"/>
        </w:rPr>
      </w:pPr>
    </w:p>
    <w:p w14:paraId="4AEC9A5C" w14:textId="77777777" w:rsidR="0072723E" w:rsidRDefault="0072723E" w:rsidP="00DF71D5">
      <w:pPr>
        <w:spacing w:line="360" w:lineRule="auto"/>
        <w:rPr>
          <w:rFonts w:ascii="Arial" w:hAnsi="Arial" w:cs="Arial"/>
          <w:b/>
          <w:bCs/>
          <w:sz w:val="24"/>
          <w:szCs w:val="24"/>
        </w:rPr>
      </w:pPr>
    </w:p>
    <w:p w14:paraId="50055628" w14:textId="77777777" w:rsidR="0072723E" w:rsidRDefault="0072723E" w:rsidP="00DF71D5">
      <w:pPr>
        <w:spacing w:line="360" w:lineRule="auto"/>
        <w:rPr>
          <w:rFonts w:ascii="Arial" w:hAnsi="Arial" w:cs="Arial"/>
          <w:b/>
          <w:bCs/>
          <w:sz w:val="24"/>
          <w:szCs w:val="24"/>
        </w:rPr>
      </w:pPr>
    </w:p>
    <w:p w14:paraId="2D66F887" w14:textId="77777777" w:rsidR="0072723E" w:rsidRDefault="0072723E" w:rsidP="00DF71D5">
      <w:pPr>
        <w:spacing w:line="360" w:lineRule="auto"/>
        <w:rPr>
          <w:rFonts w:ascii="Arial" w:hAnsi="Arial" w:cs="Arial"/>
          <w:b/>
          <w:bCs/>
          <w:sz w:val="24"/>
          <w:szCs w:val="24"/>
        </w:rPr>
      </w:pPr>
    </w:p>
    <w:p w14:paraId="4E7A5AE8" w14:textId="77C721C2"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lastRenderedPageBreak/>
        <w:t>RACI Matrix</w:t>
      </w:r>
    </w:p>
    <w:p w14:paraId="46FE4661"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RACI matrix clarifies roles and responsibilities for each task: Responsible, Accountable, Consulted, and Informed.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4"/>
        <w:gridCol w:w="1639"/>
        <w:gridCol w:w="1733"/>
        <w:gridCol w:w="1797"/>
        <w:gridCol w:w="1663"/>
      </w:tblGrid>
      <w:tr w:rsidR="00DF71D5" w:rsidRPr="00DF71D5" w14:paraId="0F537732" w14:textId="77777777">
        <w:trPr>
          <w:tblHeader/>
          <w:tblCellSpacing w:w="15" w:type="dxa"/>
        </w:trPr>
        <w:tc>
          <w:tcPr>
            <w:tcW w:w="0" w:type="auto"/>
            <w:vAlign w:val="center"/>
            <w:hideMark/>
          </w:tcPr>
          <w:p w14:paraId="23DED7BF"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Task/Activity</w:t>
            </w:r>
          </w:p>
        </w:tc>
        <w:tc>
          <w:tcPr>
            <w:tcW w:w="0" w:type="auto"/>
            <w:vAlign w:val="center"/>
            <w:hideMark/>
          </w:tcPr>
          <w:p w14:paraId="3707926E"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Responsible</w:t>
            </w:r>
          </w:p>
        </w:tc>
        <w:tc>
          <w:tcPr>
            <w:tcW w:w="0" w:type="auto"/>
            <w:vAlign w:val="center"/>
            <w:hideMark/>
          </w:tcPr>
          <w:p w14:paraId="388949D9"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Accountable</w:t>
            </w:r>
          </w:p>
        </w:tc>
        <w:tc>
          <w:tcPr>
            <w:tcW w:w="0" w:type="auto"/>
            <w:vAlign w:val="center"/>
            <w:hideMark/>
          </w:tcPr>
          <w:p w14:paraId="05E2D30A"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Consulted</w:t>
            </w:r>
          </w:p>
        </w:tc>
        <w:tc>
          <w:tcPr>
            <w:tcW w:w="0" w:type="auto"/>
            <w:vAlign w:val="center"/>
            <w:hideMark/>
          </w:tcPr>
          <w:p w14:paraId="69C6EBDD"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Informed</w:t>
            </w:r>
          </w:p>
        </w:tc>
      </w:tr>
      <w:tr w:rsidR="00DF71D5" w:rsidRPr="00DF71D5" w14:paraId="6C11CC7A" w14:textId="77777777">
        <w:trPr>
          <w:tblCellSpacing w:w="15" w:type="dxa"/>
        </w:trPr>
        <w:tc>
          <w:tcPr>
            <w:tcW w:w="0" w:type="auto"/>
            <w:vAlign w:val="center"/>
            <w:hideMark/>
          </w:tcPr>
          <w:p w14:paraId="101080F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Device Design</w:t>
            </w:r>
          </w:p>
        </w:tc>
        <w:tc>
          <w:tcPr>
            <w:tcW w:w="0" w:type="auto"/>
            <w:vAlign w:val="center"/>
            <w:hideMark/>
          </w:tcPr>
          <w:p w14:paraId="642F9E3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Evinova R&amp;D</w:t>
            </w:r>
          </w:p>
        </w:tc>
        <w:tc>
          <w:tcPr>
            <w:tcW w:w="0" w:type="auto"/>
            <w:vAlign w:val="center"/>
            <w:hideMark/>
          </w:tcPr>
          <w:p w14:paraId="11D5060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Head of Digital</w:t>
            </w:r>
          </w:p>
        </w:tc>
        <w:tc>
          <w:tcPr>
            <w:tcW w:w="0" w:type="auto"/>
            <w:vAlign w:val="center"/>
            <w:hideMark/>
          </w:tcPr>
          <w:p w14:paraId="345461C1"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Patients, Clinicians</w:t>
            </w:r>
          </w:p>
        </w:tc>
        <w:tc>
          <w:tcPr>
            <w:tcW w:w="0" w:type="auto"/>
            <w:vAlign w:val="center"/>
            <w:hideMark/>
          </w:tcPr>
          <w:p w14:paraId="2436F997"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Executive Leadership</w:t>
            </w:r>
          </w:p>
        </w:tc>
      </w:tr>
      <w:tr w:rsidR="00DF71D5" w:rsidRPr="00DF71D5" w14:paraId="72264477" w14:textId="77777777">
        <w:trPr>
          <w:tblCellSpacing w:w="15" w:type="dxa"/>
        </w:trPr>
        <w:tc>
          <w:tcPr>
            <w:tcW w:w="0" w:type="auto"/>
            <w:vAlign w:val="center"/>
            <w:hideMark/>
          </w:tcPr>
          <w:p w14:paraId="01DE4E2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Regulatory Submission</w:t>
            </w:r>
          </w:p>
        </w:tc>
        <w:tc>
          <w:tcPr>
            <w:tcW w:w="0" w:type="auto"/>
            <w:vAlign w:val="center"/>
            <w:hideMark/>
          </w:tcPr>
          <w:p w14:paraId="4867C105"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Regulatory Affairs</w:t>
            </w:r>
          </w:p>
        </w:tc>
        <w:tc>
          <w:tcPr>
            <w:tcW w:w="0" w:type="auto"/>
            <w:vAlign w:val="center"/>
            <w:hideMark/>
          </w:tcPr>
          <w:p w14:paraId="4F64BAC7"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Head of Compliance</w:t>
            </w:r>
          </w:p>
        </w:tc>
        <w:tc>
          <w:tcPr>
            <w:tcW w:w="0" w:type="auto"/>
            <w:vAlign w:val="center"/>
            <w:hideMark/>
          </w:tcPr>
          <w:p w14:paraId="665E4C97"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Legal, Clinical Operations</w:t>
            </w:r>
          </w:p>
        </w:tc>
        <w:tc>
          <w:tcPr>
            <w:tcW w:w="0" w:type="auto"/>
            <w:vAlign w:val="center"/>
            <w:hideMark/>
          </w:tcPr>
          <w:p w14:paraId="4AAD371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All Project Teams</w:t>
            </w:r>
          </w:p>
        </w:tc>
      </w:tr>
      <w:tr w:rsidR="00DF71D5" w:rsidRPr="00DF71D5" w14:paraId="70389E28" w14:textId="77777777">
        <w:trPr>
          <w:tblCellSpacing w:w="15" w:type="dxa"/>
        </w:trPr>
        <w:tc>
          <w:tcPr>
            <w:tcW w:w="0" w:type="auto"/>
            <w:vAlign w:val="center"/>
            <w:hideMark/>
          </w:tcPr>
          <w:p w14:paraId="411D7966"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Clinical Trial Deployment</w:t>
            </w:r>
          </w:p>
        </w:tc>
        <w:tc>
          <w:tcPr>
            <w:tcW w:w="0" w:type="auto"/>
            <w:vAlign w:val="center"/>
            <w:hideMark/>
          </w:tcPr>
          <w:p w14:paraId="22C714C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Clinical Ops</w:t>
            </w:r>
          </w:p>
        </w:tc>
        <w:tc>
          <w:tcPr>
            <w:tcW w:w="0" w:type="auto"/>
            <w:vAlign w:val="center"/>
            <w:hideMark/>
          </w:tcPr>
          <w:p w14:paraId="4A73C34B"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Project Manager</w:t>
            </w:r>
          </w:p>
        </w:tc>
        <w:tc>
          <w:tcPr>
            <w:tcW w:w="0" w:type="auto"/>
            <w:vAlign w:val="center"/>
            <w:hideMark/>
          </w:tcPr>
          <w:p w14:paraId="56180144"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CROs, Trial Sites</w:t>
            </w:r>
          </w:p>
        </w:tc>
        <w:tc>
          <w:tcPr>
            <w:tcW w:w="0" w:type="auto"/>
            <w:vAlign w:val="center"/>
            <w:hideMark/>
          </w:tcPr>
          <w:p w14:paraId="71F5728E"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Patients, Providers</w:t>
            </w:r>
          </w:p>
        </w:tc>
      </w:tr>
      <w:tr w:rsidR="00DF71D5" w:rsidRPr="00DF71D5" w14:paraId="5F8CF6C7" w14:textId="77777777">
        <w:trPr>
          <w:tblCellSpacing w:w="15" w:type="dxa"/>
        </w:trPr>
        <w:tc>
          <w:tcPr>
            <w:tcW w:w="0" w:type="auto"/>
            <w:vAlign w:val="center"/>
            <w:hideMark/>
          </w:tcPr>
          <w:p w14:paraId="4718460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Data Security Implementation</w:t>
            </w:r>
          </w:p>
        </w:tc>
        <w:tc>
          <w:tcPr>
            <w:tcW w:w="0" w:type="auto"/>
            <w:vAlign w:val="center"/>
            <w:hideMark/>
          </w:tcPr>
          <w:p w14:paraId="0942C712"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IT/Data Security</w:t>
            </w:r>
          </w:p>
        </w:tc>
        <w:tc>
          <w:tcPr>
            <w:tcW w:w="0" w:type="auto"/>
            <w:vAlign w:val="center"/>
            <w:hideMark/>
          </w:tcPr>
          <w:p w14:paraId="61DBB92E"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CIO</w:t>
            </w:r>
          </w:p>
        </w:tc>
        <w:tc>
          <w:tcPr>
            <w:tcW w:w="0" w:type="auto"/>
            <w:vAlign w:val="center"/>
            <w:hideMark/>
          </w:tcPr>
          <w:p w14:paraId="455C0A07"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Legal, Compliance</w:t>
            </w:r>
          </w:p>
        </w:tc>
        <w:tc>
          <w:tcPr>
            <w:tcW w:w="0" w:type="auto"/>
            <w:vAlign w:val="center"/>
            <w:hideMark/>
          </w:tcPr>
          <w:p w14:paraId="76F99318"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All Users</w:t>
            </w:r>
          </w:p>
        </w:tc>
      </w:tr>
      <w:tr w:rsidR="00DF71D5" w:rsidRPr="00DF71D5" w14:paraId="24ECE03F" w14:textId="77777777">
        <w:trPr>
          <w:tblCellSpacing w:w="15" w:type="dxa"/>
        </w:trPr>
        <w:tc>
          <w:tcPr>
            <w:tcW w:w="0" w:type="auto"/>
            <w:vAlign w:val="center"/>
            <w:hideMark/>
          </w:tcPr>
          <w:p w14:paraId="3DE42242"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Sustainability Assessment</w:t>
            </w:r>
          </w:p>
        </w:tc>
        <w:tc>
          <w:tcPr>
            <w:tcW w:w="0" w:type="auto"/>
            <w:vAlign w:val="center"/>
            <w:hideMark/>
          </w:tcPr>
          <w:p w14:paraId="74032261"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ESG Team</w:t>
            </w:r>
          </w:p>
        </w:tc>
        <w:tc>
          <w:tcPr>
            <w:tcW w:w="0" w:type="auto"/>
            <w:vAlign w:val="center"/>
            <w:hideMark/>
          </w:tcPr>
          <w:p w14:paraId="374ACC5D"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Head of ESG</w:t>
            </w:r>
          </w:p>
        </w:tc>
        <w:tc>
          <w:tcPr>
            <w:tcW w:w="0" w:type="auto"/>
            <w:vAlign w:val="center"/>
            <w:hideMark/>
          </w:tcPr>
          <w:p w14:paraId="4B8EDFA1"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Suppliers, Partners</w:t>
            </w:r>
          </w:p>
        </w:tc>
        <w:tc>
          <w:tcPr>
            <w:tcW w:w="0" w:type="auto"/>
            <w:vAlign w:val="center"/>
            <w:hideMark/>
          </w:tcPr>
          <w:p w14:paraId="43260725"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Executive Leadership</w:t>
            </w:r>
          </w:p>
        </w:tc>
      </w:tr>
      <w:tr w:rsidR="00DF71D5" w:rsidRPr="00DF71D5" w14:paraId="1C405E3A" w14:textId="77777777">
        <w:trPr>
          <w:tblCellSpacing w:w="15" w:type="dxa"/>
        </w:trPr>
        <w:tc>
          <w:tcPr>
            <w:tcW w:w="0" w:type="auto"/>
            <w:vAlign w:val="center"/>
            <w:hideMark/>
          </w:tcPr>
          <w:p w14:paraId="2E63A781"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Marketing and Launch</w:t>
            </w:r>
          </w:p>
        </w:tc>
        <w:tc>
          <w:tcPr>
            <w:tcW w:w="0" w:type="auto"/>
            <w:vAlign w:val="center"/>
            <w:hideMark/>
          </w:tcPr>
          <w:p w14:paraId="401DD8CE"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Marketing</w:t>
            </w:r>
          </w:p>
        </w:tc>
        <w:tc>
          <w:tcPr>
            <w:tcW w:w="0" w:type="auto"/>
            <w:vAlign w:val="center"/>
            <w:hideMark/>
          </w:tcPr>
          <w:p w14:paraId="5413219D"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CCO</w:t>
            </w:r>
          </w:p>
        </w:tc>
        <w:tc>
          <w:tcPr>
            <w:tcW w:w="0" w:type="auto"/>
            <w:vAlign w:val="center"/>
            <w:hideMark/>
          </w:tcPr>
          <w:p w14:paraId="7CFD688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Patient Groups, Providers</w:t>
            </w:r>
          </w:p>
        </w:tc>
        <w:tc>
          <w:tcPr>
            <w:tcW w:w="0" w:type="auto"/>
            <w:vAlign w:val="center"/>
            <w:hideMark/>
          </w:tcPr>
          <w:p w14:paraId="209F59A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All Employees, Media</w:t>
            </w:r>
          </w:p>
        </w:tc>
      </w:tr>
    </w:tbl>
    <w:p w14:paraId="6C6B8DC4"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Application:</w:t>
      </w:r>
    </w:p>
    <w:p w14:paraId="752A88F8" w14:textId="77777777" w:rsidR="00DF71D5" w:rsidRPr="00DF71D5" w:rsidRDefault="00DF71D5">
      <w:pPr>
        <w:numPr>
          <w:ilvl w:val="0"/>
          <w:numId w:val="15"/>
        </w:numPr>
        <w:spacing w:line="360" w:lineRule="auto"/>
        <w:rPr>
          <w:rFonts w:ascii="Arial" w:hAnsi="Arial" w:cs="Arial"/>
          <w:sz w:val="24"/>
          <w:szCs w:val="24"/>
          <w:lang w:val="es-ES"/>
        </w:rPr>
      </w:pPr>
      <w:r w:rsidRPr="00DF71D5">
        <w:rPr>
          <w:rFonts w:ascii="Arial" w:hAnsi="Arial" w:cs="Arial"/>
          <w:b/>
          <w:bCs/>
          <w:sz w:val="24"/>
          <w:szCs w:val="24"/>
          <w:lang w:val="es-ES"/>
        </w:rPr>
        <w:t>Responsible:</w:t>
      </w:r>
      <w:r w:rsidRPr="00DF71D5">
        <w:rPr>
          <w:rFonts w:ascii="Arial" w:hAnsi="Arial" w:cs="Arial"/>
          <w:sz w:val="24"/>
          <w:szCs w:val="24"/>
          <w:lang w:val="es-ES"/>
        </w:rPr>
        <w:t xml:space="preserve"> Executes the task.</w:t>
      </w:r>
    </w:p>
    <w:p w14:paraId="7BD57A2A" w14:textId="77777777" w:rsidR="00DF71D5" w:rsidRPr="00DF71D5" w:rsidRDefault="00DF71D5">
      <w:pPr>
        <w:numPr>
          <w:ilvl w:val="0"/>
          <w:numId w:val="15"/>
        </w:numPr>
        <w:spacing w:line="360" w:lineRule="auto"/>
        <w:rPr>
          <w:rFonts w:ascii="Arial" w:hAnsi="Arial" w:cs="Arial"/>
          <w:sz w:val="24"/>
          <w:szCs w:val="24"/>
        </w:rPr>
      </w:pPr>
      <w:r w:rsidRPr="00DF71D5">
        <w:rPr>
          <w:rFonts w:ascii="Arial" w:hAnsi="Arial" w:cs="Arial"/>
          <w:b/>
          <w:bCs/>
          <w:sz w:val="24"/>
          <w:szCs w:val="24"/>
        </w:rPr>
        <w:t>Accountable:</w:t>
      </w:r>
      <w:r w:rsidRPr="00DF71D5">
        <w:rPr>
          <w:rFonts w:ascii="Arial" w:hAnsi="Arial" w:cs="Arial"/>
          <w:sz w:val="24"/>
          <w:szCs w:val="24"/>
        </w:rPr>
        <w:t xml:space="preserve"> Ultimately answerable for outcomes.</w:t>
      </w:r>
    </w:p>
    <w:p w14:paraId="47BCA900" w14:textId="77777777" w:rsidR="00DF71D5" w:rsidRPr="00DF71D5" w:rsidRDefault="00DF71D5">
      <w:pPr>
        <w:numPr>
          <w:ilvl w:val="0"/>
          <w:numId w:val="15"/>
        </w:numPr>
        <w:spacing w:line="360" w:lineRule="auto"/>
        <w:rPr>
          <w:rFonts w:ascii="Arial" w:hAnsi="Arial" w:cs="Arial"/>
          <w:sz w:val="24"/>
          <w:szCs w:val="24"/>
        </w:rPr>
      </w:pPr>
      <w:r w:rsidRPr="00DF71D5">
        <w:rPr>
          <w:rFonts w:ascii="Arial" w:hAnsi="Arial" w:cs="Arial"/>
          <w:b/>
          <w:bCs/>
          <w:sz w:val="24"/>
          <w:szCs w:val="24"/>
        </w:rPr>
        <w:t>Consulted:</w:t>
      </w:r>
      <w:r w:rsidRPr="00DF71D5">
        <w:rPr>
          <w:rFonts w:ascii="Arial" w:hAnsi="Arial" w:cs="Arial"/>
          <w:sz w:val="24"/>
          <w:szCs w:val="24"/>
        </w:rPr>
        <w:t xml:space="preserve"> Provides input and expertise.</w:t>
      </w:r>
    </w:p>
    <w:p w14:paraId="2BAC35B3" w14:textId="77777777" w:rsidR="00DF71D5" w:rsidRPr="00DF71D5" w:rsidRDefault="00DF71D5">
      <w:pPr>
        <w:numPr>
          <w:ilvl w:val="0"/>
          <w:numId w:val="15"/>
        </w:numPr>
        <w:spacing w:line="360" w:lineRule="auto"/>
        <w:rPr>
          <w:rFonts w:ascii="Arial" w:hAnsi="Arial" w:cs="Arial"/>
          <w:sz w:val="24"/>
          <w:szCs w:val="24"/>
        </w:rPr>
      </w:pPr>
      <w:r w:rsidRPr="00DF71D5">
        <w:rPr>
          <w:rFonts w:ascii="Arial" w:hAnsi="Arial" w:cs="Arial"/>
          <w:b/>
          <w:bCs/>
          <w:sz w:val="24"/>
          <w:szCs w:val="24"/>
        </w:rPr>
        <w:t>Informed:</w:t>
      </w:r>
      <w:r w:rsidRPr="00DF71D5">
        <w:rPr>
          <w:rFonts w:ascii="Arial" w:hAnsi="Arial" w:cs="Arial"/>
          <w:sz w:val="24"/>
          <w:szCs w:val="24"/>
        </w:rPr>
        <w:t xml:space="preserve"> Receives updates and outcomes.</w:t>
      </w:r>
    </w:p>
    <w:p w14:paraId="0894DF8F" w14:textId="77777777" w:rsidR="00DF71D5" w:rsidRDefault="00DF71D5" w:rsidP="00DF71D5">
      <w:pPr>
        <w:spacing w:line="360" w:lineRule="auto"/>
        <w:rPr>
          <w:rFonts w:ascii="Arial" w:hAnsi="Arial" w:cs="Arial"/>
          <w:sz w:val="24"/>
          <w:szCs w:val="24"/>
        </w:rPr>
      </w:pPr>
      <w:r w:rsidRPr="00DF71D5">
        <w:rPr>
          <w:rFonts w:ascii="Arial" w:hAnsi="Arial" w:cs="Arial"/>
          <w:sz w:val="24"/>
          <w:szCs w:val="24"/>
        </w:rPr>
        <w:t>The RACI matrix ensures clarity, prevents duplication, and streamlines decision-making.</w:t>
      </w:r>
    </w:p>
    <w:p w14:paraId="2E8C3A27" w14:textId="77777777" w:rsidR="0077767C" w:rsidRPr="00DF71D5" w:rsidRDefault="0077767C" w:rsidP="00DF71D5">
      <w:pPr>
        <w:spacing w:line="360" w:lineRule="auto"/>
        <w:rPr>
          <w:rFonts w:ascii="Arial" w:hAnsi="Arial" w:cs="Arial"/>
          <w:sz w:val="24"/>
          <w:szCs w:val="24"/>
        </w:rPr>
      </w:pPr>
    </w:p>
    <w:p w14:paraId="102D4205" w14:textId="77777777" w:rsidR="0072723E" w:rsidRDefault="0072723E" w:rsidP="00DF71D5">
      <w:pPr>
        <w:spacing w:line="360" w:lineRule="auto"/>
        <w:rPr>
          <w:rFonts w:ascii="Arial" w:hAnsi="Arial" w:cs="Arial"/>
          <w:b/>
          <w:bCs/>
          <w:sz w:val="24"/>
          <w:szCs w:val="24"/>
        </w:rPr>
      </w:pPr>
    </w:p>
    <w:p w14:paraId="4BFBC923" w14:textId="77777777" w:rsidR="0072723E" w:rsidRDefault="0072723E" w:rsidP="00DF71D5">
      <w:pPr>
        <w:spacing w:line="360" w:lineRule="auto"/>
        <w:rPr>
          <w:rFonts w:ascii="Arial" w:hAnsi="Arial" w:cs="Arial"/>
          <w:b/>
          <w:bCs/>
          <w:sz w:val="24"/>
          <w:szCs w:val="24"/>
        </w:rPr>
      </w:pPr>
    </w:p>
    <w:p w14:paraId="52512805" w14:textId="334A7F20" w:rsidR="00DF71D5" w:rsidRPr="00DF71D5" w:rsidRDefault="00DF71D5" w:rsidP="00DF71D5">
      <w:pPr>
        <w:spacing w:line="360" w:lineRule="auto"/>
        <w:rPr>
          <w:rFonts w:ascii="Arial" w:hAnsi="Arial" w:cs="Arial"/>
          <w:b/>
          <w:bCs/>
          <w:sz w:val="24"/>
          <w:szCs w:val="24"/>
        </w:rPr>
      </w:pPr>
      <w:r w:rsidRPr="00DF71D5">
        <w:rPr>
          <w:rFonts w:ascii="Arial" w:hAnsi="Arial" w:cs="Arial"/>
          <w:b/>
          <w:bCs/>
          <w:sz w:val="24"/>
          <w:szCs w:val="24"/>
        </w:rPr>
        <w:lastRenderedPageBreak/>
        <w:t>4Cs Model</w:t>
      </w:r>
    </w:p>
    <w:p w14:paraId="0E793511" w14:textId="421E4F64"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4Cs model</w:t>
      </w:r>
      <w:r w:rsidR="007A502D">
        <w:rPr>
          <w:rFonts w:ascii="Arial" w:hAnsi="Arial" w:cs="Arial"/>
          <w:sz w:val="24"/>
          <w:szCs w:val="24"/>
        </w:rPr>
        <w:t xml:space="preserve"> </w:t>
      </w:r>
      <w:r w:rsidRPr="00DF71D5">
        <w:rPr>
          <w:rFonts w:ascii="Arial" w:hAnsi="Arial" w:cs="Arial"/>
          <w:sz w:val="24"/>
          <w:szCs w:val="24"/>
        </w:rPr>
        <w:t>Concerns, Contributions, Constraints, Channels</w:t>
      </w:r>
      <w:r w:rsidR="007A502D">
        <w:rPr>
          <w:rFonts w:ascii="Arial" w:hAnsi="Arial" w:cs="Arial"/>
          <w:sz w:val="24"/>
          <w:szCs w:val="24"/>
        </w:rPr>
        <w:t xml:space="preserve"> </w:t>
      </w:r>
      <w:r w:rsidRPr="00DF71D5">
        <w:rPr>
          <w:rFonts w:ascii="Arial" w:hAnsi="Arial" w:cs="Arial"/>
          <w:sz w:val="24"/>
          <w:szCs w:val="24"/>
        </w:rPr>
        <w:t>provides a structured approach to stakeholder engagement.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9"/>
        <w:gridCol w:w="1893"/>
        <w:gridCol w:w="2003"/>
        <w:gridCol w:w="1600"/>
        <w:gridCol w:w="1921"/>
      </w:tblGrid>
      <w:tr w:rsidR="00DF71D5" w:rsidRPr="00DF71D5" w14:paraId="634639A8" w14:textId="77777777">
        <w:trPr>
          <w:tblHeader/>
          <w:tblCellSpacing w:w="15" w:type="dxa"/>
        </w:trPr>
        <w:tc>
          <w:tcPr>
            <w:tcW w:w="0" w:type="auto"/>
            <w:vAlign w:val="center"/>
            <w:hideMark/>
          </w:tcPr>
          <w:p w14:paraId="5AF57A35"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Stakeholder Group</w:t>
            </w:r>
          </w:p>
        </w:tc>
        <w:tc>
          <w:tcPr>
            <w:tcW w:w="0" w:type="auto"/>
            <w:vAlign w:val="center"/>
            <w:hideMark/>
          </w:tcPr>
          <w:p w14:paraId="165E2377"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Concerns</w:t>
            </w:r>
          </w:p>
        </w:tc>
        <w:tc>
          <w:tcPr>
            <w:tcW w:w="0" w:type="auto"/>
            <w:vAlign w:val="center"/>
            <w:hideMark/>
          </w:tcPr>
          <w:p w14:paraId="34834866"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Contributions</w:t>
            </w:r>
          </w:p>
        </w:tc>
        <w:tc>
          <w:tcPr>
            <w:tcW w:w="0" w:type="auto"/>
            <w:vAlign w:val="center"/>
            <w:hideMark/>
          </w:tcPr>
          <w:p w14:paraId="2B7D456D"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Constraints</w:t>
            </w:r>
          </w:p>
        </w:tc>
        <w:tc>
          <w:tcPr>
            <w:tcW w:w="0" w:type="auto"/>
            <w:vAlign w:val="center"/>
            <w:hideMark/>
          </w:tcPr>
          <w:p w14:paraId="7FDD2E4D" w14:textId="77777777" w:rsidR="00DF71D5" w:rsidRPr="00DF71D5" w:rsidRDefault="00DF71D5" w:rsidP="00DF71D5">
            <w:pPr>
              <w:spacing w:line="360" w:lineRule="auto"/>
              <w:rPr>
                <w:rFonts w:ascii="Arial" w:hAnsi="Arial" w:cs="Arial"/>
                <w:b/>
                <w:bCs/>
                <w:sz w:val="24"/>
                <w:szCs w:val="24"/>
                <w:lang w:val="es-ES"/>
              </w:rPr>
            </w:pPr>
            <w:r w:rsidRPr="00DF71D5">
              <w:rPr>
                <w:rFonts w:ascii="Arial" w:hAnsi="Arial" w:cs="Arial"/>
                <w:b/>
                <w:bCs/>
                <w:sz w:val="24"/>
                <w:szCs w:val="24"/>
                <w:lang w:val="es-ES"/>
              </w:rPr>
              <w:t>Channels</w:t>
            </w:r>
          </w:p>
        </w:tc>
      </w:tr>
      <w:tr w:rsidR="00DF71D5" w:rsidRPr="00DF71D5" w14:paraId="3F6DF918" w14:textId="77777777">
        <w:trPr>
          <w:tblCellSpacing w:w="15" w:type="dxa"/>
        </w:trPr>
        <w:tc>
          <w:tcPr>
            <w:tcW w:w="0" w:type="auto"/>
            <w:vAlign w:val="center"/>
            <w:hideMark/>
          </w:tcPr>
          <w:p w14:paraId="181EBB46"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Patients</w:t>
            </w:r>
          </w:p>
        </w:tc>
        <w:tc>
          <w:tcPr>
            <w:tcW w:w="0" w:type="auto"/>
            <w:vAlign w:val="center"/>
            <w:hideMark/>
          </w:tcPr>
          <w:p w14:paraId="6E032CB7"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Privacy, usability, access</w:t>
            </w:r>
          </w:p>
        </w:tc>
        <w:tc>
          <w:tcPr>
            <w:tcW w:w="0" w:type="auto"/>
            <w:vAlign w:val="center"/>
            <w:hideMark/>
          </w:tcPr>
          <w:p w14:paraId="0AD762D8"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User feedback, data sharing</w:t>
            </w:r>
          </w:p>
        </w:tc>
        <w:tc>
          <w:tcPr>
            <w:tcW w:w="0" w:type="auto"/>
            <w:vAlign w:val="center"/>
            <w:hideMark/>
          </w:tcPr>
          <w:p w14:paraId="03F79D6A"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Digital literacy, trust</w:t>
            </w:r>
          </w:p>
        </w:tc>
        <w:tc>
          <w:tcPr>
            <w:tcW w:w="0" w:type="auto"/>
            <w:vAlign w:val="center"/>
            <w:hideMark/>
          </w:tcPr>
          <w:p w14:paraId="4D5E8DAD"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App, focus groups, surveys</w:t>
            </w:r>
          </w:p>
        </w:tc>
      </w:tr>
      <w:tr w:rsidR="00DF71D5" w:rsidRPr="00DF71D5" w14:paraId="07EA430C" w14:textId="77777777">
        <w:trPr>
          <w:tblCellSpacing w:w="15" w:type="dxa"/>
        </w:trPr>
        <w:tc>
          <w:tcPr>
            <w:tcW w:w="0" w:type="auto"/>
            <w:vAlign w:val="center"/>
            <w:hideMark/>
          </w:tcPr>
          <w:p w14:paraId="78F9DFFD"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Clinicians</w:t>
            </w:r>
          </w:p>
        </w:tc>
        <w:tc>
          <w:tcPr>
            <w:tcW w:w="0" w:type="auto"/>
            <w:vAlign w:val="center"/>
            <w:hideMark/>
          </w:tcPr>
          <w:p w14:paraId="2512D7A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Workflow impact, data accuracy</w:t>
            </w:r>
          </w:p>
        </w:tc>
        <w:tc>
          <w:tcPr>
            <w:tcW w:w="0" w:type="auto"/>
            <w:vAlign w:val="center"/>
            <w:hideMark/>
          </w:tcPr>
          <w:p w14:paraId="5EE92844"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Clinical validation, training</w:t>
            </w:r>
          </w:p>
        </w:tc>
        <w:tc>
          <w:tcPr>
            <w:tcW w:w="0" w:type="auto"/>
            <w:vAlign w:val="center"/>
            <w:hideMark/>
          </w:tcPr>
          <w:p w14:paraId="31BAB4C9"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Time, workload</w:t>
            </w:r>
          </w:p>
        </w:tc>
        <w:tc>
          <w:tcPr>
            <w:tcW w:w="0" w:type="auto"/>
            <w:vAlign w:val="center"/>
            <w:hideMark/>
          </w:tcPr>
          <w:p w14:paraId="62B6551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Workshops, training, email</w:t>
            </w:r>
          </w:p>
        </w:tc>
      </w:tr>
      <w:tr w:rsidR="00DF71D5" w:rsidRPr="00DF71D5" w14:paraId="652F6F73" w14:textId="77777777">
        <w:trPr>
          <w:tblCellSpacing w:w="15" w:type="dxa"/>
        </w:trPr>
        <w:tc>
          <w:tcPr>
            <w:tcW w:w="0" w:type="auto"/>
            <w:vAlign w:val="center"/>
            <w:hideMark/>
          </w:tcPr>
          <w:p w14:paraId="411ADCFB"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Regulators</w:t>
            </w:r>
          </w:p>
        </w:tc>
        <w:tc>
          <w:tcPr>
            <w:tcW w:w="0" w:type="auto"/>
            <w:vAlign w:val="center"/>
            <w:hideMark/>
          </w:tcPr>
          <w:p w14:paraId="3E9C56C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Safety, compliance, reporting</w:t>
            </w:r>
          </w:p>
        </w:tc>
        <w:tc>
          <w:tcPr>
            <w:tcW w:w="0" w:type="auto"/>
            <w:vAlign w:val="center"/>
            <w:hideMark/>
          </w:tcPr>
          <w:p w14:paraId="0EBB23E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Guidance, approval</w:t>
            </w:r>
          </w:p>
        </w:tc>
        <w:tc>
          <w:tcPr>
            <w:tcW w:w="0" w:type="auto"/>
            <w:vAlign w:val="center"/>
            <w:hideMark/>
          </w:tcPr>
          <w:p w14:paraId="3C5E4E68"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Regulatory timelines</w:t>
            </w:r>
          </w:p>
        </w:tc>
        <w:tc>
          <w:tcPr>
            <w:tcW w:w="0" w:type="auto"/>
            <w:vAlign w:val="center"/>
            <w:hideMark/>
          </w:tcPr>
          <w:p w14:paraId="08F2C9AC"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Meetings, documentation</w:t>
            </w:r>
          </w:p>
        </w:tc>
      </w:tr>
      <w:tr w:rsidR="00DF71D5" w:rsidRPr="00DF71D5" w14:paraId="1CA4EE4D" w14:textId="77777777">
        <w:trPr>
          <w:tblCellSpacing w:w="15" w:type="dxa"/>
        </w:trPr>
        <w:tc>
          <w:tcPr>
            <w:tcW w:w="0" w:type="auto"/>
            <w:vAlign w:val="center"/>
            <w:hideMark/>
          </w:tcPr>
          <w:p w14:paraId="67D36FC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Payers</w:t>
            </w:r>
          </w:p>
        </w:tc>
        <w:tc>
          <w:tcPr>
            <w:tcW w:w="0" w:type="auto"/>
            <w:vAlign w:val="center"/>
            <w:hideMark/>
          </w:tcPr>
          <w:p w14:paraId="35753AA8"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Cost-effectiveness, outcomes</w:t>
            </w:r>
          </w:p>
        </w:tc>
        <w:tc>
          <w:tcPr>
            <w:tcW w:w="0" w:type="auto"/>
            <w:vAlign w:val="center"/>
            <w:hideMark/>
          </w:tcPr>
          <w:p w14:paraId="6D580C6E"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Reimbursement input</w:t>
            </w:r>
          </w:p>
        </w:tc>
        <w:tc>
          <w:tcPr>
            <w:tcW w:w="0" w:type="auto"/>
            <w:vAlign w:val="center"/>
            <w:hideMark/>
          </w:tcPr>
          <w:p w14:paraId="65E1CA26"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Budget constraints</w:t>
            </w:r>
          </w:p>
        </w:tc>
        <w:tc>
          <w:tcPr>
            <w:tcW w:w="0" w:type="auto"/>
            <w:vAlign w:val="center"/>
            <w:hideMark/>
          </w:tcPr>
          <w:p w14:paraId="22150D1E"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Reports, presentations</w:t>
            </w:r>
          </w:p>
        </w:tc>
      </w:tr>
      <w:tr w:rsidR="00DF71D5" w:rsidRPr="00DF71D5" w14:paraId="00354AB9" w14:textId="77777777">
        <w:trPr>
          <w:tblCellSpacing w:w="15" w:type="dxa"/>
        </w:trPr>
        <w:tc>
          <w:tcPr>
            <w:tcW w:w="0" w:type="auto"/>
            <w:vAlign w:val="center"/>
            <w:hideMark/>
          </w:tcPr>
          <w:p w14:paraId="7E56AE8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Suppliers</w:t>
            </w:r>
          </w:p>
        </w:tc>
        <w:tc>
          <w:tcPr>
            <w:tcW w:w="0" w:type="auto"/>
            <w:vAlign w:val="center"/>
            <w:hideMark/>
          </w:tcPr>
          <w:p w14:paraId="5E715CFC"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Volume, quality, sustainability</w:t>
            </w:r>
          </w:p>
        </w:tc>
        <w:tc>
          <w:tcPr>
            <w:tcW w:w="0" w:type="auto"/>
            <w:vAlign w:val="center"/>
            <w:hideMark/>
          </w:tcPr>
          <w:p w14:paraId="3E090C62"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Manufacturing, logistics</w:t>
            </w:r>
          </w:p>
        </w:tc>
        <w:tc>
          <w:tcPr>
            <w:tcW w:w="0" w:type="auto"/>
            <w:vAlign w:val="center"/>
            <w:hideMark/>
          </w:tcPr>
          <w:p w14:paraId="7C2CE776"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Capacity, compliance</w:t>
            </w:r>
          </w:p>
        </w:tc>
        <w:tc>
          <w:tcPr>
            <w:tcW w:w="0" w:type="auto"/>
            <w:vAlign w:val="center"/>
            <w:hideMark/>
          </w:tcPr>
          <w:p w14:paraId="61B88E3B"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Contracts, audits</w:t>
            </w:r>
          </w:p>
        </w:tc>
      </w:tr>
      <w:tr w:rsidR="00DF71D5" w:rsidRPr="00DF71D5" w14:paraId="5C03128A" w14:textId="77777777">
        <w:trPr>
          <w:tblCellSpacing w:w="15" w:type="dxa"/>
        </w:trPr>
        <w:tc>
          <w:tcPr>
            <w:tcW w:w="0" w:type="auto"/>
            <w:vAlign w:val="center"/>
            <w:hideMark/>
          </w:tcPr>
          <w:p w14:paraId="17805428"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Technology Partners</w:t>
            </w:r>
          </w:p>
        </w:tc>
        <w:tc>
          <w:tcPr>
            <w:tcW w:w="0" w:type="auto"/>
            <w:vAlign w:val="center"/>
            <w:hideMark/>
          </w:tcPr>
          <w:p w14:paraId="312937CF"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Integration, security</w:t>
            </w:r>
          </w:p>
        </w:tc>
        <w:tc>
          <w:tcPr>
            <w:tcW w:w="0" w:type="auto"/>
            <w:vAlign w:val="center"/>
            <w:hideMark/>
          </w:tcPr>
          <w:p w14:paraId="154EC7AA"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Infrastructure, analytics</w:t>
            </w:r>
          </w:p>
        </w:tc>
        <w:tc>
          <w:tcPr>
            <w:tcW w:w="0" w:type="auto"/>
            <w:vAlign w:val="center"/>
            <w:hideMark/>
          </w:tcPr>
          <w:p w14:paraId="0A4E8B0B"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Technical compatibility</w:t>
            </w:r>
          </w:p>
        </w:tc>
        <w:tc>
          <w:tcPr>
            <w:tcW w:w="0" w:type="auto"/>
            <w:vAlign w:val="center"/>
            <w:hideMark/>
          </w:tcPr>
          <w:p w14:paraId="0238E703"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sz w:val="24"/>
                <w:szCs w:val="24"/>
                <w:lang w:val="es-ES"/>
              </w:rPr>
              <w:t>APIs, dashboards, meetings</w:t>
            </w:r>
          </w:p>
        </w:tc>
      </w:tr>
    </w:tbl>
    <w:p w14:paraId="7CEB17AA" w14:textId="77777777" w:rsidR="00DF71D5" w:rsidRPr="00DF71D5" w:rsidRDefault="00DF71D5" w:rsidP="00923C12">
      <w:pPr>
        <w:spacing w:line="360" w:lineRule="auto"/>
        <w:rPr>
          <w:rFonts w:ascii="Arial" w:hAnsi="Arial" w:cs="Arial"/>
          <w:sz w:val="24"/>
          <w:szCs w:val="24"/>
          <w:lang w:val="es-ES"/>
        </w:rPr>
      </w:pPr>
      <w:r w:rsidRPr="00DF71D5">
        <w:rPr>
          <w:rFonts w:ascii="Arial" w:hAnsi="Arial" w:cs="Arial"/>
          <w:b/>
          <w:bCs/>
          <w:sz w:val="24"/>
          <w:szCs w:val="24"/>
          <w:lang w:val="es-ES"/>
        </w:rPr>
        <w:t>Application:</w:t>
      </w:r>
    </w:p>
    <w:p w14:paraId="61F7DC4D" w14:textId="77777777" w:rsidR="00DF71D5" w:rsidRPr="00DF71D5" w:rsidRDefault="00DF71D5">
      <w:pPr>
        <w:numPr>
          <w:ilvl w:val="0"/>
          <w:numId w:val="16"/>
        </w:numPr>
        <w:spacing w:line="360" w:lineRule="auto"/>
        <w:rPr>
          <w:rFonts w:ascii="Arial" w:hAnsi="Arial" w:cs="Arial"/>
          <w:sz w:val="24"/>
          <w:szCs w:val="24"/>
        </w:rPr>
      </w:pPr>
      <w:r w:rsidRPr="00DF71D5">
        <w:rPr>
          <w:rFonts w:ascii="Arial" w:hAnsi="Arial" w:cs="Arial"/>
          <w:b/>
          <w:bCs/>
          <w:sz w:val="24"/>
          <w:szCs w:val="24"/>
        </w:rPr>
        <w:t>Concerns:</w:t>
      </w:r>
      <w:r w:rsidRPr="00DF71D5">
        <w:rPr>
          <w:rFonts w:ascii="Arial" w:hAnsi="Arial" w:cs="Arial"/>
          <w:sz w:val="24"/>
          <w:szCs w:val="24"/>
        </w:rPr>
        <w:t xml:space="preserve"> Identify and address stakeholder worries.</w:t>
      </w:r>
    </w:p>
    <w:p w14:paraId="7CCB6670" w14:textId="77777777" w:rsidR="00DF71D5" w:rsidRPr="00DF71D5" w:rsidRDefault="00DF71D5">
      <w:pPr>
        <w:numPr>
          <w:ilvl w:val="0"/>
          <w:numId w:val="16"/>
        </w:numPr>
        <w:spacing w:line="360" w:lineRule="auto"/>
        <w:rPr>
          <w:rFonts w:ascii="Arial" w:hAnsi="Arial" w:cs="Arial"/>
          <w:sz w:val="24"/>
          <w:szCs w:val="24"/>
        </w:rPr>
      </w:pPr>
      <w:r w:rsidRPr="00DF71D5">
        <w:rPr>
          <w:rFonts w:ascii="Arial" w:hAnsi="Arial" w:cs="Arial"/>
          <w:b/>
          <w:bCs/>
          <w:sz w:val="24"/>
          <w:szCs w:val="24"/>
        </w:rPr>
        <w:t>Contributions:</w:t>
      </w:r>
      <w:r w:rsidRPr="00DF71D5">
        <w:rPr>
          <w:rFonts w:ascii="Arial" w:hAnsi="Arial" w:cs="Arial"/>
          <w:sz w:val="24"/>
          <w:szCs w:val="24"/>
        </w:rPr>
        <w:t xml:space="preserve"> Leverage expertise and resources.</w:t>
      </w:r>
    </w:p>
    <w:p w14:paraId="2225C92E" w14:textId="77777777" w:rsidR="00DF71D5" w:rsidRPr="00DF71D5" w:rsidRDefault="00DF71D5">
      <w:pPr>
        <w:numPr>
          <w:ilvl w:val="0"/>
          <w:numId w:val="16"/>
        </w:numPr>
        <w:spacing w:line="360" w:lineRule="auto"/>
        <w:rPr>
          <w:rFonts w:ascii="Arial" w:hAnsi="Arial" w:cs="Arial"/>
          <w:sz w:val="24"/>
          <w:szCs w:val="24"/>
        </w:rPr>
      </w:pPr>
      <w:r w:rsidRPr="00DF71D5">
        <w:rPr>
          <w:rFonts w:ascii="Arial" w:hAnsi="Arial" w:cs="Arial"/>
          <w:b/>
          <w:bCs/>
          <w:sz w:val="24"/>
          <w:szCs w:val="24"/>
        </w:rPr>
        <w:t>Constraints:</w:t>
      </w:r>
      <w:r w:rsidRPr="00DF71D5">
        <w:rPr>
          <w:rFonts w:ascii="Arial" w:hAnsi="Arial" w:cs="Arial"/>
          <w:sz w:val="24"/>
          <w:szCs w:val="24"/>
        </w:rPr>
        <w:t xml:space="preserve"> Recognize and mitigate barriers.</w:t>
      </w:r>
    </w:p>
    <w:p w14:paraId="1EA3B22B" w14:textId="77777777" w:rsidR="00DF71D5" w:rsidRPr="00DF71D5" w:rsidRDefault="00DF71D5">
      <w:pPr>
        <w:numPr>
          <w:ilvl w:val="0"/>
          <w:numId w:val="16"/>
        </w:numPr>
        <w:spacing w:line="360" w:lineRule="auto"/>
        <w:rPr>
          <w:rFonts w:ascii="Arial" w:hAnsi="Arial" w:cs="Arial"/>
          <w:sz w:val="24"/>
          <w:szCs w:val="24"/>
        </w:rPr>
      </w:pPr>
      <w:r w:rsidRPr="00DF71D5">
        <w:rPr>
          <w:rFonts w:ascii="Arial" w:hAnsi="Arial" w:cs="Arial"/>
          <w:b/>
          <w:bCs/>
          <w:sz w:val="24"/>
          <w:szCs w:val="24"/>
        </w:rPr>
        <w:t>Channels:</w:t>
      </w:r>
      <w:r w:rsidRPr="00DF71D5">
        <w:rPr>
          <w:rFonts w:ascii="Arial" w:hAnsi="Arial" w:cs="Arial"/>
          <w:sz w:val="24"/>
          <w:szCs w:val="24"/>
        </w:rPr>
        <w:t xml:space="preserve"> Use appropriate communication methods.</w:t>
      </w:r>
    </w:p>
    <w:p w14:paraId="08F6E7E7" w14:textId="77777777" w:rsidR="00DF71D5" w:rsidRPr="00DF71D5" w:rsidRDefault="00DF71D5" w:rsidP="00923C12">
      <w:pPr>
        <w:spacing w:line="360" w:lineRule="auto"/>
        <w:rPr>
          <w:rFonts w:ascii="Arial" w:hAnsi="Arial" w:cs="Arial"/>
          <w:sz w:val="24"/>
          <w:szCs w:val="24"/>
        </w:rPr>
      </w:pPr>
      <w:r w:rsidRPr="00DF71D5">
        <w:rPr>
          <w:rFonts w:ascii="Arial" w:hAnsi="Arial" w:cs="Arial"/>
          <w:sz w:val="24"/>
          <w:szCs w:val="24"/>
        </w:rPr>
        <w:t>This model ensures engagement is targeted, relevant, and effective.</w:t>
      </w:r>
    </w:p>
    <w:p w14:paraId="032B38F3" w14:textId="549FBA0A" w:rsidR="00DF71D5" w:rsidRPr="00FC6067" w:rsidRDefault="00DF71D5" w:rsidP="00DF71D5">
      <w:pPr>
        <w:spacing w:line="360" w:lineRule="auto"/>
        <w:rPr>
          <w:rFonts w:ascii="Arial" w:hAnsi="Arial" w:cs="Arial"/>
          <w:sz w:val="24"/>
          <w:szCs w:val="24"/>
        </w:rPr>
      </w:pPr>
    </w:p>
    <w:p w14:paraId="2C348650" w14:textId="24926B2C" w:rsidR="00DF71D5" w:rsidRPr="00DF71D5" w:rsidRDefault="0072723E" w:rsidP="00DF71D5">
      <w:pPr>
        <w:spacing w:line="360" w:lineRule="auto"/>
        <w:rPr>
          <w:rFonts w:ascii="Arial" w:hAnsi="Arial" w:cs="Arial"/>
          <w:b/>
          <w:bCs/>
          <w:sz w:val="36"/>
          <w:szCs w:val="36"/>
        </w:rPr>
      </w:pPr>
      <w:r>
        <w:rPr>
          <w:rFonts w:ascii="Arial" w:hAnsi="Arial" w:cs="Arial"/>
          <w:b/>
          <w:bCs/>
          <w:sz w:val="36"/>
          <w:szCs w:val="36"/>
          <w:highlight w:val="yellow"/>
        </w:rPr>
        <w:lastRenderedPageBreak/>
        <w:t xml:space="preserve">4.0 </w:t>
      </w:r>
      <w:r w:rsidR="00DF71D5" w:rsidRPr="00DF71D5">
        <w:rPr>
          <w:rFonts w:ascii="Arial" w:hAnsi="Arial" w:cs="Arial"/>
          <w:b/>
          <w:bCs/>
          <w:sz w:val="36"/>
          <w:szCs w:val="36"/>
          <w:highlight w:val="yellow"/>
        </w:rPr>
        <w:t>Role of the Project Manager in Stakeholder Engagement</w:t>
      </w:r>
    </w:p>
    <w:p w14:paraId="76118234"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project manager is the linchpin of stakeholder engagement. In AstraZeneca’s wearable device launch, the project manager’s role is defined by clarity, discipline, and adaptability.</w:t>
      </w:r>
    </w:p>
    <w:p w14:paraId="18BCFF40"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Key Responsibilities:</w:t>
      </w:r>
    </w:p>
    <w:p w14:paraId="2599058E"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Stakeholder Mapping:</w:t>
      </w:r>
      <w:r w:rsidRPr="00DF71D5">
        <w:rPr>
          <w:rFonts w:ascii="Arial" w:hAnsi="Arial" w:cs="Arial"/>
          <w:sz w:val="24"/>
          <w:szCs w:val="24"/>
        </w:rPr>
        <w:t xml:space="preserve"> Identify, categorize, and prioritize stakeholders using structured tools.</w:t>
      </w:r>
    </w:p>
    <w:p w14:paraId="7A76E11D"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Planning and Coordination:</w:t>
      </w:r>
      <w:r w:rsidRPr="00DF71D5">
        <w:rPr>
          <w:rFonts w:ascii="Arial" w:hAnsi="Arial" w:cs="Arial"/>
          <w:sz w:val="24"/>
          <w:szCs w:val="24"/>
        </w:rPr>
        <w:t xml:space="preserve"> Develop detailed project plans, set milestones, and align activities with SMART objectives.</w:t>
      </w:r>
    </w:p>
    <w:p w14:paraId="3DA70F25" w14:textId="77777777" w:rsidR="00DF71D5" w:rsidRPr="00DF71D5" w:rsidRDefault="00DF71D5">
      <w:pPr>
        <w:numPr>
          <w:ilvl w:val="0"/>
          <w:numId w:val="17"/>
        </w:numPr>
        <w:spacing w:line="360" w:lineRule="auto"/>
        <w:rPr>
          <w:rFonts w:ascii="Arial" w:hAnsi="Arial" w:cs="Arial"/>
          <w:sz w:val="24"/>
          <w:szCs w:val="24"/>
          <w:lang w:val="es-ES"/>
        </w:rPr>
      </w:pPr>
      <w:r w:rsidRPr="00DF71D5">
        <w:rPr>
          <w:rFonts w:ascii="Arial" w:hAnsi="Arial" w:cs="Arial"/>
          <w:b/>
          <w:bCs/>
          <w:sz w:val="24"/>
          <w:szCs w:val="24"/>
        </w:rPr>
        <w:t>Communication:</w:t>
      </w:r>
      <w:r w:rsidRPr="00DF71D5">
        <w:rPr>
          <w:rFonts w:ascii="Arial" w:hAnsi="Arial" w:cs="Arial"/>
          <w:sz w:val="24"/>
          <w:szCs w:val="24"/>
        </w:rPr>
        <w:t xml:space="preserve"> Serve as the primary point of contact, delivering clear, timely, and honest updates. </w:t>
      </w:r>
      <w:r w:rsidRPr="00DF71D5">
        <w:rPr>
          <w:rFonts w:ascii="Arial" w:hAnsi="Arial" w:cs="Arial"/>
          <w:sz w:val="24"/>
          <w:szCs w:val="24"/>
          <w:lang w:val="es-ES"/>
        </w:rPr>
        <w:t>Tailor messages to audience needs and preferences.</w:t>
      </w:r>
    </w:p>
    <w:p w14:paraId="4CFCD0CA"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Expectation Management:</w:t>
      </w:r>
      <w:r w:rsidRPr="00DF71D5">
        <w:rPr>
          <w:rFonts w:ascii="Arial" w:hAnsi="Arial" w:cs="Arial"/>
          <w:sz w:val="24"/>
          <w:szCs w:val="24"/>
        </w:rPr>
        <w:t xml:space="preserve"> Set realistic goals, manage scope, and address concerns proactively.</w:t>
      </w:r>
    </w:p>
    <w:p w14:paraId="19E2A0C3"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Risk Management:</w:t>
      </w:r>
      <w:r w:rsidRPr="00DF71D5">
        <w:rPr>
          <w:rFonts w:ascii="Arial" w:hAnsi="Arial" w:cs="Arial"/>
          <w:sz w:val="24"/>
          <w:szCs w:val="24"/>
        </w:rPr>
        <w:t xml:space="preserve"> Anticipate and mitigate risks related to engagement, compliance, and delivery.</w:t>
      </w:r>
    </w:p>
    <w:p w14:paraId="263E2857"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Continuous Improvement:</w:t>
      </w:r>
      <w:r w:rsidRPr="00DF71D5">
        <w:rPr>
          <w:rFonts w:ascii="Arial" w:hAnsi="Arial" w:cs="Arial"/>
          <w:sz w:val="24"/>
          <w:szCs w:val="24"/>
        </w:rPr>
        <w:t xml:space="preserve"> Capture lessons learned, implement feedback, and refine processes.</w:t>
      </w:r>
    </w:p>
    <w:p w14:paraId="399E60BB"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Change Leadership:</w:t>
      </w:r>
      <w:r w:rsidRPr="00DF71D5">
        <w:rPr>
          <w:rFonts w:ascii="Arial" w:hAnsi="Arial" w:cs="Arial"/>
          <w:sz w:val="24"/>
          <w:szCs w:val="24"/>
        </w:rPr>
        <w:t xml:space="preserve"> Champion adoption, manage resistance, and foster a culture of collaboration.</w:t>
      </w:r>
    </w:p>
    <w:p w14:paraId="0BF1B895" w14:textId="77777777" w:rsidR="00DF71D5" w:rsidRPr="00DF71D5" w:rsidRDefault="00DF71D5">
      <w:pPr>
        <w:numPr>
          <w:ilvl w:val="0"/>
          <w:numId w:val="17"/>
        </w:numPr>
        <w:spacing w:line="360" w:lineRule="auto"/>
        <w:rPr>
          <w:rFonts w:ascii="Arial" w:hAnsi="Arial" w:cs="Arial"/>
          <w:sz w:val="24"/>
          <w:szCs w:val="24"/>
        </w:rPr>
      </w:pPr>
      <w:r w:rsidRPr="00DF71D5">
        <w:rPr>
          <w:rFonts w:ascii="Arial" w:hAnsi="Arial" w:cs="Arial"/>
          <w:b/>
          <w:bCs/>
          <w:sz w:val="24"/>
          <w:szCs w:val="24"/>
        </w:rPr>
        <w:t>Compliance:</w:t>
      </w:r>
      <w:r w:rsidRPr="00DF71D5">
        <w:rPr>
          <w:rFonts w:ascii="Arial" w:hAnsi="Arial" w:cs="Arial"/>
          <w:sz w:val="24"/>
          <w:szCs w:val="24"/>
        </w:rPr>
        <w:t xml:space="preserve"> Ensure adherence to regulatory, ethical, and organizational standards.</w:t>
      </w:r>
    </w:p>
    <w:p w14:paraId="5342ED04"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project manager must balance operational execution with strategic vision. Success depends on building trust, maintaining momentum, and delivering value to all stakeholders.</w:t>
      </w:r>
    </w:p>
    <w:p w14:paraId="498B97D5" w14:textId="0EB1039A" w:rsidR="00DF71D5" w:rsidRPr="00FC6067" w:rsidRDefault="00DF71D5" w:rsidP="00DF71D5">
      <w:pPr>
        <w:spacing w:line="360" w:lineRule="auto"/>
        <w:rPr>
          <w:rFonts w:ascii="Arial" w:hAnsi="Arial" w:cs="Arial"/>
          <w:sz w:val="24"/>
          <w:szCs w:val="24"/>
        </w:rPr>
      </w:pPr>
    </w:p>
    <w:p w14:paraId="3D6DF4AC" w14:textId="77777777" w:rsidR="0077767C" w:rsidRDefault="0077767C" w:rsidP="00DF71D5">
      <w:pPr>
        <w:spacing w:line="360" w:lineRule="auto"/>
        <w:rPr>
          <w:rFonts w:ascii="Arial" w:hAnsi="Arial" w:cs="Arial"/>
          <w:b/>
          <w:bCs/>
          <w:sz w:val="24"/>
          <w:szCs w:val="24"/>
        </w:rPr>
      </w:pPr>
    </w:p>
    <w:p w14:paraId="0B4C9701" w14:textId="1E2B5386" w:rsidR="00DF71D5" w:rsidRPr="00DF71D5" w:rsidRDefault="0072723E" w:rsidP="00DF71D5">
      <w:pPr>
        <w:spacing w:line="360" w:lineRule="auto"/>
        <w:rPr>
          <w:rFonts w:ascii="Arial" w:hAnsi="Arial" w:cs="Arial"/>
          <w:b/>
          <w:bCs/>
          <w:sz w:val="36"/>
          <w:szCs w:val="36"/>
        </w:rPr>
      </w:pPr>
      <w:r>
        <w:rPr>
          <w:rFonts w:ascii="Arial" w:hAnsi="Arial" w:cs="Arial"/>
          <w:b/>
          <w:bCs/>
          <w:sz w:val="36"/>
          <w:szCs w:val="36"/>
          <w:highlight w:val="yellow"/>
        </w:rPr>
        <w:lastRenderedPageBreak/>
        <w:t xml:space="preserve">4.1 </w:t>
      </w:r>
      <w:r w:rsidR="00DF71D5" w:rsidRPr="00DF71D5">
        <w:rPr>
          <w:rFonts w:ascii="Arial" w:hAnsi="Arial" w:cs="Arial"/>
          <w:b/>
          <w:bCs/>
          <w:sz w:val="36"/>
          <w:szCs w:val="36"/>
          <w:highlight w:val="yellow"/>
        </w:rPr>
        <w:t>Communication Plan and Engagement Levels</w:t>
      </w:r>
    </w:p>
    <w:p w14:paraId="1449C5ED"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 robust communication plan is essential for effective stakeholder engagement. It defines audiences, messages, channels, frequency, and feedback mechanisms.</w:t>
      </w:r>
    </w:p>
    <w:p w14:paraId="6D3AD04A" w14:textId="77777777" w:rsidR="00DF71D5" w:rsidRPr="00DF71D5" w:rsidRDefault="00DF71D5" w:rsidP="00DF71D5">
      <w:pPr>
        <w:spacing w:line="360" w:lineRule="auto"/>
        <w:rPr>
          <w:rFonts w:ascii="Arial" w:hAnsi="Arial" w:cs="Arial"/>
          <w:sz w:val="24"/>
          <w:szCs w:val="24"/>
        </w:rPr>
      </w:pPr>
      <w:r w:rsidRPr="00DF71D5">
        <w:rPr>
          <w:rFonts w:ascii="Arial" w:hAnsi="Arial" w:cs="Arial"/>
          <w:b/>
          <w:bCs/>
          <w:sz w:val="24"/>
          <w:szCs w:val="24"/>
        </w:rPr>
        <w:t>Core Elements:</w:t>
      </w:r>
    </w:p>
    <w:p w14:paraId="045593C2" w14:textId="58B47DC6"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Audience Segmentation:</w:t>
      </w:r>
      <w:r w:rsidRPr="00DF71D5">
        <w:rPr>
          <w:rFonts w:ascii="Arial" w:hAnsi="Arial" w:cs="Arial"/>
          <w:sz w:val="24"/>
          <w:szCs w:val="24"/>
        </w:rPr>
        <w:t xml:space="preserve"> Tailor communication to stakeholder groups</w:t>
      </w:r>
      <w:r w:rsidR="007A502D">
        <w:rPr>
          <w:rFonts w:ascii="Arial" w:hAnsi="Arial" w:cs="Arial"/>
          <w:sz w:val="24"/>
          <w:szCs w:val="24"/>
        </w:rPr>
        <w:t xml:space="preserve"> </w:t>
      </w:r>
      <w:r w:rsidRPr="00DF71D5">
        <w:rPr>
          <w:rFonts w:ascii="Arial" w:hAnsi="Arial" w:cs="Arial"/>
          <w:sz w:val="24"/>
          <w:szCs w:val="24"/>
        </w:rPr>
        <w:t>executives, clinicians, patients, regulators, partners.</w:t>
      </w:r>
    </w:p>
    <w:p w14:paraId="62122A1A" w14:textId="77777777"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Key Messages:</w:t>
      </w:r>
      <w:r w:rsidRPr="00DF71D5">
        <w:rPr>
          <w:rFonts w:ascii="Arial" w:hAnsi="Arial" w:cs="Arial"/>
          <w:sz w:val="24"/>
          <w:szCs w:val="24"/>
        </w:rPr>
        <w:t xml:space="preserve"> Focus on value propositions, progress updates, risk mitigation, and calls to action.</w:t>
      </w:r>
    </w:p>
    <w:p w14:paraId="6DE62339" w14:textId="77777777"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Channels:</w:t>
      </w:r>
      <w:r w:rsidRPr="00DF71D5">
        <w:rPr>
          <w:rFonts w:ascii="Arial" w:hAnsi="Arial" w:cs="Arial"/>
          <w:sz w:val="24"/>
          <w:szCs w:val="24"/>
        </w:rPr>
        <w:t xml:space="preserve"> Use a mix of targeted (meetings, workshops, emails) and general (newsletters, social media, webinars) channels.</w:t>
      </w:r>
    </w:p>
    <w:p w14:paraId="30E2449C" w14:textId="7508CE54"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Frequency:</w:t>
      </w:r>
      <w:r w:rsidRPr="00DF71D5">
        <w:rPr>
          <w:rFonts w:ascii="Arial" w:hAnsi="Arial" w:cs="Arial"/>
          <w:sz w:val="24"/>
          <w:szCs w:val="24"/>
        </w:rPr>
        <w:t xml:space="preserve"> Set regular touchpoints</w:t>
      </w:r>
      <w:r w:rsidR="007A502D">
        <w:rPr>
          <w:rFonts w:ascii="Arial" w:hAnsi="Arial" w:cs="Arial"/>
          <w:sz w:val="24"/>
          <w:szCs w:val="24"/>
        </w:rPr>
        <w:t xml:space="preserve"> </w:t>
      </w:r>
      <w:r w:rsidRPr="00DF71D5">
        <w:rPr>
          <w:rFonts w:ascii="Arial" w:hAnsi="Arial" w:cs="Arial"/>
          <w:sz w:val="24"/>
          <w:szCs w:val="24"/>
        </w:rPr>
        <w:t>weekly updates for core teams, monthly briefings for executives, quarterly reports for external partners.</w:t>
      </w:r>
    </w:p>
    <w:p w14:paraId="736ED4BC" w14:textId="77777777"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Feedback Loops:</w:t>
      </w:r>
      <w:r w:rsidRPr="00DF71D5">
        <w:rPr>
          <w:rFonts w:ascii="Arial" w:hAnsi="Arial" w:cs="Arial"/>
          <w:sz w:val="24"/>
          <w:szCs w:val="24"/>
        </w:rPr>
        <w:t xml:space="preserve"> Solicit input, address concerns, and adapt strategies based on stakeholder responses.</w:t>
      </w:r>
    </w:p>
    <w:p w14:paraId="7DE415BF" w14:textId="77777777" w:rsidR="00DF71D5" w:rsidRPr="00DF71D5" w:rsidRDefault="00DF71D5">
      <w:pPr>
        <w:numPr>
          <w:ilvl w:val="0"/>
          <w:numId w:val="18"/>
        </w:numPr>
        <w:spacing w:line="360" w:lineRule="auto"/>
        <w:rPr>
          <w:rFonts w:ascii="Arial" w:hAnsi="Arial" w:cs="Arial"/>
          <w:sz w:val="24"/>
          <w:szCs w:val="24"/>
        </w:rPr>
      </w:pPr>
      <w:r w:rsidRPr="00DF71D5">
        <w:rPr>
          <w:rFonts w:ascii="Arial" w:hAnsi="Arial" w:cs="Arial"/>
          <w:b/>
          <w:bCs/>
          <w:sz w:val="24"/>
          <w:szCs w:val="24"/>
        </w:rPr>
        <w:t>Documentation:</w:t>
      </w:r>
      <w:r w:rsidRPr="00DF71D5">
        <w:rPr>
          <w:rFonts w:ascii="Arial" w:hAnsi="Arial" w:cs="Arial"/>
          <w:sz w:val="24"/>
          <w:szCs w:val="24"/>
        </w:rPr>
        <w:t xml:space="preserve"> Track communications, decisions, and actions for transparency and accountability.</w:t>
      </w:r>
    </w:p>
    <w:p w14:paraId="6CEE0397" w14:textId="77777777" w:rsidR="0072723E" w:rsidRPr="00FC6067" w:rsidRDefault="0072723E" w:rsidP="00DF71D5">
      <w:pPr>
        <w:spacing w:line="360" w:lineRule="auto"/>
        <w:rPr>
          <w:rFonts w:ascii="Arial" w:hAnsi="Arial" w:cs="Arial"/>
          <w:b/>
          <w:bCs/>
          <w:sz w:val="24"/>
          <w:szCs w:val="24"/>
        </w:rPr>
      </w:pPr>
    </w:p>
    <w:p w14:paraId="390A16B8" w14:textId="77777777" w:rsidR="0072723E" w:rsidRPr="00FC6067" w:rsidRDefault="0072723E" w:rsidP="00DF71D5">
      <w:pPr>
        <w:spacing w:line="360" w:lineRule="auto"/>
        <w:rPr>
          <w:rFonts w:ascii="Arial" w:hAnsi="Arial" w:cs="Arial"/>
          <w:b/>
          <w:bCs/>
          <w:sz w:val="24"/>
          <w:szCs w:val="24"/>
        </w:rPr>
      </w:pPr>
    </w:p>
    <w:p w14:paraId="1DEDC56A" w14:textId="77777777" w:rsidR="0072723E" w:rsidRPr="00FC6067" w:rsidRDefault="0072723E" w:rsidP="00DF71D5">
      <w:pPr>
        <w:spacing w:line="360" w:lineRule="auto"/>
        <w:rPr>
          <w:rFonts w:ascii="Arial" w:hAnsi="Arial" w:cs="Arial"/>
          <w:b/>
          <w:bCs/>
          <w:sz w:val="24"/>
          <w:szCs w:val="24"/>
        </w:rPr>
      </w:pPr>
    </w:p>
    <w:p w14:paraId="3BF533A1" w14:textId="77777777" w:rsidR="0072723E" w:rsidRPr="00FC6067" w:rsidRDefault="0072723E" w:rsidP="00DF71D5">
      <w:pPr>
        <w:spacing w:line="360" w:lineRule="auto"/>
        <w:rPr>
          <w:rFonts w:ascii="Arial" w:hAnsi="Arial" w:cs="Arial"/>
          <w:b/>
          <w:bCs/>
          <w:sz w:val="24"/>
          <w:szCs w:val="24"/>
        </w:rPr>
      </w:pPr>
    </w:p>
    <w:p w14:paraId="18B12925" w14:textId="77777777" w:rsidR="0072723E" w:rsidRPr="00FC6067" w:rsidRDefault="0072723E" w:rsidP="00DF71D5">
      <w:pPr>
        <w:spacing w:line="360" w:lineRule="auto"/>
        <w:rPr>
          <w:rFonts w:ascii="Arial" w:hAnsi="Arial" w:cs="Arial"/>
          <w:b/>
          <w:bCs/>
          <w:sz w:val="24"/>
          <w:szCs w:val="24"/>
        </w:rPr>
      </w:pPr>
    </w:p>
    <w:p w14:paraId="6A8849DF" w14:textId="77777777" w:rsidR="0072723E" w:rsidRPr="00FC6067" w:rsidRDefault="0072723E" w:rsidP="00DF71D5">
      <w:pPr>
        <w:spacing w:line="360" w:lineRule="auto"/>
        <w:rPr>
          <w:rFonts w:ascii="Arial" w:hAnsi="Arial" w:cs="Arial"/>
          <w:b/>
          <w:bCs/>
          <w:sz w:val="24"/>
          <w:szCs w:val="24"/>
        </w:rPr>
      </w:pPr>
    </w:p>
    <w:p w14:paraId="13DAB7C8" w14:textId="77777777" w:rsidR="0072723E" w:rsidRPr="00FC6067" w:rsidRDefault="0072723E" w:rsidP="00DF71D5">
      <w:pPr>
        <w:spacing w:line="360" w:lineRule="auto"/>
        <w:rPr>
          <w:rFonts w:ascii="Arial" w:hAnsi="Arial" w:cs="Arial"/>
          <w:b/>
          <w:bCs/>
          <w:sz w:val="24"/>
          <w:szCs w:val="24"/>
        </w:rPr>
      </w:pPr>
    </w:p>
    <w:p w14:paraId="6B6FECAC" w14:textId="77777777" w:rsidR="0072723E" w:rsidRPr="00FC6067" w:rsidRDefault="0072723E" w:rsidP="00DF71D5">
      <w:pPr>
        <w:spacing w:line="360" w:lineRule="auto"/>
        <w:rPr>
          <w:rFonts w:ascii="Arial" w:hAnsi="Arial" w:cs="Arial"/>
          <w:b/>
          <w:bCs/>
          <w:sz w:val="24"/>
          <w:szCs w:val="24"/>
        </w:rPr>
      </w:pPr>
    </w:p>
    <w:p w14:paraId="46B54E9A" w14:textId="77777777" w:rsidR="0072723E" w:rsidRPr="00FC6067" w:rsidRDefault="0072723E" w:rsidP="00DF71D5">
      <w:pPr>
        <w:spacing w:line="360" w:lineRule="auto"/>
        <w:rPr>
          <w:rFonts w:ascii="Arial" w:hAnsi="Arial" w:cs="Arial"/>
          <w:b/>
          <w:bCs/>
          <w:sz w:val="24"/>
          <w:szCs w:val="24"/>
        </w:rPr>
      </w:pPr>
    </w:p>
    <w:p w14:paraId="5E561C2E" w14:textId="77777777" w:rsidR="0072723E" w:rsidRPr="00FC6067" w:rsidRDefault="0072723E" w:rsidP="00DF71D5">
      <w:pPr>
        <w:spacing w:line="360" w:lineRule="auto"/>
        <w:rPr>
          <w:rFonts w:ascii="Arial" w:hAnsi="Arial" w:cs="Arial"/>
          <w:b/>
          <w:bCs/>
          <w:sz w:val="24"/>
          <w:szCs w:val="24"/>
        </w:rPr>
      </w:pPr>
    </w:p>
    <w:p w14:paraId="32233E7E" w14:textId="707E94C2" w:rsidR="00DF71D5" w:rsidRPr="00DF71D5" w:rsidRDefault="0072723E" w:rsidP="00DF71D5">
      <w:pPr>
        <w:spacing w:line="360" w:lineRule="auto"/>
        <w:rPr>
          <w:rFonts w:ascii="Arial" w:hAnsi="Arial" w:cs="Arial"/>
          <w:sz w:val="36"/>
          <w:szCs w:val="36"/>
          <w:lang w:val="es-ES"/>
        </w:rPr>
      </w:pPr>
      <w:r>
        <w:rPr>
          <w:rFonts w:ascii="Arial" w:hAnsi="Arial" w:cs="Arial"/>
          <w:b/>
          <w:bCs/>
          <w:sz w:val="36"/>
          <w:szCs w:val="36"/>
          <w:highlight w:val="yellow"/>
          <w:lang w:val="es-ES"/>
        </w:rPr>
        <w:lastRenderedPageBreak/>
        <w:t xml:space="preserve">4.2 </w:t>
      </w:r>
      <w:r w:rsidR="00DF71D5" w:rsidRPr="00DF71D5">
        <w:rPr>
          <w:rFonts w:ascii="Arial" w:hAnsi="Arial" w:cs="Arial"/>
          <w:b/>
          <w:bCs/>
          <w:sz w:val="36"/>
          <w:szCs w:val="36"/>
          <w:highlight w:val="yellow"/>
          <w:lang w:val="es-ES"/>
        </w:rPr>
        <w:t>Engagement Levels:</w:t>
      </w:r>
    </w:p>
    <w:p w14:paraId="0D21363A" w14:textId="77777777" w:rsidR="00DF71D5" w:rsidRPr="00DF71D5" w:rsidRDefault="00DF71D5">
      <w:pPr>
        <w:numPr>
          <w:ilvl w:val="0"/>
          <w:numId w:val="19"/>
        </w:numPr>
        <w:spacing w:line="360" w:lineRule="auto"/>
        <w:rPr>
          <w:rFonts w:ascii="Arial" w:hAnsi="Arial" w:cs="Arial"/>
          <w:sz w:val="24"/>
          <w:szCs w:val="24"/>
        </w:rPr>
      </w:pPr>
      <w:r w:rsidRPr="00DF71D5">
        <w:rPr>
          <w:rFonts w:ascii="Arial" w:hAnsi="Arial" w:cs="Arial"/>
          <w:b/>
          <w:bCs/>
          <w:sz w:val="24"/>
          <w:szCs w:val="24"/>
        </w:rPr>
        <w:t>Inform:</w:t>
      </w:r>
      <w:r w:rsidRPr="00DF71D5">
        <w:rPr>
          <w:rFonts w:ascii="Arial" w:hAnsi="Arial" w:cs="Arial"/>
          <w:sz w:val="24"/>
          <w:szCs w:val="24"/>
        </w:rPr>
        <w:t xml:space="preserve"> Provide information to keep stakeholders aware (e.g., newsletters, dashboards).</w:t>
      </w:r>
    </w:p>
    <w:p w14:paraId="4E2A095D" w14:textId="77777777" w:rsidR="00DF71D5" w:rsidRPr="00DF71D5" w:rsidRDefault="00DF71D5">
      <w:pPr>
        <w:numPr>
          <w:ilvl w:val="0"/>
          <w:numId w:val="19"/>
        </w:numPr>
        <w:spacing w:line="360" w:lineRule="auto"/>
        <w:rPr>
          <w:rFonts w:ascii="Arial" w:hAnsi="Arial" w:cs="Arial"/>
          <w:sz w:val="24"/>
          <w:szCs w:val="24"/>
        </w:rPr>
      </w:pPr>
      <w:r w:rsidRPr="00DF71D5">
        <w:rPr>
          <w:rFonts w:ascii="Arial" w:hAnsi="Arial" w:cs="Arial"/>
          <w:b/>
          <w:bCs/>
          <w:sz w:val="24"/>
          <w:szCs w:val="24"/>
        </w:rPr>
        <w:t>Consult:</w:t>
      </w:r>
      <w:r w:rsidRPr="00DF71D5">
        <w:rPr>
          <w:rFonts w:ascii="Arial" w:hAnsi="Arial" w:cs="Arial"/>
          <w:sz w:val="24"/>
          <w:szCs w:val="24"/>
        </w:rPr>
        <w:t xml:space="preserve"> Seek input and feedback (e.g., surveys, focus groups).</w:t>
      </w:r>
    </w:p>
    <w:p w14:paraId="3DB61AC3" w14:textId="51C6ADE9" w:rsidR="00DF71D5" w:rsidRPr="00DF71D5" w:rsidRDefault="00DF71D5">
      <w:pPr>
        <w:numPr>
          <w:ilvl w:val="0"/>
          <w:numId w:val="19"/>
        </w:numPr>
        <w:spacing w:line="360" w:lineRule="auto"/>
        <w:rPr>
          <w:rFonts w:ascii="Arial" w:hAnsi="Arial" w:cs="Arial"/>
          <w:sz w:val="24"/>
          <w:szCs w:val="24"/>
        </w:rPr>
      </w:pPr>
      <w:r w:rsidRPr="00DF71D5">
        <w:rPr>
          <w:rFonts w:ascii="Arial" w:hAnsi="Arial" w:cs="Arial"/>
          <w:b/>
          <w:bCs/>
          <w:sz w:val="24"/>
          <w:szCs w:val="24"/>
        </w:rPr>
        <w:t>Involve:</w:t>
      </w:r>
      <w:r w:rsidRPr="00DF71D5">
        <w:rPr>
          <w:rFonts w:ascii="Arial" w:hAnsi="Arial" w:cs="Arial"/>
          <w:sz w:val="24"/>
          <w:szCs w:val="24"/>
        </w:rPr>
        <w:t xml:space="preserve"> Engage stakeholders in planning and decision</w:t>
      </w:r>
      <w:r w:rsidR="007A502D">
        <w:rPr>
          <w:rFonts w:ascii="Arial" w:hAnsi="Arial" w:cs="Arial"/>
          <w:sz w:val="24"/>
          <w:szCs w:val="24"/>
        </w:rPr>
        <w:t xml:space="preserve"> </w:t>
      </w:r>
      <w:r w:rsidRPr="00DF71D5">
        <w:rPr>
          <w:rFonts w:ascii="Arial" w:hAnsi="Arial" w:cs="Arial"/>
          <w:sz w:val="24"/>
          <w:szCs w:val="24"/>
        </w:rPr>
        <w:t>making (e.g., workshops, co-design sessions).</w:t>
      </w:r>
    </w:p>
    <w:p w14:paraId="0E2D8CD9" w14:textId="77777777" w:rsidR="00DF71D5" w:rsidRPr="00DF71D5" w:rsidRDefault="00DF71D5">
      <w:pPr>
        <w:numPr>
          <w:ilvl w:val="0"/>
          <w:numId w:val="19"/>
        </w:numPr>
        <w:spacing w:line="360" w:lineRule="auto"/>
        <w:rPr>
          <w:rFonts w:ascii="Arial" w:hAnsi="Arial" w:cs="Arial"/>
          <w:sz w:val="24"/>
          <w:szCs w:val="24"/>
        </w:rPr>
      </w:pPr>
      <w:r w:rsidRPr="00DF71D5">
        <w:rPr>
          <w:rFonts w:ascii="Arial" w:hAnsi="Arial" w:cs="Arial"/>
          <w:b/>
          <w:bCs/>
          <w:sz w:val="24"/>
          <w:szCs w:val="24"/>
        </w:rPr>
        <w:t>Collaborate:</w:t>
      </w:r>
      <w:r w:rsidRPr="00DF71D5">
        <w:rPr>
          <w:rFonts w:ascii="Arial" w:hAnsi="Arial" w:cs="Arial"/>
          <w:sz w:val="24"/>
          <w:szCs w:val="24"/>
        </w:rPr>
        <w:t xml:space="preserve"> Partner with stakeholders for joint problem-solving and implementation.</w:t>
      </w:r>
    </w:p>
    <w:p w14:paraId="04812ACA" w14:textId="77777777" w:rsidR="00DF71D5" w:rsidRPr="00DF71D5" w:rsidRDefault="00DF71D5">
      <w:pPr>
        <w:numPr>
          <w:ilvl w:val="0"/>
          <w:numId w:val="19"/>
        </w:numPr>
        <w:spacing w:line="360" w:lineRule="auto"/>
        <w:rPr>
          <w:rFonts w:ascii="Arial" w:hAnsi="Arial" w:cs="Arial"/>
          <w:sz w:val="24"/>
          <w:szCs w:val="24"/>
        </w:rPr>
      </w:pPr>
      <w:r w:rsidRPr="00DF71D5">
        <w:rPr>
          <w:rFonts w:ascii="Arial" w:hAnsi="Arial" w:cs="Arial"/>
          <w:b/>
          <w:bCs/>
          <w:sz w:val="24"/>
          <w:szCs w:val="24"/>
        </w:rPr>
        <w:t>Empower:</w:t>
      </w:r>
      <w:r w:rsidRPr="00DF71D5">
        <w:rPr>
          <w:rFonts w:ascii="Arial" w:hAnsi="Arial" w:cs="Arial"/>
          <w:sz w:val="24"/>
          <w:szCs w:val="24"/>
        </w:rPr>
        <w:t xml:space="preserve"> Delegate authority for specific decisions or actions.</w:t>
      </w:r>
    </w:p>
    <w:p w14:paraId="6A534592" w14:textId="77777777" w:rsidR="00DF71D5" w:rsidRPr="00DF71D5" w:rsidRDefault="00DF71D5" w:rsidP="00DF71D5">
      <w:pPr>
        <w:spacing w:line="360" w:lineRule="auto"/>
        <w:rPr>
          <w:rFonts w:ascii="Arial" w:hAnsi="Arial" w:cs="Arial"/>
          <w:sz w:val="36"/>
          <w:szCs w:val="36"/>
        </w:rPr>
      </w:pPr>
      <w:r w:rsidRPr="00DF71D5">
        <w:rPr>
          <w:rFonts w:ascii="Arial" w:hAnsi="Arial" w:cs="Arial"/>
          <w:sz w:val="24"/>
          <w:szCs w:val="24"/>
        </w:rPr>
        <w:t>The plan is dynamic, reviewed and updated as the project evolves. Measurement of engagement success includes participation rates, satisfaction surveys, and achievement of communication objectives.</w:t>
      </w:r>
    </w:p>
    <w:p w14:paraId="17A0E91A" w14:textId="3E503E41" w:rsidR="00DF71D5" w:rsidRPr="00FC6067" w:rsidRDefault="00DF71D5" w:rsidP="00DF71D5">
      <w:pPr>
        <w:spacing w:line="360" w:lineRule="auto"/>
        <w:rPr>
          <w:rFonts w:ascii="Arial" w:hAnsi="Arial" w:cs="Arial"/>
          <w:sz w:val="36"/>
          <w:szCs w:val="36"/>
        </w:rPr>
      </w:pPr>
    </w:p>
    <w:p w14:paraId="39F0F7E6" w14:textId="77777777" w:rsidR="0077767C" w:rsidRPr="00FC6067" w:rsidRDefault="0077767C" w:rsidP="00DF71D5">
      <w:pPr>
        <w:spacing w:line="360" w:lineRule="auto"/>
        <w:rPr>
          <w:rFonts w:ascii="Arial" w:hAnsi="Arial" w:cs="Arial"/>
          <w:sz w:val="36"/>
          <w:szCs w:val="36"/>
        </w:rPr>
      </w:pPr>
    </w:p>
    <w:p w14:paraId="2E555693" w14:textId="77777777" w:rsidR="0077767C" w:rsidRPr="00FC6067" w:rsidRDefault="0077767C" w:rsidP="00DF71D5">
      <w:pPr>
        <w:spacing w:line="360" w:lineRule="auto"/>
        <w:rPr>
          <w:rFonts w:ascii="Arial" w:hAnsi="Arial" w:cs="Arial"/>
          <w:sz w:val="36"/>
          <w:szCs w:val="36"/>
        </w:rPr>
      </w:pPr>
    </w:p>
    <w:p w14:paraId="2AC11795" w14:textId="77777777" w:rsidR="0077767C" w:rsidRPr="00FC6067" w:rsidRDefault="0077767C" w:rsidP="00DF71D5">
      <w:pPr>
        <w:spacing w:line="360" w:lineRule="auto"/>
        <w:rPr>
          <w:rFonts w:ascii="Arial" w:hAnsi="Arial" w:cs="Arial"/>
          <w:sz w:val="36"/>
          <w:szCs w:val="36"/>
        </w:rPr>
      </w:pPr>
    </w:p>
    <w:p w14:paraId="773AAF67" w14:textId="77777777" w:rsidR="0077767C" w:rsidRPr="00FC6067" w:rsidRDefault="0077767C" w:rsidP="00DF71D5">
      <w:pPr>
        <w:spacing w:line="360" w:lineRule="auto"/>
        <w:rPr>
          <w:rFonts w:ascii="Arial" w:hAnsi="Arial" w:cs="Arial"/>
          <w:sz w:val="36"/>
          <w:szCs w:val="36"/>
        </w:rPr>
      </w:pPr>
    </w:p>
    <w:p w14:paraId="2C3F7645" w14:textId="77777777" w:rsidR="0077767C" w:rsidRPr="00FC6067" w:rsidRDefault="0077767C" w:rsidP="00DF71D5">
      <w:pPr>
        <w:spacing w:line="360" w:lineRule="auto"/>
        <w:rPr>
          <w:rFonts w:ascii="Arial" w:hAnsi="Arial" w:cs="Arial"/>
          <w:sz w:val="36"/>
          <w:szCs w:val="36"/>
        </w:rPr>
      </w:pPr>
    </w:p>
    <w:p w14:paraId="061DC6EA" w14:textId="77777777" w:rsidR="0077767C" w:rsidRPr="00FC6067" w:rsidRDefault="0077767C" w:rsidP="00DF71D5">
      <w:pPr>
        <w:spacing w:line="360" w:lineRule="auto"/>
        <w:rPr>
          <w:rFonts w:ascii="Arial" w:hAnsi="Arial" w:cs="Arial"/>
          <w:sz w:val="36"/>
          <w:szCs w:val="36"/>
        </w:rPr>
      </w:pPr>
    </w:p>
    <w:p w14:paraId="13F7FE0B" w14:textId="77777777" w:rsidR="0077767C" w:rsidRPr="00FC6067" w:rsidRDefault="0077767C" w:rsidP="00DF71D5">
      <w:pPr>
        <w:spacing w:line="360" w:lineRule="auto"/>
        <w:rPr>
          <w:rFonts w:ascii="Arial" w:hAnsi="Arial" w:cs="Arial"/>
          <w:sz w:val="36"/>
          <w:szCs w:val="36"/>
        </w:rPr>
      </w:pPr>
    </w:p>
    <w:p w14:paraId="57155323" w14:textId="77777777" w:rsidR="0077767C" w:rsidRPr="00FC6067" w:rsidRDefault="0077767C" w:rsidP="00DF71D5">
      <w:pPr>
        <w:spacing w:line="360" w:lineRule="auto"/>
        <w:rPr>
          <w:rFonts w:ascii="Arial" w:hAnsi="Arial" w:cs="Arial"/>
          <w:sz w:val="36"/>
          <w:szCs w:val="36"/>
        </w:rPr>
      </w:pPr>
    </w:p>
    <w:p w14:paraId="2BCB5671" w14:textId="77777777" w:rsidR="0077767C" w:rsidRPr="00FC6067" w:rsidRDefault="0077767C" w:rsidP="00DF71D5">
      <w:pPr>
        <w:spacing w:line="360" w:lineRule="auto"/>
        <w:rPr>
          <w:rFonts w:ascii="Arial" w:hAnsi="Arial" w:cs="Arial"/>
          <w:sz w:val="36"/>
          <w:szCs w:val="36"/>
        </w:rPr>
      </w:pPr>
    </w:p>
    <w:p w14:paraId="131B55FA" w14:textId="13EFC4A9" w:rsidR="00DF71D5" w:rsidRPr="00DF71D5" w:rsidRDefault="0072723E" w:rsidP="00DF71D5">
      <w:pPr>
        <w:spacing w:line="360" w:lineRule="auto"/>
        <w:rPr>
          <w:rFonts w:ascii="Arial" w:hAnsi="Arial" w:cs="Arial"/>
          <w:b/>
          <w:bCs/>
          <w:sz w:val="36"/>
          <w:szCs w:val="36"/>
        </w:rPr>
      </w:pPr>
      <w:r w:rsidRPr="0072723E">
        <w:rPr>
          <w:rFonts w:ascii="Arial" w:hAnsi="Arial" w:cs="Arial"/>
          <w:b/>
          <w:bCs/>
          <w:sz w:val="36"/>
          <w:szCs w:val="36"/>
          <w:highlight w:val="yellow"/>
        </w:rPr>
        <w:lastRenderedPageBreak/>
        <w:t>5.0</w:t>
      </w:r>
      <w:r w:rsidRPr="0072723E">
        <w:rPr>
          <w:rFonts w:ascii="Arial" w:hAnsi="Arial" w:cs="Arial"/>
          <w:sz w:val="36"/>
          <w:szCs w:val="36"/>
          <w:highlight w:val="yellow"/>
        </w:rPr>
        <w:t xml:space="preserve"> </w:t>
      </w:r>
      <w:r w:rsidR="00DF71D5" w:rsidRPr="00DF71D5">
        <w:rPr>
          <w:rFonts w:ascii="Arial" w:hAnsi="Arial" w:cs="Arial"/>
          <w:b/>
          <w:bCs/>
          <w:sz w:val="36"/>
          <w:szCs w:val="36"/>
          <w:highlight w:val="yellow"/>
        </w:rPr>
        <w:t>Importance and Strategic Value of Stakeholder Engagement</w:t>
      </w:r>
    </w:p>
    <w:p w14:paraId="1ABE0EE5" w14:textId="7556ABBF"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Stakeholder engagement is not a box</w:t>
      </w:r>
      <w:r w:rsidR="007A502D">
        <w:rPr>
          <w:rFonts w:ascii="Arial" w:hAnsi="Arial" w:cs="Arial"/>
          <w:sz w:val="24"/>
          <w:szCs w:val="24"/>
        </w:rPr>
        <w:t xml:space="preserve"> </w:t>
      </w:r>
      <w:r w:rsidRPr="00DF71D5">
        <w:rPr>
          <w:rFonts w:ascii="Arial" w:hAnsi="Arial" w:cs="Arial"/>
          <w:sz w:val="24"/>
          <w:szCs w:val="24"/>
        </w:rPr>
        <w:t>ticking exercise</w:t>
      </w:r>
      <w:r w:rsidR="007A502D">
        <w:rPr>
          <w:rFonts w:ascii="Arial" w:hAnsi="Arial" w:cs="Arial"/>
          <w:sz w:val="24"/>
          <w:szCs w:val="24"/>
        </w:rPr>
        <w:t xml:space="preserve"> </w:t>
      </w:r>
      <w:r w:rsidRPr="00DF71D5">
        <w:rPr>
          <w:rFonts w:ascii="Arial" w:hAnsi="Arial" w:cs="Arial"/>
          <w:sz w:val="24"/>
          <w:szCs w:val="24"/>
        </w:rPr>
        <w:t>it is a strategic imperative. In healthcare and MedTech, engagement drives alignment, innovation, and sustainability.</w:t>
      </w:r>
    </w:p>
    <w:p w14:paraId="084E2E14" w14:textId="77777777" w:rsidR="00DF71D5" w:rsidRPr="00DF71D5" w:rsidRDefault="00DF71D5" w:rsidP="00DF71D5">
      <w:pPr>
        <w:spacing w:line="360" w:lineRule="auto"/>
        <w:rPr>
          <w:rFonts w:ascii="Arial" w:hAnsi="Arial" w:cs="Arial"/>
          <w:sz w:val="24"/>
          <w:szCs w:val="24"/>
          <w:lang w:val="es-ES"/>
        </w:rPr>
      </w:pPr>
      <w:r w:rsidRPr="00DF71D5">
        <w:rPr>
          <w:rFonts w:ascii="Arial" w:hAnsi="Arial" w:cs="Arial"/>
          <w:b/>
          <w:bCs/>
          <w:sz w:val="24"/>
          <w:szCs w:val="24"/>
          <w:lang w:val="es-ES"/>
        </w:rPr>
        <w:t>Strategic Value:</w:t>
      </w:r>
    </w:p>
    <w:p w14:paraId="3A4A624C"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Improved Outcomes:</w:t>
      </w:r>
      <w:r w:rsidRPr="00DF71D5">
        <w:rPr>
          <w:rFonts w:ascii="Arial" w:hAnsi="Arial" w:cs="Arial"/>
          <w:sz w:val="24"/>
          <w:szCs w:val="24"/>
        </w:rPr>
        <w:t xml:space="preserve"> Engagement ensures solutions meet real-world needs, improving patient outcomes and system efficiency.</w:t>
      </w:r>
    </w:p>
    <w:p w14:paraId="52A9DDD1"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Faster Adoption:</w:t>
      </w:r>
      <w:r w:rsidRPr="00DF71D5">
        <w:rPr>
          <w:rFonts w:ascii="Arial" w:hAnsi="Arial" w:cs="Arial"/>
          <w:sz w:val="24"/>
          <w:szCs w:val="24"/>
        </w:rPr>
        <w:t xml:space="preserve"> Early buy-in accelerates deployment, reduces resistance, and enhances scalability.</w:t>
      </w:r>
    </w:p>
    <w:p w14:paraId="59AF7D75"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Risk Reduction:</w:t>
      </w:r>
      <w:r w:rsidRPr="00DF71D5">
        <w:rPr>
          <w:rFonts w:ascii="Arial" w:hAnsi="Arial" w:cs="Arial"/>
          <w:sz w:val="24"/>
          <w:szCs w:val="24"/>
        </w:rPr>
        <w:t xml:space="preserve"> Diverse input identifies risks and mitigates them before they escalate.</w:t>
      </w:r>
    </w:p>
    <w:p w14:paraId="3C6CC5E0"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Regulatory Success:</w:t>
      </w:r>
      <w:r w:rsidRPr="00DF71D5">
        <w:rPr>
          <w:rFonts w:ascii="Arial" w:hAnsi="Arial" w:cs="Arial"/>
          <w:sz w:val="24"/>
          <w:szCs w:val="24"/>
        </w:rPr>
        <w:t xml:space="preserve"> Collaboration with authorities and adherence to best practices smooths approval and compliance.</w:t>
      </w:r>
    </w:p>
    <w:p w14:paraId="33EFEA15"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Market Differentiation:</w:t>
      </w:r>
      <w:r w:rsidRPr="00DF71D5">
        <w:rPr>
          <w:rFonts w:ascii="Arial" w:hAnsi="Arial" w:cs="Arial"/>
          <w:sz w:val="24"/>
          <w:szCs w:val="24"/>
        </w:rPr>
        <w:t xml:space="preserve"> Demonstrated commitment to stakeholder needs enhances reputation and competitive advantage.</w:t>
      </w:r>
    </w:p>
    <w:p w14:paraId="15F3FAF4"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Sustainability:</w:t>
      </w:r>
      <w:r w:rsidRPr="00DF71D5">
        <w:rPr>
          <w:rFonts w:ascii="Arial" w:hAnsi="Arial" w:cs="Arial"/>
          <w:sz w:val="24"/>
          <w:szCs w:val="24"/>
        </w:rPr>
        <w:t xml:space="preserve"> Engagement with ESG stakeholders ensures environmental and social targets are met.</w:t>
      </w:r>
    </w:p>
    <w:p w14:paraId="4BEF1584" w14:textId="77777777" w:rsidR="00DF71D5" w:rsidRPr="00DF71D5" w:rsidRDefault="00DF71D5">
      <w:pPr>
        <w:numPr>
          <w:ilvl w:val="0"/>
          <w:numId w:val="20"/>
        </w:numPr>
        <w:spacing w:line="360" w:lineRule="auto"/>
        <w:rPr>
          <w:rFonts w:ascii="Arial" w:hAnsi="Arial" w:cs="Arial"/>
          <w:sz w:val="24"/>
          <w:szCs w:val="24"/>
        </w:rPr>
      </w:pPr>
      <w:r w:rsidRPr="00DF71D5">
        <w:rPr>
          <w:rFonts w:ascii="Arial" w:hAnsi="Arial" w:cs="Arial"/>
          <w:b/>
          <w:bCs/>
          <w:sz w:val="24"/>
          <w:szCs w:val="24"/>
        </w:rPr>
        <w:t>Continuous Improvement:</w:t>
      </w:r>
      <w:r w:rsidRPr="00DF71D5">
        <w:rPr>
          <w:rFonts w:ascii="Arial" w:hAnsi="Arial" w:cs="Arial"/>
          <w:sz w:val="24"/>
          <w:szCs w:val="24"/>
        </w:rPr>
        <w:t xml:space="preserve"> Feedback loops drive learning, adaptation, and long-term value creation.</w:t>
      </w:r>
    </w:p>
    <w:p w14:paraId="2E194F9B" w14:textId="79D1603F" w:rsidR="00DD5DC8" w:rsidRDefault="00DF71D5" w:rsidP="00DF71D5">
      <w:pPr>
        <w:spacing w:line="360" w:lineRule="auto"/>
        <w:rPr>
          <w:rFonts w:ascii="Arial" w:hAnsi="Arial" w:cs="Arial"/>
          <w:sz w:val="24"/>
          <w:szCs w:val="24"/>
        </w:rPr>
      </w:pPr>
      <w:r w:rsidRPr="00DF71D5">
        <w:rPr>
          <w:rFonts w:ascii="Arial" w:hAnsi="Arial" w:cs="Arial"/>
          <w:sz w:val="24"/>
          <w:szCs w:val="24"/>
        </w:rPr>
        <w:t>AstraZeneca’s wearable device launch exemplifies the power of structured, disciplined stakeholder engagement. It is the foundation for innovation, trust, and sustained impact.</w:t>
      </w:r>
    </w:p>
    <w:p w14:paraId="70664865" w14:textId="77777777" w:rsidR="00DD5DC8" w:rsidRDefault="00DD5DC8">
      <w:pPr>
        <w:rPr>
          <w:rFonts w:ascii="Arial" w:hAnsi="Arial" w:cs="Arial"/>
          <w:sz w:val="24"/>
          <w:szCs w:val="24"/>
        </w:rPr>
      </w:pPr>
      <w:r>
        <w:rPr>
          <w:rFonts w:ascii="Arial" w:hAnsi="Arial" w:cs="Arial"/>
          <w:sz w:val="24"/>
          <w:szCs w:val="24"/>
        </w:rPr>
        <w:br w:type="page"/>
      </w:r>
    </w:p>
    <w:p w14:paraId="6B61E3B6" w14:textId="77777777" w:rsidR="00DD5DC8" w:rsidRPr="00DD5DC8" w:rsidRDefault="00DD5DC8" w:rsidP="00DD5DC8">
      <w:pPr>
        <w:spacing w:line="360" w:lineRule="auto"/>
        <w:rPr>
          <w:rFonts w:ascii="Arial" w:hAnsi="Arial" w:cs="Arial"/>
          <w:b/>
          <w:bCs/>
          <w:sz w:val="36"/>
          <w:szCs w:val="36"/>
          <w:lang w:val="es-ES"/>
        </w:rPr>
      </w:pPr>
      <w:r w:rsidRPr="00DD5DC8">
        <w:rPr>
          <w:rFonts w:ascii="Arial" w:hAnsi="Arial" w:cs="Arial"/>
          <w:b/>
          <w:bCs/>
          <w:sz w:val="36"/>
          <w:szCs w:val="36"/>
          <w:highlight w:val="yellow"/>
          <w:lang w:val="es-ES"/>
        </w:rPr>
        <w:lastRenderedPageBreak/>
        <w:t>5.1 Justification of the Statement</w:t>
      </w:r>
    </w:p>
    <w:p w14:paraId="2569B454" w14:textId="77777777" w:rsidR="00DD5DC8" w:rsidRPr="00DD5DC8" w:rsidRDefault="00DD5DC8">
      <w:pPr>
        <w:numPr>
          <w:ilvl w:val="0"/>
          <w:numId w:val="22"/>
        </w:numPr>
        <w:spacing w:line="360" w:lineRule="auto"/>
        <w:rPr>
          <w:rFonts w:ascii="Arial" w:hAnsi="Arial" w:cs="Arial"/>
          <w:sz w:val="24"/>
          <w:szCs w:val="24"/>
          <w:lang w:val="es-ES"/>
        </w:rPr>
      </w:pPr>
      <w:r w:rsidRPr="00DD5DC8">
        <w:rPr>
          <w:rFonts w:ascii="Arial" w:hAnsi="Arial" w:cs="Arial"/>
          <w:b/>
          <w:bCs/>
          <w:sz w:val="24"/>
          <w:szCs w:val="24"/>
        </w:rPr>
        <w:t>Time-to-Market</w:t>
      </w:r>
      <w:r w:rsidRPr="00DD5DC8">
        <w:rPr>
          <w:rFonts w:ascii="Arial" w:hAnsi="Arial" w:cs="Arial"/>
          <w:sz w:val="24"/>
          <w:szCs w:val="24"/>
        </w:rPr>
        <w:t xml:space="preserve">: Early involvement of regulators and IT prevents delays. </w:t>
      </w:r>
      <w:r w:rsidRPr="00DD5DC8">
        <w:rPr>
          <w:rFonts w:ascii="Arial" w:hAnsi="Arial" w:cs="Arial"/>
          <w:sz w:val="24"/>
          <w:szCs w:val="24"/>
          <w:lang w:val="es-ES"/>
        </w:rPr>
        <w:t>Pre-submission meetings reduce rework (MHRA, 2023).</w:t>
      </w:r>
    </w:p>
    <w:p w14:paraId="6337D40E" w14:textId="77777777" w:rsidR="00DD5DC8" w:rsidRPr="00DD5DC8" w:rsidRDefault="00DD5DC8">
      <w:pPr>
        <w:numPr>
          <w:ilvl w:val="0"/>
          <w:numId w:val="22"/>
        </w:numPr>
        <w:spacing w:line="360" w:lineRule="auto"/>
        <w:rPr>
          <w:rFonts w:ascii="Arial" w:hAnsi="Arial" w:cs="Arial"/>
          <w:sz w:val="24"/>
          <w:szCs w:val="24"/>
        </w:rPr>
      </w:pPr>
      <w:r w:rsidRPr="00DD5DC8">
        <w:rPr>
          <w:rFonts w:ascii="Arial" w:hAnsi="Arial" w:cs="Arial"/>
          <w:b/>
          <w:bCs/>
          <w:sz w:val="24"/>
          <w:szCs w:val="24"/>
        </w:rPr>
        <w:t>Product Quality</w:t>
      </w:r>
      <w:r w:rsidRPr="00DD5DC8">
        <w:rPr>
          <w:rFonts w:ascii="Arial" w:hAnsi="Arial" w:cs="Arial"/>
          <w:sz w:val="24"/>
          <w:szCs w:val="24"/>
        </w:rPr>
        <w:t>: Co-design with patients improves usability. Feedback loops refine features (AstraZeneca, 2023b).</w:t>
      </w:r>
    </w:p>
    <w:p w14:paraId="6FCEF93F" w14:textId="77777777" w:rsidR="00DD5DC8" w:rsidRPr="00DD5DC8" w:rsidRDefault="00DD5DC8">
      <w:pPr>
        <w:numPr>
          <w:ilvl w:val="0"/>
          <w:numId w:val="22"/>
        </w:numPr>
        <w:spacing w:line="360" w:lineRule="auto"/>
        <w:rPr>
          <w:rFonts w:ascii="Arial" w:hAnsi="Arial" w:cs="Arial"/>
          <w:sz w:val="24"/>
          <w:szCs w:val="24"/>
          <w:lang w:val="es-ES"/>
        </w:rPr>
      </w:pPr>
      <w:r w:rsidRPr="00DD5DC8">
        <w:rPr>
          <w:rFonts w:ascii="Arial" w:hAnsi="Arial" w:cs="Arial"/>
          <w:b/>
          <w:bCs/>
          <w:sz w:val="24"/>
          <w:szCs w:val="24"/>
        </w:rPr>
        <w:t>Adoption</w:t>
      </w:r>
      <w:r w:rsidRPr="00DD5DC8">
        <w:rPr>
          <w:rFonts w:ascii="Arial" w:hAnsi="Arial" w:cs="Arial"/>
          <w:sz w:val="24"/>
          <w:szCs w:val="24"/>
        </w:rPr>
        <w:t xml:space="preserve">: Marketing aligned with provider workflows boosts uptake. </w:t>
      </w:r>
      <w:r w:rsidRPr="00DD5DC8">
        <w:rPr>
          <w:rFonts w:ascii="Arial" w:hAnsi="Arial" w:cs="Arial"/>
          <w:sz w:val="24"/>
          <w:szCs w:val="24"/>
          <w:lang w:val="es-ES"/>
        </w:rPr>
        <w:t>Trust drives usage (Pharmaphorum, 2022).</w:t>
      </w:r>
    </w:p>
    <w:p w14:paraId="723CCFC2" w14:textId="77777777" w:rsidR="00DD5DC8" w:rsidRPr="00DD5DC8" w:rsidRDefault="00DD5DC8">
      <w:pPr>
        <w:numPr>
          <w:ilvl w:val="0"/>
          <w:numId w:val="22"/>
        </w:numPr>
        <w:spacing w:line="360" w:lineRule="auto"/>
        <w:rPr>
          <w:rFonts w:ascii="Arial" w:hAnsi="Arial" w:cs="Arial"/>
          <w:sz w:val="24"/>
          <w:szCs w:val="24"/>
          <w:lang w:val="es-ES"/>
        </w:rPr>
      </w:pPr>
      <w:r w:rsidRPr="00DD5DC8">
        <w:rPr>
          <w:rFonts w:ascii="Arial" w:hAnsi="Arial" w:cs="Arial"/>
          <w:b/>
          <w:bCs/>
          <w:sz w:val="24"/>
          <w:szCs w:val="24"/>
        </w:rPr>
        <w:t>Risk Mitigation</w:t>
      </w:r>
      <w:r w:rsidRPr="00DD5DC8">
        <w:rPr>
          <w:rFonts w:ascii="Arial" w:hAnsi="Arial" w:cs="Arial"/>
          <w:sz w:val="24"/>
          <w:szCs w:val="24"/>
        </w:rPr>
        <w:t xml:space="preserve">: Cybersecurity and GDPR compliance reduce legal exposure. </w:t>
      </w:r>
      <w:r w:rsidRPr="00DD5DC8">
        <w:rPr>
          <w:rFonts w:ascii="Arial" w:hAnsi="Arial" w:cs="Arial"/>
          <w:sz w:val="24"/>
          <w:szCs w:val="24"/>
          <w:lang w:val="es-ES"/>
        </w:rPr>
        <w:t>Engagement ensures readiness (EMA, 2023).</w:t>
      </w:r>
    </w:p>
    <w:p w14:paraId="21FB38A5" w14:textId="77777777" w:rsidR="00DD5DC8" w:rsidRPr="00DD5DC8" w:rsidRDefault="00DD5DC8">
      <w:pPr>
        <w:numPr>
          <w:ilvl w:val="0"/>
          <w:numId w:val="22"/>
        </w:numPr>
        <w:spacing w:line="360" w:lineRule="auto"/>
        <w:rPr>
          <w:rFonts w:ascii="Arial" w:hAnsi="Arial" w:cs="Arial"/>
          <w:sz w:val="24"/>
          <w:szCs w:val="24"/>
        </w:rPr>
      </w:pPr>
      <w:r w:rsidRPr="00DD5DC8">
        <w:rPr>
          <w:rFonts w:ascii="Arial" w:hAnsi="Arial" w:cs="Arial"/>
          <w:b/>
          <w:bCs/>
          <w:sz w:val="24"/>
          <w:szCs w:val="24"/>
        </w:rPr>
        <w:t>Brand Equity</w:t>
      </w:r>
      <w:r w:rsidRPr="00DD5DC8">
        <w:rPr>
          <w:rFonts w:ascii="Arial" w:hAnsi="Arial" w:cs="Arial"/>
          <w:sz w:val="24"/>
          <w:szCs w:val="24"/>
        </w:rPr>
        <w:t>: Transparent communication builds reputation. Stakeholder trust becomes market advantage (AstraZeneca, 2023a).</w:t>
      </w:r>
    </w:p>
    <w:p w14:paraId="3DB8CC76" w14:textId="77777777" w:rsidR="00DD5DC8" w:rsidRPr="00FC6067" w:rsidRDefault="00DD5DC8" w:rsidP="00DD5DC8">
      <w:pPr>
        <w:spacing w:line="360" w:lineRule="auto"/>
        <w:rPr>
          <w:rFonts w:ascii="Arial" w:hAnsi="Arial" w:cs="Arial"/>
          <w:sz w:val="24"/>
          <w:szCs w:val="24"/>
        </w:rPr>
      </w:pPr>
      <w:r w:rsidRPr="00DD5DC8">
        <w:rPr>
          <w:rFonts w:ascii="Arial" w:hAnsi="Arial" w:cs="Arial"/>
          <w:sz w:val="24"/>
          <w:szCs w:val="24"/>
        </w:rPr>
        <w:t xml:space="preserve">Engagement is not a checkbox. It is a multiplier. It turns effort into impact. </w:t>
      </w:r>
      <w:r w:rsidRPr="00FC6067">
        <w:rPr>
          <w:rFonts w:ascii="Arial" w:hAnsi="Arial" w:cs="Arial"/>
          <w:sz w:val="24"/>
          <w:szCs w:val="24"/>
        </w:rPr>
        <w:t>It turns strategy into success.</w:t>
      </w:r>
    </w:p>
    <w:p w14:paraId="1140B0F5" w14:textId="77777777" w:rsidR="00DD5DC8" w:rsidRDefault="00DD5DC8" w:rsidP="00DF71D5">
      <w:pPr>
        <w:spacing w:line="360" w:lineRule="auto"/>
        <w:rPr>
          <w:rFonts w:ascii="Arial" w:hAnsi="Arial" w:cs="Arial"/>
          <w:sz w:val="24"/>
          <w:szCs w:val="24"/>
        </w:rPr>
      </w:pPr>
    </w:p>
    <w:p w14:paraId="7475BFAB" w14:textId="77777777" w:rsidR="00DD5DC8" w:rsidRDefault="00DD5DC8">
      <w:pPr>
        <w:rPr>
          <w:rFonts w:ascii="Arial" w:hAnsi="Arial" w:cs="Arial"/>
          <w:sz w:val="24"/>
          <w:szCs w:val="24"/>
        </w:rPr>
      </w:pPr>
      <w:r>
        <w:rPr>
          <w:rFonts w:ascii="Arial" w:hAnsi="Arial" w:cs="Arial"/>
          <w:sz w:val="24"/>
          <w:szCs w:val="24"/>
        </w:rPr>
        <w:br w:type="page"/>
      </w:r>
    </w:p>
    <w:p w14:paraId="5DAEF11A" w14:textId="77777777" w:rsidR="00DF71D5" w:rsidRPr="00DF71D5" w:rsidRDefault="00DF71D5" w:rsidP="00DF71D5">
      <w:pPr>
        <w:spacing w:line="360" w:lineRule="auto"/>
        <w:rPr>
          <w:rFonts w:ascii="Arial" w:hAnsi="Arial" w:cs="Arial"/>
          <w:sz w:val="24"/>
          <w:szCs w:val="24"/>
        </w:rPr>
      </w:pPr>
    </w:p>
    <w:p w14:paraId="1C0FC14E" w14:textId="6794FE0E" w:rsidR="00DF71D5" w:rsidRPr="00FC6067" w:rsidRDefault="00DF71D5" w:rsidP="00DF71D5">
      <w:pPr>
        <w:spacing w:line="360" w:lineRule="auto"/>
        <w:rPr>
          <w:rFonts w:ascii="Arial" w:hAnsi="Arial" w:cs="Arial"/>
          <w:sz w:val="24"/>
          <w:szCs w:val="24"/>
        </w:rPr>
      </w:pPr>
    </w:p>
    <w:p w14:paraId="7DC3A57D" w14:textId="77777777" w:rsidR="0077767C" w:rsidRPr="00FC6067" w:rsidRDefault="0077767C" w:rsidP="00DF71D5">
      <w:pPr>
        <w:spacing w:line="360" w:lineRule="auto"/>
        <w:rPr>
          <w:rFonts w:ascii="Arial" w:hAnsi="Arial" w:cs="Arial"/>
          <w:sz w:val="24"/>
          <w:szCs w:val="24"/>
        </w:rPr>
      </w:pPr>
    </w:p>
    <w:p w14:paraId="76818D47" w14:textId="77777777" w:rsidR="0077767C" w:rsidRPr="00FC6067" w:rsidRDefault="0077767C" w:rsidP="00DF71D5">
      <w:pPr>
        <w:spacing w:line="360" w:lineRule="auto"/>
        <w:rPr>
          <w:rFonts w:ascii="Arial" w:hAnsi="Arial" w:cs="Arial"/>
          <w:sz w:val="24"/>
          <w:szCs w:val="24"/>
        </w:rPr>
      </w:pPr>
    </w:p>
    <w:p w14:paraId="0E310E4C" w14:textId="77777777" w:rsidR="0077767C" w:rsidRPr="00FC6067" w:rsidRDefault="0077767C" w:rsidP="00DF71D5">
      <w:pPr>
        <w:spacing w:line="360" w:lineRule="auto"/>
        <w:rPr>
          <w:rFonts w:ascii="Arial" w:hAnsi="Arial" w:cs="Arial"/>
          <w:sz w:val="24"/>
          <w:szCs w:val="24"/>
        </w:rPr>
      </w:pPr>
    </w:p>
    <w:p w14:paraId="23779891" w14:textId="77777777" w:rsidR="00DF71D5" w:rsidRPr="00DF71D5" w:rsidRDefault="00DF71D5" w:rsidP="00DF71D5">
      <w:pPr>
        <w:spacing w:line="360" w:lineRule="auto"/>
        <w:rPr>
          <w:rFonts w:ascii="Arial" w:hAnsi="Arial" w:cs="Arial"/>
          <w:b/>
          <w:bCs/>
          <w:sz w:val="36"/>
          <w:szCs w:val="36"/>
        </w:rPr>
      </w:pPr>
      <w:r w:rsidRPr="00DF71D5">
        <w:rPr>
          <w:rFonts w:ascii="Arial" w:hAnsi="Arial" w:cs="Arial"/>
          <w:b/>
          <w:bCs/>
          <w:sz w:val="36"/>
          <w:szCs w:val="36"/>
          <w:highlight w:val="yellow"/>
        </w:rPr>
        <w:t>Conclusion</w:t>
      </w:r>
    </w:p>
    <w:p w14:paraId="3E24B43D" w14:textId="31AAFC9D"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AstraZeneca’s launch of a wearable health device is a test of strategic clarity, operational discipline, and stakeholder engagement. The company’s strengths</w:t>
      </w:r>
      <w:r w:rsidR="007A502D">
        <w:rPr>
          <w:rFonts w:ascii="Arial" w:hAnsi="Arial" w:cs="Arial"/>
          <w:sz w:val="24"/>
          <w:szCs w:val="24"/>
        </w:rPr>
        <w:t xml:space="preserve"> </w:t>
      </w:r>
      <w:r w:rsidRPr="00DF71D5">
        <w:rPr>
          <w:rFonts w:ascii="Arial" w:hAnsi="Arial" w:cs="Arial"/>
          <w:sz w:val="24"/>
          <w:szCs w:val="24"/>
        </w:rPr>
        <w:t>innovation, global reach, sustainability, and patient-centricity</w:t>
      </w:r>
      <w:r w:rsidR="007A502D">
        <w:rPr>
          <w:rFonts w:ascii="Arial" w:hAnsi="Arial" w:cs="Arial"/>
          <w:sz w:val="24"/>
          <w:szCs w:val="24"/>
        </w:rPr>
        <w:t xml:space="preserve"> </w:t>
      </w:r>
      <w:r w:rsidRPr="00DF71D5">
        <w:rPr>
          <w:rFonts w:ascii="Arial" w:hAnsi="Arial" w:cs="Arial"/>
          <w:sz w:val="24"/>
          <w:szCs w:val="24"/>
        </w:rPr>
        <w:t>position it for success. The external environment is complex, shaped by political, economic, social, technological, legal, and environmental forces.</w:t>
      </w:r>
    </w:p>
    <w:p w14:paraId="21235F87" w14:textId="7DD09D80"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Stakeholder engagement is the linchpin. Structured tools</w:t>
      </w:r>
      <w:r w:rsidR="007A502D">
        <w:rPr>
          <w:rFonts w:ascii="Arial" w:hAnsi="Arial" w:cs="Arial"/>
          <w:sz w:val="24"/>
          <w:szCs w:val="24"/>
        </w:rPr>
        <w:t xml:space="preserve"> </w:t>
      </w:r>
      <w:r w:rsidRPr="00DF71D5">
        <w:rPr>
          <w:rFonts w:ascii="Arial" w:hAnsi="Arial" w:cs="Arial"/>
          <w:sz w:val="24"/>
          <w:szCs w:val="24"/>
        </w:rPr>
        <w:t>Mendelow’s Matrix, RACI, 4Cs</w:t>
      </w:r>
      <w:r w:rsidR="007A502D">
        <w:rPr>
          <w:rFonts w:ascii="Arial" w:hAnsi="Arial" w:cs="Arial"/>
          <w:sz w:val="24"/>
          <w:szCs w:val="24"/>
        </w:rPr>
        <w:t xml:space="preserve"> </w:t>
      </w:r>
      <w:r w:rsidRPr="00DF71D5">
        <w:rPr>
          <w:rFonts w:ascii="Arial" w:hAnsi="Arial" w:cs="Arial"/>
          <w:sz w:val="24"/>
          <w:szCs w:val="24"/>
        </w:rPr>
        <w:t>enable precise mapping, prioritization, and management. The project manager orchestrates planning, communication, and execution, ensuring alignment and accountability.</w:t>
      </w:r>
    </w:p>
    <w:p w14:paraId="65148FF0" w14:textId="4247528A"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Benefits of engagement are clear: improved outcomes, faster adoption, risk mitigation, and market differentiation. Challenges</w:t>
      </w:r>
      <w:r w:rsidR="007A502D">
        <w:rPr>
          <w:rFonts w:ascii="Arial" w:hAnsi="Arial" w:cs="Arial"/>
          <w:sz w:val="24"/>
          <w:szCs w:val="24"/>
        </w:rPr>
        <w:t xml:space="preserve"> </w:t>
      </w:r>
      <w:r w:rsidRPr="00DF71D5">
        <w:rPr>
          <w:rFonts w:ascii="Arial" w:hAnsi="Arial" w:cs="Arial"/>
          <w:sz w:val="24"/>
          <w:szCs w:val="24"/>
        </w:rPr>
        <w:t>complexity, resource demands, digital exclusion, data governance</w:t>
      </w:r>
      <w:r w:rsidR="007A502D">
        <w:rPr>
          <w:rFonts w:ascii="Arial" w:hAnsi="Arial" w:cs="Arial"/>
          <w:sz w:val="24"/>
          <w:szCs w:val="24"/>
        </w:rPr>
        <w:t xml:space="preserve"> </w:t>
      </w:r>
      <w:r w:rsidRPr="00DF71D5">
        <w:rPr>
          <w:rFonts w:ascii="Arial" w:hAnsi="Arial" w:cs="Arial"/>
          <w:sz w:val="24"/>
          <w:szCs w:val="24"/>
        </w:rPr>
        <w:t>are real but surmountable with discipline and adaptability.</w:t>
      </w:r>
    </w:p>
    <w:p w14:paraId="60E2D87B" w14:textId="77777777"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The communication plan is dynamic, targeted, and measurable. Engagement levels are calibrated to stakeholder influence and interest. Strategic value is realized through alignment, innovation, and sustainability.</w:t>
      </w:r>
    </w:p>
    <w:p w14:paraId="7997CEE8" w14:textId="1DD55CFC" w:rsidR="00DF71D5" w:rsidRPr="00DF71D5" w:rsidRDefault="00DF71D5" w:rsidP="00DF71D5">
      <w:pPr>
        <w:spacing w:line="360" w:lineRule="auto"/>
        <w:rPr>
          <w:rFonts w:ascii="Arial" w:hAnsi="Arial" w:cs="Arial"/>
          <w:sz w:val="24"/>
          <w:szCs w:val="24"/>
        </w:rPr>
      </w:pPr>
      <w:r w:rsidRPr="00DF71D5">
        <w:rPr>
          <w:rFonts w:ascii="Arial" w:hAnsi="Arial" w:cs="Arial"/>
          <w:sz w:val="24"/>
          <w:szCs w:val="24"/>
        </w:rPr>
        <w:t>AstraZeneca’s wearable device launch is more than a product rollout</w:t>
      </w:r>
      <w:r w:rsidR="007A502D">
        <w:rPr>
          <w:rFonts w:ascii="Arial" w:hAnsi="Arial" w:cs="Arial"/>
          <w:sz w:val="24"/>
          <w:szCs w:val="24"/>
        </w:rPr>
        <w:t xml:space="preserve"> </w:t>
      </w:r>
      <w:r w:rsidRPr="00DF71D5">
        <w:rPr>
          <w:rFonts w:ascii="Arial" w:hAnsi="Arial" w:cs="Arial"/>
          <w:sz w:val="24"/>
          <w:szCs w:val="24"/>
        </w:rPr>
        <w:t>it is a blueprint for stakeholder-driven transformation in digital health. The company’s Spartan approach</w:t>
      </w:r>
      <w:r w:rsidR="007A502D">
        <w:rPr>
          <w:rFonts w:ascii="Arial" w:hAnsi="Arial" w:cs="Arial"/>
          <w:sz w:val="24"/>
          <w:szCs w:val="24"/>
        </w:rPr>
        <w:t xml:space="preserve"> </w:t>
      </w:r>
      <w:r w:rsidRPr="00DF71D5">
        <w:rPr>
          <w:rFonts w:ascii="Arial" w:hAnsi="Arial" w:cs="Arial"/>
          <w:sz w:val="24"/>
          <w:szCs w:val="24"/>
        </w:rPr>
        <w:t>concise, direct, forceful</w:t>
      </w:r>
      <w:r w:rsidR="007A502D">
        <w:rPr>
          <w:rFonts w:ascii="Arial" w:hAnsi="Arial" w:cs="Arial"/>
          <w:sz w:val="24"/>
          <w:szCs w:val="24"/>
        </w:rPr>
        <w:t xml:space="preserve"> </w:t>
      </w:r>
      <w:r w:rsidRPr="00DF71D5">
        <w:rPr>
          <w:rFonts w:ascii="Arial" w:hAnsi="Arial" w:cs="Arial"/>
          <w:sz w:val="24"/>
          <w:szCs w:val="24"/>
        </w:rPr>
        <w:t>sets a new standard for execution and impact.</w:t>
      </w:r>
    </w:p>
    <w:p w14:paraId="4FE98D85" w14:textId="12A14797" w:rsidR="00DF71D5" w:rsidRPr="007A502D" w:rsidRDefault="00DF71D5" w:rsidP="00DF71D5">
      <w:pPr>
        <w:spacing w:line="360" w:lineRule="auto"/>
        <w:rPr>
          <w:rFonts w:ascii="Arial" w:hAnsi="Arial" w:cs="Arial"/>
          <w:sz w:val="24"/>
          <w:szCs w:val="24"/>
        </w:rPr>
      </w:pPr>
    </w:p>
    <w:p w14:paraId="5FF7371C" w14:textId="77777777" w:rsidR="0077767C" w:rsidRPr="007A502D" w:rsidRDefault="0077767C" w:rsidP="00DF71D5">
      <w:pPr>
        <w:spacing w:line="360" w:lineRule="auto"/>
        <w:rPr>
          <w:rFonts w:ascii="Arial" w:hAnsi="Arial" w:cs="Arial"/>
          <w:sz w:val="24"/>
          <w:szCs w:val="24"/>
        </w:rPr>
      </w:pPr>
    </w:p>
    <w:p w14:paraId="11A17A7A" w14:textId="77777777" w:rsidR="00FB53E8" w:rsidRDefault="00FB53E8" w:rsidP="00DF71D5">
      <w:pPr>
        <w:spacing w:line="360" w:lineRule="auto"/>
        <w:rPr>
          <w:rFonts w:ascii="Arial" w:hAnsi="Arial" w:cs="Arial"/>
          <w:sz w:val="24"/>
          <w:szCs w:val="24"/>
        </w:rPr>
      </w:pPr>
    </w:p>
    <w:p w14:paraId="4DE70F3E" w14:textId="46FA7684" w:rsidR="00DF71D5" w:rsidRPr="00DF71D5" w:rsidRDefault="00DF71D5" w:rsidP="00DF71D5">
      <w:pPr>
        <w:spacing w:line="360" w:lineRule="auto"/>
        <w:rPr>
          <w:rFonts w:ascii="Arial" w:hAnsi="Arial" w:cs="Arial"/>
          <w:sz w:val="36"/>
          <w:szCs w:val="36"/>
        </w:rPr>
      </w:pPr>
      <w:r w:rsidRPr="00DF71D5">
        <w:rPr>
          <w:rFonts w:ascii="Arial" w:hAnsi="Arial" w:cs="Arial"/>
          <w:b/>
          <w:bCs/>
          <w:sz w:val="36"/>
          <w:szCs w:val="36"/>
          <w:highlight w:val="yellow"/>
        </w:rPr>
        <w:lastRenderedPageBreak/>
        <w:t xml:space="preserve">References </w:t>
      </w:r>
    </w:p>
    <w:p w14:paraId="344094E4"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AstraZeneca launches Evinova, a health-tech business to accelerate innovation across the life sciences sector, the delivery of clinical trials and better health outcomes. (2023) [online] Available at: </w:t>
      </w:r>
      <w:hyperlink r:id="rId20" w:history="1">
        <w:r w:rsidRPr="00DF71D5">
          <w:rPr>
            <w:rStyle w:val="Hyperlink"/>
            <w:rFonts w:ascii="Arial" w:hAnsi="Arial" w:cs="Arial"/>
            <w:sz w:val="24"/>
            <w:szCs w:val="24"/>
          </w:rPr>
          <w:t>https://www.astrazeneca.com/media-centre/press-releases/2023/astrazeneca-launches-evinova-health-tech-business-to-accelerate-innovation-across-the-life-sciences-sector.html</w:t>
        </w:r>
      </w:hyperlink>
      <w:r w:rsidRPr="00DF71D5">
        <w:rPr>
          <w:rFonts w:ascii="Arial" w:hAnsi="Arial" w:cs="Arial"/>
          <w:sz w:val="24"/>
          <w:szCs w:val="24"/>
        </w:rPr>
        <w:t xml:space="preserve"> [Accessed 1 Dec. 2025].</w:t>
      </w:r>
    </w:p>
    <w:p w14:paraId="2C9CC0BA"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AstraZeneca. Our Sustainability Impact. (2025) [online] Available at: </w:t>
      </w:r>
      <w:hyperlink r:id="rId21" w:history="1">
        <w:r w:rsidRPr="00DF71D5">
          <w:rPr>
            <w:rStyle w:val="Hyperlink"/>
            <w:rFonts w:ascii="Arial" w:hAnsi="Arial" w:cs="Arial"/>
            <w:sz w:val="24"/>
            <w:szCs w:val="24"/>
          </w:rPr>
          <w:t>https://www.astrazeneca.com/content/dam/az/Sustainability/2025/pdf/AZ-Sustainability-Impact-Publication_May2025Final.pdf</w:t>
        </w:r>
      </w:hyperlink>
      <w:r w:rsidRPr="00DF71D5">
        <w:rPr>
          <w:rFonts w:ascii="Arial" w:hAnsi="Arial" w:cs="Arial"/>
          <w:sz w:val="24"/>
          <w:szCs w:val="24"/>
        </w:rPr>
        <w:t xml:space="preserve"> [Accessed 1 Dec. 2025].</w:t>
      </w:r>
    </w:p>
    <w:p w14:paraId="149A6781"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PESTLE Analysis of the NHS: 6 Forces Pulling at United Kingdom's Health Giant. (2024) [online] Available at: </w:t>
      </w:r>
      <w:hyperlink r:id="rId22" w:history="1">
        <w:r w:rsidRPr="00DF71D5">
          <w:rPr>
            <w:rStyle w:val="Hyperlink"/>
            <w:rFonts w:ascii="Arial" w:hAnsi="Arial" w:cs="Arial"/>
            <w:sz w:val="24"/>
            <w:szCs w:val="24"/>
          </w:rPr>
          <w:t>https://pestleanalysis.com/nhs-pestle-analysis/</w:t>
        </w:r>
      </w:hyperlink>
      <w:r w:rsidRPr="00DF71D5">
        <w:rPr>
          <w:rFonts w:ascii="Arial" w:hAnsi="Arial" w:cs="Arial"/>
          <w:sz w:val="24"/>
          <w:szCs w:val="24"/>
        </w:rPr>
        <w:t xml:space="preserve"> [Accessed 1 Dec. 2025].</w:t>
      </w:r>
    </w:p>
    <w:p w14:paraId="028181BB"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AstraZeneca SWOT Analysis - The Strategy Story. (2024) [online] Available at: </w:t>
      </w:r>
      <w:hyperlink r:id="rId23" w:history="1">
        <w:r w:rsidRPr="00DF71D5">
          <w:rPr>
            <w:rStyle w:val="Hyperlink"/>
            <w:rFonts w:ascii="Arial" w:hAnsi="Arial" w:cs="Arial"/>
            <w:sz w:val="24"/>
            <w:szCs w:val="24"/>
          </w:rPr>
          <w:t>https://thestrategystory.com/blog/astrazeneca-swot-analysis/</w:t>
        </w:r>
      </w:hyperlink>
      <w:r w:rsidRPr="00DF71D5">
        <w:rPr>
          <w:rFonts w:ascii="Arial" w:hAnsi="Arial" w:cs="Arial"/>
          <w:sz w:val="24"/>
          <w:szCs w:val="24"/>
        </w:rPr>
        <w:t xml:space="preserve"> [Accessed 1 Dec. 2025].</w:t>
      </w:r>
    </w:p>
    <w:p w14:paraId="3D5A8972"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Prestinoni, G. (2025) Medical Devices: Market Environment &amp; Stakeholder Analysis. In: Medical Device Management. Springer Series in Healthcare Management and Innovation. [online] Available at: </w:t>
      </w:r>
      <w:hyperlink r:id="rId24" w:history="1">
        <w:r w:rsidRPr="00DF71D5">
          <w:rPr>
            <w:rStyle w:val="Hyperlink"/>
            <w:rFonts w:ascii="Arial" w:hAnsi="Arial" w:cs="Arial"/>
            <w:sz w:val="24"/>
            <w:szCs w:val="24"/>
          </w:rPr>
          <w:t>https://link.springer.com/chapter/10.1007/978-3-032-03577-6_4</w:t>
        </w:r>
      </w:hyperlink>
      <w:r w:rsidRPr="00DF71D5">
        <w:rPr>
          <w:rFonts w:ascii="Arial" w:hAnsi="Arial" w:cs="Arial"/>
          <w:sz w:val="24"/>
          <w:szCs w:val="24"/>
        </w:rPr>
        <w:t xml:space="preserve"> [Accessed 1 Dec. 2025].</w:t>
      </w:r>
    </w:p>
    <w:p w14:paraId="5557C231" w14:textId="77777777" w:rsidR="00DF71D5" w:rsidRPr="00DF71D5" w:rsidRDefault="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The Importance of Stakeholder Engagement in Healthcare Projects | JD Healthcare Consultants. (2024) [online] Available at: </w:t>
      </w:r>
      <w:hyperlink r:id="rId25" w:history="1">
        <w:r w:rsidRPr="00DF71D5">
          <w:rPr>
            <w:rStyle w:val="Hyperlink"/>
            <w:rFonts w:ascii="Arial" w:hAnsi="Arial" w:cs="Arial"/>
            <w:sz w:val="24"/>
            <w:szCs w:val="24"/>
          </w:rPr>
          <w:t>https://jdhc.us/blog/the-importance-of-stakeholder-engagement-in-healthcare-projects</w:t>
        </w:r>
      </w:hyperlink>
      <w:r w:rsidRPr="00DF71D5">
        <w:rPr>
          <w:rFonts w:ascii="Arial" w:hAnsi="Arial" w:cs="Arial"/>
          <w:sz w:val="24"/>
          <w:szCs w:val="24"/>
        </w:rPr>
        <w:t xml:space="preserve"> [Accessed 1 Dec. 2025].</w:t>
      </w:r>
    </w:p>
    <w:p w14:paraId="50A901F5" w14:textId="006998AC" w:rsidR="00C84489" w:rsidRPr="00B579B4" w:rsidRDefault="00DF71D5" w:rsidP="00DF71D5">
      <w:pPr>
        <w:numPr>
          <w:ilvl w:val="0"/>
          <w:numId w:val="21"/>
        </w:numPr>
        <w:spacing w:line="360" w:lineRule="auto"/>
        <w:rPr>
          <w:rFonts w:ascii="Arial" w:hAnsi="Arial" w:cs="Arial"/>
          <w:sz w:val="24"/>
          <w:szCs w:val="24"/>
        </w:rPr>
      </w:pPr>
      <w:r w:rsidRPr="00DF71D5">
        <w:rPr>
          <w:rFonts w:ascii="Arial" w:hAnsi="Arial" w:cs="Arial"/>
          <w:sz w:val="24"/>
          <w:szCs w:val="24"/>
        </w:rPr>
        <w:t xml:space="preserve">How to Master the Mendelow Stakeholder Matrix: 4 Steps for Effective Engagement - ConsultingEdge.net. (2025) [online] Available at: </w:t>
      </w:r>
      <w:hyperlink r:id="rId26" w:history="1">
        <w:r w:rsidRPr="00DF71D5">
          <w:rPr>
            <w:rStyle w:val="Hyperlink"/>
            <w:rFonts w:ascii="Arial" w:hAnsi="Arial" w:cs="Arial"/>
            <w:sz w:val="24"/>
            <w:szCs w:val="24"/>
          </w:rPr>
          <w:t>https://www.consultingedge.net/mendelow-stakeholder-matrix/</w:t>
        </w:r>
      </w:hyperlink>
      <w:r w:rsidRPr="00DF71D5">
        <w:rPr>
          <w:rFonts w:ascii="Arial" w:hAnsi="Arial" w:cs="Arial"/>
          <w:sz w:val="24"/>
          <w:szCs w:val="24"/>
        </w:rPr>
        <w:t xml:space="preserve"> [Accessed 1 Dec. 2025].</w:t>
      </w:r>
    </w:p>
    <w:p w14:paraId="3632A27B" w14:textId="77777777" w:rsidR="00C84489" w:rsidRPr="00202466" w:rsidRDefault="00C84489" w:rsidP="00DF71D5">
      <w:pPr>
        <w:spacing w:line="360" w:lineRule="auto"/>
        <w:rPr>
          <w:rFonts w:ascii="Arial" w:hAnsi="Arial" w:cs="Arial"/>
          <w:b/>
          <w:bCs/>
        </w:rPr>
      </w:pPr>
    </w:p>
    <w:p w14:paraId="0902B3B8" w14:textId="77777777" w:rsidR="00A15C46" w:rsidRPr="00A15C46" w:rsidRDefault="00A15C46" w:rsidP="00DF71D5">
      <w:pPr>
        <w:spacing w:line="360" w:lineRule="auto"/>
        <w:rPr>
          <w:rFonts w:ascii="Arial" w:hAnsi="Arial" w:cs="Arial"/>
        </w:rPr>
      </w:pPr>
    </w:p>
    <w:p w14:paraId="7B5823B0" w14:textId="77777777" w:rsidR="00195B1C" w:rsidRPr="0029169F" w:rsidRDefault="00195B1C" w:rsidP="00DF71D5">
      <w:pPr>
        <w:spacing w:line="360" w:lineRule="auto"/>
        <w:rPr>
          <w:rFonts w:ascii="Arial" w:hAnsi="Arial" w:cs="Arial"/>
        </w:rPr>
      </w:pPr>
    </w:p>
    <w:p w14:paraId="63ABF371" w14:textId="77777777" w:rsidR="00195B1C" w:rsidRDefault="00195B1C" w:rsidP="00DF71D5">
      <w:pPr>
        <w:spacing w:line="360" w:lineRule="auto"/>
        <w:rPr>
          <w:rFonts w:ascii="Arial" w:hAnsi="Arial" w:cs="Arial"/>
        </w:rPr>
      </w:pPr>
    </w:p>
    <w:p w14:paraId="48AAA165" w14:textId="77777777" w:rsidR="00195B1C" w:rsidRPr="00195B1C" w:rsidRDefault="00195B1C" w:rsidP="00DF71D5">
      <w:pPr>
        <w:spacing w:line="360" w:lineRule="auto"/>
        <w:rPr>
          <w:rFonts w:ascii="Arial" w:hAnsi="Arial" w:cs="Arial"/>
        </w:rPr>
      </w:pPr>
    </w:p>
    <w:sectPr w:rsidR="00195B1C" w:rsidRPr="00195B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6CAFC" w14:textId="77777777" w:rsidR="002528A7" w:rsidRDefault="002528A7" w:rsidP="00F37B62">
      <w:pPr>
        <w:spacing w:after="0" w:line="240" w:lineRule="auto"/>
      </w:pPr>
      <w:r>
        <w:separator/>
      </w:r>
    </w:p>
  </w:endnote>
  <w:endnote w:type="continuationSeparator" w:id="0">
    <w:p w14:paraId="29108BE0" w14:textId="77777777" w:rsidR="002528A7" w:rsidRDefault="002528A7"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36B8E" w14:textId="77777777" w:rsidR="002528A7" w:rsidRDefault="002528A7" w:rsidP="00F37B62">
      <w:pPr>
        <w:spacing w:after="0" w:line="240" w:lineRule="auto"/>
      </w:pPr>
      <w:r>
        <w:separator/>
      </w:r>
    </w:p>
  </w:footnote>
  <w:footnote w:type="continuationSeparator" w:id="0">
    <w:p w14:paraId="4CDECE20" w14:textId="77777777" w:rsidR="002528A7" w:rsidRDefault="002528A7"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31A87"/>
    <w:multiLevelType w:val="multilevel"/>
    <w:tmpl w:val="BFE8B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D27E6C"/>
    <w:multiLevelType w:val="multilevel"/>
    <w:tmpl w:val="82604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E7D4B"/>
    <w:multiLevelType w:val="multilevel"/>
    <w:tmpl w:val="D1400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817B7"/>
    <w:multiLevelType w:val="multilevel"/>
    <w:tmpl w:val="11C6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50B37"/>
    <w:multiLevelType w:val="multilevel"/>
    <w:tmpl w:val="C8D2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91DBE"/>
    <w:multiLevelType w:val="multilevel"/>
    <w:tmpl w:val="6984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7322C7"/>
    <w:multiLevelType w:val="multilevel"/>
    <w:tmpl w:val="B738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A62FE7"/>
    <w:multiLevelType w:val="multilevel"/>
    <w:tmpl w:val="F0D2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704442"/>
    <w:multiLevelType w:val="multilevel"/>
    <w:tmpl w:val="BC26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62051"/>
    <w:multiLevelType w:val="multilevel"/>
    <w:tmpl w:val="0304F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6C7AFE"/>
    <w:multiLevelType w:val="multilevel"/>
    <w:tmpl w:val="4C2A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B70002"/>
    <w:multiLevelType w:val="multilevel"/>
    <w:tmpl w:val="F3A6D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812C61"/>
    <w:multiLevelType w:val="multilevel"/>
    <w:tmpl w:val="A166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F83E81"/>
    <w:multiLevelType w:val="multilevel"/>
    <w:tmpl w:val="19343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BB3FE0"/>
    <w:multiLevelType w:val="multilevel"/>
    <w:tmpl w:val="6D3AD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C51A7B"/>
    <w:multiLevelType w:val="multilevel"/>
    <w:tmpl w:val="4A7CD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072A6C"/>
    <w:multiLevelType w:val="multilevel"/>
    <w:tmpl w:val="53B0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800482"/>
    <w:multiLevelType w:val="multilevel"/>
    <w:tmpl w:val="19402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2D5376"/>
    <w:multiLevelType w:val="multilevel"/>
    <w:tmpl w:val="50B8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CC4CAF"/>
    <w:multiLevelType w:val="multilevel"/>
    <w:tmpl w:val="154ED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6203D1"/>
    <w:multiLevelType w:val="multilevel"/>
    <w:tmpl w:val="203A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C258F8"/>
    <w:multiLevelType w:val="multilevel"/>
    <w:tmpl w:val="CD10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47592A"/>
    <w:multiLevelType w:val="multilevel"/>
    <w:tmpl w:val="DF30D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E236E7"/>
    <w:multiLevelType w:val="multilevel"/>
    <w:tmpl w:val="019AC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4536203">
    <w:abstractNumId w:val="2"/>
  </w:num>
  <w:num w:numId="2" w16cid:durableId="438449897">
    <w:abstractNumId w:val="0"/>
  </w:num>
  <w:num w:numId="3" w16cid:durableId="1622691685">
    <w:abstractNumId w:val="13"/>
  </w:num>
  <w:num w:numId="4" w16cid:durableId="1443500031">
    <w:abstractNumId w:val="5"/>
  </w:num>
  <w:num w:numId="5" w16cid:durableId="1264073408">
    <w:abstractNumId w:val="17"/>
  </w:num>
  <w:num w:numId="6" w16cid:durableId="1495419242">
    <w:abstractNumId w:val="3"/>
  </w:num>
  <w:num w:numId="7" w16cid:durableId="1142192459">
    <w:abstractNumId w:val="6"/>
  </w:num>
  <w:num w:numId="8" w16cid:durableId="902326057">
    <w:abstractNumId w:val="4"/>
  </w:num>
  <w:num w:numId="9" w16cid:durableId="273170151">
    <w:abstractNumId w:val="18"/>
  </w:num>
  <w:num w:numId="10" w16cid:durableId="1761561432">
    <w:abstractNumId w:val="19"/>
  </w:num>
  <w:num w:numId="11" w16cid:durableId="922763196">
    <w:abstractNumId w:val="12"/>
  </w:num>
  <w:num w:numId="12" w16cid:durableId="1426653241">
    <w:abstractNumId w:val="16"/>
  </w:num>
  <w:num w:numId="13" w16cid:durableId="837040549">
    <w:abstractNumId w:val="8"/>
  </w:num>
  <w:num w:numId="14" w16cid:durableId="263266443">
    <w:abstractNumId w:val="9"/>
  </w:num>
  <w:num w:numId="15" w16cid:durableId="1464734947">
    <w:abstractNumId w:val="11"/>
  </w:num>
  <w:num w:numId="16" w16cid:durableId="1446316106">
    <w:abstractNumId w:val="10"/>
  </w:num>
  <w:num w:numId="17" w16cid:durableId="1278560975">
    <w:abstractNumId w:val="14"/>
  </w:num>
  <w:num w:numId="18" w16cid:durableId="1202743702">
    <w:abstractNumId w:val="7"/>
  </w:num>
  <w:num w:numId="19" w16cid:durableId="364601437">
    <w:abstractNumId w:val="21"/>
  </w:num>
  <w:num w:numId="20" w16cid:durableId="1292202419">
    <w:abstractNumId w:val="1"/>
  </w:num>
  <w:num w:numId="21" w16cid:durableId="100883397">
    <w:abstractNumId w:val="15"/>
  </w:num>
  <w:num w:numId="22" w16cid:durableId="563299802">
    <w:abstractNumId w:val="20"/>
  </w:num>
  <w:num w:numId="23" w16cid:durableId="767893704">
    <w:abstractNumId w:val="23"/>
  </w:num>
  <w:num w:numId="24" w16cid:durableId="144201134">
    <w:abstractNumId w:val="22"/>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51439"/>
    <w:rsid w:val="000742DB"/>
    <w:rsid w:val="000B4E76"/>
    <w:rsid w:val="000F4FD2"/>
    <w:rsid w:val="00195B1C"/>
    <w:rsid w:val="00202466"/>
    <w:rsid w:val="002528A7"/>
    <w:rsid w:val="002809A6"/>
    <w:rsid w:val="0029169F"/>
    <w:rsid w:val="00371D9A"/>
    <w:rsid w:val="00373C73"/>
    <w:rsid w:val="003C42A2"/>
    <w:rsid w:val="003F3651"/>
    <w:rsid w:val="00431A82"/>
    <w:rsid w:val="00540F8D"/>
    <w:rsid w:val="005461AB"/>
    <w:rsid w:val="00550461"/>
    <w:rsid w:val="005724B5"/>
    <w:rsid w:val="00585902"/>
    <w:rsid w:val="005A7A66"/>
    <w:rsid w:val="005D0485"/>
    <w:rsid w:val="006021FF"/>
    <w:rsid w:val="00632152"/>
    <w:rsid w:val="0066112B"/>
    <w:rsid w:val="00681192"/>
    <w:rsid w:val="006833D5"/>
    <w:rsid w:val="00690CBC"/>
    <w:rsid w:val="0072707E"/>
    <w:rsid w:val="00727142"/>
    <w:rsid w:val="0072723E"/>
    <w:rsid w:val="0077767C"/>
    <w:rsid w:val="007A502D"/>
    <w:rsid w:val="0083133C"/>
    <w:rsid w:val="008701CA"/>
    <w:rsid w:val="008D1598"/>
    <w:rsid w:val="008F4215"/>
    <w:rsid w:val="0090280B"/>
    <w:rsid w:val="00923C12"/>
    <w:rsid w:val="00924D05"/>
    <w:rsid w:val="009258A6"/>
    <w:rsid w:val="009537E8"/>
    <w:rsid w:val="00A15C46"/>
    <w:rsid w:val="00AC636D"/>
    <w:rsid w:val="00B465A0"/>
    <w:rsid w:val="00B579B4"/>
    <w:rsid w:val="00BC1DA3"/>
    <w:rsid w:val="00BF5CCA"/>
    <w:rsid w:val="00C84489"/>
    <w:rsid w:val="00D02AD8"/>
    <w:rsid w:val="00D41CE9"/>
    <w:rsid w:val="00D70807"/>
    <w:rsid w:val="00DA2CC8"/>
    <w:rsid w:val="00DD5DC8"/>
    <w:rsid w:val="00DF71D5"/>
    <w:rsid w:val="00E12960"/>
    <w:rsid w:val="00F37B62"/>
    <w:rsid w:val="00F5191F"/>
    <w:rsid w:val="00F67811"/>
    <w:rsid w:val="00F7019E"/>
    <w:rsid w:val="00F70395"/>
    <w:rsid w:val="00FB53E8"/>
    <w:rsid w:val="00FC6067"/>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C8EA468C-FE6E-4190-B3FA-BC3FACD3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36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styleId="Hyperlink">
    <w:name w:val="Hyperlink"/>
    <w:basedOn w:val="DefaultParagraphFont"/>
    <w:uiPriority w:val="99"/>
    <w:unhideWhenUsed/>
    <w:rsid w:val="002809A6"/>
    <w:rPr>
      <w:color w:val="0563C1" w:themeColor="hyperlink"/>
      <w:u w:val="single"/>
    </w:rPr>
  </w:style>
  <w:style w:type="character" w:styleId="UnresolvedMention">
    <w:name w:val="Unresolved Mention"/>
    <w:basedOn w:val="DefaultParagraphFont"/>
    <w:uiPriority w:val="99"/>
    <w:semiHidden/>
    <w:unhideWhenUsed/>
    <w:rsid w:val="002809A6"/>
    <w:rPr>
      <w:color w:val="605E5C"/>
      <w:shd w:val="clear" w:color="auto" w:fill="E1DFDD"/>
    </w:rPr>
  </w:style>
  <w:style w:type="paragraph" w:styleId="ListParagraph">
    <w:name w:val="List Paragraph"/>
    <w:basedOn w:val="Normal"/>
    <w:uiPriority w:val="34"/>
    <w:qFormat/>
    <w:rsid w:val="008701CA"/>
    <w:pPr>
      <w:ind w:left="720"/>
      <w:contextualSpacing/>
    </w:pPr>
  </w:style>
  <w:style w:type="table" w:styleId="TableGrid">
    <w:name w:val="Table Grid"/>
    <w:basedOn w:val="TableNormal"/>
    <w:uiPriority w:val="39"/>
    <w:rsid w:val="008701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701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ercam\Downloads\Sample%20LCLM5001.docx" TargetMode="External"/><Relationship Id="rId18" Type="http://schemas.openxmlformats.org/officeDocument/2006/relationships/hyperlink" Target="file:///C:\Users\ercam\Downloads\Sample%20LCLM5001.docx" TargetMode="External"/><Relationship Id="rId26" Type="http://schemas.openxmlformats.org/officeDocument/2006/relationships/hyperlink" Target="https://www.consultingedge.net/mendelow-stakeholder-matrix/" TargetMode="External"/><Relationship Id="rId3" Type="http://schemas.openxmlformats.org/officeDocument/2006/relationships/styles" Target="styles.xml"/><Relationship Id="rId21" Type="http://schemas.openxmlformats.org/officeDocument/2006/relationships/hyperlink" Target="https://www.astrazeneca.com/content/dam/az/Sustainability/2025/pdf/AZ-Sustainability-Impact-Publication_May2025Final.pdf" TargetMode="External"/><Relationship Id="rId7" Type="http://schemas.openxmlformats.org/officeDocument/2006/relationships/endnotes" Target="endnotes.xml"/><Relationship Id="rId12" Type="http://schemas.openxmlformats.org/officeDocument/2006/relationships/hyperlink" Target="file:///C:\Users\ercam\Downloads\Sample%20LCLM5001.docx" TargetMode="External"/><Relationship Id="rId17" Type="http://schemas.openxmlformats.org/officeDocument/2006/relationships/hyperlink" Target="file:///C:\Users\ercam\Downloads\Sample%20LCLM5001.docx" TargetMode="External"/><Relationship Id="rId25" Type="http://schemas.openxmlformats.org/officeDocument/2006/relationships/hyperlink" Target="https://jdhc.us/blog/the-importance-of-stakeholder-engagement-in-healthcare-projects" TargetMode="External"/><Relationship Id="rId2" Type="http://schemas.openxmlformats.org/officeDocument/2006/relationships/numbering" Target="numbering.xml"/><Relationship Id="rId16" Type="http://schemas.openxmlformats.org/officeDocument/2006/relationships/hyperlink" Target="file:///C:\Users\ercam\Downloads\Sample%20LCLM5001.docx" TargetMode="External"/><Relationship Id="rId20" Type="http://schemas.openxmlformats.org/officeDocument/2006/relationships/hyperlink" Target="https://www.astrazeneca.com/media-centre/press-releases/2023/astrazeneca-launches-evinova-health-tech-business-to-accelerate-innovation-across-the-life-sciences-secto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ercam\Downloads\Sample%20LCLM5001.docx" TargetMode="External"/><Relationship Id="rId24" Type="http://schemas.openxmlformats.org/officeDocument/2006/relationships/hyperlink" Target="https://link.springer.com/chapter/10.1007/978-3-032-03577-6_4" TargetMode="External"/><Relationship Id="rId5" Type="http://schemas.openxmlformats.org/officeDocument/2006/relationships/webSettings" Target="webSettings.xml"/><Relationship Id="rId15" Type="http://schemas.openxmlformats.org/officeDocument/2006/relationships/hyperlink" Target="file:///C:\Users\ercam\Downloads\Sample%20LCLM5001.docx" TargetMode="External"/><Relationship Id="rId23" Type="http://schemas.openxmlformats.org/officeDocument/2006/relationships/hyperlink" Target="https://thestrategystory.com/blog/astrazeneca-swot-analysis/" TargetMode="External"/><Relationship Id="rId28" Type="http://schemas.openxmlformats.org/officeDocument/2006/relationships/theme" Target="theme/theme1.xml"/><Relationship Id="rId10" Type="http://schemas.openxmlformats.org/officeDocument/2006/relationships/hyperlink" Target="file:///C:\Users\ercam\Downloads\Sample%20LCLM5001.docx" TargetMode="External"/><Relationship Id="rId19" Type="http://schemas.openxmlformats.org/officeDocument/2006/relationships/hyperlink" Target="file:///C:\Users\ercam\Downloads\Sample%20LCLM5001.docx" TargetMode="External"/><Relationship Id="rId4" Type="http://schemas.openxmlformats.org/officeDocument/2006/relationships/settings" Target="settings.xml"/><Relationship Id="rId9" Type="http://schemas.openxmlformats.org/officeDocument/2006/relationships/hyperlink" Target="file:///C:\Users\ercam\Downloads\Sample%20LCLM5001.docx" TargetMode="External"/><Relationship Id="rId14" Type="http://schemas.openxmlformats.org/officeDocument/2006/relationships/hyperlink" Target="file:///C:\Users\ercam\Downloads\Sample%20LCLM5001.docx" TargetMode="External"/><Relationship Id="rId22" Type="http://schemas.openxmlformats.org/officeDocument/2006/relationships/hyperlink" Target="https://pestleanalysis.com/nhs-pestle-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024C1-058A-47B1-9740-9C55E0786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3974</Words>
  <Characters>28217</Characters>
  <Application>Microsoft Office Word</Application>
  <DocSecurity>0</DocSecurity>
  <Lines>910</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Camilo Sánchez</cp:lastModifiedBy>
  <cp:revision>2</cp:revision>
  <dcterms:created xsi:type="dcterms:W3CDTF">2025-12-19T13:50:00Z</dcterms:created>
  <dcterms:modified xsi:type="dcterms:W3CDTF">2025-12-19T13:50:00Z</dcterms:modified>
</cp:coreProperties>
</file>