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7228B" w14:textId="0F9560C2" w:rsidR="004117AD" w:rsidRPr="00927E12" w:rsidRDefault="004117AD" w:rsidP="00927E12">
      <w:pPr>
        <w:ind w:firstLine="720"/>
        <w:jc w:val="center"/>
        <w:rPr>
          <w:rFonts w:ascii="Times New Roman" w:eastAsia="Times New Roman" w:hAnsi="Times New Roman" w:cs="Times New Roman"/>
          <w:kern w:val="0"/>
          <w:sz w:val="24"/>
          <w:szCs w:val="24"/>
          <w:u w:val="single"/>
          <w14:ligatures w14:val="none"/>
        </w:rPr>
      </w:pPr>
      <w:r w:rsidRPr="00927E12">
        <w:rPr>
          <w:rFonts w:ascii="Times New Roman" w:eastAsia="Times New Roman" w:hAnsi="Times New Roman" w:cs="Times New Roman"/>
          <w:kern w:val="0"/>
          <w:sz w:val="24"/>
          <w:szCs w:val="24"/>
          <w:u w:val="single"/>
          <w14:ligatures w14:val="none"/>
        </w:rPr>
        <w:t>The Biological and Cognitive Effects</w:t>
      </w:r>
      <w:r w:rsidR="00927E12" w:rsidRPr="00927E12">
        <w:rPr>
          <w:rFonts w:ascii="Times New Roman" w:eastAsia="Times New Roman" w:hAnsi="Times New Roman" w:cs="Times New Roman"/>
          <w:kern w:val="0"/>
          <w:sz w:val="24"/>
          <w:szCs w:val="24"/>
          <w:u w:val="single"/>
          <w14:ligatures w14:val="none"/>
        </w:rPr>
        <w:t xml:space="preserve"> That May Result </w:t>
      </w:r>
      <w:proofErr w:type="gramStart"/>
      <w:r w:rsidR="00927E12" w:rsidRPr="00927E12">
        <w:rPr>
          <w:rFonts w:ascii="Times New Roman" w:eastAsia="Times New Roman" w:hAnsi="Times New Roman" w:cs="Times New Roman"/>
          <w:kern w:val="0"/>
          <w:sz w:val="24"/>
          <w:szCs w:val="24"/>
          <w:u w:val="single"/>
          <w14:ligatures w14:val="none"/>
        </w:rPr>
        <w:t>From</w:t>
      </w:r>
      <w:proofErr w:type="gramEnd"/>
      <w:r w:rsidR="00927E12" w:rsidRPr="00927E12">
        <w:rPr>
          <w:rFonts w:ascii="Times New Roman" w:eastAsia="Times New Roman" w:hAnsi="Times New Roman" w:cs="Times New Roman"/>
          <w:kern w:val="0"/>
          <w:sz w:val="24"/>
          <w:szCs w:val="24"/>
          <w:u w:val="single"/>
          <w14:ligatures w14:val="none"/>
        </w:rPr>
        <w:t xml:space="preserve"> Damage to the Highlighted Area</w:t>
      </w:r>
    </w:p>
    <w:p w14:paraId="6B89D67D" w14:textId="7FC5602A"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The human brain is a timeless metaphor for the magnificent design of life because of its fascinating and enigmatic nature. It's like a vast web of brain pathways, neurotransmitters, and synaptic connections working together to choreograph the intricate symphony of human cognition and perception. It is the most significant area of scientific study since the secrets of consciousness, memory, and emotion are concealed behind its complex boundaries. We need to learn everything we can about the structure, function, and intricacy of the brain's neuronal architecture as we embark on this intellectual journey. The brain, protected by its bone shell and surrounded by nourishing fluid, is the wellspring of all the attributes that identify our humanity, making it the crown gem of the human (National Institute of Neurological Disorders and Stroke, 2022). The hippocampus is one of the human brain's most notable and potent regions among all of its many parts. This essay aims to solve confounds and provide insight into how the hippocampal formation influences our attitudes, behaviours, and sense of self. To ensure that the paper reads smoothly and delicately, crucial terminology must be clarified. Because the structure resembles a sea horse, the word "hippocampus" is derived from the Greek word "hippokampus," which combines the words hippos, referring to "horse," and kampos, which means "sea monster" (Yassa, 2019). Although the two sides of the hippocampus may be affected differently, the assignment showed the image of the damage area to be primarily on the left side of the hippocampus. Thus, in this essay, we will examine the damaged part of the brain, as shown in the image, which is the left side hippocampus and discuss the biological and cognitive effects of the hippocampus using the theories and empirical evidence that has already been established.</w:t>
      </w:r>
    </w:p>
    <w:p w14:paraId="21F65E31" w14:textId="77777777" w:rsidR="00A47D07" w:rsidRPr="006F4CA3" w:rsidRDefault="00A47D07" w:rsidP="00A47D07">
      <w:pPr>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ab/>
        <w:t>Before delving into possibilities that could explain the injured hippocampus, we must first carefully examine the damaged brain area to understand its functions and relevance to the brain. The hippocampus is an extension of the cerebral cortex's temporal area, as described by Dhikav and Anand (2012). It is seen as an S-shaped structure composed of a layer of densely packed neurons. Located in the brain's temporal lobes, the hippocampus is a crucial part.</w:t>
      </w:r>
      <w:r w:rsidRPr="006F4CA3">
        <w:t xml:space="preserve"> </w:t>
      </w:r>
      <w:r w:rsidRPr="006F4CA3">
        <w:rPr>
          <w:rFonts w:ascii="Times New Roman" w:eastAsia="Times New Roman" w:hAnsi="Times New Roman" w:cs="Times New Roman"/>
          <w:kern w:val="0"/>
          <w:sz w:val="24"/>
          <w:szCs w:val="24"/>
          <w14:ligatures w14:val="none"/>
        </w:rPr>
        <w:t xml:space="preserve">The hippocampus is the "flash drive" of the human brain, and Fogwe and Mesfin (2019) claim that it is commonly connected to memory consolidation and decision-making. We use our hippocampal formation to form a mental map of our surroundings, which helps us move around and remember where we are. Without it, we would constantly get lost, even in familiar locations. However, its structure and function are significantly more complex than those of a flash drive. It consists of a bilateral structure with two unique regions: the left and right hippocampi. While both hemispheres contribute to memory and spatial processing, they appear to be affected in different ways. </w:t>
      </w:r>
    </w:p>
    <w:p w14:paraId="03883D1F" w14:textId="46AC24F2" w:rsidR="00A47D07" w:rsidRPr="00AE2F1A" w:rsidRDefault="00A47D07" w:rsidP="00192D5F">
      <w:pPr>
        <w:ind w:firstLine="720"/>
        <w:jc w:val="both"/>
        <w:rPr>
          <w:rFonts w:ascii="Times New Roman" w:eastAsia="Times New Roman" w:hAnsi="Times New Roman" w:cs="Times New Roman"/>
          <w:kern w:val="0"/>
          <w:sz w:val="24"/>
          <w:szCs w:val="24"/>
          <w:lang w:val="en-US"/>
          <w14:ligatures w14:val="none"/>
        </w:rPr>
      </w:pPr>
      <w:r w:rsidRPr="006F4CA3">
        <w:rPr>
          <w:rFonts w:ascii="Times New Roman" w:eastAsia="Times New Roman" w:hAnsi="Times New Roman" w:cs="Times New Roman"/>
          <w:kern w:val="0"/>
          <w:sz w:val="24"/>
          <w:szCs w:val="24"/>
          <w14:ligatures w14:val="none"/>
        </w:rPr>
        <w:t>Throughout this essay, the phrase "left hippocampus" refers to the left hemisphere of this structure, stressing its unique role for the human body. The right and left hippocampi have distinct functional specializations, according to research by Ezzati et al. (2016). The results of the study show that whereas the left hippocampal region is more crucial for verbal memory in older adults, the right hippocampal region is necessary for spatial memory (Ezzati et al., 2016).</w:t>
      </w:r>
      <w:r w:rsidRPr="006F4CA3">
        <w:t xml:space="preserve"> </w:t>
      </w:r>
      <w:r w:rsidRPr="006F4CA3">
        <w:rPr>
          <w:rFonts w:ascii="Times New Roman" w:eastAsia="Times New Roman" w:hAnsi="Times New Roman" w:cs="Times New Roman"/>
          <w:kern w:val="0"/>
          <w:sz w:val="24"/>
          <w:szCs w:val="24"/>
          <w14:ligatures w14:val="none"/>
        </w:rPr>
        <w:t>In addition, another study that supports the distinct role of the hippocampus was conducted by Benito et al. (2016).</w:t>
      </w:r>
      <w:r w:rsidR="00AE2F1A" w:rsidRPr="00AE2F1A">
        <w:t xml:space="preserve"> </w:t>
      </w:r>
      <w:r w:rsidR="00AE2F1A" w:rsidRPr="00AE2F1A">
        <w:rPr>
          <w:rFonts w:ascii="Times New Roman" w:eastAsia="Times New Roman" w:hAnsi="Times New Roman" w:cs="Times New Roman"/>
          <w:kern w:val="0"/>
          <w:sz w:val="24"/>
          <w:szCs w:val="24"/>
          <w:lang w:val="en-US"/>
          <w14:ligatures w14:val="none"/>
        </w:rPr>
        <w:t xml:space="preserve">The researchers used sedated rats to evaluate pathway-specific field potentials that </w:t>
      </w:r>
      <w:r w:rsidR="00AE2F1A" w:rsidRPr="00AE2F1A">
        <w:rPr>
          <w:rFonts w:ascii="Times New Roman" w:eastAsia="Times New Roman" w:hAnsi="Times New Roman" w:cs="Times New Roman"/>
          <w:kern w:val="0"/>
          <w:sz w:val="24"/>
          <w:szCs w:val="24"/>
          <w:lang w:val="en-US"/>
          <w14:ligatures w14:val="none"/>
        </w:rPr>
        <w:lastRenderedPageBreak/>
        <w:t>correlated to gamma-paced CA3 output (CA1 Schaffer potentials) and CA3 somatic inhibitory both within and between the hippocampus region's sides</w:t>
      </w:r>
      <w:r w:rsidRPr="006F4CA3">
        <w:rPr>
          <w:rFonts w:ascii="Times New Roman" w:eastAsia="Times New Roman" w:hAnsi="Times New Roman" w:cs="Times New Roman"/>
          <w:kern w:val="0"/>
          <w:sz w:val="24"/>
          <w:szCs w:val="24"/>
          <w14:ligatures w14:val="none"/>
        </w:rPr>
        <w:t xml:space="preserve">. </w:t>
      </w:r>
      <w:r w:rsidR="005B0374" w:rsidRPr="005B0374">
        <w:rPr>
          <w:rFonts w:ascii="Times New Roman" w:eastAsia="Times New Roman" w:hAnsi="Times New Roman" w:cs="Times New Roman"/>
          <w:kern w:val="0"/>
          <w:sz w:val="24"/>
          <w:szCs w:val="24"/>
          <w:lang w:val="en-US"/>
          <w14:ligatures w14:val="none"/>
        </w:rPr>
        <w:t xml:space="preserve">The study's findings support the hypothesis that distinct functions are performed in different parts of the hippocampus and that </w:t>
      </w:r>
      <w:proofErr w:type="spellStart"/>
      <w:r w:rsidR="005B0374" w:rsidRPr="005B0374">
        <w:rPr>
          <w:rFonts w:ascii="Times New Roman" w:eastAsia="Times New Roman" w:hAnsi="Times New Roman" w:cs="Times New Roman"/>
          <w:kern w:val="0"/>
          <w:sz w:val="24"/>
          <w:szCs w:val="24"/>
          <w:lang w:val="en-US"/>
          <w14:ligatures w14:val="none"/>
        </w:rPr>
        <w:t>interhippocampal</w:t>
      </w:r>
      <w:proofErr w:type="spellEnd"/>
      <w:r w:rsidR="005B0374" w:rsidRPr="005B0374">
        <w:rPr>
          <w:rFonts w:ascii="Times New Roman" w:eastAsia="Times New Roman" w:hAnsi="Times New Roman" w:cs="Times New Roman"/>
          <w:kern w:val="0"/>
          <w:sz w:val="24"/>
          <w:szCs w:val="24"/>
          <w:lang w:val="en-US"/>
          <w14:ligatures w14:val="none"/>
        </w:rPr>
        <w:t xml:space="preserve"> connections incorporate various data components that pass through both sides of the hippocampus.</w:t>
      </w:r>
    </w:p>
    <w:p w14:paraId="1C9D6E09" w14:textId="77777777" w:rsidR="00A47D07" w:rsidRPr="006F4CA3" w:rsidRDefault="00A47D07" w:rsidP="00A47D07">
      <w:pPr>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ab/>
        <w:t xml:space="preserve">Given our newfound understanding of the function and importance of the hippocampus, we can move on to examining the cognitive and biological effects of a damaged left hippocampus. First off, we will start to take a look at the cognitive side of the effect that can occur. One of the theories that I personally found interesting in helping to understand the effect of a damaged left hippocampus is the Standard Consolidation Theory, or in short, SCT. According to Winocur and Moscovitch (2011), the classic theory of the SCT holds that while episodic and semantic memories are first formed in the hippocampus, they later get consolidated in other parts of the brain in their original forms. Retroactive interference in humans, or the finding that learned content remains sensitive to interference for some time after learning, is explained by memory consolidation, which was first hypothesized in 1900 by Müller and Pilzecker and Lechner et al. in 1999. (Squire et al. 2015). According to Dudai et al. (2015), the process is thought to begin with modifications to the synapses and cells at the brain circuits where the memory is first encoded and continue through repeated reactivations during waking and sleep, dispersing information to new areas and integrating new information into previously learned knowledge. The patient H.M., who at the age of 27 underwent a resection of the medial temporal lobe area, which included the hippocampus and the adjacent parahippocampal region, was the object of study of Scoville and Milner's (1957) initial observations of the relationship between consolidation and the hippocampus (McKenzie &amp; Eichenbaum, 2011). With the theory's explanation, we can understand how injury to the left hippocampal region can affect how new memories are encoded. As previously mentioned, the encoding of linguistic and contextual information is primarily mediated by the left hippocampal region. As a result, people who have damage to their left hippocampal regions may find it difficult to create new memories, particularly ones that involve speech or specific context. </w:t>
      </w:r>
    </w:p>
    <w:p w14:paraId="5E930358" w14:textId="21474776" w:rsidR="00A47D07" w:rsidRPr="00192D5F" w:rsidRDefault="00A47D07" w:rsidP="00192D5F">
      <w:pPr>
        <w:ind w:firstLine="720"/>
        <w:jc w:val="both"/>
        <w:rPr>
          <w:rFonts w:ascii="Times New Roman" w:eastAsia="Times New Roman" w:hAnsi="Times New Roman" w:cs="Times New Roman"/>
          <w:kern w:val="0"/>
          <w:sz w:val="24"/>
          <w:szCs w:val="24"/>
          <w:lang w:val="en-US"/>
          <w14:ligatures w14:val="none"/>
        </w:rPr>
      </w:pPr>
      <w:r w:rsidRPr="006F4CA3">
        <w:rPr>
          <w:rFonts w:ascii="Times New Roman" w:eastAsia="Times New Roman" w:hAnsi="Times New Roman" w:cs="Times New Roman"/>
          <w:kern w:val="0"/>
          <w:sz w:val="24"/>
          <w:szCs w:val="24"/>
          <w14:ligatures w14:val="none"/>
        </w:rPr>
        <w:t xml:space="preserve">This is empirically demonstrated by a 2003 study by Stark and Squire that evaluated memory function using neuropsychological tests. Five patients with bilateral hippocampal damage and eight controls completed the test using the same procedure as Kroll et al. (1996). The findings imply that patients with hippocampal damage had poorer recognition memory in each of the five experiments (Stark &amp; Squire, 2003). The impairment was seen in all trial types, and there was no indication that the associated or conjunctive components of memory were disproportionately or selectively affected by hippocampal injury (Stark &amp; Squire, 2003). Consequently, the evidence amply supports the theory explaining the impact of a damaged left hippocampal area by showing that individuals with hippocampal impairment, including injury to the left hippocampal region, displayed difficulties in the encoding of novel verbal information. A study conducted by Bright et al. (2006) provides more support in favour of the theory. It compares the performance of persons with frontal lesion, medial temporal lesion, and medial + lateral temporal lesion on a novel autobiographical memory test as well as measurements of the more semantic components of memory, such as personalities and news events. </w:t>
      </w:r>
      <w:r w:rsidR="00192D5F" w:rsidRPr="00192D5F">
        <w:rPr>
          <w:rFonts w:ascii="Times New Roman" w:eastAsia="Times New Roman" w:hAnsi="Times New Roman" w:cs="Times New Roman"/>
          <w:kern w:val="0"/>
          <w:sz w:val="24"/>
          <w:szCs w:val="24"/>
          <w:lang w:val="en-US"/>
          <w14:ligatures w14:val="none"/>
        </w:rPr>
        <w:t xml:space="preserve">Bright et al. (2006) found that patients with both hippocampus and </w:t>
      </w:r>
      <w:proofErr w:type="spellStart"/>
      <w:r w:rsidR="00192D5F" w:rsidRPr="00192D5F">
        <w:rPr>
          <w:rFonts w:ascii="Times New Roman" w:eastAsia="Times New Roman" w:hAnsi="Times New Roman" w:cs="Times New Roman"/>
          <w:kern w:val="0"/>
          <w:sz w:val="24"/>
          <w:szCs w:val="24"/>
          <w:lang w:val="en-US"/>
          <w14:ligatures w14:val="none"/>
        </w:rPr>
        <w:t>parahippocampal</w:t>
      </w:r>
      <w:proofErr w:type="spellEnd"/>
      <w:r w:rsidR="00192D5F" w:rsidRPr="00192D5F">
        <w:rPr>
          <w:rFonts w:ascii="Times New Roman" w:eastAsia="Times New Roman" w:hAnsi="Times New Roman" w:cs="Times New Roman"/>
          <w:kern w:val="0"/>
          <w:sz w:val="24"/>
          <w:szCs w:val="24"/>
          <w:lang w:val="en-US"/>
          <w14:ligatures w14:val="none"/>
        </w:rPr>
        <w:t xml:space="preserve"> atrophy (H+) on quantitative MRI fared slightly worse on </w:t>
      </w:r>
      <w:r w:rsidR="00192D5F" w:rsidRPr="00192D5F">
        <w:rPr>
          <w:rFonts w:ascii="Times New Roman" w:eastAsia="Times New Roman" w:hAnsi="Times New Roman" w:cs="Times New Roman"/>
          <w:kern w:val="0"/>
          <w:sz w:val="24"/>
          <w:szCs w:val="24"/>
          <w:lang w:val="en-US"/>
          <w14:ligatures w14:val="none"/>
        </w:rPr>
        <w:lastRenderedPageBreak/>
        <w:t xml:space="preserve">semantic tests than those with only hippocampal atrophy (H-). </w:t>
      </w:r>
      <w:r w:rsidRPr="006F4CA3">
        <w:rPr>
          <w:rFonts w:ascii="Times New Roman" w:eastAsia="Times New Roman" w:hAnsi="Times New Roman" w:cs="Times New Roman"/>
          <w:kern w:val="0"/>
          <w:sz w:val="24"/>
          <w:szCs w:val="24"/>
          <w14:ligatures w14:val="none"/>
        </w:rPr>
        <w:t>However, their scores on autobiographical episodic recall were quite equal. This indicates that the patients had more severe memory losses for recent experiences compared to far events, corroborating SCT's predictions of retrograde amnesia following left hippocampus injury.</w:t>
      </w:r>
    </w:p>
    <w:p w14:paraId="48F42A06" w14:textId="77777777" w:rsidR="00A47D07" w:rsidRPr="006F4CA3" w:rsidRDefault="00A47D07" w:rsidP="00A47D07">
      <w:pPr>
        <w:spacing w:after="0" w:line="240" w:lineRule="auto"/>
        <w:ind w:firstLine="720"/>
        <w:jc w:val="both"/>
        <w:rPr>
          <w:rFonts w:ascii="Times New Roman" w:eastAsia="Times New Roman" w:hAnsi="Times New Roman" w:cs="Times New Roman"/>
          <w:kern w:val="0"/>
          <w:sz w:val="24"/>
          <w:szCs w:val="24"/>
          <w14:ligatures w14:val="none"/>
        </w:rPr>
      </w:pPr>
      <w:r w:rsidRPr="003023C8">
        <w:rPr>
          <w:rFonts w:ascii="Times New Roman" w:eastAsia="Times New Roman" w:hAnsi="Times New Roman" w:cs="Times New Roman"/>
          <w:kern w:val="0"/>
          <w:sz w:val="24"/>
          <w:szCs w:val="24"/>
          <w14:ligatures w14:val="none"/>
        </w:rPr>
        <w:t xml:space="preserve">Smith and Oscar-Berman (1990) looked at the repeated exposure of new stimuli (pseudowords) to stimuli with preexisting representations (words) in a different study. Repetition sped up responses to both stimulus kinds in control conditions, but reaction time (RT) prompting for pseudowords but not words was eliminated in experimental conditions that decreased the significance of episodic memory to task performance. But under the same circumstances, repetition raised the possibility of misclassifying pseudowords. </w:t>
      </w:r>
      <w:r w:rsidRPr="006F4CA3">
        <w:rPr>
          <w:rFonts w:ascii="Times New Roman" w:eastAsia="Times New Roman" w:hAnsi="Times New Roman" w:cs="Times New Roman"/>
          <w:kern w:val="0"/>
          <w:sz w:val="24"/>
          <w:szCs w:val="24"/>
          <w14:ligatures w14:val="none"/>
        </w:rPr>
        <w:t>These findings suggest that the preserved repeated priming effects in amnesia are not primarily due to the activation of semantic memory representations.</w:t>
      </w:r>
      <w:r w:rsidRPr="006F4CA3">
        <w:t xml:space="preserve"> </w:t>
      </w:r>
      <w:r w:rsidRPr="006F4CA3">
        <w:rPr>
          <w:rFonts w:ascii="Times New Roman" w:eastAsia="Times New Roman" w:hAnsi="Times New Roman" w:cs="Times New Roman"/>
          <w:kern w:val="0"/>
          <w:sz w:val="24"/>
          <w:szCs w:val="24"/>
          <w14:ligatures w14:val="none"/>
        </w:rPr>
        <w:t xml:space="preserve">In short, this study adds to the findings that patients with hippocampal injury, including the left hippocampus had more difficulty recalling and identifying verbal information than healthy controls. As a result, this study adds to the body of evidence supporting the effects of left hippocampal injury as suggested by SCT. These studies help us comprehend the cognitive effects of left hippocampus injury by relating theoretical predictions to empirical data. </w:t>
      </w:r>
    </w:p>
    <w:p w14:paraId="59FD06F6" w14:textId="77777777" w:rsidR="00A47D07" w:rsidRPr="006F4CA3" w:rsidRDefault="00A47D07" w:rsidP="00A47D07">
      <w:pPr>
        <w:spacing w:after="0" w:line="240" w:lineRule="auto"/>
        <w:jc w:val="both"/>
        <w:rPr>
          <w:rFonts w:ascii="Times New Roman" w:eastAsia="Times New Roman" w:hAnsi="Times New Roman" w:cs="Times New Roman"/>
          <w:kern w:val="0"/>
          <w:sz w:val="24"/>
          <w:szCs w:val="24"/>
          <w14:ligatures w14:val="none"/>
        </w:rPr>
      </w:pPr>
    </w:p>
    <w:p w14:paraId="5B0102F4"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While there is plenty neurological evidence to explain the implications of a damaged hippocampus, SCT has limits. Temporal gradients of retrograde amnesia are one of them. In 2006, Bayley et al. investigated retrograde amnesia in six individuals with hippocampal impairment and two patients with significant medial temporal lobe lesions using the Autobiographical Memory Interview (AMI) in a news events test. People who perform poorly on the same test most likely have damage that goes beyond the hippocampal and surrounding structures in the medial temporal lobe, as both patients with extensive lesions in this region and those with hippocampal lesions demonstrated proper performance on the AMI (Bayley et al., 2006). In short, they found that the extent and duration of retrograde amnesia varied across patients, with some exhibiting more severe and longer-lasting memory deficits than others.  This provides shaky support for the theory by implying that the retrograde amnesia temporal gradient may not be constant across people.</w:t>
      </w:r>
    </w:p>
    <w:p w14:paraId="50DB2095" w14:textId="030C1AC3" w:rsidR="00A47D07" w:rsidRPr="003C2D7E" w:rsidRDefault="00A47D07" w:rsidP="003C2D7E">
      <w:pPr>
        <w:jc w:val="both"/>
        <w:rPr>
          <w:rFonts w:ascii="Times New Roman" w:eastAsia="Times New Roman" w:hAnsi="Times New Roman" w:cs="Times New Roman"/>
          <w:kern w:val="0"/>
          <w:sz w:val="24"/>
          <w:szCs w:val="24"/>
          <w:lang w:val="en-US"/>
          <w14:ligatures w14:val="none"/>
        </w:rPr>
      </w:pPr>
      <w:r w:rsidRPr="006F4CA3">
        <w:rPr>
          <w:rFonts w:ascii="Times New Roman" w:eastAsia="Times New Roman" w:hAnsi="Times New Roman" w:cs="Times New Roman"/>
          <w:kern w:val="0"/>
          <w:sz w:val="24"/>
          <w:szCs w:val="24"/>
          <w14:ligatures w14:val="none"/>
        </w:rPr>
        <w:tab/>
        <w:t xml:space="preserve">Now that we've covered the cognitive side, let's move on to the biological aspect of the problem. The neuroplasticity theory is one biological explanation that I think is noteworthy for explaining the consequences of injury to the left hippocampal region. The neuroplasticity idea basically describes the brain's ability to reorganize its structure and function in response to experiences, learning, and injury. </w:t>
      </w:r>
      <w:r w:rsidR="003C2D7E" w:rsidRPr="003C2D7E">
        <w:rPr>
          <w:rFonts w:ascii="Times New Roman" w:eastAsia="Times New Roman" w:hAnsi="Times New Roman" w:cs="Times New Roman"/>
          <w:kern w:val="0"/>
          <w:sz w:val="24"/>
          <w:szCs w:val="24"/>
          <w:lang w:val="en-US"/>
          <w14:ligatures w14:val="none"/>
        </w:rPr>
        <w:t xml:space="preserve">It is also referred to as neural plasticity or brain plasticity (Puderbaugh &amp; </w:t>
      </w:r>
      <w:proofErr w:type="spellStart"/>
      <w:r w:rsidR="003C2D7E" w:rsidRPr="003C2D7E">
        <w:rPr>
          <w:rFonts w:ascii="Times New Roman" w:eastAsia="Times New Roman" w:hAnsi="Times New Roman" w:cs="Times New Roman"/>
          <w:kern w:val="0"/>
          <w:sz w:val="24"/>
          <w:szCs w:val="24"/>
          <w:lang w:val="en-US"/>
          <w14:ligatures w14:val="none"/>
        </w:rPr>
        <w:t>Emmady</w:t>
      </w:r>
      <w:proofErr w:type="spellEnd"/>
      <w:r w:rsidR="003C2D7E" w:rsidRPr="003C2D7E">
        <w:rPr>
          <w:rFonts w:ascii="Times New Roman" w:eastAsia="Times New Roman" w:hAnsi="Times New Roman" w:cs="Times New Roman"/>
          <w:kern w:val="0"/>
          <w:sz w:val="24"/>
          <w:szCs w:val="24"/>
          <w:lang w:val="en-US"/>
          <w14:ligatures w14:val="none"/>
        </w:rPr>
        <w:t xml:space="preserve">, 2023) and signifies the nervous system's ability to change its course of action in accordance with external or internal forces by realigning its connections, structure, or functions following injuries such as a stroke or traumatic brain injury (TBI). </w:t>
      </w:r>
      <w:r w:rsidRPr="006F4CA3">
        <w:rPr>
          <w:rFonts w:ascii="Times New Roman" w:eastAsia="Times New Roman" w:hAnsi="Times New Roman" w:cs="Times New Roman"/>
          <w:kern w:val="0"/>
          <w:sz w:val="24"/>
          <w:szCs w:val="24"/>
          <w14:ligatures w14:val="none"/>
        </w:rPr>
        <w:t>According to this hypothesis, the brain's capacity to adjust and make up for harm—including harm to the left hippocampal region—is primarily driven by biological processes. Referring to the neural system as the "apparatus of biological plasticity" in 1902, Adolf Meyer, the renowned chairholder in psychiatry at Johns Hopkins University from 1910 to 1941, built his groundbreaking theory of psychobiology around the concept of neuroplasticity (Lamb, 2019). Referring to research done over the past century, neural plasticity is a crucial aspect of neurological systems in all animals, from insects to humans, according to Mateos-Aparicio and Rodríguez-Moreno (2019).</w:t>
      </w:r>
    </w:p>
    <w:p w14:paraId="017DDB16" w14:textId="1D72F0CD" w:rsidR="00A47D07" w:rsidRPr="00E874EC" w:rsidRDefault="00A47D07" w:rsidP="00E874EC">
      <w:pPr>
        <w:ind w:firstLine="720"/>
        <w:jc w:val="both"/>
        <w:rPr>
          <w:rFonts w:ascii="Times New Roman" w:eastAsia="Times New Roman" w:hAnsi="Times New Roman" w:cs="Times New Roman"/>
          <w:kern w:val="0"/>
          <w:sz w:val="24"/>
          <w:szCs w:val="24"/>
          <w:lang w:val="en-US"/>
          <w14:ligatures w14:val="none"/>
        </w:rPr>
      </w:pPr>
      <w:r w:rsidRPr="006F4CA3">
        <w:rPr>
          <w:rFonts w:ascii="Times New Roman" w:eastAsia="Times New Roman" w:hAnsi="Times New Roman" w:cs="Times New Roman"/>
          <w:kern w:val="0"/>
          <w:sz w:val="24"/>
          <w:szCs w:val="24"/>
          <w14:ligatures w14:val="none"/>
        </w:rPr>
        <w:lastRenderedPageBreak/>
        <w:t xml:space="preserve">The brain may experience a variety of neuroplastic alterations in an effort to make up for the loss of function when the left hippocampal region is destroyed. This could entail functional changes like enhanced activity in different brain regions engaged in memory operations, or structural changes like the emergence of new connections or rewiring of already-existing neural circuits. Research revealed that when a person experiences stress or depression, there is a noticeable decrease in volume in the hippocampal region. According to the findings of Chan et al. (2016)'s study, smaller hippocampus sizes are a brain indicator of the scarring effect of depression; nevertheless, this anatomical abnormality may also serve as a vulnerability flag for the emergence of subsequent recurrent episodes. </w:t>
      </w:r>
      <w:r w:rsidR="00E874EC" w:rsidRPr="00E874EC">
        <w:rPr>
          <w:rFonts w:ascii="Times New Roman" w:eastAsia="Times New Roman" w:hAnsi="Times New Roman" w:cs="Times New Roman"/>
          <w:kern w:val="0"/>
          <w:sz w:val="24"/>
          <w:szCs w:val="24"/>
          <w:lang w:val="en-US"/>
          <w14:ligatures w14:val="none"/>
        </w:rPr>
        <w:t>Combined, years of research have shown that the brain of mammal, particularly the hippocampus, has a wide range of plasticity, and that this ability improves hippocampal-dependent function (</w:t>
      </w:r>
      <w:proofErr w:type="spellStart"/>
      <w:r w:rsidR="00E874EC" w:rsidRPr="00E874EC">
        <w:rPr>
          <w:rFonts w:ascii="Times New Roman" w:eastAsia="Times New Roman" w:hAnsi="Times New Roman" w:cs="Times New Roman"/>
          <w:kern w:val="0"/>
          <w:sz w:val="24"/>
          <w:szCs w:val="24"/>
          <w:lang w:val="en-US"/>
          <w14:ligatures w14:val="none"/>
        </w:rPr>
        <w:t>Avchalumov</w:t>
      </w:r>
      <w:proofErr w:type="spellEnd"/>
      <w:r w:rsidR="00E874EC" w:rsidRPr="00E874EC">
        <w:rPr>
          <w:rFonts w:ascii="Times New Roman" w:eastAsia="Times New Roman" w:hAnsi="Times New Roman" w:cs="Times New Roman"/>
          <w:kern w:val="0"/>
          <w:sz w:val="24"/>
          <w:szCs w:val="24"/>
          <w:lang w:val="en-US"/>
          <w14:ligatures w14:val="none"/>
        </w:rPr>
        <w:t xml:space="preserve"> &amp; Mandyam, 2021). Some empirical evidence, such as a study by Maguire et al. (2000) that examined the brains of London cab drivers who receive vast spatial navigation lessons to gain "The Knowledge" about the </w:t>
      </w:r>
      <w:proofErr w:type="spellStart"/>
      <w:r w:rsidR="00E874EC" w:rsidRPr="00E874EC">
        <w:rPr>
          <w:rFonts w:ascii="Times New Roman" w:eastAsia="Times New Roman" w:hAnsi="Times New Roman" w:cs="Times New Roman"/>
          <w:kern w:val="0"/>
          <w:sz w:val="24"/>
          <w:szCs w:val="24"/>
          <w:lang w:val="en-US"/>
          <w14:ligatures w14:val="none"/>
        </w:rPr>
        <w:t>the</w:t>
      </w:r>
      <w:proofErr w:type="spellEnd"/>
      <w:r w:rsidR="00E874EC" w:rsidRPr="00E874EC">
        <w:rPr>
          <w:rFonts w:ascii="Times New Roman" w:eastAsia="Times New Roman" w:hAnsi="Times New Roman" w:cs="Times New Roman"/>
          <w:kern w:val="0"/>
          <w:sz w:val="24"/>
          <w:szCs w:val="24"/>
          <w:lang w:val="en-US"/>
          <w14:ligatures w14:val="none"/>
        </w:rPr>
        <w:t xml:space="preserve"> town's convoluted form, lends support to the theory and helps explain the effects of a damaged left hippocampal region. </w:t>
      </w:r>
      <w:r w:rsidRPr="006F4CA3">
        <w:rPr>
          <w:rFonts w:ascii="Times New Roman" w:eastAsia="Times New Roman" w:hAnsi="Times New Roman" w:cs="Times New Roman"/>
          <w:kern w:val="0"/>
          <w:sz w:val="24"/>
          <w:szCs w:val="24"/>
          <w14:ligatures w14:val="none"/>
        </w:rPr>
        <w:t xml:space="preserve">The results were seen utilizing the MRI images, which demonstrate only two brain regions, the right and left hippocampi, showed a significant increase in gray matter volume when taxi drivers' brains were compared to controls', no alterations seen elsewhere in the brain (Maguire et al., 2000). This is in line with the function of the left hippocampus which is found to be controlling the spatial memory of the brain. </w:t>
      </w:r>
    </w:p>
    <w:p w14:paraId="544A7E22"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ED5497">
        <w:rPr>
          <w:rFonts w:ascii="Times New Roman" w:eastAsia="Times New Roman" w:hAnsi="Times New Roman" w:cs="Times New Roman"/>
          <w:kern w:val="0"/>
          <w:sz w:val="24"/>
          <w:szCs w:val="24"/>
          <w14:ligatures w14:val="none"/>
        </w:rPr>
        <w:t xml:space="preserve">Boyke et al.'s (2008) study, which utilized the previously employed longitudinal study design (Draganski et al., 2004, as cited in Boyke et al., 2008), provides additional evidence. It is found that the research's target population, elderly people, could learn three-ball cascade juggling, albeit less proficiently than 20-year-old adolescents. The results showed that elderly people who learned to juggle experienced brief bilateral increases in gray matter in the nucleus accumbens and the left hippocampal regions. </w:t>
      </w:r>
      <w:r w:rsidRPr="006F4CA3">
        <w:rPr>
          <w:rFonts w:ascii="Times New Roman" w:eastAsia="Times New Roman" w:hAnsi="Times New Roman" w:cs="Times New Roman"/>
          <w:kern w:val="0"/>
          <w:sz w:val="24"/>
          <w:szCs w:val="24"/>
          <w14:ligatures w14:val="none"/>
        </w:rPr>
        <w:t xml:space="preserve">These findings imply that in response to left hippocampus damage, the brain undergoes neuroplastic alterations, potentially compensating for lost function, adding credence to the neuroplasticity theory. While the neuroplasticity theory sheds light on the brain's ability to adapt and recover after harm, there are certain limits to consider. We'll look at one of them: Pre-existing factors, such as genetic predisposition, may influence the capacity for neuroplastic alterations after left hippocampus injury. The outcomes of a study by Mifsud et al. (2021) indicate that hormones have an impact on brain functions like memory and shed light on the function of certain receptors in the control of gene expression in response to stress. These hormones act on two types of receptors in the hippocampus. This suggests that when the hippocampus is damaged or altered, its ability to recover through plasticity may be influenced by genetic variables controlled by these hormones. This implies that pre-existing variables may interact with left hippocampus injury to influence the magnitude and efficacy of neuroplastic alterations. </w:t>
      </w:r>
    </w:p>
    <w:p w14:paraId="48D5BF76" w14:textId="2EC20929" w:rsidR="00A47D07" w:rsidRPr="006F4CA3" w:rsidRDefault="00A47D07" w:rsidP="004F4AD2">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 xml:space="preserve">To conclude, the theories presented in this essay provide important insights into understanding the impact of damaged left hippocampus on both the cognitive and biological levels. From the Standard Consolidation Theory to the Neuroplasticity Theory, every theory offers an insightful explanation as to how the brain attempts to respond to a left hippocampal injury. Furthermore, understanding the effects of hippocampus damage presents chances to create focused </w:t>
      </w:r>
      <w:r w:rsidRPr="006F4CA3">
        <w:rPr>
          <w:rFonts w:ascii="Times New Roman" w:eastAsia="Times New Roman" w:hAnsi="Times New Roman" w:cs="Times New Roman"/>
          <w:kern w:val="0"/>
          <w:sz w:val="24"/>
          <w:szCs w:val="24"/>
          <w14:ligatures w14:val="none"/>
        </w:rPr>
        <w:lastRenderedPageBreak/>
        <w:t xml:space="preserve">treatment plans, including cognitive retraining methods or medication therapies, that lessen the emotional and cognitive deficiencies brought on by such damage. By providing insight into hippocampus malfunction, educational approaches and interventions aimed at improving memory can be developed. These interventions can help address age-related cognitive decline and memory-related disorders like forgetfulness. A particular development is the increased investigation of the mechanisms behind consolidation through the application of molecular genetic methods such as optogenetics and metabolic markers (Squire et al., 2015). For instance, by understanding the neuroplasticity of the brain and the brain's ability to adapt and mend after hippocampal injury, programs and interventions for people recovering from brain injuries or having neurosurgery can be informed. One treatment is the cell replacement treatment, where it is found it may be able to significantly alleviate neuronal loss Fan et al. (2022). This reconfiguration potential offers promise to those seeking to regain lost abilities, accommodate limitations, and ultimately improve their overall quality of life (Zotey et al., 2023). </w:t>
      </w:r>
    </w:p>
    <w:p w14:paraId="7A9343F3" w14:textId="2A55B4D2" w:rsidR="00A47D07" w:rsidRPr="00071AB8" w:rsidRDefault="00A47D07" w:rsidP="00FA1526">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Based on the examined empirical data, a number of important recommendations are made to advance our knowledge and enhance future treatment results. First, in order to translate research findings into clinical practice and educational contexts, neuroscientists, clinicians, psychologists, and educators should be encouraged to collaborate together. More neuroscience research, in my opinion, should be included into clinical settings and educational programs to maximize intervention methods and enhance patient results. Furthermore, I'm hoping to see more of the ongoing research efforts. Longitudinal studies that follow people with hippocampal loss over time, in my opinion, can offer priceless insights into the course of cognitive and emotional problems and help shape the creation of focused therapies. By looking at the theories and weighing their benefits and drawbacks, we might learn more about the intricacy of hippocampal injury and how it affects neurological function. Moving forward, it is critical to investigate and attempt to overcome the limitations of the theories in order to extend our understanding of neuroscience and pave the road for better outcomes for persons suffering from left hippocampal injury.</w:t>
      </w:r>
    </w:p>
    <w:p w14:paraId="666621E5" w14:textId="7109BBEA" w:rsidR="00066F1C" w:rsidRDefault="00FA1526" w:rsidP="00FA1526">
      <w:pPr>
        <w:jc w:val="right"/>
      </w:pPr>
      <w:r>
        <w:rPr>
          <w:rFonts w:ascii="Times New Roman" w:eastAsia="Times New Roman" w:hAnsi="Times New Roman" w:cs="Times New Roman"/>
          <w:kern w:val="0"/>
          <w:sz w:val="24"/>
          <w:szCs w:val="24"/>
          <w14:ligatures w14:val="none"/>
        </w:rPr>
        <w:t>(26</w:t>
      </w:r>
      <w:r w:rsidR="004208D5">
        <w:rPr>
          <w:rFonts w:ascii="Times New Roman" w:eastAsia="Times New Roman" w:hAnsi="Times New Roman" w:cs="Times New Roman"/>
          <w:kern w:val="0"/>
          <w:sz w:val="24"/>
          <w:szCs w:val="24"/>
          <w14:ligatures w14:val="none"/>
        </w:rPr>
        <w:t>6</w:t>
      </w:r>
      <w:r>
        <w:rPr>
          <w:rFonts w:ascii="Times New Roman" w:eastAsia="Times New Roman" w:hAnsi="Times New Roman" w:cs="Times New Roman"/>
          <w:kern w:val="0"/>
          <w:sz w:val="24"/>
          <w:szCs w:val="24"/>
          <w14:ligatures w14:val="none"/>
        </w:rPr>
        <w:t>9</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words)</w:t>
      </w:r>
    </w:p>
    <w:p w14:paraId="70595459" w14:textId="77777777" w:rsidR="00A47D07" w:rsidRDefault="00A47D07"/>
    <w:p w14:paraId="30055DE2" w14:textId="77777777" w:rsidR="00A47D07" w:rsidRDefault="00A47D07"/>
    <w:p w14:paraId="73E2755F" w14:textId="77777777" w:rsidR="00A47D07" w:rsidRDefault="00A47D07"/>
    <w:p w14:paraId="75499CA3" w14:textId="77777777" w:rsidR="00A47D07" w:rsidRDefault="00A47D07"/>
    <w:p w14:paraId="594B0AA6" w14:textId="77777777" w:rsidR="00A47D07" w:rsidRDefault="00A47D07"/>
    <w:p w14:paraId="0A9E5E62" w14:textId="77777777" w:rsidR="00A47D07" w:rsidRDefault="00A47D07"/>
    <w:p w14:paraId="68DCF126" w14:textId="77777777" w:rsidR="00A47D07" w:rsidRDefault="00A47D07"/>
    <w:p w14:paraId="44EA0B57" w14:textId="77777777" w:rsidR="00A47D07" w:rsidRDefault="00A47D07"/>
    <w:p w14:paraId="50BEFD2D" w14:textId="77777777" w:rsidR="004208D5" w:rsidRDefault="004208D5"/>
    <w:p w14:paraId="05D8A516" w14:textId="77777777" w:rsidR="004208D5" w:rsidRDefault="004208D5"/>
    <w:p w14:paraId="7EC68AEA" w14:textId="77777777" w:rsidR="00C76ACC" w:rsidRPr="00C12785" w:rsidRDefault="00C76ACC" w:rsidP="00C76ACC">
      <w:pPr>
        <w:widowControl w:val="0"/>
        <w:autoSpaceDE w:val="0"/>
        <w:autoSpaceDN w:val="0"/>
        <w:adjustRightInd w:val="0"/>
        <w:spacing w:after="0" w:line="480" w:lineRule="auto"/>
        <w:jc w:val="center"/>
        <w:rPr>
          <w:rFonts w:ascii="Times New Roman" w:hAnsi="Times New Roman" w:cs="Times New Roman"/>
          <w:b/>
          <w:bCs/>
          <w:kern w:val="0"/>
          <w:sz w:val="24"/>
          <w:szCs w:val="24"/>
          <w:u w:val="single"/>
        </w:rPr>
      </w:pPr>
      <w:r w:rsidRPr="00C12785">
        <w:rPr>
          <w:rFonts w:ascii="Times New Roman" w:hAnsi="Times New Roman" w:cs="Times New Roman"/>
          <w:b/>
          <w:bCs/>
          <w:kern w:val="0"/>
          <w:sz w:val="24"/>
          <w:szCs w:val="24"/>
          <w:u w:val="single"/>
        </w:rPr>
        <w:lastRenderedPageBreak/>
        <w:t>References</w:t>
      </w:r>
    </w:p>
    <w:p w14:paraId="21CC3310"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Avchalumov, Y., &amp; Mandyam, C. D. (2021). Plasticity in the Hippocampus, Neurogenesis and Drugs of Abuse. </w:t>
      </w:r>
      <w:r>
        <w:rPr>
          <w:rFonts w:ascii="Times New Roman" w:hAnsi="Times New Roman" w:cs="Times New Roman"/>
          <w:i/>
          <w:iCs/>
          <w:kern w:val="0"/>
          <w:sz w:val="24"/>
          <w:szCs w:val="24"/>
        </w:rPr>
        <w:t>Brain Sciences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11</w:t>
      </w:r>
      <w:r>
        <w:rPr>
          <w:rFonts w:ascii="Times New Roman" w:hAnsi="Times New Roman" w:cs="Times New Roman"/>
          <w:kern w:val="0"/>
          <w:sz w:val="24"/>
          <w:szCs w:val="24"/>
        </w:rPr>
        <w:t xml:space="preserve">(3), 404. </w:t>
      </w:r>
      <w:hyperlink r:id="rId4" w:history="1">
        <w:r w:rsidRPr="000E03A3">
          <w:rPr>
            <w:rStyle w:val="Hyperlink"/>
            <w:rFonts w:ascii="Times New Roman" w:hAnsi="Times New Roman" w:cs="Times New Roman"/>
            <w:kern w:val="0"/>
            <w:sz w:val="24"/>
            <w:szCs w:val="24"/>
          </w:rPr>
          <w:t>https://doi.org/10.3390/brainsci11030404</w:t>
        </w:r>
      </w:hyperlink>
      <w:r>
        <w:rPr>
          <w:rFonts w:ascii="Times New Roman" w:hAnsi="Times New Roman" w:cs="Times New Roman"/>
          <w:kern w:val="0"/>
          <w:sz w:val="24"/>
          <w:szCs w:val="24"/>
        </w:rPr>
        <w:t xml:space="preserve"> </w:t>
      </w:r>
    </w:p>
    <w:p w14:paraId="31CFB0A0"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Bayley, P. J., Hopkins, R. O., &amp; Squire, L. R. (2006). The Fate of Old Memories after Medial Temporal Lobe Damage. </w:t>
      </w:r>
      <w:r>
        <w:rPr>
          <w:rFonts w:ascii="Times New Roman" w:hAnsi="Times New Roman" w:cs="Times New Roman"/>
          <w:i/>
          <w:iCs/>
          <w:kern w:val="0"/>
          <w:sz w:val="24"/>
          <w:szCs w:val="24"/>
        </w:rPr>
        <w:t>Journal of Neuroscience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26</w:t>
      </w:r>
      <w:r>
        <w:rPr>
          <w:rFonts w:ascii="Times New Roman" w:hAnsi="Times New Roman" w:cs="Times New Roman"/>
          <w:kern w:val="0"/>
          <w:sz w:val="24"/>
          <w:szCs w:val="24"/>
        </w:rPr>
        <w:t xml:space="preserve">(51), 13311–13317. </w:t>
      </w:r>
      <w:hyperlink r:id="rId5" w:history="1">
        <w:r w:rsidRPr="000E03A3">
          <w:rPr>
            <w:rStyle w:val="Hyperlink"/>
            <w:rFonts w:ascii="Times New Roman" w:hAnsi="Times New Roman" w:cs="Times New Roman"/>
            <w:kern w:val="0"/>
            <w:sz w:val="24"/>
            <w:szCs w:val="24"/>
          </w:rPr>
          <w:t>https://doi.org/10.1523/jneurosci.4262-06.2006</w:t>
        </w:r>
      </w:hyperlink>
    </w:p>
    <w:p w14:paraId="07B7AC5E"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Benito, N., Martín-Vázquez, G., Makarova, J., Makarov, V. A., &amp; Herreras, O. (2016). The right hippocampus leads the bilateral integration of gamma-parsed lateralized information. </w:t>
      </w:r>
      <w:r>
        <w:rPr>
          <w:rFonts w:ascii="Times New Roman" w:hAnsi="Times New Roman" w:cs="Times New Roman"/>
          <w:i/>
          <w:iCs/>
          <w:kern w:val="0"/>
          <w:sz w:val="24"/>
          <w:szCs w:val="24"/>
        </w:rPr>
        <w:t>ELife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5</w:t>
      </w:r>
      <w:r>
        <w:rPr>
          <w:rFonts w:ascii="Times New Roman" w:hAnsi="Times New Roman" w:cs="Times New Roman"/>
          <w:kern w:val="0"/>
          <w:sz w:val="24"/>
          <w:szCs w:val="24"/>
        </w:rPr>
        <w:t xml:space="preserve">. </w:t>
      </w:r>
      <w:hyperlink r:id="rId6" w:history="1">
        <w:r w:rsidRPr="000E03A3">
          <w:rPr>
            <w:rStyle w:val="Hyperlink"/>
            <w:rFonts w:ascii="Times New Roman" w:hAnsi="Times New Roman" w:cs="Times New Roman"/>
            <w:kern w:val="0"/>
            <w:sz w:val="24"/>
            <w:szCs w:val="24"/>
          </w:rPr>
          <w:t>https://doi.org/10.7554/elife.16658</w:t>
        </w:r>
      </w:hyperlink>
    </w:p>
    <w:p w14:paraId="2C5C3524"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Boyke, J., Driemeyer, J., Gaser, C., Buchel, C., &amp; May, A. (2008). Training-Induced Brain Structure Changes in the Elderly. </w:t>
      </w:r>
      <w:r>
        <w:rPr>
          <w:rFonts w:ascii="Times New Roman" w:hAnsi="Times New Roman" w:cs="Times New Roman"/>
          <w:i/>
          <w:iCs/>
          <w:kern w:val="0"/>
          <w:sz w:val="24"/>
          <w:szCs w:val="24"/>
        </w:rPr>
        <w:t>Journal of Neuroscience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28</w:t>
      </w:r>
      <w:r>
        <w:rPr>
          <w:rFonts w:ascii="Times New Roman" w:hAnsi="Times New Roman" w:cs="Times New Roman"/>
          <w:kern w:val="0"/>
          <w:sz w:val="24"/>
          <w:szCs w:val="24"/>
        </w:rPr>
        <w:t xml:space="preserve">(28), 7031–7035. </w:t>
      </w:r>
      <w:hyperlink r:id="rId7" w:history="1">
        <w:r w:rsidRPr="000E03A3">
          <w:rPr>
            <w:rStyle w:val="Hyperlink"/>
            <w:rFonts w:ascii="Times New Roman" w:hAnsi="Times New Roman" w:cs="Times New Roman"/>
            <w:kern w:val="0"/>
            <w:sz w:val="24"/>
            <w:szCs w:val="24"/>
          </w:rPr>
          <w:t>https://doi.org/10.1523/jneurosci.0742-08.2008</w:t>
        </w:r>
      </w:hyperlink>
    </w:p>
    <w:p w14:paraId="686F793F"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Bright, P., Buckman, J., Fradera, A., Yoshimasu, H., Colchester, A. C. F., &amp; Kopelman, M. D. (2006). Retrograde amnesia in patients with hippocampal, medial temporal, temporal lobe, or frontal pathology. </w:t>
      </w:r>
      <w:r>
        <w:rPr>
          <w:rFonts w:ascii="Times New Roman" w:hAnsi="Times New Roman" w:cs="Times New Roman"/>
          <w:i/>
          <w:iCs/>
          <w:kern w:val="0"/>
          <w:sz w:val="24"/>
          <w:szCs w:val="24"/>
        </w:rPr>
        <w:t>Learning &amp; Memory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13</w:t>
      </w:r>
      <w:r>
        <w:rPr>
          <w:rFonts w:ascii="Times New Roman" w:hAnsi="Times New Roman" w:cs="Times New Roman"/>
          <w:kern w:val="0"/>
          <w:sz w:val="24"/>
          <w:szCs w:val="24"/>
        </w:rPr>
        <w:t xml:space="preserve">(5), 545–557. </w:t>
      </w:r>
      <w:hyperlink r:id="rId8" w:history="1">
        <w:r w:rsidRPr="000E03A3">
          <w:rPr>
            <w:rStyle w:val="Hyperlink"/>
            <w:rFonts w:ascii="Times New Roman" w:hAnsi="Times New Roman" w:cs="Times New Roman"/>
            <w:kern w:val="0"/>
            <w:sz w:val="24"/>
            <w:szCs w:val="24"/>
          </w:rPr>
          <w:t>https://doi.org/10.1101/lm.265906</w:t>
        </w:r>
      </w:hyperlink>
    </w:p>
    <w:p w14:paraId="178B578E"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Chan, S. W. Y., Harmer, C. J., Norbury, R., O’Sullivan, U., Goodwin, G. M., &amp; Portella, M. J. (2016). Hippocampal volume in vulnerability and resilience to depression. </w:t>
      </w:r>
      <w:r>
        <w:rPr>
          <w:rFonts w:ascii="Times New Roman" w:hAnsi="Times New Roman" w:cs="Times New Roman"/>
          <w:i/>
          <w:iCs/>
          <w:kern w:val="0"/>
          <w:sz w:val="24"/>
          <w:szCs w:val="24"/>
        </w:rPr>
        <w:t>Journal of Affective Disorders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189</w:t>
      </w:r>
      <w:r>
        <w:rPr>
          <w:rFonts w:ascii="Times New Roman" w:hAnsi="Times New Roman" w:cs="Times New Roman"/>
          <w:kern w:val="0"/>
          <w:sz w:val="24"/>
          <w:szCs w:val="24"/>
        </w:rPr>
        <w:t xml:space="preserve">, 199–202. </w:t>
      </w:r>
      <w:hyperlink r:id="rId9" w:history="1">
        <w:r w:rsidRPr="000E03A3">
          <w:rPr>
            <w:rStyle w:val="Hyperlink"/>
            <w:rFonts w:ascii="Times New Roman" w:hAnsi="Times New Roman" w:cs="Times New Roman"/>
            <w:kern w:val="0"/>
            <w:sz w:val="24"/>
            <w:szCs w:val="24"/>
          </w:rPr>
          <w:t>https://doi.org/10.1016/j.jad.2015.09.021</w:t>
        </w:r>
      </w:hyperlink>
    </w:p>
    <w:p w14:paraId="57AAAB1E"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Dhikav, V., &amp; Anand, K. S. (2012). Hippocampus in health and disease: An overview. </w:t>
      </w:r>
      <w:r>
        <w:rPr>
          <w:rFonts w:ascii="Times New Roman" w:hAnsi="Times New Roman" w:cs="Times New Roman"/>
          <w:i/>
          <w:iCs/>
          <w:kern w:val="0"/>
          <w:sz w:val="24"/>
          <w:szCs w:val="24"/>
        </w:rPr>
        <w:t>Annals of Indian Academy of Neurology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15</w:t>
      </w:r>
      <w:r>
        <w:rPr>
          <w:rFonts w:ascii="Times New Roman" w:hAnsi="Times New Roman" w:cs="Times New Roman"/>
          <w:kern w:val="0"/>
          <w:sz w:val="24"/>
          <w:szCs w:val="24"/>
        </w:rPr>
        <w:t xml:space="preserve">(4), 239–246. </w:t>
      </w:r>
      <w:hyperlink r:id="rId10" w:history="1">
        <w:r w:rsidRPr="000E03A3">
          <w:rPr>
            <w:rStyle w:val="Hyperlink"/>
            <w:rFonts w:ascii="Times New Roman" w:hAnsi="Times New Roman" w:cs="Times New Roman"/>
            <w:kern w:val="0"/>
            <w:sz w:val="24"/>
            <w:szCs w:val="24"/>
          </w:rPr>
          <w:t>https://doi.org/10.4103/0972-2327.104323</w:t>
        </w:r>
      </w:hyperlink>
    </w:p>
    <w:p w14:paraId="49737125"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Dudai, Y., Karni, A., &amp; Born, J. (2015). The Consolidation and Transformation of Memory. </w:t>
      </w:r>
      <w:r>
        <w:rPr>
          <w:rFonts w:ascii="Times New Roman" w:hAnsi="Times New Roman" w:cs="Times New Roman"/>
          <w:i/>
          <w:iCs/>
          <w:kern w:val="0"/>
          <w:sz w:val="24"/>
          <w:szCs w:val="24"/>
        </w:rPr>
        <w:lastRenderedPageBreak/>
        <w:t>Neuron</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88</w:t>
      </w:r>
      <w:r>
        <w:rPr>
          <w:rFonts w:ascii="Times New Roman" w:hAnsi="Times New Roman" w:cs="Times New Roman"/>
          <w:kern w:val="0"/>
          <w:sz w:val="24"/>
          <w:szCs w:val="24"/>
        </w:rPr>
        <w:t xml:space="preserve">(1), 20–32. </w:t>
      </w:r>
      <w:hyperlink r:id="rId11" w:history="1">
        <w:r w:rsidRPr="000E03A3">
          <w:rPr>
            <w:rStyle w:val="Hyperlink"/>
            <w:rFonts w:ascii="Times New Roman" w:hAnsi="Times New Roman" w:cs="Times New Roman"/>
            <w:kern w:val="0"/>
            <w:sz w:val="24"/>
            <w:szCs w:val="24"/>
          </w:rPr>
          <w:t>https://doi.org/10.1016/j.neuron.2015.09.004</w:t>
        </w:r>
      </w:hyperlink>
    </w:p>
    <w:p w14:paraId="6CC86AB6"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Ezzati, A., Katz, M. J., Zammit, A. R., Lipton, M. L., Zimmerman, M. E., Sliwinski, M. J., &amp; Lipton, R. B. (2016). Differential association of left and right hippocampal volumes with verbal episodic and spatial memory in older adults. </w:t>
      </w:r>
      <w:r>
        <w:rPr>
          <w:rFonts w:ascii="Times New Roman" w:hAnsi="Times New Roman" w:cs="Times New Roman"/>
          <w:i/>
          <w:iCs/>
          <w:kern w:val="0"/>
          <w:sz w:val="24"/>
          <w:szCs w:val="24"/>
        </w:rPr>
        <w:t>Neuropsychologia</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93</w:t>
      </w:r>
      <w:r>
        <w:rPr>
          <w:rFonts w:ascii="Times New Roman" w:hAnsi="Times New Roman" w:cs="Times New Roman"/>
          <w:kern w:val="0"/>
          <w:sz w:val="24"/>
          <w:szCs w:val="24"/>
        </w:rPr>
        <w:t xml:space="preserve">, 380–385. </w:t>
      </w:r>
      <w:hyperlink r:id="rId12" w:history="1">
        <w:r w:rsidRPr="000E03A3">
          <w:rPr>
            <w:rStyle w:val="Hyperlink"/>
            <w:rFonts w:ascii="Times New Roman" w:hAnsi="Times New Roman" w:cs="Times New Roman"/>
            <w:kern w:val="0"/>
            <w:sz w:val="24"/>
            <w:szCs w:val="24"/>
          </w:rPr>
          <w:t>https://doi.org/10.1016/j.neuropsychologia.2016.08.016</w:t>
        </w:r>
      </w:hyperlink>
    </w:p>
    <w:p w14:paraId="5FB2B2E3"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Fan, H., Duan, H., Hao, P., Gao, Y., Zhao, W., Hao, F., Li, X., &amp; Yang, Z. (2022). Cellular regeneration treatments for traumatic brain injury. </w:t>
      </w:r>
      <w:r>
        <w:rPr>
          <w:rFonts w:ascii="Times New Roman" w:hAnsi="Times New Roman" w:cs="Times New Roman"/>
          <w:i/>
          <w:iCs/>
          <w:kern w:val="0"/>
          <w:sz w:val="24"/>
          <w:szCs w:val="24"/>
        </w:rPr>
        <w:t>Medicine in Novel Technology and Devices</w:t>
      </w:r>
      <w:r>
        <w:rPr>
          <w:rFonts w:ascii="Times New Roman" w:hAnsi="Times New Roman" w:cs="Times New Roman"/>
          <w:kern w:val="0"/>
          <w:sz w:val="24"/>
          <w:szCs w:val="24"/>
        </w:rPr>
        <w:t xml:space="preserve">, 100182. </w:t>
      </w:r>
      <w:hyperlink r:id="rId13" w:history="1">
        <w:r w:rsidRPr="000E03A3">
          <w:rPr>
            <w:rStyle w:val="Hyperlink"/>
            <w:rFonts w:ascii="Times New Roman" w:hAnsi="Times New Roman" w:cs="Times New Roman"/>
            <w:kern w:val="0"/>
            <w:sz w:val="24"/>
            <w:szCs w:val="24"/>
          </w:rPr>
          <w:t>https://doi.org/10.1016/j.medntd.2022.100182</w:t>
        </w:r>
      </w:hyperlink>
    </w:p>
    <w:p w14:paraId="6585A885"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Fogwe, L. A., &amp; Mesfin, F. B. (2019, February 28). </w:t>
      </w:r>
      <w:r>
        <w:rPr>
          <w:rFonts w:ascii="Times New Roman" w:hAnsi="Times New Roman" w:cs="Times New Roman"/>
          <w:i/>
          <w:iCs/>
          <w:kern w:val="0"/>
          <w:sz w:val="24"/>
          <w:szCs w:val="24"/>
        </w:rPr>
        <w:t>Neuroanatomy, Hippocampus</w:t>
      </w:r>
      <w:r>
        <w:rPr>
          <w:rFonts w:ascii="Times New Roman" w:hAnsi="Times New Roman" w:cs="Times New Roman"/>
          <w:kern w:val="0"/>
          <w:sz w:val="24"/>
          <w:szCs w:val="24"/>
        </w:rPr>
        <w:t xml:space="preserve">. Nih.gov; StatPearls Publishing. </w:t>
      </w:r>
      <w:hyperlink r:id="rId14" w:history="1">
        <w:r w:rsidRPr="000E03A3">
          <w:rPr>
            <w:rStyle w:val="Hyperlink"/>
            <w:rFonts w:ascii="Times New Roman" w:hAnsi="Times New Roman" w:cs="Times New Roman"/>
            <w:kern w:val="0"/>
            <w:sz w:val="24"/>
            <w:szCs w:val="24"/>
          </w:rPr>
          <w:t>https://www.ncbi.nlm.nih.gov/books/NBK482171/</w:t>
        </w:r>
      </w:hyperlink>
    </w:p>
    <w:p w14:paraId="539EF266"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Lamb, S. (2019). Neuroplasticity: a century-old idea championed by Adolf Meyer. </w:t>
      </w:r>
      <w:r>
        <w:rPr>
          <w:rFonts w:ascii="Times New Roman" w:hAnsi="Times New Roman" w:cs="Times New Roman"/>
          <w:i/>
          <w:iCs/>
          <w:kern w:val="0"/>
          <w:sz w:val="24"/>
          <w:szCs w:val="24"/>
        </w:rPr>
        <w:t>Canadian Medical Association Journal</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191</w:t>
      </w:r>
      <w:r>
        <w:rPr>
          <w:rFonts w:ascii="Times New Roman" w:hAnsi="Times New Roman" w:cs="Times New Roman"/>
          <w:kern w:val="0"/>
          <w:sz w:val="24"/>
          <w:szCs w:val="24"/>
        </w:rPr>
        <w:t xml:space="preserve">(49), E1359–E1361. </w:t>
      </w:r>
      <w:hyperlink r:id="rId15" w:history="1">
        <w:r w:rsidRPr="000E03A3">
          <w:rPr>
            <w:rStyle w:val="Hyperlink"/>
            <w:rFonts w:ascii="Times New Roman" w:hAnsi="Times New Roman" w:cs="Times New Roman"/>
            <w:kern w:val="0"/>
            <w:sz w:val="24"/>
            <w:szCs w:val="24"/>
          </w:rPr>
          <w:t>https://doi.org/10.1503/cmaj.191099</w:t>
        </w:r>
      </w:hyperlink>
    </w:p>
    <w:p w14:paraId="13C6051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Maguire, E. A., Gadian, D. G., Johnsrude, I. S., Good, C. D., Ashburner, J., Frackowiak, R. S. J., &amp; Frith, C. D. (2000). Navigation-related structural change in the hippocampi of taxi drivers. </w:t>
      </w:r>
      <w:r>
        <w:rPr>
          <w:rFonts w:ascii="Times New Roman" w:hAnsi="Times New Roman" w:cs="Times New Roman"/>
          <w:i/>
          <w:iCs/>
          <w:kern w:val="0"/>
          <w:sz w:val="24"/>
          <w:szCs w:val="24"/>
        </w:rPr>
        <w:t>Proceedings of the National Academy of Sciences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97</w:t>
      </w:r>
      <w:r>
        <w:rPr>
          <w:rFonts w:ascii="Times New Roman" w:hAnsi="Times New Roman" w:cs="Times New Roman"/>
          <w:kern w:val="0"/>
          <w:sz w:val="24"/>
          <w:szCs w:val="24"/>
        </w:rPr>
        <w:t xml:space="preserve">(8), 4398–4403. </w:t>
      </w:r>
      <w:hyperlink r:id="rId16" w:history="1">
        <w:r w:rsidRPr="000E03A3">
          <w:rPr>
            <w:rStyle w:val="Hyperlink"/>
            <w:rFonts w:ascii="Times New Roman" w:hAnsi="Times New Roman" w:cs="Times New Roman"/>
            <w:kern w:val="0"/>
            <w:sz w:val="24"/>
            <w:szCs w:val="24"/>
          </w:rPr>
          <w:t>https://doi.org/10.1073/pnas.070039597</w:t>
        </w:r>
      </w:hyperlink>
    </w:p>
    <w:p w14:paraId="2EBE8C51"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Mateos-Aparicio, P., &amp; Rodríguez-Moreno, A. (2019). The impact of studying Brain Plasticity. </w:t>
      </w:r>
      <w:r>
        <w:rPr>
          <w:rFonts w:ascii="Times New Roman" w:hAnsi="Times New Roman" w:cs="Times New Roman"/>
          <w:i/>
          <w:iCs/>
          <w:kern w:val="0"/>
          <w:sz w:val="24"/>
          <w:szCs w:val="24"/>
        </w:rPr>
        <w:t>Frontiers in Cellular Neuroscience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13</w:t>
      </w:r>
      <w:r>
        <w:rPr>
          <w:rFonts w:ascii="Times New Roman" w:hAnsi="Times New Roman" w:cs="Times New Roman"/>
          <w:kern w:val="0"/>
          <w:sz w:val="24"/>
          <w:szCs w:val="24"/>
        </w:rPr>
        <w:t xml:space="preserve">(66). </w:t>
      </w:r>
      <w:hyperlink r:id="rId17" w:history="1">
        <w:r w:rsidRPr="000E03A3">
          <w:rPr>
            <w:rStyle w:val="Hyperlink"/>
            <w:rFonts w:ascii="Times New Roman" w:hAnsi="Times New Roman" w:cs="Times New Roman"/>
            <w:kern w:val="0"/>
            <w:sz w:val="24"/>
            <w:szCs w:val="24"/>
          </w:rPr>
          <w:t>https://doi.org/10.3389/fncel.2019.00066</w:t>
        </w:r>
      </w:hyperlink>
    </w:p>
    <w:p w14:paraId="5F19B90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McKenzie, S., &amp; Eichenbaum, H. (2011). Consolidation and Reconsolidation: Two Lives of Memories? </w:t>
      </w:r>
      <w:r>
        <w:rPr>
          <w:rFonts w:ascii="Times New Roman" w:hAnsi="Times New Roman" w:cs="Times New Roman"/>
          <w:i/>
          <w:iCs/>
          <w:kern w:val="0"/>
          <w:sz w:val="24"/>
          <w:szCs w:val="24"/>
        </w:rPr>
        <w:t>Neuron</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71</w:t>
      </w:r>
      <w:r>
        <w:rPr>
          <w:rFonts w:ascii="Times New Roman" w:hAnsi="Times New Roman" w:cs="Times New Roman"/>
          <w:kern w:val="0"/>
          <w:sz w:val="24"/>
          <w:szCs w:val="24"/>
        </w:rPr>
        <w:t xml:space="preserve">(2), 224–233. </w:t>
      </w:r>
      <w:hyperlink r:id="rId18" w:history="1">
        <w:r w:rsidRPr="000E03A3">
          <w:rPr>
            <w:rStyle w:val="Hyperlink"/>
            <w:rFonts w:ascii="Times New Roman" w:hAnsi="Times New Roman" w:cs="Times New Roman"/>
            <w:kern w:val="0"/>
            <w:sz w:val="24"/>
            <w:szCs w:val="24"/>
          </w:rPr>
          <w:t>https://doi.org/10.1016/j.neuron.2011.06.037</w:t>
        </w:r>
      </w:hyperlink>
    </w:p>
    <w:p w14:paraId="78DCCEF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Mifsud, K. R., Kennedy, C. L. M., Salatino, S., Sharma, E., Price, E. M., Haque, S. N., Gialeli, A., Goss, H. M., Panchenko, P. E., Broxholme, J., Engledow, S., Lockstone, H., Cordero </w:t>
      </w:r>
      <w:r>
        <w:rPr>
          <w:rFonts w:ascii="Times New Roman" w:hAnsi="Times New Roman" w:cs="Times New Roman"/>
          <w:kern w:val="0"/>
          <w:sz w:val="24"/>
          <w:szCs w:val="24"/>
        </w:rPr>
        <w:lastRenderedPageBreak/>
        <w:t xml:space="preserve">Llana, O., &amp; Reul, J. M. H. M. (2021). Distinct regulation of hippocampal neuroplasticity and ciliary genes by corticosteroid receptors. </w:t>
      </w:r>
      <w:r>
        <w:rPr>
          <w:rFonts w:ascii="Times New Roman" w:hAnsi="Times New Roman" w:cs="Times New Roman"/>
          <w:i/>
          <w:iCs/>
          <w:kern w:val="0"/>
          <w:sz w:val="24"/>
          <w:szCs w:val="24"/>
        </w:rPr>
        <w:t>Nature Communications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12</w:t>
      </w:r>
      <w:r>
        <w:rPr>
          <w:rFonts w:ascii="Times New Roman" w:hAnsi="Times New Roman" w:cs="Times New Roman"/>
          <w:kern w:val="0"/>
          <w:sz w:val="24"/>
          <w:szCs w:val="24"/>
        </w:rPr>
        <w:t xml:space="preserve">(1), 4737. </w:t>
      </w:r>
      <w:hyperlink r:id="rId19" w:history="1">
        <w:r w:rsidRPr="000E03A3">
          <w:rPr>
            <w:rStyle w:val="Hyperlink"/>
            <w:rFonts w:ascii="Times New Roman" w:hAnsi="Times New Roman" w:cs="Times New Roman"/>
            <w:kern w:val="0"/>
            <w:sz w:val="24"/>
            <w:szCs w:val="24"/>
          </w:rPr>
          <w:t>https://doi.org/10.1038/s41467-021-24967-z</w:t>
        </w:r>
      </w:hyperlink>
    </w:p>
    <w:p w14:paraId="49FD7A47"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National Institute of Neurological Disorders and Stroke. (2022, September 26). </w:t>
      </w:r>
      <w:r>
        <w:rPr>
          <w:rFonts w:ascii="Times New Roman" w:hAnsi="Times New Roman" w:cs="Times New Roman"/>
          <w:i/>
          <w:iCs/>
          <w:kern w:val="0"/>
          <w:sz w:val="24"/>
          <w:szCs w:val="24"/>
        </w:rPr>
        <w:t>Brain Basics: Know Your Brain | National Institute of Neurological Disorders and Stroke</w:t>
      </w:r>
      <w:r>
        <w:rPr>
          <w:rFonts w:ascii="Times New Roman" w:hAnsi="Times New Roman" w:cs="Times New Roman"/>
          <w:kern w:val="0"/>
          <w:sz w:val="24"/>
          <w:szCs w:val="24"/>
        </w:rPr>
        <w:t xml:space="preserve">. </w:t>
      </w:r>
      <w:hyperlink r:id="rId20" w:history="1">
        <w:r w:rsidRPr="000E03A3">
          <w:rPr>
            <w:rStyle w:val="Hyperlink"/>
            <w:rFonts w:ascii="Times New Roman" w:hAnsi="Times New Roman" w:cs="Times New Roman"/>
            <w:kern w:val="0"/>
            <w:sz w:val="24"/>
            <w:szCs w:val="24"/>
          </w:rPr>
          <w:t>Www.ninds.nih.gov</w:t>
        </w:r>
      </w:hyperlink>
      <w:r>
        <w:rPr>
          <w:rFonts w:ascii="Times New Roman" w:hAnsi="Times New Roman" w:cs="Times New Roman"/>
          <w:kern w:val="0"/>
          <w:sz w:val="24"/>
          <w:szCs w:val="24"/>
        </w:rPr>
        <w:t xml:space="preserve"> . </w:t>
      </w:r>
      <w:hyperlink r:id="rId21" w:history="1">
        <w:r w:rsidRPr="000E03A3">
          <w:rPr>
            <w:rStyle w:val="Hyperlink"/>
            <w:rFonts w:ascii="Times New Roman" w:hAnsi="Times New Roman" w:cs="Times New Roman"/>
            <w:kern w:val="0"/>
            <w:sz w:val="24"/>
            <w:szCs w:val="24"/>
          </w:rPr>
          <w:t>https://www.ninds.nih.gov/health-information/public-education/brain-basics/brain-basics-know-your-brain</w:t>
        </w:r>
      </w:hyperlink>
      <w:r>
        <w:rPr>
          <w:rFonts w:ascii="Times New Roman" w:hAnsi="Times New Roman" w:cs="Times New Roman"/>
          <w:kern w:val="0"/>
          <w:sz w:val="24"/>
          <w:szCs w:val="24"/>
        </w:rPr>
        <w:t xml:space="preserve"> </w:t>
      </w:r>
    </w:p>
    <w:p w14:paraId="1C48E2D1"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Puderbaugh, M., &amp; Emmady, P. D. (2023, May 1). </w:t>
      </w:r>
      <w:r>
        <w:rPr>
          <w:rFonts w:ascii="Times New Roman" w:hAnsi="Times New Roman" w:cs="Times New Roman"/>
          <w:i/>
          <w:iCs/>
          <w:kern w:val="0"/>
          <w:sz w:val="24"/>
          <w:szCs w:val="24"/>
        </w:rPr>
        <w:t>Neuroplasticity</w:t>
      </w:r>
      <w:r>
        <w:rPr>
          <w:rFonts w:ascii="Times New Roman" w:hAnsi="Times New Roman" w:cs="Times New Roman"/>
          <w:kern w:val="0"/>
          <w:sz w:val="24"/>
          <w:szCs w:val="24"/>
        </w:rPr>
        <w:t xml:space="preserve">. PubMed; StatPearls Publishing. </w:t>
      </w:r>
      <w:hyperlink r:id="rId22" w:history="1">
        <w:r w:rsidRPr="000E03A3">
          <w:rPr>
            <w:rStyle w:val="Hyperlink"/>
            <w:rFonts w:ascii="Times New Roman" w:hAnsi="Times New Roman" w:cs="Times New Roman"/>
            <w:kern w:val="0"/>
            <w:sz w:val="24"/>
            <w:szCs w:val="24"/>
          </w:rPr>
          <w:t>https://www.ncbi.nlm.nih.gov/books/NBK557811/</w:t>
        </w:r>
      </w:hyperlink>
    </w:p>
    <w:p w14:paraId="33322A6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Squire, L. R., Genzel, L., Wixted, J. T., &amp; Morris, R. G. (2015). Memory Consolidation. </w:t>
      </w:r>
      <w:r>
        <w:rPr>
          <w:rFonts w:ascii="Times New Roman" w:hAnsi="Times New Roman" w:cs="Times New Roman"/>
          <w:i/>
          <w:iCs/>
          <w:kern w:val="0"/>
          <w:sz w:val="24"/>
          <w:szCs w:val="24"/>
        </w:rPr>
        <w:t>Cold Spring Harbor Perspectives in Biology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7</w:t>
      </w:r>
      <w:r>
        <w:rPr>
          <w:rFonts w:ascii="Times New Roman" w:hAnsi="Times New Roman" w:cs="Times New Roman"/>
          <w:kern w:val="0"/>
          <w:sz w:val="24"/>
          <w:szCs w:val="24"/>
        </w:rPr>
        <w:t xml:space="preserve">(8), a021766. </w:t>
      </w:r>
      <w:hyperlink r:id="rId23" w:history="1">
        <w:r w:rsidRPr="000E03A3">
          <w:rPr>
            <w:rStyle w:val="Hyperlink"/>
            <w:rFonts w:ascii="Times New Roman" w:hAnsi="Times New Roman" w:cs="Times New Roman"/>
            <w:kern w:val="0"/>
            <w:sz w:val="24"/>
            <w:szCs w:val="24"/>
          </w:rPr>
          <w:t>https://doi.org/10.1101/cshperspect.a021766</w:t>
        </w:r>
      </w:hyperlink>
    </w:p>
    <w:p w14:paraId="26921115"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Stark, C. E. L., &amp; Squire, L. R. (2003). Hippocampal damage equally impairs memory for single items and memory for conjunctions. </w:t>
      </w:r>
      <w:r>
        <w:rPr>
          <w:rFonts w:ascii="Times New Roman" w:hAnsi="Times New Roman" w:cs="Times New Roman"/>
          <w:i/>
          <w:iCs/>
          <w:kern w:val="0"/>
          <w:sz w:val="24"/>
          <w:szCs w:val="24"/>
        </w:rPr>
        <w:t>Hippocampus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13</w:t>
      </w:r>
      <w:r>
        <w:rPr>
          <w:rFonts w:ascii="Times New Roman" w:hAnsi="Times New Roman" w:cs="Times New Roman"/>
          <w:kern w:val="0"/>
          <w:sz w:val="24"/>
          <w:szCs w:val="24"/>
        </w:rPr>
        <w:t xml:space="preserve">(2), 281–292. </w:t>
      </w:r>
      <w:hyperlink r:id="rId24" w:history="1">
        <w:r w:rsidRPr="000E03A3">
          <w:rPr>
            <w:rStyle w:val="Hyperlink"/>
            <w:rFonts w:ascii="Times New Roman" w:hAnsi="Times New Roman" w:cs="Times New Roman"/>
            <w:kern w:val="0"/>
            <w:sz w:val="24"/>
            <w:szCs w:val="24"/>
          </w:rPr>
          <w:t>https://doi.org/10.1002/hipo.10085</w:t>
        </w:r>
      </w:hyperlink>
    </w:p>
    <w:p w14:paraId="4CA60DAC"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Winocur, G., &amp; Moscovitch, M. (2011). Memory Transformation and Systems Consolidation. </w:t>
      </w:r>
      <w:r>
        <w:rPr>
          <w:rFonts w:ascii="Times New Roman" w:hAnsi="Times New Roman" w:cs="Times New Roman"/>
          <w:i/>
          <w:iCs/>
          <w:kern w:val="0"/>
          <w:sz w:val="24"/>
          <w:szCs w:val="24"/>
        </w:rPr>
        <w:t>Journal of the International Neuropsychological Society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17</w:t>
      </w:r>
      <w:r>
        <w:rPr>
          <w:rFonts w:ascii="Times New Roman" w:hAnsi="Times New Roman" w:cs="Times New Roman"/>
          <w:kern w:val="0"/>
          <w:sz w:val="24"/>
          <w:szCs w:val="24"/>
        </w:rPr>
        <w:t xml:space="preserve">(05), 766–780. </w:t>
      </w:r>
      <w:hyperlink r:id="rId25" w:history="1">
        <w:r w:rsidRPr="000E03A3">
          <w:rPr>
            <w:rStyle w:val="Hyperlink"/>
            <w:rFonts w:ascii="Times New Roman" w:hAnsi="Times New Roman" w:cs="Times New Roman"/>
            <w:kern w:val="0"/>
            <w:sz w:val="24"/>
            <w:szCs w:val="24"/>
          </w:rPr>
          <w:t>https://doi.org/10.1017/s1355617711000683</w:t>
        </w:r>
      </w:hyperlink>
    </w:p>
    <w:p w14:paraId="19675E6C"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Yassa, M. A. (2019). hippocampus | Definition, Location, Function, &amp; Facts | Britannica. In </w:t>
      </w:r>
      <w:r>
        <w:rPr>
          <w:rFonts w:ascii="Times New Roman" w:hAnsi="Times New Roman" w:cs="Times New Roman"/>
          <w:i/>
          <w:iCs/>
          <w:kern w:val="0"/>
          <w:sz w:val="24"/>
          <w:szCs w:val="24"/>
        </w:rPr>
        <w:t>Encyclopædia Britannica</w:t>
      </w:r>
      <w:r>
        <w:rPr>
          <w:rFonts w:ascii="Times New Roman" w:hAnsi="Times New Roman" w:cs="Times New Roman"/>
          <w:kern w:val="0"/>
          <w:sz w:val="24"/>
          <w:szCs w:val="24"/>
        </w:rPr>
        <w:t xml:space="preserve">. </w:t>
      </w:r>
      <w:hyperlink r:id="rId26" w:history="1">
        <w:r w:rsidRPr="000E03A3">
          <w:rPr>
            <w:rStyle w:val="Hyperlink"/>
            <w:rFonts w:ascii="Times New Roman" w:hAnsi="Times New Roman" w:cs="Times New Roman"/>
            <w:kern w:val="0"/>
            <w:sz w:val="24"/>
            <w:szCs w:val="24"/>
          </w:rPr>
          <w:t>https://www.britannica.com/science/hippocampus</w:t>
        </w:r>
      </w:hyperlink>
    </w:p>
    <w:p w14:paraId="6561095C" w14:textId="5C111F37" w:rsidR="00A47D07" w:rsidRP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Zotey, V., Andhale, A., Shegekar, T., Juganavar, A., Zotey, V., Andhale, A., Shegekar, T., &amp; Juganavar, A. (2023). Adaptive Neuroplasticity in Brain Injury Recovery: Strategies and Insights. </w:t>
      </w:r>
      <w:r>
        <w:rPr>
          <w:rFonts w:ascii="Times New Roman" w:hAnsi="Times New Roman" w:cs="Times New Roman"/>
          <w:i/>
          <w:iCs/>
          <w:kern w:val="0"/>
          <w:sz w:val="24"/>
          <w:szCs w:val="24"/>
        </w:rPr>
        <w:t>Cureus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15</w:t>
      </w:r>
      <w:r>
        <w:rPr>
          <w:rFonts w:ascii="Times New Roman" w:hAnsi="Times New Roman" w:cs="Times New Roman"/>
          <w:kern w:val="0"/>
          <w:sz w:val="24"/>
          <w:szCs w:val="24"/>
        </w:rPr>
        <w:t xml:space="preserve">(9). </w:t>
      </w:r>
      <w:hyperlink r:id="rId27" w:history="1">
        <w:r w:rsidRPr="000E03A3">
          <w:rPr>
            <w:rStyle w:val="Hyperlink"/>
            <w:rFonts w:ascii="Times New Roman" w:hAnsi="Times New Roman" w:cs="Times New Roman"/>
            <w:kern w:val="0"/>
            <w:sz w:val="24"/>
            <w:szCs w:val="24"/>
          </w:rPr>
          <w:t>https://doi.org/10.7759/cureus.45873</w:t>
        </w:r>
      </w:hyperlink>
      <w:r>
        <w:rPr>
          <w:rFonts w:ascii="Times New Roman" w:hAnsi="Times New Roman" w:cs="Times New Roman"/>
          <w:kern w:val="0"/>
          <w:sz w:val="24"/>
          <w:szCs w:val="24"/>
        </w:rPr>
        <w:t xml:space="preserve"> </w:t>
      </w:r>
    </w:p>
    <w:sectPr w:rsidR="00A47D07" w:rsidRPr="00C76ACC" w:rsidSect="00A47D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D07"/>
    <w:rsid w:val="00066F1C"/>
    <w:rsid w:val="00192D5F"/>
    <w:rsid w:val="003C2D7E"/>
    <w:rsid w:val="004117AD"/>
    <w:rsid w:val="004208D5"/>
    <w:rsid w:val="004F4AD2"/>
    <w:rsid w:val="00522F52"/>
    <w:rsid w:val="005B0374"/>
    <w:rsid w:val="006863C8"/>
    <w:rsid w:val="008D5CE8"/>
    <w:rsid w:val="008F2AB0"/>
    <w:rsid w:val="00921A44"/>
    <w:rsid w:val="00927E12"/>
    <w:rsid w:val="009405F4"/>
    <w:rsid w:val="00A47D07"/>
    <w:rsid w:val="00A62824"/>
    <w:rsid w:val="00AA2E1D"/>
    <w:rsid w:val="00AE2F1A"/>
    <w:rsid w:val="00C76ACC"/>
    <w:rsid w:val="00E874EC"/>
    <w:rsid w:val="00FA15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73260"/>
  <w15:chartTrackingRefBased/>
  <w15:docId w15:val="{EAB76609-4A40-446A-9664-8B7356D74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D07"/>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6A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795387">
      <w:bodyDiv w:val="1"/>
      <w:marLeft w:val="0"/>
      <w:marRight w:val="0"/>
      <w:marTop w:val="0"/>
      <w:marBottom w:val="0"/>
      <w:divBdr>
        <w:top w:val="none" w:sz="0" w:space="0" w:color="auto"/>
        <w:left w:val="none" w:sz="0" w:space="0" w:color="auto"/>
        <w:bottom w:val="none" w:sz="0" w:space="0" w:color="auto"/>
        <w:right w:val="none" w:sz="0" w:space="0" w:color="auto"/>
      </w:divBdr>
    </w:div>
    <w:div w:id="288167035">
      <w:bodyDiv w:val="1"/>
      <w:marLeft w:val="0"/>
      <w:marRight w:val="0"/>
      <w:marTop w:val="0"/>
      <w:marBottom w:val="0"/>
      <w:divBdr>
        <w:top w:val="none" w:sz="0" w:space="0" w:color="auto"/>
        <w:left w:val="none" w:sz="0" w:space="0" w:color="auto"/>
        <w:bottom w:val="none" w:sz="0" w:space="0" w:color="auto"/>
        <w:right w:val="none" w:sz="0" w:space="0" w:color="auto"/>
      </w:divBdr>
    </w:div>
    <w:div w:id="800997396">
      <w:bodyDiv w:val="1"/>
      <w:marLeft w:val="0"/>
      <w:marRight w:val="0"/>
      <w:marTop w:val="0"/>
      <w:marBottom w:val="0"/>
      <w:divBdr>
        <w:top w:val="none" w:sz="0" w:space="0" w:color="auto"/>
        <w:left w:val="none" w:sz="0" w:space="0" w:color="auto"/>
        <w:bottom w:val="none" w:sz="0" w:space="0" w:color="auto"/>
        <w:right w:val="none" w:sz="0" w:space="0" w:color="auto"/>
      </w:divBdr>
    </w:div>
    <w:div w:id="1452279645">
      <w:bodyDiv w:val="1"/>
      <w:marLeft w:val="0"/>
      <w:marRight w:val="0"/>
      <w:marTop w:val="0"/>
      <w:marBottom w:val="0"/>
      <w:divBdr>
        <w:top w:val="none" w:sz="0" w:space="0" w:color="auto"/>
        <w:left w:val="none" w:sz="0" w:space="0" w:color="auto"/>
        <w:bottom w:val="none" w:sz="0" w:space="0" w:color="auto"/>
        <w:right w:val="none" w:sz="0" w:space="0" w:color="auto"/>
      </w:divBdr>
    </w:div>
    <w:div w:id="207396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1/lm.265906" TargetMode="External"/><Relationship Id="rId13" Type="http://schemas.openxmlformats.org/officeDocument/2006/relationships/hyperlink" Target="https://doi.org/10.1016/j.medntd.2022.100182" TargetMode="External"/><Relationship Id="rId18" Type="http://schemas.openxmlformats.org/officeDocument/2006/relationships/hyperlink" Target="https://doi.org/10.1016/j.neuron.2011.06.037" TargetMode="External"/><Relationship Id="rId26" Type="http://schemas.openxmlformats.org/officeDocument/2006/relationships/hyperlink" Target="https://www.britannica.com/science/hippocampus" TargetMode="External"/><Relationship Id="rId3" Type="http://schemas.openxmlformats.org/officeDocument/2006/relationships/webSettings" Target="webSettings.xml"/><Relationship Id="rId21" Type="http://schemas.openxmlformats.org/officeDocument/2006/relationships/hyperlink" Target="https://www.ninds.nih.gov/health-information/public-education/brain-basics/brain-basics-know-your-brain" TargetMode="External"/><Relationship Id="rId7" Type="http://schemas.openxmlformats.org/officeDocument/2006/relationships/hyperlink" Target="https://doi.org/10.1523/jneurosci.0742-08.2008" TargetMode="External"/><Relationship Id="rId12" Type="http://schemas.openxmlformats.org/officeDocument/2006/relationships/hyperlink" Target="https://doi.org/10.1016/j.neuropsychologia.2016.08.016" TargetMode="External"/><Relationship Id="rId17" Type="http://schemas.openxmlformats.org/officeDocument/2006/relationships/hyperlink" Target="https://doi.org/10.3389/fncel.2019.00066" TargetMode="External"/><Relationship Id="rId25" Type="http://schemas.openxmlformats.org/officeDocument/2006/relationships/hyperlink" Target="https://doi.org/10.1017/s1355617711000683" TargetMode="External"/><Relationship Id="rId2" Type="http://schemas.openxmlformats.org/officeDocument/2006/relationships/settings" Target="settings.xml"/><Relationship Id="rId16" Type="http://schemas.openxmlformats.org/officeDocument/2006/relationships/hyperlink" Target="https://doi.org/10.1073/pnas.070039597" TargetMode="External"/><Relationship Id="rId20" Type="http://schemas.openxmlformats.org/officeDocument/2006/relationships/hyperlink" Target="http://Www.ninds.nih.gov"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7554/elife.16658" TargetMode="External"/><Relationship Id="rId11" Type="http://schemas.openxmlformats.org/officeDocument/2006/relationships/hyperlink" Target="https://doi.org/10.1016/j.neuron.2015.09.004" TargetMode="External"/><Relationship Id="rId24" Type="http://schemas.openxmlformats.org/officeDocument/2006/relationships/hyperlink" Target="https://doi.org/10.1002/hipo.10085" TargetMode="External"/><Relationship Id="rId5" Type="http://schemas.openxmlformats.org/officeDocument/2006/relationships/hyperlink" Target="https://doi.org/10.1523/jneurosci.4262-06.2006" TargetMode="External"/><Relationship Id="rId15" Type="http://schemas.openxmlformats.org/officeDocument/2006/relationships/hyperlink" Target="https://doi.org/10.1503/cmaj.191099" TargetMode="External"/><Relationship Id="rId23" Type="http://schemas.openxmlformats.org/officeDocument/2006/relationships/hyperlink" Target="https://doi.org/10.1101/cshperspect.a021766" TargetMode="External"/><Relationship Id="rId28" Type="http://schemas.openxmlformats.org/officeDocument/2006/relationships/fontTable" Target="fontTable.xml"/><Relationship Id="rId10" Type="http://schemas.openxmlformats.org/officeDocument/2006/relationships/hyperlink" Target="https://doi.org/10.4103/0972-2327.104323" TargetMode="External"/><Relationship Id="rId19" Type="http://schemas.openxmlformats.org/officeDocument/2006/relationships/hyperlink" Target="https://doi.org/10.1038/s41467-021-24967-z" TargetMode="External"/><Relationship Id="rId4" Type="http://schemas.openxmlformats.org/officeDocument/2006/relationships/hyperlink" Target="https://doi.org/10.3390/brainsci11030404" TargetMode="External"/><Relationship Id="rId9" Type="http://schemas.openxmlformats.org/officeDocument/2006/relationships/hyperlink" Target="https://doi.org/10.1016/j.jad.2015.09.021" TargetMode="External"/><Relationship Id="rId14" Type="http://schemas.openxmlformats.org/officeDocument/2006/relationships/hyperlink" Target="https://www.ncbi.nlm.nih.gov/books/NBK482171/" TargetMode="External"/><Relationship Id="rId22" Type="http://schemas.openxmlformats.org/officeDocument/2006/relationships/hyperlink" Target="https://www.ncbi.nlm.nih.gov/books/NBK557811/" TargetMode="External"/><Relationship Id="rId27" Type="http://schemas.openxmlformats.org/officeDocument/2006/relationships/hyperlink" Target="https://doi.org/10.7759/cureus.458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3638</Words>
  <Characters>20740</Characters>
  <Application>Microsoft Office Word</Application>
  <DocSecurity>0</DocSecurity>
  <Lines>172</Lines>
  <Paragraphs>48</Paragraphs>
  <ScaleCrop>false</ScaleCrop>
  <Company/>
  <LinksUpToDate>false</LinksUpToDate>
  <CharactersWithSpaces>24330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Niessa Azmir</dc:creator>
  <cp:keywords/>
  <dc:description/>
  <cp:lastModifiedBy>Niessa Azmir</cp:lastModifiedBy>
  <cp:revision>2</cp:revision>
  <dcterms:created xsi:type="dcterms:W3CDTF">2024-03-19T15:18:00Z</dcterms:created>
  <dcterms:modified xsi:type="dcterms:W3CDTF">2024-03-19T15:18:00Z</dcterms:modified>
</cp:coreProperties>
</file>