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753684"/>
        <w:docPartObj>
          <w:docPartGallery w:val="Cover Pages"/>
          <w:docPartUnique/>
        </w:docPartObj>
      </w:sdtPr>
      <w:sdtEndPr/>
      <w:sdtContent>
        <w:p w14:paraId="1B08708A" w14:textId="46ACE633" w:rsidR="00BF35F7" w:rsidRDefault="00FD1795">
          <w:r>
            <w:rPr>
              <w:noProof/>
            </w:rPr>
            <mc:AlternateContent>
              <mc:Choice Requires="wpg">
                <w:drawing>
                  <wp:anchor distT="0" distB="0" distL="114300" distR="114300" simplePos="0" relativeHeight="251660288" behindDoc="0" locked="0" layoutInCell="1" allowOverlap="1" wp14:anchorId="76A2455F" wp14:editId="77FD93A4">
                    <wp:simplePos x="0" y="0"/>
                    <wp:positionH relativeFrom="page">
                      <wp:align>left</wp:align>
                    </wp:positionH>
                    <wp:positionV relativeFrom="page">
                      <wp:align>top</wp:align>
                    </wp:positionV>
                    <wp:extent cx="6677025" cy="4352924"/>
                    <wp:effectExtent l="0" t="0" r="9525" b="1016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77025" cy="4352924"/>
                              <a:chOff x="0" y="0"/>
                              <a:chExt cx="6676228" cy="4352924"/>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5"/>
                                <a:ext cx="5904718" cy="3591039"/>
                              </a:xfrm>
                              <a:prstGeom prst="rect">
                                <a:avLst/>
                              </a:prstGeom>
                              <a:noFill/>
                              <a:ln w="6350">
                                <a:noFill/>
                              </a:ln>
                            </wps:spPr>
                            <wps:txbx>
                              <w:txbxContent>
                                <w:p w14:paraId="34FEAD9C" w14:textId="607E6507" w:rsidR="00BF35F7" w:rsidRDefault="00BF35F7">
                                  <w:pPr>
                                    <w:pStyle w:val="NoSpacing"/>
                                    <w:spacing w:after="240" w:line="216" w:lineRule="auto"/>
                                    <w:rPr>
                                      <w:rFonts w:asciiTheme="majorHAnsi" w:hAnsiTheme="majorHAnsi"/>
                                      <w:color w:val="44546A" w:themeColor="text2"/>
                                      <w:spacing w:val="10"/>
                                      <w:sz w:val="36"/>
                                      <w:szCs w:val="36"/>
                                    </w:rPr>
                                  </w:pPr>
                                </w:p>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95706A0" w14:textId="4919F8FD" w:rsidR="00BF35F7" w:rsidRDefault="00BF35F7">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Management accounting</w:t>
                                      </w:r>
                                      <w:r w:rsidR="00FD1795">
                                        <w:rPr>
                                          <w:rFonts w:asciiTheme="majorHAnsi" w:hAnsiTheme="majorHAnsi"/>
                                          <w:caps/>
                                          <w:color w:val="44546A" w:themeColor="text2"/>
                                          <w:sz w:val="96"/>
                                          <w:szCs w:val="96"/>
                                        </w:rPr>
                                        <w:t xml:space="preserve"> lcbb5002</w:t>
                                      </w:r>
                                    </w:p>
                                  </w:sdtContent>
                                </w:sdt>
                                <w:p w14:paraId="6CC9C7A1" w14:textId="6056874C" w:rsidR="00FD1795" w:rsidRDefault="00FD179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assigment2</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A2455F" id="Group 459" o:spid="_x0000_s1026" alt="Title: Title and subtitle with crop mark graphic" style="position:absolute;margin-left:0;margin-top:0;width:525.75pt;height:342.75pt;z-index:251660288;mso-position-horizontal:left;mso-position-horizontal-relative:page;mso-position-vertical:top;mso-position-vertical-relative:page;mso-width-relative:margin;mso-height-relative:margin" coordsize="66762,4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9047;height:3591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p w14:paraId="34FEAD9C" w14:textId="607E6507" w:rsidR="00BF35F7" w:rsidRDefault="00BF35F7">
                            <w:pPr>
                              <w:pStyle w:val="NoSpacing"/>
                              <w:spacing w:after="240" w:line="216" w:lineRule="auto"/>
                              <w:rPr>
                                <w:rFonts w:asciiTheme="majorHAnsi" w:hAnsiTheme="majorHAnsi"/>
                                <w:color w:val="44546A" w:themeColor="text2"/>
                                <w:spacing w:val="10"/>
                                <w:sz w:val="36"/>
                                <w:szCs w:val="36"/>
                              </w:rPr>
                            </w:pPr>
                          </w:p>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95706A0" w14:textId="4919F8FD" w:rsidR="00BF35F7" w:rsidRDefault="00BF35F7">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Management accounting</w:t>
                                </w:r>
                                <w:r w:rsidR="00FD1795">
                                  <w:rPr>
                                    <w:rFonts w:asciiTheme="majorHAnsi" w:hAnsiTheme="majorHAnsi"/>
                                    <w:caps/>
                                    <w:color w:val="44546A" w:themeColor="text2"/>
                                    <w:sz w:val="96"/>
                                    <w:szCs w:val="96"/>
                                  </w:rPr>
                                  <w:t xml:space="preserve"> lcbb5002</w:t>
                                </w:r>
                              </w:p>
                            </w:sdtContent>
                          </w:sdt>
                          <w:p w14:paraId="6CC9C7A1" w14:textId="6056874C" w:rsidR="00FD1795" w:rsidRDefault="00FD179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assigment2</w:t>
                            </w:r>
                          </w:p>
                        </w:txbxContent>
                      </v:textbox>
                    </v:shape>
                    <w10:wrap anchorx="page" anchory="page"/>
                  </v:group>
                </w:pict>
              </mc:Fallback>
            </mc:AlternateContent>
          </w:r>
        </w:p>
        <w:p w14:paraId="121E92D6" w14:textId="72080180" w:rsidR="00BF35F7" w:rsidRDefault="00FD1795">
          <w:pPr>
            <w:spacing w:after="0" w:line="240" w:lineRule="auto"/>
          </w:pPr>
          <w:r>
            <w:rPr>
              <w:noProof/>
            </w:rPr>
            <mc:AlternateContent>
              <mc:Choice Requires="wpg">
                <w:drawing>
                  <wp:anchor distT="0" distB="0" distL="114300" distR="114300" simplePos="0" relativeHeight="251661312" behindDoc="0" locked="0" layoutInCell="1" allowOverlap="1" wp14:anchorId="2DD21249" wp14:editId="15425BE9">
                    <wp:simplePos x="0" y="0"/>
                    <wp:positionH relativeFrom="page">
                      <wp:posOffset>2514600</wp:posOffset>
                    </wp:positionH>
                    <wp:positionV relativeFrom="page">
                      <wp:posOffset>7315200</wp:posOffset>
                    </wp:positionV>
                    <wp:extent cx="5043805"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5043805" cy="3373755"/>
                              <a:chOff x="-371413" y="0"/>
                              <a:chExt cx="5043235"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371413" y="1104774"/>
                                <a:ext cx="4275421" cy="1924175"/>
                              </a:xfrm>
                              <a:prstGeom prst="rect">
                                <a:avLst/>
                              </a:prstGeom>
                              <a:noFill/>
                              <a:ln w="6350">
                                <a:noFill/>
                              </a:ln>
                            </wps:spPr>
                            <wps:txbx>
                              <w:txbxContent>
                                <w:p w14:paraId="29926402" w14:textId="285E7BFC" w:rsidR="00BF35F7" w:rsidRDefault="002E5473" w:rsidP="00FD1795">
                                  <w:pPr>
                                    <w:pStyle w:val="NoSpacing"/>
                                    <w:spacing w:after="240"/>
                                    <w:jc w:val="right"/>
                                    <w:rPr>
                                      <w:color w:val="44546A" w:themeColor="text2"/>
                                      <w:spacing w:val="10"/>
                                      <w:sz w:val="36"/>
                                      <w:szCs w:val="36"/>
                                      <w:lang w:val="en-GB"/>
                                    </w:rPr>
                                  </w:pPr>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FD1795">
                                        <w:rPr>
                                          <w:color w:val="44546A" w:themeColor="text2"/>
                                          <w:spacing w:val="10"/>
                                          <w:sz w:val="36"/>
                                          <w:szCs w:val="36"/>
                                        </w:rPr>
                                        <w:t>Module leader:</w:t>
                                      </w:r>
                                    </w:sdtContent>
                                  </w:sdt>
                                  <w:r w:rsidR="00FD1795" w:rsidRPr="00FD1795">
                                    <w:rPr>
                                      <w:rFonts w:ascii="Arial" w:eastAsiaTheme="minorHAnsi" w:hAnsi="Arial"/>
                                      <w:sz w:val="24"/>
                                      <w:lang w:val="en-GB" w:eastAsia="en-US"/>
                                    </w:rPr>
                                    <w:t xml:space="preserve"> </w:t>
                                  </w:r>
                                  <w:proofErr w:type="spellStart"/>
                                  <w:r w:rsidR="00FD1795" w:rsidRPr="00FD1795">
                                    <w:rPr>
                                      <w:color w:val="44546A" w:themeColor="text2"/>
                                      <w:spacing w:val="10"/>
                                      <w:sz w:val="36"/>
                                      <w:szCs w:val="36"/>
                                      <w:lang w:val="en-GB"/>
                                    </w:rPr>
                                    <w:t>Rexon</w:t>
                                  </w:r>
                                  <w:proofErr w:type="spellEnd"/>
                                  <w:r w:rsidR="00FD1795" w:rsidRPr="00FD1795">
                                    <w:rPr>
                                      <w:color w:val="44546A" w:themeColor="text2"/>
                                      <w:spacing w:val="10"/>
                                      <w:sz w:val="36"/>
                                      <w:szCs w:val="36"/>
                                      <w:lang w:val="en-GB"/>
                                    </w:rPr>
                                    <w:t xml:space="preserve"> </w:t>
                                  </w:r>
                                  <w:proofErr w:type="spellStart"/>
                                  <w:r w:rsidR="00FD1795" w:rsidRPr="00FD1795">
                                    <w:rPr>
                                      <w:color w:val="44546A" w:themeColor="text2"/>
                                      <w:spacing w:val="10"/>
                                      <w:sz w:val="36"/>
                                      <w:szCs w:val="36"/>
                                      <w:lang w:val="en-GB"/>
                                    </w:rPr>
                                    <w:t>Nting</w:t>
                                  </w:r>
                                  <w:proofErr w:type="spellEnd"/>
                                </w:p>
                                <w:p w14:paraId="4BC74724" w14:textId="7AED1D48" w:rsidR="00FD1795" w:rsidRDefault="00FD1795" w:rsidP="00FD1795">
                                  <w:pPr>
                                    <w:pStyle w:val="NoSpacing"/>
                                    <w:spacing w:after="240"/>
                                    <w:jc w:val="right"/>
                                    <w:rPr>
                                      <w:color w:val="44546A" w:themeColor="text2"/>
                                      <w:spacing w:val="10"/>
                                      <w:sz w:val="36"/>
                                      <w:szCs w:val="36"/>
                                      <w:lang w:val="en-GB"/>
                                    </w:rPr>
                                  </w:pPr>
                                  <w:r>
                                    <w:rPr>
                                      <w:color w:val="44546A" w:themeColor="text2"/>
                                      <w:spacing w:val="10"/>
                                      <w:sz w:val="36"/>
                                      <w:szCs w:val="36"/>
                                      <w:lang w:val="en-GB"/>
                                    </w:rPr>
                                    <w:t>Prepared by: Dobrinka Kiryakova</w:t>
                                  </w:r>
                                </w:p>
                                <w:p w14:paraId="25535F72" w14:textId="4B93A9FD" w:rsidR="00FD1795" w:rsidRPr="00FD1795" w:rsidRDefault="00FD1795" w:rsidP="00FD1795">
                                  <w:pPr>
                                    <w:pStyle w:val="NoSpacing"/>
                                    <w:spacing w:after="240"/>
                                    <w:jc w:val="right"/>
                                    <w:rPr>
                                      <w:color w:val="44546A" w:themeColor="text2"/>
                                      <w:spacing w:val="10"/>
                                      <w:sz w:val="36"/>
                                      <w:szCs w:val="36"/>
                                    </w:rPr>
                                  </w:pPr>
                                  <w:r>
                                    <w:rPr>
                                      <w:color w:val="44546A" w:themeColor="text2"/>
                                      <w:spacing w:val="10"/>
                                      <w:sz w:val="36"/>
                                      <w:szCs w:val="36"/>
                                      <w:lang w:val="en-GB"/>
                                    </w:rPr>
                                    <w:t>Student ID:1818047</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D21249" id="Group 454" o:spid="_x0000_s1031" alt="Title: Author and company name with crop mark graphic" style="position:absolute;margin-left:198pt;margin-top:8in;width:397.15pt;height:265.65pt;z-index:251661312;mso-position-horizontal-relative:page;mso-position-vertical-relative:page;mso-width-relative:margin;mso-height-relative:margin" coordorigin="-3714" coordsize="50432,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left:-3714;top:11047;width:42754;height:192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p w14:paraId="29926402" w14:textId="285E7BFC" w:rsidR="00BF35F7" w:rsidRDefault="002E5473" w:rsidP="00FD1795">
                            <w:pPr>
                              <w:pStyle w:val="NoSpacing"/>
                              <w:spacing w:after="240"/>
                              <w:jc w:val="right"/>
                              <w:rPr>
                                <w:color w:val="44546A" w:themeColor="text2"/>
                                <w:spacing w:val="10"/>
                                <w:sz w:val="36"/>
                                <w:szCs w:val="36"/>
                                <w:lang w:val="en-GB"/>
                              </w:rPr>
                            </w:pPr>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FD1795">
                                  <w:rPr>
                                    <w:color w:val="44546A" w:themeColor="text2"/>
                                    <w:spacing w:val="10"/>
                                    <w:sz w:val="36"/>
                                    <w:szCs w:val="36"/>
                                  </w:rPr>
                                  <w:t>Module leader:</w:t>
                                </w:r>
                              </w:sdtContent>
                            </w:sdt>
                            <w:r w:rsidR="00FD1795" w:rsidRPr="00FD1795">
                              <w:rPr>
                                <w:rFonts w:ascii="Arial" w:eastAsiaTheme="minorHAnsi" w:hAnsi="Arial"/>
                                <w:sz w:val="24"/>
                                <w:lang w:val="en-GB" w:eastAsia="en-US"/>
                              </w:rPr>
                              <w:t xml:space="preserve"> </w:t>
                            </w:r>
                            <w:proofErr w:type="spellStart"/>
                            <w:r w:rsidR="00FD1795" w:rsidRPr="00FD1795">
                              <w:rPr>
                                <w:color w:val="44546A" w:themeColor="text2"/>
                                <w:spacing w:val="10"/>
                                <w:sz w:val="36"/>
                                <w:szCs w:val="36"/>
                                <w:lang w:val="en-GB"/>
                              </w:rPr>
                              <w:t>Rexon</w:t>
                            </w:r>
                            <w:proofErr w:type="spellEnd"/>
                            <w:r w:rsidR="00FD1795" w:rsidRPr="00FD1795">
                              <w:rPr>
                                <w:color w:val="44546A" w:themeColor="text2"/>
                                <w:spacing w:val="10"/>
                                <w:sz w:val="36"/>
                                <w:szCs w:val="36"/>
                                <w:lang w:val="en-GB"/>
                              </w:rPr>
                              <w:t xml:space="preserve"> </w:t>
                            </w:r>
                            <w:proofErr w:type="spellStart"/>
                            <w:r w:rsidR="00FD1795" w:rsidRPr="00FD1795">
                              <w:rPr>
                                <w:color w:val="44546A" w:themeColor="text2"/>
                                <w:spacing w:val="10"/>
                                <w:sz w:val="36"/>
                                <w:szCs w:val="36"/>
                                <w:lang w:val="en-GB"/>
                              </w:rPr>
                              <w:t>Nting</w:t>
                            </w:r>
                            <w:proofErr w:type="spellEnd"/>
                          </w:p>
                          <w:p w14:paraId="4BC74724" w14:textId="7AED1D48" w:rsidR="00FD1795" w:rsidRDefault="00FD1795" w:rsidP="00FD1795">
                            <w:pPr>
                              <w:pStyle w:val="NoSpacing"/>
                              <w:spacing w:after="240"/>
                              <w:jc w:val="right"/>
                              <w:rPr>
                                <w:color w:val="44546A" w:themeColor="text2"/>
                                <w:spacing w:val="10"/>
                                <w:sz w:val="36"/>
                                <w:szCs w:val="36"/>
                                <w:lang w:val="en-GB"/>
                              </w:rPr>
                            </w:pPr>
                            <w:r>
                              <w:rPr>
                                <w:color w:val="44546A" w:themeColor="text2"/>
                                <w:spacing w:val="10"/>
                                <w:sz w:val="36"/>
                                <w:szCs w:val="36"/>
                                <w:lang w:val="en-GB"/>
                              </w:rPr>
                              <w:t>Prepared by: Dobrinka Kiryakova</w:t>
                            </w:r>
                          </w:p>
                          <w:p w14:paraId="25535F72" w14:textId="4B93A9FD" w:rsidR="00FD1795" w:rsidRPr="00FD1795" w:rsidRDefault="00FD1795" w:rsidP="00FD1795">
                            <w:pPr>
                              <w:pStyle w:val="NoSpacing"/>
                              <w:spacing w:after="240"/>
                              <w:jc w:val="right"/>
                              <w:rPr>
                                <w:color w:val="44546A" w:themeColor="text2"/>
                                <w:spacing w:val="10"/>
                                <w:sz w:val="36"/>
                                <w:szCs w:val="36"/>
                              </w:rPr>
                            </w:pPr>
                            <w:r>
                              <w:rPr>
                                <w:color w:val="44546A" w:themeColor="text2"/>
                                <w:spacing w:val="10"/>
                                <w:sz w:val="36"/>
                                <w:szCs w:val="36"/>
                                <w:lang w:val="en-GB"/>
                              </w:rPr>
                              <w:t>Student ID:1818047</w:t>
                            </w:r>
                          </w:p>
                        </w:txbxContent>
                      </v:textbox>
                    </v:shape>
                    <w10:wrap anchorx="page" anchory="page"/>
                  </v:group>
                </w:pict>
              </mc:Fallback>
            </mc:AlternateContent>
          </w:r>
          <w:r w:rsidR="00BF35F7">
            <w:br w:type="page"/>
          </w:r>
        </w:p>
      </w:sdtContent>
    </w:sdt>
    <w:p w14:paraId="4C75F930" w14:textId="66532E37" w:rsidR="00FE6EE1" w:rsidRDefault="002E5473"/>
    <w:p w14:paraId="79313561" w14:textId="6FD9D0BB" w:rsidR="00BF35F7" w:rsidRDefault="00BF35F7"/>
    <w:p w14:paraId="122997F0" w14:textId="60B68B5B" w:rsidR="00BF35F7" w:rsidRDefault="00BF35F7"/>
    <w:p w14:paraId="5B4495AB" w14:textId="77777777" w:rsidR="009F3B98" w:rsidRDefault="009F3B98" w:rsidP="009F3B98">
      <w:pPr>
        <w:pStyle w:val="Heading1"/>
      </w:pPr>
      <w:r>
        <w:t>Introduction</w:t>
      </w:r>
    </w:p>
    <w:p w14:paraId="3920C7BB" w14:textId="7D5E9E65" w:rsidR="009F3B98" w:rsidRDefault="009F3B98" w:rsidP="009F3B98">
      <w:r>
        <w:t xml:space="preserve">This file will glance in more detail at the introduction and impact of new highlights, for example, </w:t>
      </w:r>
      <w:r w:rsidR="00FD1795">
        <w:t>COVID-19</w:t>
      </w:r>
      <w:r>
        <w:t xml:space="preserve"> and impeding, and how XLG and its organization need to recognize and conclude how to adjust to adjust to the market atmosphere. The distinctions in expenses and sums are resolved and the utilization of the organization is inspected. The area and operational variances and their control are talked about in this assertion. Whether or not the organization should buy or convey </w:t>
      </w:r>
      <w:proofErr w:type="spellStart"/>
      <w:r>
        <w:t>FarmaQ</w:t>
      </w:r>
      <w:proofErr w:type="spellEnd"/>
      <w:r>
        <w:t xml:space="preserve"> was likewise introduced and tended to. The analytical body of this association and the information are introduced in the going with model/responsibilities. </w:t>
      </w:r>
    </w:p>
    <w:p w14:paraId="7179209D" w14:textId="374DBBAE" w:rsidR="009F3B98" w:rsidRDefault="009F3B98" w:rsidP="009F3B98">
      <w:r>
        <w:t>Objectives of the Reporting File</w:t>
      </w:r>
    </w:p>
    <w:p w14:paraId="4EE50B4A" w14:textId="77777777" w:rsidR="009F3B98" w:rsidRDefault="009F3B98" w:rsidP="009F3B98">
      <w:r>
        <w:t xml:space="preserve">Make the ally for the following quarter, exceptionally indicating all highlights: </w:t>
      </w:r>
    </w:p>
    <w:p w14:paraId="43EEF138" w14:textId="5B7F0A90" w:rsidR="009F3B98" w:rsidRDefault="009F3B98" w:rsidP="009F3B98">
      <w:pPr>
        <w:pStyle w:val="ListParagraph"/>
        <w:numPr>
          <w:ilvl w:val="0"/>
          <w:numId w:val="2"/>
        </w:numPr>
      </w:pPr>
      <w:r>
        <w:t xml:space="preserve">The adjustment in the estimation of exchanges and the distinction in responsibilities by volume of exchanges - Increase the prominence of articles due to the </w:t>
      </w:r>
      <w:r w:rsidR="00FD1795">
        <w:t>COVID-19</w:t>
      </w:r>
      <w:r>
        <w:t xml:space="preserve"> </w:t>
      </w:r>
    </w:p>
    <w:p w14:paraId="40A8DB4B" w14:textId="0EC6F635" w:rsidR="009F3B98" w:rsidRDefault="009F3B98" w:rsidP="009F3B98">
      <w:pPr>
        <w:pStyle w:val="ListParagraph"/>
        <w:numPr>
          <w:ilvl w:val="0"/>
          <w:numId w:val="2"/>
        </w:numPr>
      </w:pPr>
      <w:r>
        <w:t xml:space="preserve">Material worth, requesting of contrasts and working vacillations in material expenses - Material value fluctuation change (MPPV) and operational material value contrast for substances X and Y </w:t>
      </w:r>
    </w:p>
    <w:p w14:paraId="28F19FF1" w14:textId="6888D815" w:rsidR="009F3B98" w:rsidRDefault="009F3B98" w:rsidP="009F3B98">
      <w:pPr>
        <w:pStyle w:val="Heading1"/>
      </w:pPr>
      <w:r>
        <w:t>Calculation of Financial Position and Statement of the Company – Evaluation of Favourable or Unfavourable Financial Wellbeing for XLG</w:t>
      </w:r>
    </w:p>
    <w:p w14:paraId="3F153DB5" w14:textId="77777777" w:rsidR="009F3B98" w:rsidRDefault="00A60A47" w:rsidP="009F3B98">
      <w:r>
        <w:rPr>
          <w:noProof/>
        </w:rPr>
        <w:object w:dxaOrig="15280" w:dyaOrig="5900" w14:anchorId="68EA6D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98pt;height:270pt;mso-width-percent:0;mso-height-percent:0;mso-width-percent:0;mso-height-percent:0" o:ole="">
            <v:imagedata r:id="rId7" o:title=""/>
          </v:shape>
          <o:OLEObject Type="Embed" ProgID="Excel.Sheet.12" ShapeID="_x0000_i1025" DrawAspect="Content" ObjectID="_1671456998" r:id="rId8"/>
        </w:object>
      </w:r>
    </w:p>
    <w:p w14:paraId="2CED1435" w14:textId="77777777" w:rsidR="009F3B98" w:rsidRDefault="00A60A47" w:rsidP="009F3B98">
      <w:r>
        <w:rPr>
          <w:noProof/>
        </w:rPr>
        <w:object w:dxaOrig="14600" w:dyaOrig="1420" w14:anchorId="0F4F3AA4">
          <v:shape id="_x0000_i1026" type="#_x0000_t75" alt="" style="width:825pt;height:81pt;mso-width-percent:0;mso-height-percent:0;mso-width-percent:0;mso-height-percent:0" o:ole="">
            <v:imagedata r:id="rId9" o:title=""/>
          </v:shape>
          <o:OLEObject Type="Embed" ProgID="Excel.Sheet.12" ShapeID="_x0000_i1026" DrawAspect="Content" ObjectID="_1671456999" r:id="rId10"/>
        </w:object>
      </w:r>
    </w:p>
    <w:p w14:paraId="1E2D0BB9" w14:textId="77777777" w:rsidR="009F3B98" w:rsidRDefault="00A60A47" w:rsidP="009F3B98">
      <w:r>
        <w:rPr>
          <w:noProof/>
        </w:rPr>
        <w:object w:dxaOrig="11300" w:dyaOrig="2380" w14:anchorId="4C211D9E">
          <v:shape id="_x0000_i1027" type="#_x0000_t75" alt="" style="width:546pt;height:114pt;mso-width-percent:0;mso-height-percent:0;mso-width-percent:0;mso-height-percent:0" o:ole="">
            <v:imagedata r:id="rId11" o:title=""/>
          </v:shape>
          <o:OLEObject Type="Embed" ProgID="Excel.Sheet.12" ShapeID="_x0000_i1027" DrawAspect="Content" ObjectID="_1671457000" r:id="rId12"/>
        </w:object>
      </w:r>
    </w:p>
    <w:p w14:paraId="41278336" w14:textId="77777777" w:rsidR="009F3B98" w:rsidRDefault="00A60A47" w:rsidP="009F3B98">
      <w:r>
        <w:rPr>
          <w:noProof/>
        </w:rPr>
        <w:object w:dxaOrig="18576" w:dyaOrig="1480" w14:anchorId="3CB15E25">
          <v:shape id="_x0000_i1028" type="#_x0000_t75" alt="" style="width:930pt;height:1in;mso-width-percent:0;mso-height-percent:0;mso-width-percent:0;mso-height-percent:0" o:ole="">
            <v:imagedata r:id="rId13" o:title=""/>
          </v:shape>
          <o:OLEObject Type="Embed" ProgID="Excel.Sheet.12" ShapeID="_x0000_i1028" DrawAspect="Content" ObjectID="_1671457001" r:id="rId14"/>
        </w:object>
      </w:r>
    </w:p>
    <w:p w14:paraId="23E181A4" w14:textId="77777777" w:rsidR="009F3B98" w:rsidRDefault="00A60A47" w:rsidP="009F3B98">
      <w:r>
        <w:rPr>
          <w:noProof/>
        </w:rPr>
        <w:object w:dxaOrig="10920" w:dyaOrig="1240" w14:anchorId="687B4EAB">
          <v:shape id="_x0000_i1029" type="#_x0000_t75" alt="" style="width:501pt;height:57pt;mso-width-percent:0;mso-height-percent:0;mso-width-percent:0;mso-height-percent:0" o:ole="">
            <v:imagedata r:id="rId15" o:title=""/>
          </v:shape>
          <o:OLEObject Type="Embed" ProgID="Excel.Sheet.12" ShapeID="_x0000_i1029" DrawAspect="Content" ObjectID="_1671457002" r:id="rId16"/>
        </w:object>
      </w:r>
    </w:p>
    <w:p w14:paraId="1D372DF2" w14:textId="77777777" w:rsidR="009F3B98" w:rsidRDefault="00A60A47" w:rsidP="009F3B98">
      <w:r>
        <w:rPr>
          <w:noProof/>
        </w:rPr>
        <w:object w:dxaOrig="10980" w:dyaOrig="2900" w14:anchorId="76A6A710">
          <v:shape id="_x0000_i1030" type="#_x0000_t75" alt="" style="width:495pt;height:132pt;mso-width-percent:0;mso-height-percent:0;mso-width-percent:0;mso-height-percent:0" o:ole="">
            <v:imagedata r:id="rId17" o:title=""/>
          </v:shape>
          <o:OLEObject Type="Embed" ProgID="Excel.Sheet.12" ShapeID="_x0000_i1030" DrawAspect="Content" ObjectID="_1671457003" r:id="rId18"/>
        </w:object>
      </w:r>
    </w:p>
    <w:p w14:paraId="64D67E96" w14:textId="182131A7" w:rsidR="009F3B98" w:rsidRDefault="009F3B98" w:rsidP="009F3B98"/>
    <w:p w14:paraId="4C7A9814" w14:textId="16290AE3" w:rsidR="009F3B98" w:rsidRDefault="009F3B98" w:rsidP="009F3B98"/>
    <w:p w14:paraId="3F937537" w14:textId="17049527" w:rsidR="009F3B98" w:rsidRDefault="009F3B98" w:rsidP="009F3B98"/>
    <w:p w14:paraId="25DAA84D" w14:textId="50774F1D" w:rsidR="009F3B98" w:rsidRDefault="009F3B98" w:rsidP="009F3B98"/>
    <w:p w14:paraId="0C22EDC5" w14:textId="33085710" w:rsidR="009F3B98" w:rsidRDefault="009F3B98" w:rsidP="009F3B98"/>
    <w:p w14:paraId="6200D900" w14:textId="77777777" w:rsidR="009F3B98" w:rsidRDefault="009F3B98" w:rsidP="009F3B98"/>
    <w:p w14:paraId="5891B644" w14:textId="6B6CF96A" w:rsidR="009F3B98" w:rsidRDefault="009F3B98" w:rsidP="009F3B98">
      <w:pPr>
        <w:pStyle w:val="Heading1"/>
      </w:pPr>
      <w:r>
        <w:t>Examination of Accounting in the Environment of Business Organisations - XLG Study</w:t>
      </w:r>
    </w:p>
    <w:p w14:paraId="55796B66" w14:textId="3447D833" w:rsidR="009F3B98" w:rsidRDefault="009F3B98" w:rsidP="009F3B98">
      <w:pPr>
        <w:pStyle w:val="Heading2"/>
      </w:pPr>
      <w:r>
        <w:t>Overview</w:t>
      </w:r>
    </w:p>
    <w:p w14:paraId="690A471C" w14:textId="5591CD2F" w:rsidR="009F3B98" w:rsidRDefault="009F3B98" w:rsidP="009F3B98">
      <w:r>
        <w:t xml:space="preserve">Ordinary arranging is a check between the financial plan (standard) and the genuine execution. Utilizing ordinary methodologies, it isn't clear why there are changes and who is answerable for the distinction. That is the reason the utilization of versatile arranging is utilized to consider what ended up being awful and why there is a distinction. </w:t>
      </w:r>
    </w:p>
    <w:p w14:paraId="4A56F967" w14:textId="77777777" w:rsidR="009F3B98" w:rsidRDefault="009F3B98" w:rsidP="009F3B98">
      <w:r>
        <w:t xml:space="preserve">The examination between the spending plan and the adaptable is called Deviation Planning, which implies that it can't be controlled, however gives information that is helpful for directors and how </w:t>
      </w:r>
      <w:proofErr w:type="spellStart"/>
      <w:r>
        <w:t>skillful</w:t>
      </w:r>
      <w:proofErr w:type="spellEnd"/>
      <w:r>
        <w:t xml:space="preserve"> the organization </w:t>
      </w:r>
      <w:proofErr w:type="gramStart"/>
      <w:r>
        <w:t>is</w:t>
      </w:r>
      <w:proofErr w:type="gramEnd"/>
      <w:r>
        <w:t xml:space="preserve"> and this information can be utilized for future courses of action. (</w:t>
      </w:r>
      <w:proofErr w:type="spellStart"/>
      <w:r>
        <w:t>Durry</w:t>
      </w:r>
      <w:proofErr w:type="spellEnd"/>
      <w:r>
        <w:t xml:space="preserve">, C., 2018) </w:t>
      </w:r>
    </w:p>
    <w:p w14:paraId="05AAC468" w14:textId="77777777" w:rsidR="009F3B98" w:rsidRDefault="009F3B98" w:rsidP="009F3B98">
      <w:r>
        <w:lastRenderedPageBreak/>
        <w:t>Changes being used: In the creation business, the creation administrator has the commitment to control the utilization and is answerable for any distinctions. The commitment to change the cost is under the management of the Purchase. The proportion of vacillations in the effectiveness of buys (operational) uncovers the genuine conditions that are beneficial during the unfurling time span. (</w:t>
      </w:r>
      <w:proofErr w:type="spellStart"/>
      <w:r>
        <w:t>Durry</w:t>
      </w:r>
      <w:proofErr w:type="spellEnd"/>
      <w:r>
        <w:t xml:space="preserve">, C., 2018) </w:t>
      </w:r>
    </w:p>
    <w:p w14:paraId="033D710C" w14:textId="174F09D0" w:rsidR="009F3B98" w:rsidRDefault="009F3B98" w:rsidP="009F3B98">
      <w:r>
        <w:t xml:space="preserve">The relationship amongst adaptable and genuine presentation is called operational change. The adequacy of executives ought to be estimated by differentiating the real outcomes and refreshed rules relying upon the real circumstance where the managers work during the period. </w:t>
      </w:r>
    </w:p>
    <w:p w14:paraId="672693BA" w14:textId="77777777" w:rsidR="009F3B98" w:rsidRDefault="009F3B98" w:rsidP="009F3B98">
      <w:pPr>
        <w:pStyle w:val="Heading2"/>
      </w:pPr>
      <w:r>
        <w:t xml:space="preserve">Purchase an adjustment in productivity </w:t>
      </w:r>
    </w:p>
    <w:p w14:paraId="4DFE3385" w14:textId="77777777" w:rsidR="009F3B98" w:rsidRDefault="009F3B98" w:rsidP="009F3B98">
      <w:r>
        <w:t xml:space="preserve">1. Improving control costs. Associations can improve their cost control by setting standards for each sort of cost and inviting contrasts when they emerge. Vacillation might be an outcome of progress in the cost of data sources, which is outside the ability to control of the head. The changed cost is the new standard beginning stage for evaluating the adequacy and reasonability of the supervisor's assertion. for cost control. Further examination when there are vacillations in the changed expenses and the genuine expenses to appreciate if the explanation is in the inefficient utilization of materials or insufficient buys. </w:t>
      </w:r>
    </w:p>
    <w:p w14:paraId="2C0B43D8" w14:textId="77777777" w:rsidR="009F3B98" w:rsidRDefault="009F3B98" w:rsidP="009F3B98">
      <w:r>
        <w:t xml:space="preserve">2. Valuable information can be acquired for settlement and regulatory understanding. Administrators can utilize standard expenses to design more exact monetary plans and better gauge costs. For senior managers, this information is significant for positioning and dynamic. A suitable standard cost system can be utilized for future assessments and more precise appraisals to bring standard costs near genuine expenses. </w:t>
      </w:r>
    </w:p>
    <w:p w14:paraId="473676BB" w14:textId="4148494A" w:rsidR="009F3B98" w:rsidRDefault="009F3B98" w:rsidP="009F3B98">
      <w:r>
        <w:t xml:space="preserve">3. Sensible and improved stock evaluation. The standard characteristic value gives a favoured gauge of inventories comparative with genuine expenses. Contingent upon the genuine cost structure, the unit cost system may fluctuate for indistinct components. For instance, if during a work cycle there is a disappointment of the machine, the heap that the tent to grow expenses and work costs will be applied to all things per thing, on the premise that the association will hope to be conveyed during the current. The personality of the units made will be accounted for at a comparable cost (Bragg, S.M. 2007) </w:t>
      </w:r>
    </w:p>
    <w:p w14:paraId="0F75C5CB" w14:textId="11B8BB5B" w:rsidR="009F3B98" w:rsidRDefault="009F3B98" w:rsidP="009F3B98">
      <w:pPr>
        <w:pStyle w:val="Heading2"/>
      </w:pPr>
      <w:r>
        <w:t>Obstructions that would emerge from organizations utilizing contrasts</w:t>
      </w:r>
    </w:p>
    <w:p w14:paraId="3431B8C4" w14:textId="77777777" w:rsidR="009F3B98" w:rsidRDefault="009F3B98" w:rsidP="009F3B98">
      <w:r>
        <w:t xml:space="preserve">1. Conflicting constraints of materiality for change. Choosing the centrality of the most </w:t>
      </w:r>
      <w:proofErr w:type="gramStart"/>
      <w:r>
        <w:t>far off</w:t>
      </w:r>
      <w:proofErr w:type="gramEnd"/>
      <w:r>
        <w:t xml:space="preserve"> variances might be flawed. Already, the organization of every association was needed to pick what included material or astonishing vacillations. (Maher, M., Stickney, C. also, Wail, R. 2008). </w:t>
      </w:r>
    </w:p>
    <w:p w14:paraId="7289FDA2" w14:textId="77777777" w:rsidR="009F3B98" w:rsidRDefault="009F3B98" w:rsidP="009F3B98">
      <w:r>
        <w:t xml:space="preserve">2. No itemizing of explicit variances. Laborers don't indicate in detail all the exceptions, for example, a negative exclusion for the monetary arrangement, or may </w:t>
      </w:r>
      <w:r>
        <w:lastRenderedPageBreak/>
        <w:t xml:space="preserve">attempt to restrict these extraordinary cases and attempt to cover the disappointment. On the off chance that the worker wins as far as covering the change, he will decrease the ampleness of the expenses. </w:t>
      </w:r>
    </w:p>
    <w:p w14:paraId="32D4262A" w14:textId="77777777" w:rsidR="009F3B98" w:rsidRDefault="009F3B98" w:rsidP="009F3B98">
      <w:r>
        <w:t xml:space="preserve">3. Low-level representative: The organization through an excusal approach is utilized to reset the extraordinary changes. They went to negative variances and infrequently overlooked the ideal. Agents may acknowledge that the awful exhibition has stood apart enough to be seen while the incredible execution is being overlooked, which may incite the assurance of these laborers to persevere. (Maher, M., Stickney, C. also, Wail, R. 2008). A portion of the </w:t>
      </w:r>
      <w:proofErr w:type="spellStart"/>
      <w:r>
        <w:t>favorable</w:t>
      </w:r>
      <w:proofErr w:type="spellEnd"/>
      <w:r>
        <w:t xml:space="preserve"> circumstances and negative assessments are laid out thunder. </w:t>
      </w:r>
    </w:p>
    <w:p w14:paraId="2A0EE42C" w14:textId="77777777" w:rsidR="009F3B98" w:rsidRDefault="009F3B98" w:rsidP="009F3B98">
      <w:r>
        <w:t xml:space="preserve">The controllable and wild changes that are invited by the audit are utilized to assess the supervisor's introduction and their motivation, and in the event that they realize they won't be liable for the powerless assessment and game plan, they will set vulnerable standards. </w:t>
      </w:r>
    </w:p>
    <w:p w14:paraId="18542B00" w14:textId="77777777" w:rsidR="009F3B98" w:rsidRDefault="009F3B98" w:rsidP="009F3B98">
      <w:r>
        <w:t xml:space="preserve">Assessing standard settings and positioning should be more exact, applicable, and significant. Operational contrasts give a "more appealing" impact on evident execution. Chiefs should pick what specifically ought to be a sensible and attainable norm. They can without much of a stretch legitimize all </w:t>
      </w:r>
      <w:proofErr w:type="spellStart"/>
      <w:r>
        <w:t>falterings</w:t>
      </w:r>
      <w:proofErr w:type="spellEnd"/>
      <w:r>
        <w:t xml:space="preserve">, as they are because of horrible game plans, so operational contrasts won't be invited. Likewise, it is fundamental to survey whether chiefs are utilizing this information effectively and how their introduction will be improved, and to consider whether this recommends better elements. (Maher, M. </w:t>
      </w:r>
      <w:proofErr w:type="spellStart"/>
      <w:r>
        <w:t>Stikney</w:t>
      </w:r>
      <w:proofErr w:type="spellEnd"/>
      <w:r>
        <w:t xml:space="preserve">, C., Wail, R., 2008) </w:t>
      </w:r>
    </w:p>
    <w:p w14:paraId="70026F9F" w14:textId="2D1D6F9E" w:rsidR="009F3B98" w:rsidRDefault="009F3B98" w:rsidP="009F3B98">
      <w:pPr>
        <w:pStyle w:val="Heading2"/>
      </w:pPr>
      <w:r>
        <w:t>Irregularity study</w:t>
      </w:r>
    </w:p>
    <w:p w14:paraId="288111B0" w14:textId="77777777" w:rsidR="009F3B98" w:rsidRDefault="009F3B98" w:rsidP="009F3B98">
      <w:r>
        <w:t xml:space="preserve">Variances should be explored. Investigating all the distinctions will require a few resources, for example, time, cash, and so forth Not the entirety of the distinctions considered will get execution improving outcomes. There might be different clarifications behind the vacillations, for example, an adjustment in the market expenses of a portion of the Company's information sources. Standard expenses may get outdated because of changes in development. This should be changed, which may prompt a few changes in the decision. Another clarification behind the changes might be human goofs or the weaknesses of the gadget. The distinctions might be because of unpredictable and wild factors, for example, Covid19 and locking, and so forth (Coombs, H., Hobbs, D., Jenkins, E. 2005) </w:t>
      </w:r>
    </w:p>
    <w:p w14:paraId="7A904834" w14:textId="78694666" w:rsidR="009F3B98" w:rsidRDefault="009F3B98" w:rsidP="009F3B98">
      <w:r>
        <w:t xml:space="preserve">All the adjustments in the request are horrendous data, the atmosphere is really incredible or ominous, which implies that the request was not as it was orchestrated. Additionally, it should be investigated. The adjusted sum is a sensible benchmark for difference and genuine execution. The second we partition into Planning and Operation; it is clearer precisely where the issue of changes comes from. </w:t>
      </w:r>
    </w:p>
    <w:p w14:paraId="0C2EE6BC" w14:textId="77777777" w:rsidR="009F3B98" w:rsidRDefault="009F3B98" w:rsidP="009F3B98">
      <w:pPr>
        <w:pStyle w:val="Heading1"/>
      </w:pPr>
      <w:r>
        <w:lastRenderedPageBreak/>
        <w:t xml:space="preserve">Improvement of Operational Plans in Accounting </w:t>
      </w:r>
    </w:p>
    <w:p w14:paraId="17011CFD" w14:textId="1E42C574" w:rsidR="009F3B98" w:rsidRDefault="009F3B98" w:rsidP="009F3B98">
      <w:pPr>
        <w:pStyle w:val="Heading2"/>
      </w:pPr>
      <w:r>
        <w:t>Considerations</w:t>
      </w:r>
    </w:p>
    <w:p w14:paraId="7E5666E0" w14:textId="460A5F91" w:rsidR="009F3B98" w:rsidRDefault="009F3B98" w:rsidP="009F3B98">
      <w:r>
        <w:t xml:space="preserve">For imperative and operational plans, the executive should think about the accompanying: </w:t>
      </w:r>
    </w:p>
    <w:p w14:paraId="53B5A280" w14:textId="1D0EE8A2" w:rsidR="009F3B98" w:rsidRDefault="009F3B98" w:rsidP="009F3B98">
      <w:r>
        <w:t xml:space="preserve"> Company objectives </w:t>
      </w:r>
    </w:p>
    <w:p w14:paraId="7A27DD8A" w14:textId="57817914" w:rsidR="009F3B98" w:rsidRDefault="009F3B98" w:rsidP="009F3B98">
      <w:r>
        <w:t xml:space="preserve"> How to improve current and new clients? </w:t>
      </w:r>
    </w:p>
    <w:p w14:paraId="666AFD8D" w14:textId="5D8BCE98" w:rsidR="009F3B98" w:rsidRDefault="009F3B98" w:rsidP="009F3B98">
      <w:r>
        <w:t xml:space="preserve">Is the thing market close by, public or around the world? </w:t>
      </w:r>
    </w:p>
    <w:p w14:paraId="318E0555" w14:textId="7A6F5243" w:rsidR="009F3B98" w:rsidRDefault="009F3B98" w:rsidP="009F3B98">
      <w:r>
        <w:t xml:space="preserve">The models that shake our market </w:t>
      </w:r>
    </w:p>
    <w:p w14:paraId="306F5211" w14:textId="44F18741" w:rsidR="009F3B98" w:rsidRDefault="009F3B98" w:rsidP="009F3B98">
      <w:r>
        <w:t xml:space="preserve">How do changes in the economy influence our industry and our adversaries? </w:t>
      </w:r>
    </w:p>
    <w:p w14:paraId="39AC14E4" w14:textId="7C4F2CE0" w:rsidR="009F3B98" w:rsidRDefault="009F3B98" w:rsidP="009F3B98">
      <w:r>
        <w:t xml:space="preserve"> The relationship of size, limit, </w:t>
      </w:r>
      <w:proofErr w:type="gramStart"/>
      <w:r>
        <w:t>structure</w:t>
      </w:r>
      <w:proofErr w:type="gramEnd"/>
      <w:r>
        <w:t xml:space="preserve"> and limit </w:t>
      </w:r>
    </w:p>
    <w:p w14:paraId="19AA49F2" w14:textId="602165E7" w:rsidR="009F3B98" w:rsidRDefault="009F3B98" w:rsidP="009F3B98">
      <w:r>
        <w:t xml:space="preserve"> The risks and the decisions. </w:t>
      </w:r>
    </w:p>
    <w:p w14:paraId="34E37798" w14:textId="2A823469" w:rsidR="009F3B98" w:rsidRDefault="009F3B98" w:rsidP="009F3B98">
      <w:r>
        <w:t xml:space="preserve">The capacity and manageability of the association can oversee. </w:t>
      </w:r>
    </w:p>
    <w:p w14:paraId="23C8B065" w14:textId="7AAFCDBD" w:rsidR="009F3B98" w:rsidRDefault="009F3B98" w:rsidP="009F3B98">
      <w:pPr>
        <w:pStyle w:val="Heading2"/>
      </w:pPr>
      <w:r>
        <w:t>Execution of financial plans</w:t>
      </w:r>
    </w:p>
    <w:p w14:paraId="156FE248" w14:textId="79BEB23C" w:rsidR="009F3B98" w:rsidRDefault="009F3B98" w:rsidP="009F3B98">
      <w:r>
        <w:t xml:space="preserve">The organization's philosophies are long and current. Chairmen and managerial bookkeeping sort out the organization's display, setting cost designs, long and short objectives. The senior organization, the senior organization decide the organization's suspicions and the genuine outcomes will be examined before the finish of the period. Arranging typically incorporates all the means of the board. Coordination and correspondence make it conceivable to guarantee the objectives and approaches that should be accomplished by all workers in the organization. Consumption plans permit associations to survey their openness by looking at arranged figures and genuine execution and to make a sensible gauge to consider the conditions and events that emerged during the period. (Horngren, Ch., </w:t>
      </w:r>
      <w:proofErr w:type="spellStart"/>
      <w:r>
        <w:t>Datar</w:t>
      </w:r>
      <w:proofErr w:type="spellEnd"/>
      <w:r>
        <w:t xml:space="preserve">, S., Ryan, M. (2012)). </w:t>
      </w:r>
    </w:p>
    <w:p w14:paraId="00489264" w14:textId="77777777" w:rsidR="009F3B98" w:rsidRDefault="009F3B98" w:rsidP="009F3B98">
      <w:r>
        <w:t xml:space="preserve">XLG imports </w:t>
      </w:r>
      <w:proofErr w:type="spellStart"/>
      <w:r>
        <w:t>farmaQ</w:t>
      </w:r>
      <w:proofErr w:type="spellEnd"/>
      <w:r>
        <w:t xml:space="preserve"> things for clients in the United Kingdom. The primary standard cost at the outset before Covid19 was 2.50 per unit. With the developing revenue in the thing, the market costs increment and are 4.50 per unit. XLG gets a rebate and pays for the thing 3.70 in real money. The decrease is in all probability because of the great and helpful relationship in the past with the organization that provisions the thing. The subsequent markdown gives XLG near a great position. </w:t>
      </w:r>
    </w:p>
    <w:p w14:paraId="7B24BC93" w14:textId="77777777" w:rsidR="009F3B98" w:rsidRDefault="009F3B98" w:rsidP="009F3B98">
      <w:r>
        <w:t xml:space="preserve">As indicated by the measurable examination, "The loan fee for substances X and Y has expanded by 45%, which is probably going to proceed." The market cost is </w:t>
      </w:r>
      <w:proofErr w:type="gramStart"/>
      <w:r>
        <w:t>4.50, and</w:t>
      </w:r>
      <w:proofErr w:type="gramEnd"/>
      <w:r>
        <w:t xml:space="preserve"> making it locally in the UK will cost 3 for each unit and decrease transportation by 15 working days. </w:t>
      </w:r>
    </w:p>
    <w:p w14:paraId="560D129A" w14:textId="39B6E208" w:rsidR="00BF35F7" w:rsidRDefault="009F3B98" w:rsidP="009F3B98">
      <w:r>
        <w:t>The inquiry is whether the atmosphere should begin to be provided locally or keep on being provided from the selected country which is Brazil?</w:t>
      </w:r>
    </w:p>
    <w:p w14:paraId="4C080E94" w14:textId="77777777" w:rsidR="009F3B98" w:rsidRDefault="009F3B98" w:rsidP="009F3B98">
      <w:r>
        <w:lastRenderedPageBreak/>
        <w:t xml:space="preserve">The primary standard expense was 2.50 per unit and in those days during this period the time was most likely legitimized, regardless of the relative multitude of issues with imports from Brazil and all the systems, demonstrations and approaches were set up to make the imports. </w:t>
      </w:r>
    </w:p>
    <w:p w14:paraId="6C241D87" w14:textId="77777777" w:rsidR="009F3B98" w:rsidRDefault="009F3B98" w:rsidP="009F3B98">
      <w:r>
        <w:t xml:space="preserve">Notwithstanding, with the new changes, both the pandemic and the impeding of Covid19 market costs have extended, and current expenses are 4.50 per unit, and loan fees have expanded by 45% and he wants to keep on growing. Regarding financial conditions, it is generally observed that the fascination is more prominent than that made locally. Nonetheless, as premium increments by 45%, it should be checked whether the creation limit is prepared to take the creation inside. On the off chance that it is absurd to expect to satisfy the need, on the off chance that it is conveyed inside, at that point it should be imported. It is critical to regard the concurrences with the customers, regardless the association can lose its dependable customer in the event that it doesn't notice its essentials for interest. </w:t>
      </w:r>
    </w:p>
    <w:p w14:paraId="408DB51C" w14:textId="77777777" w:rsidR="009F3B98" w:rsidRDefault="009F3B98" w:rsidP="009F3B98">
      <w:r>
        <w:t xml:space="preserve">The lockout limited numerous escorts from shutting their associations in accordance with government guidelines. Interest in explicit things extended after all </w:t>
      </w:r>
      <w:proofErr w:type="gramStart"/>
      <w:r>
        <w:t>hypothesis</w:t>
      </w:r>
      <w:proofErr w:type="gramEnd"/>
      <w:r>
        <w:t xml:space="preserve">. </w:t>
      </w:r>
    </w:p>
    <w:p w14:paraId="1769D0C3" w14:textId="77777777" w:rsidR="009F3B98" w:rsidRDefault="009F3B98" w:rsidP="009F3B98">
      <w:r>
        <w:t xml:space="preserve">On the off chance that XLG decides to convey it locally, you need to consider the breaking point and structure of the action to see the atmosphere that can see how to react to the interest or keep on pulling in some from Brazil. Because of the solicitation for consistent extension, the organization needs to execute certain upgrades in the get together cycle and put assets in more apparatuses and establishments, laborers and line materials. Likewise, to stop the decision, the director should consider the inclinations and bothers showed in the thunder. A portion of the great conditions and deterrents are sketched out thunder. </w:t>
      </w:r>
    </w:p>
    <w:p w14:paraId="517A774B" w14:textId="1409D6E9" w:rsidR="009F3B98" w:rsidRDefault="009F3B98" w:rsidP="009F3B98">
      <w:pPr>
        <w:pStyle w:val="Heading2"/>
      </w:pPr>
      <w:r>
        <w:t>Potential threats</w:t>
      </w:r>
    </w:p>
    <w:p w14:paraId="623F69C3" w14:textId="77777777" w:rsidR="009F3B98" w:rsidRDefault="009F3B98" w:rsidP="009F3B98">
      <w:r>
        <w:t xml:space="preserve">Threat emerges when supervisors don't have exact information or when information is divided for different choices, however they actually have a sharp thought of the probability of ramifications for some other alternative. The second they need to pick whether they need to choose the likelihood related with them for every alternative relying upon the accessible information and their own understanding and experience. The decisions they need to make for some time are under Security and Vulnerability. (Post, R., Noreen, E. furthermore, Brewer, P.C 2018) </w:t>
      </w:r>
    </w:p>
    <w:p w14:paraId="35C93ECC" w14:textId="77777777" w:rsidR="009F3B98" w:rsidRDefault="009F3B98" w:rsidP="009F3B98">
      <w:r>
        <w:t xml:space="preserve">a) Security - When the pioneer thinks about the current conditions with explicit certainty, the accessible decisions and the related condition for every one of the alternatives and what will be the outcomes. Under undeniable, quantifiable, exact and solid outcomes dependent on outcomes. Conditions and associations with intelligent outcomes are known, and future and rethought decisions are related to the </w:t>
      </w:r>
      <w:proofErr w:type="gramStart"/>
      <w:r>
        <w:t>day by day</w:t>
      </w:r>
      <w:proofErr w:type="gramEnd"/>
      <w:r>
        <w:t xml:space="preserve"> exercises of the business. The differentiation among risk and weakness. Recall that peril is arranged as a condition in which the individual stops at the decision and has divided information in the dynamic atmosphere. For each situation, </w:t>
      </w:r>
      <w:r>
        <w:lastRenderedPageBreak/>
        <w:t xml:space="preserve">the pioneer can decide probabilistic appraisals of the normal aftereffects of the choice. Appraisals can be acquired through enthusiastic judgment or theoretical interruption. </w:t>
      </w:r>
    </w:p>
    <w:p w14:paraId="047AF39A" w14:textId="77777777" w:rsidR="009F3B98" w:rsidRDefault="009F3B98" w:rsidP="009F3B98">
      <w:r>
        <w:t xml:space="preserve">b) Uncertainty - indicates a state where the decision has no information to give enthusiastic probabilities. What made a difference was first done by F. H. Knight, who saw that the risk was low, however the weakness was passionate. (Knight, F. H., 1922). Presently, the two terms are regularly utilized reciprocally. </w:t>
      </w:r>
    </w:p>
    <w:p w14:paraId="7BE0061A" w14:textId="77777777" w:rsidR="009F3B98" w:rsidRDefault="009F3B98" w:rsidP="009F3B98">
      <w:r>
        <w:t xml:space="preserve">In any case, it is basic not to utilize that the utilization of conceptual probabilities has decreased the significance of capability in the midst of peril and weakness. Toward the day's end, by allotting positive for dynamic issues unique, dynamic under weakness can undoubtedly be transformed into a risk examination. </w:t>
      </w:r>
    </w:p>
    <w:p w14:paraId="5C570543" w14:textId="77777777" w:rsidR="009F3B98" w:rsidRDefault="009F3B98" w:rsidP="009F3B98">
      <w:pPr>
        <w:pStyle w:val="Heading1"/>
      </w:pPr>
      <w:r>
        <w:t>Recommendations and Conclusion</w:t>
      </w:r>
    </w:p>
    <w:p w14:paraId="1171B1E3" w14:textId="77777777" w:rsidR="009F3B98" w:rsidRDefault="009F3B98" w:rsidP="009F3B98">
      <w:r>
        <w:t xml:space="preserve">Significant expenses are avoidable and fixed costs that administrators need to lessen when they need to close an atmosphere to make these </w:t>
      </w:r>
      <w:proofErr w:type="gramStart"/>
      <w:r>
        <w:t>expenses</w:t>
      </w:r>
      <w:proofErr w:type="gramEnd"/>
      <w:r>
        <w:t xml:space="preserve"> so this prompts money surges. Significant expenses are future and continuous earnings that are because of a particular decision. They reject depressed costs that have happened previously. Important expenses can be evaded in the light of the way that they are the consequence of a particular decision from which an essential distance can be kept up. Expenses of the inescapable sort are immaterial, given the way that costs will be impolitely settled by decision. Working costs might be connected costs as the pay has passed and the cash passed can't be utilized later on because of the decision made to proceed with genuine cash utilization. (Collier, P.M, 2003) For instance, XLG Company, if the organization decides to make a </w:t>
      </w:r>
      <w:proofErr w:type="spellStart"/>
      <w:r>
        <w:t>Farma</w:t>
      </w:r>
      <w:proofErr w:type="spellEnd"/>
      <w:r>
        <w:t xml:space="preserve"> Q thing, will profit later, as this decision is </w:t>
      </w:r>
      <w:proofErr w:type="spellStart"/>
      <w:r>
        <w:t>Futer</w:t>
      </w:r>
      <w:proofErr w:type="spellEnd"/>
      <w:r>
        <w:t xml:space="preserve"> pay, which is something of a huge cost. Besides, if they settled on the decision, another sort of genuine expense is the conceivable cost, which suggests that the surrendered incomes stream to the following most ideal alternative because of the decision. </w:t>
      </w:r>
    </w:p>
    <w:p w14:paraId="380A2B2B" w14:textId="1A1690CE" w:rsidR="009F3B98" w:rsidRDefault="009F3B98" w:rsidP="009F3B98">
      <w:r>
        <w:t xml:space="preserve">The best specification in the conditions constantly is that the association XLG to make the thing locally and if the constraint of the Company is low, to put assets in gadgets and people, considering all costs that as of now have, for instance, Fixed costs, creation costs, deals and publicizing, and so forth In addition, to check whether they can guarantee that they will have all the crucial wellsprings of data (crude materials, work) prior to deciding to convey it to the UK. Close administrative and public appraisals of prosperity and security likewise should be thought of. The expert's examination by Job </w:t>
      </w:r>
      <w:proofErr w:type="spellStart"/>
      <w:r>
        <w:t>Excell</w:t>
      </w:r>
      <w:proofErr w:type="spellEnd"/>
      <w:r>
        <w:t xml:space="preserve"> for British residents is that the United Kingdom ought to suspend its systems and reset essential supplies. As Bollore Logistic (2020) brings up, Logistic is maybe generally influenced by the Covid-19 pandemic and particularly via air transport. With shut and shut boundaries, they were all the while attempting to react to typical assumptions. Sea transport likewise had a few limitations and travel times were expanded. The pandemic exhibits the significance of progress and the utilization of advancement in specific territories. What's more, a </w:t>
      </w:r>
      <w:r>
        <w:lastRenderedPageBreak/>
        <w:t>few associations should uphold their get together and exploit questionable conditions. A piece of this industry relates to the market for wise assembling (as per Bollore Logistic, 2020). A portion of these organizations are 3D edges, Emerson Electric, IBM, Mitsubishi Enterprise, and so forth.</w:t>
      </w:r>
    </w:p>
    <w:p w14:paraId="6EBDEC93" w14:textId="0729B705" w:rsidR="009F3B98" w:rsidRDefault="009F3B98" w:rsidP="009F3B98"/>
    <w:p w14:paraId="665EF8C8" w14:textId="647AF2CF" w:rsidR="009F3B98" w:rsidRDefault="009F3B98" w:rsidP="009F3B98"/>
    <w:p w14:paraId="5BC1ED74" w14:textId="39BF5774" w:rsidR="009F3B98" w:rsidRDefault="009F3B98" w:rsidP="009F3B98"/>
    <w:p w14:paraId="7C8ACE96" w14:textId="74243B56" w:rsidR="009F3B98" w:rsidRDefault="009F3B98" w:rsidP="009F3B98"/>
    <w:p w14:paraId="2D055358" w14:textId="405B2F9C" w:rsidR="009F3B98" w:rsidRDefault="009F3B98" w:rsidP="009F3B98"/>
    <w:p w14:paraId="053E48F2" w14:textId="41811427" w:rsidR="009F3B98" w:rsidRDefault="009F3B98" w:rsidP="009F3B98"/>
    <w:p w14:paraId="0FEEE467" w14:textId="5ABCFACA" w:rsidR="009F3B98" w:rsidRDefault="009F3B98" w:rsidP="009F3B98"/>
    <w:p w14:paraId="1EEDFA24" w14:textId="58866F00" w:rsidR="009F3B98" w:rsidRDefault="009F3B98" w:rsidP="009F3B98"/>
    <w:p w14:paraId="385D4258" w14:textId="6CC700A9" w:rsidR="009F3B98" w:rsidRDefault="009F3B98" w:rsidP="009F3B98"/>
    <w:p w14:paraId="2971334E" w14:textId="76C9FDFE" w:rsidR="009F3B98" w:rsidRDefault="009F3B98" w:rsidP="009F3B98"/>
    <w:p w14:paraId="3E21DE21" w14:textId="34535E59" w:rsidR="009F3B98" w:rsidRDefault="009F3B98" w:rsidP="009F3B98"/>
    <w:p w14:paraId="7D57454F" w14:textId="180AE4C2" w:rsidR="009F3B98" w:rsidRDefault="009F3B98" w:rsidP="009F3B98"/>
    <w:p w14:paraId="74F6A018" w14:textId="3468ACB5" w:rsidR="009F3B98" w:rsidRDefault="009F3B98" w:rsidP="009F3B98"/>
    <w:p w14:paraId="2EB67C7D" w14:textId="29D28DFF" w:rsidR="009F3B98" w:rsidRDefault="009F3B98" w:rsidP="009F3B98"/>
    <w:p w14:paraId="0D9E2729" w14:textId="07511A3A" w:rsidR="009F3B98" w:rsidRDefault="009F3B98" w:rsidP="009F3B98"/>
    <w:p w14:paraId="4D67DDBD" w14:textId="77777777" w:rsidR="009F3B98" w:rsidRDefault="009F3B98" w:rsidP="009F3B98"/>
    <w:p w14:paraId="2300409E" w14:textId="34211EBA" w:rsidR="009F3B98" w:rsidRDefault="009F3B98" w:rsidP="009F3B98">
      <w:pPr>
        <w:pStyle w:val="Heading1"/>
      </w:pPr>
      <w:r>
        <w:t>Reference List</w:t>
      </w:r>
    </w:p>
    <w:p w14:paraId="7CACD4E3" w14:textId="40DEFBE1" w:rsidR="005A1347" w:rsidRDefault="005A1347" w:rsidP="005A1347">
      <w:r>
        <w:t xml:space="preserve">Bollore Logistics (2020). </w:t>
      </w:r>
      <w:proofErr w:type="gramStart"/>
      <w:r>
        <w:t>”Covid</w:t>
      </w:r>
      <w:proofErr w:type="gramEnd"/>
      <w:r>
        <w:t>19 impact” [Available at:] https://www.bollorelogistics.com/en/Pages/COVID-19.aspx [Accessed on: 02/01/2021].</w:t>
      </w:r>
    </w:p>
    <w:p w14:paraId="0D70103D" w14:textId="4BCF9A5F" w:rsidR="005A1347" w:rsidRDefault="005A1347" w:rsidP="005A1347">
      <w:r>
        <w:t>Bollore Logistic (2020). “Covid-19 Market outlook – economy – GDM Growth”.  [ Available at:] https://www.bollore-logistics.com/en/Documents/Coronavirus-MARKET-OUTLOOK.pdf [Accessed on: 02/01/2021].</w:t>
      </w:r>
    </w:p>
    <w:p w14:paraId="1F2BACBC" w14:textId="77777777" w:rsidR="005A1347" w:rsidRDefault="005A1347" w:rsidP="005A1347">
      <w:r>
        <w:t>Bragg, S.M. (2007). “Management accounting best practices”, pdf. Published by: John Wiley&amp; Sons, Inc.</w:t>
      </w:r>
    </w:p>
    <w:p w14:paraId="698E6117" w14:textId="3A34FA8F" w:rsidR="005A1347" w:rsidRDefault="005A1347" w:rsidP="005A1347">
      <w:r>
        <w:lastRenderedPageBreak/>
        <w:t xml:space="preserve">Charactered Institute of Management Accounting (CIMA) London (2020). [online] Available at:   </w:t>
      </w:r>
      <w:proofErr w:type="gramStart"/>
      <w:r>
        <w:t>https://www.cimaglobal.com/Our-locations/UK/  [</w:t>
      </w:r>
      <w:proofErr w:type="gramEnd"/>
      <w:r>
        <w:t>Accessed on: 02/01/2021].</w:t>
      </w:r>
    </w:p>
    <w:p w14:paraId="162FA36C" w14:textId="77777777" w:rsidR="005A1347" w:rsidRDefault="005A1347" w:rsidP="005A1347">
      <w:r>
        <w:t>Collier, P.M. (2003).” Accounting for managers – Interpreting accounting information for decision-making”, pdf. Published by WILEY, NY</w:t>
      </w:r>
    </w:p>
    <w:p w14:paraId="3C9D2793" w14:textId="77777777" w:rsidR="005A1347" w:rsidRDefault="005A1347" w:rsidP="005A1347">
      <w:r>
        <w:t>Coombs, H., Hobbs, D., Jenkins, E. (2005). “Management Accounting- Principles and applications”. 1st edition, pdf. Published by SAGE Publications Ltd, London</w:t>
      </w:r>
    </w:p>
    <w:p w14:paraId="7403F4DC" w14:textId="77777777" w:rsidR="005A1347" w:rsidRDefault="005A1347" w:rsidP="005A1347">
      <w:proofErr w:type="spellStart"/>
      <w:r>
        <w:t>Durry</w:t>
      </w:r>
      <w:proofErr w:type="spellEnd"/>
      <w:r>
        <w:t>, C. (2018) Management and costing accounting, 10th edition, pdf. CENGAGE – Anabel Ainscow, UK</w:t>
      </w:r>
    </w:p>
    <w:p w14:paraId="56D5A08B" w14:textId="77777777" w:rsidR="005A1347" w:rsidRDefault="005A1347" w:rsidP="005A1347">
      <w:r>
        <w:t>Garrison, R. Ph.D., CMA &amp; Noreen, E. Ph.D., CMA, Brewer, P.C. Ph.D., CMA (2011). “Managerial accounting for managers”, 2nd edition, pdf. McGraw-Hill, USA, New York.</w:t>
      </w:r>
    </w:p>
    <w:p w14:paraId="5C7CE1D1" w14:textId="77777777" w:rsidR="005A1347" w:rsidRDefault="005A1347" w:rsidP="005A1347">
      <w:r>
        <w:t>Garrison, R. Ph.D., CMA &amp; Noreen, E. Ph.D., CMA, Brewer, P.C. Ph.D., CMA (2018). “Managerial accounting”,16th edition, pdf. McGraw-Hill, USA, New York.</w:t>
      </w:r>
    </w:p>
    <w:p w14:paraId="3DEFE94A" w14:textId="77777777" w:rsidR="005A1347" w:rsidRDefault="005A1347" w:rsidP="005A1347">
      <w:r>
        <w:t xml:space="preserve">Horngren, C.T, </w:t>
      </w:r>
      <w:proofErr w:type="spellStart"/>
      <w:r>
        <w:t>Datar</w:t>
      </w:r>
      <w:proofErr w:type="spellEnd"/>
      <w:r>
        <w:t xml:space="preserve">, S.M., </w:t>
      </w:r>
      <w:proofErr w:type="spellStart"/>
      <w:r>
        <w:t>Rajan</w:t>
      </w:r>
      <w:proofErr w:type="spellEnd"/>
      <w:r>
        <w:t>, M.V. (2012) “Cost accounting – Managerial emphasis” edition 14th, pdf. Published by Prince Hall, New Jersey</w:t>
      </w:r>
    </w:p>
    <w:p w14:paraId="37D597F8" w14:textId="77777777" w:rsidR="005A1347" w:rsidRDefault="005A1347" w:rsidP="005A1347">
      <w:r>
        <w:t>Knight, F. H., (1921). “Risk, uncertainty and profit”.  Published by University of Chicago Press, 23.</w:t>
      </w:r>
    </w:p>
    <w:p w14:paraId="1833E800" w14:textId="77777777" w:rsidR="005A1347" w:rsidRDefault="005A1347" w:rsidP="005A1347">
      <w:r>
        <w:t>Maher, M. W., Stickney C.P. and Weil, R. L. 2008. “Managerial accounting- an Introduction to concepts, methods and use” 10th edition, pdf.  Published by THOMSON- South-Western</w:t>
      </w:r>
    </w:p>
    <w:p w14:paraId="1A5818DA" w14:textId="69E33906" w:rsidR="005A1347" w:rsidRDefault="005A1347" w:rsidP="005A1347">
      <w:proofErr w:type="spellStart"/>
      <w:r>
        <w:t>MarketsandMarkets</w:t>
      </w:r>
      <w:proofErr w:type="spellEnd"/>
      <w:r>
        <w:t>™ (2020). Covid-19 Impact on Smart Manufacturing Market by enabling Technology…., Industry, and Region – Global Forecast to 2025” [Available at</w:t>
      </w:r>
      <w:proofErr w:type="gramStart"/>
      <w:r>
        <w:t>:]  https://www.marketsandmarkets.com/Market-Reports/covid-19-impact-on-smart-manufacturing-market-131502510.html</w:t>
      </w:r>
      <w:proofErr w:type="gramEnd"/>
      <w:r>
        <w:t xml:space="preserve"> [Accessed on: 02/01/2021].</w:t>
      </w:r>
    </w:p>
    <w:p w14:paraId="40BE164C" w14:textId="688CCA02" w:rsidR="005A1347" w:rsidRDefault="005A1347" w:rsidP="005A1347">
      <w:r>
        <w:t xml:space="preserve">The engineer (2020, May 5th). “Will the Covid-19 pandemic </w:t>
      </w:r>
      <w:proofErr w:type="gramStart"/>
      <w:r>
        <w:t>lead</w:t>
      </w:r>
      <w:proofErr w:type="gramEnd"/>
      <w:r>
        <w:t xml:space="preserve"> to reshoring of UK manufacturing”, poll ran from 28th April – 4th May 2020 and received 693 votes. [online] Available at: https://www.theengineer.co.uk/poll-pandemic-reshoring-uk-manufacturing/l   [Accessed on: 02/01/2021].</w:t>
      </w:r>
    </w:p>
    <w:p w14:paraId="75A48B07" w14:textId="77777777" w:rsidR="009F3B98" w:rsidRPr="009F3B98" w:rsidRDefault="009F3B98" w:rsidP="009F3B98"/>
    <w:p w14:paraId="4D084A25" w14:textId="52113CA4" w:rsidR="009F3B98" w:rsidRDefault="009F3B98" w:rsidP="009F3B98"/>
    <w:p w14:paraId="7A503930" w14:textId="72AEEFEE" w:rsidR="009F3B98" w:rsidRDefault="009F3B98" w:rsidP="009F3B98"/>
    <w:p w14:paraId="3C37634A" w14:textId="33E8E207" w:rsidR="009F3B98" w:rsidRDefault="009F3B98" w:rsidP="009F3B98"/>
    <w:p w14:paraId="0833FFB6" w14:textId="4DE5A270" w:rsidR="009F3B98" w:rsidRDefault="009F3B98" w:rsidP="009F3B98"/>
    <w:p w14:paraId="7D957ACD" w14:textId="6A94FBB0" w:rsidR="009F3B98" w:rsidRDefault="009F3B98" w:rsidP="009F3B98"/>
    <w:p w14:paraId="70887A75" w14:textId="3ECECD72" w:rsidR="009F3B98" w:rsidRDefault="009F3B98" w:rsidP="009F3B98"/>
    <w:p w14:paraId="1EAC5A78" w14:textId="77777777" w:rsidR="009F3B98" w:rsidRDefault="009F3B98" w:rsidP="009F3B98"/>
    <w:sectPr w:rsidR="009F3B98" w:rsidSect="00BF35F7">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84A75" w14:textId="77777777" w:rsidR="002E5473" w:rsidRDefault="002E5473" w:rsidP="00BF35F7">
      <w:pPr>
        <w:spacing w:after="0" w:line="240" w:lineRule="auto"/>
      </w:pPr>
      <w:r>
        <w:separator/>
      </w:r>
    </w:p>
  </w:endnote>
  <w:endnote w:type="continuationSeparator" w:id="0">
    <w:p w14:paraId="62425B75" w14:textId="77777777" w:rsidR="002E5473" w:rsidRDefault="002E5473" w:rsidP="00BF3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4748340"/>
      <w:docPartObj>
        <w:docPartGallery w:val="Page Numbers (Bottom of Page)"/>
        <w:docPartUnique/>
      </w:docPartObj>
    </w:sdtPr>
    <w:sdtEndPr>
      <w:rPr>
        <w:rStyle w:val="PageNumber"/>
      </w:rPr>
    </w:sdtEndPr>
    <w:sdtContent>
      <w:p w14:paraId="26147B4B" w14:textId="4EE799A1" w:rsidR="00BF35F7" w:rsidRDefault="00BF35F7"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CC98F3" w14:textId="77777777" w:rsidR="00BF35F7" w:rsidRDefault="00BF35F7" w:rsidP="00BF35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1797366"/>
      <w:docPartObj>
        <w:docPartGallery w:val="Page Numbers (Bottom of Page)"/>
        <w:docPartUnique/>
      </w:docPartObj>
    </w:sdtPr>
    <w:sdtEndPr>
      <w:rPr>
        <w:rStyle w:val="PageNumber"/>
      </w:rPr>
    </w:sdtEndPr>
    <w:sdtContent>
      <w:p w14:paraId="7C80DE72" w14:textId="5260CADC" w:rsidR="00BF35F7" w:rsidRDefault="00BF35F7"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F5E5E2" w14:textId="77777777" w:rsidR="00BF35F7" w:rsidRDefault="00BF35F7" w:rsidP="00BF35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EE8965" w14:textId="77777777" w:rsidR="002E5473" w:rsidRDefault="002E5473" w:rsidP="00BF35F7">
      <w:pPr>
        <w:spacing w:after="0" w:line="240" w:lineRule="auto"/>
      </w:pPr>
      <w:r>
        <w:separator/>
      </w:r>
    </w:p>
  </w:footnote>
  <w:footnote w:type="continuationSeparator" w:id="0">
    <w:p w14:paraId="3112C03B" w14:textId="77777777" w:rsidR="002E5473" w:rsidRDefault="002E5473" w:rsidP="00BF3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81E92"/>
    <w:multiLevelType w:val="hybridMultilevel"/>
    <w:tmpl w:val="07FA5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000F8F"/>
    <w:multiLevelType w:val="hybridMultilevel"/>
    <w:tmpl w:val="17625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F7"/>
    <w:rsid w:val="002E5473"/>
    <w:rsid w:val="00382249"/>
    <w:rsid w:val="005433BA"/>
    <w:rsid w:val="005A1347"/>
    <w:rsid w:val="007A3D60"/>
    <w:rsid w:val="009F3B98"/>
    <w:rsid w:val="00A60A47"/>
    <w:rsid w:val="00BF35F7"/>
    <w:rsid w:val="00EB0A82"/>
    <w:rsid w:val="00F8010B"/>
    <w:rsid w:val="00FD1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E353"/>
  <w15:chartTrackingRefBased/>
  <w15:docId w15:val="{1EC4A4D2-3C2D-664D-A66A-65D7E65A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9F3B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3B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35F7"/>
    <w:rPr>
      <w:rFonts w:eastAsiaTheme="minorEastAsia"/>
      <w:sz w:val="22"/>
      <w:szCs w:val="22"/>
      <w:lang w:val="en-US" w:eastAsia="zh-CN"/>
    </w:rPr>
  </w:style>
  <w:style w:type="character" w:customStyle="1" w:styleId="NoSpacingChar">
    <w:name w:val="No Spacing Char"/>
    <w:basedOn w:val="DefaultParagraphFont"/>
    <w:link w:val="NoSpacing"/>
    <w:uiPriority w:val="1"/>
    <w:rsid w:val="00BF35F7"/>
    <w:rPr>
      <w:rFonts w:eastAsiaTheme="minorEastAsia"/>
      <w:sz w:val="22"/>
      <w:szCs w:val="22"/>
      <w:lang w:val="en-US" w:eastAsia="zh-CN"/>
    </w:rPr>
  </w:style>
  <w:style w:type="paragraph" w:styleId="Footer">
    <w:name w:val="footer"/>
    <w:basedOn w:val="Normal"/>
    <w:link w:val="FooterChar"/>
    <w:uiPriority w:val="99"/>
    <w:unhideWhenUsed/>
    <w:rsid w:val="00BF3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5F7"/>
    <w:rPr>
      <w:rFonts w:ascii="Arial" w:hAnsi="Arial"/>
      <w:szCs w:val="22"/>
    </w:rPr>
  </w:style>
  <w:style w:type="character" w:styleId="PageNumber">
    <w:name w:val="page number"/>
    <w:basedOn w:val="DefaultParagraphFont"/>
    <w:uiPriority w:val="99"/>
    <w:semiHidden/>
    <w:unhideWhenUsed/>
    <w:rsid w:val="00BF35F7"/>
  </w:style>
  <w:style w:type="character" w:customStyle="1" w:styleId="Heading1Char">
    <w:name w:val="Heading 1 Char"/>
    <w:basedOn w:val="DefaultParagraphFont"/>
    <w:link w:val="Heading1"/>
    <w:uiPriority w:val="9"/>
    <w:rsid w:val="009F3B9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F3B98"/>
    <w:pPr>
      <w:ind w:left="720"/>
      <w:contextualSpacing/>
    </w:pPr>
  </w:style>
  <w:style w:type="character" w:customStyle="1" w:styleId="Heading2Char">
    <w:name w:val="Heading 2 Char"/>
    <w:basedOn w:val="DefaultParagraphFont"/>
    <w:link w:val="Heading2"/>
    <w:uiPriority w:val="9"/>
    <w:rsid w:val="009F3B9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image" Target="media/image4.emf"/><Relationship Id="rId18" Type="http://schemas.openxmlformats.org/officeDocument/2006/relationships/package" Target="embeddings/Microsoft_Excel_Worksheet5.xlsx"/><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package" Target="embeddings/Microsoft_Excel_Worksheet2.xlsx"/><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package" Target="embeddings/Microsoft_Excel_Worksheet4.xlsx"/><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Excel_Worksheet1.xlsx"/><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Excel_Worksheet3.xls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2871</Words>
  <Characters>16371</Characters>
  <Application>Microsoft Office Word</Application>
  <DocSecurity>0</DocSecurity>
  <Lines>136</Lines>
  <Paragraphs>38</Paragraphs>
  <ScaleCrop>false</ScaleCrop>
  <Company>Student ID:</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lcbb5002</dc:title>
  <dc:subject>Assessment Number: 2</dc:subject>
  <dc:creator>Module leader:</dc:creator>
  <cp:keywords/>
  <dc:description/>
  <cp:lastModifiedBy>dobrinka kiryakova</cp:lastModifiedBy>
  <cp:revision>2</cp:revision>
  <cp:lastPrinted>2021-01-06T16:50:00Z</cp:lastPrinted>
  <dcterms:created xsi:type="dcterms:W3CDTF">2021-01-06T16:50:00Z</dcterms:created>
  <dcterms:modified xsi:type="dcterms:W3CDTF">2021-01-06T16:50:00Z</dcterms:modified>
</cp:coreProperties>
</file>