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Mirela Andrei</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1914800</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Entrepreneurship LCBB5001</w:t>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Lecturers</w:t>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Nishi Ramsurrun</w:t>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 Successful Entrepreneur Characteristics</w:t>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32"/>
          <w:szCs w:val="32"/>
          <w:rtl w:val="0"/>
        </w:rPr>
        <w:t xml:space="preserve">ASSESSMENT COMPONENT 1 – ESSAY</w:t>
      </w: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rPr/>
      </w:pPr>
      <w:r w:rsidDel="00000000" w:rsidR="00000000" w:rsidRPr="00000000">
        <w:rPr>
          <w:rtl w:val="0"/>
        </w:rPr>
        <w:t xml:space="preserve">Introduction</w:t>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Entrepreneurs are individuals who see possibilities and work to capitalise on them by starting businesses or taking existing ones to new levels of success. But this term covers a lot of ground. There is no universally agreed-upon definition of entrepreneurs since experts can't agree on what makes someone an entrepreneur. For instance, Hornaday (1982) lists more than 40 attributes shared by successful entrepreneurs, whereas Gibb lists just 12. Not all of them are the same, but some of them are. There is a strong correlation between entrepreneurial beliefs and practises and characteristics including a desire for accomplishment, a sense of agency, a willingness to experiment and take risks, and a sense of self-assurance and competence. The purpose of this essay is to isolate and analyse the top six characteristics shared by successful business owners. The essay is supported by examples and theoretical contexts.</w:t>
      </w:r>
    </w:p>
    <w:p w:rsidR="00000000" w:rsidDel="00000000" w:rsidP="00000000" w:rsidRDefault="00000000" w:rsidRPr="00000000" w14:paraId="00000012">
      <w:pPr>
        <w:pStyle w:val="Heading1"/>
        <w:rPr/>
      </w:pPr>
      <w:r w:rsidDel="00000000" w:rsidR="00000000" w:rsidRPr="00000000">
        <w:rPr>
          <w:rtl w:val="0"/>
        </w:rPr>
        <w:t xml:space="preserve">Task 1</w:t>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individual's entrepreneurial behaviour may be thought of as a set of practises that help them come up with novel ideas and/or enhance existing ones in order to compete successfully in a crowded marketplace (</w:t>
      </w:r>
      <w:r w:rsidDel="00000000" w:rsidR="00000000" w:rsidRPr="00000000">
        <w:rPr>
          <w:rFonts w:ascii="Times New Roman" w:cs="Times New Roman" w:eastAsia="Times New Roman" w:hAnsi="Times New Roman"/>
          <w:color w:val="222222"/>
          <w:sz w:val="24"/>
          <w:szCs w:val="24"/>
          <w:highlight w:val="white"/>
          <w:rtl w:val="0"/>
        </w:rPr>
        <w:t xml:space="preserve">Hart et al. 2020</w:t>
      </w:r>
      <w:r w:rsidDel="00000000" w:rsidR="00000000" w:rsidRPr="00000000">
        <w:rPr>
          <w:rFonts w:ascii="Times New Roman" w:cs="Times New Roman" w:eastAsia="Times New Roman" w:hAnsi="Times New Roman"/>
          <w:sz w:val="24"/>
          <w:szCs w:val="24"/>
          <w:rtl w:val="0"/>
        </w:rPr>
        <w:t xml:space="preserve">). The most literal reading of this sentence would imply that entrepreneurial behaviour is the ability to generate new ideas and/or increase the practicality of current ones. Extraversion is another trait that is common among business entrepreneurs, thus people who score highly on this dimension are also likely to be business owners. Though there is a wide range of entrepreneurial actions a person may take, most of them fall into one of two broad categories: strategic entrepreneurship and effective entrepreneurship. This is true despite the fact that there is a wide variety of entrepreneurial behaviours. Extraverted people tend to have better social skills, which is especially important for business owners who must win over a wide variety of constituents. The argument is strengthened by the observation that extroverted people tend to possess superior social skills. According to </w:t>
      </w:r>
      <w:r w:rsidDel="00000000" w:rsidR="00000000" w:rsidRPr="00000000">
        <w:rPr>
          <w:rFonts w:ascii="Times New Roman" w:cs="Times New Roman" w:eastAsia="Times New Roman" w:hAnsi="Times New Roman"/>
          <w:color w:val="222222"/>
          <w:sz w:val="24"/>
          <w:szCs w:val="24"/>
          <w:highlight w:val="white"/>
          <w:rtl w:val="0"/>
        </w:rPr>
        <w:t xml:space="preserve">Ahl, and Marlow, (2021)</w:t>
      </w:r>
      <w:r w:rsidDel="00000000" w:rsidR="00000000" w:rsidRPr="00000000">
        <w:rPr>
          <w:rFonts w:ascii="Times New Roman" w:cs="Times New Roman" w:eastAsia="Times New Roman" w:hAnsi="Times New Roman"/>
          <w:sz w:val="24"/>
          <w:szCs w:val="24"/>
          <w:rtl w:val="0"/>
        </w:rPr>
        <w:t xml:space="preserve">, this is a good plan. He thinks that those who are good at getting other people excited have a far higher chance of making it as company owners financially than those who aren't as good at doing so. One might reasonably conclude that entrepreneurialism is a composite ability, requiring a wide range of competencies. One route to this conclusion is to claim that it is possible to reach this conclusion (</w:t>
      </w:r>
      <w:r w:rsidDel="00000000" w:rsidR="00000000" w:rsidRPr="00000000">
        <w:rPr>
          <w:rFonts w:ascii="Times New Roman" w:cs="Times New Roman" w:eastAsia="Times New Roman" w:hAnsi="Times New Roman"/>
          <w:color w:val="222222"/>
          <w:sz w:val="24"/>
          <w:szCs w:val="24"/>
          <w:highlight w:val="white"/>
          <w:rtl w:val="0"/>
        </w:rPr>
        <w:t xml:space="preserve">Ko, and Liu, 2021</w:t>
      </w:r>
      <w:r w:rsidDel="00000000" w:rsidR="00000000" w:rsidRPr="00000000">
        <w:rPr>
          <w:rFonts w:ascii="Times New Roman" w:cs="Times New Roman" w:eastAsia="Times New Roman" w:hAnsi="Times New Roman"/>
          <w:sz w:val="24"/>
          <w:szCs w:val="24"/>
          <w:rtl w:val="0"/>
        </w:rPr>
        <w:t xml:space="preserve">). The capacity to mobilise scientific and technical advances, as well as other inputs of production like as money, land, and labour, are examples of such intangible elements. The capacities to pool and use other resources are in the manufacturing process, such as capital, land, and labour (</w:t>
      </w:r>
      <w:r w:rsidDel="00000000" w:rsidR="00000000" w:rsidRPr="00000000">
        <w:rPr>
          <w:rFonts w:ascii="Times New Roman" w:cs="Times New Roman" w:eastAsia="Times New Roman" w:hAnsi="Times New Roman"/>
          <w:color w:val="222222"/>
          <w:sz w:val="24"/>
          <w:szCs w:val="24"/>
          <w:highlight w:val="white"/>
          <w:rtl w:val="0"/>
        </w:rPr>
        <w:t xml:space="preserve">Eunice Abdul 2018</w:t>
      </w:r>
      <w:r w:rsidDel="00000000" w:rsidR="00000000" w:rsidRPr="00000000">
        <w:rPr>
          <w:rFonts w:ascii="Times New Roman" w:cs="Times New Roman" w:eastAsia="Times New Roman" w:hAnsi="Times New Roman"/>
          <w:sz w:val="24"/>
          <w:szCs w:val="24"/>
          <w:rtl w:val="0"/>
        </w:rPr>
        <w:t xml:space="preserve">). One must also possess an imaginative and risk-taking mindset.</w:t>
      </w:r>
    </w:p>
    <w:p w:rsidR="00000000" w:rsidDel="00000000" w:rsidP="00000000" w:rsidRDefault="00000000" w:rsidRPr="00000000" w14:paraId="00000014">
      <w:pPr>
        <w:pStyle w:val="Heading2"/>
        <w:rPr/>
      </w:pPr>
      <w:r w:rsidDel="00000000" w:rsidR="00000000" w:rsidRPr="00000000">
        <w:rPr>
          <w:rtl w:val="0"/>
        </w:rPr>
        <w:t xml:space="preserve">SWOT Analysis</w:t>
      </w:r>
    </w:p>
    <w:tbl>
      <w:tblPr>
        <w:tblStyle w:val="Table1"/>
        <w:tblW w:w="924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4621"/>
        <w:gridCol w:w="4621"/>
        <w:tblGridChange w:id="0">
          <w:tblGrid>
            <w:gridCol w:w="4621"/>
            <w:gridCol w:w="4621"/>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1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Strengths</w:t>
            </w:r>
          </w:p>
          <w:p w:rsidR="00000000" w:rsidDel="00000000" w:rsidP="00000000" w:rsidRDefault="00000000" w:rsidRPr="00000000" w14:paraId="0000001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tabs>
                <w:tab w:val="left" w:pos="3480"/>
              </w:tabs>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also believe that the unique qualities we each possess play a crucial role in determining our level of success.</w:t>
            </w:r>
          </w:p>
          <w:p w:rsidR="00000000" w:rsidDel="00000000" w:rsidP="00000000" w:rsidRDefault="00000000" w:rsidRPr="00000000" w14:paraId="000000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tabs>
                <w:tab w:val="left" w:pos="3480"/>
              </w:tabs>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Because I like to think of myself as an industrious and forward-thinking guy, I often choose to spend my free time working on projects or learning new things rather than indulging in leisure activities (Abad-Segura, and González-Zamar, 2019).</w:t>
            </w:r>
          </w:p>
          <w:p w:rsidR="00000000" w:rsidDel="00000000" w:rsidP="00000000" w:rsidRDefault="00000000" w:rsidRPr="00000000" w14:paraId="0000001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tabs>
                <w:tab w:val="left" w:pos="3480"/>
              </w:tabs>
              <w:spacing w:after="20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factor that I believe may influence the amount of innovation and creativity in the workplace is the mindset of the employees.</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1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Weaknesses</w:t>
            </w:r>
          </w:p>
          <w:p w:rsidR="00000000" w:rsidDel="00000000" w:rsidP="00000000" w:rsidRDefault="00000000" w:rsidRPr="00000000" w14:paraId="0000001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my SWOT analysis, one of my biggest weaknesses is my inability to communicate effectively.</w:t>
            </w:r>
          </w:p>
          <w:p w:rsidR="00000000" w:rsidDel="00000000" w:rsidP="00000000" w:rsidRDefault="00000000" w:rsidRPr="00000000" w14:paraId="0000001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Nowadays, it is clear that many companies value workers with strong communication skills since these help them to be more productive and give superior service to customers.</w:t>
            </w:r>
          </w:p>
          <w:p w:rsidR="00000000" w:rsidDel="00000000" w:rsidP="00000000" w:rsidRDefault="00000000" w:rsidRPr="00000000" w14:paraId="0000001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workplace brings out the worst in me; I tend to lose my cool easily when things don't go as I'd hoped.</w:t>
            </w:r>
          </w:p>
        </w:tc>
      </w:tr>
      <w:tr>
        <w:trPr>
          <w:cantSplit w:val="0"/>
          <w:tblHeader w:val="0"/>
        </w:trPr>
        <w:tc>
          <w:tcPr>
            <w:tcBorders>
              <w:right w:color="000000" w:space="0" w:sz="0" w:val="nil"/>
            </w:tcBorders>
          </w:tcPr>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Opportunities</w:t>
            </w:r>
          </w:p>
          <w:p w:rsidR="00000000" w:rsidDel="00000000" w:rsidP="00000000" w:rsidRDefault="00000000" w:rsidRPr="00000000" w14:paraId="0000001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“Capital accumulation and productivity” gains have kept the UK economy expanding, but international trade and investment have been more important to the country's progress.</w:t>
            </w:r>
          </w:p>
          <w:p w:rsidR="00000000" w:rsidDel="00000000" w:rsidP="00000000" w:rsidRDefault="00000000" w:rsidRPr="00000000" w14:paraId="0000001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years after the United Kingdom's entry to the World Trade Organization, business has expanded at a pace that approaches exponential growth.</w:t>
            </w:r>
          </w:p>
          <w:p w:rsidR="00000000" w:rsidDel="00000000" w:rsidP="00000000" w:rsidRDefault="00000000" w:rsidRPr="00000000" w14:paraId="0000002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ensures that the way people in the UK do business, manufacture things, and have fun is evolving.</w:t>
            </w:r>
          </w:p>
        </w:tc>
        <w:tc>
          <w:tcPr>
            <w:tcBorders>
              <w:left w:color="000000" w:space="0" w:sz="0" w:val="nil"/>
            </w:tcBorders>
          </w:tcPr>
          <w:p w:rsidR="00000000" w:rsidDel="00000000" w:rsidP="00000000" w:rsidRDefault="00000000" w:rsidRPr="00000000" w14:paraId="0000002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2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Even though there are a plethora of opportunities for me to expand my horizons academically and professionally in today's prosperous economy, there are still some obstacles standing in the way of my ultimate goal (Dabić et al. 2020).</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Because to the spread of COVID-19, the economy can never go back to how it was before.</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the record, I am quite aware that I do not possess the relevant skills to pique the interest of prospective employers.</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get beyond this obstacle and into a solid position professionally, I need to continually expand my horizons and sharpen my skills.</w:t>
            </w:r>
          </w:p>
        </w:tc>
      </w:tr>
    </w:tbl>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pStyle w:val="Heading2"/>
        <w:rPr/>
      </w:pPr>
      <w:r w:rsidDel="00000000" w:rsidR="00000000" w:rsidRPr="00000000">
        <w:rPr>
          <w:rtl w:val="0"/>
        </w:rPr>
        <w:t xml:space="preserve">Individual Skills Audit</w:t>
      </w:r>
    </w:p>
    <w:tbl>
      <w:tblPr>
        <w:tblStyle w:val="Table2"/>
        <w:tblW w:w="9242.0" w:type="dxa"/>
        <w:jc w:val="left"/>
        <w:tblInd w:w="-108.0" w:type="dxa"/>
        <w:tblBorders>
          <w:top w:color="78c0d4" w:space="0" w:sz="8" w:val="single"/>
          <w:left w:color="78c0d4" w:space="0" w:sz="8" w:val="single"/>
          <w:bottom w:color="78c0d4" w:space="0" w:sz="8" w:val="single"/>
          <w:right w:color="78c0d4" w:space="0" w:sz="8" w:val="single"/>
          <w:insideH w:color="78c0d4" w:space="0" w:sz="8" w:val="single"/>
          <w:insideV w:color="000000" w:space="0" w:sz="4" w:val="single"/>
        </w:tblBorders>
        <w:tblLayout w:type="fixed"/>
        <w:tblLook w:val="0400"/>
      </w:tblPr>
      <w:tblGrid>
        <w:gridCol w:w="4621"/>
        <w:gridCol w:w="4621"/>
        <w:tblGridChange w:id="0">
          <w:tblGrid>
            <w:gridCol w:w="4621"/>
            <w:gridCol w:w="4621"/>
          </w:tblGrid>
        </w:tblGridChange>
      </w:tblGrid>
      <w:tr>
        <w:trPr>
          <w:cantSplit w:val="0"/>
          <w:tblHeader w:val="0"/>
        </w:trPr>
        <w:tc>
          <w:tcPr>
            <w:shd w:fill="a6a6a6" w:val="clear"/>
          </w:tcPr>
          <w:p w:rsidR="00000000" w:rsidDel="00000000" w:rsidP="00000000" w:rsidRDefault="00000000" w:rsidRPr="00000000" w14:paraId="0000002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SKILLS I HAVE</w:t>
            </w:r>
          </w:p>
        </w:tc>
        <w:tc>
          <w:tcPr>
            <w:shd w:fill="a6a6a6" w:val="clear"/>
          </w:tcPr>
          <w:p w:rsidR="00000000" w:rsidDel="00000000" w:rsidP="00000000" w:rsidRDefault="00000000" w:rsidRPr="00000000" w14:paraId="0000002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EXAMPLE</w:t>
            </w:r>
          </w:p>
        </w:tc>
      </w:tr>
      <w:tr>
        <w:trPr>
          <w:cantSplit w:val="0"/>
          <w:tblHeader w:val="0"/>
        </w:trPr>
        <w:tc>
          <w:tcPr/>
          <w:p w:rsidR="00000000" w:rsidDel="00000000" w:rsidP="00000000" w:rsidRDefault="00000000" w:rsidRPr="00000000" w14:paraId="0000002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Public Speaking</w:t>
            </w:r>
          </w:p>
        </w:tc>
        <w:tc>
          <w:tcPr/>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MUN conferences I attended totalled ten, and three of them were held abroad. Additionally, I was named best delegate a total of three times.</w:t>
            </w:r>
          </w:p>
        </w:tc>
      </w:tr>
      <w:tr>
        <w:trPr>
          <w:cantSplit w:val="0"/>
          <w:tblHeader w:val="0"/>
        </w:trPr>
        <w:tc>
          <w:tcPr/>
          <w:p w:rsidR="00000000" w:rsidDel="00000000" w:rsidP="00000000" w:rsidRDefault="00000000" w:rsidRPr="00000000" w14:paraId="0000002E">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Leadership</w:t>
            </w:r>
          </w:p>
          <w:p w:rsidR="00000000" w:rsidDel="00000000" w:rsidP="00000000" w:rsidRDefault="00000000" w:rsidRPr="00000000" w14:paraId="0000003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Skills</w:t>
            </w:r>
          </w:p>
        </w:tc>
        <w:tc>
          <w:tcPr/>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Both the Model United Nations club and the Hiking Club at my school elected me to the position of vice president (</w:t>
            </w:r>
            <w:r w:rsidDel="00000000" w:rsidR="00000000" w:rsidRPr="00000000">
              <w:rPr>
                <w:rFonts w:ascii="Times New Roman" w:cs="Times New Roman" w:eastAsia="Times New Roman" w:hAnsi="Times New Roman"/>
                <w:color w:val="222222"/>
                <w:sz w:val="24"/>
                <w:szCs w:val="24"/>
                <w:highlight w:val="white"/>
                <w:rtl w:val="0"/>
              </w:rPr>
              <w:t xml:space="preserve">Martinez et al. 2018</w:t>
            </w:r>
            <w:r w:rsidDel="00000000" w:rsidR="00000000" w:rsidRPr="00000000">
              <w:rPr>
                <w:rFonts w:ascii="Times New Roman" w:cs="Times New Roman" w:eastAsia="Times New Roman" w:hAnsi="Times New Roman"/>
                <w:sz w:val="24"/>
                <w:szCs w:val="24"/>
                <w:rtl w:val="0"/>
              </w:rPr>
              <w:t xml:space="preserve">). I also attended a leadership programme in Ireland in 2016.</w:t>
            </w:r>
          </w:p>
        </w:tc>
      </w:tr>
      <w:tr>
        <w:trPr>
          <w:cantSplit w:val="0"/>
          <w:tblHeader w:val="0"/>
        </w:trPr>
        <w:tc>
          <w:tcPr/>
          <w:p w:rsidR="00000000" w:rsidDel="00000000" w:rsidP="00000000" w:rsidRDefault="00000000" w:rsidRPr="00000000" w14:paraId="0000003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3">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Planning and</w:t>
            </w:r>
          </w:p>
          <w:p w:rsidR="00000000" w:rsidDel="00000000" w:rsidP="00000000" w:rsidRDefault="00000000" w:rsidRPr="00000000" w14:paraId="0000003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organization</w:t>
            </w:r>
          </w:p>
        </w:tc>
        <w:tc>
          <w:tcPr/>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member of Injaz, a programme of Junior Achievement Worldwide, I had the opportunity to serve as the Public Relations Manager for a firm that my class had founded.</w:t>
            </w:r>
          </w:p>
        </w:tc>
      </w:tr>
    </w:tbl>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3"/>
        <w:tblW w:w="9242.0" w:type="dxa"/>
        <w:jc w:val="left"/>
        <w:tblInd w:w="-108.0" w:type="dxa"/>
        <w:tblBorders>
          <w:top w:color="78c0d4" w:space="0" w:sz="8" w:val="single"/>
          <w:left w:color="78c0d4" w:space="0" w:sz="8" w:val="single"/>
          <w:bottom w:color="78c0d4" w:space="0" w:sz="8" w:val="single"/>
          <w:right w:color="78c0d4" w:space="0" w:sz="8" w:val="single"/>
          <w:insideH w:color="78c0d4" w:space="0" w:sz="8" w:val="single"/>
          <w:insideV w:color="000000" w:space="0" w:sz="4" w:val="single"/>
        </w:tblBorders>
        <w:tblLayout w:type="fixed"/>
        <w:tblLook w:val="0400"/>
      </w:tblPr>
      <w:tblGrid>
        <w:gridCol w:w="4621"/>
        <w:gridCol w:w="4621"/>
        <w:tblGridChange w:id="0">
          <w:tblGrid>
            <w:gridCol w:w="4621"/>
            <w:gridCol w:w="4621"/>
          </w:tblGrid>
        </w:tblGridChange>
      </w:tblGrid>
      <w:tr>
        <w:trPr>
          <w:cantSplit w:val="0"/>
          <w:tblHeader w:val="0"/>
        </w:trPr>
        <w:tc>
          <w:tcPr>
            <w:shd w:fill="a6a6a6" w:val="clear"/>
          </w:tcPr>
          <w:p w:rsidR="00000000" w:rsidDel="00000000" w:rsidP="00000000" w:rsidRDefault="00000000" w:rsidRPr="00000000" w14:paraId="0000003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SKILLS I’D LIKE TO</w:t>
            </w:r>
          </w:p>
          <w:p w:rsidR="00000000" w:rsidDel="00000000" w:rsidP="00000000" w:rsidRDefault="00000000" w:rsidRPr="00000000" w14:paraId="0000003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IMPROVE</w:t>
            </w:r>
          </w:p>
        </w:tc>
        <w:tc>
          <w:tcPr>
            <w:shd w:fill="a6a6a6" w:val="clear"/>
          </w:tcPr>
          <w:p w:rsidR="00000000" w:rsidDel="00000000" w:rsidP="00000000" w:rsidRDefault="00000000" w:rsidRPr="00000000" w14:paraId="0000003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HOW? EXAMPLE?</w:t>
            </w:r>
          </w:p>
        </w:tc>
      </w:tr>
      <w:tr>
        <w:trPr>
          <w:cantSplit w:val="0"/>
          <w:tblHeader w:val="0"/>
        </w:trPr>
        <w:tc>
          <w:tcPr/>
          <w:p w:rsidR="00000000" w:rsidDel="00000000" w:rsidP="00000000" w:rsidRDefault="00000000" w:rsidRPr="00000000" w14:paraId="0000003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Communication Skills</w:t>
            </w:r>
          </w:p>
        </w:tc>
        <w:tc>
          <w:tcPr/>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Maintaining a daily habit of composing some form of written communication and keeping tabs on the most popular papers</w:t>
            </w:r>
          </w:p>
        </w:tc>
      </w:tr>
      <w:tr>
        <w:trPr>
          <w:cantSplit w:val="0"/>
          <w:tblHeader w:val="0"/>
        </w:trPr>
        <w:tc>
          <w:tcPr/>
          <w:p w:rsidR="00000000" w:rsidDel="00000000" w:rsidP="00000000" w:rsidRDefault="00000000" w:rsidRPr="00000000" w14:paraId="0000003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“Higher MS Excel and</w:t>
            </w:r>
          </w:p>
          <w:p w:rsidR="00000000" w:rsidDel="00000000" w:rsidP="00000000" w:rsidRDefault="00000000" w:rsidRPr="00000000" w14:paraId="0000003E">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PowerPoints presentation</w:t>
            </w:r>
          </w:p>
          <w:p w:rsidR="00000000" w:rsidDel="00000000" w:rsidP="00000000" w:rsidRDefault="00000000" w:rsidRPr="00000000" w14:paraId="0000003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skill development”</w:t>
            </w:r>
            <w:r w:rsidDel="00000000" w:rsidR="00000000" w:rsidRPr="00000000">
              <w:rPr>
                <w:rtl w:val="0"/>
              </w:rPr>
            </w:r>
          </w:p>
        </w:tc>
        <w:tc>
          <w:tcPr/>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Training courses in Microsoft Excel and PowerPoint presentation creation, together with daily practise and the completion of at least one assigned job, are crucial (</w:t>
            </w:r>
            <w:r w:rsidDel="00000000" w:rsidR="00000000" w:rsidRPr="00000000">
              <w:rPr>
                <w:rFonts w:ascii="Times New Roman" w:cs="Times New Roman" w:eastAsia="Times New Roman" w:hAnsi="Times New Roman"/>
                <w:color w:val="222222"/>
                <w:sz w:val="24"/>
                <w:szCs w:val="24"/>
                <w:highlight w:val="white"/>
                <w:rtl w:val="0"/>
              </w:rPr>
              <w:t xml:space="preserve">Jones et al. 2019</w:t>
            </w:r>
            <w:r w:rsidDel="00000000" w:rsidR="00000000" w:rsidRPr="00000000">
              <w:rPr>
                <w:rFonts w:ascii="Times New Roman" w:cs="Times New Roman" w:eastAsia="Times New Roman" w:hAnsi="Times New Roman"/>
                <w:sz w:val="24"/>
                <w:szCs w:val="24"/>
                <w:rtl w:val="0"/>
              </w:rPr>
              <w:t xml:space="preserve">).</w:t>
            </w:r>
          </w:p>
        </w:tc>
      </w:tr>
      <w:tr>
        <w:trPr>
          <w:cantSplit w:val="0"/>
          <w:tblHeader w:val="0"/>
        </w:trPr>
        <w:tc>
          <w:tcPr/>
          <w:p w:rsidR="00000000" w:rsidDel="00000000" w:rsidP="00000000" w:rsidRDefault="00000000" w:rsidRPr="00000000" w14:paraId="0000004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Woking under pressure</w:t>
            </w:r>
          </w:p>
        </w:tc>
        <w:tc>
          <w:tcPr/>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Visit to a working business, with a focus on practical leadership lessons from established CEOs.</w:t>
            </w:r>
            <w:r w:rsidDel="00000000" w:rsidR="00000000" w:rsidRPr="00000000">
              <w:rPr>
                <w:rtl w:val="0"/>
              </w:rPr>
            </w:r>
          </w:p>
        </w:tc>
      </w:tr>
    </w:tbl>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do better at what I do, I need to focus on increasing my motivation and enthusiasm when performing certain tasks. Time management is a skill, and one that requires both motivation and energy, which is why I always manage to do my work on time. This will also increase my passion for particular tasks, which will improve my performance. The will to succeed has provided me with the motivation to tackle projects I previously avoided. With diligence, I shall maximise my potential by using my intellect (</w:t>
      </w:r>
      <w:r w:rsidDel="00000000" w:rsidR="00000000" w:rsidRPr="00000000">
        <w:rPr>
          <w:rFonts w:ascii="Times New Roman" w:cs="Times New Roman" w:eastAsia="Times New Roman" w:hAnsi="Times New Roman"/>
          <w:color w:val="222222"/>
          <w:sz w:val="24"/>
          <w:szCs w:val="24"/>
          <w:highlight w:val="white"/>
          <w:rtl w:val="0"/>
        </w:rPr>
        <w:t xml:space="preserve">Zaheer et al. 2019</w:t>
      </w:r>
      <w:r w:rsidDel="00000000" w:rsidR="00000000" w:rsidRPr="00000000">
        <w:rPr>
          <w:rFonts w:ascii="Times New Roman" w:cs="Times New Roman" w:eastAsia="Times New Roman" w:hAnsi="Times New Roman"/>
          <w:sz w:val="24"/>
          <w:szCs w:val="24"/>
          <w:rtl w:val="0"/>
        </w:rPr>
        <w:t xml:space="preserve">). The need for influence and other ties that may destroy my goals will be wiped out by my will to succeed.</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person's level of self-assurance is also crucial to their development of entrepreneurial skills. When we feel good about ourselves, we carry a more positive outlook. This is a major step for me since it will get me closer to realising my goals in life. It's important to me to set realistic objectives for the future and to start using effective strategies right now. Therefore, I shall be self-assured enough to banish apprehension of the future and embrace it with open arms.</w:t>
      </w:r>
    </w:p>
    <w:p w:rsidR="00000000" w:rsidDel="00000000" w:rsidP="00000000" w:rsidRDefault="00000000" w:rsidRPr="00000000" w14:paraId="00000046">
      <w:pPr>
        <w:pStyle w:val="Heading1"/>
        <w:rPr/>
      </w:pPr>
      <w:r w:rsidDel="00000000" w:rsidR="00000000" w:rsidRPr="00000000">
        <w:rPr>
          <w:rtl w:val="0"/>
        </w:rPr>
        <w:t xml:space="preserve">Task 2</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United Kingdom, or UK as it is more often abbreviated, is a country in Western Europe. She is composed of various islands that are similar to Great Britain, such as Ireland in the northeast. The United Kingdom consists of four individual countries: England, Scotland, Wales, and Northern Ireland (</w:t>
      </w:r>
      <w:r w:rsidDel="00000000" w:rsidR="00000000" w:rsidRPr="00000000">
        <w:rPr>
          <w:rFonts w:ascii="Times New Roman" w:cs="Times New Roman" w:eastAsia="Times New Roman" w:hAnsi="Times New Roman"/>
          <w:color w:val="222222"/>
          <w:sz w:val="24"/>
          <w:szCs w:val="24"/>
          <w:highlight w:val="white"/>
          <w:rtl w:val="0"/>
        </w:rPr>
        <w:t xml:space="preserve">Usai et al. 2018</w:t>
      </w:r>
      <w:r w:rsidDel="00000000" w:rsidR="00000000" w:rsidRPr="00000000">
        <w:rPr>
          <w:rFonts w:ascii="Times New Roman" w:cs="Times New Roman" w:eastAsia="Times New Roman" w:hAnsi="Times New Roman"/>
          <w:sz w:val="24"/>
          <w:szCs w:val="24"/>
          <w:rtl w:val="0"/>
        </w:rPr>
        <w:t xml:space="preserve">). Four of her states are located in Great Britain, with their respective capital cities located in “Northern Ireland, Scotland, Wales, and Great Britain”.</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London, with a population of over 10 million, is the cultural and financial centre of the world. Though English is the official language, Irish and Scottish Gaelic are also widely spoken.</w:t>
      </w:r>
    </w:p>
    <w:p w:rsidR="00000000" w:rsidDel="00000000" w:rsidP="00000000" w:rsidRDefault="00000000" w:rsidRPr="00000000" w14:paraId="00000049">
      <w:pPr>
        <w:pStyle w:val="Heading2"/>
        <w:rPr/>
      </w:pPr>
      <w:r w:rsidDel="00000000" w:rsidR="00000000" w:rsidRPr="00000000">
        <w:rPr>
          <w:rtl w:val="0"/>
        </w:rPr>
        <w:t xml:space="preserve">PESTLE Analysis</w:t>
      </w:r>
    </w:p>
    <w:tbl>
      <w:tblPr>
        <w:tblStyle w:val="Table4"/>
        <w:tblW w:w="9242.0" w:type="dxa"/>
        <w:jc w:val="left"/>
        <w:tblInd w:w="-108.0" w:type="dxa"/>
        <w:tblBorders>
          <w:top w:color="78c0d4" w:space="0" w:sz="8" w:val="single"/>
          <w:left w:color="78c0d4" w:space="0" w:sz="8" w:val="single"/>
          <w:bottom w:color="78c0d4" w:space="0" w:sz="8" w:val="single"/>
          <w:right w:color="78c0d4" w:space="0" w:sz="8" w:val="single"/>
          <w:insideH w:color="78c0d4" w:space="0" w:sz="8" w:val="single"/>
          <w:insideV w:color="000000" w:space="0" w:sz="4" w:val="single"/>
        </w:tblBorders>
        <w:tblLayout w:type="fixed"/>
        <w:tblLook w:val="0400"/>
      </w:tblPr>
      <w:tblGrid>
        <w:gridCol w:w="4621"/>
        <w:gridCol w:w="4621"/>
        <w:tblGridChange w:id="0">
          <w:tblGrid>
            <w:gridCol w:w="4621"/>
            <w:gridCol w:w="4621"/>
          </w:tblGrid>
        </w:tblGridChange>
      </w:tblGrid>
      <w:tr>
        <w:trPr>
          <w:cantSplit w:val="0"/>
          <w:tblHeader w:val="0"/>
        </w:trPr>
        <w:tc>
          <w:tcPr/>
          <w:p w:rsidR="00000000" w:rsidDel="00000000" w:rsidP="00000000" w:rsidRDefault="00000000" w:rsidRPr="00000000" w14:paraId="0000004A">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Political factors</w:t>
            </w:r>
          </w:p>
        </w:tc>
        <w:tc>
          <w:tcPr/>
          <w:p w:rsidR="00000000" w:rsidDel="00000000" w:rsidP="00000000" w:rsidRDefault="00000000" w:rsidRPr="00000000" w14:paraId="0000004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Keeping a Strong Government in Place</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factors, including the prevalence of the rule of law, the existence of corruption controls (or the absence thereof), and the performance of government programmes, all play a role in maintaining political stability (</w:t>
            </w:r>
            <w:r w:rsidDel="00000000" w:rsidR="00000000" w:rsidRPr="00000000">
              <w:rPr>
                <w:rFonts w:ascii="Times New Roman" w:cs="Times New Roman" w:eastAsia="Times New Roman" w:hAnsi="Times New Roman"/>
                <w:color w:val="222222"/>
                <w:sz w:val="24"/>
                <w:szCs w:val="24"/>
                <w:highlight w:val="white"/>
                <w:rtl w:val="0"/>
              </w:rPr>
              <w:t xml:space="preserve">Garcia-Lorenzo et al. 2018</w:t>
            </w:r>
            <w:r w:rsidDel="00000000" w:rsidR="00000000" w:rsidRPr="00000000">
              <w:rPr>
                <w:rFonts w:ascii="Times New Roman" w:cs="Times New Roman" w:eastAsia="Times New Roman" w:hAnsi="Times New Roman"/>
                <w:sz w:val="24"/>
                <w:szCs w:val="24"/>
                <w:rtl w:val="0"/>
              </w:rPr>
              <w:t xml:space="preserve">). It's safe to say that the United Kingdom meets all of the criteria for a stable and successful government.</w:t>
            </w:r>
          </w:p>
          <w:p w:rsidR="00000000" w:rsidDel="00000000" w:rsidP="00000000" w:rsidRDefault="00000000" w:rsidRPr="00000000" w14:paraId="0000004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The Framework of Institutions</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global power, the United Kingdom is among the top few. However, the government of the nation is a mix of constitutional monarchy and parliamentary democracy. The prime minister serves as the main executive of the government, while the king serves as the country's nominal head of state.</w:t>
            </w:r>
          </w:p>
          <w:p w:rsidR="00000000" w:rsidDel="00000000" w:rsidP="00000000" w:rsidRDefault="00000000" w:rsidRPr="00000000" w14:paraId="0000004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Brexit</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Brexit is shorthand for Britain's departure from the European Union. Since the Brexit movement began, there has been a great deal of unpredictability. A withdrawal deal between the United Kingdom and the European Union was reached on January 24, 2020, marking the official end of the negotiation process (</w:t>
            </w:r>
            <w:r w:rsidDel="00000000" w:rsidR="00000000" w:rsidRPr="00000000">
              <w:rPr>
                <w:rFonts w:ascii="Times New Roman" w:cs="Times New Roman" w:eastAsia="Times New Roman" w:hAnsi="Times New Roman"/>
                <w:color w:val="222222"/>
                <w:sz w:val="24"/>
                <w:szCs w:val="24"/>
                <w:highlight w:val="white"/>
                <w:rtl w:val="0"/>
              </w:rPr>
              <w:t xml:space="preserve">Carter, and Childs, 2018</w:t>
            </w:r>
            <w:r w:rsidDel="00000000" w:rsidR="00000000" w:rsidRPr="00000000">
              <w:rPr>
                <w:rFonts w:ascii="Times New Roman" w:cs="Times New Roman" w:eastAsia="Times New Roman" w:hAnsi="Times New Roman"/>
                <w:sz w:val="24"/>
                <w:szCs w:val="24"/>
                <w:rtl w:val="0"/>
              </w:rPr>
              <w:t xml:space="preserve">).</w:t>
            </w:r>
          </w:p>
        </w:tc>
      </w:tr>
      <w:tr>
        <w:trPr>
          <w:cantSplit w:val="0"/>
          <w:tblHeader w:val="0"/>
        </w:trPr>
        <w:tc>
          <w:tcPr/>
          <w:p w:rsidR="00000000" w:rsidDel="00000000" w:rsidP="00000000" w:rsidRDefault="00000000" w:rsidRPr="00000000" w14:paraId="00000051">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Economic Factors</w:t>
            </w:r>
          </w:p>
        </w:tc>
        <w:tc>
          <w:tcPr/>
          <w:p w:rsidR="00000000" w:rsidDel="00000000" w:rsidP="00000000" w:rsidRDefault="00000000" w:rsidRPr="00000000" w14:paraId="0000005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Changes in a Country's GDP</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United Kingdom has the world's sixth-largest economy, with a nominal GDP of $2.74 trillion in 2019. There were 41030 people in the nation in 2019, making its per capita income the 20th highest in the worldwide.</w:t>
            </w:r>
          </w:p>
          <w:p w:rsidR="00000000" w:rsidDel="00000000" w:rsidP="00000000" w:rsidRDefault="00000000" w:rsidRPr="00000000" w14:paraId="0000005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Economic Diversity</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Diversity is the driving force behind the prosperity of the British economy. Because of the variety of products and services available in her market, every firm has a fair shot at success (</w:t>
            </w:r>
            <w:r w:rsidDel="00000000" w:rsidR="00000000" w:rsidRPr="00000000">
              <w:rPr>
                <w:rFonts w:ascii="Times New Roman" w:cs="Times New Roman" w:eastAsia="Times New Roman" w:hAnsi="Times New Roman"/>
                <w:color w:val="222222"/>
                <w:sz w:val="24"/>
                <w:szCs w:val="24"/>
                <w:highlight w:val="white"/>
                <w:rtl w:val="0"/>
              </w:rPr>
              <w:t xml:space="preserve">Higgins et al. 2019</w:t>
            </w:r>
            <w:r w:rsidDel="00000000" w:rsidR="00000000" w:rsidRPr="00000000">
              <w:rPr>
                <w:rFonts w:ascii="Times New Roman" w:cs="Times New Roman" w:eastAsia="Times New Roman" w:hAnsi="Times New Roman"/>
                <w:sz w:val="24"/>
                <w:szCs w:val="24"/>
                <w:rtl w:val="0"/>
              </w:rPr>
              <w:t xml:space="preserve">). To the extent that it improves people's lives and there is a market for it.</w:t>
            </w:r>
          </w:p>
          <w:p w:rsidR="00000000" w:rsidDel="00000000" w:rsidP="00000000" w:rsidRDefault="00000000" w:rsidRPr="00000000" w14:paraId="0000005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FDI: Investing Abroad</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presence of several cultural traditions in a given community indicates the welcome shown to outsiders. Because of this, many people from different parts of the globe are interested in her economy.</w:t>
            </w:r>
          </w:p>
        </w:tc>
      </w:tr>
      <w:tr>
        <w:trPr>
          <w:cantSplit w:val="0"/>
          <w:tblHeader w:val="0"/>
        </w:trPr>
        <w:tc>
          <w:tcPr/>
          <w:p w:rsidR="00000000" w:rsidDel="00000000" w:rsidP="00000000" w:rsidRDefault="00000000" w:rsidRPr="00000000" w14:paraId="00000058">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Socio Factors</w:t>
            </w:r>
          </w:p>
        </w:tc>
        <w:tc>
          <w:tcPr/>
          <w:p w:rsidR="00000000" w:rsidDel="00000000" w:rsidP="00000000" w:rsidRDefault="00000000" w:rsidRPr="00000000" w14:paraId="0000005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Population</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Office of National Statistics predicts that by 2039 the UK will have a population of 74 million. Considering that the present birth-rate is higher than the death rate, the economy and healthcare systems will be hit most.</w:t>
            </w:r>
          </w:p>
          <w:p w:rsidR="00000000" w:rsidDel="00000000" w:rsidP="00000000" w:rsidRDefault="00000000" w:rsidRPr="00000000" w14:paraId="0000005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System of Healthcare</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considerable financial outlay for health coverage among the populace. As a result, the UK health care system has made great strides in recent years toward delivering high-quality service to its patients (</w:t>
            </w:r>
            <w:r w:rsidDel="00000000" w:rsidR="00000000" w:rsidRPr="00000000">
              <w:rPr>
                <w:rFonts w:ascii="Times New Roman" w:cs="Times New Roman" w:eastAsia="Times New Roman" w:hAnsi="Times New Roman"/>
                <w:color w:val="222222"/>
                <w:sz w:val="24"/>
                <w:szCs w:val="24"/>
                <w:highlight w:val="white"/>
                <w:rtl w:val="0"/>
              </w:rPr>
              <w:t xml:space="preserve">Cederberg, and Villares-Varela, 2019</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1"/>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Education</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What's very cool about the UK's schooling system is that it's always being brought up to date with the most recent discoveries and discoveries. Her school system is infused with contemporary mythology of education.</w:t>
            </w:r>
          </w:p>
        </w:tc>
      </w:tr>
      <w:tr>
        <w:trPr>
          <w:cantSplit w:val="0"/>
          <w:tblHeader w:val="0"/>
        </w:trPr>
        <w:tc>
          <w:tcPr/>
          <w:p w:rsidR="00000000" w:rsidDel="00000000" w:rsidP="00000000" w:rsidRDefault="00000000" w:rsidRPr="00000000" w14:paraId="0000005F">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Technological Factors</w:t>
            </w:r>
          </w:p>
        </w:tc>
        <w:tc>
          <w:tcPr/>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country has some of the world's finest laboratories, and its scientists and engineers are always striving to make breakthroughs in their respective fields. Potentially fruitful endeavours await the adventurous in the economy. Each new scientific finding and technological advancement is good for the economy. Recently, she has made more advancement in the field of technology. The technical universities of Britain hold their own against their American, Indian, Japanese, and Korean competitors.</w:t>
            </w:r>
          </w:p>
        </w:tc>
      </w:tr>
      <w:tr>
        <w:trPr>
          <w:cantSplit w:val="0"/>
          <w:tblHeader w:val="0"/>
        </w:trPr>
        <w:tc>
          <w:tcPr/>
          <w:p w:rsidR="00000000" w:rsidDel="00000000" w:rsidP="00000000" w:rsidRDefault="00000000" w:rsidRPr="00000000" w14:paraId="00000061">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Legal Factors</w:t>
            </w:r>
          </w:p>
        </w:tc>
        <w:tc>
          <w:tcPr/>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Businesses with UK operations must comply with the “Employment Act 1996”. This law safeguards their entitlements to “sick pay, minimum wage, holiday pay, maternity leave, and paternity leave” (</w:t>
            </w:r>
            <w:r w:rsidDel="00000000" w:rsidR="00000000" w:rsidRPr="00000000">
              <w:rPr>
                <w:rFonts w:ascii="Times New Roman" w:cs="Times New Roman" w:eastAsia="Times New Roman" w:hAnsi="Times New Roman"/>
                <w:color w:val="222222"/>
                <w:sz w:val="24"/>
                <w:szCs w:val="24"/>
                <w:highlight w:val="white"/>
                <w:rtl w:val="0"/>
              </w:rPr>
              <w:t xml:space="preserve">Cederberg, and Villares-Varela, 2019</w:t>
            </w:r>
            <w:r w:rsidDel="00000000" w:rsidR="00000000" w:rsidRPr="00000000">
              <w:rPr>
                <w:rFonts w:ascii="Times New Roman" w:cs="Times New Roman" w:eastAsia="Times New Roman" w:hAnsi="Times New Roman"/>
                <w:sz w:val="24"/>
                <w:szCs w:val="24"/>
                <w:rtl w:val="0"/>
              </w:rPr>
              <w:t xml:space="preserve">). The Equality Act of 2010 protects individuals against discrimination based on “their race, gender, colour, or other characteristics”.</w:t>
            </w:r>
          </w:p>
        </w:tc>
      </w:tr>
      <w:tr>
        <w:trPr>
          <w:cantSplit w:val="0"/>
          <w:tblHeader w:val="0"/>
        </w:trPr>
        <w:tc>
          <w:tcPr/>
          <w:p w:rsidR="00000000" w:rsidDel="00000000" w:rsidP="00000000" w:rsidRDefault="00000000" w:rsidRPr="00000000" w14:paraId="00000063">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Environmental Factors</w:t>
            </w:r>
          </w:p>
        </w:tc>
        <w:tc>
          <w:tcPr/>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economic growth is impossible without some kind of industrialisation, environmental problems are a fact of life in every industrialised nation. It also causes pollution and other environmental problems. In spite of this, many groups, including governments, businesses, and philanthropic organisations, are actively working to increase recycling rates, decrease plastic use, and increase the availability of environmentally friendly goods and services.</w:t>
            </w:r>
          </w:p>
        </w:tc>
      </w:tr>
    </w:tbl>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pStyle w:val="Heading1"/>
        <w:rPr/>
      </w:pPr>
      <w:r w:rsidDel="00000000" w:rsidR="00000000" w:rsidRPr="00000000">
        <w:rPr>
          <w:rtl w:val="0"/>
        </w:rPr>
        <w:t xml:space="preserve">Conclusion</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talent audit component of this report, I was able to identify my transferrable abilities that needed growth, which is a great starting step toward bettering myself and my position in the event business. This development is expanded upon in the subsequent action plan. As a student at the University of Wales, which provides me with so many options, I will be motivated to follow through on my goals and to see education as a lifelong process. A high association exists between entrepreneurial attitudes and practises and personality traits including a need to take charge, a penchant for innovation, a comfort with uncertainty, and a solid conviction in one's own abilities.</w:t>
      </w:r>
      <w:r w:rsidDel="00000000" w:rsidR="00000000" w:rsidRPr="00000000">
        <w:br w:type="page"/>
      </w:r>
      <w:r w:rsidDel="00000000" w:rsidR="00000000" w:rsidRPr="00000000">
        <w:rPr>
          <w:rtl w:val="0"/>
        </w:rPr>
      </w:r>
    </w:p>
    <w:p w:rsidR="00000000" w:rsidDel="00000000" w:rsidP="00000000" w:rsidRDefault="00000000" w:rsidRPr="00000000" w14:paraId="00000068">
      <w:pPr>
        <w:pStyle w:val="Heading1"/>
        <w:rPr/>
      </w:pPr>
      <w:r w:rsidDel="00000000" w:rsidR="00000000" w:rsidRPr="00000000">
        <w:rPr>
          <w:rtl w:val="0"/>
        </w:rPr>
        <w:t xml:space="preserve">Reference List</w:t>
      </w:r>
    </w:p>
    <w:p w:rsidR="00000000" w:rsidDel="00000000" w:rsidP="00000000" w:rsidRDefault="00000000" w:rsidRPr="00000000" w14:paraId="0000006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Abad-Segura, E. and González-Zamar, M.D., 2019. Effects of financial education and financial literacy on creative entrepreneurship: A worldwide research. </w:t>
      </w:r>
      <w:r w:rsidDel="00000000" w:rsidR="00000000" w:rsidRPr="00000000">
        <w:rPr>
          <w:rFonts w:ascii="Times New Roman" w:cs="Times New Roman" w:eastAsia="Times New Roman" w:hAnsi="Times New Roman"/>
          <w:i w:val="1"/>
          <w:color w:val="222222"/>
          <w:sz w:val="24"/>
          <w:szCs w:val="24"/>
          <w:highlight w:val="white"/>
          <w:rtl w:val="0"/>
        </w:rPr>
        <w:t xml:space="preserve">Education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w:t>
      </w:r>
      <w:r w:rsidDel="00000000" w:rsidR="00000000" w:rsidRPr="00000000">
        <w:rPr>
          <w:rFonts w:ascii="Times New Roman" w:cs="Times New Roman" w:eastAsia="Times New Roman" w:hAnsi="Times New Roman"/>
          <w:color w:val="222222"/>
          <w:sz w:val="24"/>
          <w:szCs w:val="24"/>
          <w:highlight w:val="white"/>
          <w:rtl w:val="0"/>
        </w:rPr>
        <w:t xml:space="preserve">(3), p.238.</w:t>
      </w:r>
    </w:p>
    <w:p w:rsidR="00000000" w:rsidDel="00000000" w:rsidP="00000000" w:rsidRDefault="00000000" w:rsidRPr="00000000" w14:paraId="0000006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Ahl, H. and Marlow, S., 2021. Exploring the false promise of entrepreneurship through a postfeminist critique of the enterprise policy discourse in Sweden and the UK. </w:t>
      </w:r>
      <w:r w:rsidDel="00000000" w:rsidR="00000000" w:rsidRPr="00000000">
        <w:rPr>
          <w:rFonts w:ascii="Times New Roman" w:cs="Times New Roman" w:eastAsia="Times New Roman" w:hAnsi="Times New Roman"/>
          <w:i w:val="1"/>
          <w:color w:val="222222"/>
          <w:sz w:val="24"/>
          <w:szCs w:val="24"/>
          <w:highlight w:val="white"/>
          <w:rtl w:val="0"/>
        </w:rPr>
        <w:t xml:space="preserve">Human Relations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74</w:t>
      </w:r>
      <w:r w:rsidDel="00000000" w:rsidR="00000000" w:rsidRPr="00000000">
        <w:rPr>
          <w:rFonts w:ascii="Times New Roman" w:cs="Times New Roman" w:eastAsia="Times New Roman" w:hAnsi="Times New Roman"/>
          <w:color w:val="222222"/>
          <w:sz w:val="24"/>
          <w:szCs w:val="24"/>
          <w:highlight w:val="white"/>
          <w:rtl w:val="0"/>
        </w:rPr>
        <w:t xml:space="preserve">(1), pp.41-68.</w:t>
      </w:r>
    </w:p>
    <w:p w:rsidR="00000000" w:rsidDel="00000000" w:rsidP="00000000" w:rsidRDefault="00000000" w:rsidRPr="00000000" w14:paraId="0000006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Carter, N. and Childs, M., 2018. Friends of the Earth as a policy entrepreneur:‘The Big Ask’campaign for a UK Climate Change Act. </w:t>
      </w:r>
      <w:r w:rsidDel="00000000" w:rsidR="00000000" w:rsidRPr="00000000">
        <w:rPr>
          <w:rFonts w:ascii="Times New Roman" w:cs="Times New Roman" w:eastAsia="Times New Roman" w:hAnsi="Times New Roman"/>
          <w:i w:val="1"/>
          <w:color w:val="222222"/>
          <w:sz w:val="24"/>
          <w:szCs w:val="24"/>
          <w:highlight w:val="white"/>
          <w:rtl w:val="0"/>
        </w:rPr>
        <w:t xml:space="preserve">Environmental Politics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27</w:t>
      </w:r>
      <w:r w:rsidDel="00000000" w:rsidR="00000000" w:rsidRPr="00000000">
        <w:rPr>
          <w:rFonts w:ascii="Times New Roman" w:cs="Times New Roman" w:eastAsia="Times New Roman" w:hAnsi="Times New Roman"/>
          <w:color w:val="222222"/>
          <w:sz w:val="24"/>
          <w:szCs w:val="24"/>
          <w:highlight w:val="white"/>
          <w:rtl w:val="0"/>
        </w:rPr>
        <w:t xml:space="preserve">(6), pp.994-1013.</w:t>
      </w:r>
    </w:p>
    <w:p w:rsidR="00000000" w:rsidDel="00000000" w:rsidP="00000000" w:rsidRDefault="00000000" w:rsidRPr="00000000" w14:paraId="0000006C">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Cederberg, M. and Villares-Varela, M., 2019. Ethnic entrepreneurship and the question of agency: the role of different forms of capital, and the relevance of social class. </w:t>
      </w:r>
      <w:r w:rsidDel="00000000" w:rsidR="00000000" w:rsidRPr="00000000">
        <w:rPr>
          <w:rFonts w:ascii="Times New Roman" w:cs="Times New Roman" w:eastAsia="Times New Roman" w:hAnsi="Times New Roman"/>
          <w:i w:val="1"/>
          <w:color w:val="222222"/>
          <w:sz w:val="24"/>
          <w:szCs w:val="24"/>
          <w:highlight w:val="white"/>
          <w:rtl w:val="0"/>
        </w:rPr>
        <w:t xml:space="preserve">Journal of Ethnic and Migration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45</w:t>
      </w:r>
      <w:r w:rsidDel="00000000" w:rsidR="00000000" w:rsidRPr="00000000">
        <w:rPr>
          <w:rFonts w:ascii="Times New Roman" w:cs="Times New Roman" w:eastAsia="Times New Roman" w:hAnsi="Times New Roman"/>
          <w:color w:val="222222"/>
          <w:sz w:val="24"/>
          <w:szCs w:val="24"/>
          <w:highlight w:val="white"/>
          <w:rtl w:val="0"/>
        </w:rPr>
        <w:t xml:space="preserve">(1), pp.115-132.</w:t>
      </w:r>
    </w:p>
    <w:p w:rsidR="00000000" w:rsidDel="00000000" w:rsidP="00000000" w:rsidRDefault="00000000" w:rsidRPr="00000000" w14:paraId="0000006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Dabić, M., Vlačić, B., Paul, J., Dana, L.P., Sahasranamam, S. and Glinka, B., 2020. Immigrant entrepreneurship: A review and research agenda.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113</w:t>
      </w:r>
      <w:r w:rsidDel="00000000" w:rsidR="00000000" w:rsidRPr="00000000">
        <w:rPr>
          <w:rFonts w:ascii="Times New Roman" w:cs="Times New Roman" w:eastAsia="Times New Roman" w:hAnsi="Times New Roman"/>
          <w:color w:val="222222"/>
          <w:sz w:val="24"/>
          <w:szCs w:val="24"/>
          <w:highlight w:val="white"/>
          <w:rtl w:val="0"/>
        </w:rPr>
        <w:t xml:space="preserve">, pp.25-38.</w:t>
      </w:r>
    </w:p>
    <w:p w:rsidR="00000000" w:rsidDel="00000000" w:rsidP="00000000" w:rsidRDefault="00000000" w:rsidRPr="00000000" w14:paraId="0000006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Eunice Abdul, O., 2018. Entrepreneurial skills and growth of Small and Medium Enterprise (SMEs): A comparative analysis of Nigerian entrepreneurs and Minority entrepreneurs in the UK.</w:t>
      </w:r>
    </w:p>
    <w:p w:rsidR="00000000" w:rsidDel="00000000" w:rsidP="00000000" w:rsidRDefault="00000000" w:rsidRPr="00000000" w14:paraId="0000006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Garcia-Lorenzo, L., Donnelly, P., Sell-Trujillo, L. and Imas, J.M., 2018. Liminal entrepreneuring: The creative practices of nascent necessity entrepreneurs. </w:t>
      </w:r>
      <w:r w:rsidDel="00000000" w:rsidR="00000000" w:rsidRPr="00000000">
        <w:rPr>
          <w:rFonts w:ascii="Times New Roman" w:cs="Times New Roman" w:eastAsia="Times New Roman" w:hAnsi="Times New Roman"/>
          <w:i w:val="1"/>
          <w:color w:val="222222"/>
          <w:sz w:val="24"/>
          <w:szCs w:val="24"/>
          <w:highlight w:val="white"/>
          <w:rtl w:val="0"/>
        </w:rPr>
        <w:t xml:space="preserve">Organization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39</w:t>
      </w:r>
      <w:r w:rsidDel="00000000" w:rsidR="00000000" w:rsidRPr="00000000">
        <w:rPr>
          <w:rFonts w:ascii="Times New Roman" w:cs="Times New Roman" w:eastAsia="Times New Roman" w:hAnsi="Times New Roman"/>
          <w:color w:val="222222"/>
          <w:sz w:val="24"/>
          <w:szCs w:val="24"/>
          <w:highlight w:val="white"/>
          <w:rtl w:val="0"/>
        </w:rPr>
        <w:t xml:space="preserve">(2-3), pp.373-395.</w:t>
      </w:r>
    </w:p>
    <w:p w:rsidR="00000000" w:rsidDel="00000000" w:rsidP="00000000" w:rsidRDefault="00000000" w:rsidRPr="00000000" w14:paraId="0000007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Hart, M., Bonner, K., Prashar, N., Ri, A., Levie, J. and Mwaura, S., 2020. Global entrepreneurship monitor: United Kingdom 2019 Monitoring Report.</w:t>
      </w:r>
    </w:p>
    <w:p w:rsidR="00000000" w:rsidDel="00000000" w:rsidP="00000000" w:rsidRDefault="00000000" w:rsidRPr="00000000" w14:paraId="0000007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Higgins, D., Galloway, L., Jones, P. and McGowan, P., 2019. Special focus: Towards entrepreneurship learning practices–Thoughts and insights. </w:t>
      </w:r>
      <w:r w:rsidDel="00000000" w:rsidR="00000000" w:rsidRPr="00000000">
        <w:rPr>
          <w:rFonts w:ascii="Times New Roman" w:cs="Times New Roman" w:eastAsia="Times New Roman" w:hAnsi="Times New Roman"/>
          <w:i w:val="1"/>
          <w:color w:val="222222"/>
          <w:sz w:val="24"/>
          <w:szCs w:val="24"/>
          <w:highlight w:val="white"/>
          <w:rtl w:val="0"/>
        </w:rPr>
        <w:t xml:space="preserve">Industry and Higher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33</w:t>
      </w:r>
      <w:r w:rsidDel="00000000" w:rsidR="00000000" w:rsidRPr="00000000">
        <w:rPr>
          <w:rFonts w:ascii="Times New Roman" w:cs="Times New Roman" w:eastAsia="Times New Roman" w:hAnsi="Times New Roman"/>
          <w:color w:val="222222"/>
          <w:sz w:val="24"/>
          <w:szCs w:val="24"/>
          <w:highlight w:val="white"/>
          <w:rtl w:val="0"/>
        </w:rPr>
        <w:t xml:space="preserve">(1), pp.3-5.</w:t>
      </w:r>
    </w:p>
    <w:p w:rsidR="00000000" w:rsidDel="00000000" w:rsidP="00000000" w:rsidRDefault="00000000" w:rsidRPr="00000000" w14:paraId="00000072">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Jones, T., Ram, M. and Villares-Varela, M., 2019. Diversity, economic development and new migrant entrepreneurs. </w:t>
      </w:r>
      <w:r w:rsidDel="00000000" w:rsidR="00000000" w:rsidRPr="00000000">
        <w:rPr>
          <w:rFonts w:ascii="Times New Roman" w:cs="Times New Roman" w:eastAsia="Times New Roman" w:hAnsi="Times New Roman"/>
          <w:i w:val="1"/>
          <w:color w:val="222222"/>
          <w:sz w:val="24"/>
          <w:szCs w:val="24"/>
          <w:highlight w:val="white"/>
          <w:rtl w:val="0"/>
        </w:rPr>
        <w:t xml:space="preserve">Urban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56</w:t>
      </w:r>
      <w:r w:rsidDel="00000000" w:rsidR="00000000" w:rsidRPr="00000000">
        <w:rPr>
          <w:rFonts w:ascii="Times New Roman" w:cs="Times New Roman" w:eastAsia="Times New Roman" w:hAnsi="Times New Roman"/>
          <w:color w:val="222222"/>
          <w:sz w:val="24"/>
          <w:szCs w:val="24"/>
          <w:highlight w:val="white"/>
          <w:rtl w:val="0"/>
        </w:rPr>
        <w:t xml:space="preserve">(5), pp.960-976.</w:t>
      </w:r>
    </w:p>
    <w:p w:rsidR="00000000" w:rsidDel="00000000" w:rsidP="00000000" w:rsidRDefault="00000000" w:rsidRPr="00000000" w14:paraId="0000007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 W.W. and Liu, G., 2021. The transformation from traditional nonprofit organizations to social enterprises: An institutional entrepreneurship perspective.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Ethics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171</w:t>
      </w:r>
      <w:r w:rsidDel="00000000" w:rsidR="00000000" w:rsidRPr="00000000">
        <w:rPr>
          <w:rFonts w:ascii="Times New Roman" w:cs="Times New Roman" w:eastAsia="Times New Roman" w:hAnsi="Times New Roman"/>
          <w:color w:val="222222"/>
          <w:sz w:val="24"/>
          <w:szCs w:val="24"/>
          <w:highlight w:val="white"/>
          <w:rtl w:val="0"/>
        </w:rPr>
        <w:t xml:space="preserve">(1), pp.15-32.</w:t>
      </w:r>
    </w:p>
    <w:p w:rsidR="00000000" w:rsidDel="00000000" w:rsidP="00000000" w:rsidRDefault="00000000" w:rsidRPr="00000000" w14:paraId="0000007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Martinez Dy, A., Martin, L. and Marlow, S., 2018. Emancipation through digital entrepreneurship? A critical realist analysis. </w:t>
      </w:r>
      <w:r w:rsidDel="00000000" w:rsidR="00000000" w:rsidRPr="00000000">
        <w:rPr>
          <w:rFonts w:ascii="Times New Roman" w:cs="Times New Roman" w:eastAsia="Times New Roman" w:hAnsi="Times New Roman"/>
          <w:i w:val="1"/>
          <w:color w:val="222222"/>
          <w:sz w:val="24"/>
          <w:szCs w:val="24"/>
          <w:highlight w:val="white"/>
          <w:rtl w:val="0"/>
        </w:rPr>
        <w:t xml:space="preserve">Organization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25</w:t>
      </w:r>
      <w:r w:rsidDel="00000000" w:rsidR="00000000" w:rsidRPr="00000000">
        <w:rPr>
          <w:rFonts w:ascii="Times New Roman" w:cs="Times New Roman" w:eastAsia="Times New Roman" w:hAnsi="Times New Roman"/>
          <w:color w:val="222222"/>
          <w:sz w:val="24"/>
          <w:szCs w:val="24"/>
          <w:highlight w:val="white"/>
          <w:rtl w:val="0"/>
        </w:rPr>
        <w:t xml:space="preserve">(5), pp.585-608.</w:t>
      </w:r>
    </w:p>
    <w:p w:rsidR="00000000" w:rsidDel="00000000" w:rsidP="00000000" w:rsidRDefault="00000000" w:rsidRPr="00000000" w14:paraId="0000007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Usai, A., Scuotto, V., Murray, A., Fiano, F. and Dezi, L., 2018. Do entrepreneurial knowledge and innovative attitude overcome “imperfections” in the innovation process? Insights from SMEs in the UK and Italy. </w:t>
      </w:r>
      <w:r w:rsidDel="00000000" w:rsidR="00000000" w:rsidRPr="00000000">
        <w:rPr>
          <w:rFonts w:ascii="Times New Roman" w:cs="Times New Roman" w:eastAsia="Times New Roman" w:hAnsi="Times New Roman"/>
          <w:i w:val="1"/>
          <w:color w:val="222222"/>
          <w:sz w:val="24"/>
          <w:szCs w:val="24"/>
          <w:highlight w:val="white"/>
          <w:rtl w:val="0"/>
        </w:rPr>
        <w:t xml:space="preserve">Journal of Knowledge Management</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76">
      <w:pPr>
        <w:spacing w:line="36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color w:val="222222"/>
          <w:sz w:val="24"/>
          <w:szCs w:val="24"/>
          <w:highlight w:val="white"/>
          <w:rtl w:val="0"/>
        </w:rPr>
        <w:t xml:space="preserve">Verbeke, A. and Ciravegna, L., 2018. International entrepreneurship research versus international business research: A false dichotomy?. </w:t>
      </w:r>
      <w:r w:rsidDel="00000000" w:rsidR="00000000" w:rsidRPr="00000000">
        <w:rPr>
          <w:rFonts w:ascii="Times New Roman" w:cs="Times New Roman" w:eastAsia="Times New Roman" w:hAnsi="Times New Roman"/>
          <w:i w:val="1"/>
          <w:color w:val="222222"/>
          <w:sz w:val="24"/>
          <w:szCs w:val="24"/>
          <w:highlight w:val="white"/>
          <w:rtl w:val="0"/>
        </w:rPr>
        <w:t xml:space="preserve">Journal of International Business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49</w:t>
      </w:r>
      <w:r w:rsidDel="00000000" w:rsidR="00000000" w:rsidRPr="00000000">
        <w:rPr>
          <w:rFonts w:ascii="Times New Roman" w:cs="Times New Roman" w:eastAsia="Times New Roman" w:hAnsi="Times New Roman"/>
          <w:color w:val="222222"/>
          <w:sz w:val="24"/>
          <w:szCs w:val="24"/>
          <w:highlight w:val="white"/>
          <w:rtl w:val="0"/>
        </w:rPr>
        <w:t xml:space="preserve">(4), pp.387-394.</w:t>
      </w:r>
      <w:r w:rsidDel="00000000" w:rsidR="00000000" w:rsidRPr="00000000">
        <w:rPr>
          <w:rtl w:val="0"/>
        </w:rPr>
      </w:r>
    </w:p>
    <w:p w:rsidR="00000000" w:rsidDel="00000000" w:rsidP="00000000" w:rsidRDefault="00000000" w:rsidRPr="00000000" w14:paraId="0000007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Zaheer, H., Breyer, Y. and Dumay, J., 2019. Digital entrepreneurship: An interdisciplinary structured literature review and research agenda. </w:t>
      </w:r>
      <w:r w:rsidDel="00000000" w:rsidR="00000000" w:rsidRPr="00000000">
        <w:rPr>
          <w:rFonts w:ascii="Times New Roman" w:cs="Times New Roman" w:eastAsia="Times New Roman" w:hAnsi="Times New Roman"/>
          <w:i w:val="1"/>
          <w:color w:val="222222"/>
          <w:sz w:val="24"/>
          <w:szCs w:val="24"/>
          <w:highlight w:val="white"/>
          <w:rtl w:val="0"/>
        </w:rPr>
        <w:t xml:space="preserve">Technological Forecasting and Social Change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148</w:t>
      </w:r>
      <w:r w:rsidDel="00000000" w:rsidR="00000000" w:rsidRPr="00000000">
        <w:rPr>
          <w:rFonts w:ascii="Times New Roman" w:cs="Times New Roman" w:eastAsia="Times New Roman" w:hAnsi="Times New Roman"/>
          <w:color w:val="222222"/>
          <w:sz w:val="24"/>
          <w:szCs w:val="24"/>
          <w:highlight w:val="white"/>
          <w:rtl w:val="0"/>
        </w:rPr>
        <w:t xml:space="preserve">, p.119735.</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6"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color w:val="00000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color w:val="00000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color w:val="00000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color w:val="00000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color w:val="00000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IN"/>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480" w:lineRule="auto"/>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0" w:before="200" w:line="480" w:lineRule="auto"/>
    </w:pPr>
    <w:rPr>
      <w:rFonts w:ascii="Times New Roman" w:cs="Times New Roman" w:eastAsia="Times New Roman" w:hAnsi="Times New Roman"/>
      <w:b w:val="1"/>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tcBorders>
          <w:insideH w:color="000000" w:space="0" w:sz="0" w:val="nil"/>
          <w:insideV w:color="000000" w:space="0" w:sz="0" w:val="nil"/>
        </w:tcBorders>
        <w:shd w:fill="d2eaf0" w:val="clear"/>
      </w:tcPr>
    </w:tblStylePr>
    <w:tblStylePr w:type="band1Vert">
      <w:tcPr>
        <w:shd w:fill="d2eaf0" w:val="clear"/>
      </w:tcPr>
    </w:tblStylePr>
    <w:tblStylePr w:type="band2Horz">
      <w:tcPr>
        <w:tcBorders>
          <w:insideH w:color="000000" w:space="0" w:sz="0" w:val="nil"/>
          <w:insideV w:color="000000" w:space="0" w:sz="0" w:val="nil"/>
        </w:tcBorders>
      </w:tcPr>
    </w:tblStylePr>
    <w:tblStylePr w:type="firstCol">
      <w:rPr>
        <w:b w:val="1"/>
      </w:rPr>
    </w:tblStylePr>
    <w:tblStylePr w:type="firstRow">
      <w:pPr>
        <w:spacing w:after="0" w:before="0" w:line="240" w:lineRule="auto"/>
      </w:pPr>
      <w:rPr>
        <w:b w:val="1"/>
        <w:color w:val="ffffff"/>
      </w:rPr>
      <w:tcPr>
        <w:tcBorders>
          <w:top w:color="78c0d4" w:space="0" w:sz="8" w:val="single"/>
          <w:left w:color="78c0d4" w:space="0" w:sz="8" w:val="single"/>
          <w:bottom w:color="78c0d4" w:space="0" w:sz="8" w:val="single"/>
          <w:right w:color="78c0d4" w:space="0" w:sz="8" w:val="single"/>
          <w:insideH w:color="000000" w:space="0" w:sz="0" w:val="nil"/>
          <w:insideV w:color="000000" w:space="0" w:sz="0" w:val="nil"/>
        </w:tcBorders>
        <w:shd w:fill="4bacc6" w:val="clear"/>
      </w:tcPr>
    </w:tblStylePr>
    <w:tblStylePr w:type="lastCol">
      <w:rPr>
        <w:b w:val="1"/>
      </w:rPr>
    </w:tblStylePr>
    <w:tblStylePr w:type="lastRow">
      <w:pPr>
        <w:spacing w:after="0" w:before="0" w:line="240" w:lineRule="auto"/>
      </w:pPr>
      <w:rPr>
        <w:b w:val="1"/>
      </w:rPr>
      <w:tcPr>
        <w:tcBorders>
          <w:top w:color="78c0d4" w:space="0" w:sz="6" w:val="single"/>
          <w:left w:color="78c0d4" w:space="0" w:sz="8" w:val="single"/>
          <w:bottom w:color="78c0d4" w:space="0" w:sz="8" w:val="single"/>
          <w:right w:color="78c0d4" w:space="0" w:sz="8" w:val="single"/>
          <w:insideH w:color="000000" w:space="0" w:sz="0" w:val="nil"/>
          <w:insideV w:color="000000" w:space="0" w:sz="0" w:val="nil"/>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