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5611B" w14:textId="77777777" w:rsidR="00E9254E" w:rsidRPr="00F54FD2" w:rsidRDefault="00E9254E" w:rsidP="00E9254E">
      <w:pPr>
        <w:spacing w:line="480" w:lineRule="auto"/>
        <w:jc w:val="center"/>
        <w:rPr>
          <w:rFonts w:ascii="Arial" w:hAnsi="Arial" w:cs="Arial"/>
          <w:b/>
          <w:bCs/>
          <w:sz w:val="24"/>
          <w:szCs w:val="24"/>
        </w:rPr>
      </w:pPr>
    </w:p>
    <w:p w14:paraId="5765611C" w14:textId="77777777" w:rsidR="00E9254E" w:rsidRPr="00F54FD2" w:rsidRDefault="00E9254E" w:rsidP="00E9254E">
      <w:pPr>
        <w:spacing w:line="480" w:lineRule="auto"/>
        <w:jc w:val="center"/>
        <w:rPr>
          <w:rFonts w:ascii="Arial" w:hAnsi="Arial" w:cs="Arial"/>
          <w:b/>
          <w:bCs/>
          <w:sz w:val="24"/>
          <w:szCs w:val="24"/>
        </w:rPr>
      </w:pPr>
    </w:p>
    <w:p w14:paraId="5765611D" w14:textId="77777777" w:rsidR="00E9254E" w:rsidRPr="00F54FD2" w:rsidRDefault="00E9254E" w:rsidP="00E9254E">
      <w:pPr>
        <w:spacing w:line="480" w:lineRule="auto"/>
        <w:jc w:val="center"/>
        <w:rPr>
          <w:rFonts w:ascii="Arial" w:hAnsi="Arial" w:cs="Arial"/>
          <w:b/>
          <w:bCs/>
          <w:sz w:val="24"/>
          <w:szCs w:val="24"/>
        </w:rPr>
      </w:pPr>
    </w:p>
    <w:p w14:paraId="5765611E" w14:textId="77777777" w:rsidR="00E9254E" w:rsidRPr="00F54FD2" w:rsidRDefault="00E9254E" w:rsidP="00E9254E">
      <w:pPr>
        <w:spacing w:line="480" w:lineRule="auto"/>
        <w:jc w:val="center"/>
        <w:rPr>
          <w:rFonts w:ascii="Arial" w:hAnsi="Arial" w:cs="Arial"/>
          <w:b/>
          <w:bCs/>
          <w:sz w:val="24"/>
          <w:szCs w:val="24"/>
        </w:rPr>
      </w:pPr>
    </w:p>
    <w:p w14:paraId="5765611F" w14:textId="77777777" w:rsidR="00E9254E" w:rsidRPr="00F54FD2" w:rsidRDefault="00E9254E" w:rsidP="00E9254E">
      <w:pPr>
        <w:spacing w:line="480" w:lineRule="auto"/>
        <w:jc w:val="center"/>
        <w:rPr>
          <w:rFonts w:ascii="Arial" w:hAnsi="Arial" w:cs="Arial"/>
          <w:b/>
          <w:bCs/>
          <w:sz w:val="24"/>
          <w:szCs w:val="24"/>
        </w:rPr>
      </w:pPr>
    </w:p>
    <w:p w14:paraId="57656120" w14:textId="77777777" w:rsidR="00E9254E" w:rsidRPr="00F54FD2" w:rsidRDefault="00E9254E" w:rsidP="00E9254E">
      <w:pPr>
        <w:spacing w:line="480" w:lineRule="auto"/>
        <w:jc w:val="center"/>
        <w:rPr>
          <w:rFonts w:ascii="Arial" w:hAnsi="Arial" w:cs="Arial"/>
          <w:b/>
          <w:bCs/>
          <w:sz w:val="24"/>
          <w:szCs w:val="24"/>
        </w:rPr>
      </w:pPr>
    </w:p>
    <w:p w14:paraId="1BCDDC91" w14:textId="77777777" w:rsidR="00885B7C" w:rsidRDefault="00885B7C" w:rsidP="00885B7C">
      <w:pPr>
        <w:spacing w:line="360" w:lineRule="auto"/>
        <w:jc w:val="center"/>
        <w:rPr>
          <w:rFonts w:ascii="Arial" w:hAnsi="Arial" w:cs="Arial"/>
          <w:b/>
          <w:bCs/>
          <w:sz w:val="32"/>
          <w:szCs w:val="32"/>
        </w:rPr>
      </w:pPr>
    </w:p>
    <w:p w14:paraId="439356A1" w14:textId="2AB7F371" w:rsidR="00885B7C" w:rsidRDefault="00885B7C" w:rsidP="00885B7C">
      <w:pPr>
        <w:spacing w:line="360" w:lineRule="auto"/>
        <w:jc w:val="center"/>
        <w:rPr>
          <w:rFonts w:ascii="Arial" w:hAnsi="Arial" w:cs="Arial"/>
          <w:sz w:val="32"/>
          <w:szCs w:val="32"/>
        </w:rPr>
      </w:pPr>
      <w:r w:rsidRPr="004A5C1C">
        <w:rPr>
          <w:rFonts w:ascii="Arial" w:hAnsi="Arial" w:cs="Arial"/>
          <w:b/>
          <w:bCs/>
          <w:sz w:val="28"/>
          <w:szCs w:val="28"/>
        </w:rPr>
        <w:t>Module</w:t>
      </w:r>
      <w:r w:rsidRPr="00957280">
        <w:rPr>
          <w:rFonts w:ascii="Arial" w:hAnsi="Arial" w:cs="Arial"/>
          <w:b/>
          <w:bCs/>
          <w:sz w:val="32"/>
          <w:szCs w:val="32"/>
        </w:rPr>
        <w:t>:</w:t>
      </w:r>
      <w:r w:rsidRPr="00957280">
        <w:rPr>
          <w:rFonts w:ascii="Arial" w:hAnsi="Arial" w:cs="Arial"/>
          <w:sz w:val="32"/>
          <w:szCs w:val="32"/>
        </w:rPr>
        <w:t xml:space="preserve"> </w:t>
      </w:r>
      <w:r w:rsidRPr="00DE0ABE">
        <w:rPr>
          <w:rFonts w:ascii="Arial" w:hAnsi="Arial" w:cs="Arial"/>
          <w:sz w:val="28"/>
          <w:szCs w:val="28"/>
        </w:rPr>
        <w:t>Hea</w:t>
      </w:r>
      <w:r w:rsidR="008F24F1" w:rsidRPr="00DE0ABE">
        <w:rPr>
          <w:rFonts w:ascii="Arial" w:hAnsi="Arial" w:cs="Arial"/>
          <w:sz w:val="28"/>
          <w:szCs w:val="28"/>
        </w:rPr>
        <w:t xml:space="preserve">lth Care System </w:t>
      </w:r>
      <w:proofErr w:type="spellStart"/>
      <w:r w:rsidR="008F24F1" w:rsidRPr="00DE0ABE">
        <w:rPr>
          <w:rFonts w:ascii="Arial" w:hAnsi="Arial" w:cs="Arial"/>
          <w:sz w:val="28"/>
          <w:szCs w:val="28"/>
        </w:rPr>
        <w:t>Organisation</w:t>
      </w:r>
      <w:proofErr w:type="spellEnd"/>
      <w:r w:rsidR="008F24F1" w:rsidRPr="00DE0ABE">
        <w:rPr>
          <w:rFonts w:ascii="Arial" w:hAnsi="Arial" w:cs="Arial"/>
          <w:sz w:val="28"/>
          <w:szCs w:val="28"/>
        </w:rPr>
        <w:t xml:space="preserve"> and Leadership</w:t>
      </w:r>
      <w:r>
        <w:rPr>
          <w:rFonts w:ascii="Arial" w:hAnsi="Arial" w:cs="Arial"/>
          <w:sz w:val="32"/>
          <w:szCs w:val="32"/>
        </w:rPr>
        <w:t xml:space="preserve"> </w:t>
      </w:r>
    </w:p>
    <w:p w14:paraId="066F41EC" w14:textId="0593FA5E" w:rsidR="00885B7C" w:rsidRDefault="00885B7C" w:rsidP="00885B7C">
      <w:pPr>
        <w:spacing w:line="360" w:lineRule="auto"/>
        <w:jc w:val="center"/>
        <w:rPr>
          <w:rFonts w:ascii="Arial" w:hAnsi="Arial" w:cs="Arial"/>
          <w:sz w:val="32"/>
          <w:szCs w:val="32"/>
        </w:rPr>
      </w:pPr>
      <w:r w:rsidRPr="004A5C1C">
        <w:rPr>
          <w:rFonts w:ascii="Arial" w:hAnsi="Arial" w:cs="Arial"/>
          <w:b/>
          <w:bCs/>
          <w:sz w:val="28"/>
          <w:szCs w:val="28"/>
        </w:rPr>
        <w:t>Module Code</w:t>
      </w:r>
      <w:r>
        <w:rPr>
          <w:rFonts w:ascii="Arial" w:hAnsi="Arial" w:cs="Arial"/>
          <w:sz w:val="32"/>
          <w:szCs w:val="32"/>
        </w:rPr>
        <w:t>: LCHS700</w:t>
      </w:r>
      <w:r w:rsidR="008F24F1">
        <w:rPr>
          <w:rFonts w:ascii="Arial" w:hAnsi="Arial" w:cs="Arial"/>
          <w:sz w:val="32"/>
          <w:szCs w:val="32"/>
        </w:rPr>
        <w:t>2</w:t>
      </w:r>
    </w:p>
    <w:p w14:paraId="7540AFA1" w14:textId="5A875A94" w:rsidR="00885B7C" w:rsidRPr="004A5C1C" w:rsidRDefault="00885B7C" w:rsidP="00885B7C">
      <w:pPr>
        <w:spacing w:line="360" w:lineRule="auto"/>
        <w:ind w:right="100"/>
        <w:jc w:val="center"/>
        <w:rPr>
          <w:rFonts w:ascii="Arial" w:hAnsi="Arial" w:cs="Arial"/>
          <w:sz w:val="28"/>
          <w:szCs w:val="28"/>
        </w:rPr>
      </w:pPr>
      <w:r w:rsidRPr="004A5C1C">
        <w:rPr>
          <w:rFonts w:ascii="Arial" w:hAnsi="Arial" w:cs="Arial"/>
          <w:b/>
          <w:bCs/>
          <w:sz w:val="28"/>
          <w:szCs w:val="28"/>
        </w:rPr>
        <w:t>Lecturer</w:t>
      </w:r>
      <w:r w:rsidRPr="004A5C1C">
        <w:rPr>
          <w:rFonts w:ascii="Arial" w:hAnsi="Arial" w:cs="Arial"/>
          <w:sz w:val="28"/>
          <w:szCs w:val="28"/>
        </w:rPr>
        <w:t xml:space="preserve">: </w:t>
      </w:r>
      <w:r w:rsidR="00B32FAD">
        <w:rPr>
          <w:rFonts w:ascii="Arial" w:hAnsi="Arial" w:cs="Arial"/>
          <w:sz w:val="28"/>
          <w:szCs w:val="28"/>
        </w:rPr>
        <w:t>Dr Fahad Khan</w:t>
      </w:r>
    </w:p>
    <w:p w14:paraId="4D9EBCD5" w14:textId="77777777" w:rsidR="00885B7C" w:rsidRDefault="00885B7C" w:rsidP="00885B7C">
      <w:pPr>
        <w:spacing w:line="360" w:lineRule="auto"/>
        <w:jc w:val="center"/>
        <w:rPr>
          <w:rFonts w:ascii="Arial" w:hAnsi="Arial" w:cs="Arial"/>
          <w:sz w:val="32"/>
          <w:szCs w:val="32"/>
        </w:rPr>
      </w:pPr>
    </w:p>
    <w:p w14:paraId="5DBF0F45" w14:textId="77777777" w:rsidR="00885B7C" w:rsidRPr="00957280" w:rsidRDefault="00885B7C" w:rsidP="00885B7C">
      <w:pPr>
        <w:spacing w:line="360" w:lineRule="auto"/>
        <w:jc w:val="center"/>
        <w:rPr>
          <w:rFonts w:ascii="Arial" w:hAnsi="Arial" w:cs="Arial"/>
          <w:b/>
          <w:bCs/>
          <w:sz w:val="32"/>
          <w:szCs w:val="32"/>
        </w:rPr>
      </w:pPr>
    </w:p>
    <w:p w14:paraId="72BA515F" w14:textId="77777777" w:rsidR="00DE0ABE" w:rsidRDefault="00885B7C" w:rsidP="001762D8">
      <w:pPr>
        <w:spacing w:line="480" w:lineRule="auto"/>
        <w:jc w:val="center"/>
        <w:rPr>
          <w:rFonts w:ascii="Arial" w:hAnsi="Arial" w:cs="Arial"/>
          <w:sz w:val="28"/>
          <w:szCs w:val="28"/>
        </w:rPr>
      </w:pPr>
      <w:r w:rsidRPr="004A5C1C">
        <w:rPr>
          <w:rFonts w:ascii="Arial" w:hAnsi="Arial" w:cs="Arial"/>
          <w:b/>
          <w:bCs/>
          <w:sz w:val="28"/>
          <w:szCs w:val="28"/>
        </w:rPr>
        <w:t>Assignment Title</w:t>
      </w:r>
      <w:proofErr w:type="gramStart"/>
      <w:r w:rsidRPr="004A5C1C">
        <w:rPr>
          <w:rFonts w:ascii="Arial" w:hAnsi="Arial" w:cs="Arial"/>
          <w:b/>
          <w:bCs/>
          <w:sz w:val="28"/>
          <w:szCs w:val="28"/>
        </w:rPr>
        <w:t xml:space="preserve">: </w:t>
      </w:r>
      <w:r w:rsidR="00F148D5">
        <w:rPr>
          <w:rFonts w:ascii="Arial" w:hAnsi="Arial" w:cs="Arial"/>
          <w:sz w:val="28"/>
          <w:szCs w:val="28"/>
        </w:rPr>
        <w:t xml:space="preserve"> </w:t>
      </w:r>
      <w:r w:rsidR="001762D8" w:rsidRPr="00DE0ABE">
        <w:rPr>
          <w:rFonts w:ascii="Arial" w:hAnsi="Arial" w:cs="Arial"/>
          <w:sz w:val="28"/>
          <w:szCs w:val="28"/>
        </w:rPr>
        <w:t>A</w:t>
      </w:r>
      <w:proofErr w:type="gramEnd"/>
      <w:r w:rsidR="001762D8" w:rsidRPr="00DE0ABE">
        <w:rPr>
          <w:rFonts w:ascii="Arial" w:hAnsi="Arial" w:cs="Arial"/>
          <w:sz w:val="28"/>
          <w:szCs w:val="28"/>
        </w:rPr>
        <w:t xml:space="preserve"> CRITICAL ANALYSIS OF LEADERSHIP, GOVERNANCE AND SYSTEMS THINKING IN MEDICATION SAFETY: THE CASE OF LEN’S UNINTENTIONAL MORPHINE SULFATE OVERDOSE</w:t>
      </w:r>
    </w:p>
    <w:p w14:paraId="210AF367" w14:textId="77777777" w:rsidR="000760E2" w:rsidRDefault="000760E2" w:rsidP="001762D8">
      <w:pPr>
        <w:spacing w:line="480" w:lineRule="auto"/>
        <w:jc w:val="center"/>
        <w:rPr>
          <w:rFonts w:ascii="Arial" w:hAnsi="Arial" w:cs="Arial"/>
          <w:sz w:val="28"/>
          <w:szCs w:val="28"/>
        </w:rPr>
      </w:pPr>
    </w:p>
    <w:p w14:paraId="0EA73344" w14:textId="77777777" w:rsidR="00DE0ABE" w:rsidRDefault="00DE0ABE" w:rsidP="001762D8">
      <w:pPr>
        <w:spacing w:line="480" w:lineRule="auto"/>
        <w:jc w:val="center"/>
        <w:rPr>
          <w:rFonts w:ascii="Arial" w:hAnsi="Arial" w:cs="Arial"/>
          <w:sz w:val="28"/>
          <w:szCs w:val="28"/>
        </w:rPr>
      </w:pPr>
    </w:p>
    <w:p w14:paraId="23789292" w14:textId="70D0A06C" w:rsidR="00885B7C" w:rsidRPr="001762D8" w:rsidRDefault="001762D8" w:rsidP="001762D8">
      <w:pPr>
        <w:spacing w:line="480" w:lineRule="auto"/>
        <w:jc w:val="center"/>
        <w:rPr>
          <w:rFonts w:ascii="Arial" w:hAnsi="Arial" w:cs="Arial"/>
          <w:b/>
          <w:bCs/>
          <w:kern w:val="44"/>
          <w:sz w:val="24"/>
          <w:szCs w:val="24"/>
          <w:lang w:val="en-GB"/>
        </w:rPr>
      </w:pPr>
      <w:r w:rsidRPr="00F54FD2">
        <w:rPr>
          <w:rFonts w:ascii="Arial" w:hAnsi="Arial" w:cs="Arial"/>
          <w:sz w:val="24"/>
          <w:szCs w:val="24"/>
        </w:rPr>
        <w:t xml:space="preserve"> </w:t>
      </w:r>
      <w:r w:rsidR="00885B7C" w:rsidRPr="004A5C1C">
        <w:rPr>
          <w:rFonts w:ascii="Arial" w:hAnsi="Arial" w:cs="Arial"/>
          <w:b/>
          <w:bCs/>
          <w:sz w:val="28"/>
          <w:szCs w:val="28"/>
        </w:rPr>
        <w:t>Student ID</w:t>
      </w:r>
      <w:r w:rsidR="00885B7C" w:rsidRPr="004A5C1C">
        <w:rPr>
          <w:rFonts w:ascii="Arial" w:hAnsi="Arial" w:cs="Arial"/>
          <w:sz w:val="28"/>
          <w:szCs w:val="28"/>
        </w:rPr>
        <w:t>: 2217492</w:t>
      </w:r>
    </w:p>
    <w:p w14:paraId="639BB8E3" w14:textId="77777777" w:rsidR="00885B7C" w:rsidRPr="004A5C1C" w:rsidRDefault="00885B7C" w:rsidP="00885B7C">
      <w:pPr>
        <w:spacing w:line="360" w:lineRule="auto"/>
        <w:jc w:val="center"/>
        <w:rPr>
          <w:rFonts w:ascii="Arial" w:hAnsi="Arial" w:cs="Arial"/>
          <w:sz w:val="28"/>
          <w:szCs w:val="28"/>
        </w:rPr>
      </w:pPr>
      <w:r w:rsidRPr="004A5C1C">
        <w:rPr>
          <w:rFonts w:ascii="Arial" w:hAnsi="Arial" w:cs="Arial"/>
          <w:b/>
          <w:bCs/>
          <w:sz w:val="28"/>
          <w:szCs w:val="28"/>
        </w:rPr>
        <w:t>Student Name</w:t>
      </w:r>
      <w:r w:rsidRPr="004A5C1C">
        <w:rPr>
          <w:rFonts w:ascii="Arial" w:hAnsi="Arial" w:cs="Arial"/>
          <w:sz w:val="28"/>
          <w:szCs w:val="28"/>
        </w:rPr>
        <w:t>: Ivana Konjevod Novosel</w:t>
      </w:r>
    </w:p>
    <w:p w14:paraId="6810D21A" w14:textId="77777777" w:rsidR="00885B7C" w:rsidRPr="00A406E5" w:rsidRDefault="00885B7C" w:rsidP="00885B7C">
      <w:pPr>
        <w:jc w:val="center"/>
        <w:rPr>
          <w:rFonts w:ascii="Arial" w:hAnsi="Arial" w:cs="Arial"/>
          <w:b/>
          <w:i/>
          <w:sz w:val="32"/>
        </w:rPr>
      </w:pPr>
    </w:p>
    <w:p w14:paraId="68591007" w14:textId="77777777" w:rsidR="00885B7C" w:rsidRDefault="00885B7C" w:rsidP="00885B7C">
      <w:pPr>
        <w:spacing w:line="360" w:lineRule="auto"/>
        <w:ind w:right="100"/>
        <w:jc w:val="center"/>
        <w:rPr>
          <w:rFonts w:eastAsia="Arial"/>
          <w:b/>
          <w:bCs/>
          <w:i/>
          <w:iCs/>
          <w:sz w:val="24"/>
          <w:szCs w:val="24"/>
        </w:rPr>
      </w:pPr>
    </w:p>
    <w:p w14:paraId="3BC8BB8D" w14:textId="77777777" w:rsidR="00885B7C" w:rsidRDefault="00885B7C" w:rsidP="00885B7C">
      <w:pPr>
        <w:spacing w:line="360" w:lineRule="auto"/>
        <w:ind w:right="100"/>
        <w:jc w:val="both"/>
        <w:rPr>
          <w:rFonts w:eastAsia="Arial"/>
          <w:b/>
          <w:bCs/>
          <w:i/>
          <w:iCs/>
          <w:sz w:val="24"/>
          <w:szCs w:val="24"/>
        </w:rPr>
      </w:pPr>
    </w:p>
    <w:p w14:paraId="1ECFF65A" w14:textId="77777777" w:rsidR="00885B7C" w:rsidRDefault="00885B7C" w:rsidP="00885B7C">
      <w:pPr>
        <w:spacing w:line="360" w:lineRule="auto"/>
        <w:ind w:right="100"/>
        <w:jc w:val="both"/>
        <w:rPr>
          <w:rFonts w:eastAsia="Arial"/>
          <w:b/>
          <w:bCs/>
          <w:i/>
          <w:iCs/>
          <w:sz w:val="24"/>
          <w:szCs w:val="24"/>
        </w:rPr>
      </w:pPr>
    </w:p>
    <w:p w14:paraId="2B2AA447" w14:textId="77777777" w:rsidR="00885B7C" w:rsidRDefault="00885B7C" w:rsidP="00885B7C">
      <w:pPr>
        <w:spacing w:line="360" w:lineRule="auto"/>
        <w:ind w:right="100"/>
        <w:jc w:val="both"/>
        <w:rPr>
          <w:rFonts w:eastAsia="Arial"/>
          <w:b/>
          <w:bCs/>
          <w:i/>
          <w:iCs/>
          <w:sz w:val="24"/>
          <w:szCs w:val="24"/>
        </w:rPr>
      </w:pPr>
    </w:p>
    <w:p w14:paraId="57656123" w14:textId="77777777" w:rsidR="00E9254E" w:rsidRPr="00F54FD2" w:rsidRDefault="00E9254E" w:rsidP="00E9254E">
      <w:pPr>
        <w:spacing w:line="480" w:lineRule="auto"/>
        <w:jc w:val="center"/>
        <w:rPr>
          <w:rFonts w:ascii="Arial" w:hAnsi="Arial" w:cs="Arial"/>
          <w:b/>
          <w:bCs/>
          <w:sz w:val="24"/>
          <w:szCs w:val="24"/>
        </w:rPr>
      </w:pPr>
    </w:p>
    <w:p w14:paraId="57656125" w14:textId="77777777" w:rsidR="00BD4A79" w:rsidRPr="008436C4" w:rsidRDefault="00F54FD2">
      <w:pPr>
        <w:pStyle w:val="Heading1"/>
        <w:spacing w:line="480" w:lineRule="auto"/>
        <w:jc w:val="both"/>
        <w:rPr>
          <w:rFonts w:ascii="Arial" w:hAnsi="Arial" w:cs="Arial"/>
          <w:sz w:val="22"/>
          <w:szCs w:val="22"/>
        </w:rPr>
      </w:pPr>
      <w:r w:rsidRPr="008436C4">
        <w:rPr>
          <w:rFonts w:ascii="Arial" w:hAnsi="Arial" w:cs="Arial"/>
          <w:sz w:val="22"/>
          <w:szCs w:val="22"/>
        </w:rPr>
        <w:lastRenderedPageBreak/>
        <w:t>1. Introduction</w:t>
      </w:r>
    </w:p>
    <w:p w14:paraId="57656126" w14:textId="77777777" w:rsidR="00BD4A79" w:rsidRPr="008436C4" w:rsidRDefault="00F54FD2">
      <w:pPr>
        <w:spacing w:line="480" w:lineRule="auto"/>
        <w:jc w:val="both"/>
        <w:rPr>
          <w:rFonts w:ascii="Arial" w:hAnsi="Arial" w:cs="Arial"/>
          <w:sz w:val="22"/>
          <w:szCs w:val="22"/>
        </w:rPr>
      </w:pPr>
      <w:r w:rsidRPr="008436C4">
        <w:rPr>
          <w:rFonts w:ascii="Arial" w:hAnsi="Arial" w:cs="Arial"/>
          <w:sz w:val="22"/>
          <w:szCs w:val="22"/>
        </w:rPr>
        <w:t>The safety of medicines is still one of the greatest concerns in modern healthcare, as medication errors, which could involve prescribing, dispensing and administering the wrong medicine, can cause a lot of harm and avoidable deaths. The present report critically examines the case of a patient, Len, aged 89 years, who took too much of the oral solution of morphine, due to a misunderstanding of the instructions for use, resulting in an unintentional overdose of the drug. The incident was a multi-</w:t>
      </w:r>
      <w:proofErr w:type="spellStart"/>
      <w:r w:rsidRPr="008436C4">
        <w:rPr>
          <w:rFonts w:ascii="Arial" w:hAnsi="Arial" w:cs="Arial"/>
          <w:sz w:val="22"/>
          <w:szCs w:val="22"/>
        </w:rPr>
        <w:t>organisational</w:t>
      </w:r>
      <w:proofErr w:type="spellEnd"/>
      <w:r w:rsidRPr="008436C4">
        <w:rPr>
          <w:rFonts w:ascii="Arial" w:hAnsi="Arial" w:cs="Arial"/>
          <w:sz w:val="22"/>
          <w:szCs w:val="22"/>
        </w:rPr>
        <w:t xml:space="preserve"> failure, with several healthcare providers involved, such as a GP, community pharmacy and NHS hospital, as patient safety failures can occur between more than one person. Vincent and Amalberti (2021) argue that healthcare </w:t>
      </w:r>
      <w:proofErr w:type="spellStart"/>
      <w:r w:rsidRPr="008436C4">
        <w:rPr>
          <w:rFonts w:ascii="Arial" w:hAnsi="Arial" w:cs="Arial"/>
          <w:sz w:val="22"/>
          <w:szCs w:val="22"/>
        </w:rPr>
        <w:t>organisations</w:t>
      </w:r>
      <w:proofErr w:type="spellEnd"/>
      <w:r w:rsidRPr="008436C4">
        <w:rPr>
          <w:rFonts w:ascii="Arial" w:hAnsi="Arial" w:cs="Arial"/>
          <w:sz w:val="22"/>
          <w:szCs w:val="22"/>
        </w:rPr>
        <w:t xml:space="preserve"> need to develop an understanding of how the combination of system design, communication and </w:t>
      </w:r>
      <w:proofErr w:type="spellStart"/>
      <w:r w:rsidRPr="008436C4">
        <w:rPr>
          <w:rFonts w:ascii="Arial" w:hAnsi="Arial" w:cs="Arial"/>
          <w:sz w:val="22"/>
          <w:szCs w:val="22"/>
        </w:rPr>
        <w:t>organisational</w:t>
      </w:r>
      <w:proofErr w:type="spellEnd"/>
      <w:r w:rsidRPr="008436C4">
        <w:rPr>
          <w:rFonts w:ascii="Arial" w:hAnsi="Arial" w:cs="Arial"/>
          <w:sz w:val="22"/>
          <w:szCs w:val="22"/>
        </w:rPr>
        <w:t xml:space="preserve"> processes affect clinical outcomes.</w:t>
      </w:r>
    </w:p>
    <w:p w14:paraId="57656127" w14:textId="77777777" w:rsidR="00BD4A79" w:rsidRPr="008436C4" w:rsidRDefault="00F54FD2">
      <w:pPr>
        <w:spacing w:line="480" w:lineRule="auto"/>
        <w:jc w:val="both"/>
        <w:rPr>
          <w:rFonts w:ascii="Arial" w:hAnsi="Arial" w:cs="Arial"/>
          <w:sz w:val="22"/>
          <w:szCs w:val="22"/>
        </w:rPr>
      </w:pPr>
      <w:r w:rsidRPr="008436C4">
        <w:rPr>
          <w:rFonts w:ascii="Arial" w:hAnsi="Arial" w:cs="Arial"/>
          <w:sz w:val="22"/>
          <w:szCs w:val="22"/>
        </w:rPr>
        <w:t xml:space="preserve">Leadership is known as the process of influencing others and teams to reach the common goals of the </w:t>
      </w:r>
      <w:proofErr w:type="spellStart"/>
      <w:r w:rsidRPr="008436C4">
        <w:rPr>
          <w:rFonts w:ascii="Arial" w:hAnsi="Arial" w:cs="Arial"/>
          <w:sz w:val="22"/>
          <w:szCs w:val="22"/>
        </w:rPr>
        <w:t>organisation</w:t>
      </w:r>
      <w:proofErr w:type="spellEnd"/>
      <w:r w:rsidRPr="008436C4">
        <w:rPr>
          <w:rFonts w:ascii="Arial" w:hAnsi="Arial" w:cs="Arial"/>
          <w:sz w:val="22"/>
          <w:szCs w:val="22"/>
        </w:rPr>
        <w:t xml:space="preserve"> and to foster collaboration, accountability and continuous improvement. Effective leadership in health and social care goes beyond the role of staff leader, and is about building effective systems that provide safe, effective, patient-</w:t>
      </w:r>
      <w:proofErr w:type="spellStart"/>
      <w:r w:rsidRPr="008436C4">
        <w:rPr>
          <w:rFonts w:ascii="Arial" w:hAnsi="Arial" w:cs="Arial"/>
          <w:sz w:val="22"/>
          <w:szCs w:val="22"/>
        </w:rPr>
        <w:t>centred</w:t>
      </w:r>
      <w:proofErr w:type="spellEnd"/>
      <w:r w:rsidRPr="008436C4">
        <w:rPr>
          <w:rFonts w:ascii="Arial" w:hAnsi="Arial" w:cs="Arial"/>
          <w:sz w:val="22"/>
          <w:szCs w:val="22"/>
        </w:rPr>
        <w:t xml:space="preserve"> care (Edmonstone, 2020). In complex healthcare environments, leaders are responsible for creating cultures that encourage learning, effective communication and proactive risk management.</w:t>
      </w:r>
    </w:p>
    <w:p w14:paraId="57656128" w14:textId="77777777" w:rsidR="00BD4A79" w:rsidRPr="008436C4" w:rsidRDefault="00F54FD2">
      <w:pPr>
        <w:spacing w:line="480" w:lineRule="auto"/>
        <w:jc w:val="both"/>
        <w:rPr>
          <w:rFonts w:ascii="Arial" w:hAnsi="Arial" w:cs="Arial"/>
          <w:sz w:val="22"/>
          <w:szCs w:val="22"/>
        </w:rPr>
      </w:pPr>
      <w:r w:rsidRPr="008436C4">
        <w:rPr>
          <w:rFonts w:ascii="Arial" w:hAnsi="Arial" w:cs="Arial"/>
          <w:sz w:val="22"/>
          <w:szCs w:val="22"/>
        </w:rPr>
        <w:t xml:space="preserve">Healthcare </w:t>
      </w:r>
      <w:proofErr w:type="spellStart"/>
      <w:r w:rsidRPr="008436C4">
        <w:rPr>
          <w:rFonts w:ascii="Arial" w:hAnsi="Arial" w:cs="Arial"/>
          <w:sz w:val="22"/>
          <w:szCs w:val="22"/>
        </w:rPr>
        <w:t>organisations</w:t>
      </w:r>
      <w:proofErr w:type="spellEnd"/>
      <w:r w:rsidRPr="008436C4">
        <w:rPr>
          <w:rFonts w:ascii="Arial" w:hAnsi="Arial" w:cs="Arial"/>
          <w:sz w:val="22"/>
          <w:szCs w:val="22"/>
        </w:rPr>
        <w:t xml:space="preserve"> have various governance models, which affect accountability and decision making. A </w:t>
      </w:r>
      <w:proofErr w:type="spellStart"/>
      <w:r w:rsidRPr="008436C4">
        <w:rPr>
          <w:rFonts w:ascii="Arial" w:hAnsi="Arial" w:cs="Arial"/>
          <w:sz w:val="22"/>
          <w:szCs w:val="22"/>
        </w:rPr>
        <w:t>centralised</w:t>
      </w:r>
      <w:proofErr w:type="spellEnd"/>
      <w:r w:rsidRPr="008436C4">
        <w:rPr>
          <w:rFonts w:ascii="Arial" w:hAnsi="Arial" w:cs="Arial"/>
          <w:sz w:val="22"/>
          <w:szCs w:val="22"/>
        </w:rPr>
        <w:t xml:space="preserve"> system has a focus on senior management or national bodies, fostering uniformity and consistency of policy, while a </w:t>
      </w:r>
      <w:proofErr w:type="spellStart"/>
      <w:r w:rsidRPr="008436C4">
        <w:rPr>
          <w:rFonts w:ascii="Arial" w:hAnsi="Arial" w:cs="Arial"/>
          <w:sz w:val="22"/>
          <w:szCs w:val="22"/>
        </w:rPr>
        <w:t>decentralised</w:t>
      </w:r>
      <w:proofErr w:type="spellEnd"/>
      <w:r w:rsidRPr="008436C4">
        <w:rPr>
          <w:rFonts w:ascii="Arial" w:hAnsi="Arial" w:cs="Arial"/>
          <w:sz w:val="22"/>
          <w:szCs w:val="22"/>
        </w:rPr>
        <w:t xml:space="preserve"> system is based on local teams, which are more likely to be responsive to individual patient needs. Shared leadership and distributed decision-making enhance collaboration within integrated healthcare services, while ensuring accountability (</w:t>
      </w:r>
      <w:proofErr w:type="spellStart"/>
      <w:r w:rsidRPr="008436C4">
        <w:rPr>
          <w:rFonts w:ascii="Arial" w:hAnsi="Arial" w:cs="Arial"/>
          <w:sz w:val="22"/>
          <w:szCs w:val="22"/>
        </w:rPr>
        <w:t>Aufegger</w:t>
      </w:r>
      <w:proofErr w:type="spellEnd"/>
      <w:r w:rsidRPr="008436C4">
        <w:rPr>
          <w:rFonts w:ascii="Arial" w:hAnsi="Arial" w:cs="Arial"/>
          <w:sz w:val="22"/>
          <w:szCs w:val="22"/>
        </w:rPr>
        <w:t xml:space="preserve"> et al., 2020).</w:t>
      </w:r>
    </w:p>
    <w:p w14:paraId="57656129" w14:textId="77777777" w:rsidR="00BD4A79" w:rsidRPr="008436C4" w:rsidRDefault="00F54FD2">
      <w:pPr>
        <w:spacing w:line="480" w:lineRule="auto"/>
        <w:jc w:val="both"/>
        <w:rPr>
          <w:rFonts w:ascii="Arial" w:hAnsi="Arial" w:cs="Arial"/>
          <w:sz w:val="22"/>
          <w:szCs w:val="22"/>
        </w:rPr>
      </w:pPr>
      <w:r w:rsidRPr="008436C4">
        <w:rPr>
          <w:rFonts w:ascii="Arial" w:hAnsi="Arial" w:cs="Arial"/>
          <w:sz w:val="22"/>
          <w:szCs w:val="22"/>
        </w:rPr>
        <w:lastRenderedPageBreak/>
        <w:t xml:space="preserve">There are </w:t>
      </w:r>
      <w:proofErr w:type="gramStart"/>
      <w:r w:rsidRPr="008436C4">
        <w:rPr>
          <w:rFonts w:ascii="Arial" w:hAnsi="Arial" w:cs="Arial"/>
          <w:sz w:val="22"/>
          <w:szCs w:val="22"/>
        </w:rPr>
        <w:t>a number of</w:t>
      </w:r>
      <w:proofErr w:type="gramEnd"/>
      <w:r w:rsidRPr="008436C4">
        <w:rPr>
          <w:rFonts w:ascii="Arial" w:hAnsi="Arial" w:cs="Arial"/>
          <w:sz w:val="22"/>
          <w:szCs w:val="22"/>
        </w:rPr>
        <w:t xml:space="preserve"> leadership theories that offer good insights into incident analysis related to healthcare. Transformational leadership leads to innovation, employee engagement and </w:t>
      </w:r>
      <w:proofErr w:type="spellStart"/>
      <w:r w:rsidRPr="008436C4">
        <w:rPr>
          <w:rFonts w:ascii="Arial" w:hAnsi="Arial" w:cs="Arial"/>
          <w:sz w:val="22"/>
          <w:szCs w:val="22"/>
        </w:rPr>
        <w:t>organisational</w:t>
      </w:r>
      <w:proofErr w:type="spellEnd"/>
      <w:r w:rsidRPr="008436C4">
        <w:rPr>
          <w:rFonts w:ascii="Arial" w:hAnsi="Arial" w:cs="Arial"/>
          <w:sz w:val="22"/>
          <w:szCs w:val="22"/>
        </w:rPr>
        <w:t xml:space="preserve"> learning, while transactional leadership emphasizes adherence to existing policies and procedures. Situational leadership encourages flexibility of leadership actions in response to changing situations, and distributed leadership encourages multidisciplinary professionals to make decisions together. Ree &amp; Wiig (2020) noted that transformational leadership has a positive impact on patient safety culture and employee engagement in healthcare </w:t>
      </w:r>
      <w:proofErr w:type="spellStart"/>
      <w:r w:rsidRPr="008436C4">
        <w:rPr>
          <w:rFonts w:ascii="Arial" w:hAnsi="Arial" w:cs="Arial"/>
          <w:sz w:val="22"/>
          <w:szCs w:val="22"/>
        </w:rPr>
        <w:t>organisations</w:t>
      </w:r>
      <w:proofErr w:type="spellEnd"/>
      <w:r w:rsidRPr="008436C4">
        <w:rPr>
          <w:rFonts w:ascii="Arial" w:hAnsi="Arial" w:cs="Arial"/>
          <w:sz w:val="22"/>
          <w:szCs w:val="22"/>
        </w:rPr>
        <w:t>.</w:t>
      </w:r>
    </w:p>
    <w:p w14:paraId="5765612A" w14:textId="77777777" w:rsidR="00BD4A79" w:rsidRPr="008436C4" w:rsidRDefault="00F54FD2">
      <w:pPr>
        <w:spacing w:line="480" w:lineRule="auto"/>
        <w:jc w:val="both"/>
        <w:rPr>
          <w:rFonts w:ascii="Arial" w:hAnsi="Arial" w:cs="Arial"/>
          <w:sz w:val="22"/>
          <w:szCs w:val="22"/>
        </w:rPr>
      </w:pPr>
      <w:r w:rsidRPr="008436C4">
        <w:rPr>
          <w:rFonts w:ascii="Arial" w:eastAsia="SimSun" w:hAnsi="Arial" w:cs="Arial"/>
          <w:sz w:val="22"/>
          <w:szCs w:val="22"/>
        </w:rPr>
        <w:t xml:space="preserve">This report is structured into seven sections. Section 2 identifies the medication safety problem, establishes the system context, and applies systems thinking to identify the root causes of the incident. Section 3 analyses the NHS governance structure by critically evaluating the influence of </w:t>
      </w:r>
      <w:proofErr w:type="spellStart"/>
      <w:r w:rsidRPr="008436C4">
        <w:rPr>
          <w:rFonts w:ascii="Arial" w:eastAsia="SimSun" w:hAnsi="Arial" w:cs="Arial"/>
          <w:sz w:val="22"/>
          <w:szCs w:val="22"/>
        </w:rPr>
        <w:t>centralised</w:t>
      </w:r>
      <w:proofErr w:type="spellEnd"/>
      <w:r w:rsidRPr="008436C4">
        <w:rPr>
          <w:rFonts w:ascii="Arial" w:eastAsia="SimSun" w:hAnsi="Arial" w:cs="Arial"/>
          <w:sz w:val="22"/>
          <w:szCs w:val="22"/>
        </w:rPr>
        <w:t xml:space="preserve"> and </w:t>
      </w:r>
      <w:proofErr w:type="spellStart"/>
      <w:r w:rsidRPr="008436C4">
        <w:rPr>
          <w:rFonts w:ascii="Arial" w:eastAsia="SimSun" w:hAnsi="Arial" w:cs="Arial"/>
          <w:sz w:val="22"/>
          <w:szCs w:val="22"/>
        </w:rPr>
        <w:t>decentralised</w:t>
      </w:r>
      <w:proofErr w:type="spellEnd"/>
      <w:r w:rsidRPr="008436C4">
        <w:rPr>
          <w:rFonts w:ascii="Arial" w:eastAsia="SimSun" w:hAnsi="Arial" w:cs="Arial"/>
          <w:sz w:val="22"/>
          <w:szCs w:val="22"/>
        </w:rPr>
        <w:t xml:space="preserve"> approaches on medication safety. Section 4 examines relevant leadership theories and applies them to the case study. Section 5 evaluates improvement opportunities and lessons learned from the incident. Section 6 presents evidence-based recommendations to strengthen leadership, governance, communication and systems integration, while Section 7 concludes the report by </w:t>
      </w:r>
      <w:proofErr w:type="spellStart"/>
      <w:r w:rsidRPr="008436C4">
        <w:rPr>
          <w:rFonts w:ascii="Arial" w:eastAsia="SimSun" w:hAnsi="Arial" w:cs="Arial"/>
          <w:sz w:val="22"/>
          <w:szCs w:val="22"/>
        </w:rPr>
        <w:t>summarising</w:t>
      </w:r>
      <w:proofErr w:type="spellEnd"/>
      <w:r w:rsidRPr="008436C4">
        <w:rPr>
          <w:rFonts w:ascii="Arial" w:eastAsia="SimSun" w:hAnsi="Arial" w:cs="Arial"/>
          <w:sz w:val="22"/>
          <w:szCs w:val="22"/>
        </w:rPr>
        <w:t xml:space="preserve"> the key findings and implications for safer healthcare practice.</w:t>
      </w:r>
    </w:p>
    <w:p w14:paraId="5765612B" w14:textId="77777777" w:rsidR="00BD4A79" w:rsidRPr="008436C4" w:rsidRDefault="00F54FD2">
      <w:pPr>
        <w:pStyle w:val="Heading1"/>
        <w:spacing w:line="480" w:lineRule="auto"/>
        <w:jc w:val="both"/>
        <w:rPr>
          <w:rFonts w:ascii="Arial" w:hAnsi="Arial" w:cs="Arial"/>
          <w:sz w:val="22"/>
          <w:szCs w:val="22"/>
        </w:rPr>
      </w:pPr>
      <w:r w:rsidRPr="008436C4">
        <w:rPr>
          <w:rFonts w:ascii="Arial" w:hAnsi="Arial" w:cs="Arial"/>
          <w:sz w:val="22"/>
          <w:szCs w:val="22"/>
        </w:rPr>
        <w:t xml:space="preserve">2. Identifying the Problem and Setting the System Context </w:t>
      </w:r>
    </w:p>
    <w:p w14:paraId="5765612C"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2.1 Overview of the Case</w:t>
      </w:r>
    </w:p>
    <w:p w14:paraId="5765612D" w14:textId="77777777" w:rsidR="00BD4A79" w:rsidRPr="008436C4" w:rsidRDefault="00F54FD2">
      <w:pPr>
        <w:spacing w:line="480" w:lineRule="auto"/>
        <w:jc w:val="both"/>
        <w:rPr>
          <w:rFonts w:ascii="Arial" w:hAnsi="Arial" w:cs="Arial"/>
          <w:sz w:val="22"/>
          <w:szCs w:val="22"/>
        </w:rPr>
      </w:pPr>
      <w:r w:rsidRPr="008436C4">
        <w:rPr>
          <w:rFonts w:ascii="Arial" w:eastAsia="Geist Fallback" w:hAnsi="Arial" w:cs="Arial"/>
          <w:sz w:val="22"/>
          <w:szCs w:val="22"/>
        </w:rPr>
        <w:t xml:space="preserve">The case study chosen is accidental overdose of morphine in Len, an </w:t>
      </w:r>
      <w:proofErr w:type="gramStart"/>
      <w:r w:rsidRPr="008436C4">
        <w:rPr>
          <w:rFonts w:ascii="Arial" w:eastAsia="Geist Fallback" w:hAnsi="Arial" w:cs="Arial"/>
          <w:sz w:val="22"/>
          <w:szCs w:val="22"/>
        </w:rPr>
        <w:t>89 year old</w:t>
      </w:r>
      <w:proofErr w:type="gramEnd"/>
      <w:r w:rsidRPr="008436C4">
        <w:rPr>
          <w:rFonts w:ascii="Arial" w:eastAsia="Geist Fallback" w:hAnsi="Arial" w:cs="Arial"/>
          <w:sz w:val="22"/>
          <w:szCs w:val="22"/>
        </w:rPr>
        <w:t xml:space="preserve"> with Charcot-Marie-Tooth (CMT) disease. Len fell and complained of chest pain and shortness of breath and went to his GP who took him to hospital, where he was diagnosed with pneumonia and started on an oral solution of morphine for pain. After discharge, Len and his wife misread the dosage directions on the medicine label, and the dose given was much higher than the prescribed dose. On the next morning Len </w:t>
      </w:r>
      <w:r w:rsidRPr="008436C4">
        <w:rPr>
          <w:rFonts w:ascii="Arial" w:eastAsia="Geist Fallback" w:hAnsi="Arial" w:cs="Arial"/>
          <w:sz w:val="22"/>
          <w:szCs w:val="22"/>
        </w:rPr>
        <w:lastRenderedPageBreak/>
        <w:t xml:space="preserve">was found unresponsive and was taken back into hospital where he was believed to have overdosed on his </w:t>
      </w:r>
      <w:proofErr w:type="gramStart"/>
      <w:r w:rsidRPr="008436C4">
        <w:rPr>
          <w:rFonts w:ascii="Arial" w:eastAsia="Geist Fallback" w:hAnsi="Arial" w:cs="Arial"/>
          <w:sz w:val="22"/>
          <w:szCs w:val="22"/>
        </w:rPr>
        <w:t>morphine, and</w:t>
      </w:r>
      <w:proofErr w:type="gramEnd"/>
      <w:r w:rsidRPr="008436C4">
        <w:rPr>
          <w:rFonts w:ascii="Arial" w:eastAsia="Geist Fallback" w:hAnsi="Arial" w:cs="Arial"/>
          <w:sz w:val="22"/>
          <w:szCs w:val="22"/>
        </w:rPr>
        <w:t xml:space="preserve"> had developed pneumonia and complications from his original neurological condition. His condition temporarily improved, but later worsened, and he eventually passed away. The investigation that followed found that the incident was not a single professional </w:t>
      </w:r>
      <w:proofErr w:type="gramStart"/>
      <w:r w:rsidRPr="008436C4">
        <w:rPr>
          <w:rFonts w:ascii="Arial" w:eastAsia="Geist Fallback" w:hAnsi="Arial" w:cs="Arial"/>
          <w:sz w:val="22"/>
          <w:szCs w:val="22"/>
        </w:rPr>
        <w:t>mistake, but</w:t>
      </w:r>
      <w:proofErr w:type="gramEnd"/>
      <w:r w:rsidRPr="008436C4">
        <w:rPr>
          <w:rFonts w:ascii="Arial" w:eastAsia="Geist Fallback" w:hAnsi="Arial" w:cs="Arial"/>
          <w:sz w:val="22"/>
          <w:szCs w:val="22"/>
        </w:rPr>
        <w:t xml:space="preserve"> rather was caused by </w:t>
      </w:r>
      <w:proofErr w:type="gramStart"/>
      <w:r w:rsidRPr="008436C4">
        <w:rPr>
          <w:rFonts w:ascii="Arial" w:eastAsia="Geist Fallback" w:hAnsi="Arial" w:cs="Arial"/>
          <w:sz w:val="22"/>
          <w:szCs w:val="22"/>
        </w:rPr>
        <w:t>a number of</w:t>
      </w:r>
      <w:proofErr w:type="gramEnd"/>
      <w:r w:rsidRPr="008436C4">
        <w:rPr>
          <w:rFonts w:ascii="Arial" w:eastAsia="Geist Fallback" w:hAnsi="Arial" w:cs="Arial"/>
          <w:sz w:val="22"/>
          <w:szCs w:val="22"/>
        </w:rPr>
        <w:t xml:space="preserve"> failures throughout the health care system. Vincent and Amalberti (2021) suggested that to investigate patient safety incidents, blame should not be placed on individuals, but rather on the interaction between persons, processes and </w:t>
      </w:r>
      <w:proofErr w:type="spellStart"/>
      <w:r w:rsidRPr="008436C4">
        <w:rPr>
          <w:rFonts w:ascii="Arial" w:eastAsia="Geist Fallback" w:hAnsi="Arial" w:cs="Arial"/>
          <w:sz w:val="22"/>
          <w:szCs w:val="22"/>
        </w:rPr>
        <w:t>organisational</w:t>
      </w:r>
      <w:proofErr w:type="spellEnd"/>
      <w:r w:rsidRPr="008436C4">
        <w:rPr>
          <w:rFonts w:ascii="Arial" w:eastAsia="Geist Fallback" w:hAnsi="Arial" w:cs="Arial"/>
          <w:sz w:val="22"/>
          <w:szCs w:val="22"/>
        </w:rPr>
        <w:t xml:space="preserve"> systems.</w:t>
      </w:r>
    </w:p>
    <w:p w14:paraId="5765612E"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2.2 Identifying the Main Problem</w:t>
      </w:r>
    </w:p>
    <w:p w14:paraId="5765612F" w14:textId="77777777" w:rsidR="00BD4A79" w:rsidRPr="008436C4" w:rsidRDefault="00F54FD2">
      <w:pPr>
        <w:spacing w:line="480" w:lineRule="auto"/>
        <w:jc w:val="both"/>
        <w:rPr>
          <w:rFonts w:ascii="Arial" w:hAnsi="Arial" w:cs="Arial"/>
          <w:sz w:val="22"/>
          <w:szCs w:val="22"/>
        </w:rPr>
      </w:pPr>
      <w:r w:rsidRPr="008436C4">
        <w:rPr>
          <w:rFonts w:ascii="Arial" w:eastAsia="Geist Fallback" w:hAnsi="Arial" w:cs="Arial"/>
          <w:sz w:val="22"/>
          <w:szCs w:val="22"/>
        </w:rPr>
        <w:t xml:space="preserve">This case points to the failure of communication, lack of patient education and poor system coordination as the primary issue in medication safety. Morphine is a good medicine if used properly, but it can be a dangerous drug if it is given in the wrong dose, especially for older individuals with complex medical problems. Len's case was a case where the prescription was given correctly, but the patient and his wife did not understand the instructions for </w:t>
      </w:r>
      <w:proofErr w:type="gramStart"/>
      <w:r w:rsidRPr="008436C4">
        <w:rPr>
          <w:rFonts w:ascii="Arial" w:eastAsia="Geist Fallback" w:hAnsi="Arial" w:cs="Arial"/>
          <w:sz w:val="22"/>
          <w:szCs w:val="22"/>
        </w:rPr>
        <w:t>administration</w:t>
      </w:r>
      <w:proofErr w:type="gramEnd"/>
      <w:r w:rsidRPr="008436C4">
        <w:rPr>
          <w:rFonts w:ascii="Arial" w:eastAsia="Geist Fallback" w:hAnsi="Arial" w:cs="Arial"/>
          <w:sz w:val="22"/>
          <w:szCs w:val="22"/>
        </w:rPr>
        <w:t xml:space="preserve"> and this resulted in an unnecessary overdose. This illustrates that the safety of medicines is not just about the correct prescription, it's also about the correct understanding of how medicines are to be used. Hughes et al. (2022) noted that lack of communication in medication management is a significant cause of avoidable harm to patients, as medication orders frequently get misinterpreted when patients move between health care settings.</w:t>
      </w:r>
    </w:p>
    <w:p w14:paraId="57656130"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2.3 Global Context</w:t>
      </w:r>
    </w:p>
    <w:p w14:paraId="57656131" w14:textId="77777777" w:rsidR="00BD4A79" w:rsidRPr="008436C4" w:rsidRDefault="00F54FD2">
      <w:pPr>
        <w:spacing w:line="480" w:lineRule="auto"/>
        <w:jc w:val="both"/>
        <w:rPr>
          <w:rFonts w:ascii="Arial" w:hAnsi="Arial" w:cs="Arial"/>
          <w:sz w:val="22"/>
          <w:szCs w:val="22"/>
        </w:rPr>
      </w:pPr>
      <w:r w:rsidRPr="008436C4">
        <w:rPr>
          <w:rFonts w:ascii="Arial" w:eastAsia="Geist Fallback" w:hAnsi="Arial" w:cs="Arial"/>
          <w:sz w:val="22"/>
          <w:szCs w:val="22"/>
        </w:rPr>
        <w:t xml:space="preserve">Medication errors are one of the most significant patient safety issues and a significant burden on health systems around the world. Medication related harm is recognized as one of the main causes of preventable harm </w:t>
      </w:r>
      <w:proofErr w:type="gramStart"/>
      <w:r w:rsidRPr="008436C4">
        <w:rPr>
          <w:rFonts w:ascii="Arial" w:eastAsia="Geist Fallback" w:hAnsi="Arial" w:cs="Arial"/>
          <w:sz w:val="22"/>
          <w:szCs w:val="22"/>
        </w:rPr>
        <w:t>globally, and</w:t>
      </w:r>
      <w:proofErr w:type="gramEnd"/>
      <w:r w:rsidRPr="008436C4">
        <w:rPr>
          <w:rFonts w:ascii="Arial" w:eastAsia="Geist Fallback" w:hAnsi="Arial" w:cs="Arial"/>
          <w:sz w:val="22"/>
          <w:szCs w:val="22"/>
        </w:rPr>
        <w:t xml:space="preserve"> is especially problematic for older people due to polypharmacy and chronic conditions. Avoidable hospital </w:t>
      </w:r>
      <w:r w:rsidRPr="008436C4">
        <w:rPr>
          <w:rFonts w:ascii="Arial" w:eastAsia="Geist Fallback" w:hAnsi="Arial" w:cs="Arial"/>
          <w:sz w:val="22"/>
          <w:szCs w:val="22"/>
        </w:rPr>
        <w:lastRenderedPageBreak/>
        <w:t xml:space="preserve">admission and extended treatment also cost a great deal economically due to preventable medication errors. To improve the quality of healthcare,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must focus on the factors of the healthcare system that could lead to medication errors, rather than on individual performance (Drew and Pandit, 2020). As a result, many healthcare systems have adopted an integrated approach to patient safety that integrates effective leadership, </w:t>
      </w:r>
      <w:proofErr w:type="spellStart"/>
      <w:r w:rsidRPr="008436C4">
        <w:rPr>
          <w:rFonts w:ascii="Arial" w:eastAsia="Geist Fallback" w:hAnsi="Arial" w:cs="Arial"/>
          <w:sz w:val="22"/>
          <w:szCs w:val="22"/>
        </w:rPr>
        <w:t>organisational</w:t>
      </w:r>
      <w:proofErr w:type="spellEnd"/>
      <w:r w:rsidRPr="008436C4">
        <w:rPr>
          <w:rFonts w:ascii="Arial" w:eastAsia="Geist Fallback" w:hAnsi="Arial" w:cs="Arial"/>
          <w:sz w:val="22"/>
          <w:szCs w:val="22"/>
        </w:rPr>
        <w:t xml:space="preserve"> learning, and patient-</w:t>
      </w:r>
      <w:proofErr w:type="spellStart"/>
      <w:r w:rsidRPr="008436C4">
        <w:rPr>
          <w:rFonts w:ascii="Arial" w:eastAsia="Geist Fallback" w:hAnsi="Arial" w:cs="Arial"/>
          <w:sz w:val="22"/>
          <w:szCs w:val="22"/>
        </w:rPr>
        <w:t>centred</w:t>
      </w:r>
      <w:proofErr w:type="spellEnd"/>
      <w:r w:rsidRPr="008436C4">
        <w:rPr>
          <w:rFonts w:ascii="Arial" w:eastAsia="Geist Fallback" w:hAnsi="Arial" w:cs="Arial"/>
          <w:sz w:val="22"/>
          <w:szCs w:val="22"/>
        </w:rPr>
        <w:t xml:space="preserve"> communication to </w:t>
      </w:r>
      <w:proofErr w:type="spellStart"/>
      <w:r w:rsidRPr="008436C4">
        <w:rPr>
          <w:rFonts w:ascii="Arial" w:eastAsia="Geist Fallback" w:hAnsi="Arial" w:cs="Arial"/>
          <w:sz w:val="22"/>
          <w:szCs w:val="22"/>
        </w:rPr>
        <w:t>minimise</w:t>
      </w:r>
      <w:proofErr w:type="spellEnd"/>
      <w:r w:rsidRPr="008436C4">
        <w:rPr>
          <w:rFonts w:ascii="Arial" w:eastAsia="Geist Fallback" w:hAnsi="Arial" w:cs="Arial"/>
          <w:sz w:val="22"/>
          <w:szCs w:val="22"/>
        </w:rPr>
        <w:t xml:space="preserve"> harm from medications.</w:t>
      </w:r>
    </w:p>
    <w:p w14:paraId="57656132"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2.4 UK Context</w:t>
      </w:r>
    </w:p>
    <w:p w14:paraId="57656133" w14:textId="77777777" w:rsidR="00BD4A79" w:rsidRPr="008436C4" w:rsidRDefault="00F54FD2">
      <w:pPr>
        <w:spacing w:line="480" w:lineRule="auto"/>
        <w:jc w:val="both"/>
        <w:rPr>
          <w:rFonts w:ascii="Arial" w:hAnsi="Arial" w:cs="Arial"/>
          <w:sz w:val="22"/>
          <w:szCs w:val="22"/>
        </w:rPr>
      </w:pPr>
      <w:r w:rsidRPr="008436C4">
        <w:rPr>
          <w:rFonts w:ascii="Arial" w:eastAsia="Geist Fallback" w:hAnsi="Arial" w:cs="Arial"/>
          <w:sz w:val="22"/>
          <w:szCs w:val="22"/>
        </w:rPr>
        <w:t xml:space="preserve">In the UK, the National Health Service (NHS) is very much focused on medication safety as medication incidents continue to make up a substantial percentage of reported patient safety incidents. Medication management is becoming more complex within primary care, community pharmacies and hospitals due to increasing prevalence of chronic diseases, ageing population and the increased use of multiple medicines. Len's case is typical of the problems experienced with transitions of care, when patients are cared for by multiple health care organizations and must take responsibility for their medicines following their discharge.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with a strong patient safety culture have improved communication, incident reporting, and </w:t>
      </w:r>
      <w:proofErr w:type="spellStart"/>
      <w:r w:rsidRPr="008436C4">
        <w:rPr>
          <w:rFonts w:ascii="Arial" w:eastAsia="Geist Fallback" w:hAnsi="Arial" w:cs="Arial"/>
          <w:sz w:val="22"/>
          <w:szCs w:val="22"/>
        </w:rPr>
        <w:t>organisational</w:t>
      </w:r>
      <w:proofErr w:type="spellEnd"/>
      <w:r w:rsidRPr="008436C4">
        <w:rPr>
          <w:rFonts w:ascii="Arial" w:eastAsia="Geist Fallback" w:hAnsi="Arial" w:cs="Arial"/>
          <w:sz w:val="22"/>
          <w:szCs w:val="22"/>
        </w:rPr>
        <w:t xml:space="preserve"> learning, which are all factors that help to </w:t>
      </w:r>
      <w:proofErr w:type="spellStart"/>
      <w:r w:rsidRPr="008436C4">
        <w:rPr>
          <w:rFonts w:ascii="Arial" w:eastAsia="Geist Fallback" w:hAnsi="Arial" w:cs="Arial"/>
          <w:sz w:val="22"/>
          <w:szCs w:val="22"/>
        </w:rPr>
        <w:t>minimise</w:t>
      </w:r>
      <w:proofErr w:type="spellEnd"/>
      <w:r w:rsidRPr="008436C4">
        <w:rPr>
          <w:rFonts w:ascii="Arial" w:eastAsia="Geist Fallback" w:hAnsi="Arial" w:cs="Arial"/>
          <w:sz w:val="22"/>
          <w:szCs w:val="22"/>
        </w:rPr>
        <w:t xml:space="preserve"> preventable harm, as outlined by </w:t>
      </w:r>
      <w:proofErr w:type="spellStart"/>
      <w:r w:rsidRPr="008436C4">
        <w:rPr>
          <w:rFonts w:ascii="Arial" w:eastAsia="Geist Fallback" w:hAnsi="Arial" w:cs="Arial"/>
          <w:sz w:val="22"/>
          <w:szCs w:val="22"/>
        </w:rPr>
        <w:t>Churruca</w:t>
      </w:r>
      <w:proofErr w:type="spellEnd"/>
      <w:r w:rsidRPr="008436C4">
        <w:rPr>
          <w:rFonts w:ascii="Arial" w:eastAsia="Geist Fallback" w:hAnsi="Arial" w:cs="Arial"/>
          <w:sz w:val="22"/>
          <w:szCs w:val="22"/>
        </w:rPr>
        <w:t xml:space="preserve"> et al. (2021).</w:t>
      </w:r>
    </w:p>
    <w:p w14:paraId="57656134"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2.5 National Governance</w:t>
      </w:r>
    </w:p>
    <w:p w14:paraId="57656135" w14:textId="77777777" w:rsidR="00BD4A79" w:rsidRPr="008436C4" w:rsidRDefault="00F54FD2">
      <w:pPr>
        <w:spacing w:line="480" w:lineRule="auto"/>
        <w:jc w:val="both"/>
        <w:rPr>
          <w:rFonts w:ascii="Arial" w:hAnsi="Arial" w:cs="Arial"/>
          <w:sz w:val="22"/>
          <w:szCs w:val="22"/>
        </w:rPr>
      </w:pPr>
      <w:r w:rsidRPr="008436C4">
        <w:rPr>
          <w:rFonts w:ascii="Arial" w:eastAsia="Geist Fallback" w:hAnsi="Arial" w:cs="Arial"/>
          <w:sz w:val="22"/>
          <w:szCs w:val="22"/>
        </w:rPr>
        <w:t xml:space="preserve">There is a national governance framework for medicine safety in England, which includes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including Health Services Safety Investigations Body (HSSIB), Care Quality Commission (CQC), Medicines and Healthcare products Regulatory Agency (MHRA) and NHS England. These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set clinical standards, oversee health services and investigate serious incidents affecting patient safety to </w:t>
      </w:r>
      <w:r w:rsidRPr="008436C4">
        <w:rPr>
          <w:rFonts w:ascii="Arial" w:eastAsia="Geist Fallback" w:hAnsi="Arial" w:cs="Arial"/>
          <w:sz w:val="22"/>
          <w:szCs w:val="22"/>
        </w:rPr>
        <w:lastRenderedPageBreak/>
        <w:t xml:space="preserve">facilitate learning across the healthcare system. This investigation by the HSSIB was not about apportioning blame to individual health care </w:t>
      </w:r>
      <w:proofErr w:type="gramStart"/>
      <w:r w:rsidRPr="008436C4">
        <w:rPr>
          <w:rFonts w:ascii="Arial" w:eastAsia="Geist Fallback" w:hAnsi="Arial" w:cs="Arial"/>
          <w:sz w:val="22"/>
          <w:szCs w:val="22"/>
        </w:rPr>
        <w:t>professionals, but</w:t>
      </w:r>
      <w:proofErr w:type="gramEnd"/>
      <w:r w:rsidRPr="008436C4">
        <w:rPr>
          <w:rFonts w:ascii="Arial" w:eastAsia="Geist Fallback" w:hAnsi="Arial" w:cs="Arial"/>
          <w:sz w:val="22"/>
          <w:szCs w:val="22"/>
        </w:rPr>
        <w:t xml:space="preserve"> about finding the </w:t>
      </w:r>
      <w:proofErr w:type="spellStart"/>
      <w:r w:rsidRPr="008436C4">
        <w:rPr>
          <w:rFonts w:ascii="Arial" w:eastAsia="Geist Fallback" w:hAnsi="Arial" w:cs="Arial"/>
          <w:sz w:val="22"/>
          <w:szCs w:val="22"/>
        </w:rPr>
        <w:t>organisational</w:t>
      </w:r>
      <w:proofErr w:type="spellEnd"/>
      <w:r w:rsidRPr="008436C4">
        <w:rPr>
          <w:rFonts w:ascii="Arial" w:eastAsia="Geist Fallback" w:hAnsi="Arial" w:cs="Arial"/>
          <w:sz w:val="22"/>
          <w:szCs w:val="22"/>
        </w:rPr>
        <w:t xml:space="preserve"> and communication failures that led to the overdose. It is a systems-based approach which promotes better governance within healthcare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better medication safety processes and </w:t>
      </w:r>
      <w:proofErr w:type="spellStart"/>
      <w:r w:rsidRPr="008436C4">
        <w:rPr>
          <w:rFonts w:ascii="Arial" w:eastAsia="Geist Fallback" w:hAnsi="Arial" w:cs="Arial"/>
          <w:sz w:val="22"/>
          <w:szCs w:val="22"/>
        </w:rPr>
        <w:t>minimises</w:t>
      </w:r>
      <w:proofErr w:type="spellEnd"/>
      <w:r w:rsidRPr="008436C4">
        <w:rPr>
          <w:rFonts w:ascii="Arial" w:eastAsia="Geist Fallback" w:hAnsi="Arial" w:cs="Arial"/>
          <w:sz w:val="22"/>
          <w:szCs w:val="22"/>
        </w:rPr>
        <w:t xml:space="preserve"> the risk of further occurrences. Bowie et al. (2020) suggest that systems thinking in governance allows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to </w:t>
      </w:r>
      <w:proofErr w:type="spellStart"/>
      <w:r w:rsidRPr="008436C4">
        <w:rPr>
          <w:rFonts w:ascii="Arial" w:eastAsia="Geist Fallback" w:hAnsi="Arial" w:cs="Arial"/>
          <w:sz w:val="22"/>
          <w:szCs w:val="22"/>
        </w:rPr>
        <w:t>recognise</w:t>
      </w:r>
      <w:proofErr w:type="spellEnd"/>
      <w:r w:rsidRPr="008436C4">
        <w:rPr>
          <w:rFonts w:ascii="Arial" w:eastAsia="Geist Fallback" w:hAnsi="Arial" w:cs="Arial"/>
          <w:sz w:val="22"/>
          <w:szCs w:val="22"/>
        </w:rPr>
        <w:t xml:space="preserve"> fragilities in complex health care systems and to facilitate quality improvement that is sustainable.</w:t>
      </w:r>
    </w:p>
    <w:p w14:paraId="57656136"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2.6 Underlying System Challenges</w:t>
      </w:r>
    </w:p>
    <w:p w14:paraId="57656137" w14:textId="77777777" w:rsidR="00BD4A79" w:rsidRPr="008436C4" w:rsidRDefault="00F54FD2">
      <w:pPr>
        <w:spacing w:line="480" w:lineRule="auto"/>
        <w:jc w:val="both"/>
        <w:rPr>
          <w:rFonts w:ascii="Arial" w:hAnsi="Arial" w:cs="Arial"/>
          <w:sz w:val="22"/>
          <w:szCs w:val="22"/>
        </w:rPr>
      </w:pPr>
      <w:r w:rsidRPr="008436C4">
        <w:rPr>
          <w:rFonts w:ascii="Arial" w:eastAsia="Geist Fallback" w:hAnsi="Arial" w:cs="Arial"/>
          <w:sz w:val="22"/>
          <w:szCs w:val="22"/>
        </w:rPr>
        <w:t xml:space="preserve">There were </w:t>
      </w:r>
      <w:proofErr w:type="gramStart"/>
      <w:r w:rsidRPr="008436C4">
        <w:rPr>
          <w:rFonts w:ascii="Arial" w:eastAsia="Geist Fallback" w:hAnsi="Arial" w:cs="Arial"/>
          <w:sz w:val="22"/>
          <w:szCs w:val="22"/>
        </w:rPr>
        <w:t>a number of</w:t>
      </w:r>
      <w:proofErr w:type="gramEnd"/>
      <w:r w:rsidRPr="008436C4">
        <w:rPr>
          <w:rFonts w:ascii="Arial" w:eastAsia="Geist Fallback" w:hAnsi="Arial" w:cs="Arial"/>
          <w:sz w:val="22"/>
          <w:szCs w:val="22"/>
        </w:rPr>
        <w:t xml:space="preserve"> underlying issues that made this a negative outcome more likely. Older people often have several health problems that need many different medications, making it more complex for them to manage medications and more likely that they will take them the wrong way. The healthcare environment is also challenging, with growing workload and time pressure, which can limit the time for thorough patient counseling and understanding. In addition, there is lack of full integration of communication between General practitioners, Pharmacists and Hospital teams, which results in gaps in transition of care. Wei et al. (2020) found that supportive health care work environments allow health care professionals to communicate more effectively and achieve higher levels of patient safety despite the pressures of the organization. </w:t>
      </w:r>
    </w:p>
    <w:p w14:paraId="57656138"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2.7 Systems Thinking</w:t>
      </w:r>
    </w:p>
    <w:p w14:paraId="57656139" w14:textId="77777777" w:rsidR="00BD4A79" w:rsidRPr="008436C4" w:rsidRDefault="00F54FD2">
      <w:pPr>
        <w:spacing w:line="480" w:lineRule="auto"/>
        <w:jc w:val="both"/>
        <w:rPr>
          <w:rFonts w:ascii="Arial" w:eastAsia="Geist Fallback" w:hAnsi="Arial" w:cs="Arial"/>
          <w:sz w:val="22"/>
          <w:szCs w:val="22"/>
        </w:rPr>
      </w:pPr>
      <w:r w:rsidRPr="008436C4">
        <w:rPr>
          <w:rFonts w:ascii="Arial" w:eastAsia="Geist Fallback" w:hAnsi="Arial" w:cs="Arial"/>
          <w:sz w:val="22"/>
          <w:szCs w:val="22"/>
        </w:rPr>
        <w:t xml:space="preserve">The basis for understanding the factors that led to Len's accidental overdose is provided by systems thinking, which acknowledges that healthcare is a network of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professionals and processes. The care given to the patient was primary care, community pharmacy, ambulance services and hospital care, and failures or </w:t>
      </w:r>
      <w:r w:rsidRPr="008436C4">
        <w:rPr>
          <w:rFonts w:ascii="Arial" w:eastAsia="Geist Fallback" w:hAnsi="Arial" w:cs="Arial"/>
          <w:sz w:val="22"/>
          <w:szCs w:val="22"/>
        </w:rPr>
        <w:lastRenderedPageBreak/>
        <w:t xml:space="preserve">weaknesses in one care stage impacted on another. Systems thinking considers the overdose to be part of a wider system of human errors and communication failures, </w:t>
      </w:r>
      <w:proofErr w:type="spellStart"/>
      <w:r w:rsidRPr="008436C4">
        <w:rPr>
          <w:rFonts w:ascii="Arial" w:eastAsia="Geist Fallback" w:hAnsi="Arial" w:cs="Arial"/>
          <w:sz w:val="22"/>
          <w:szCs w:val="22"/>
        </w:rPr>
        <w:t>organisational</w:t>
      </w:r>
      <w:proofErr w:type="spellEnd"/>
      <w:r w:rsidRPr="008436C4">
        <w:rPr>
          <w:rFonts w:ascii="Arial" w:eastAsia="Geist Fallback" w:hAnsi="Arial" w:cs="Arial"/>
          <w:sz w:val="22"/>
          <w:szCs w:val="22"/>
        </w:rPr>
        <w:t xml:space="preserve"> processes and governance arrangements, rather than an individual error. Healthcare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are described by Braithwaite et al. (2020) as complex adaptive systems, with patient outcomes influenced by the interplay of </w:t>
      </w:r>
      <w:proofErr w:type="gramStart"/>
      <w:r w:rsidRPr="008436C4">
        <w:rPr>
          <w:rFonts w:ascii="Arial" w:eastAsia="Geist Fallback" w:hAnsi="Arial" w:cs="Arial"/>
          <w:sz w:val="22"/>
          <w:szCs w:val="22"/>
        </w:rPr>
        <w:t>a number of</w:t>
      </w:r>
      <w:proofErr w:type="gramEnd"/>
      <w:r w:rsidRPr="008436C4">
        <w:rPr>
          <w:rFonts w:ascii="Arial" w:eastAsia="Geist Fallback" w:hAnsi="Arial" w:cs="Arial"/>
          <w:sz w:val="22"/>
          <w:szCs w:val="22"/>
        </w:rPr>
        <w:t xml:space="preserve"> components rather than individual actions. This approach shows that coordinated leadership, integrated governance and effective communication throughout the entire NHS Integrated Care System is needed to help improve medication safety, ensuring that patients are receiving the same information and that potential risks are identified before they can cause harm.</w:t>
      </w:r>
    </w:p>
    <w:p w14:paraId="5765613A" w14:textId="77777777" w:rsidR="00BD4A79" w:rsidRPr="008436C4" w:rsidRDefault="00F54FD2">
      <w:pPr>
        <w:pStyle w:val="Heading2"/>
        <w:rPr>
          <w:rFonts w:ascii="Arial" w:hAnsi="Arial" w:cs="Arial"/>
          <w:sz w:val="22"/>
          <w:szCs w:val="22"/>
          <w:lang w:val="en-GB"/>
        </w:rPr>
      </w:pPr>
      <w:r w:rsidRPr="008436C4">
        <w:rPr>
          <w:rFonts w:ascii="Arial" w:hAnsi="Arial" w:cs="Arial"/>
          <w:sz w:val="22"/>
          <w:szCs w:val="22"/>
          <w:lang w:val="en-GB"/>
        </w:rPr>
        <w:t>2.8 Rich Picture</w:t>
      </w:r>
    </w:p>
    <w:p w14:paraId="5765613B" w14:textId="77777777" w:rsidR="00BD4A79" w:rsidRDefault="00F54FD2">
      <w:pPr>
        <w:rPr>
          <w:rFonts w:ascii="Arial" w:hAnsi="Arial" w:cs="Arial"/>
          <w:sz w:val="24"/>
          <w:szCs w:val="24"/>
          <w:lang w:val="en-GB"/>
        </w:rPr>
      </w:pPr>
      <w:r w:rsidRPr="00F54FD2">
        <w:rPr>
          <w:rFonts w:ascii="Arial" w:hAnsi="Arial" w:cs="Arial"/>
          <w:noProof/>
          <w:sz w:val="24"/>
          <w:szCs w:val="24"/>
          <w:lang w:eastAsia="en-US"/>
        </w:rPr>
        <w:drawing>
          <wp:inline distT="0" distB="0" distL="114300" distR="114300" wp14:anchorId="576561A8" wp14:editId="576561A9">
            <wp:extent cx="5268595" cy="3489325"/>
            <wp:effectExtent l="0" t="0" r="444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5268595" cy="3489325"/>
                    </a:xfrm>
                    <a:prstGeom prst="rect">
                      <a:avLst/>
                    </a:prstGeom>
                    <a:noFill/>
                    <a:ln>
                      <a:noFill/>
                    </a:ln>
                  </pic:spPr>
                </pic:pic>
              </a:graphicData>
            </a:graphic>
          </wp:inline>
        </w:drawing>
      </w:r>
    </w:p>
    <w:p w14:paraId="393A2CD4" w14:textId="77777777" w:rsidR="004D04EF" w:rsidRDefault="004D04EF">
      <w:pPr>
        <w:rPr>
          <w:rFonts w:ascii="Arial" w:hAnsi="Arial" w:cs="Arial"/>
          <w:sz w:val="24"/>
          <w:szCs w:val="24"/>
          <w:lang w:val="en-GB"/>
        </w:rPr>
      </w:pPr>
    </w:p>
    <w:p w14:paraId="50080955" w14:textId="77777777" w:rsidR="004D04EF" w:rsidRDefault="004D04EF">
      <w:pPr>
        <w:rPr>
          <w:rFonts w:ascii="Arial" w:hAnsi="Arial" w:cs="Arial"/>
          <w:sz w:val="24"/>
          <w:szCs w:val="24"/>
          <w:lang w:val="en-GB"/>
        </w:rPr>
      </w:pPr>
    </w:p>
    <w:p w14:paraId="3C472C88" w14:textId="77777777" w:rsidR="004D04EF" w:rsidRDefault="004D04EF">
      <w:pPr>
        <w:rPr>
          <w:rFonts w:ascii="Arial" w:hAnsi="Arial" w:cs="Arial"/>
          <w:sz w:val="24"/>
          <w:szCs w:val="24"/>
          <w:lang w:val="en-GB"/>
        </w:rPr>
      </w:pPr>
    </w:p>
    <w:p w14:paraId="195C3125" w14:textId="77777777" w:rsidR="004D04EF" w:rsidRDefault="004D04EF">
      <w:pPr>
        <w:rPr>
          <w:rFonts w:ascii="Arial" w:hAnsi="Arial" w:cs="Arial"/>
          <w:sz w:val="24"/>
          <w:szCs w:val="24"/>
          <w:lang w:val="en-GB"/>
        </w:rPr>
      </w:pPr>
    </w:p>
    <w:p w14:paraId="32769B4C" w14:textId="77777777" w:rsidR="004D04EF" w:rsidRPr="00F54FD2" w:rsidRDefault="004D04EF">
      <w:pPr>
        <w:rPr>
          <w:rFonts w:ascii="Arial" w:hAnsi="Arial" w:cs="Arial"/>
          <w:sz w:val="24"/>
          <w:szCs w:val="24"/>
          <w:lang w:val="en-GB"/>
        </w:rPr>
      </w:pPr>
    </w:p>
    <w:p w14:paraId="5765613C" w14:textId="77777777" w:rsidR="00BD4A79" w:rsidRPr="008436C4" w:rsidRDefault="00F54FD2">
      <w:pPr>
        <w:pStyle w:val="Heading1"/>
        <w:spacing w:line="480" w:lineRule="auto"/>
        <w:jc w:val="both"/>
        <w:rPr>
          <w:rFonts w:ascii="Arial" w:hAnsi="Arial" w:cs="Arial"/>
          <w:sz w:val="22"/>
          <w:szCs w:val="22"/>
        </w:rPr>
      </w:pPr>
      <w:r w:rsidRPr="008436C4">
        <w:rPr>
          <w:rFonts w:ascii="Arial" w:hAnsi="Arial" w:cs="Arial"/>
          <w:sz w:val="22"/>
          <w:szCs w:val="22"/>
        </w:rPr>
        <w:lastRenderedPageBreak/>
        <w:t>3. Centralisation and Decentralisation</w:t>
      </w:r>
    </w:p>
    <w:p w14:paraId="5765613D"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3.1 NHS Governance Structure</w:t>
      </w:r>
    </w:p>
    <w:p w14:paraId="5765613E" w14:textId="77777777" w:rsidR="00BD4A79" w:rsidRDefault="00F54FD2">
      <w:pPr>
        <w:spacing w:line="480" w:lineRule="auto"/>
        <w:jc w:val="both"/>
        <w:rPr>
          <w:rFonts w:ascii="Arial" w:eastAsia="Geist Fallback" w:hAnsi="Arial" w:cs="Arial"/>
          <w:sz w:val="22"/>
          <w:szCs w:val="22"/>
        </w:rPr>
      </w:pPr>
      <w:r w:rsidRPr="008436C4">
        <w:rPr>
          <w:rFonts w:ascii="Arial" w:eastAsia="Geist Fallback" w:hAnsi="Arial" w:cs="Arial"/>
          <w:sz w:val="22"/>
          <w:szCs w:val="22"/>
        </w:rPr>
        <w:t xml:space="preserve">The National Health Service (NHS) in England is governed by a combination of central and </w:t>
      </w:r>
      <w:proofErr w:type="spellStart"/>
      <w:r w:rsidRPr="008436C4">
        <w:rPr>
          <w:rFonts w:ascii="Arial" w:eastAsia="Geist Fallback" w:hAnsi="Arial" w:cs="Arial"/>
          <w:sz w:val="22"/>
          <w:szCs w:val="22"/>
        </w:rPr>
        <w:t>decentralised</w:t>
      </w:r>
      <w:proofErr w:type="spellEnd"/>
      <w:r w:rsidRPr="008436C4">
        <w:rPr>
          <w:rFonts w:ascii="Arial" w:eastAsia="Geist Fallback" w:hAnsi="Arial" w:cs="Arial"/>
          <w:sz w:val="22"/>
          <w:szCs w:val="22"/>
        </w:rPr>
        <w:t xml:space="preserve"> decision making to provide safe, effective and </w:t>
      </w:r>
      <w:proofErr w:type="gramStart"/>
      <w:r w:rsidRPr="008436C4">
        <w:rPr>
          <w:rFonts w:ascii="Arial" w:eastAsia="Geist Fallback" w:hAnsi="Arial" w:cs="Arial"/>
          <w:sz w:val="22"/>
          <w:szCs w:val="22"/>
        </w:rPr>
        <w:t xml:space="preserve">patient </w:t>
      </w:r>
      <w:proofErr w:type="spellStart"/>
      <w:r w:rsidRPr="008436C4">
        <w:rPr>
          <w:rFonts w:ascii="Arial" w:eastAsia="Geist Fallback" w:hAnsi="Arial" w:cs="Arial"/>
          <w:sz w:val="22"/>
          <w:szCs w:val="22"/>
        </w:rPr>
        <w:t>centred</w:t>
      </w:r>
      <w:proofErr w:type="spellEnd"/>
      <w:proofErr w:type="gramEnd"/>
      <w:r w:rsidRPr="008436C4">
        <w:rPr>
          <w:rFonts w:ascii="Arial" w:eastAsia="Geist Fallback" w:hAnsi="Arial" w:cs="Arial"/>
          <w:sz w:val="22"/>
          <w:szCs w:val="22"/>
        </w:rPr>
        <w:t xml:space="preserve"> health care. NHS England has a national role in providing strategic leadership for NHS policy, funding, clinical standards and monitoring of NHS </w:t>
      </w:r>
      <w:proofErr w:type="spellStart"/>
      <w:r w:rsidRPr="008436C4">
        <w:rPr>
          <w:rFonts w:ascii="Arial" w:eastAsia="Geist Fallback" w:hAnsi="Arial" w:cs="Arial"/>
          <w:sz w:val="22"/>
          <w:szCs w:val="22"/>
        </w:rPr>
        <w:t>organisation</w:t>
      </w:r>
      <w:proofErr w:type="spellEnd"/>
      <w:r w:rsidRPr="008436C4">
        <w:rPr>
          <w:rFonts w:ascii="Arial" w:eastAsia="Geist Fallback" w:hAnsi="Arial" w:cs="Arial"/>
          <w:sz w:val="22"/>
          <w:szCs w:val="22"/>
        </w:rPr>
        <w:t xml:space="preserve">. It additionally assists national regulators, such as the Medicines and Healthcare products Regulatory Agency (MHRA), the National Institute for Health and Care Excellence (NICE) and the Care Quality Commission (CQC) to ensure that healthcare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meet quality and safety standards. Edmonstone (2020) argues that national governance mechanisms and local service providers must be well coordinated to ensure that the service is of a consistent standard and that it meets the needs of patients as they evolve. Integrated Care Boards (ICBs) are responsible for coordinating the planning and allocation of health services and resources across local Integrated Care Systems (ICSs) and sit below NHS England. ICBs are a </w:t>
      </w:r>
      <w:proofErr w:type="gramStart"/>
      <w:r w:rsidRPr="008436C4">
        <w:rPr>
          <w:rFonts w:ascii="Arial" w:eastAsia="Geist Fallback" w:hAnsi="Arial" w:cs="Arial"/>
          <w:sz w:val="22"/>
          <w:szCs w:val="22"/>
        </w:rPr>
        <w:t>grouping</w:t>
      </w:r>
      <w:proofErr w:type="gramEnd"/>
      <w:r w:rsidRPr="008436C4">
        <w:rPr>
          <w:rFonts w:ascii="Arial" w:eastAsia="Geist Fallback" w:hAnsi="Arial" w:cs="Arial"/>
          <w:sz w:val="22"/>
          <w:szCs w:val="22"/>
        </w:rPr>
        <w:t xml:space="preserve"> of NHS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local authorities and healthcare partners to help break down the silos between services and increase collaboration. Primary care providers, such as general practitioners (GPs), work under the guidance of ICBs, but have responsibility for day-to-day clinical decision making. Community pharmacies provide medicines; they counsel and educate patients and promote medication safety, which are all aspects of primary care. Secondary and specialist care, such as emergency services, inpatient treatment and clinical governance are provided by Hospital Trusts. The purpose of this multi-level governance system is to harmonize the national level of surveillance, with the operational flexibility of the local healthcare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and to ensure that these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cooperate in a way that is still held accountable for patient outcomes.</w:t>
      </w:r>
    </w:p>
    <w:p w14:paraId="5F8080D9" w14:textId="77777777" w:rsidR="004D04EF" w:rsidRPr="008436C4" w:rsidRDefault="004D04EF">
      <w:pPr>
        <w:spacing w:line="480" w:lineRule="auto"/>
        <w:jc w:val="both"/>
        <w:rPr>
          <w:rFonts w:ascii="Arial" w:hAnsi="Arial" w:cs="Arial"/>
          <w:sz w:val="22"/>
          <w:szCs w:val="22"/>
        </w:rPr>
      </w:pPr>
    </w:p>
    <w:p w14:paraId="5765613F"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lastRenderedPageBreak/>
        <w:t xml:space="preserve">3.2 </w:t>
      </w:r>
      <w:proofErr w:type="spellStart"/>
      <w:r w:rsidRPr="008436C4">
        <w:rPr>
          <w:rFonts w:ascii="Arial" w:hAnsi="Arial" w:cs="Arial"/>
          <w:sz w:val="22"/>
          <w:szCs w:val="22"/>
        </w:rPr>
        <w:t>Centralised</w:t>
      </w:r>
      <w:proofErr w:type="spellEnd"/>
      <w:r w:rsidRPr="008436C4">
        <w:rPr>
          <w:rFonts w:ascii="Arial" w:hAnsi="Arial" w:cs="Arial"/>
          <w:sz w:val="22"/>
          <w:szCs w:val="22"/>
        </w:rPr>
        <w:t xml:space="preserve"> Features</w:t>
      </w:r>
    </w:p>
    <w:p w14:paraId="57656140" w14:textId="77777777" w:rsidR="00BD4A79" w:rsidRPr="008436C4" w:rsidRDefault="00F54FD2">
      <w:pPr>
        <w:spacing w:line="480" w:lineRule="auto"/>
        <w:jc w:val="both"/>
        <w:rPr>
          <w:rFonts w:ascii="Arial" w:hAnsi="Arial" w:cs="Arial"/>
          <w:sz w:val="22"/>
          <w:szCs w:val="22"/>
        </w:rPr>
      </w:pPr>
      <w:r w:rsidRPr="008436C4">
        <w:rPr>
          <w:rFonts w:ascii="Arial" w:eastAsia="Geist Fallback" w:hAnsi="Arial" w:cs="Arial"/>
          <w:sz w:val="22"/>
          <w:szCs w:val="22"/>
        </w:rPr>
        <w:t xml:space="preserve">The NHS is a good example of the </w:t>
      </w:r>
      <w:proofErr w:type="spellStart"/>
      <w:r w:rsidRPr="008436C4">
        <w:rPr>
          <w:rFonts w:ascii="Arial" w:eastAsia="Geist Fallback" w:hAnsi="Arial" w:cs="Arial"/>
          <w:sz w:val="22"/>
          <w:szCs w:val="22"/>
        </w:rPr>
        <w:t>centralised</w:t>
      </w:r>
      <w:proofErr w:type="spellEnd"/>
      <w:r w:rsidRPr="008436C4">
        <w:rPr>
          <w:rFonts w:ascii="Arial" w:eastAsia="Geist Fallback" w:hAnsi="Arial" w:cs="Arial"/>
          <w:sz w:val="22"/>
          <w:szCs w:val="22"/>
        </w:rPr>
        <w:t xml:space="preserve"> nature of health care that has a profound impact on </w:t>
      </w:r>
      <w:proofErr w:type="gramStart"/>
      <w:r w:rsidRPr="008436C4">
        <w:rPr>
          <w:rFonts w:ascii="Arial" w:eastAsia="Geist Fallback" w:hAnsi="Arial" w:cs="Arial"/>
          <w:sz w:val="22"/>
          <w:szCs w:val="22"/>
        </w:rPr>
        <w:t>medication</w:t>
      </w:r>
      <w:proofErr w:type="gramEnd"/>
      <w:r w:rsidRPr="008436C4">
        <w:rPr>
          <w:rFonts w:ascii="Arial" w:eastAsia="Geist Fallback" w:hAnsi="Arial" w:cs="Arial"/>
          <w:sz w:val="22"/>
          <w:szCs w:val="22"/>
        </w:rPr>
        <w:t xml:space="preserve"> safety and governance. There are national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that set policies and regulatory standards, to which all healthcare providers should adhere. For instance, NICE produces evidence based clinical guidelines which help to </w:t>
      </w:r>
      <w:proofErr w:type="spellStart"/>
      <w:r w:rsidRPr="008436C4">
        <w:rPr>
          <w:rFonts w:ascii="Arial" w:eastAsia="Geist Fallback" w:hAnsi="Arial" w:cs="Arial"/>
          <w:sz w:val="22"/>
          <w:szCs w:val="22"/>
        </w:rPr>
        <w:t>standardise</w:t>
      </w:r>
      <w:proofErr w:type="spellEnd"/>
      <w:r w:rsidRPr="008436C4">
        <w:rPr>
          <w:rFonts w:ascii="Arial" w:eastAsia="Geist Fallback" w:hAnsi="Arial" w:cs="Arial"/>
          <w:sz w:val="22"/>
          <w:szCs w:val="22"/>
        </w:rPr>
        <w:t xml:space="preserve"> prescribing practices throughout England, and the MHRA regulates medicines and provides alerts about medicines risks. NHS England also has a role in putting national policies in place, such as the National Patient Safety Strategy, to drive improvements in patient safety by learning, incident reporting and continuous quality improvement. Mannion and </w:t>
      </w:r>
      <w:proofErr w:type="spellStart"/>
      <w:r w:rsidRPr="008436C4">
        <w:rPr>
          <w:rFonts w:ascii="Arial" w:eastAsia="Geist Fallback" w:hAnsi="Arial" w:cs="Arial"/>
          <w:sz w:val="22"/>
          <w:szCs w:val="22"/>
        </w:rPr>
        <w:t>Exworthy</w:t>
      </w:r>
      <w:proofErr w:type="spellEnd"/>
      <w:r w:rsidRPr="008436C4">
        <w:rPr>
          <w:rFonts w:ascii="Arial" w:eastAsia="Geist Fallback" w:hAnsi="Arial" w:cs="Arial"/>
          <w:sz w:val="22"/>
          <w:szCs w:val="22"/>
        </w:rPr>
        <w:t xml:space="preserve"> (2020) suggest that </w:t>
      </w:r>
      <w:proofErr w:type="spellStart"/>
      <w:r w:rsidRPr="008436C4">
        <w:rPr>
          <w:rFonts w:ascii="Arial" w:eastAsia="Geist Fallback" w:hAnsi="Arial" w:cs="Arial"/>
          <w:sz w:val="22"/>
          <w:szCs w:val="22"/>
        </w:rPr>
        <w:t>centralised</w:t>
      </w:r>
      <w:proofErr w:type="spellEnd"/>
      <w:r w:rsidRPr="008436C4">
        <w:rPr>
          <w:rFonts w:ascii="Arial" w:eastAsia="Geist Fallback" w:hAnsi="Arial" w:cs="Arial"/>
          <w:sz w:val="22"/>
          <w:szCs w:val="22"/>
        </w:rPr>
        <w:t xml:space="preserve"> governance has the potential to enhance healthcare systems by creating accountability within </w:t>
      </w:r>
      <w:proofErr w:type="spellStart"/>
      <w:proofErr w:type="gram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and</w:t>
      </w:r>
      <w:proofErr w:type="gramEnd"/>
      <w:r w:rsidRPr="008436C4">
        <w:rPr>
          <w:rFonts w:ascii="Arial" w:eastAsia="Geist Fallback" w:hAnsi="Arial" w:cs="Arial"/>
          <w:sz w:val="22"/>
          <w:szCs w:val="22"/>
        </w:rPr>
        <w:t xml:space="preserve"> delivering uniform clinical quality across healthcare providers. In the selected case study, there are </w:t>
      </w:r>
      <w:proofErr w:type="gramStart"/>
      <w:r w:rsidRPr="008436C4">
        <w:rPr>
          <w:rFonts w:ascii="Arial" w:eastAsia="Geist Fallback" w:hAnsi="Arial" w:cs="Arial"/>
          <w:sz w:val="22"/>
          <w:szCs w:val="22"/>
        </w:rPr>
        <w:t>a number of</w:t>
      </w:r>
      <w:proofErr w:type="gramEnd"/>
      <w:r w:rsidRPr="008436C4">
        <w:rPr>
          <w:rFonts w:ascii="Arial" w:eastAsia="Geist Fallback" w:hAnsi="Arial" w:cs="Arial"/>
          <w:sz w:val="22"/>
          <w:szCs w:val="22"/>
        </w:rPr>
        <w:t xml:space="preserve"> benefits to </w:t>
      </w:r>
      <w:proofErr w:type="spellStart"/>
      <w:r w:rsidRPr="008436C4">
        <w:rPr>
          <w:rFonts w:ascii="Arial" w:eastAsia="Geist Fallback" w:hAnsi="Arial" w:cs="Arial"/>
          <w:sz w:val="22"/>
          <w:szCs w:val="22"/>
        </w:rPr>
        <w:t>centralisation</w:t>
      </w:r>
      <w:proofErr w:type="spellEnd"/>
      <w:r w:rsidRPr="008436C4">
        <w:rPr>
          <w:rFonts w:ascii="Arial" w:eastAsia="Geist Fallback" w:hAnsi="Arial" w:cs="Arial"/>
          <w:sz w:val="22"/>
          <w:szCs w:val="22"/>
        </w:rPr>
        <w:t xml:space="preserve">. </w:t>
      </w:r>
      <w:proofErr w:type="spellStart"/>
      <w:r w:rsidRPr="008436C4">
        <w:rPr>
          <w:rFonts w:ascii="Arial" w:eastAsia="Geist Fallback" w:hAnsi="Arial" w:cs="Arial"/>
          <w:sz w:val="22"/>
          <w:szCs w:val="22"/>
        </w:rPr>
        <w:t>Standardised</w:t>
      </w:r>
      <w:proofErr w:type="spellEnd"/>
      <w:r w:rsidRPr="008436C4">
        <w:rPr>
          <w:rFonts w:ascii="Arial" w:eastAsia="Geist Fallback" w:hAnsi="Arial" w:cs="Arial"/>
          <w:sz w:val="22"/>
          <w:szCs w:val="22"/>
        </w:rPr>
        <w:t xml:space="preserve"> prescribing guidance </w:t>
      </w:r>
      <w:proofErr w:type="spellStart"/>
      <w:r w:rsidRPr="008436C4">
        <w:rPr>
          <w:rFonts w:ascii="Arial" w:eastAsia="Geist Fallback" w:hAnsi="Arial" w:cs="Arial"/>
          <w:sz w:val="22"/>
          <w:szCs w:val="22"/>
        </w:rPr>
        <w:t>minimises</w:t>
      </w:r>
      <w:proofErr w:type="spellEnd"/>
      <w:r w:rsidRPr="008436C4">
        <w:rPr>
          <w:rFonts w:ascii="Arial" w:eastAsia="Geist Fallback" w:hAnsi="Arial" w:cs="Arial"/>
          <w:sz w:val="22"/>
          <w:szCs w:val="22"/>
        </w:rPr>
        <w:t xml:space="preserve"> the variation in clinical practice and helps healthcare professionals when making decisions about medication. National accountability frameworks also allow regulators to keep an eye on </w:t>
      </w:r>
      <w:proofErr w:type="spellStart"/>
      <w:r w:rsidRPr="008436C4">
        <w:rPr>
          <w:rFonts w:ascii="Arial" w:eastAsia="Geist Fallback" w:hAnsi="Arial" w:cs="Arial"/>
          <w:sz w:val="22"/>
          <w:szCs w:val="22"/>
        </w:rPr>
        <w:t>organisational</w:t>
      </w:r>
      <w:proofErr w:type="spellEnd"/>
      <w:r w:rsidRPr="008436C4">
        <w:rPr>
          <w:rFonts w:ascii="Arial" w:eastAsia="Geist Fallback" w:hAnsi="Arial" w:cs="Arial"/>
          <w:sz w:val="22"/>
          <w:szCs w:val="22"/>
        </w:rPr>
        <w:t xml:space="preserve"> performance and investigate serious patient safety incidents, such as the HSSIB. In addition, clinical governance systems </w:t>
      </w:r>
      <w:proofErr w:type="spellStart"/>
      <w:r w:rsidRPr="008436C4">
        <w:rPr>
          <w:rFonts w:ascii="Arial" w:eastAsia="Geist Fallback" w:hAnsi="Arial" w:cs="Arial"/>
          <w:sz w:val="22"/>
          <w:szCs w:val="22"/>
        </w:rPr>
        <w:t>incentivise</w:t>
      </w:r>
      <w:proofErr w:type="spellEnd"/>
      <w:r w:rsidRPr="008436C4">
        <w:rPr>
          <w:rFonts w:ascii="Arial" w:eastAsia="Geist Fallback" w:hAnsi="Arial" w:cs="Arial"/>
          <w:sz w:val="22"/>
          <w:szCs w:val="22"/>
        </w:rPr>
        <w:t xml:space="preserve"> health care providers to report adverse events, audit and </w:t>
      </w:r>
      <w:proofErr w:type="gramStart"/>
      <w:r w:rsidRPr="008436C4">
        <w:rPr>
          <w:rFonts w:ascii="Arial" w:eastAsia="Geist Fallback" w:hAnsi="Arial" w:cs="Arial"/>
          <w:sz w:val="22"/>
          <w:szCs w:val="22"/>
        </w:rPr>
        <w:t>take action</w:t>
      </w:r>
      <w:proofErr w:type="gramEnd"/>
      <w:r w:rsidRPr="008436C4">
        <w:rPr>
          <w:rFonts w:ascii="Arial" w:eastAsia="Geist Fallback" w:hAnsi="Arial" w:cs="Arial"/>
          <w:sz w:val="22"/>
          <w:szCs w:val="22"/>
        </w:rPr>
        <w:t xml:space="preserve"> on quality improvement initiatives to </w:t>
      </w:r>
      <w:proofErr w:type="spellStart"/>
      <w:r w:rsidRPr="008436C4">
        <w:rPr>
          <w:rFonts w:ascii="Arial" w:eastAsia="Geist Fallback" w:hAnsi="Arial" w:cs="Arial"/>
          <w:sz w:val="22"/>
          <w:szCs w:val="22"/>
        </w:rPr>
        <w:t>minimise</w:t>
      </w:r>
      <w:proofErr w:type="spellEnd"/>
      <w:r w:rsidRPr="008436C4">
        <w:rPr>
          <w:rFonts w:ascii="Arial" w:eastAsia="Geist Fallback" w:hAnsi="Arial" w:cs="Arial"/>
          <w:sz w:val="22"/>
          <w:szCs w:val="22"/>
        </w:rPr>
        <w:t xml:space="preserve"> medication-related harm. These mechanisms contribute to setting standards for the safety of medicines across the NHS. Consistent governance arrangements are necessary to ensure patient safety because NHS England employs approximately 1.3 million people in a highly complex healthcare system. A portion of NHS England's annual budget, which exceeds £190 billion, is used to support patient safety programs, initiatives to optimize medicines, and digital systems designed to reduce medication-related harm. According to the National Reporting and Learning System (NRLS), hundreds of thousands of incidents involving medication-related patient safety are reported annually across NHS services, </w:t>
      </w:r>
      <w:r w:rsidRPr="008436C4">
        <w:rPr>
          <w:rFonts w:ascii="Arial" w:eastAsia="Geist Fallback" w:hAnsi="Arial" w:cs="Arial"/>
          <w:sz w:val="22"/>
          <w:szCs w:val="22"/>
        </w:rPr>
        <w:lastRenderedPageBreak/>
        <w:t>demonstrating the significance of effective governance and organizational learning. In addition, core indicators of healthcare quality and regulatory compliance continue to be identified during Care Quality Commission (CQC) inspections as the management of medicines and the secure administration of medicines. These data show, taken as a whole, why national governance mechanisms are still necessary to improve medication safety throughout the NHS.</w:t>
      </w:r>
      <w:r w:rsidRPr="008436C4">
        <w:rPr>
          <w:rFonts w:ascii="Arial" w:eastAsia="Geist Fallback" w:hAnsi="Arial" w:cs="Arial"/>
          <w:sz w:val="22"/>
          <w:szCs w:val="22"/>
          <w:lang w:val="en-GB"/>
        </w:rPr>
        <w:t xml:space="preserve"> </w:t>
      </w:r>
      <w:r w:rsidRPr="008436C4">
        <w:rPr>
          <w:rFonts w:ascii="Arial" w:eastAsia="Geist Fallback" w:hAnsi="Arial" w:cs="Arial"/>
          <w:sz w:val="22"/>
          <w:szCs w:val="22"/>
        </w:rPr>
        <w:t xml:space="preserve">However, with the advantages come some drawbacks of </w:t>
      </w:r>
      <w:proofErr w:type="spellStart"/>
      <w:r w:rsidRPr="008436C4">
        <w:rPr>
          <w:rFonts w:ascii="Arial" w:eastAsia="Geist Fallback" w:hAnsi="Arial" w:cs="Arial"/>
          <w:sz w:val="22"/>
          <w:szCs w:val="22"/>
        </w:rPr>
        <w:t>centralised</w:t>
      </w:r>
      <w:proofErr w:type="spellEnd"/>
      <w:r w:rsidRPr="008436C4">
        <w:rPr>
          <w:rFonts w:ascii="Arial" w:eastAsia="Geist Fallback" w:hAnsi="Arial" w:cs="Arial"/>
          <w:sz w:val="22"/>
          <w:szCs w:val="22"/>
        </w:rPr>
        <w:t xml:space="preserve"> governance. National policy changes can take a while to impact frontline practice as they can be a bureaucratic process, involving consultation, approval and implementation across </w:t>
      </w:r>
      <w:proofErr w:type="gramStart"/>
      <w:r w:rsidRPr="008436C4">
        <w:rPr>
          <w:rFonts w:ascii="Arial" w:eastAsia="Geist Fallback" w:hAnsi="Arial" w:cs="Arial"/>
          <w:sz w:val="22"/>
          <w:szCs w:val="22"/>
        </w:rPr>
        <w:t>a number of</w:t>
      </w:r>
      <w:proofErr w:type="gramEnd"/>
      <w:r w:rsidRPr="008436C4">
        <w:rPr>
          <w:rFonts w:ascii="Arial" w:eastAsia="Geist Fallback" w:hAnsi="Arial" w:cs="Arial"/>
          <w:sz w:val="22"/>
          <w:szCs w:val="22"/>
        </w:rPr>
        <w:t xml:space="preserv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As a result, changes that are identified </w:t>
      </w:r>
      <w:proofErr w:type="gramStart"/>
      <w:r w:rsidRPr="008436C4">
        <w:rPr>
          <w:rFonts w:ascii="Arial" w:eastAsia="Geist Fallback" w:hAnsi="Arial" w:cs="Arial"/>
          <w:sz w:val="22"/>
          <w:szCs w:val="22"/>
        </w:rPr>
        <w:t>as a result of</w:t>
      </w:r>
      <w:proofErr w:type="gramEnd"/>
      <w:r w:rsidRPr="008436C4">
        <w:rPr>
          <w:rFonts w:ascii="Arial" w:eastAsia="Geist Fallback" w:hAnsi="Arial" w:cs="Arial"/>
          <w:sz w:val="22"/>
          <w:szCs w:val="22"/>
        </w:rPr>
        <w:t xml:space="preserve"> patient safety investigations may not be implemented right away. Further, policies can be very rigid, depriving healthcare providers of flexibility in tailoring procedures to the needs of individual patients or specific communities. When relying too heavily on a hierarchical decision-making process, there is a risk of decreased collaboration and limited opportunities for shared leadership in integrated healthcare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w:t>
      </w:r>
      <w:proofErr w:type="spellStart"/>
      <w:r w:rsidRPr="008436C4">
        <w:rPr>
          <w:rFonts w:ascii="Arial" w:eastAsia="Geist Fallback" w:hAnsi="Arial" w:cs="Arial"/>
          <w:sz w:val="22"/>
          <w:szCs w:val="22"/>
        </w:rPr>
        <w:t>Aufegger</w:t>
      </w:r>
      <w:proofErr w:type="spellEnd"/>
      <w:r w:rsidRPr="008436C4">
        <w:rPr>
          <w:rFonts w:ascii="Arial" w:eastAsia="Geist Fallback" w:hAnsi="Arial" w:cs="Arial"/>
          <w:sz w:val="22"/>
          <w:szCs w:val="22"/>
        </w:rPr>
        <w:t xml:space="preserve"> et al., 2020).</w:t>
      </w:r>
    </w:p>
    <w:p w14:paraId="57656141"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 xml:space="preserve">3.3 </w:t>
      </w:r>
      <w:proofErr w:type="spellStart"/>
      <w:r w:rsidRPr="008436C4">
        <w:rPr>
          <w:rFonts w:ascii="Arial" w:hAnsi="Arial" w:cs="Arial"/>
          <w:sz w:val="22"/>
          <w:szCs w:val="22"/>
        </w:rPr>
        <w:t>Decentralised</w:t>
      </w:r>
      <w:proofErr w:type="spellEnd"/>
      <w:r w:rsidRPr="008436C4">
        <w:rPr>
          <w:rFonts w:ascii="Arial" w:hAnsi="Arial" w:cs="Arial"/>
          <w:sz w:val="22"/>
          <w:szCs w:val="22"/>
        </w:rPr>
        <w:t xml:space="preserve"> Features</w:t>
      </w:r>
    </w:p>
    <w:p w14:paraId="57656142" w14:textId="77777777" w:rsidR="00BD4A79" w:rsidRPr="008436C4" w:rsidRDefault="00F54FD2">
      <w:pPr>
        <w:spacing w:line="480" w:lineRule="auto"/>
        <w:jc w:val="both"/>
        <w:rPr>
          <w:rFonts w:ascii="Arial" w:hAnsi="Arial" w:cs="Arial"/>
          <w:sz w:val="22"/>
          <w:szCs w:val="22"/>
        </w:rPr>
      </w:pPr>
      <w:r w:rsidRPr="008436C4">
        <w:rPr>
          <w:rFonts w:ascii="Arial" w:eastAsia="Geist Fallback" w:hAnsi="Arial" w:cs="Arial"/>
          <w:sz w:val="22"/>
          <w:szCs w:val="22"/>
        </w:rPr>
        <w:t xml:space="preserve">The NHS also includes a form of </w:t>
      </w:r>
      <w:proofErr w:type="spellStart"/>
      <w:r w:rsidRPr="008436C4">
        <w:rPr>
          <w:rFonts w:ascii="Arial" w:eastAsia="Geist Fallback" w:hAnsi="Arial" w:cs="Arial"/>
          <w:sz w:val="22"/>
          <w:szCs w:val="22"/>
        </w:rPr>
        <w:t>decentralised</w:t>
      </w:r>
      <w:proofErr w:type="spellEnd"/>
      <w:r w:rsidRPr="008436C4">
        <w:rPr>
          <w:rFonts w:ascii="Arial" w:eastAsia="Geist Fallback" w:hAnsi="Arial" w:cs="Arial"/>
          <w:sz w:val="22"/>
          <w:szCs w:val="22"/>
        </w:rPr>
        <w:t xml:space="preserve"> decision-making, with healthcare professionals making decisions based on the needs of the patients in their local area. GPs make their own decisions about the care of patients, their medicines and treatment plans. Community pharmacists offer medicine counselling, explain dosage instructions and identify potential medication related concerns prior to dispensing of medicines. Likewise, a clinician's role in a Hospital Trust is to decide on diagnosis, treatment and discharge planning based on the individual patient's situation. Distributed leadership fosters multidisciplinary professionals to collaborate and take responsibility for patient care, which enhances collaboration and facilitates more responsive clinical decision-making, according to Karam et al. (2021). There are </w:t>
      </w:r>
      <w:proofErr w:type="gramStart"/>
      <w:r w:rsidRPr="008436C4">
        <w:rPr>
          <w:rFonts w:ascii="Arial" w:eastAsia="Geist Fallback" w:hAnsi="Arial" w:cs="Arial"/>
          <w:sz w:val="22"/>
          <w:szCs w:val="22"/>
        </w:rPr>
        <w:t xml:space="preserve">a </w:t>
      </w:r>
      <w:r w:rsidRPr="008436C4">
        <w:rPr>
          <w:rFonts w:ascii="Arial" w:eastAsia="Geist Fallback" w:hAnsi="Arial" w:cs="Arial"/>
          <w:sz w:val="22"/>
          <w:szCs w:val="22"/>
        </w:rPr>
        <w:lastRenderedPageBreak/>
        <w:t>number of</w:t>
      </w:r>
      <w:proofErr w:type="gramEnd"/>
      <w:r w:rsidRPr="008436C4">
        <w:rPr>
          <w:rFonts w:ascii="Arial" w:eastAsia="Geist Fallback" w:hAnsi="Arial" w:cs="Arial"/>
          <w:sz w:val="22"/>
          <w:szCs w:val="22"/>
        </w:rPr>
        <w:t xml:space="preserve"> key benefits to </w:t>
      </w:r>
      <w:proofErr w:type="spellStart"/>
      <w:r w:rsidRPr="008436C4">
        <w:rPr>
          <w:rFonts w:ascii="Arial" w:eastAsia="Geist Fallback" w:hAnsi="Arial" w:cs="Arial"/>
          <w:sz w:val="22"/>
          <w:szCs w:val="22"/>
        </w:rPr>
        <w:t>decentralisation</w:t>
      </w:r>
      <w:proofErr w:type="spellEnd"/>
      <w:r w:rsidRPr="008436C4">
        <w:rPr>
          <w:rFonts w:ascii="Arial" w:eastAsia="Geist Fallback" w:hAnsi="Arial" w:cs="Arial"/>
          <w:sz w:val="22"/>
          <w:szCs w:val="22"/>
        </w:rPr>
        <w:t xml:space="preserve"> within healthcare delivery. Local </w:t>
      </w:r>
      <w:proofErr w:type="gramStart"/>
      <w:r w:rsidRPr="008436C4">
        <w:rPr>
          <w:rFonts w:ascii="Arial" w:eastAsia="Geist Fallback" w:hAnsi="Arial" w:cs="Arial"/>
          <w:sz w:val="22"/>
          <w:szCs w:val="22"/>
        </w:rPr>
        <w:t>decision-making</w:t>
      </w:r>
      <w:proofErr w:type="gramEnd"/>
      <w:r w:rsidRPr="008436C4">
        <w:rPr>
          <w:rFonts w:ascii="Arial" w:eastAsia="Geist Fallback" w:hAnsi="Arial" w:cs="Arial"/>
          <w:sz w:val="22"/>
          <w:szCs w:val="22"/>
        </w:rPr>
        <w:t xml:space="preserve"> allows for speedy, on-demand clinical decisions to be made, without needing to wait for national approval. It also promotes innovation as healthcare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can launch local quality improvement initiatives to tackle specific operational challenges. In addition, </w:t>
      </w:r>
      <w:proofErr w:type="spellStart"/>
      <w:r w:rsidRPr="008436C4">
        <w:rPr>
          <w:rFonts w:ascii="Arial" w:eastAsia="Geist Fallback" w:hAnsi="Arial" w:cs="Arial"/>
          <w:sz w:val="22"/>
          <w:szCs w:val="22"/>
        </w:rPr>
        <w:t>decentralised</w:t>
      </w:r>
      <w:proofErr w:type="spellEnd"/>
      <w:r w:rsidRPr="008436C4">
        <w:rPr>
          <w:rFonts w:ascii="Arial" w:eastAsia="Geist Fallback" w:hAnsi="Arial" w:cs="Arial"/>
          <w:sz w:val="22"/>
          <w:szCs w:val="22"/>
        </w:rPr>
        <w:t xml:space="preserve"> healthcare enables healthcare professionals to </w:t>
      </w:r>
      <w:proofErr w:type="spellStart"/>
      <w:r w:rsidRPr="008436C4">
        <w:rPr>
          <w:rFonts w:ascii="Arial" w:eastAsia="Geist Fallback" w:hAnsi="Arial" w:cs="Arial"/>
          <w:sz w:val="22"/>
          <w:szCs w:val="22"/>
        </w:rPr>
        <w:t>personalise</w:t>
      </w:r>
      <w:proofErr w:type="spellEnd"/>
      <w:r w:rsidRPr="008436C4">
        <w:rPr>
          <w:rFonts w:ascii="Arial" w:eastAsia="Geist Fallback" w:hAnsi="Arial" w:cs="Arial"/>
          <w:sz w:val="22"/>
          <w:szCs w:val="22"/>
        </w:rPr>
        <w:t xml:space="preserve"> communication and patient education, which is especially relevant for older people who are taking multiple medications. </w:t>
      </w:r>
      <w:proofErr w:type="spellStart"/>
      <w:r w:rsidRPr="008436C4">
        <w:rPr>
          <w:rFonts w:ascii="Arial" w:eastAsia="Geist Fallback" w:hAnsi="Arial" w:cs="Arial"/>
          <w:sz w:val="22"/>
          <w:szCs w:val="22"/>
        </w:rPr>
        <w:t>Decentralisation</w:t>
      </w:r>
      <w:proofErr w:type="spellEnd"/>
      <w:r w:rsidRPr="008436C4">
        <w:rPr>
          <w:rFonts w:ascii="Arial" w:eastAsia="Geist Fallback" w:hAnsi="Arial" w:cs="Arial"/>
          <w:sz w:val="22"/>
          <w:szCs w:val="22"/>
        </w:rPr>
        <w:t xml:space="preserve"> can, however, also lead to variation in clinical practice. Variations in communication, counselling techniques and </w:t>
      </w:r>
      <w:proofErr w:type="spellStart"/>
      <w:r w:rsidRPr="008436C4">
        <w:rPr>
          <w:rFonts w:ascii="Arial" w:eastAsia="Geist Fallback" w:hAnsi="Arial" w:cs="Arial"/>
          <w:sz w:val="22"/>
          <w:szCs w:val="22"/>
        </w:rPr>
        <w:t>organisational</w:t>
      </w:r>
      <w:proofErr w:type="spellEnd"/>
      <w:r w:rsidRPr="008436C4">
        <w:rPr>
          <w:rFonts w:ascii="Arial" w:eastAsia="Geist Fallback" w:hAnsi="Arial" w:cs="Arial"/>
          <w:sz w:val="22"/>
          <w:szCs w:val="22"/>
        </w:rPr>
        <w:t xml:space="preserve"> safety cultures can lead to patient experience variations between healthcare providers. For the selected case study, the medicine was prescribed and dispensed correctly, but the lack of checking the patient's understanding of the medication highlights how local practice varied to create an adverse outcome. O'Donovan, McAuliffe and De Brún (2021) found that healthcare teams with high levels of psychological safety tend to have greater communication and to be able to detect potential risks before patient harm is experienced.</w:t>
      </w:r>
    </w:p>
    <w:p w14:paraId="57656143" w14:textId="77777777" w:rsidR="00BD4A79" w:rsidRPr="008436C4" w:rsidRDefault="00F54FD2">
      <w:pPr>
        <w:pStyle w:val="Heading2"/>
        <w:spacing w:line="480" w:lineRule="auto"/>
        <w:jc w:val="both"/>
        <w:rPr>
          <w:rFonts w:ascii="Arial" w:hAnsi="Arial" w:cs="Arial"/>
          <w:sz w:val="22"/>
          <w:szCs w:val="22"/>
        </w:rPr>
      </w:pPr>
      <w:r w:rsidRPr="008436C4">
        <w:rPr>
          <w:rFonts w:ascii="Arial" w:hAnsi="Arial" w:cs="Arial"/>
          <w:sz w:val="22"/>
          <w:szCs w:val="22"/>
        </w:rPr>
        <w:t>3.4 Critical Analysis</w:t>
      </w:r>
    </w:p>
    <w:p w14:paraId="57656144" w14:textId="77777777" w:rsidR="00BD4A79" w:rsidRPr="008436C4" w:rsidRDefault="00F54FD2">
      <w:pPr>
        <w:spacing w:line="480" w:lineRule="auto"/>
        <w:jc w:val="both"/>
        <w:rPr>
          <w:rFonts w:ascii="Arial" w:hAnsi="Arial" w:cs="Arial"/>
          <w:sz w:val="22"/>
          <w:szCs w:val="22"/>
        </w:rPr>
      </w:pPr>
      <w:r w:rsidRPr="008436C4">
        <w:rPr>
          <w:rFonts w:ascii="Arial" w:eastAsia="Geist Fallback" w:hAnsi="Arial" w:cs="Arial"/>
          <w:sz w:val="22"/>
          <w:szCs w:val="22"/>
        </w:rPr>
        <w:t xml:space="preserve">The NHS had a structure of governance which supported and constrained the management of Len's case. </w:t>
      </w:r>
      <w:proofErr w:type="spellStart"/>
      <w:r w:rsidRPr="008436C4">
        <w:rPr>
          <w:rFonts w:ascii="Arial" w:eastAsia="Geist Fallback" w:hAnsi="Arial" w:cs="Arial"/>
          <w:sz w:val="22"/>
          <w:szCs w:val="22"/>
        </w:rPr>
        <w:t>Centralised</w:t>
      </w:r>
      <w:proofErr w:type="spellEnd"/>
      <w:r w:rsidRPr="008436C4">
        <w:rPr>
          <w:rFonts w:ascii="Arial" w:eastAsia="Geist Fallback" w:hAnsi="Arial" w:cs="Arial"/>
          <w:sz w:val="22"/>
          <w:szCs w:val="22"/>
        </w:rPr>
        <w:t xml:space="preserve"> governance allowed for national prescribing standards, medication regulations</w:t>
      </w:r>
      <w:proofErr w:type="gramStart"/>
      <w:r w:rsidRPr="008436C4">
        <w:rPr>
          <w:rFonts w:ascii="Arial" w:eastAsia="Geist Fallback" w:hAnsi="Arial" w:cs="Arial"/>
          <w:sz w:val="22"/>
          <w:szCs w:val="22"/>
        </w:rPr>
        <w:t>, patient</w:t>
      </w:r>
      <w:proofErr w:type="gramEnd"/>
      <w:r w:rsidRPr="008436C4">
        <w:rPr>
          <w:rFonts w:ascii="Arial" w:eastAsia="Geist Fallback" w:hAnsi="Arial" w:cs="Arial"/>
          <w:sz w:val="22"/>
          <w:szCs w:val="22"/>
        </w:rPr>
        <w:t xml:space="preserve"> safety policies to be made available to healthcare professionals across the patient's care pathway. The incident was a reminder, however, that compliance with national policies was not enough to avoid harm as communication gaps were identified in the local implementation. Prescribing was in line with guidance, but there was no effective process in place to ensure the patient's understanding, which reduced accountability at the point of medicine administration. Effective communication between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is vital to medication safety, especially when patients move between primary care and community pharmacy </w:t>
      </w:r>
      <w:r w:rsidRPr="008436C4">
        <w:rPr>
          <w:rFonts w:ascii="Arial" w:eastAsia="Geist Fallback" w:hAnsi="Arial" w:cs="Arial"/>
          <w:sz w:val="22"/>
          <w:szCs w:val="22"/>
        </w:rPr>
        <w:lastRenderedPageBreak/>
        <w:t xml:space="preserve">and hospital services. For Len, multiple healthcare providers were involved in treatment, but no system was in place to ensure that key information about medication administration was clearly understood by the patient and his wife. This was a communication breakdown that hampered the current governance systems and helped to lead to the </w:t>
      </w:r>
      <w:proofErr w:type="gramStart"/>
      <w:r w:rsidRPr="008436C4">
        <w:rPr>
          <w:rFonts w:ascii="Arial" w:eastAsia="Geist Fallback" w:hAnsi="Arial" w:cs="Arial"/>
          <w:sz w:val="22"/>
          <w:szCs w:val="22"/>
        </w:rPr>
        <w:t>overdosing</w:t>
      </w:r>
      <w:proofErr w:type="gramEnd"/>
      <w:r w:rsidRPr="008436C4">
        <w:rPr>
          <w:rFonts w:ascii="Arial" w:eastAsia="Geist Fallback" w:hAnsi="Arial" w:cs="Arial"/>
          <w:sz w:val="22"/>
          <w:szCs w:val="22"/>
        </w:rPr>
        <w:t>. Communication, along with structured counselling, multidisciplinary teamwork and patient-</w:t>
      </w:r>
      <w:proofErr w:type="spellStart"/>
      <w:r w:rsidRPr="008436C4">
        <w:rPr>
          <w:rFonts w:ascii="Arial" w:eastAsia="Geist Fallback" w:hAnsi="Arial" w:cs="Arial"/>
          <w:sz w:val="22"/>
          <w:szCs w:val="22"/>
        </w:rPr>
        <w:t>centred</w:t>
      </w:r>
      <w:proofErr w:type="spellEnd"/>
      <w:r w:rsidRPr="008436C4">
        <w:rPr>
          <w:rFonts w:ascii="Arial" w:eastAsia="Geist Fallback" w:hAnsi="Arial" w:cs="Arial"/>
          <w:sz w:val="22"/>
          <w:szCs w:val="22"/>
        </w:rPr>
        <w:t xml:space="preserve"> verification methods, are essential for achieving safer medication practices in healthcare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(Hughes et al., 2022). In addition, the impact of the workforce pressures and growing demand from patients remain a factor in the effectiveness of governance across the NHS. Comprehensive medication counselling and follow-up may be limited by a heavy workload, especially in a busy primary care and/or pharmacy environment. These pressures reinforce the importance of leadership that encourages collaboration, learning and continuous quality improvement. Transformational leadership fosters a positive patient safety culture by encouraging staff involvement, communication, and collaboration in patient safety initiatives, thereby enhancing the quality of patient care, according to Ree and Wiig (2020). The governance structure for the NHS offers a good basis for accountability and clinical governance, but to ensure that medication safety is improved, national policies need to be supported by effective local leadership, communication and collaborative decision-making between all </w:t>
      </w:r>
      <w:proofErr w:type="spellStart"/>
      <w:r w:rsidRPr="008436C4">
        <w:rPr>
          <w:rFonts w:ascii="Arial" w:eastAsia="Geist Fallback" w:hAnsi="Arial" w:cs="Arial"/>
          <w:sz w:val="22"/>
          <w:szCs w:val="22"/>
        </w:rPr>
        <w:t>organisations</w:t>
      </w:r>
      <w:proofErr w:type="spellEnd"/>
      <w:r w:rsidRPr="008436C4">
        <w:rPr>
          <w:rFonts w:ascii="Arial" w:eastAsia="Geist Fallback" w:hAnsi="Arial" w:cs="Arial"/>
          <w:sz w:val="22"/>
          <w:szCs w:val="22"/>
        </w:rPr>
        <w:t xml:space="preserve"> involved in the care of patients.</w:t>
      </w:r>
    </w:p>
    <w:p w14:paraId="57656145" w14:textId="77777777" w:rsidR="00BD4A79" w:rsidRPr="008436C4" w:rsidRDefault="00F54FD2">
      <w:pPr>
        <w:pStyle w:val="Heading1"/>
        <w:spacing w:line="480" w:lineRule="auto"/>
        <w:jc w:val="both"/>
        <w:rPr>
          <w:rFonts w:ascii="Arial" w:hAnsi="Arial" w:cs="Arial"/>
          <w:sz w:val="22"/>
          <w:szCs w:val="22"/>
        </w:rPr>
      </w:pPr>
      <w:r w:rsidRPr="008436C4">
        <w:rPr>
          <w:rFonts w:ascii="Arial" w:hAnsi="Arial" w:cs="Arial"/>
          <w:sz w:val="22"/>
          <w:szCs w:val="22"/>
        </w:rPr>
        <w:t>4. Leadership Theories and Application</w:t>
      </w:r>
    </w:p>
    <w:p w14:paraId="57656146" w14:textId="77777777" w:rsidR="008809EB" w:rsidRPr="008436C4" w:rsidRDefault="008809EB" w:rsidP="008809EB">
      <w:pPr>
        <w:pStyle w:val="Heading2"/>
        <w:spacing w:line="480" w:lineRule="auto"/>
        <w:rPr>
          <w:rFonts w:ascii="Arial" w:eastAsia="Times New Roman" w:hAnsi="Arial" w:cs="Arial"/>
          <w:sz w:val="22"/>
          <w:szCs w:val="22"/>
          <w:lang w:eastAsia="en-GB"/>
        </w:rPr>
      </w:pPr>
      <w:bookmarkStart w:id="0" w:name="_Toc235191219"/>
      <w:r w:rsidRPr="008436C4">
        <w:rPr>
          <w:rFonts w:ascii="Arial" w:eastAsia="Times New Roman" w:hAnsi="Arial" w:cs="Arial"/>
          <w:sz w:val="22"/>
          <w:szCs w:val="22"/>
          <w:lang w:eastAsia="en-GB"/>
        </w:rPr>
        <w:t>4.1 Introduction: Leadership Role in Medication Safety Transformation</w:t>
      </w:r>
      <w:bookmarkEnd w:id="0"/>
    </w:p>
    <w:p w14:paraId="57656147" w14:textId="77777777" w:rsidR="008809EB" w:rsidRPr="008436C4" w:rsidRDefault="008809EB" w:rsidP="008809EB">
      <w:pPr>
        <w:spacing w:line="480" w:lineRule="auto"/>
        <w:jc w:val="both"/>
        <w:rPr>
          <w:rFonts w:ascii="Arial" w:hAnsi="Arial" w:cs="Arial"/>
          <w:sz w:val="22"/>
          <w:szCs w:val="22"/>
          <w:lang w:eastAsia="en-GB"/>
        </w:rPr>
      </w:pPr>
      <w:r w:rsidRPr="008436C4">
        <w:rPr>
          <w:rFonts w:ascii="Arial" w:hAnsi="Arial" w:cs="Arial"/>
          <w:sz w:val="22"/>
          <w:szCs w:val="22"/>
          <w:lang w:eastAsia="en-GB"/>
        </w:rPr>
        <w:t xml:space="preserve">Leadership plays a key role in medication safety because healthcare outcomes are influenced not only by clinical decisions but also by system design, communication processes and the safety culture developed within healthcare </w:t>
      </w:r>
      <w:proofErr w:type="spellStart"/>
      <w:r w:rsidRPr="008436C4">
        <w:rPr>
          <w:rFonts w:ascii="Arial" w:hAnsi="Arial" w:cs="Arial"/>
          <w:sz w:val="22"/>
          <w:szCs w:val="22"/>
          <w:lang w:eastAsia="en-GB"/>
        </w:rPr>
        <w:t>organisations</w:t>
      </w:r>
      <w:proofErr w:type="spellEnd"/>
      <w:r w:rsidRPr="008436C4">
        <w:rPr>
          <w:rFonts w:ascii="Arial" w:hAnsi="Arial" w:cs="Arial"/>
          <w:sz w:val="22"/>
          <w:szCs w:val="22"/>
          <w:lang w:eastAsia="en-GB"/>
        </w:rPr>
        <w:t xml:space="preserve"> (</w:t>
      </w:r>
      <w:proofErr w:type="spellStart"/>
      <w:r w:rsidRPr="008436C4">
        <w:rPr>
          <w:rFonts w:ascii="Arial" w:hAnsi="Arial" w:cs="Arial"/>
          <w:sz w:val="22"/>
          <w:szCs w:val="22"/>
          <w:lang w:eastAsia="en-GB"/>
        </w:rPr>
        <w:t>Dirik</w:t>
      </w:r>
      <w:proofErr w:type="spellEnd"/>
      <w:r w:rsidRPr="008436C4">
        <w:rPr>
          <w:rFonts w:ascii="Arial" w:hAnsi="Arial" w:cs="Arial"/>
          <w:sz w:val="22"/>
          <w:szCs w:val="22"/>
          <w:lang w:eastAsia="en-GB"/>
        </w:rPr>
        <w:t xml:space="preserve">, </w:t>
      </w:r>
      <w:proofErr w:type="spellStart"/>
      <w:r w:rsidRPr="008436C4">
        <w:rPr>
          <w:rFonts w:ascii="Arial" w:hAnsi="Arial" w:cs="Arial"/>
          <w:sz w:val="22"/>
          <w:szCs w:val="22"/>
          <w:lang w:eastAsia="en-GB"/>
        </w:rPr>
        <w:t>Theiakouli</w:t>
      </w:r>
      <w:proofErr w:type="spellEnd"/>
      <w:r w:rsidRPr="008436C4">
        <w:rPr>
          <w:rFonts w:ascii="Arial" w:hAnsi="Arial" w:cs="Arial"/>
          <w:sz w:val="22"/>
          <w:szCs w:val="22"/>
          <w:lang w:eastAsia="en-GB"/>
        </w:rPr>
        <w:t xml:space="preserve"> and Efstathiou, 2026). Len's use of morphine shows how things can go </w:t>
      </w:r>
      <w:r w:rsidRPr="008436C4">
        <w:rPr>
          <w:rFonts w:ascii="Arial" w:hAnsi="Arial" w:cs="Arial"/>
          <w:sz w:val="22"/>
          <w:szCs w:val="22"/>
          <w:lang w:eastAsia="en-GB"/>
        </w:rPr>
        <w:lastRenderedPageBreak/>
        <w:t>wrong despite the best clinical decisions. His prescription was deemed to be medically suitable, but there were areas of weakness in medication understanding and coordination during the HSSIB investigation (HSSIB, 2022)</w:t>
      </w:r>
    </w:p>
    <w:p w14:paraId="57656148" w14:textId="77777777" w:rsidR="008809EB" w:rsidRPr="008436C4" w:rsidRDefault="008809EB" w:rsidP="008809EB">
      <w:pPr>
        <w:spacing w:line="480" w:lineRule="auto"/>
        <w:jc w:val="both"/>
        <w:rPr>
          <w:rFonts w:ascii="Arial" w:hAnsi="Arial" w:cs="Arial"/>
          <w:sz w:val="22"/>
          <w:szCs w:val="22"/>
          <w:lang w:eastAsia="en-GB"/>
        </w:rPr>
      </w:pPr>
      <w:r w:rsidRPr="008436C4">
        <w:rPr>
          <w:rFonts w:ascii="Arial" w:hAnsi="Arial" w:cs="Arial"/>
          <w:sz w:val="22"/>
          <w:szCs w:val="22"/>
          <w:lang w:eastAsia="en-GB"/>
        </w:rPr>
        <w:t xml:space="preserve">This section critically applies the theories of transformational, transactional, situational and distributed leadership to </w:t>
      </w:r>
      <w:proofErr w:type="spellStart"/>
      <w:r w:rsidRPr="008436C4">
        <w:rPr>
          <w:rFonts w:ascii="Arial" w:hAnsi="Arial" w:cs="Arial"/>
          <w:sz w:val="22"/>
          <w:szCs w:val="22"/>
          <w:lang w:eastAsia="en-GB"/>
        </w:rPr>
        <w:t>analyse</w:t>
      </w:r>
      <w:proofErr w:type="spellEnd"/>
      <w:r w:rsidRPr="008436C4">
        <w:rPr>
          <w:rFonts w:ascii="Arial" w:hAnsi="Arial" w:cs="Arial"/>
          <w:sz w:val="22"/>
          <w:szCs w:val="22"/>
          <w:lang w:eastAsia="en-GB"/>
        </w:rPr>
        <w:t xml:space="preserve"> the contribution of leadership in improving patient safety outcomes and identify approaches for future improvement.</w:t>
      </w:r>
    </w:p>
    <w:p w14:paraId="57656149" w14:textId="77777777" w:rsidR="008809EB" w:rsidRPr="008436C4" w:rsidRDefault="008809EB" w:rsidP="008809EB">
      <w:pPr>
        <w:pStyle w:val="Heading2"/>
        <w:spacing w:line="480" w:lineRule="auto"/>
        <w:rPr>
          <w:rFonts w:ascii="Arial" w:eastAsia="Times New Roman" w:hAnsi="Arial" w:cs="Arial"/>
          <w:sz w:val="22"/>
          <w:szCs w:val="22"/>
          <w:lang w:eastAsia="en-GB"/>
        </w:rPr>
      </w:pPr>
      <w:bookmarkStart w:id="1" w:name="_Toc235191220"/>
      <w:r w:rsidRPr="008436C4">
        <w:rPr>
          <w:rFonts w:ascii="Arial" w:eastAsia="Times New Roman" w:hAnsi="Arial" w:cs="Arial"/>
          <w:sz w:val="22"/>
          <w:szCs w:val="22"/>
          <w:lang w:eastAsia="en-GB"/>
        </w:rPr>
        <w:t>4.2 Transformational Leadership: Creating a Patient Safety Culture</w:t>
      </w:r>
      <w:bookmarkEnd w:id="1"/>
    </w:p>
    <w:p w14:paraId="5765614A" w14:textId="77777777" w:rsidR="008809EB" w:rsidRPr="008436C4" w:rsidRDefault="008809EB" w:rsidP="008809EB">
      <w:pPr>
        <w:spacing w:line="480" w:lineRule="auto"/>
        <w:jc w:val="both"/>
        <w:rPr>
          <w:rFonts w:ascii="Arial" w:hAnsi="Arial" w:cs="Arial"/>
          <w:b/>
          <w:sz w:val="22"/>
          <w:szCs w:val="22"/>
          <w:lang w:eastAsia="en-GB"/>
        </w:rPr>
      </w:pPr>
      <w:bookmarkStart w:id="2" w:name="_Toc235191221"/>
      <w:r w:rsidRPr="008436C4">
        <w:rPr>
          <w:rFonts w:ascii="Arial" w:hAnsi="Arial" w:cs="Arial"/>
          <w:sz w:val="22"/>
          <w:szCs w:val="22"/>
          <w:lang w:eastAsia="en-GB"/>
        </w:rPr>
        <w:t xml:space="preserve">Transformational leadership is especially relevant with respect to medication safety, as it can be used to change the culture of healthcare institutions from following the procedures to building a learning culture and a culture of system improvement. It establishes a sense of responsibility, psychological safety, and transparency; staff members can identify risk without fear of blame (Lindert et al., 2022). A transformational leader would interpret Len's experience of an overdose of morphine as a sign that there is a problem with the system of medicines, not with Len. The investigation by the HSSIB (2022) confirmed that the incident was caused by interactions between people, processes and </w:t>
      </w:r>
      <w:proofErr w:type="spellStart"/>
      <w:r w:rsidRPr="008436C4">
        <w:rPr>
          <w:rFonts w:ascii="Arial" w:hAnsi="Arial" w:cs="Arial"/>
          <w:sz w:val="22"/>
          <w:szCs w:val="22"/>
          <w:lang w:eastAsia="en-GB"/>
        </w:rPr>
        <w:t>organisational</w:t>
      </w:r>
      <w:proofErr w:type="spellEnd"/>
      <w:r w:rsidRPr="008436C4">
        <w:rPr>
          <w:rFonts w:ascii="Arial" w:hAnsi="Arial" w:cs="Arial"/>
          <w:sz w:val="22"/>
          <w:szCs w:val="22"/>
          <w:lang w:eastAsia="en-GB"/>
        </w:rPr>
        <w:t xml:space="preserve"> factors, including the misunderstanding of 10mg in 5ml as the dose required, and not as a measure of the strength of the medication. As such, leaders had opportunities to put in place more transparent medication counselling, teach-back measures and enhanced interprofessional communication prior to harm developing (Ree and Wiig, 2020). In the case of Len, however, the reaction was more of a patch-up job</w:t>
      </w:r>
      <w:r w:rsidRPr="008436C4">
        <w:rPr>
          <w:rFonts w:ascii="Arial" w:hAnsi="Arial" w:cs="Arial"/>
          <w:b/>
          <w:sz w:val="22"/>
          <w:szCs w:val="22"/>
          <w:lang w:eastAsia="en-GB"/>
        </w:rPr>
        <w:t>,</w:t>
      </w:r>
      <w:r w:rsidRPr="008436C4">
        <w:rPr>
          <w:rFonts w:ascii="Arial" w:hAnsi="Arial" w:cs="Arial"/>
          <w:sz w:val="22"/>
          <w:szCs w:val="22"/>
          <w:lang w:eastAsia="en-GB"/>
        </w:rPr>
        <w:t xml:space="preserve"> as safety measures were taken after the overdose occurred rather than identifying the risk earlier. One of the downfalls of transformational leadership is that even though the culture has changed, there are still no operational supports, accountability processes, or metrics to ensure outcomes are safer. Hence, </w:t>
      </w:r>
      <w:proofErr w:type="gramStart"/>
      <w:r w:rsidRPr="008436C4">
        <w:rPr>
          <w:rFonts w:ascii="Arial" w:hAnsi="Arial" w:cs="Arial"/>
          <w:sz w:val="22"/>
          <w:szCs w:val="22"/>
          <w:lang w:eastAsia="en-GB"/>
        </w:rPr>
        <w:t>the safety</w:t>
      </w:r>
      <w:proofErr w:type="gramEnd"/>
      <w:r w:rsidRPr="008436C4">
        <w:rPr>
          <w:rFonts w:ascii="Arial" w:hAnsi="Arial" w:cs="Arial"/>
          <w:sz w:val="22"/>
          <w:szCs w:val="22"/>
          <w:lang w:eastAsia="en-GB"/>
        </w:rPr>
        <w:t xml:space="preserve"> performance should be tracked using the following indicators: Medication incident, Adverse Drug event, Patient </w:t>
      </w:r>
      <w:r w:rsidRPr="008436C4">
        <w:rPr>
          <w:rFonts w:ascii="Arial" w:hAnsi="Arial" w:cs="Arial"/>
          <w:sz w:val="22"/>
          <w:szCs w:val="22"/>
          <w:lang w:eastAsia="en-GB"/>
        </w:rPr>
        <w:lastRenderedPageBreak/>
        <w:t>understanding score (</w:t>
      </w:r>
      <w:proofErr w:type="spellStart"/>
      <w:r w:rsidRPr="008436C4">
        <w:rPr>
          <w:rFonts w:ascii="Arial" w:hAnsi="Arial" w:cs="Arial"/>
          <w:sz w:val="22"/>
          <w:szCs w:val="22"/>
          <w:lang w:eastAsia="en-GB"/>
        </w:rPr>
        <w:t>Thiyagu</w:t>
      </w:r>
      <w:proofErr w:type="spellEnd"/>
      <w:r w:rsidRPr="008436C4">
        <w:rPr>
          <w:rFonts w:ascii="Arial" w:hAnsi="Arial" w:cs="Arial"/>
          <w:sz w:val="22"/>
          <w:szCs w:val="22"/>
          <w:lang w:eastAsia="en-GB"/>
        </w:rPr>
        <w:t xml:space="preserve"> 2010). Therefore, sustainable medication safety requires some sort of transactional controls and some kind of distributed responsibility to go along with transformational leadership.</w:t>
      </w:r>
    </w:p>
    <w:p w14:paraId="5765614B" w14:textId="77777777" w:rsidR="008809EB" w:rsidRPr="008436C4" w:rsidRDefault="008809EB" w:rsidP="008809EB">
      <w:pPr>
        <w:pStyle w:val="Heading2"/>
        <w:spacing w:line="480" w:lineRule="auto"/>
        <w:rPr>
          <w:rFonts w:ascii="Arial" w:eastAsia="Times New Roman" w:hAnsi="Arial" w:cs="Arial"/>
          <w:sz w:val="22"/>
          <w:szCs w:val="22"/>
          <w:lang w:eastAsia="en-GB"/>
        </w:rPr>
      </w:pPr>
      <w:r w:rsidRPr="008436C4">
        <w:rPr>
          <w:rFonts w:ascii="Arial" w:eastAsia="Times New Roman" w:hAnsi="Arial" w:cs="Arial"/>
          <w:sz w:val="22"/>
          <w:szCs w:val="22"/>
          <w:lang w:eastAsia="en-GB"/>
        </w:rPr>
        <w:t>4.3 Transactional Leadership: Maintaining Safety Standards and Compliance</w:t>
      </w:r>
      <w:bookmarkEnd w:id="2"/>
    </w:p>
    <w:p w14:paraId="5765614C" w14:textId="77777777" w:rsidR="008809EB" w:rsidRDefault="008809EB" w:rsidP="008809EB">
      <w:pPr>
        <w:spacing w:line="480" w:lineRule="auto"/>
        <w:jc w:val="both"/>
        <w:rPr>
          <w:rFonts w:ascii="Arial" w:hAnsi="Arial" w:cs="Arial"/>
          <w:sz w:val="22"/>
          <w:szCs w:val="22"/>
          <w:lang w:eastAsia="en-GB"/>
        </w:rPr>
      </w:pPr>
      <w:r w:rsidRPr="008436C4">
        <w:rPr>
          <w:rFonts w:ascii="Arial" w:hAnsi="Arial" w:cs="Arial"/>
          <w:sz w:val="22"/>
          <w:szCs w:val="22"/>
          <w:lang w:eastAsia="en-GB"/>
        </w:rPr>
        <w:t>In the context of medication safety, transactional leadership sets accountability parameters, with protocols, monitoring systems, and regulatory compliance playing a crucial role (Al-</w:t>
      </w:r>
      <w:proofErr w:type="spellStart"/>
      <w:r w:rsidRPr="008436C4">
        <w:rPr>
          <w:rFonts w:ascii="Arial" w:hAnsi="Arial" w:cs="Arial"/>
          <w:sz w:val="22"/>
          <w:szCs w:val="22"/>
          <w:lang w:eastAsia="en-GB"/>
        </w:rPr>
        <w:t>Rjoub</w:t>
      </w:r>
      <w:proofErr w:type="spellEnd"/>
      <w:r w:rsidRPr="008436C4">
        <w:rPr>
          <w:rFonts w:ascii="Arial" w:hAnsi="Arial" w:cs="Arial"/>
          <w:sz w:val="22"/>
          <w:szCs w:val="22"/>
          <w:lang w:eastAsia="en-GB"/>
        </w:rPr>
        <w:t xml:space="preserve"> et al., 2024). This has been effective in controlling the prescribing process for Len. The GP did the correct thing and </w:t>
      </w:r>
      <w:proofErr w:type="gramStart"/>
      <w:r w:rsidRPr="008436C4">
        <w:rPr>
          <w:rFonts w:ascii="Arial" w:hAnsi="Arial" w:cs="Arial"/>
          <w:sz w:val="22"/>
          <w:szCs w:val="22"/>
          <w:lang w:eastAsia="en-GB"/>
        </w:rPr>
        <w:t>took into account</w:t>
      </w:r>
      <w:proofErr w:type="gramEnd"/>
      <w:r w:rsidRPr="008436C4">
        <w:rPr>
          <w:rFonts w:ascii="Arial" w:hAnsi="Arial" w:cs="Arial"/>
          <w:sz w:val="22"/>
          <w:szCs w:val="22"/>
          <w:lang w:eastAsia="en-GB"/>
        </w:rPr>
        <w:t xml:space="preserve"> Len's reduced renal function, his health condition and his age before giving him the injections of morphine. The investigation by HSSIB (2022) confirmed the prescribed dose of 1.25–2.5 mL (2.5–5 mg) to be clinically appropriate. In the case of Len, however, procedural compliance was not enough as he misunderstood the instructions for the drugs he was taking, so he took 5ml doses of 10mg of morphine. This reflects a weakness of transactional leadership in that it can only influence professional </w:t>
      </w:r>
      <w:proofErr w:type="spellStart"/>
      <w:r w:rsidRPr="008436C4">
        <w:rPr>
          <w:rFonts w:ascii="Arial" w:hAnsi="Arial" w:cs="Arial"/>
          <w:sz w:val="22"/>
          <w:szCs w:val="22"/>
          <w:lang w:eastAsia="en-GB"/>
        </w:rPr>
        <w:t>behaviour</w:t>
      </w:r>
      <w:proofErr w:type="spellEnd"/>
      <w:r w:rsidRPr="008436C4">
        <w:rPr>
          <w:rFonts w:ascii="Arial" w:hAnsi="Arial" w:cs="Arial"/>
          <w:sz w:val="22"/>
          <w:szCs w:val="22"/>
          <w:lang w:eastAsia="en-GB"/>
        </w:rPr>
        <w:t xml:space="preserve"> and does not consider patient </w:t>
      </w:r>
      <w:proofErr w:type="spellStart"/>
      <w:r w:rsidRPr="008436C4">
        <w:rPr>
          <w:rFonts w:ascii="Arial" w:hAnsi="Arial" w:cs="Arial"/>
          <w:sz w:val="22"/>
          <w:szCs w:val="22"/>
          <w:lang w:eastAsia="en-GB"/>
        </w:rPr>
        <w:t>behaviour</w:t>
      </w:r>
      <w:proofErr w:type="spellEnd"/>
      <w:r w:rsidRPr="008436C4">
        <w:rPr>
          <w:rFonts w:ascii="Arial" w:hAnsi="Arial" w:cs="Arial"/>
          <w:sz w:val="22"/>
          <w:szCs w:val="22"/>
          <w:lang w:eastAsia="en-GB"/>
        </w:rPr>
        <w:t>, communication and human factors (Agrawal, 2020). Therefore, the response to the overdose from the leader was partially reactive, reacting to the overdose when it happened, not anticipating those who were at risk. Medication errors continue to be a major patient safety issue around the world, especially for older adults who have multiple medications (WHO, 2023). For Len, then, transactional leadership was a must but not enough. Patient-</w:t>
      </w:r>
      <w:proofErr w:type="spellStart"/>
      <w:r w:rsidRPr="008436C4">
        <w:rPr>
          <w:rFonts w:ascii="Arial" w:hAnsi="Arial" w:cs="Arial"/>
          <w:sz w:val="22"/>
          <w:szCs w:val="22"/>
          <w:lang w:eastAsia="en-GB"/>
        </w:rPr>
        <w:t>centred</w:t>
      </w:r>
      <w:proofErr w:type="spellEnd"/>
      <w:r w:rsidRPr="008436C4">
        <w:rPr>
          <w:rFonts w:ascii="Arial" w:hAnsi="Arial" w:cs="Arial"/>
          <w:sz w:val="22"/>
          <w:szCs w:val="22"/>
          <w:lang w:eastAsia="en-GB"/>
        </w:rPr>
        <w:t xml:space="preserve"> communication, human-factor design, and adaptive leadership, in addition to safety standards, should be used to facilitate safe use of medicines beyond healthcare settings (Rashdan et al., 2025).</w:t>
      </w:r>
    </w:p>
    <w:p w14:paraId="126E7D73" w14:textId="77777777" w:rsidR="004D04EF" w:rsidRDefault="004D04EF" w:rsidP="008809EB">
      <w:pPr>
        <w:spacing w:line="480" w:lineRule="auto"/>
        <w:jc w:val="both"/>
        <w:rPr>
          <w:rFonts w:ascii="Arial" w:hAnsi="Arial" w:cs="Arial"/>
          <w:sz w:val="22"/>
          <w:szCs w:val="22"/>
          <w:lang w:eastAsia="en-GB"/>
        </w:rPr>
      </w:pPr>
    </w:p>
    <w:p w14:paraId="3570BC2A" w14:textId="77777777" w:rsidR="004D04EF" w:rsidRDefault="004D04EF" w:rsidP="008809EB">
      <w:pPr>
        <w:spacing w:line="480" w:lineRule="auto"/>
        <w:jc w:val="both"/>
        <w:rPr>
          <w:rFonts w:ascii="Arial" w:hAnsi="Arial" w:cs="Arial"/>
          <w:sz w:val="22"/>
          <w:szCs w:val="22"/>
          <w:lang w:eastAsia="en-GB"/>
        </w:rPr>
      </w:pPr>
    </w:p>
    <w:p w14:paraId="601C2907" w14:textId="77777777" w:rsidR="004D04EF" w:rsidRPr="008436C4" w:rsidRDefault="004D04EF" w:rsidP="008809EB">
      <w:pPr>
        <w:spacing w:line="480" w:lineRule="auto"/>
        <w:jc w:val="both"/>
        <w:rPr>
          <w:rFonts w:ascii="Arial" w:hAnsi="Arial" w:cs="Arial"/>
          <w:sz w:val="22"/>
          <w:szCs w:val="22"/>
          <w:lang w:eastAsia="en-GB"/>
        </w:rPr>
      </w:pPr>
    </w:p>
    <w:p w14:paraId="5765614D" w14:textId="77777777" w:rsidR="008809EB" w:rsidRPr="008436C4" w:rsidRDefault="008809EB" w:rsidP="008809EB">
      <w:pPr>
        <w:pStyle w:val="Heading2"/>
        <w:spacing w:line="480" w:lineRule="auto"/>
        <w:rPr>
          <w:rFonts w:ascii="Arial" w:eastAsia="Times New Roman" w:hAnsi="Arial" w:cs="Arial"/>
          <w:sz w:val="22"/>
          <w:szCs w:val="22"/>
          <w:lang w:eastAsia="en-GB"/>
        </w:rPr>
      </w:pPr>
      <w:bookmarkStart w:id="3" w:name="_Toc235191222"/>
      <w:r w:rsidRPr="008436C4">
        <w:rPr>
          <w:rFonts w:ascii="Arial" w:eastAsia="Times New Roman" w:hAnsi="Arial" w:cs="Arial"/>
          <w:sz w:val="22"/>
          <w:szCs w:val="22"/>
          <w:lang w:eastAsia="en-GB"/>
        </w:rPr>
        <w:lastRenderedPageBreak/>
        <w:t>4.4 Situational Leadership and Distributed Leadership: Responding to Patient Complexity</w:t>
      </w:r>
      <w:bookmarkEnd w:id="3"/>
    </w:p>
    <w:p w14:paraId="5765614E" w14:textId="77777777" w:rsidR="008809EB" w:rsidRPr="008436C4" w:rsidRDefault="008809EB" w:rsidP="008809EB">
      <w:pPr>
        <w:spacing w:line="480" w:lineRule="auto"/>
        <w:jc w:val="both"/>
        <w:rPr>
          <w:rFonts w:ascii="Arial" w:hAnsi="Arial" w:cs="Arial"/>
          <w:sz w:val="22"/>
          <w:szCs w:val="22"/>
          <w:lang w:eastAsia="en-GB"/>
        </w:rPr>
      </w:pPr>
      <w:r w:rsidRPr="008436C4">
        <w:rPr>
          <w:rFonts w:ascii="Arial" w:hAnsi="Arial" w:cs="Arial"/>
          <w:sz w:val="22"/>
          <w:szCs w:val="22"/>
          <w:lang w:eastAsia="en-GB"/>
        </w:rPr>
        <w:t xml:space="preserve">Situational leadership empowers healthcare providers to tailor support based on patient vulnerability and complexity and personal capability instead of a </w:t>
      </w:r>
      <w:proofErr w:type="spellStart"/>
      <w:r w:rsidRPr="008436C4">
        <w:rPr>
          <w:rFonts w:ascii="Arial" w:hAnsi="Arial" w:cs="Arial"/>
          <w:sz w:val="22"/>
          <w:szCs w:val="22"/>
          <w:lang w:eastAsia="en-GB"/>
        </w:rPr>
        <w:t>standardised</w:t>
      </w:r>
      <w:proofErr w:type="spellEnd"/>
      <w:r w:rsidRPr="008436C4">
        <w:rPr>
          <w:rFonts w:ascii="Arial" w:hAnsi="Arial" w:cs="Arial"/>
          <w:sz w:val="22"/>
          <w:szCs w:val="22"/>
          <w:lang w:eastAsia="en-GB"/>
        </w:rPr>
        <w:t xml:space="preserve"> approach (Wang et al., 2024). This was very pertinent to Len, who was 89 years old, had Charcot-Marie-Tooth disease, respiratory problems and was starting opioid treatment. A situational leader would consider their capacity to teach back, engage families, and monitor for adherence. A downside to situational leadership is that it requires healthcare providers to accurately assess patient needs and that enough time and resources are available to provide </w:t>
      </w:r>
      <w:proofErr w:type="spellStart"/>
      <w:r w:rsidRPr="008436C4">
        <w:rPr>
          <w:rFonts w:ascii="Arial" w:hAnsi="Arial" w:cs="Arial"/>
          <w:sz w:val="22"/>
          <w:szCs w:val="22"/>
          <w:lang w:eastAsia="en-GB"/>
        </w:rPr>
        <w:t>individualised</w:t>
      </w:r>
      <w:proofErr w:type="spellEnd"/>
      <w:r w:rsidRPr="008436C4">
        <w:rPr>
          <w:rFonts w:ascii="Arial" w:hAnsi="Arial" w:cs="Arial"/>
          <w:sz w:val="22"/>
          <w:szCs w:val="22"/>
          <w:lang w:eastAsia="en-GB"/>
        </w:rPr>
        <w:t xml:space="preserve"> treatment. However, in Len's case, this evaluation was not done before harm, and therefore the response was reactive as opposed to preventative. In addition, fragmented accountability between the different elements in the healthcare system can only be addressed by situational leadership. When used in conjunction with distributed leadership, it could help achieve shared responsibility between GP teams, pharmacists and hospital teams, and decrease communication failures (Ghallab and Sallam, 2026). </w:t>
      </w:r>
    </w:p>
    <w:p w14:paraId="5765614F" w14:textId="77777777" w:rsidR="008809EB" w:rsidRPr="008436C4" w:rsidRDefault="008809EB" w:rsidP="008809EB">
      <w:pPr>
        <w:pStyle w:val="Heading2"/>
        <w:spacing w:line="480" w:lineRule="auto"/>
        <w:rPr>
          <w:rFonts w:ascii="Arial" w:eastAsia="Times New Roman" w:hAnsi="Arial" w:cs="Arial"/>
          <w:sz w:val="22"/>
          <w:szCs w:val="22"/>
          <w:lang w:eastAsia="en-GB"/>
        </w:rPr>
      </w:pPr>
      <w:bookmarkStart w:id="4" w:name="_Toc235191223"/>
      <w:r w:rsidRPr="008436C4">
        <w:rPr>
          <w:rFonts w:ascii="Arial" w:eastAsia="Times New Roman" w:hAnsi="Arial" w:cs="Arial"/>
          <w:sz w:val="22"/>
          <w:szCs w:val="22"/>
          <w:lang w:eastAsia="en-GB"/>
        </w:rPr>
        <w:t>4.6 Distributed Leadership Application</w:t>
      </w:r>
      <w:bookmarkEnd w:id="4"/>
    </w:p>
    <w:p w14:paraId="57656150" w14:textId="77777777" w:rsidR="008809EB" w:rsidRPr="008436C4" w:rsidRDefault="008809EB" w:rsidP="008809EB">
      <w:pPr>
        <w:spacing w:line="480" w:lineRule="auto"/>
        <w:jc w:val="both"/>
        <w:rPr>
          <w:rFonts w:ascii="Arial" w:hAnsi="Arial" w:cs="Arial"/>
          <w:sz w:val="22"/>
          <w:szCs w:val="22"/>
        </w:rPr>
      </w:pPr>
      <w:r w:rsidRPr="008436C4">
        <w:rPr>
          <w:rFonts w:ascii="Arial" w:hAnsi="Arial" w:cs="Arial"/>
          <w:sz w:val="22"/>
          <w:szCs w:val="22"/>
        </w:rPr>
        <w:t xml:space="preserve">As shown in Len's case, patient safety incidents are the result of failures that stem from the relationship and interactions between people, processes and systems rather than failure of the people. To implement consistent implementation of </w:t>
      </w:r>
      <w:proofErr w:type="spellStart"/>
      <w:r w:rsidRPr="008436C4">
        <w:rPr>
          <w:rFonts w:ascii="Arial" w:hAnsi="Arial" w:cs="Arial"/>
          <w:sz w:val="22"/>
          <w:szCs w:val="22"/>
        </w:rPr>
        <w:t>harmonised</w:t>
      </w:r>
      <w:proofErr w:type="spellEnd"/>
      <w:r w:rsidRPr="008436C4">
        <w:rPr>
          <w:rFonts w:ascii="Arial" w:hAnsi="Arial" w:cs="Arial"/>
          <w:sz w:val="22"/>
          <w:szCs w:val="22"/>
        </w:rPr>
        <w:t xml:space="preserve"> medication standards across healthcare boundaries, effective leadership at the local level is required. Leaders need to cultivate a psychologically safe workplace where employees can share concerns, investigate incidents and promote learning. Moreover, patients and families should be engaged in safety, educated and empowered to make decisions.</w:t>
      </w:r>
    </w:p>
    <w:p w14:paraId="57656151" w14:textId="77777777" w:rsidR="008809EB" w:rsidRPr="008436C4" w:rsidRDefault="008809EB" w:rsidP="008809EB">
      <w:pPr>
        <w:pStyle w:val="Heading1"/>
        <w:spacing w:line="480" w:lineRule="auto"/>
        <w:rPr>
          <w:rFonts w:ascii="Arial" w:hAnsi="Arial" w:cs="Arial"/>
          <w:sz w:val="22"/>
          <w:szCs w:val="22"/>
        </w:rPr>
      </w:pPr>
      <w:bookmarkStart w:id="5" w:name="_Toc235191224"/>
      <w:r w:rsidRPr="008436C4">
        <w:rPr>
          <w:rFonts w:ascii="Arial" w:hAnsi="Arial" w:cs="Arial"/>
          <w:sz w:val="22"/>
          <w:szCs w:val="22"/>
        </w:rPr>
        <w:lastRenderedPageBreak/>
        <w:t>5. Improvement and Lessons Learned</w:t>
      </w:r>
      <w:bookmarkEnd w:id="5"/>
    </w:p>
    <w:p w14:paraId="57656152" w14:textId="77777777" w:rsidR="008809EB" w:rsidRPr="008436C4" w:rsidRDefault="008809EB" w:rsidP="008809EB">
      <w:pPr>
        <w:pStyle w:val="Heading2"/>
        <w:spacing w:line="480" w:lineRule="auto"/>
        <w:rPr>
          <w:rFonts w:ascii="Arial" w:eastAsia="Times New Roman" w:hAnsi="Arial" w:cs="Arial"/>
          <w:sz w:val="22"/>
          <w:szCs w:val="22"/>
          <w:lang w:eastAsia="en-GB"/>
        </w:rPr>
      </w:pPr>
      <w:bookmarkStart w:id="6" w:name="_Toc235191225"/>
      <w:r w:rsidRPr="008436C4">
        <w:rPr>
          <w:rFonts w:ascii="Arial" w:eastAsia="Times New Roman" w:hAnsi="Arial" w:cs="Arial"/>
          <w:sz w:val="22"/>
          <w:szCs w:val="22"/>
          <w:lang w:eastAsia="en-GB"/>
        </w:rPr>
        <w:t>5.1 Interaction Between Leadership and Governance</w:t>
      </w:r>
      <w:bookmarkEnd w:id="6"/>
    </w:p>
    <w:p w14:paraId="57656153" w14:textId="77777777" w:rsidR="008809EB" w:rsidRPr="008436C4" w:rsidRDefault="008809EB" w:rsidP="008809EB">
      <w:pPr>
        <w:spacing w:line="480" w:lineRule="auto"/>
        <w:jc w:val="both"/>
        <w:rPr>
          <w:rFonts w:ascii="Arial" w:hAnsi="Arial" w:cs="Arial"/>
          <w:sz w:val="22"/>
          <w:szCs w:val="22"/>
          <w:lang w:eastAsia="en-GB"/>
        </w:rPr>
      </w:pPr>
      <w:r w:rsidRPr="008436C4">
        <w:rPr>
          <w:rFonts w:ascii="Arial" w:hAnsi="Arial" w:cs="Arial"/>
          <w:sz w:val="22"/>
          <w:szCs w:val="22"/>
          <w:lang w:eastAsia="en-GB"/>
        </w:rPr>
        <w:t xml:space="preserve">Len's case illustrates that governance of healthcare is not just about structure; it is also about the interactions among the system's parts that enable safe outcomes (Adam, Hsu and de Savigny, 2023). The NHS </w:t>
      </w:r>
      <w:proofErr w:type="gramStart"/>
      <w:r w:rsidRPr="008436C4">
        <w:rPr>
          <w:rFonts w:ascii="Arial" w:hAnsi="Arial" w:cs="Arial"/>
          <w:sz w:val="22"/>
          <w:szCs w:val="22"/>
          <w:lang w:eastAsia="en-GB"/>
        </w:rPr>
        <w:t>are</w:t>
      </w:r>
      <w:proofErr w:type="gramEnd"/>
      <w:r w:rsidRPr="008436C4">
        <w:rPr>
          <w:rFonts w:ascii="Arial" w:hAnsi="Arial" w:cs="Arial"/>
          <w:sz w:val="22"/>
          <w:szCs w:val="22"/>
          <w:lang w:eastAsia="en-GB"/>
        </w:rPr>
        <w:t xml:space="preserve"> a mix of national standards and local delivery (Camillo, 2018), resulting in a hybrid governance structure (NHS England, 2019). Despite safety systems in place, there was fragmented care between primary care, hospitals and pharmacies, resulting in accountability gaps (Dunleavy, 2021). Thus, coordination, communication, and shared responsibility between </w:t>
      </w:r>
      <w:proofErr w:type="spellStart"/>
      <w:r w:rsidRPr="008436C4">
        <w:rPr>
          <w:rFonts w:ascii="Arial" w:hAnsi="Arial" w:cs="Arial"/>
          <w:sz w:val="22"/>
          <w:szCs w:val="22"/>
          <w:lang w:eastAsia="en-GB"/>
        </w:rPr>
        <w:t>organisations</w:t>
      </w:r>
      <w:proofErr w:type="spellEnd"/>
      <w:r w:rsidRPr="008436C4">
        <w:rPr>
          <w:rFonts w:ascii="Arial" w:hAnsi="Arial" w:cs="Arial"/>
          <w:sz w:val="22"/>
          <w:szCs w:val="22"/>
          <w:lang w:eastAsia="en-GB"/>
        </w:rPr>
        <w:t xml:space="preserve"> need to be improved.</w:t>
      </w:r>
    </w:p>
    <w:p w14:paraId="57656154" w14:textId="77777777" w:rsidR="008809EB" w:rsidRPr="008436C4" w:rsidRDefault="008809EB" w:rsidP="008809EB">
      <w:pPr>
        <w:pStyle w:val="Heading3"/>
        <w:spacing w:before="120" w:after="120" w:line="480" w:lineRule="auto"/>
        <w:jc w:val="both"/>
        <w:rPr>
          <w:rFonts w:ascii="Arial" w:eastAsia="Times New Roman" w:hAnsi="Arial" w:cs="Arial" w:hint="default"/>
          <w:sz w:val="22"/>
          <w:szCs w:val="22"/>
          <w:lang w:eastAsia="en-GB"/>
        </w:rPr>
      </w:pPr>
      <w:bookmarkStart w:id="7" w:name="_Toc235191226"/>
      <w:r w:rsidRPr="008436C4">
        <w:rPr>
          <w:rFonts w:ascii="Arial" w:eastAsia="Times New Roman" w:hAnsi="Arial" w:cs="Arial" w:hint="default"/>
          <w:sz w:val="22"/>
          <w:szCs w:val="22"/>
          <w:lang w:eastAsia="en-GB"/>
        </w:rPr>
        <w:t>Problem 1: Failure of Medication Communication</w:t>
      </w:r>
      <w:bookmarkEnd w:id="7"/>
    </w:p>
    <w:p w14:paraId="57656155" w14:textId="77777777" w:rsidR="008809EB" w:rsidRPr="008436C4" w:rsidRDefault="008809EB" w:rsidP="008809EB">
      <w:pPr>
        <w:spacing w:line="480" w:lineRule="auto"/>
        <w:jc w:val="both"/>
        <w:rPr>
          <w:rFonts w:ascii="Arial" w:hAnsi="Arial" w:cs="Arial"/>
          <w:sz w:val="22"/>
          <w:szCs w:val="22"/>
        </w:rPr>
      </w:pPr>
      <w:r w:rsidRPr="008436C4">
        <w:rPr>
          <w:rFonts w:ascii="Arial" w:hAnsi="Arial" w:cs="Arial"/>
          <w:sz w:val="22"/>
          <w:szCs w:val="22"/>
        </w:rPr>
        <w:t xml:space="preserve">In Len's case, the main mode of communication failure highlights the role of interpretation of the information by patients and carers, as well as accurate prescribing, to ensure that medication is safe. During the investigation, the HSSIB discovered that Len and his wife took the label meaning “how much”, when it </w:t>
      </w:r>
      <w:proofErr w:type="gramStart"/>
      <w:r w:rsidRPr="008436C4">
        <w:rPr>
          <w:rFonts w:ascii="Arial" w:hAnsi="Arial" w:cs="Arial"/>
          <w:sz w:val="22"/>
          <w:szCs w:val="22"/>
        </w:rPr>
        <w:t>actually meant</w:t>
      </w:r>
      <w:proofErr w:type="gramEnd"/>
      <w:r w:rsidRPr="008436C4">
        <w:rPr>
          <w:rFonts w:ascii="Arial" w:hAnsi="Arial" w:cs="Arial"/>
          <w:sz w:val="22"/>
          <w:szCs w:val="22"/>
        </w:rPr>
        <w:t xml:space="preserve"> “how many” mg in 5 mL ". The correct prescribing directions were given on the label, but were not </w:t>
      </w:r>
      <w:proofErr w:type="spellStart"/>
      <w:r w:rsidRPr="008436C4">
        <w:rPr>
          <w:rFonts w:ascii="Arial" w:hAnsi="Arial" w:cs="Arial"/>
          <w:sz w:val="22"/>
          <w:szCs w:val="22"/>
        </w:rPr>
        <w:t>recognised</w:t>
      </w:r>
      <w:proofErr w:type="spellEnd"/>
      <w:r w:rsidRPr="008436C4">
        <w:rPr>
          <w:rFonts w:ascii="Arial" w:hAnsi="Arial" w:cs="Arial"/>
          <w:sz w:val="22"/>
          <w:szCs w:val="22"/>
        </w:rPr>
        <w:t xml:space="preserve">, and Len ended up taking doses of 5ml when the prescribed dose was 1.25–2.5ml. This exemplifies a limitation in the human factors sphere of healthcare systems' assumption that patients can read technical information regarding medication properly (Scanlon and Karsh, 2010). These errors are especially relevant for older adults because of multimorbidity and their decreased capacity to process new information, and the complexity of their treatment (Cho et al., 2025). Therefore, a high-risk medication communication pathway should be used, including pharmacist-led counselling, teach-back assessment, family involvement and follow-up within 24–48 hours (O’Mahony et al., 2023). This will move medicines safety from </w:t>
      </w:r>
      <w:proofErr w:type="gramStart"/>
      <w:r w:rsidRPr="008436C4">
        <w:rPr>
          <w:rFonts w:ascii="Arial" w:hAnsi="Arial" w:cs="Arial"/>
          <w:sz w:val="22"/>
          <w:szCs w:val="22"/>
        </w:rPr>
        <w:t>a passive</w:t>
      </w:r>
      <w:proofErr w:type="gramEnd"/>
      <w:r w:rsidRPr="008436C4">
        <w:rPr>
          <w:rFonts w:ascii="Arial" w:hAnsi="Arial" w:cs="Arial"/>
          <w:sz w:val="22"/>
          <w:szCs w:val="22"/>
        </w:rPr>
        <w:t xml:space="preserve"> </w:t>
      </w:r>
      <w:r w:rsidRPr="008436C4">
        <w:rPr>
          <w:rFonts w:ascii="Arial" w:hAnsi="Arial" w:cs="Arial"/>
          <w:sz w:val="22"/>
          <w:szCs w:val="22"/>
        </w:rPr>
        <w:lastRenderedPageBreak/>
        <w:t xml:space="preserve">message-giving to an active confirmation of understanding and will </w:t>
      </w:r>
      <w:proofErr w:type="spellStart"/>
      <w:r w:rsidRPr="008436C4">
        <w:rPr>
          <w:rFonts w:ascii="Arial" w:hAnsi="Arial" w:cs="Arial"/>
          <w:sz w:val="22"/>
          <w:szCs w:val="22"/>
        </w:rPr>
        <w:t>minimise</w:t>
      </w:r>
      <w:proofErr w:type="spellEnd"/>
      <w:r w:rsidRPr="008436C4">
        <w:rPr>
          <w:rFonts w:ascii="Arial" w:hAnsi="Arial" w:cs="Arial"/>
          <w:sz w:val="22"/>
          <w:szCs w:val="22"/>
        </w:rPr>
        <w:t xml:space="preserve"> preventable harm and improve patient-</w:t>
      </w:r>
      <w:proofErr w:type="spellStart"/>
      <w:r w:rsidRPr="008436C4">
        <w:rPr>
          <w:rFonts w:ascii="Arial" w:hAnsi="Arial" w:cs="Arial"/>
          <w:sz w:val="22"/>
          <w:szCs w:val="22"/>
        </w:rPr>
        <w:t>centred</w:t>
      </w:r>
      <w:proofErr w:type="spellEnd"/>
      <w:r w:rsidRPr="008436C4">
        <w:rPr>
          <w:rFonts w:ascii="Arial" w:hAnsi="Arial" w:cs="Arial"/>
          <w:sz w:val="22"/>
          <w:szCs w:val="22"/>
        </w:rPr>
        <w:t xml:space="preserve"> care.</w:t>
      </w:r>
      <w:r w:rsidRPr="008436C4">
        <w:rPr>
          <w:rFonts w:ascii="Arial" w:eastAsia="Times New Roman" w:hAnsi="Arial" w:cs="Arial"/>
          <w:sz w:val="22"/>
          <w:szCs w:val="22"/>
          <w:lang w:eastAsia="en-GB"/>
        </w:rPr>
        <w:t xml:space="preserve"> </w:t>
      </w:r>
    </w:p>
    <w:p w14:paraId="57656156" w14:textId="77777777" w:rsidR="008809EB" w:rsidRPr="008436C4" w:rsidRDefault="008809EB" w:rsidP="008809EB">
      <w:pPr>
        <w:pStyle w:val="Heading3"/>
        <w:spacing w:before="120" w:after="120" w:line="480" w:lineRule="auto"/>
        <w:jc w:val="both"/>
        <w:rPr>
          <w:rFonts w:ascii="Arial" w:eastAsia="Times New Roman" w:hAnsi="Arial" w:cs="Arial" w:hint="default"/>
          <w:sz w:val="22"/>
          <w:szCs w:val="22"/>
          <w:lang w:eastAsia="en-GB"/>
        </w:rPr>
      </w:pPr>
      <w:bookmarkStart w:id="8" w:name="_Toc235191227"/>
      <w:r w:rsidRPr="008436C4">
        <w:rPr>
          <w:rFonts w:ascii="Arial" w:eastAsia="Times New Roman" w:hAnsi="Arial" w:cs="Arial" w:hint="default"/>
          <w:sz w:val="22"/>
          <w:szCs w:val="22"/>
          <w:lang w:eastAsia="en-GB"/>
        </w:rPr>
        <w:t>Problem 2: Fragmented Healthcare Communication</w:t>
      </w:r>
      <w:bookmarkEnd w:id="8"/>
    </w:p>
    <w:p w14:paraId="57656157" w14:textId="77777777" w:rsidR="008809EB" w:rsidRPr="008436C4" w:rsidRDefault="008809EB" w:rsidP="008809EB">
      <w:pPr>
        <w:spacing w:line="480" w:lineRule="auto"/>
        <w:jc w:val="both"/>
        <w:rPr>
          <w:rFonts w:ascii="Arial" w:hAnsi="Arial" w:cs="Arial"/>
          <w:sz w:val="22"/>
          <w:szCs w:val="22"/>
          <w:lang w:eastAsia="en-GB"/>
        </w:rPr>
      </w:pPr>
      <w:r w:rsidRPr="008436C4">
        <w:rPr>
          <w:rFonts w:ascii="Arial" w:hAnsi="Arial" w:cs="Arial"/>
          <w:sz w:val="22"/>
          <w:szCs w:val="22"/>
          <w:lang w:eastAsia="en-GB"/>
        </w:rPr>
        <w:t xml:space="preserve">Len's care pathway had significant governance gaps, as there was no clear sharing of responsibility for understanding medicines, despite the fragmentation of communication between healthcare </w:t>
      </w:r>
      <w:proofErr w:type="spellStart"/>
      <w:r w:rsidRPr="008436C4">
        <w:rPr>
          <w:rFonts w:ascii="Arial" w:hAnsi="Arial" w:cs="Arial"/>
          <w:sz w:val="22"/>
          <w:szCs w:val="22"/>
          <w:lang w:eastAsia="en-GB"/>
        </w:rPr>
        <w:t>organisations</w:t>
      </w:r>
      <w:proofErr w:type="spellEnd"/>
      <w:r w:rsidRPr="008436C4">
        <w:rPr>
          <w:rFonts w:ascii="Arial" w:hAnsi="Arial" w:cs="Arial"/>
          <w:sz w:val="22"/>
          <w:szCs w:val="22"/>
          <w:lang w:eastAsia="en-GB"/>
        </w:rPr>
        <w:t>. It was found that Len received care from primary care, hospital and community pharmacy, but no service identified that he and his wife understood what was needed for him to take his morphine. HSSIB (2022) investigation findings noted that risks to patients' safety tend to occur at the transitions between care services, which are known as interfaces, rather than in individual care tasks. This is consistent with broader data indicating that information silos create greater risks during transitions of care and especially for older adults with complex medication needs (Wagenaar et al., 2024). Implementing systems that allow the GP, the pharmacy and the hospital where the patient goes for care to share the patient's medication history can increase access to risk factors and facilitate proactive decision-making for their safety (Goundrey-Smith, 2018). However, distributed leadership and accountability are important for the effectiveness of digital systems (</w:t>
      </w:r>
      <w:proofErr w:type="spellStart"/>
      <w:r w:rsidRPr="008436C4">
        <w:rPr>
          <w:rFonts w:ascii="Arial" w:hAnsi="Arial" w:cs="Arial"/>
          <w:sz w:val="22"/>
          <w:szCs w:val="22"/>
          <w:lang w:eastAsia="en-GB"/>
        </w:rPr>
        <w:t>Hariyani</w:t>
      </w:r>
      <w:proofErr w:type="spellEnd"/>
      <w:r w:rsidRPr="008436C4">
        <w:rPr>
          <w:rFonts w:ascii="Arial" w:hAnsi="Arial" w:cs="Arial"/>
          <w:sz w:val="22"/>
          <w:szCs w:val="22"/>
          <w:lang w:eastAsia="en-GB"/>
        </w:rPr>
        <w:t xml:space="preserve">, </w:t>
      </w:r>
      <w:proofErr w:type="spellStart"/>
      <w:r w:rsidRPr="008436C4">
        <w:rPr>
          <w:rFonts w:ascii="Arial" w:hAnsi="Arial" w:cs="Arial"/>
          <w:sz w:val="22"/>
          <w:szCs w:val="22"/>
          <w:lang w:eastAsia="en-GB"/>
        </w:rPr>
        <w:t>Hariyani</w:t>
      </w:r>
      <w:proofErr w:type="spellEnd"/>
      <w:r w:rsidRPr="008436C4">
        <w:rPr>
          <w:rFonts w:ascii="Arial" w:hAnsi="Arial" w:cs="Arial"/>
          <w:sz w:val="22"/>
          <w:szCs w:val="22"/>
          <w:lang w:eastAsia="en-GB"/>
        </w:rPr>
        <w:t xml:space="preserve"> and Mishra, 2025). Opioid alerts can be used to review and follow up on high-risk patients (Ashworth et al., 2025).</w:t>
      </w:r>
    </w:p>
    <w:p w14:paraId="57656158" w14:textId="77777777" w:rsidR="008809EB" w:rsidRPr="008436C4" w:rsidRDefault="008809EB" w:rsidP="008809EB">
      <w:pPr>
        <w:pStyle w:val="Heading3"/>
        <w:spacing w:before="120" w:after="120" w:line="480" w:lineRule="auto"/>
        <w:jc w:val="both"/>
        <w:rPr>
          <w:rFonts w:ascii="Arial" w:eastAsia="Times New Roman" w:hAnsi="Arial" w:cs="Arial" w:hint="default"/>
          <w:sz w:val="22"/>
          <w:szCs w:val="22"/>
          <w:lang w:eastAsia="en-GB"/>
        </w:rPr>
      </w:pPr>
      <w:bookmarkStart w:id="9" w:name="_Toc235191228"/>
      <w:r w:rsidRPr="008436C4">
        <w:rPr>
          <w:rFonts w:ascii="Arial" w:eastAsia="Times New Roman" w:hAnsi="Arial" w:cs="Arial" w:hint="default"/>
          <w:sz w:val="22"/>
          <w:szCs w:val="22"/>
          <w:lang w:eastAsia="en-GB"/>
        </w:rPr>
        <w:t>Problem 3: Insufficient Human-Factor Design</w:t>
      </w:r>
      <w:bookmarkEnd w:id="9"/>
    </w:p>
    <w:p w14:paraId="57656159" w14:textId="77777777" w:rsidR="008809EB" w:rsidRPr="008436C4" w:rsidRDefault="008809EB" w:rsidP="008809EB">
      <w:pPr>
        <w:spacing w:line="480" w:lineRule="auto"/>
        <w:jc w:val="both"/>
        <w:rPr>
          <w:rFonts w:ascii="Arial" w:hAnsi="Arial" w:cs="Arial"/>
          <w:sz w:val="22"/>
          <w:szCs w:val="22"/>
        </w:rPr>
      </w:pPr>
      <w:r w:rsidRPr="008436C4">
        <w:rPr>
          <w:rFonts w:ascii="Arial" w:hAnsi="Arial" w:cs="Arial"/>
          <w:sz w:val="22"/>
          <w:szCs w:val="22"/>
        </w:rPr>
        <w:t xml:space="preserve">Humans need to interact with information systems prior to the use of medicines, which makes human-factor design central to medication safety (Awad et al., 2023). In Len's case, one of the prescriptions was technically correct, but the package and instructions were difficult to follow, causing harm. The investigation by the HSSIB disclosed that the bottle had written on it the strength of the medication, and the patient's bottle did </w:t>
      </w:r>
      <w:r w:rsidRPr="008436C4">
        <w:rPr>
          <w:rFonts w:ascii="Arial" w:hAnsi="Arial" w:cs="Arial"/>
          <w:sz w:val="22"/>
          <w:szCs w:val="22"/>
        </w:rPr>
        <w:lastRenderedPageBreak/>
        <w:t xml:space="preserve">not contain the dose information, which could confuse Len and his wife. This is an example of how human factors engineering principles are important in the design of healthcare, without assuming patients would understand the medical information (World Health </w:t>
      </w:r>
      <w:proofErr w:type="spellStart"/>
      <w:r w:rsidRPr="008436C4">
        <w:rPr>
          <w:rFonts w:ascii="Arial" w:hAnsi="Arial" w:cs="Arial"/>
          <w:sz w:val="22"/>
          <w:szCs w:val="22"/>
        </w:rPr>
        <w:t>Organisation</w:t>
      </w:r>
      <w:proofErr w:type="spellEnd"/>
      <w:r w:rsidRPr="008436C4">
        <w:rPr>
          <w:rFonts w:ascii="Arial" w:hAnsi="Arial" w:cs="Arial"/>
          <w:sz w:val="22"/>
          <w:szCs w:val="22"/>
        </w:rPr>
        <w:t>, 2012). Enhancements may involve more distinct differentiation between medicine strength and prescribed dose, better label legibility and guidance to older adults with complex conditions (</w:t>
      </w:r>
      <w:proofErr w:type="spellStart"/>
      <w:r w:rsidRPr="008436C4">
        <w:rPr>
          <w:rFonts w:ascii="Arial" w:hAnsi="Arial" w:cs="Arial"/>
          <w:sz w:val="22"/>
          <w:szCs w:val="22"/>
        </w:rPr>
        <w:t>Leat</w:t>
      </w:r>
      <w:proofErr w:type="spellEnd"/>
      <w:r w:rsidRPr="008436C4">
        <w:rPr>
          <w:rFonts w:ascii="Arial" w:hAnsi="Arial" w:cs="Arial"/>
          <w:sz w:val="22"/>
          <w:szCs w:val="22"/>
        </w:rPr>
        <w:t xml:space="preserve"> et al., 2016). However</w:t>
      </w:r>
      <w:proofErr w:type="gramStart"/>
      <w:r w:rsidRPr="008436C4">
        <w:rPr>
          <w:rFonts w:ascii="Arial" w:hAnsi="Arial" w:cs="Arial"/>
          <w:sz w:val="22"/>
          <w:szCs w:val="22"/>
        </w:rPr>
        <w:t>, merely</w:t>
      </w:r>
      <w:proofErr w:type="gramEnd"/>
      <w:r w:rsidRPr="008436C4">
        <w:rPr>
          <w:rFonts w:ascii="Arial" w:hAnsi="Arial" w:cs="Arial"/>
          <w:sz w:val="22"/>
          <w:szCs w:val="22"/>
        </w:rPr>
        <w:t xml:space="preserve"> redesigning packages is not enough without proper counselling and patient-</w:t>
      </w:r>
      <w:proofErr w:type="spellStart"/>
      <w:r w:rsidRPr="008436C4">
        <w:rPr>
          <w:rFonts w:ascii="Arial" w:hAnsi="Arial" w:cs="Arial"/>
          <w:sz w:val="22"/>
          <w:szCs w:val="22"/>
        </w:rPr>
        <w:t>centred</w:t>
      </w:r>
      <w:proofErr w:type="spellEnd"/>
      <w:r w:rsidRPr="008436C4">
        <w:rPr>
          <w:rFonts w:ascii="Arial" w:hAnsi="Arial" w:cs="Arial"/>
          <w:sz w:val="22"/>
          <w:szCs w:val="22"/>
        </w:rPr>
        <w:t xml:space="preserve"> communication that can help </w:t>
      </w:r>
      <w:proofErr w:type="spellStart"/>
      <w:r w:rsidRPr="008436C4">
        <w:rPr>
          <w:rFonts w:ascii="Arial" w:hAnsi="Arial" w:cs="Arial"/>
          <w:sz w:val="22"/>
          <w:szCs w:val="22"/>
        </w:rPr>
        <w:t>minimise</w:t>
      </w:r>
      <w:proofErr w:type="spellEnd"/>
      <w:r w:rsidRPr="008436C4">
        <w:rPr>
          <w:rFonts w:ascii="Arial" w:hAnsi="Arial" w:cs="Arial"/>
          <w:sz w:val="22"/>
          <w:szCs w:val="22"/>
        </w:rPr>
        <w:t xml:space="preserve"> harm.</w:t>
      </w:r>
    </w:p>
    <w:p w14:paraId="5765615A" w14:textId="77777777" w:rsidR="008809EB" w:rsidRPr="008436C4" w:rsidRDefault="008809EB" w:rsidP="008809EB">
      <w:pPr>
        <w:pStyle w:val="Heading3"/>
        <w:spacing w:before="120" w:after="120" w:line="480" w:lineRule="auto"/>
        <w:jc w:val="both"/>
        <w:rPr>
          <w:rFonts w:ascii="Arial" w:eastAsia="Times New Roman" w:hAnsi="Arial" w:cs="Arial" w:hint="default"/>
          <w:sz w:val="22"/>
          <w:szCs w:val="22"/>
          <w:lang w:eastAsia="en-GB"/>
        </w:rPr>
      </w:pPr>
      <w:bookmarkStart w:id="10" w:name="_Toc235191229"/>
      <w:r w:rsidRPr="008436C4">
        <w:rPr>
          <w:rFonts w:ascii="Arial" w:eastAsia="Times New Roman" w:hAnsi="Arial" w:cs="Arial" w:hint="default"/>
          <w:sz w:val="22"/>
          <w:szCs w:val="22"/>
          <w:lang w:eastAsia="en-GB"/>
        </w:rPr>
        <w:t>Problem 4: Limited Learning Systems</w:t>
      </w:r>
      <w:bookmarkEnd w:id="10"/>
    </w:p>
    <w:p w14:paraId="5765615B" w14:textId="77777777" w:rsidR="008809EB" w:rsidRPr="008436C4" w:rsidRDefault="008809EB" w:rsidP="008809EB">
      <w:pPr>
        <w:spacing w:line="480" w:lineRule="auto"/>
        <w:jc w:val="both"/>
        <w:rPr>
          <w:rFonts w:ascii="Arial" w:hAnsi="Arial" w:cs="Arial"/>
          <w:sz w:val="22"/>
          <w:szCs w:val="22"/>
          <w:lang w:eastAsia="en-GB"/>
        </w:rPr>
      </w:pPr>
      <w:r w:rsidRPr="008436C4">
        <w:rPr>
          <w:rFonts w:ascii="Arial" w:hAnsi="Arial" w:cs="Arial"/>
          <w:sz w:val="22"/>
          <w:szCs w:val="22"/>
          <w:lang w:eastAsia="en-GB"/>
        </w:rPr>
        <w:t xml:space="preserve">The ability to learn from medication incidents is a critical component in creating a proactive safety environment within a healthcare </w:t>
      </w:r>
      <w:proofErr w:type="spellStart"/>
      <w:r w:rsidRPr="008436C4">
        <w:rPr>
          <w:rFonts w:ascii="Arial" w:hAnsi="Arial" w:cs="Arial"/>
          <w:sz w:val="22"/>
          <w:szCs w:val="22"/>
          <w:lang w:eastAsia="en-GB"/>
        </w:rPr>
        <w:t>organisation</w:t>
      </w:r>
      <w:proofErr w:type="spellEnd"/>
      <w:r w:rsidRPr="008436C4">
        <w:rPr>
          <w:rFonts w:ascii="Arial" w:hAnsi="Arial" w:cs="Arial"/>
          <w:sz w:val="22"/>
          <w:szCs w:val="22"/>
          <w:lang w:eastAsia="en-GB"/>
        </w:rPr>
        <w:t xml:space="preserve"> as opposed to a system that is reactive and problem-solving (Fyhr, Ternov and Ek, 2015). The Lens’ case shows that detecting errors after damage is done is not adequate because </w:t>
      </w:r>
      <w:proofErr w:type="spellStart"/>
      <w:r w:rsidRPr="008436C4">
        <w:rPr>
          <w:rFonts w:ascii="Arial" w:hAnsi="Arial" w:cs="Arial"/>
          <w:sz w:val="22"/>
          <w:szCs w:val="22"/>
          <w:lang w:eastAsia="en-GB"/>
        </w:rPr>
        <w:t>organisations</w:t>
      </w:r>
      <w:proofErr w:type="spellEnd"/>
      <w:r w:rsidRPr="008436C4">
        <w:rPr>
          <w:rFonts w:ascii="Arial" w:hAnsi="Arial" w:cs="Arial"/>
          <w:sz w:val="22"/>
          <w:szCs w:val="22"/>
          <w:lang w:eastAsia="en-GB"/>
        </w:rPr>
        <w:t xml:space="preserve"> need to </w:t>
      </w:r>
      <w:proofErr w:type="spellStart"/>
      <w:r w:rsidRPr="008436C4">
        <w:rPr>
          <w:rFonts w:ascii="Arial" w:hAnsi="Arial" w:cs="Arial"/>
          <w:sz w:val="22"/>
          <w:szCs w:val="22"/>
          <w:lang w:eastAsia="en-GB"/>
        </w:rPr>
        <w:t>analyse</w:t>
      </w:r>
      <w:proofErr w:type="spellEnd"/>
      <w:r w:rsidRPr="008436C4">
        <w:rPr>
          <w:rFonts w:ascii="Arial" w:hAnsi="Arial" w:cs="Arial"/>
          <w:sz w:val="22"/>
          <w:szCs w:val="22"/>
          <w:lang w:eastAsia="en-GB"/>
        </w:rPr>
        <w:t xml:space="preserve"> patterns and redesign the process. Indicators such as medication error rates, adverse drug event rates, hospital admissions due to medicines, incident reporting trends and patient understanding scores are key indicators of effective learning systems (Tariq et al., 2024). Such measures allow the leaders to uncover communication and system faults. However, collecting data is not sufficient to help make places safer; leaders must foster a culture where staff feel at ease coming forward with suggestions or concerns. Thus, a blend of incident analysis and clear governance and continuous improvement procedures is required to ensure incidents do not recur.</w:t>
      </w:r>
    </w:p>
    <w:p w14:paraId="5765615C" w14:textId="77777777" w:rsidR="008809EB" w:rsidRPr="008436C4" w:rsidRDefault="008809EB" w:rsidP="008809EB">
      <w:pPr>
        <w:pStyle w:val="Heading2"/>
        <w:spacing w:line="480" w:lineRule="auto"/>
        <w:rPr>
          <w:rFonts w:ascii="Arial" w:eastAsia="Times New Roman" w:hAnsi="Arial" w:cs="Arial"/>
          <w:sz w:val="22"/>
          <w:szCs w:val="22"/>
          <w:lang w:eastAsia="en-GB"/>
        </w:rPr>
      </w:pPr>
      <w:bookmarkStart w:id="11" w:name="_Toc235191230"/>
      <w:r w:rsidRPr="008436C4">
        <w:rPr>
          <w:rFonts w:ascii="Arial" w:eastAsia="Times New Roman" w:hAnsi="Arial" w:cs="Arial"/>
          <w:sz w:val="22"/>
          <w:szCs w:val="22"/>
          <w:lang w:eastAsia="en-GB"/>
        </w:rPr>
        <w:t>Lessons Learned</w:t>
      </w:r>
      <w:bookmarkEnd w:id="11"/>
    </w:p>
    <w:p w14:paraId="5765615D" w14:textId="77777777" w:rsidR="008809EB" w:rsidRPr="008436C4" w:rsidRDefault="008809EB" w:rsidP="008809EB">
      <w:pPr>
        <w:spacing w:line="480" w:lineRule="auto"/>
        <w:jc w:val="both"/>
        <w:rPr>
          <w:rFonts w:ascii="Arial" w:hAnsi="Arial" w:cs="Arial"/>
          <w:b/>
          <w:bCs/>
          <w:sz w:val="22"/>
          <w:szCs w:val="22"/>
        </w:rPr>
      </w:pPr>
      <w:r w:rsidRPr="008436C4">
        <w:rPr>
          <w:rFonts w:ascii="Arial" w:hAnsi="Arial" w:cs="Arial"/>
          <w:sz w:val="22"/>
          <w:szCs w:val="22"/>
        </w:rPr>
        <w:t xml:space="preserve">Len's case illustrates that governance structures, leadership styles and effective feedback systems are key elements for ensuring the safety of medicines rather than </w:t>
      </w:r>
      <w:r w:rsidRPr="008436C4">
        <w:rPr>
          <w:rFonts w:ascii="Arial" w:hAnsi="Arial" w:cs="Arial"/>
          <w:sz w:val="22"/>
          <w:szCs w:val="22"/>
        </w:rPr>
        <w:lastRenderedPageBreak/>
        <w:t xml:space="preserve">individual performance. The NHS has established a </w:t>
      </w:r>
      <w:proofErr w:type="spellStart"/>
      <w:r w:rsidRPr="008436C4">
        <w:rPr>
          <w:rFonts w:ascii="Arial" w:hAnsi="Arial" w:cs="Arial"/>
          <w:sz w:val="22"/>
          <w:szCs w:val="22"/>
        </w:rPr>
        <w:t>centralised</w:t>
      </w:r>
      <w:proofErr w:type="spellEnd"/>
      <w:r w:rsidRPr="008436C4">
        <w:rPr>
          <w:rFonts w:ascii="Arial" w:hAnsi="Arial" w:cs="Arial"/>
          <w:sz w:val="22"/>
          <w:szCs w:val="22"/>
        </w:rPr>
        <w:t xml:space="preserve"> framework for safety standards, but the </w:t>
      </w:r>
      <w:proofErr w:type="spellStart"/>
      <w:r w:rsidRPr="008436C4">
        <w:rPr>
          <w:rFonts w:ascii="Arial" w:hAnsi="Arial" w:cs="Arial"/>
          <w:sz w:val="22"/>
          <w:szCs w:val="22"/>
        </w:rPr>
        <w:t>decentralised</w:t>
      </w:r>
      <w:proofErr w:type="spellEnd"/>
      <w:r w:rsidRPr="008436C4">
        <w:rPr>
          <w:rFonts w:ascii="Arial" w:hAnsi="Arial" w:cs="Arial"/>
          <w:sz w:val="22"/>
          <w:szCs w:val="22"/>
        </w:rPr>
        <w:t xml:space="preserve"> means of delivering services led to a lack of accountability and communication between primary care, hospital services and community pharmacy (NHS England, 2019). The case illustrates that transactional leadership is needed to ensure adherence to clinical procedures, whereas transformational and distributed leadership are needed to support and foster learning, collaboration and shared responsibility. Other health care delivery systems can learn that safety systems should engage patients, families and frontline personnel to identify risks. Medication errors, adverse drug events, and patient understanding and incident reporting trends should be monitored and used to support continuous improvement. This kind of information allows </w:t>
      </w:r>
      <w:proofErr w:type="spellStart"/>
      <w:r w:rsidRPr="008436C4">
        <w:rPr>
          <w:rFonts w:ascii="Arial" w:hAnsi="Arial" w:cs="Arial"/>
          <w:sz w:val="22"/>
          <w:szCs w:val="22"/>
        </w:rPr>
        <w:t>organisations</w:t>
      </w:r>
      <w:proofErr w:type="spellEnd"/>
      <w:r w:rsidRPr="008436C4">
        <w:rPr>
          <w:rFonts w:ascii="Arial" w:hAnsi="Arial" w:cs="Arial"/>
          <w:sz w:val="22"/>
          <w:szCs w:val="22"/>
        </w:rPr>
        <w:t xml:space="preserve"> to assess </w:t>
      </w:r>
      <w:proofErr w:type="gramStart"/>
      <w:r w:rsidRPr="008436C4">
        <w:rPr>
          <w:rFonts w:ascii="Arial" w:hAnsi="Arial" w:cs="Arial"/>
          <w:sz w:val="22"/>
          <w:szCs w:val="22"/>
        </w:rPr>
        <w:t>interventions, but</w:t>
      </w:r>
      <w:proofErr w:type="gramEnd"/>
      <w:r w:rsidRPr="008436C4">
        <w:rPr>
          <w:rFonts w:ascii="Arial" w:hAnsi="Arial" w:cs="Arial"/>
          <w:sz w:val="22"/>
          <w:szCs w:val="22"/>
        </w:rPr>
        <w:t xml:space="preserve"> also makes them more accountable and helps avoid similar failures.</w:t>
      </w:r>
    </w:p>
    <w:p w14:paraId="5765615E" w14:textId="77777777" w:rsidR="008809EB" w:rsidRPr="008436C4" w:rsidRDefault="008809EB" w:rsidP="008809EB">
      <w:pPr>
        <w:pStyle w:val="Heading1"/>
        <w:spacing w:line="480" w:lineRule="auto"/>
        <w:rPr>
          <w:rFonts w:ascii="Arial" w:hAnsi="Arial" w:cs="Arial"/>
          <w:sz w:val="22"/>
          <w:szCs w:val="22"/>
        </w:rPr>
      </w:pPr>
      <w:bookmarkStart w:id="12" w:name="_Toc235191231"/>
      <w:r w:rsidRPr="008436C4">
        <w:rPr>
          <w:rFonts w:ascii="Arial" w:hAnsi="Arial" w:cs="Arial"/>
          <w:sz w:val="22"/>
          <w:szCs w:val="22"/>
        </w:rPr>
        <w:t>Recommendation</w:t>
      </w:r>
      <w:bookmarkEnd w:id="12"/>
    </w:p>
    <w:p w14:paraId="5765615F" w14:textId="77777777" w:rsidR="008809EB" w:rsidRPr="008436C4" w:rsidRDefault="008809EB" w:rsidP="008809EB">
      <w:pPr>
        <w:spacing w:line="480" w:lineRule="auto"/>
        <w:jc w:val="both"/>
        <w:rPr>
          <w:rFonts w:ascii="Arial" w:hAnsi="Arial" w:cs="Arial"/>
          <w:sz w:val="22"/>
          <w:szCs w:val="22"/>
        </w:rPr>
      </w:pPr>
      <w:r w:rsidRPr="008436C4">
        <w:rPr>
          <w:rFonts w:ascii="Arial" w:hAnsi="Arial" w:cs="Arial"/>
          <w:sz w:val="22"/>
          <w:szCs w:val="22"/>
        </w:rPr>
        <w:t xml:space="preserve">NHS </w:t>
      </w:r>
      <w:proofErr w:type="spellStart"/>
      <w:r w:rsidRPr="008436C4">
        <w:rPr>
          <w:rFonts w:ascii="Arial" w:hAnsi="Arial" w:cs="Arial"/>
          <w:sz w:val="22"/>
          <w:szCs w:val="22"/>
        </w:rPr>
        <w:t>organisations</w:t>
      </w:r>
      <w:proofErr w:type="spellEnd"/>
      <w:r w:rsidRPr="008436C4">
        <w:rPr>
          <w:rFonts w:ascii="Arial" w:hAnsi="Arial" w:cs="Arial"/>
          <w:sz w:val="22"/>
          <w:szCs w:val="22"/>
        </w:rPr>
        <w:t xml:space="preserve"> need to adopt a system-wide improvement strategy following Len's case instead of individual error correction for improved medication safety. A combination of transformational and distributed leadership would be the best way to establish a proactive safety culture. Transformational leaders can foster psychological safety by allowing healthcare workers to discuss risks, gather insights from events, and devise alternative solutions to unsafe processes without fear of retribution (Ree and Wiig, 2020). However, that is not sufficient; distributed leadership is needed to make sure that there is shared responsibility between GPs, pharmacists, hospital clinicians and patients. This would ensure medication safety does not become a </w:t>
      </w:r>
      <w:proofErr w:type="spellStart"/>
      <w:r w:rsidRPr="008436C4">
        <w:rPr>
          <w:rFonts w:ascii="Arial" w:hAnsi="Arial" w:cs="Arial"/>
          <w:sz w:val="22"/>
          <w:szCs w:val="22"/>
        </w:rPr>
        <w:t>speciality</w:t>
      </w:r>
      <w:proofErr w:type="spellEnd"/>
      <w:r w:rsidRPr="008436C4">
        <w:rPr>
          <w:rFonts w:ascii="Arial" w:hAnsi="Arial" w:cs="Arial"/>
          <w:sz w:val="22"/>
          <w:szCs w:val="22"/>
        </w:rPr>
        <w:t xml:space="preserve"> of one profession and increase responsibility between different professions (Carstensen, Kjeldsen and Nielsen, 2023).</w:t>
      </w:r>
    </w:p>
    <w:p w14:paraId="57656160" w14:textId="77777777" w:rsidR="008809EB" w:rsidRPr="008436C4" w:rsidRDefault="008809EB" w:rsidP="008809EB">
      <w:pPr>
        <w:spacing w:line="480" w:lineRule="auto"/>
        <w:jc w:val="both"/>
        <w:rPr>
          <w:rFonts w:ascii="Arial" w:hAnsi="Arial" w:cs="Arial"/>
          <w:sz w:val="22"/>
          <w:szCs w:val="22"/>
        </w:rPr>
      </w:pPr>
      <w:r w:rsidRPr="008436C4">
        <w:rPr>
          <w:rFonts w:ascii="Arial" w:hAnsi="Arial" w:cs="Arial"/>
          <w:sz w:val="22"/>
          <w:szCs w:val="22"/>
        </w:rPr>
        <w:t xml:space="preserve">Multi-agency governance, between NHS IPCS, hospitals, GP practices and community pharmacies, is a priority. The case study of Len showed that safety standards were in </w:t>
      </w:r>
      <w:r w:rsidRPr="008436C4">
        <w:rPr>
          <w:rFonts w:ascii="Arial" w:hAnsi="Arial" w:cs="Arial"/>
          <w:sz w:val="22"/>
          <w:szCs w:val="22"/>
        </w:rPr>
        <w:lastRenderedPageBreak/>
        <w:t xml:space="preserve">place, yet there was inadequate communication between services. </w:t>
      </w:r>
      <w:proofErr w:type="spellStart"/>
      <w:r w:rsidRPr="008436C4">
        <w:rPr>
          <w:rFonts w:ascii="Arial" w:hAnsi="Arial" w:cs="Arial"/>
          <w:sz w:val="22"/>
          <w:szCs w:val="22"/>
        </w:rPr>
        <w:t>Organisations</w:t>
      </w:r>
      <w:proofErr w:type="spellEnd"/>
      <w:r w:rsidRPr="008436C4">
        <w:rPr>
          <w:rFonts w:ascii="Arial" w:hAnsi="Arial" w:cs="Arial"/>
          <w:sz w:val="22"/>
          <w:szCs w:val="22"/>
        </w:rPr>
        <w:t xml:space="preserve"> therefore need to develop a common medication safety governance structure that outlines the roles and responsibilities within the prescription, dispensing, patient education and follow-up process. Good working relationships between general practice and community pharmacy have been demonstrated to help coordinate services and enhance medication safety, especially when roles are clearly defined (Owen-</w:t>
      </w:r>
      <w:proofErr w:type="spellStart"/>
      <w:r w:rsidRPr="008436C4">
        <w:rPr>
          <w:rFonts w:ascii="Arial" w:hAnsi="Arial" w:cs="Arial"/>
          <w:sz w:val="22"/>
          <w:szCs w:val="22"/>
        </w:rPr>
        <w:t>Boukra</w:t>
      </w:r>
      <w:proofErr w:type="spellEnd"/>
      <w:r w:rsidRPr="008436C4">
        <w:rPr>
          <w:rFonts w:ascii="Arial" w:hAnsi="Arial" w:cs="Arial"/>
          <w:sz w:val="22"/>
          <w:szCs w:val="22"/>
        </w:rPr>
        <w:t xml:space="preserve"> et al., 2024). In older adults who are taking opioid medicines, both prescribers and pharmacists need to check for understanding of the dose instructions beyond the written label (Horn et al., 2022). This is especially significant since the elderly who suffer from chronic pain and complex medical issues are at greater risk when taking opioids (Schwan, Sclafani and Tawfik, 2019). This is because integrated governance can help to avoid avoidable medication-related harm and lower hospital admissions that can be prevented (Lalani, </w:t>
      </w:r>
      <w:proofErr w:type="spellStart"/>
      <w:r w:rsidRPr="008436C4">
        <w:rPr>
          <w:rFonts w:ascii="Arial" w:hAnsi="Arial" w:cs="Arial"/>
          <w:sz w:val="22"/>
          <w:szCs w:val="22"/>
        </w:rPr>
        <w:t>Wytrykowski</w:t>
      </w:r>
      <w:proofErr w:type="spellEnd"/>
      <w:r w:rsidRPr="008436C4">
        <w:rPr>
          <w:rFonts w:ascii="Arial" w:hAnsi="Arial" w:cs="Arial"/>
          <w:sz w:val="22"/>
          <w:szCs w:val="22"/>
        </w:rPr>
        <w:t xml:space="preserve"> and Hogan, 2023).</w:t>
      </w:r>
    </w:p>
    <w:p w14:paraId="57656161" w14:textId="77777777" w:rsidR="008809EB" w:rsidRPr="008436C4" w:rsidRDefault="008809EB" w:rsidP="008809EB">
      <w:pPr>
        <w:spacing w:line="480" w:lineRule="auto"/>
        <w:jc w:val="both"/>
        <w:rPr>
          <w:rFonts w:ascii="Arial" w:hAnsi="Arial" w:cs="Arial"/>
          <w:sz w:val="22"/>
          <w:szCs w:val="22"/>
        </w:rPr>
      </w:pPr>
      <w:r w:rsidRPr="008436C4">
        <w:rPr>
          <w:rFonts w:ascii="Arial" w:hAnsi="Arial" w:cs="Arial"/>
          <w:sz w:val="22"/>
          <w:szCs w:val="22"/>
        </w:rPr>
        <w:t>Patient communication should be an integral part of high-risk medication pathways. Healthcare providers should employ teach-back techniques, which involve patients repeating the instructions on dosage before departing care, with those who are vulnerable, like Len. This would help to detect misunderstandings early and allow for patient-</w:t>
      </w:r>
      <w:proofErr w:type="spellStart"/>
      <w:r w:rsidRPr="008436C4">
        <w:rPr>
          <w:rFonts w:ascii="Arial" w:hAnsi="Arial" w:cs="Arial"/>
          <w:sz w:val="22"/>
          <w:szCs w:val="22"/>
        </w:rPr>
        <w:t>centred</w:t>
      </w:r>
      <w:proofErr w:type="spellEnd"/>
      <w:r w:rsidRPr="008436C4">
        <w:rPr>
          <w:rFonts w:ascii="Arial" w:hAnsi="Arial" w:cs="Arial"/>
          <w:sz w:val="22"/>
          <w:szCs w:val="22"/>
        </w:rPr>
        <w:t xml:space="preserve"> decision-making (O'Mahony et al., 2023). Where appropriate, family members also should be engaged, especially for older adults with complex conditions. But, to improve communication, a commitment is needed to train personnel and allocate time for consultation to make safety enhancements sustainable.</w:t>
      </w:r>
    </w:p>
    <w:p w14:paraId="57656162" w14:textId="77777777" w:rsidR="008809EB" w:rsidRPr="008436C4" w:rsidRDefault="008809EB" w:rsidP="008809EB">
      <w:pPr>
        <w:spacing w:line="480" w:lineRule="auto"/>
        <w:jc w:val="both"/>
        <w:rPr>
          <w:rFonts w:ascii="Arial" w:hAnsi="Arial" w:cs="Arial"/>
          <w:sz w:val="22"/>
          <w:szCs w:val="22"/>
        </w:rPr>
      </w:pPr>
      <w:r w:rsidRPr="008436C4">
        <w:rPr>
          <w:rFonts w:ascii="Arial" w:hAnsi="Arial" w:cs="Arial"/>
          <w:sz w:val="22"/>
          <w:szCs w:val="22"/>
        </w:rPr>
        <w:t xml:space="preserve">The primary focus for digital integration must be the creation of connected medication records between primary care, community pharmacies and hospitals. These systems can enable healthcare professionals to access the details of medication history, patient risk factors, and communication requirements, facilitating the identification of vulnerable patients early on and aiding in proactive safety measures (Abimanyu, </w:t>
      </w:r>
      <w:proofErr w:type="spellStart"/>
      <w:r w:rsidRPr="008436C4">
        <w:rPr>
          <w:rFonts w:ascii="Arial" w:hAnsi="Arial" w:cs="Arial"/>
          <w:sz w:val="22"/>
          <w:szCs w:val="22"/>
        </w:rPr>
        <w:t>Satibi</w:t>
      </w:r>
      <w:proofErr w:type="spellEnd"/>
      <w:r w:rsidRPr="008436C4">
        <w:rPr>
          <w:rFonts w:ascii="Arial" w:hAnsi="Arial" w:cs="Arial"/>
          <w:sz w:val="22"/>
          <w:szCs w:val="22"/>
        </w:rPr>
        <w:t xml:space="preserve"> and </w:t>
      </w:r>
      <w:proofErr w:type="spellStart"/>
      <w:r w:rsidRPr="008436C4">
        <w:rPr>
          <w:rFonts w:ascii="Arial" w:hAnsi="Arial" w:cs="Arial"/>
          <w:sz w:val="22"/>
          <w:szCs w:val="22"/>
        </w:rPr>
        <w:t>Endarti</w:t>
      </w:r>
      <w:proofErr w:type="spellEnd"/>
      <w:r w:rsidRPr="008436C4">
        <w:rPr>
          <w:rFonts w:ascii="Arial" w:hAnsi="Arial" w:cs="Arial"/>
          <w:sz w:val="22"/>
          <w:szCs w:val="22"/>
        </w:rPr>
        <w:t xml:space="preserve">, 2025). Digital solutions can, however, be used alongside, not in place </w:t>
      </w:r>
      <w:proofErr w:type="gramStart"/>
      <w:r w:rsidRPr="008436C4">
        <w:rPr>
          <w:rFonts w:ascii="Arial" w:hAnsi="Arial" w:cs="Arial"/>
          <w:sz w:val="22"/>
          <w:szCs w:val="22"/>
        </w:rPr>
        <w:t>of,</w:t>
      </w:r>
      <w:proofErr w:type="gramEnd"/>
      <w:r w:rsidRPr="008436C4">
        <w:rPr>
          <w:rFonts w:ascii="Arial" w:hAnsi="Arial" w:cs="Arial"/>
          <w:sz w:val="22"/>
          <w:szCs w:val="22"/>
        </w:rPr>
        <w:t xml:space="preserve"> good professional judgement, as technology is not a solution to fragmented </w:t>
      </w:r>
      <w:r w:rsidRPr="008436C4">
        <w:rPr>
          <w:rFonts w:ascii="Arial" w:hAnsi="Arial" w:cs="Arial"/>
          <w:sz w:val="22"/>
          <w:szCs w:val="22"/>
        </w:rPr>
        <w:lastRenderedPageBreak/>
        <w:t>accountability, ineffective communication or weak safety cultures. Thus, integration of digital systems and effective leadership, interprofessional working and ongoing evaluation are essential to successful implementation and help to ensure that technological advances lead to safer medication practices.</w:t>
      </w:r>
    </w:p>
    <w:p w14:paraId="57656163" w14:textId="77777777" w:rsidR="008809EB" w:rsidRPr="008436C4" w:rsidRDefault="008809EB" w:rsidP="008809EB">
      <w:pPr>
        <w:spacing w:line="480" w:lineRule="auto"/>
        <w:jc w:val="both"/>
        <w:rPr>
          <w:rFonts w:ascii="Arial" w:hAnsi="Arial" w:cs="Arial"/>
          <w:sz w:val="22"/>
          <w:szCs w:val="22"/>
        </w:rPr>
      </w:pPr>
      <w:r w:rsidRPr="008436C4">
        <w:rPr>
          <w:rFonts w:ascii="Arial" w:hAnsi="Arial" w:cs="Arial"/>
          <w:sz w:val="22"/>
          <w:szCs w:val="22"/>
        </w:rPr>
        <w:t xml:space="preserve">Finally, NHS </w:t>
      </w:r>
      <w:proofErr w:type="spellStart"/>
      <w:r w:rsidRPr="008436C4">
        <w:rPr>
          <w:rFonts w:ascii="Arial" w:hAnsi="Arial" w:cs="Arial"/>
          <w:sz w:val="22"/>
          <w:szCs w:val="22"/>
        </w:rPr>
        <w:t>organisations</w:t>
      </w:r>
      <w:proofErr w:type="spellEnd"/>
      <w:r w:rsidRPr="008436C4">
        <w:rPr>
          <w:rFonts w:ascii="Arial" w:hAnsi="Arial" w:cs="Arial"/>
          <w:sz w:val="22"/>
          <w:szCs w:val="22"/>
        </w:rPr>
        <w:t xml:space="preserve"> should establish continuous learning systems based on measurable outcomes and stakeholder involvement. Medication error rates, adverse drug events, hospital admissions, patient satisfaction and medication understanding scores should be regularly monitored to evaluate improvement (Despott, Vella Bonanno and Gauci, 2025). Using approaches such as Plan-Do-Study-Act cycles would allow </w:t>
      </w:r>
      <w:proofErr w:type="spellStart"/>
      <w:r w:rsidRPr="008436C4">
        <w:rPr>
          <w:rFonts w:ascii="Arial" w:hAnsi="Arial" w:cs="Arial"/>
          <w:sz w:val="22"/>
          <w:szCs w:val="22"/>
        </w:rPr>
        <w:t>organisations</w:t>
      </w:r>
      <w:proofErr w:type="spellEnd"/>
      <w:r w:rsidRPr="008436C4">
        <w:rPr>
          <w:rFonts w:ascii="Arial" w:hAnsi="Arial" w:cs="Arial"/>
          <w:sz w:val="22"/>
          <w:szCs w:val="22"/>
        </w:rPr>
        <w:t xml:space="preserve"> to test interventions, review evidence and modify practices. Patients and families should participate in designing medication safety strategies because their experiences reveal practical barriers that healthcare professionals may overlook (</w:t>
      </w:r>
      <w:proofErr w:type="spellStart"/>
      <w:r w:rsidRPr="008436C4">
        <w:rPr>
          <w:rFonts w:ascii="Arial" w:hAnsi="Arial" w:cs="Arial"/>
          <w:sz w:val="22"/>
          <w:szCs w:val="22"/>
        </w:rPr>
        <w:t>Tubic</w:t>
      </w:r>
      <w:proofErr w:type="spellEnd"/>
      <w:r w:rsidRPr="008436C4">
        <w:rPr>
          <w:rFonts w:ascii="Arial" w:hAnsi="Arial" w:cs="Arial"/>
          <w:sz w:val="22"/>
          <w:szCs w:val="22"/>
        </w:rPr>
        <w:t xml:space="preserve"> et al., 2022). Therefore, sustainable medication safety requires integrated governance, shared leadership, evidence-based monitoring and genuine patient co-production.</w:t>
      </w:r>
    </w:p>
    <w:p w14:paraId="57656164" w14:textId="77777777" w:rsidR="008809EB" w:rsidRPr="008436C4" w:rsidRDefault="008809EB" w:rsidP="008809EB">
      <w:pPr>
        <w:pStyle w:val="Heading1"/>
        <w:spacing w:line="480" w:lineRule="auto"/>
        <w:rPr>
          <w:rFonts w:ascii="Arial" w:hAnsi="Arial" w:cs="Arial"/>
          <w:sz w:val="22"/>
          <w:szCs w:val="22"/>
        </w:rPr>
      </w:pPr>
      <w:bookmarkStart w:id="13" w:name="_Toc235191232"/>
      <w:r w:rsidRPr="008436C4">
        <w:rPr>
          <w:rFonts w:ascii="Arial" w:hAnsi="Arial" w:cs="Arial"/>
          <w:sz w:val="22"/>
          <w:szCs w:val="22"/>
        </w:rPr>
        <w:t>Conclusion</w:t>
      </w:r>
      <w:bookmarkEnd w:id="13"/>
    </w:p>
    <w:p w14:paraId="57656165" w14:textId="77777777" w:rsidR="008809EB" w:rsidRPr="008436C4" w:rsidRDefault="008809EB" w:rsidP="008809EB">
      <w:pPr>
        <w:spacing w:line="480" w:lineRule="auto"/>
        <w:jc w:val="both"/>
        <w:rPr>
          <w:rFonts w:ascii="Arial" w:hAnsi="Arial" w:cs="Arial"/>
          <w:sz w:val="22"/>
          <w:szCs w:val="22"/>
          <w:lang w:eastAsia="en-GB"/>
        </w:rPr>
      </w:pPr>
      <w:r w:rsidRPr="008436C4">
        <w:rPr>
          <w:rFonts w:ascii="Arial" w:hAnsi="Arial" w:cs="Arial"/>
          <w:sz w:val="22"/>
          <w:szCs w:val="22"/>
          <w:lang w:eastAsia="en-GB"/>
        </w:rPr>
        <w:t xml:space="preserve">Apart from the right clinical decision making, patient safety relies on effective leadership, good governance and reliable communication systems, as evidenced by the case of Len and his overdose of Morphine. Healthcare professionals adhered to the correct </w:t>
      </w:r>
      <w:proofErr w:type="gramStart"/>
      <w:r w:rsidRPr="008436C4">
        <w:rPr>
          <w:rFonts w:ascii="Arial" w:hAnsi="Arial" w:cs="Arial"/>
          <w:sz w:val="22"/>
          <w:szCs w:val="22"/>
          <w:lang w:eastAsia="en-GB"/>
        </w:rPr>
        <w:t>prescriptions, but</w:t>
      </w:r>
      <w:proofErr w:type="gramEnd"/>
      <w:r w:rsidRPr="008436C4">
        <w:rPr>
          <w:rFonts w:ascii="Arial" w:hAnsi="Arial" w:cs="Arial"/>
          <w:sz w:val="22"/>
          <w:szCs w:val="22"/>
          <w:lang w:eastAsia="en-GB"/>
        </w:rPr>
        <w:t xml:space="preserve"> failed to communicate with one another and had human factor issues, and coordination between </w:t>
      </w:r>
      <w:proofErr w:type="spellStart"/>
      <w:r w:rsidRPr="008436C4">
        <w:rPr>
          <w:rFonts w:ascii="Arial" w:hAnsi="Arial" w:cs="Arial"/>
          <w:sz w:val="22"/>
          <w:szCs w:val="22"/>
          <w:lang w:eastAsia="en-GB"/>
        </w:rPr>
        <w:t>organisations</w:t>
      </w:r>
      <w:proofErr w:type="spellEnd"/>
      <w:r w:rsidRPr="008436C4">
        <w:rPr>
          <w:rFonts w:ascii="Arial" w:hAnsi="Arial" w:cs="Arial"/>
          <w:sz w:val="22"/>
          <w:szCs w:val="22"/>
          <w:lang w:eastAsia="en-GB"/>
        </w:rPr>
        <w:t xml:space="preserve"> was poor, creating an unsafe outcome. Based on the analysis, it is </w:t>
      </w:r>
      <w:proofErr w:type="spellStart"/>
      <w:r w:rsidRPr="008436C4">
        <w:rPr>
          <w:rFonts w:ascii="Arial" w:hAnsi="Arial" w:cs="Arial"/>
          <w:sz w:val="22"/>
          <w:szCs w:val="22"/>
          <w:lang w:eastAsia="en-GB"/>
        </w:rPr>
        <w:t>realised</w:t>
      </w:r>
      <w:proofErr w:type="spellEnd"/>
      <w:r w:rsidRPr="008436C4">
        <w:rPr>
          <w:rFonts w:ascii="Arial" w:hAnsi="Arial" w:cs="Arial"/>
          <w:sz w:val="22"/>
          <w:szCs w:val="22"/>
          <w:lang w:eastAsia="en-GB"/>
        </w:rPr>
        <w:t xml:space="preserve"> that there is no single leadership approach to </w:t>
      </w:r>
      <w:proofErr w:type="gramStart"/>
      <w:r w:rsidRPr="008436C4">
        <w:rPr>
          <w:rFonts w:ascii="Arial" w:hAnsi="Arial" w:cs="Arial"/>
          <w:sz w:val="22"/>
          <w:szCs w:val="22"/>
          <w:lang w:eastAsia="en-GB"/>
        </w:rPr>
        <w:t>solve</w:t>
      </w:r>
      <w:proofErr w:type="gramEnd"/>
      <w:r w:rsidRPr="008436C4">
        <w:rPr>
          <w:rFonts w:ascii="Arial" w:hAnsi="Arial" w:cs="Arial"/>
          <w:sz w:val="22"/>
          <w:szCs w:val="22"/>
          <w:lang w:eastAsia="en-GB"/>
        </w:rPr>
        <w:t xml:space="preserve"> complex healthcare problems. Compliance with medication standards was influenced by transactional leadership, but a learning culture based on change and improvement needed transformational leadership. Such a distribution of leadership and situational leadership was also essential as Len's care occurred across </w:t>
      </w:r>
      <w:r w:rsidRPr="008436C4">
        <w:rPr>
          <w:rFonts w:ascii="Arial" w:hAnsi="Arial" w:cs="Arial"/>
          <w:sz w:val="22"/>
          <w:szCs w:val="22"/>
          <w:lang w:eastAsia="en-GB"/>
        </w:rPr>
        <w:lastRenderedPageBreak/>
        <w:t xml:space="preserve">a variety of professionals and depended on </w:t>
      </w:r>
      <w:proofErr w:type="spellStart"/>
      <w:r w:rsidRPr="008436C4">
        <w:rPr>
          <w:rFonts w:ascii="Arial" w:hAnsi="Arial" w:cs="Arial"/>
          <w:sz w:val="22"/>
          <w:szCs w:val="22"/>
          <w:lang w:eastAsia="en-GB"/>
        </w:rPr>
        <w:t>personalised</w:t>
      </w:r>
      <w:proofErr w:type="spellEnd"/>
      <w:r w:rsidRPr="008436C4">
        <w:rPr>
          <w:rFonts w:ascii="Arial" w:hAnsi="Arial" w:cs="Arial"/>
          <w:sz w:val="22"/>
          <w:szCs w:val="22"/>
          <w:lang w:eastAsia="en-GB"/>
        </w:rPr>
        <w:t xml:space="preserve"> care in response to his vulnerability.</w:t>
      </w:r>
    </w:p>
    <w:p w14:paraId="57656166" w14:textId="77777777" w:rsidR="008809EB" w:rsidRPr="008436C4" w:rsidRDefault="008809EB" w:rsidP="008809EB">
      <w:pPr>
        <w:spacing w:line="480" w:lineRule="auto"/>
        <w:jc w:val="both"/>
        <w:rPr>
          <w:rFonts w:ascii="Arial" w:hAnsi="Arial" w:cs="Arial"/>
          <w:sz w:val="22"/>
          <w:szCs w:val="22"/>
          <w:lang w:eastAsia="en-GB"/>
        </w:rPr>
      </w:pPr>
      <w:r w:rsidRPr="008436C4">
        <w:rPr>
          <w:rFonts w:ascii="Arial" w:hAnsi="Arial" w:cs="Arial"/>
          <w:sz w:val="22"/>
          <w:szCs w:val="22"/>
          <w:lang w:eastAsia="en-GB"/>
        </w:rPr>
        <w:t xml:space="preserve">The case exemplifies the view that healthcare </w:t>
      </w:r>
      <w:proofErr w:type="spellStart"/>
      <w:r w:rsidRPr="008436C4">
        <w:rPr>
          <w:rFonts w:ascii="Arial" w:hAnsi="Arial" w:cs="Arial"/>
          <w:sz w:val="22"/>
          <w:szCs w:val="22"/>
          <w:lang w:eastAsia="en-GB"/>
        </w:rPr>
        <w:t>organisations</w:t>
      </w:r>
      <w:proofErr w:type="spellEnd"/>
      <w:r w:rsidRPr="008436C4">
        <w:rPr>
          <w:rFonts w:ascii="Arial" w:hAnsi="Arial" w:cs="Arial"/>
          <w:sz w:val="22"/>
          <w:szCs w:val="22"/>
          <w:lang w:eastAsia="en-GB"/>
        </w:rPr>
        <w:t xml:space="preserve"> work as complex adaptive systems where effects are created </w:t>
      </w:r>
      <w:proofErr w:type="gramStart"/>
      <w:r w:rsidRPr="008436C4">
        <w:rPr>
          <w:rFonts w:ascii="Arial" w:hAnsi="Arial" w:cs="Arial"/>
          <w:sz w:val="22"/>
          <w:szCs w:val="22"/>
          <w:lang w:eastAsia="en-GB"/>
        </w:rPr>
        <w:t>as a result of</w:t>
      </w:r>
      <w:proofErr w:type="gramEnd"/>
      <w:r w:rsidRPr="008436C4">
        <w:rPr>
          <w:rFonts w:ascii="Arial" w:hAnsi="Arial" w:cs="Arial"/>
          <w:sz w:val="22"/>
          <w:szCs w:val="22"/>
          <w:lang w:eastAsia="en-GB"/>
        </w:rPr>
        <w:t xml:space="preserve"> the interplay of people, processes, technology and </w:t>
      </w:r>
      <w:proofErr w:type="spellStart"/>
      <w:r w:rsidRPr="008436C4">
        <w:rPr>
          <w:rFonts w:ascii="Arial" w:hAnsi="Arial" w:cs="Arial"/>
          <w:sz w:val="22"/>
          <w:szCs w:val="22"/>
          <w:lang w:eastAsia="en-GB"/>
        </w:rPr>
        <w:t>organisational</w:t>
      </w:r>
      <w:proofErr w:type="spellEnd"/>
      <w:r w:rsidRPr="008436C4">
        <w:rPr>
          <w:rFonts w:ascii="Arial" w:hAnsi="Arial" w:cs="Arial"/>
          <w:sz w:val="22"/>
          <w:szCs w:val="22"/>
          <w:lang w:eastAsia="en-GB"/>
        </w:rPr>
        <w:t xml:space="preserve"> structures. Good health management, therefore, requires an integrated approach to good governance coupled with local flexibility so that accountability and patient-</w:t>
      </w:r>
      <w:proofErr w:type="spellStart"/>
      <w:r w:rsidRPr="008436C4">
        <w:rPr>
          <w:rFonts w:ascii="Arial" w:hAnsi="Arial" w:cs="Arial"/>
          <w:sz w:val="22"/>
          <w:szCs w:val="22"/>
          <w:lang w:eastAsia="en-GB"/>
        </w:rPr>
        <w:t>centred</w:t>
      </w:r>
      <w:proofErr w:type="spellEnd"/>
      <w:r w:rsidRPr="008436C4">
        <w:rPr>
          <w:rFonts w:ascii="Arial" w:hAnsi="Arial" w:cs="Arial"/>
          <w:sz w:val="22"/>
          <w:szCs w:val="22"/>
          <w:lang w:eastAsia="en-GB"/>
        </w:rPr>
        <w:t xml:space="preserve"> care are upheld. The incident showed that safety cannot be guaranteed by using strong national standards without implementing effective practices on the ground. Further enhancements should consider better integration between health care providers, better communication around medicines and better engagement of the patient and ongoing </w:t>
      </w:r>
      <w:proofErr w:type="spellStart"/>
      <w:r w:rsidRPr="008436C4">
        <w:rPr>
          <w:rFonts w:ascii="Arial" w:hAnsi="Arial" w:cs="Arial"/>
          <w:sz w:val="22"/>
          <w:szCs w:val="22"/>
          <w:lang w:eastAsia="en-GB"/>
        </w:rPr>
        <w:t>organisational</w:t>
      </w:r>
      <w:proofErr w:type="spellEnd"/>
      <w:r w:rsidRPr="008436C4">
        <w:rPr>
          <w:rFonts w:ascii="Arial" w:hAnsi="Arial" w:cs="Arial"/>
          <w:sz w:val="22"/>
          <w:szCs w:val="22"/>
          <w:lang w:eastAsia="en-GB"/>
        </w:rPr>
        <w:t xml:space="preserve"> learning. Leaders are to actively redesign systems to prevent avoidable harm based on evidence gathered in incidents. Finally, Len's story illustrates that sustainable </w:t>
      </w:r>
      <w:proofErr w:type="gramStart"/>
      <w:r w:rsidRPr="008436C4">
        <w:rPr>
          <w:rFonts w:ascii="Arial" w:hAnsi="Arial" w:cs="Arial"/>
          <w:sz w:val="22"/>
          <w:szCs w:val="22"/>
          <w:lang w:eastAsia="en-GB"/>
        </w:rPr>
        <w:t>medication safety</w:t>
      </w:r>
      <w:proofErr w:type="gramEnd"/>
      <w:r w:rsidRPr="008436C4">
        <w:rPr>
          <w:rFonts w:ascii="Arial" w:hAnsi="Arial" w:cs="Arial"/>
          <w:sz w:val="22"/>
          <w:szCs w:val="22"/>
          <w:lang w:eastAsia="en-GB"/>
        </w:rPr>
        <w:t xml:space="preserve"> relies on working together and learning collaboratively within a system as well as on effective leadership techniques. Implementing a system's perspective and shared responsibility, healthcare </w:t>
      </w:r>
      <w:proofErr w:type="spellStart"/>
      <w:r w:rsidRPr="008436C4">
        <w:rPr>
          <w:rFonts w:ascii="Arial" w:hAnsi="Arial" w:cs="Arial"/>
          <w:sz w:val="22"/>
          <w:szCs w:val="22"/>
          <w:lang w:eastAsia="en-GB"/>
        </w:rPr>
        <w:t>organisations</w:t>
      </w:r>
      <w:proofErr w:type="spellEnd"/>
      <w:r w:rsidRPr="008436C4">
        <w:rPr>
          <w:rFonts w:ascii="Arial" w:hAnsi="Arial" w:cs="Arial"/>
          <w:sz w:val="22"/>
          <w:szCs w:val="22"/>
          <w:lang w:eastAsia="en-GB"/>
        </w:rPr>
        <w:t xml:space="preserve"> can deliver better, safer, more reliable and equitable outcomes.</w:t>
      </w:r>
    </w:p>
    <w:p w14:paraId="57656167" w14:textId="77777777" w:rsidR="00BD4A79" w:rsidRPr="00F54FD2" w:rsidRDefault="00F54FD2">
      <w:pPr>
        <w:pStyle w:val="Heading1"/>
        <w:spacing w:line="480" w:lineRule="auto"/>
        <w:jc w:val="both"/>
        <w:rPr>
          <w:rFonts w:ascii="Arial" w:hAnsi="Arial" w:cs="Arial"/>
          <w:sz w:val="24"/>
          <w:szCs w:val="24"/>
        </w:rPr>
      </w:pPr>
      <w:r w:rsidRPr="00F54FD2">
        <w:rPr>
          <w:rFonts w:ascii="Arial" w:hAnsi="Arial" w:cs="Arial"/>
          <w:sz w:val="24"/>
          <w:szCs w:val="24"/>
        </w:rPr>
        <w:br w:type="page"/>
      </w:r>
    </w:p>
    <w:p w14:paraId="57656168" w14:textId="77777777" w:rsidR="00BD4A79" w:rsidRPr="00F54FD2" w:rsidRDefault="00F54FD2">
      <w:pPr>
        <w:pStyle w:val="Heading1"/>
        <w:spacing w:line="480" w:lineRule="auto"/>
        <w:jc w:val="both"/>
        <w:rPr>
          <w:rFonts w:ascii="Arial" w:hAnsi="Arial" w:cs="Arial"/>
          <w:sz w:val="24"/>
          <w:szCs w:val="24"/>
        </w:rPr>
      </w:pPr>
      <w:r w:rsidRPr="00F54FD2">
        <w:rPr>
          <w:rFonts w:ascii="Arial" w:hAnsi="Arial" w:cs="Arial"/>
          <w:sz w:val="24"/>
          <w:szCs w:val="24"/>
        </w:rPr>
        <w:lastRenderedPageBreak/>
        <w:t>References</w:t>
      </w:r>
    </w:p>
    <w:p w14:paraId="57656169"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Aase, K., Waring, J. and </w:t>
      </w:r>
      <w:proofErr w:type="spellStart"/>
      <w:r w:rsidRPr="00F54FD2">
        <w:rPr>
          <w:rFonts w:ascii="Arial" w:hAnsi="Arial" w:cs="Arial"/>
          <w:sz w:val="24"/>
          <w:szCs w:val="24"/>
        </w:rPr>
        <w:t>Schibevaag</w:t>
      </w:r>
      <w:proofErr w:type="spellEnd"/>
      <w:r w:rsidRPr="00F54FD2">
        <w:rPr>
          <w:rFonts w:ascii="Arial" w:hAnsi="Arial" w:cs="Arial"/>
          <w:sz w:val="24"/>
          <w:szCs w:val="24"/>
        </w:rPr>
        <w:t xml:space="preserve">, L. (2020) 'Researching patient safety and resilient healthcare', </w:t>
      </w:r>
      <w:r w:rsidRPr="00F54FD2">
        <w:rPr>
          <w:rStyle w:val="Emphasis"/>
          <w:rFonts w:ascii="Arial" w:hAnsi="Arial" w:cs="Arial"/>
          <w:sz w:val="24"/>
          <w:szCs w:val="24"/>
        </w:rPr>
        <w:t>Safety Science</w:t>
      </w:r>
      <w:r w:rsidRPr="00F54FD2">
        <w:rPr>
          <w:rFonts w:ascii="Arial" w:hAnsi="Arial" w:cs="Arial"/>
          <w:sz w:val="24"/>
          <w:szCs w:val="24"/>
        </w:rPr>
        <w:t xml:space="preserve">, 120, 20–26. Available at: https://doi.org/10.1016/j.ssci.2019.06.028 </w:t>
      </w:r>
    </w:p>
    <w:p w14:paraId="5765616A"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Abimanyu, E.P.B., </w:t>
      </w:r>
      <w:proofErr w:type="spellStart"/>
      <w:r w:rsidRPr="00F54FD2">
        <w:rPr>
          <w:rFonts w:ascii="Arial" w:hAnsi="Arial" w:cs="Arial"/>
          <w:sz w:val="24"/>
          <w:szCs w:val="24"/>
        </w:rPr>
        <w:t>Satibi</w:t>
      </w:r>
      <w:proofErr w:type="spellEnd"/>
      <w:r w:rsidRPr="00F54FD2">
        <w:rPr>
          <w:rFonts w:ascii="Arial" w:hAnsi="Arial" w:cs="Arial"/>
          <w:sz w:val="24"/>
          <w:szCs w:val="24"/>
        </w:rPr>
        <w:t xml:space="preserve">, S. and </w:t>
      </w:r>
      <w:proofErr w:type="spellStart"/>
      <w:r w:rsidRPr="00F54FD2">
        <w:rPr>
          <w:rFonts w:ascii="Arial" w:hAnsi="Arial" w:cs="Arial"/>
          <w:sz w:val="24"/>
          <w:szCs w:val="24"/>
        </w:rPr>
        <w:t>Endarti</w:t>
      </w:r>
      <w:proofErr w:type="spellEnd"/>
      <w:r w:rsidRPr="00F54FD2">
        <w:rPr>
          <w:rFonts w:ascii="Arial" w:hAnsi="Arial" w:cs="Arial"/>
          <w:sz w:val="24"/>
          <w:szCs w:val="24"/>
        </w:rPr>
        <w:t>, D. (</w:t>
      </w:r>
      <w:proofErr w:type="gramStart"/>
      <w:r w:rsidRPr="00F54FD2">
        <w:rPr>
          <w:rFonts w:ascii="Arial" w:hAnsi="Arial" w:cs="Arial"/>
          <w:sz w:val="24"/>
          <w:szCs w:val="24"/>
        </w:rPr>
        <w:t>2025) ‘</w:t>
      </w:r>
      <w:proofErr w:type="gramEnd"/>
      <w:r w:rsidRPr="00F54FD2">
        <w:rPr>
          <w:rFonts w:ascii="Arial" w:hAnsi="Arial" w:cs="Arial"/>
          <w:sz w:val="24"/>
          <w:szCs w:val="24"/>
        </w:rPr>
        <w:t xml:space="preserve">Digital technologies in hospital pharmacy: a systematic review of their impact on efficiency, safety, and inventory management’, </w:t>
      </w:r>
      <w:r w:rsidRPr="00F54FD2">
        <w:rPr>
          <w:rFonts w:ascii="Arial" w:hAnsi="Arial" w:cs="Arial"/>
          <w:i/>
          <w:iCs/>
          <w:sz w:val="24"/>
          <w:szCs w:val="24"/>
        </w:rPr>
        <w:t>Journal of Preventive Medicine and Public Health</w:t>
      </w:r>
      <w:r w:rsidRPr="00F54FD2">
        <w:rPr>
          <w:rFonts w:ascii="Arial" w:hAnsi="Arial" w:cs="Arial"/>
          <w:sz w:val="24"/>
          <w:szCs w:val="24"/>
        </w:rPr>
        <w:t>, p.10.3961/jpmph.25.495. Available at: https://doi.org/10.3961/jpmph.25.495 (Accessed: 17 July 2026).</w:t>
      </w:r>
    </w:p>
    <w:p w14:paraId="5765616B"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Adam, T., Hsu, J. and de Savigny, D. (</w:t>
      </w:r>
      <w:proofErr w:type="gramStart"/>
      <w:r w:rsidRPr="00F54FD2">
        <w:rPr>
          <w:rFonts w:ascii="Arial" w:hAnsi="Arial" w:cs="Arial"/>
          <w:sz w:val="24"/>
          <w:szCs w:val="24"/>
        </w:rPr>
        <w:t>2023) ‘</w:t>
      </w:r>
      <w:proofErr w:type="gramEnd"/>
      <w:r w:rsidRPr="00F54FD2">
        <w:rPr>
          <w:rFonts w:ascii="Arial" w:hAnsi="Arial" w:cs="Arial"/>
          <w:sz w:val="24"/>
          <w:szCs w:val="24"/>
        </w:rPr>
        <w:t xml:space="preserve">Development of the Systems Thinking for Health Actions framework: a literature review and a case study’, Health Research Policy and Systems, 21, Article number 32. Available at: </w:t>
      </w:r>
      <w:hyperlink r:id="rId6" w:tgtFrame="_new" w:history="1">
        <w:r w:rsidRPr="00F54FD2">
          <w:rPr>
            <w:rStyle w:val="Hyperlink"/>
            <w:rFonts w:ascii="Arial" w:hAnsi="Arial" w:cs="Arial"/>
            <w:sz w:val="24"/>
            <w:szCs w:val="24"/>
          </w:rPr>
          <w:t>https://pmc.ncbi.nlm.nih.gov/articles/PMC10030275/</w:t>
        </w:r>
      </w:hyperlink>
      <w:r w:rsidRPr="00F54FD2">
        <w:rPr>
          <w:rFonts w:ascii="Arial" w:hAnsi="Arial" w:cs="Arial"/>
          <w:sz w:val="24"/>
          <w:szCs w:val="24"/>
        </w:rPr>
        <w:t xml:space="preserve"> (Accessed: 21 May 2025).</w:t>
      </w:r>
    </w:p>
    <w:p w14:paraId="5765616C"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Agrawal, A. (2020) ‘Medication errors: prevention using information technology systems’, </w:t>
      </w:r>
      <w:r w:rsidRPr="00F54FD2">
        <w:rPr>
          <w:rFonts w:ascii="Arial" w:hAnsi="Arial" w:cs="Arial"/>
          <w:i/>
          <w:iCs/>
          <w:sz w:val="24"/>
          <w:szCs w:val="24"/>
        </w:rPr>
        <w:t>British Journal of Clinical Pharmacology</w:t>
      </w:r>
      <w:r w:rsidRPr="00F54FD2">
        <w:rPr>
          <w:rFonts w:ascii="Arial" w:hAnsi="Arial" w:cs="Arial"/>
          <w:sz w:val="24"/>
          <w:szCs w:val="24"/>
        </w:rPr>
        <w:t xml:space="preserve">, 67(6), pp. 681–686. Available at: </w:t>
      </w:r>
      <w:hyperlink r:id="rId7" w:tgtFrame="_new" w:history="1">
        <w:r w:rsidRPr="00F54FD2">
          <w:rPr>
            <w:rStyle w:val="Hyperlink"/>
            <w:rFonts w:ascii="Arial" w:hAnsi="Arial" w:cs="Arial"/>
            <w:sz w:val="24"/>
            <w:szCs w:val="24"/>
          </w:rPr>
          <w:t>https://doi.org/10.1111/j.1365-2125.2009.03427.x</w:t>
        </w:r>
      </w:hyperlink>
      <w:r w:rsidRPr="00F54FD2">
        <w:rPr>
          <w:rFonts w:ascii="Arial" w:hAnsi="Arial" w:cs="Arial"/>
          <w:sz w:val="24"/>
          <w:szCs w:val="24"/>
        </w:rPr>
        <w:t xml:space="preserve"> (Accessed: 17 July 2026).</w:t>
      </w:r>
    </w:p>
    <w:p w14:paraId="5765616D"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Al-</w:t>
      </w:r>
      <w:proofErr w:type="spellStart"/>
      <w:r w:rsidRPr="00F54FD2">
        <w:rPr>
          <w:rFonts w:ascii="Arial" w:hAnsi="Arial" w:cs="Arial"/>
          <w:sz w:val="24"/>
          <w:szCs w:val="24"/>
        </w:rPr>
        <w:t>Rjoub</w:t>
      </w:r>
      <w:proofErr w:type="spellEnd"/>
      <w:r w:rsidRPr="00F54FD2">
        <w:rPr>
          <w:rFonts w:ascii="Arial" w:hAnsi="Arial" w:cs="Arial"/>
          <w:sz w:val="24"/>
          <w:szCs w:val="24"/>
        </w:rPr>
        <w:t xml:space="preserve">, S., </w:t>
      </w:r>
      <w:proofErr w:type="spellStart"/>
      <w:r w:rsidRPr="00F54FD2">
        <w:rPr>
          <w:rFonts w:ascii="Arial" w:hAnsi="Arial" w:cs="Arial"/>
          <w:sz w:val="24"/>
          <w:szCs w:val="24"/>
        </w:rPr>
        <w:t>Alsharawneh</w:t>
      </w:r>
      <w:proofErr w:type="spellEnd"/>
      <w:r w:rsidRPr="00F54FD2">
        <w:rPr>
          <w:rFonts w:ascii="Arial" w:hAnsi="Arial" w:cs="Arial"/>
          <w:sz w:val="24"/>
          <w:szCs w:val="24"/>
        </w:rPr>
        <w:t xml:space="preserve">, A., </w:t>
      </w:r>
      <w:proofErr w:type="spellStart"/>
      <w:r w:rsidRPr="00F54FD2">
        <w:rPr>
          <w:rFonts w:ascii="Arial" w:hAnsi="Arial" w:cs="Arial"/>
          <w:sz w:val="24"/>
          <w:szCs w:val="24"/>
        </w:rPr>
        <w:t>Alhawajreh</w:t>
      </w:r>
      <w:proofErr w:type="spellEnd"/>
      <w:r w:rsidRPr="00F54FD2">
        <w:rPr>
          <w:rFonts w:ascii="Arial" w:hAnsi="Arial" w:cs="Arial"/>
          <w:sz w:val="24"/>
          <w:szCs w:val="24"/>
        </w:rPr>
        <w:t xml:space="preserve">, M. and Othman, E. (2024) ‘Exploring the impact of transformational and transactional style of leadership on nursing care performance and patient outcomes’, </w:t>
      </w:r>
      <w:r w:rsidRPr="00F54FD2">
        <w:rPr>
          <w:rFonts w:ascii="Arial" w:hAnsi="Arial" w:cs="Arial"/>
          <w:i/>
          <w:iCs/>
          <w:sz w:val="24"/>
          <w:szCs w:val="24"/>
        </w:rPr>
        <w:t>Journal of Healthcare Leadership</w:t>
      </w:r>
      <w:r w:rsidRPr="00F54FD2">
        <w:rPr>
          <w:rFonts w:ascii="Arial" w:hAnsi="Arial" w:cs="Arial"/>
          <w:sz w:val="24"/>
          <w:szCs w:val="24"/>
        </w:rPr>
        <w:t xml:space="preserve">, 16, pp. 557–568. Available at: </w:t>
      </w:r>
      <w:hyperlink r:id="rId8" w:tgtFrame="_new" w:history="1">
        <w:r w:rsidRPr="00F54FD2">
          <w:rPr>
            <w:rStyle w:val="Hyperlink"/>
            <w:rFonts w:ascii="Arial" w:hAnsi="Arial" w:cs="Arial"/>
            <w:sz w:val="24"/>
            <w:szCs w:val="24"/>
          </w:rPr>
          <w:t>https://doi.org/10.2147/JHL.S496266</w:t>
        </w:r>
      </w:hyperlink>
      <w:r w:rsidRPr="00F54FD2">
        <w:rPr>
          <w:rFonts w:ascii="Arial" w:hAnsi="Arial" w:cs="Arial"/>
          <w:sz w:val="24"/>
          <w:szCs w:val="24"/>
        </w:rPr>
        <w:t xml:space="preserve"> (Accessed: 17 July 2026).</w:t>
      </w:r>
    </w:p>
    <w:p w14:paraId="5765616E"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ASHP (2020) 'ASHP statement on the role of the medication safety leader', </w:t>
      </w:r>
      <w:r w:rsidRPr="00F54FD2">
        <w:rPr>
          <w:rStyle w:val="Emphasis"/>
          <w:rFonts w:ascii="Arial" w:hAnsi="Arial" w:cs="Arial"/>
          <w:sz w:val="24"/>
          <w:szCs w:val="24"/>
        </w:rPr>
        <w:t>American Journal of Health-System Pharmacy</w:t>
      </w:r>
      <w:r w:rsidRPr="00F54FD2">
        <w:rPr>
          <w:rFonts w:ascii="Arial" w:hAnsi="Arial" w:cs="Arial"/>
          <w:sz w:val="24"/>
          <w:szCs w:val="24"/>
        </w:rPr>
        <w:t xml:space="preserve">, 77(4), pp.308–312. Available at: https://doi.org/10.1093/ajhp/zxz292 </w:t>
      </w:r>
    </w:p>
    <w:p w14:paraId="5765616F"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Ashworth, J., Cornwall, N., Harrisson, S.A., Woodcock, C., Nicholls, E., Lancaster, G., </w:t>
      </w:r>
      <w:proofErr w:type="spellStart"/>
      <w:r w:rsidRPr="00F54FD2">
        <w:rPr>
          <w:rFonts w:ascii="Arial" w:hAnsi="Arial" w:cs="Arial"/>
          <w:sz w:val="24"/>
          <w:szCs w:val="24"/>
        </w:rPr>
        <w:t>Wathall</w:t>
      </w:r>
      <w:proofErr w:type="spellEnd"/>
      <w:r w:rsidRPr="00F54FD2">
        <w:rPr>
          <w:rFonts w:ascii="Arial" w:hAnsi="Arial" w:cs="Arial"/>
          <w:sz w:val="24"/>
          <w:szCs w:val="24"/>
        </w:rPr>
        <w:t>, S., Laing, L., Helliwell, T., Jowett, S., Kigozi, J., Mallen, C.D., Avery, A., Knaggs, R., Pincus, T., White, S. and Jinks, C. (2025) ‘Proactive clinical review of patients taking opioid medicines long term for persistent pain led by clinical pharmacists in primary care teams (PROMPPT): a non-</w:t>
      </w:r>
      <w:proofErr w:type="spellStart"/>
      <w:r w:rsidRPr="00F54FD2">
        <w:rPr>
          <w:rFonts w:ascii="Arial" w:hAnsi="Arial" w:cs="Arial"/>
          <w:sz w:val="24"/>
          <w:szCs w:val="24"/>
        </w:rPr>
        <w:t>randomised</w:t>
      </w:r>
      <w:proofErr w:type="spellEnd"/>
      <w:r w:rsidRPr="00F54FD2">
        <w:rPr>
          <w:rFonts w:ascii="Arial" w:hAnsi="Arial" w:cs="Arial"/>
          <w:sz w:val="24"/>
          <w:szCs w:val="24"/>
        </w:rPr>
        <w:t xml:space="preserve"> mixed methods feasibility </w:t>
      </w:r>
      <w:r w:rsidRPr="00F54FD2">
        <w:rPr>
          <w:rFonts w:ascii="Arial" w:hAnsi="Arial" w:cs="Arial"/>
          <w:sz w:val="24"/>
          <w:szCs w:val="24"/>
        </w:rPr>
        <w:lastRenderedPageBreak/>
        <w:t xml:space="preserve">study’, </w:t>
      </w:r>
      <w:r w:rsidRPr="00F54FD2">
        <w:rPr>
          <w:rFonts w:ascii="Arial" w:hAnsi="Arial" w:cs="Arial"/>
          <w:i/>
          <w:iCs/>
          <w:sz w:val="24"/>
          <w:szCs w:val="24"/>
        </w:rPr>
        <w:t>Pilot and Feasibility Studies</w:t>
      </w:r>
      <w:r w:rsidRPr="00F54FD2">
        <w:rPr>
          <w:rFonts w:ascii="Arial" w:hAnsi="Arial" w:cs="Arial"/>
          <w:sz w:val="24"/>
          <w:szCs w:val="24"/>
        </w:rPr>
        <w:t xml:space="preserve">, 11(1). Available at: </w:t>
      </w:r>
      <w:hyperlink r:id="rId9" w:history="1">
        <w:r w:rsidRPr="00F54FD2">
          <w:rPr>
            <w:rStyle w:val="Hyperlink"/>
            <w:rFonts w:ascii="Arial" w:hAnsi="Arial" w:cs="Arial"/>
            <w:sz w:val="24"/>
            <w:szCs w:val="24"/>
          </w:rPr>
          <w:t>https://doi.org/10.1186/s40814-025-01636-2</w:t>
        </w:r>
      </w:hyperlink>
      <w:r w:rsidRPr="00F54FD2">
        <w:rPr>
          <w:rFonts w:ascii="Arial" w:hAnsi="Arial" w:cs="Arial"/>
          <w:sz w:val="24"/>
          <w:szCs w:val="24"/>
        </w:rPr>
        <w:t xml:space="preserve"> (Accessed: 17 July 2026).</w:t>
      </w:r>
    </w:p>
    <w:p w14:paraId="57656170" w14:textId="77777777" w:rsidR="008809EB" w:rsidRPr="00F54FD2" w:rsidRDefault="008809EB" w:rsidP="008809EB">
      <w:pPr>
        <w:spacing w:line="360" w:lineRule="auto"/>
        <w:ind w:left="720" w:hanging="720"/>
        <w:rPr>
          <w:rFonts w:ascii="Arial" w:hAnsi="Arial" w:cs="Arial"/>
          <w:sz w:val="24"/>
          <w:szCs w:val="24"/>
        </w:rPr>
      </w:pPr>
      <w:proofErr w:type="spellStart"/>
      <w:r w:rsidRPr="00F54FD2">
        <w:rPr>
          <w:rFonts w:ascii="Arial" w:hAnsi="Arial" w:cs="Arial"/>
          <w:sz w:val="24"/>
          <w:szCs w:val="24"/>
        </w:rPr>
        <w:t>Aufegger</w:t>
      </w:r>
      <w:proofErr w:type="spellEnd"/>
      <w:r w:rsidRPr="00F54FD2">
        <w:rPr>
          <w:rFonts w:ascii="Arial" w:hAnsi="Arial" w:cs="Arial"/>
          <w:sz w:val="24"/>
          <w:szCs w:val="24"/>
        </w:rPr>
        <w:t xml:space="preserve">, L., Alabi, M., Darzi, A. and Bicknell, C. (2020) 'Sharing leadership: current attitudes, barriers and needs of clinical and non-clinical managers in UK integrated care systems', </w:t>
      </w:r>
      <w:r w:rsidRPr="00F54FD2">
        <w:rPr>
          <w:rStyle w:val="Emphasis"/>
          <w:rFonts w:ascii="Arial" w:hAnsi="Arial" w:cs="Arial"/>
          <w:sz w:val="24"/>
          <w:szCs w:val="24"/>
        </w:rPr>
        <w:t>BMJ Leader</w:t>
      </w:r>
      <w:r w:rsidRPr="00F54FD2">
        <w:rPr>
          <w:rFonts w:ascii="Arial" w:hAnsi="Arial" w:cs="Arial"/>
          <w:sz w:val="24"/>
          <w:szCs w:val="24"/>
        </w:rPr>
        <w:t xml:space="preserve">. Available at: </w:t>
      </w:r>
      <w:hyperlink r:id="rId10" w:tgtFrame="_new" w:history="1">
        <w:r w:rsidRPr="00F54FD2">
          <w:rPr>
            <w:rStyle w:val="Hyperlink"/>
            <w:rFonts w:ascii="Arial" w:hAnsi="Arial" w:cs="Arial"/>
            <w:sz w:val="24"/>
            <w:szCs w:val="24"/>
          </w:rPr>
          <w:t>https://doi.org/10.1136/leader-2020-000228</w:t>
        </w:r>
      </w:hyperlink>
      <w:r w:rsidRPr="00F54FD2">
        <w:rPr>
          <w:rFonts w:ascii="Arial" w:hAnsi="Arial" w:cs="Arial"/>
          <w:sz w:val="24"/>
          <w:szCs w:val="24"/>
        </w:rPr>
        <w:t xml:space="preserve"> </w:t>
      </w:r>
    </w:p>
    <w:p w14:paraId="57656171"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Awad, S., Amon, K., Baillie, A., Loveday, T. and </w:t>
      </w:r>
      <w:proofErr w:type="spellStart"/>
      <w:r w:rsidRPr="00F54FD2">
        <w:rPr>
          <w:rFonts w:ascii="Arial" w:hAnsi="Arial" w:cs="Arial"/>
          <w:sz w:val="24"/>
          <w:szCs w:val="24"/>
        </w:rPr>
        <w:t>Baysari</w:t>
      </w:r>
      <w:proofErr w:type="spellEnd"/>
      <w:r w:rsidRPr="00F54FD2">
        <w:rPr>
          <w:rFonts w:ascii="Arial" w:hAnsi="Arial" w:cs="Arial"/>
          <w:sz w:val="24"/>
          <w:szCs w:val="24"/>
        </w:rPr>
        <w:t>, M.T. (</w:t>
      </w:r>
      <w:proofErr w:type="gramStart"/>
      <w:r w:rsidRPr="00F54FD2">
        <w:rPr>
          <w:rFonts w:ascii="Arial" w:hAnsi="Arial" w:cs="Arial"/>
          <w:sz w:val="24"/>
          <w:szCs w:val="24"/>
        </w:rPr>
        <w:t>2023) ‘</w:t>
      </w:r>
      <w:proofErr w:type="gramEnd"/>
      <w:r w:rsidRPr="00F54FD2">
        <w:rPr>
          <w:rFonts w:ascii="Arial" w:hAnsi="Arial" w:cs="Arial"/>
          <w:sz w:val="24"/>
          <w:szCs w:val="24"/>
        </w:rPr>
        <w:t xml:space="preserve">Human factors and safety analysis methods used in the design and redesign of electronic medication management systems: a systematic review’, </w:t>
      </w:r>
      <w:r w:rsidRPr="00F54FD2">
        <w:rPr>
          <w:rFonts w:ascii="Arial" w:hAnsi="Arial" w:cs="Arial"/>
          <w:i/>
          <w:iCs/>
          <w:sz w:val="24"/>
          <w:szCs w:val="24"/>
        </w:rPr>
        <w:t>International Journal of Medical Informatics</w:t>
      </w:r>
      <w:r w:rsidRPr="00F54FD2">
        <w:rPr>
          <w:rFonts w:ascii="Arial" w:hAnsi="Arial" w:cs="Arial"/>
          <w:sz w:val="24"/>
          <w:szCs w:val="24"/>
        </w:rPr>
        <w:t xml:space="preserve">, 172, p.105017. Available at: </w:t>
      </w:r>
      <w:hyperlink r:id="rId11" w:tgtFrame="_new" w:history="1">
        <w:r w:rsidRPr="00F54FD2">
          <w:rPr>
            <w:rStyle w:val="Hyperlink"/>
            <w:rFonts w:ascii="Arial" w:hAnsi="Arial" w:cs="Arial"/>
            <w:sz w:val="24"/>
            <w:szCs w:val="24"/>
          </w:rPr>
          <w:t>https://doi.org/10.1016/j.ijmedinf.2023.105017</w:t>
        </w:r>
      </w:hyperlink>
      <w:r w:rsidRPr="00F54FD2">
        <w:rPr>
          <w:rFonts w:ascii="Arial" w:hAnsi="Arial" w:cs="Arial"/>
          <w:sz w:val="24"/>
          <w:szCs w:val="24"/>
        </w:rPr>
        <w:t xml:space="preserve"> (Accessed: 17 July 2026).</w:t>
      </w:r>
    </w:p>
    <w:p w14:paraId="57656172" w14:textId="77777777" w:rsidR="008809EB" w:rsidRPr="00F54FD2" w:rsidRDefault="008809EB" w:rsidP="008809EB">
      <w:pPr>
        <w:spacing w:line="360" w:lineRule="auto"/>
        <w:ind w:left="720" w:hanging="720"/>
        <w:rPr>
          <w:rFonts w:ascii="Arial" w:hAnsi="Arial" w:cs="Arial"/>
          <w:sz w:val="24"/>
          <w:szCs w:val="24"/>
        </w:rPr>
      </w:pPr>
      <w:proofErr w:type="spellStart"/>
      <w:r w:rsidRPr="00F54FD2">
        <w:rPr>
          <w:rFonts w:ascii="Arial" w:hAnsi="Arial" w:cs="Arial"/>
          <w:sz w:val="24"/>
          <w:szCs w:val="24"/>
        </w:rPr>
        <w:t>Behget</w:t>
      </w:r>
      <w:proofErr w:type="spellEnd"/>
      <w:r w:rsidRPr="00F54FD2">
        <w:rPr>
          <w:rFonts w:ascii="Arial" w:hAnsi="Arial" w:cs="Arial"/>
          <w:sz w:val="24"/>
          <w:szCs w:val="24"/>
        </w:rPr>
        <w:t xml:space="preserve">, E. and Modi, C. (2021) 'What does the COVID-19 leadership experience teach us about healthcare leadership development?', </w:t>
      </w:r>
      <w:r w:rsidRPr="00F54FD2">
        <w:rPr>
          <w:rStyle w:val="Emphasis"/>
          <w:rFonts w:ascii="Arial" w:hAnsi="Arial" w:cs="Arial"/>
          <w:sz w:val="24"/>
          <w:szCs w:val="24"/>
        </w:rPr>
        <w:t>BMJ Leader</w:t>
      </w:r>
      <w:r w:rsidRPr="00F54FD2">
        <w:rPr>
          <w:rFonts w:ascii="Arial" w:hAnsi="Arial" w:cs="Arial"/>
          <w:sz w:val="24"/>
          <w:szCs w:val="24"/>
        </w:rPr>
        <w:t xml:space="preserve">, 6(4), e000497. Available at: https://doi.org/10.1136/leader-2021-000497 </w:t>
      </w:r>
    </w:p>
    <w:p w14:paraId="57656173"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Bowie, P., McNab, D., McKay, J., Shorrock, S. and Luty, S. (2020) 'Development and application of systems thinking principles for quality improvement', </w:t>
      </w:r>
      <w:r w:rsidRPr="00F54FD2">
        <w:rPr>
          <w:rStyle w:val="Emphasis"/>
          <w:rFonts w:ascii="Arial" w:hAnsi="Arial" w:cs="Arial"/>
          <w:sz w:val="24"/>
          <w:szCs w:val="24"/>
        </w:rPr>
        <w:t>BMJ Open Quality</w:t>
      </w:r>
      <w:r w:rsidRPr="00F54FD2">
        <w:rPr>
          <w:rFonts w:ascii="Arial" w:hAnsi="Arial" w:cs="Arial"/>
          <w:sz w:val="24"/>
          <w:szCs w:val="24"/>
        </w:rPr>
        <w:t xml:space="preserve">, 9(1), e000714. Available at: </w:t>
      </w:r>
      <w:hyperlink r:id="rId12" w:tgtFrame="_new" w:history="1">
        <w:r w:rsidRPr="00F54FD2">
          <w:rPr>
            <w:rStyle w:val="Hyperlink"/>
            <w:rFonts w:ascii="Arial" w:hAnsi="Arial" w:cs="Arial"/>
            <w:sz w:val="24"/>
            <w:szCs w:val="24"/>
          </w:rPr>
          <w:t>https://doi.org/10.1136/bmjoq-2019-000714</w:t>
        </w:r>
      </w:hyperlink>
      <w:r w:rsidRPr="00F54FD2">
        <w:rPr>
          <w:rFonts w:ascii="Arial" w:hAnsi="Arial" w:cs="Arial"/>
          <w:sz w:val="24"/>
          <w:szCs w:val="24"/>
        </w:rPr>
        <w:t xml:space="preserve"> </w:t>
      </w:r>
    </w:p>
    <w:p w14:paraId="57656174"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Braithwaite, J., </w:t>
      </w:r>
      <w:proofErr w:type="spellStart"/>
      <w:r w:rsidRPr="00F54FD2">
        <w:rPr>
          <w:rFonts w:ascii="Arial" w:hAnsi="Arial" w:cs="Arial"/>
          <w:sz w:val="24"/>
          <w:szCs w:val="24"/>
        </w:rPr>
        <w:t>Churruca</w:t>
      </w:r>
      <w:proofErr w:type="spellEnd"/>
      <w:r w:rsidRPr="00F54FD2">
        <w:rPr>
          <w:rFonts w:ascii="Arial" w:hAnsi="Arial" w:cs="Arial"/>
          <w:sz w:val="24"/>
          <w:szCs w:val="24"/>
        </w:rPr>
        <w:t xml:space="preserve">, K., Ellis, L.A. and Long, J.C. (2020) 'Complexity science in healthcare: Aspirations, approaches and accomplishments', </w:t>
      </w:r>
      <w:r w:rsidRPr="00F54FD2">
        <w:rPr>
          <w:rStyle w:val="Emphasis"/>
          <w:rFonts w:ascii="Arial" w:hAnsi="Arial" w:cs="Arial"/>
          <w:sz w:val="24"/>
          <w:szCs w:val="24"/>
        </w:rPr>
        <w:t>BMJ Quality &amp; Safety</w:t>
      </w:r>
      <w:r w:rsidRPr="00F54FD2">
        <w:rPr>
          <w:rFonts w:ascii="Arial" w:hAnsi="Arial" w:cs="Arial"/>
          <w:sz w:val="24"/>
          <w:szCs w:val="24"/>
        </w:rPr>
        <w:t xml:space="preserve">, 29(10), pp.789–793. Available at: https://doi.org/10.1136/bmjqs-2019-009857 </w:t>
      </w:r>
    </w:p>
    <w:p w14:paraId="57656175"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Camillo, C.A. (2018) ‘Comparative Healthcare Systems’, in </w:t>
      </w:r>
      <w:proofErr w:type="spellStart"/>
      <w:r w:rsidRPr="00F54FD2">
        <w:rPr>
          <w:rFonts w:ascii="Arial" w:hAnsi="Arial" w:cs="Arial"/>
          <w:sz w:val="24"/>
          <w:szCs w:val="24"/>
        </w:rPr>
        <w:t>Farazmand</w:t>
      </w:r>
      <w:proofErr w:type="spellEnd"/>
      <w:r w:rsidRPr="00F54FD2">
        <w:rPr>
          <w:rFonts w:ascii="Arial" w:hAnsi="Arial" w:cs="Arial"/>
          <w:sz w:val="24"/>
          <w:szCs w:val="24"/>
        </w:rPr>
        <w:t xml:space="preserve">, A. (ed.) Global Encyclopedia of Public Administration, Public Policy, and Governance. Cham: Springer. Available at: </w:t>
      </w:r>
      <w:hyperlink r:id="rId13" w:tgtFrame="_new" w:history="1">
        <w:r w:rsidRPr="00F54FD2">
          <w:rPr>
            <w:rStyle w:val="Hyperlink"/>
            <w:rFonts w:ascii="Arial" w:hAnsi="Arial" w:cs="Arial"/>
            <w:sz w:val="24"/>
            <w:szCs w:val="24"/>
          </w:rPr>
          <w:t>https://doi.org/10.1007/978-3-319-20928-9_3128</w:t>
        </w:r>
      </w:hyperlink>
      <w:r w:rsidRPr="00F54FD2">
        <w:rPr>
          <w:rFonts w:ascii="Arial" w:hAnsi="Arial" w:cs="Arial"/>
          <w:sz w:val="24"/>
          <w:szCs w:val="24"/>
        </w:rPr>
        <w:t xml:space="preserve"> (Accessed: 21 May 2025).</w:t>
      </w:r>
    </w:p>
    <w:p w14:paraId="57656176"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Carstensen, K., Kjeldsen, A.M. and Nielsen, C. (2023) ‘Distributed leadership in health quality improvement collaboratives’, </w:t>
      </w:r>
      <w:r w:rsidRPr="00F54FD2">
        <w:rPr>
          <w:rFonts w:ascii="Arial" w:hAnsi="Arial" w:cs="Arial"/>
          <w:i/>
          <w:iCs/>
          <w:sz w:val="24"/>
          <w:szCs w:val="24"/>
        </w:rPr>
        <w:t>Health Care Management Review</w:t>
      </w:r>
      <w:r w:rsidRPr="00F54FD2">
        <w:rPr>
          <w:rFonts w:ascii="Arial" w:hAnsi="Arial" w:cs="Arial"/>
          <w:sz w:val="24"/>
          <w:szCs w:val="24"/>
        </w:rPr>
        <w:t xml:space="preserve">, 49(1), pp. 46–58. Available at: </w:t>
      </w:r>
      <w:hyperlink r:id="rId14" w:tgtFrame="_new" w:history="1">
        <w:r w:rsidRPr="00F54FD2">
          <w:rPr>
            <w:rStyle w:val="Hyperlink"/>
            <w:rFonts w:ascii="Arial" w:hAnsi="Arial" w:cs="Arial"/>
            <w:sz w:val="24"/>
            <w:szCs w:val="24"/>
          </w:rPr>
          <w:t>https://doi.org/10.1097/HMR.0000000000000385</w:t>
        </w:r>
      </w:hyperlink>
      <w:r w:rsidRPr="00F54FD2">
        <w:rPr>
          <w:rFonts w:ascii="Arial" w:hAnsi="Arial" w:cs="Arial"/>
          <w:sz w:val="24"/>
          <w:szCs w:val="24"/>
        </w:rPr>
        <w:t xml:space="preserve"> (Accessed: 17 July 2026).</w:t>
      </w:r>
    </w:p>
    <w:p w14:paraId="57656177"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lastRenderedPageBreak/>
        <w:t xml:space="preserve">Chamberland-Rowe, C., Stelfox, H.T. and Straus, S.E. (2021) 'Leadership in quality improvement and patient safety', </w:t>
      </w:r>
      <w:r w:rsidRPr="00F54FD2">
        <w:rPr>
          <w:rStyle w:val="Emphasis"/>
          <w:rFonts w:ascii="Arial" w:hAnsi="Arial" w:cs="Arial"/>
          <w:sz w:val="24"/>
          <w:szCs w:val="24"/>
        </w:rPr>
        <w:t>Healthcare Management Forum</w:t>
      </w:r>
      <w:r w:rsidRPr="00F54FD2">
        <w:rPr>
          <w:rFonts w:ascii="Arial" w:hAnsi="Arial" w:cs="Arial"/>
          <w:sz w:val="24"/>
          <w:szCs w:val="24"/>
        </w:rPr>
        <w:t xml:space="preserve">, 34(5), pp.271–276. Available at: https://doi.org/10.1177/08404704211013230 </w:t>
      </w:r>
    </w:p>
    <w:p w14:paraId="57656178"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Cho, J., Gibson, A., Zubatsky, M., Wang, W., </w:t>
      </w:r>
      <w:proofErr w:type="spellStart"/>
      <w:r w:rsidRPr="00F54FD2">
        <w:rPr>
          <w:rFonts w:ascii="Arial" w:hAnsi="Arial" w:cs="Arial"/>
          <w:sz w:val="24"/>
          <w:szCs w:val="24"/>
        </w:rPr>
        <w:t>Ebow</w:t>
      </w:r>
      <w:proofErr w:type="spellEnd"/>
      <w:r w:rsidRPr="00F54FD2">
        <w:rPr>
          <w:rFonts w:ascii="Arial" w:hAnsi="Arial" w:cs="Arial"/>
          <w:sz w:val="24"/>
          <w:szCs w:val="24"/>
        </w:rPr>
        <w:t xml:space="preserve"> Nketsiah, Sanford, A. and Berg-Weger, M. (2025) ‘Identifying multimorbidity risks in older adults: a cross-sectional study using the RGA screening data’, </w:t>
      </w:r>
      <w:r w:rsidRPr="00F54FD2">
        <w:rPr>
          <w:rFonts w:ascii="Arial" w:hAnsi="Arial" w:cs="Arial"/>
          <w:i/>
          <w:iCs/>
          <w:sz w:val="24"/>
          <w:szCs w:val="24"/>
        </w:rPr>
        <w:t>Frontiers in Public Health</w:t>
      </w:r>
      <w:r w:rsidRPr="00F54FD2">
        <w:rPr>
          <w:rFonts w:ascii="Arial" w:hAnsi="Arial" w:cs="Arial"/>
          <w:sz w:val="24"/>
          <w:szCs w:val="24"/>
        </w:rPr>
        <w:t xml:space="preserve">, 13. Available at: </w:t>
      </w:r>
      <w:hyperlink r:id="rId15" w:history="1">
        <w:r w:rsidRPr="00F54FD2">
          <w:rPr>
            <w:rStyle w:val="Hyperlink"/>
            <w:rFonts w:ascii="Arial" w:hAnsi="Arial" w:cs="Arial"/>
            <w:sz w:val="24"/>
            <w:szCs w:val="24"/>
          </w:rPr>
          <w:t>https://doi.org/10.3389/fpubh.2025.1600779</w:t>
        </w:r>
      </w:hyperlink>
      <w:r w:rsidRPr="00F54FD2">
        <w:rPr>
          <w:rFonts w:ascii="Arial" w:hAnsi="Arial" w:cs="Arial"/>
          <w:sz w:val="24"/>
          <w:szCs w:val="24"/>
        </w:rPr>
        <w:t xml:space="preserve"> (Accessed: 17 July 2026).</w:t>
      </w:r>
    </w:p>
    <w:p w14:paraId="57656179" w14:textId="77777777" w:rsidR="008809EB" w:rsidRPr="00F54FD2" w:rsidRDefault="008809EB" w:rsidP="008809EB">
      <w:pPr>
        <w:spacing w:line="360" w:lineRule="auto"/>
        <w:ind w:left="720" w:hanging="720"/>
        <w:rPr>
          <w:rFonts w:ascii="Arial" w:hAnsi="Arial" w:cs="Arial"/>
          <w:sz w:val="24"/>
          <w:szCs w:val="24"/>
        </w:rPr>
      </w:pPr>
      <w:proofErr w:type="spellStart"/>
      <w:r w:rsidRPr="00F54FD2">
        <w:rPr>
          <w:rFonts w:ascii="Arial" w:hAnsi="Arial" w:cs="Arial"/>
          <w:sz w:val="24"/>
          <w:szCs w:val="24"/>
        </w:rPr>
        <w:t>Churruca</w:t>
      </w:r>
      <w:proofErr w:type="spellEnd"/>
      <w:r w:rsidRPr="00F54FD2">
        <w:rPr>
          <w:rFonts w:ascii="Arial" w:hAnsi="Arial" w:cs="Arial"/>
          <w:sz w:val="24"/>
          <w:szCs w:val="24"/>
        </w:rPr>
        <w:t xml:space="preserve">, K., Ellis, L.A., Pomare, C., Hogden, A. and Braithwaite, J. (2021) 'Dimensions of safety culture in healthcare', </w:t>
      </w:r>
      <w:r w:rsidRPr="00F54FD2">
        <w:rPr>
          <w:rStyle w:val="Emphasis"/>
          <w:rFonts w:ascii="Arial" w:hAnsi="Arial" w:cs="Arial"/>
          <w:sz w:val="24"/>
          <w:szCs w:val="24"/>
        </w:rPr>
        <w:t>BMJ Open Quality</w:t>
      </w:r>
      <w:r w:rsidRPr="00F54FD2">
        <w:rPr>
          <w:rFonts w:ascii="Arial" w:hAnsi="Arial" w:cs="Arial"/>
          <w:sz w:val="24"/>
          <w:szCs w:val="24"/>
        </w:rPr>
        <w:t xml:space="preserve">, 10(3), e001397. Available at: https://doi.org/10.1136/bmjoq-2021-001397 </w:t>
      </w:r>
    </w:p>
    <w:p w14:paraId="5765617A"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Corbett, C.F., Dupler, A.E., Smith, S., Balogh, E.M. and Bolkan, C.R. (2017) </w:t>
      </w:r>
      <w:r w:rsidRPr="00F54FD2">
        <w:rPr>
          <w:rFonts w:ascii="Arial" w:hAnsi="Arial" w:cs="Arial"/>
          <w:i/>
          <w:iCs/>
          <w:sz w:val="24"/>
          <w:szCs w:val="24"/>
        </w:rPr>
        <w:t>Transitional care medication safety: stakeholders’ perspectives</w:t>
      </w:r>
      <w:r w:rsidRPr="00F54FD2">
        <w:rPr>
          <w:rFonts w:ascii="Arial" w:hAnsi="Arial" w:cs="Arial"/>
          <w:sz w:val="24"/>
          <w:szCs w:val="24"/>
        </w:rPr>
        <w:t xml:space="preserve">. Available at: </w:t>
      </w:r>
      <w:hyperlink r:id="rId16" w:tgtFrame="_new" w:history="1">
        <w:r w:rsidRPr="00F54FD2">
          <w:rPr>
            <w:rStyle w:val="Hyperlink"/>
            <w:rFonts w:ascii="Arial" w:hAnsi="Arial" w:cs="Arial"/>
            <w:sz w:val="24"/>
            <w:szCs w:val="24"/>
          </w:rPr>
          <w:t>https://www.ncbi.nlm.nih.gov/books/NBK508079/</w:t>
        </w:r>
      </w:hyperlink>
      <w:r w:rsidRPr="00F54FD2">
        <w:rPr>
          <w:rFonts w:ascii="Arial" w:hAnsi="Arial" w:cs="Arial"/>
          <w:sz w:val="24"/>
          <w:szCs w:val="24"/>
        </w:rPr>
        <w:t xml:space="preserve"> (Accessed: 17 July 2026).</w:t>
      </w:r>
    </w:p>
    <w:p w14:paraId="5765617B"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Despott, R.A., Vella Bonanno, P. and Gauci, C. (</w:t>
      </w:r>
      <w:proofErr w:type="gramStart"/>
      <w:r w:rsidRPr="00F54FD2">
        <w:rPr>
          <w:rFonts w:ascii="Arial" w:hAnsi="Arial" w:cs="Arial"/>
          <w:sz w:val="24"/>
          <w:szCs w:val="24"/>
        </w:rPr>
        <w:t>2025) ‘</w:t>
      </w:r>
      <w:proofErr w:type="gramEnd"/>
      <w:r w:rsidRPr="00F54FD2">
        <w:rPr>
          <w:rFonts w:ascii="Arial" w:hAnsi="Arial" w:cs="Arial"/>
          <w:sz w:val="24"/>
          <w:szCs w:val="24"/>
        </w:rPr>
        <w:t xml:space="preserve">Risk management of medication errors: improving the quality of pharmacotherapeutic practice’, </w:t>
      </w:r>
      <w:r w:rsidRPr="00F54FD2">
        <w:rPr>
          <w:rFonts w:ascii="Arial" w:hAnsi="Arial" w:cs="Arial"/>
          <w:i/>
          <w:iCs/>
          <w:sz w:val="24"/>
          <w:szCs w:val="24"/>
        </w:rPr>
        <w:t>Pharmacology Research &amp; Perspectives</w:t>
      </w:r>
      <w:r w:rsidRPr="00F54FD2">
        <w:rPr>
          <w:rFonts w:ascii="Arial" w:hAnsi="Arial" w:cs="Arial"/>
          <w:sz w:val="24"/>
          <w:szCs w:val="24"/>
        </w:rPr>
        <w:t xml:space="preserve">, 13(3). Available at: </w:t>
      </w:r>
      <w:hyperlink r:id="rId17" w:tgtFrame="_new" w:history="1">
        <w:r w:rsidRPr="00F54FD2">
          <w:rPr>
            <w:rStyle w:val="Hyperlink"/>
            <w:rFonts w:ascii="Arial" w:hAnsi="Arial" w:cs="Arial"/>
            <w:sz w:val="24"/>
            <w:szCs w:val="24"/>
          </w:rPr>
          <w:t>https://doi.org/10.1002/prp2.70093</w:t>
        </w:r>
      </w:hyperlink>
      <w:r w:rsidRPr="00F54FD2">
        <w:rPr>
          <w:rFonts w:ascii="Arial" w:hAnsi="Arial" w:cs="Arial"/>
          <w:sz w:val="24"/>
          <w:szCs w:val="24"/>
        </w:rPr>
        <w:t xml:space="preserve"> (Accessed: 17 July 2026).</w:t>
      </w:r>
    </w:p>
    <w:p w14:paraId="5765617C" w14:textId="77777777" w:rsidR="008809EB" w:rsidRPr="00F54FD2" w:rsidRDefault="008809EB" w:rsidP="008809EB">
      <w:pPr>
        <w:spacing w:line="360" w:lineRule="auto"/>
        <w:ind w:left="720" w:hanging="720"/>
        <w:rPr>
          <w:rFonts w:ascii="Arial" w:hAnsi="Arial" w:cs="Arial"/>
          <w:sz w:val="24"/>
          <w:szCs w:val="24"/>
        </w:rPr>
      </w:pPr>
      <w:proofErr w:type="spellStart"/>
      <w:r w:rsidRPr="00F54FD2">
        <w:rPr>
          <w:rFonts w:ascii="Arial" w:hAnsi="Arial" w:cs="Arial"/>
          <w:sz w:val="24"/>
          <w:szCs w:val="24"/>
        </w:rPr>
        <w:t>Dirik</w:t>
      </w:r>
      <w:proofErr w:type="spellEnd"/>
      <w:r w:rsidRPr="00F54FD2">
        <w:rPr>
          <w:rFonts w:ascii="Arial" w:hAnsi="Arial" w:cs="Arial"/>
          <w:sz w:val="24"/>
          <w:szCs w:val="24"/>
        </w:rPr>
        <w:t xml:space="preserve">, H.F., </w:t>
      </w:r>
      <w:proofErr w:type="spellStart"/>
      <w:r w:rsidRPr="00F54FD2">
        <w:rPr>
          <w:rFonts w:ascii="Arial" w:hAnsi="Arial" w:cs="Arial"/>
          <w:sz w:val="24"/>
          <w:szCs w:val="24"/>
        </w:rPr>
        <w:t>Theiakouli</w:t>
      </w:r>
      <w:proofErr w:type="spellEnd"/>
      <w:r w:rsidRPr="00F54FD2">
        <w:rPr>
          <w:rFonts w:ascii="Arial" w:hAnsi="Arial" w:cs="Arial"/>
          <w:sz w:val="24"/>
          <w:szCs w:val="24"/>
        </w:rPr>
        <w:t xml:space="preserve">, C. and Efstathiou, N. (2026) ‘The influence of nursing leadership styles on medication safety: a mixed-methods systematic review’, </w:t>
      </w:r>
      <w:r w:rsidRPr="00F54FD2">
        <w:rPr>
          <w:rFonts w:ascii="Arial" w:hAnsi="Arial" w:cs="Arial"/>
          <w:i/>
          <w:iCs/>
          <w:sz w:val="24"/>
          <w:szCs w:val="24"/>
        </w:rPr>
        <w:t>International Nursing Review</w:t>
      </w:r>
      <w:r w:rsidRPr="00F54FD2">
        <w:rPr>
          <w:rFonts w:ascii="Arial" w:hAnsi="Arial" w:cs="Arial"/>
          <w:sz w:val="24"/>
          <w:szCs w:val="24"/>
        </w:rPr>
        <w:t xml:space="preserve">, 73(1), pp. e70166–e70166. Available at: </w:t>
      </w:r>
      <w:hyperlink r:id="rId18" w:history="1">
        <w:r w:rsidRPr="00F54FD2">
          <w:rPr>
            <w:rStyle w:val="Hyperlink"/>
            <w:rFonts w:ascii="Arial" w:hAnsi="Arial" w:cs="Arial"/>
            <w:sz w:val="24"/>
            <w:szCs w:val="24"/>
          </w:rPr>
          <w:t>https://doi.org/10.1111/inr.70166</w:t>
        </w:r>
      </w:hyperlink>
      <w:r w:rsidRPr="00F54FD2">
        <w:rPr>
          <w:rFonts w:ascii="Arial" w:hAnsi="Arial" w:cs="Arial"/>
          <w:sz w:val="24"/>
          <w:szCs w:val="24"/>
        </w:rPr>
        <w:t xml:space="preserve"> (Accessed: 17 July 2026).</w:t>
      </w:r>
    </w:p>
    <w:p w14:paraId="5765617D" w14:textId="77777777" w:rsidR="008809EB" w:rsidRPr="00F54FD2" w:rsidRDefault="008809EB" w:rsidP="008809EB">
      <w:pPr>
        <w:spacing w:line="360" w:lineRule="auto"/>
        <w:ind w:left="720" w:hanging="720"/>
        <w:rPr>
          <w:rFonts w:ascii="Arial" w:hAnsi="Arial" w:cs="Arial"/>
          <w:sz w:val="24"/>
          <w:szCs w:val="24"/>
        </w:rPr>
      </w:pPr>
      <w:proofErr w:type="spellStart"/>
      <w:r w:rsidRPr="00F54FD2">
        <w:rPr>
          <w:rFonts w:ascii="Arial" w:hAnsi="Arial" w:cs="Arial"/>
          <w:sz w:val="24"/>
          <w:szCs w:val="24"/>
        </w:rPr>
        <w:t>Dresti</w:t>
      </w:r>
      <w:proofErr w:type="spellEnd"/>
      <w:r w:rsidRPr="00F54FD2">
        <w:rPr>
          <w:rFonts w:ascii="Arial" w:hAnsi="Arial" w:cs="Arial"/>
          <w:sz w:val="24"/>
          <w:szCs w:val="24"/>
        </w:rPr>
        <w:t xml:space="preserve">, S. (2025) </w:t>
      </w:r>
      <w:r w:rsidRPr="00F54FD2">
        <w:rPr>
          <w:rFonts w:ascii="Arial" w:hAnsi="Arial" w:cs="Arial"/>
          <w:i/>
          <w:iCs/>
          <w:sz w:val="24"/>
          <w:szCs w:val="24"/>
        </w:rPr>
        <w:t>Workforce and patient safety: primary and community care co-ordination for people with long-term conditions</w:t>
      </w:r>
      <w:r w:rsidRPr="00F54FD2">
        <w:rPr>
          <w:rFonts w:ascii="Arial" w:hAnsi="Arial" w:cs="Arial"/>
          <w:sz w:val="24"/>
          <w:szCs w:val="24"/>
        </w:rPr>
        <w:t xml:space="preserve">. Available at: </w:t>
      </w:r>
      <w:hyperlink r:id="rId19" w:tgtFrame="_new" w:history="1">
        <w:r w:rsidRPr="00F54FD2">
          <w:rPr>
            <w:rStyle w:val="Hyperlink"/>
            <w:rFonts w:ascii="Arial" w:hAnsi="Arial" w:cs="Arial"/>
            <w:sz w:val="24"/>
            <w:szCs w:val="24"/>
          </w:rPr>
          <w:t>https://www.hssib.org.uk/patient-safety-investigations/workforce-and-patient-safety/fourth-investigation-report/</w:t>
        </w:r>
      </w:hyperlink>
      <w:r w:rsidRPr="00F54FD2">
        <w:rPr>
          <w:rFonts w:ascii="Arial" w:hAnsi="Arial" w:cs="Arial"/>
          <w:sz w:val="24"/>
          <w:szCs w:val="24"/>
        </w:rPr>
        <w:t xml:space="preserve"> (Accessed: 17 July 2026).</w:t>
      </w:r>
    </w:p>
    <w:p w14:paraId="5765617E"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Drew, J.R. and Pandit, M. (2020) 'Why healthcare leadership should embrace quality improvement', </w:t>
      </w:r>
      <w:r w:rsidRPr="00F54FD2">
        <w:rPr>
          <w:rStyle w:val="Emphasis"/>
          <w:rFonts w:ascii="Arial" w:hAnsi="Arial" w:cs="Arial"/>
          <w:sz w:val="24"/>
          <w:szCs w:val="24"/>
        </w:rPr>
        <w:t>BMJ</w:t>
      </w:r>
      <w:r w:rsidRPr="00F54FD2">
        <w:rPr>
          <w:rFonts w:ascii="Arial" w:hAnsi="Arial" w:cs="Arial"/>
          <w:sz w:val="24"/>
          <w:szCs w:val="24"/>
        </w:rPr>
        <w:t xml:space="preserve">, 368, m872. Available at: </w:t>
      </w:r>
      <w:hyperlink r:id="rId20" w:tgtFrame="_new" w:history="1">
        <w:r w:rsidRPr="00F54FD2">
          <w:rPr>
            <w:rStyle w:val="Hyperlink"/>
            <w:rFonts w:ascii="Arial" w:hAnsi="Arial" w:cs="Arial"/>
            <w:sz w:val="24"/>
            <w:szCs w:val="24"/>
          </w:rPr>
          <w:t>https://doi.org/10.1136/bmj.m872</w:t>
        </w:r>
      </w:hyperlink>
      <w:r w:rsidRPr="00F54FD2">
        <w:rPr>
          <w:rFonts w:ascii="Arial" w:hAnsi="Arial" w:cs="Arial"/>
          <w:sz w:val="24"/>
          <w:szCs w:val="24"/>
        </w:rPr>
        <w:t xml:space="preserve"> </w:t>
      </w:r>
    </w:p>
    <w:p w14:paraId="5765617F"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Dunleavy, P. (2021) </w:t>
      </w:r>
      <w:r w:rsidRPr="00F54FD2">
        <w:rPr>
          <w:rFonts w:ascii="Arial" w:hAnsi="Arial" w:cs="Arial"/>
          <w:i/>
          <w:iCs/>
          <w:sz w:val="24"/>
          <w:szCs w:val="24"/>
        </w:rPr>
        <w:t>Regional and local productivity in the public sector: where do we stand?</w:t>
      </w:r>
      <w:r w:rsidRPr="00F54FD2">
        <w:rPr>
          <w:rFonts w:ascii="Arial" w:hAnsi="Arial" w:cs="Arial"/>
          <w:sz w:val="24"/>
          <w:szCs w:val="24"/>
        </w:rPr>
        <w:t xml:space="preserve"> Paper presented at the OECD-EC High-Level Expert </w:t>
      </w:r>
      <w:r w:rsidRPr="00F54FD2">
        <w:rPr>
          <w:rFonts w:ascii="Arial" w:hAnsi="Arial" w:cs="Arial"/>
          <w:sz w:val="24"/>
          <w:szCs w:val="24"/>
        </w:rPr>
        <w:lastRenderedPageBreak/>
        <w:t xml:space="preserve">Workshop Series ‘Productivity Policy for Places’. Available at: </w:t>
      </w:r>
      <w:hyperlink r:id="rId21" w:tgtFrame="_new" w:history="1">
        <w:r w:rsidRPr="00F54FD2">
          <w:rPr>
            <w:rStyle w:val="Hyperlink"/>
            <w:rFonts w:ascii="Arial" w:hAnsi="Arial" w:cs="Arial"/>
            <w:sz w:val="24"/>
            <w:szCs w:val="24"/>
          </w:rPr>
          <w:t>https://www.researchgate.net/publication/353795714_Regional_and_local_productivity_in_the_public_sector_Where_do_we_stand_Paper_to_the_2021_OECD-EC_high-level_expert_workshop_series_Productivity_Policy_for_Places</w:t>
        </w:r>
      </w:hyperlink>
      <w:r w:rsidRPr="00F54FD2">
        <w:rPr>
          <w:rFonts w:ascii="Arial" w:hAnsi="Arial" w:cs="Arial"/>
          <w:sz w:val="24"/>
          <w:szCs w:val="24"/>
        </w:rPr>
        <w:t xml:space="preserve"> (Accessed: 17 July 2026).</w:t>
      </w:r>
    </w:p>
    <w:p w14:paraId="57656180"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Edmonstone, J. (2020) 'Beyond healthcare leadership? The imperative for health and social care systems', </w:t>
      </w:r>
      <w:r w:rsidRPr="00F54FD2">
        <w:rPr>
          <w:rStyle w:val="Emphasis"/>
          <w:rFonts w:ascii="Arial" w:hAnsi="Arial" w:cs="Arial"/>
          <w:sz w:val="24"/>
          <w:szCs w:val="24"/>
        </w:rPr>
        <w:t>Leadership in Health Services</w:t>
      </w:r>
      <w:r w:rsidRPr="00F54FD2">
        <w:rPr>
          <w:rFonts w:ascii="Arial" w:hAnsi="Arial" w:cs="Arial"/>
          <w:sz w:val="24"/>
          <w:szCs w:val="24"/>
        </w:rPr>
        <w:t xml:space="preserve">, 33(4), pp.351–363. Available at: https://doi.org/10.1108/LHS-02-2020-0005 </w:t>
      </w:r>
    </w:p>
    <w:p w14:paraId="57656181"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Ellis, L.A., </w:t>
      </w:r>
      <w:proofErr w:type="spellStart"/>
      <w:r w:rsidRPr="00F54FD2">
        <w:rPr>
          <w:rFonts w:ascii="Arial" w:hAnsi="Arial" w:cs="Arial"/>
          <w:sz w:val="24"/>
          <w:szCs w:val="24"/>
        </w:rPr>
        <w:t>Churruca</w:t>
      </w:r>
      <w:proofErr w:type="spellEnd"/>
      <w:r w:rsidRPr="00F54FD2">
        <w:rPr>
          <w:rFonts w:ascii="Arial" w:hAnsi="Arial" w:cs="Arial"/>
          <w:sz w:val="24"/>
          <w:szCs w:val="24"/>
        </w:rPr>
        <w:t xml:space="preserve">, K., Clay-Williams, R., Pomare, C. and Braithwaite, J. (2021) 'Patterns of resilience in healthcare systems', </w:t>
      </w:r>
      <w:r w:rsidRPr="00F54FD2">
        <w:rPr>
          <w:rStyle w:val="Emphasis"/>
          <w:rFonts w:ascii="Arial" w:hAnsi="Arial" w:cs="Arial"/>
          <w:sz w:val="24"/>
          <w:szCs w:val="24"/>
        </w:rPr>
        <w:t>International Journal for Quality in Health Care</w:t>
      </w:r>
      <w:r w:rsidRPr="00F54FD2">
        <w:rPr>
          <w:rFonts w:ascii="Arial" w:hAnsi="Arial" w:cs="Arial"/>
          <w:sz w:val="24"/>
          <w:szCs w:val="24"/>
        </w:rPr>
        <w:t xml:space="preserve">, 33(Suppl.1). Available at: https://doi.org/10.1093/intqhc/mzab062 </w:t>
      </w:r>
    </w:p>
    <w:p w14:paraId="57656182"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Fyhr, A., Ternov, S. and Ek, Å. (</w:t>
      </w:r>
      <w:proofErr w:type="gramStart"/>
      <w:r w:rsidRPr="00F54FD2">
        <w:rPr>
          <w:rFonts w:ascii="Arial" w:hAnsi="Arial" w:cs="Arial"/>
          <w:sz w:val="24"/>
          <w:szCs w:val="24"/>
        </w:rPr>
        <w:t>2015) ‘</w:t>
      </w:r>
      <w:proofErr w:type="gramEnd"/>
      <w:r w:rsidRPr="00F54FD2">
        <w:rPr>
          <w:rFonts w:ascii="Arial" w:hAnsi="Arial" w:cs="Arial"/>
          <w:sz w:val="24"/>
          <w:szCs w:val="24"/>
        </w:rPr>
        <w:t xml:space="preserve">From a reactive to a proactive safety approach: analysis of medication errors in chemotherapy using general failure types’, </w:t>
      </w:r>
      <w:r w:rsidRPr="00F54FD2">
        <w:rPr>
          <w:rFonts w:ascii="Arial" w:hAnsi="Arial" w:cs="Arial"/>
          <w:i/>
          <w:iCs/>
          <w:sz w:val="24"/>
          <w:szCs w:val="24"/>
        </w:rPr>
        <w:t>European Journal of Cancer Care</w:t>
      </w:r>
      <w:r w:rsidRPr="00F54FD2">
        <w:rPr>
          <w:rFonts w:ascii="Arial" w:hAnsi="Arial" w:cs="Arial"/>
          <w:sz w:val="24"/>
          <w:szCs w:val="24"/>
        </w:rPr>
        <w:t xml:space="preserve">, 26(1), p.e12348. Available at: </w:t>
      </w:r>
      <w:hyperlink r:id="rId22" w:tgtFrame="_new" w:history="1">
        <w:r w:rsidRPr="00F54FD2">
          <w:rPr>
            <w:rStyle w:val="Hyperlink"/>
            <w:rFonts w:ascii="Arial" w:hAnsi="Arial" w:cs="Arial"/>
            <w:sz w:val="24"/>
            <w:szCs w:val="24"/>
          </w:rPr>
          <w:t>https://doi.org/10.1111/ecc.12348</w:t>
        </w:r>
      </w:hyperlink>
      <w:r w:rsidRPr="00F54FD2">
        <w:rPr>
          <w:rFonts w:ascii="Arial" w:hAnsi="Arial" w:cs="Arial"/>
          <w:sz w:val="24"/>
          <w:szCs w:val="24"/>
        </w:rPr>
        <w:t xml:space="preserve"> (Accessed: 17 July 2026).</w:t>
      </w:r>
    </w:p>
    <w:p w14:paraId="57656183"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Ghallab, A. and Sallam, F. (2026) ‘The effect of situational leadership on healthcare service quality through crisis management and resources availability: the moderating role of leader experience’, </w:t>
      </w:r>
      <w:r w:rsidRPr="00F54FD2">
        <w:rPr>
          <w:rFonts w:ascii="Arial" w:hAnsi="Arial" w:cs="Arial"/>
          <w:i/>
          <w:iCs/>
          <w:sz w:val="24"/>
          <w:szCs w:val="24"/>
        </w:rPr>
        <w:t>Risk Management and Healthcare Policy</w:t>
      </w:r>
      <w:r w:rsidRPr="00F54FD2">
        <w:rPr>
          <w:rFonts w:ascii="Arial" w:hAnsi="Arial" w:cs="Arial"/>
          <w:sz w:val="24"/>
          <w:szCs w:val="24"/>
        </w:rPr>
        <w:t xml:space="preserve">, 19, pp. 1–23. Available at: </w:t>
      </w:r>
      <w:hyperlink r:id="rId23" w:history="1">
        <w:r w:rsidRPr="00F54FD2">
          <w:rPr>
            <w:rStyle w:val="Hyperlink"/>
            <w:rFonts w:ascii="Arial" w:hAnsi="Arial" w:cs="Arial"/>
            <w:sz w:val="24"/>
            <w:szCs w:val="24"/>
          </w:rPr>
          <w:t>https://doi.org/10.2147/RMHP.S589078</w:t>
        </w:r>
      </w:hyperlink>
      <w:r w:rsidRPr="00F54FD2">
        <w:rPr>
          <w:rFonts w:ascii="Arial" w:hAnsi="Arial" w:cs="Arial"/>
          <w:sz w:val="24"/>
          <w:szCs w:val="24"/>
        </w:rPr>
        <w:t xml:space="preserve"> (Accessed: 17 July 2026).</w:t>
      </w:r>
    </w:p>
    <w:p w14:paraId="57656184"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Goundrey-Smith, S. (2018) ‘The connected community pharmacy: benefits for healthcare and implications for health policy’, </w:t>
      </w:r>
      <w:r w:rsidRPr="00F54FD2">
        <w:rPr>
          <w:rFonts w:ascii="Arial" w:hAnsi="Arial" w:cs="Arial"/>
          <w:i/>
          <w:iCs/>
          <w:sz w:val="24"/>
          <w:szCs w:val="24"/>
        </w:rPr>
        <w:t>Frontiers in Pharmacology</w:t>
      </w:r>
      <w:r w:rsidRPr="00F54FD2">
        <w:rPr>
          <w:rFonts w:ascii="Arial" w:hAnsi="Arial" w:cs="Arial"/>
          <w:sz w:val="24"/>
          <w:szCs w:val="24"/>
        </w:rPr>
        <w:t>, 9. Available at: https://doi.org/10.3389/fphar.2018.01352 (Accessed: 17 July 2026).</w:t>
      </w:r>
    </w:p>
    <w:p w14:paraId="57656185"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Hariyani, D., </w:t>
      </w:r>
      <w:proofErr w:type="spellStart"/>
      <w:r w:rsidRPr="00F54FD2">
        <w:rPr>
          <w:rFonts w:ascii="Arial" w:hAnsi="Arial" w:cs="Arial"/>
          <w:sz w:val="24"/>
          <w:szCs w:val="24"/>
        </w:rPr>
        <w:t>Hariyani</w:t>
      </w:r>
      <w:proofErr w:type="spellEnd"/>
      <w:r w:rsidRPr="00F54FD2">
        <w:rPr>
          <w:rFonts w:ascii="Arial" w:hAnsi="Arial" w:cs="Arial"/>
          <w:sz w:val="24"/>
          <w:szCs w:val="24"/>
        </w:rPr>
        <w:t>, P. and Mishra, S. (</w:t>
      </w:r>
      <w:proofErr w:type="gramStart"/>
      <w:r w:rsidRPr="00F54FD2">
        <w:rPr>
          <w:rFonts w:ascii="Arial" w:hAnsi="Arial" w:cs="Arial"/>
          <w:sz w:val="24"/>
          <w:szCs w:val="24"/>
        </w:rPr>
        <w:t>2025) ‘</w:t>
      </w:r>
      <w:proofErr w:type="gramEnd"/>
      <w:r w:rsidRPr="00F54FD2">
        <w:rPr>
          <w:rFonts w:ascii="Arial" w:hAnsi="Arial" w:cs="Arial"/>
          <w:sz w:val="24"/>
          <w:szCs w:val="24"/>
        </w:rPr>
        <w:t xml:space="preserve">The role of leadership in sustainable digital transformation of the organization’, </w:t>
      </w:r>
      <w:r w:rsidRPr="00F54FD2">
        <w:rPr>
          <w:rFonts w:ascii="Arial" w:hAnsi="Arial" w:cs="Arial"/>
          <w:i/>
          <w:iCs/>
          <w:sz w:val="24"/>
          <w:szCs w:val="24"/>
        </w:rPr>
        <w:t>Sustainable Futures</w:t>
      </w:r>
      <w:r w:rsidRPr="00F54FD2">
        <w:rPr>
          <w:rFonts w:ascii="Arial" w:hAnsi="Arial" w:cs="Arial"/>
          <w:sz w:val="24"/>
          <w:szCs w:val="24"/>
        </w:rPr>
        <w:t xml:space="preserve">, 10, p.101130. Available at: </w:t>
      </w:r>
      <w:hyperlink r:id="rId24" w:history="1">
        <w:r w:rsidRPr="00F54FD2">
          <w:rPr>
            <w:rStyle w:val="Hyperlink"/>
            <w:rFonts w:ascii="Arial" w:hAnsi="Arial" w:cs="Arial"/>
            <w:sz w:val="24"/>
            <w:szCs w:val="24"/>
          </w:rPr>
          <w:t>https://doi.org/10.1016/j.sftr.2025.101130</w:t>
        </w:r>
      </w:hyperlink>
      <w:r w:rsidRPr="00F54FD2">
        <w:rPr>
          <w:rFonts w:ascii="Arial" w:hAnsi="Arial" w:cs="Arial"/>
          <w:sz w:val="24"/>
          <w:szCs w:val="24"/>
        </w:rPr>
        <w:t xml:space="preserve"> (Accessed: 17 July 2026).</w:t>
      </w:r>
    </w:p>
    <w:p w14:paraId="57656186"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Horn, D.B., Vu, L., Porter, B.R. and Sarantopoulos, K. (2022) </w:t>
      </w:r>
      <w:r w:rsidRPr="00F54FD2">
        <w:rPr>
          <w:rFonts w:ascii="Arial" w:hAnsi="Arial" w:cs="Arial"/>
          <w:i/>
          <w:iCs/>
          <w:sz w:val="24"/>
          <w:szCs w:val="24"/>
        </w:rPr>
        <w:t>Responsible controlled substance and opioid prescribing</w:t>
      </w:r>
      <w:r w:rsidRPr="00F54FD2">
        <w:rPr>
          <w:rFonts w:ascii="Arial" w:hAnsi="Arial" w:cs="Arial"/>
          <w:sz w:val="24"/>
          <w:szCs w:val="24"/>
        </w:rPr>
        <w:t xml:space="preserve">. Available at: </w:t>
      </w:r>
      <w:hyperlink r:id="rId25" w:tgtFrame="_new" w:history="1">
        <w:r w:rsidRPr="00F54FD2">
          <w:rPr>
            <w:rStyle w:val="Hyperlink"/>
            <w:rFonts w:ascii="Arial" w:hAnsi="Arial" w:cs="Arial"/>
            <w:sz w:val="24"/>
            <w:szCs w:val="24"/>
          </w:rPr>
          <w:t>https://www.ncbi.nlm.nih.gov/books/NBK572085/</w:t>
        </w:r>
      </w:hyperlink>
      <w:r w:rsidRPr="00F54FD2">
        <w:rPr>
          <w:rFonts w:ascii="Arial" w:hAnsi="Arial" w:cs="Arial"/>
          <w:sz w:val="24"/>
          <w:szCs w:val="24"/>
        </w:rPr>
        <w:t xml:space="preserve"> (Accessed: 17 July 2026).</w:t>
      </w:r>
    </w:p>
    <w:p w14:paraId="57656187"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HSSIB (2022) </w:t>
      </w:r>
      <w:r w:rsidRPr="00F54FD2">
        <w:rPr>
          <w:rFonts w:ascii="Arial" w:hAnsi="Arial" w:cs="Arial"/>
          <w:i/>
          <w:iCs/>
          <w:sz w:val="24"/>
          <w:szCs w:val="24"/>
        </w:rPr>
        <w:t>Unintentional overdose of morphine sulfate oral solution</w:t>
      </w:r>
      <w:r w:rsidRPr="00F54FD2">
        <w:rPr>
          <w:rFonts w:ascii="Arial" w:hAnsi="Arial" w:cs="Arial"/>
          <w:sz w:val="24"/>
          <w:szCs w:val="24"/>
        </w:rPr>
        <w:t xml:space="preserve">. Available at: </w:t>
      </w:r>
      <w:hyperlink r:id="rId26" w:tgtFrame="_new" w:history="1">
        <w:r w:rsidRPr="00F54FD2">
          <w:rPr>
            <w:rStyle w:val="Hyperlink"/>
            <w:rFonts w:ascii="Arial" w:hAnsi="Arial" w:cs="Arial"/>
            <w:sz w:val="24"/>
            <w:szCs w:val="24"/>
          </w:rPr>
          <w:t>https://www.hssib.org.uk/patient-safety-investigations/unintentional-overdose-of-morphine-sulfate-oral-solution/investigation-report/</w:t>
        </w:r>
      </w:hyperlink>
      <w:r w:rsidRPr="00F54FD2">
        <w:rPr>
          <w:rFonts w:ascii="Arial" w:hAnsi="Arial" w:cs="Arial"/>
          <w:sz w:val="24"/>
          <w:szCs w:val="24"/>
        </w:rPr>
        <w:t xml:space="preserve"> (Accessed: 17 July 2026).</w:t>
      </w:r>
    </w:p>
    <w:p w14:paraId="57656188"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Hughes, R.G. and Blegen, M.A. (2022) 'Medication administration safety: Reducing preventable harm through systems approaches', </w:t>
      </w:r>
      <w:r w:rsidRPr="00F54FD2">
        <w:rPr>
          <w:rStyle w:val="Emphasis"/>
          <w:rFonts w:ascii="Arial" w:hAnsi="Arial" w:cs="Arial"/>
          <w:sz w:val="24"/>
          <w:szCs w:val="24"/>
        </w:rPr>
        <w:t>Journal of Patient Safety</w:t>
      </w:r>
      <w:r w:rsidRPr="00F54FD2">
        <w:rPr>
          <w:rFonts w:ascii="Arial" w:hAnsi="Arial" w:cs="Arial"/>
          <w:sz w:val="24"/>
          <w:szCs w:val="24"/>
        </w:rPr>
        <w:t>, 18(6), pp.467–474. Available at: https://doi.org/10.1097/PTS.0000000000000973</w:t>
      </w:r>
    </w:p>
    <w:p w14:paraId="57656189"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Hughes, R.G., Benham-Hutchins, M., Clancy, C.M. and others (2022) 'Improving patient safety through communication and teamwork', </w:t>
      </w:r>
      <w:r w:rsidRPr="00F54FD2">
        <w:rPr>
          <w:rStyle w:val="Emphasis"/>
          <w:rFonts w:ascii="Arial" w:hAnsi="Arial" w:cs="Arial"/>
          <w:sz w:val="24"/>
          <w:szCs w:val="24"/>
        </w:rPr>
        <w:t>Journal of Patient Safety</w:t>
      </w:r>
      <w:r w:rsidRPr="00F54FD2">
        <w:rPr>
          <w:rFonts w:ascii="Arial" w:hAnsi="Arial" w:cs="Arial"/>
          <w:sz w:val="24"/>
          <w:szCs w:val="24"/>
        </w:rPr>
        <w:t xml:space="preserve">, 18(2), </w:t>
      </w:r>
      <w:proofErr w:type="gramStart"/>
      <w:r w:rsidRPr="00F54FD2">
        <w:rPr>
          <w:rFonts w:ascii="Arial" w:hAnsi="Arial" w:cs="Arial"/>
          <w:sz w:val="24"/>
          <w:szCs w:val="24"/>
        </w:rPr>
        <w:t>pp.e</w:t>
      </w:r>
      <w:proofErr w:type="gramEnd"/>
      <w:r w:rsidRPr="00F54FD2">
        <w:rPr>
          <w:rFonts w:ascii="Arial" w:hAnsi="Arial" w:cs="Arial"/>
          <w:sz w:val="24"/>
          <w:szCs w:val="24"/>
        </w:rPr>
        <w:t xml:space="preserve">355–e362. Available at: https://doi.org/10.1097/PTS.0000000000000880 </w:t>
      </w:r>
    </w:p>
    <w:p w14:paraId="5765618A" w14:textId="77777777" w:rsidR="008809EB" w:rsidRPr="00F54FD2" w:rsidRDefault="008809EB" w:rsidP="008809EB">
      <w:pPr>
        <w:spacing w:line="360" w:lineRule="auto"/>
        <w:ind w:left="720" w:hanging="720"/>
        <w:rPr>
          <w:rFonts w:ascii="Arial" w:hAnsi="Arial" w:cs="Arial"/>
          <w:sz w:val="24"/>
          <w:szCs w:val="24"/>
        </w:rPr>
      </w:pPr>
      <w:proofErr w:type="spellStart"/>
      <w:r w:rsidRPr="00F54FD2">
        <w:rPr>
          <w:rFonts w:ascii="Arial" w:hAnsi="Arial" w:cs="Arial"/>
          <w:sz w:val="24"/>
          <w:szCs w:val="24"/>
        </w:rPr>
        <w:t>Jerab</w:t>
      </w:r>
      <w:proofErr w:type="spellEnd"/>
      <w:r w:rsidRPr="00F54FD2">
        <w:rPr>
          <w:rFonts w:ascii="Arial" w:hAnsi="Arial" w:cs="Arial"/>
          <w:sz w:val="24"/>
          <w:szCs w:val="24"/>
        </w:rPr>
        <w:t xml:space="preserve">, D.A. and Mabrouk, T. (2023) ‘The role of leadership in changing organizational culture’, </w:t>
      </w:r>
      <w:r w:rsidRPr="00F54FD2">
        <w:rPr>
          <w:rFonts w:ascii="Arial" w:hAnsi="Arial" w:cs="Arial"/>
          <w:i/>
          <w:iCs/>
          <w:sz w:val="24"/>
          <w:szCs w:val="24"/>
        </w:rPr>
        <w:t>International Journal of Professional Business Review</w:t>
      </w:r>
      <w:r w:rsidRPr="00F54FD2">
        <w:rPr>
          <w:rFonts w:ascii="Arial" w:hAnsi="Arial" w:cs="Arial"/>
          <w:sz w:val="24"/>
          <w:szCs w:val="24"/>
        </w:rPr>
        <w:t xml:space="preserve">, 8(9), pp. 1–17. Available at: </w:t>
      </w:r>
      <w:hyperlink r:id="rId27" w:tgtFrame="_new" w:history="1">
        <w:r w:rsidRPr="00F54FD2">
          <w:rPr>
            <w:rStyle w:val="Hyperlink"/>
            <w:rFonts w:ascii="Arial" w:hAnsi="Arial" w:cs="Arial"/>
            <w:sz w:val="24"/>
            <w:szCs w:val="24"/>
          </w:rPr>
          <w:t>https://www.researchgate.net/publication/374000466_The_Role_of_Leadership_in_Changing_Organizational_Culture</w:t>
        </w:r>
      </w:hyperlink>
      <w:r w:rsidRPr="00F54FD2">
        <w:rPr>
          <w:rFonts w:ascii="Arial" w:hAnsi="Arial" w:cs="Arial"/>
          <w:sz w:val="24"/>
          <w:szCs w:val="24"/>
        </w:rPr>
        <w:t xml:space="preserve"> (Accessed: 17 July 2026).</w:t>
      </w:r>
    </w:p>
    <w:p w14:paraId="5765618B"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Karam, M., Brault, I., Van Durme, T. and Macq, J. (2021) 'Comparing interprofessional and collective leadership in healthcare: A systematic review', </w:t>
      </w:r>
      <w:r w:rsidRPr="00F54FD2">
        <w:rPr>
          <w:rStyle w:val="Emphasis"/>
          <w:rFonts w:ascii="Arial" w:hAnsi="Arial" w:cs="Arial"/>
          <w:sz w:val="24"/>
          <w:szCs w:val="24"/>
        </w:rPr>
        <w:t>Journal of Interprofessional Care</w:t>
      </w:r>
      <w:r w:rsidRPr="00F54FD2">
        <w:rPr>
          <w:rFonts w:ascii="Arial" w:hAnsi="Arial" w:cs="Arial"/>
          <w:sz w:val="24"/>
          <w:szCs w:val="24"/>
        </w:rPr>
        <w:t xml:space="preserve">, 35(2), pp.161–172. Available at: https://doi.org/10.1080/13561820.2020.1733515 </w:t>
      </w:r>
    </w:p>
    <w:p w14:paraId="5765618C"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Lalani, M., Wytrykowski, S. and Hogan, H. (</w:t>
      </w:r>
      <w:proofErr w:type="gramStart"/>
      <w:r w:rsidRPr="00F54FD2">
        <w:rPr>
          <w:rFonts w:ascii="Arial" w:hAnsi="Arial" w:cs="Arial"/>
          <w:sz w:val="24"/>
          <w:szCs w:val="24"/>
        </w:rPr>
        <w:t>2023) ‘</w:t>
      </w:r>
      <w:proofErr w:type="gramEnd"/>
      <w:r w:rsidRPr="00F54FD2">
        <w:rPr>
          <w:rFonts w:ascii="Arial" w:hAnsi="Arial" w:cs="Arial"/>
          <w:sz w:val="24"/>
          <w:szCs w:val="24"/>
        </w:rPr>
        <w:t xml:space="preserve">Approaches to improving patient safety in integrated care: a scoping review’, </w:t>
      </w:r>
      <w:r w:rsidRPr="00F54FD2">
        <w:rPr>
          <w:rFonts w:ascii="Arial" w:hAnsi="Arial" w:cs="Arial"/>
          <w:i/>
          <w:iCs/>
          <w:sz w:val="24"/>
          <w:szCs w:val="24"/>
        </w:rPr>
        <w:t>BMJ Open</w:t>
      </w:r>
      <w:r w:rsidRPr="00F54FD2">
        <w:rPr>
          <w:rFonts w:ascii="Arial" w:hAnsi="Arial" w:cs="Arial"/>
          <w:sz w:val="24"/>
          <w:szCs w:val="24"/>
        </w:rPr>
        <w:t xml:space="preserve">, 13(4). Available at: </w:t>
      </w:r>
      <w:hyperlink r:id="rId28" w:history="1">
        <w:r w:rsidRPr="00F54FD2">
          <w:rPr>
            <w:rStyle w:val="Hyperlink"/>
            <w:rFonts w:ascii="Arial" w:hAnsi="Arial" w:cs="Arial"/>
            <w:sz w:val="24"/>
            <w:szCs w:val="24"/>
          </w:rPr>
          <w:t>https://doi.org/10.1136/bmjopen-2022-067441</w:t>
        </w:r>
      </w:hyperlink>
      <w:r w:rsidRPr="00F54FD2">
        <w:rPr>
          <w:rFonts w:ascii="Arial" w:hAnsi="Arial" w:cs="Arial"/>
          <w:sz w:val="24"/>
          <w:szCs w:val="24"/>
        </w:rPr>
        <w:t xml:space="preserve"> (Accessed: 17 July 2026).</w:t>
      </w:r>
    </w:p>
    <w:p w14:paraId="5765618D"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Lappalainen, M., </w:t>
      </w:r>
      <w:proofErr w:type="spellStart"/>
      <w:r w:rsidRPr="00F54FD2">
        <w:rPr>
          <w:rFonts w:ascii="Arial" w:hAnsi="Arial" w:cs="Arial"/>
          <w:sz w:val="24"/>
          <w:szCs w:val="24"/>
        </w:rPr>
        <w:t>Härkänen</w:t>
      </w:r>
      <w:proofErr w:type="spellEnd"/>
      <w:r w:rsidRPr="00F54FD2">
        <w:rPr>
          <w:rFonts w:ascii="Arial" w:hAnsi="Arial" w:cs="Arial"/>
          <w:sz w:val="24"/>
          <w:szCs w:val="24"/>
        </w:rPr>
        <w:t xml:space="preserve">, M. and Kvist, T. (2020) 'The relationship between nurse manager's transformational leadership style and medication safety', </w:t>
      </w:r>
      <w:r w:rsidRPr="00F54FD2">
        <w:rPr>
          <w:rStyle w:val="Emphasis"/>
          <w:rFonts w:ascii="Arial" w:hAnsi="Arial" w:cs="Arial"/>
          <w:sz w:val="24"/>
          <w:szCs w:val="24"/>
        </w:rPr>
        <w:t>Scandinavian Journal of Caring Sciences</w:t>
      </w:r>
      <w:r w:rsidRPr="00F54FD2">
        <w:rPr>
          <w:rFonts w:ascii="Arial" w:hAnsi="Arial" w:cs="Arial"/>
          <w:sz w:val="24"/>
          <w:szCs w:val="24"/>
        </w:rPr>
        <w:t xml:space="preserve">, 34(2), pp.357–369. Available at: </w:t>
      </w:r>
      <w:hyperlink r:id="rId29" w:tgtFrame="_new" w:history="1">
        <w:r w:rsidRPr="00F54FD2">
          <w:rPr>
            <w:rStyle w:val="Hyperlink"/>
            <w:rFonts w:ascii="Arial" w:hAnsi="Arial" w:cs="Arial"/>
            <w:sz w:val="24"/>
            <w:szCs w:val="24"/>
          </w:rPr>
          <w:t>https://doi.org/10.1111/scs.12737</w:t>
        </w:r>
      </w:hyperlink>
      <w:r w:rsidRPr="00F54FD2">
        <w:rPr>
          <w:rFonts w:ascii="Arial" w:hAnsi="Arial" w:cs="Arial"/>
          <w:sz w:val="24"/>
          <w:szCs w:val="24"/>
        </w:rPr>
        <w:t xml:space="preserve"> </w:t>
      </w:r>
    </w:p>
    <w:p w14:paraId="5765618E" w14:textId="77777777" w:rsidR="008809EB" w:rsidRPr="00F54FD2" w:rsidRDefault="008809EB" w:rsidP="008809EB">
      <w:pPr>
        <w:spacing w:line="360" w:lineRule="auto"/>
        <w:ind w:left="720" w:hanging="720"/>
        <w:rPr>
          <w:rFonts w:ascii="Arial" w:hAnsi="Arial" w:cs="Arial"/>
          <w:sz w:val="24"/>
          <w:szCs w:val="24"/>
        </w:rPr>
      </w:pPr>
      <w:proofErr w:type="spellStart"/>
      <w:r w:rsidRPr="00F54FD2">
        <w:rPr>
          <w:rFonts w:ascii="Arial" w:hAnsi="Arial" w:cs="Arial"/>
          <w:sz w:val="24"/>
          <w:szCs w:val="24"/>
        </w:rPr>
        <w:t>Leat</w:t>
      </w:r>
      <w:proofErr w:type="spellEnd"/>
      <w:r w:rsidRPr="00F54FD2">
        <w:rPr>
          <w:rFonts w:ascii="Arial" w:hAnsi="Arial" w:cs="Arial"/>
          <w:sz w:val="24"/>
          <w:szCs w:val="24"/>
        </w:rPr>
        <w:t xml:space="preserve">, S.J., Krishnamoorthy, A., Carbonara, A., Gold, D. and Rojas-Fernandez, C. (2016) ‘Improving the legibility of prescription medication labels for </w:t>
      </w:r>
      <w:r w:rsidRPr="00F54FD2">
        <w:rPr>
          <w:rFonts w:ascii="Arial" w:hAnsi="Arial" w:cs="Arial"/>
          <w:sz w:val="24"/>
          <w:szCs w:val="24"/>
        </w:rPr>
        <w:lastRenderedPageBreak/>
        <w:t xml:space="preserve">older adults and adults with visual impairment’, </w:t>
      </w:r>
      <w:r w:rsidRPr="00F54FD2">
        <w:rPr>
          <w:rFonts w:ascii="Arial" w:hAnsi="Arial" w:cs="Arial"/>
          <w:i/>
          <w:iCs/>
          <w:sz w:val="24"/>
          <w:szCs w:val="24"/>
        </w:rPr>
        <w:t>Canadian Pharmacists Journal: CPJ</w:t>
      </w:r>
      <w:r w:rsidRPr="00F54FD2">
        <w:rPr>
          <w:rFonts w:ascii="Arial" w:hAnsi="Arial" w:cs="Arial"/>
          <w:sz w:val="24"/>
          <w:szCs w:val="24"/>
        </w:rPr>
        <w:t xml:space="preserve">, 149(3), pp. 174–184. Available at: </w:t>
      </w:r>
      <w:hyperlink r:id="rId30" w:history="1">
        <w:r w:rsidRPr="00F54FD2">
          <w:rPr>
            <w:rStyle w:val="Hyperlink"/>
            <w:rFonts w:ascii="Arial" w:hAnsi="Arial" w:cs="Arial"/>
            <w:sz w:val="24"/>
            <w:szCs w:val="24"/>
          </w:rPr>
          <w:t>https://doi.org/10.1177/1715163516641432</w:t>
        </w:r>
      </w:hyperlink>
      <w:r w:rsidRPr="00F54FD2">
        <w:rPr>
          <w:rFonts w:ascii="Arial" w:hAnsi="Arial" w:cs="Arial"/>
          <w:sz w:val="24"/>
          <w:szCs w:val="24"/>
        </w:rPr>
        <w:t xml:space="preserve"> (Accessed: 17 July 2026).</w:t>
      </w:r>
    </w:p>
    <w:p w14:paraId="5765618F"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Lindert, L., </w:t>
      </w:r>
      <w:proofErr w:type="spellStart"/>
      <w:r w:rsidRPr="00F54FD2">
        <w:rPr>
          <w:rFonts w:ascii="Arial" w:hAnsi="Arial" w:cs="Arial"/>
          <w:sz w:val="24"/>
          <w:szCs w:val="24"/>
        </w:rPr>
        <w:t>Zeike</w:t>
      </w:r>
      <w:proofErr w:type="spellEnd"/>
      <w:r w:rsidRPr="00F54FD2">
        <w:rPr>
          <w:rFonts w:ascii="Arial" w:hAnsi="Arial" w:cs="Arial"/>
          <w:sz w:val="24"/>
          <w:szCs w:val="24"/>
        </w:rPr>
        <w:t>, S., Choi, K.-E. and Pfaff, H. (</w:t>
      </w:r>
      <w:proofErr w:type="gramStart"/>
      <w:r w:rsidRPr="00F54FD2">
        <w:rPr>
          <w:rFonts w:ascii="Arial" w:hAnsi="Arial" w:cs="Arial"/>
          <w:sz w:val="24"/>
          <w:szCs w:val="24"/>
        </w:rPr>
        <w:t>2022) ‘</w:t>
      </w:r>
      <w:proofErr w:type="gramEnd"/>
      <w:r w:rsidRPr="00F54FD2">
        <w:rPr>
          <w:rFonts w:ascii="Arial" w:hAnsi="Arial" w:cs="Arial"/>
          <w:sz w:val="24"/>
          <w:szCs w:val="24"/>
        </w:rPr>
        <w:t xml:space="preserve">Transformational leadership and employees’ psychological wellbeing: a longitudinal study’, </w:t>
      </w:r>
      <w:r w:rsidRPr="00F54FD2">
        <w:rPr>
          <w:rFonts w:ascii="Arial" w:hAnsi="Arial" w:cs="Arial"/>
          <w:i/>
          <w:iCs/>
          <w:sz w:val="24"/>
          <w:szCs w:val="24"/>
        </w:rPr>
        <w:t>International Journal of Environmental Research and Public Health</w:t>
      </w:r>
      <w:r w:rsidRPr="00F54FD2">
        <w:rPr>
          <w:rFonts w:ascii="Arial" w:hAnsi="Arial" w:cs="Arial"/>
          <w:sz w:val="24"/>
          <w:szCs w:val="24"/>
        </w:rPr>
        <w:t xml:space="preserve">, 20(1), p.676. Available at: </w:t>
      </w:r>
      <w:hyperlink r:id="rId31" w:tgtFrame="_new" w:history="1">
        <w:r w:rsidRPr="00F54FD2">
          <w:rPr>
            <w:rStyle w:val="Hyperlink"/>
            <w:rFonts w:ascii="Arial" w:hAnsi="Arial" w:cs="Arial"/>
            <w:sz w:val="24"/>
            <w:szCs w:val="24"/>
          </w:rPr>
          <w:t>https://doi.org/10.3390/ijerph20010676</w:t>
        </w:r>
      </w:hyperlink>
      <w:r w:rsidRPr="00F54FD2">
        <w:rPr>
          <w:rFonts w:ascii="Arial" w:hAnsi="Arial" w:cs="Arial"/>
          <w:sz w:val="24"/>
          <w:szCs w:val="24"/>
        </w:rPr>
        <w:t xml:space="preserve"> (Accessed: 17 July 2026).</w:t>
      </w:r>
    </w:p>
    <w:p w14:paraId="57656190"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Mannion, R. and </w:t>
      </w:r>
      <w:proofErr w:type="spellStart"/>
      <w:r w:rsidRPr="00F54FD2">
        <w:rPr>
          <w:rFonts w:ascii="Arial" w:hAnsi="Arial" w:cs="Arial"/>
          <w:sz w:val="24"/>
          <w:szCs w:val="24"/>
        </w:rPr>
        <w:t>Exworthy</w:t>
      </w:r>
      <w:proofErr w:type="spellEnd"/>
      <w:r w:rsidRPr="00F54FD2">
        <w:rPr>
          <w:rFonts w:ascii="Arial" w:hAnsi="Arial" w:cs="Arial"/>
          <w:sz w:val="24"/>
          <w:szCs w:val="24"/>
        </w:rPr>
        <w:t xml:space="preserve">, M. (2020) 'Leadership, governance and </w:t>
      </w:r>
      <w:proofErr w:type="spellStart"/>
      <w:r w:rsidRPr="00F54FD2">
        <w:rPr>
          <w:rFonts w:ascii="Arial" w:hAnsi="Arial" w:cs="Arial"/>
          <w:sz w:val="24"/>
          <w:szCs w:val="24"/>
        </w:rPr>
        <w:t>organisational</w:t>
      </w:r>
      <w:proofErr w:type="spellEnd"/>
      <w:r w:rsidRPr="00F54FD2">
        <w:rPr>
          <w:rFonts w:ascii="Arial" w:hAnsi="Arial" w:cs="Arial"/>
          <w:sz w:val="24"/>
          <w:szCs w:val="24"/>
        </w:rPr>
        <w:t xml:space="preserve"> culture in healthcare', </w:t>
      </w:r>
      <w:r w:rsidRPr="00F54FD2">
        <w:rPr>
          <w:rStyle w:val="Emphasis"/>
          <w:rFonts w:ascii="Arial" w:hAnsi="Arial" w:cs="Arial"/>
          <w:sz w:val="24"/>
          <w:szCs w:val="24"/>
        </w:rPr>
        <w:t>Journal of Health Organization and Management</w:t>
      </w:r>
      <w:r w:rsidRPr="00F54FD2">
        <w:rPr>
          <w:rFonts w:ascii="Arial" w:hAnsi="Arial" w:cs="Arial"/>
          <w:sz w:val="24"/>
          <w:szCs w:val="24"/>
        </w:rPr>
        <w:t xml:space="preserve">, 34(7), pp.753–769. Available at: https://doi.org/10.1108/JHOM-03-2020-0081 </w:t>
      </w:r>
    </w:p>
    <w:p w14:paraId="57656191"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Mapani, A. (2023) ‘Distributed leadership: a new perspective on leadership in driving innovation and transformation in healthcare?’, </w:t>
      </w:r>
      <w:r w:rsidRPr="00F54FD2">
        <w:rPr>
          <w:rFonts w:ascii="Arial" w:hAnsi="Arial" w:cs="Arial"/>
          <w:i/>
          <w:iCs/>
          <w:sz w:val="24"/>
          <w:szCs w:val="24"/>
        </w:rPr>
        <w:t>Hospital Administration and Medical Practices</w:t>
      </w:r>
      <w:r w:rsidRPr="00F54FD2">
        <w:rPr>
          <w:rFonts w:ascii="Arial" w:hAnsi="Arial" w:cs="Arial"/>
          <w:sz w:val="24"/>
          <w:szCs w:val="24"/>
        </w:rPr>
        <w:t xml:space="preserve">, 2. Available at: </w:t>
      </w:r>
      <w:hyperlink r:id="rId32" w:history="1">
        <w:r w:rsidRPr="00F54FD2">
          <w:rPr>
            <w:rStyle w:val="Hyperlink"/>
            <w:rFonts w:ascii="Arial" w:hAnsi="Arial" w:cs="Arial"/>
            <w:sz w:val="24"/>
            <w:szCs w:val="24"/>
          </w:rPr>
          <w:t>https://doi.org/10.54844/hamp.2022.0020</w:t>
        </w:r>
      </w:hyperlink>
      <w:r w:rsidRPr="00F54FD2">
        <w:rPr>
          <w:rFonts w:ascii="Arial" w:hAnsi="Arial" w:cs="Arial"/>
          <w:sz w:val="24"/>
          <w:szCs w:val="24"/>
        </w:rPr>
        <w:t xml:space="preserve"> (Accessed: 17 July 2026).</w:t>
      </w:r>
    </w:p>
    <w:p w14:paraId="57656192"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McNab, D., Bowie, P., Ross, A., MacWalter, G. and Ryan, M. (2020) 'Systems thinking for patient safety and quality improvement in healthcare', </w:t>
      </w:r>
      <w:r w:rsidRPr="00F54FD2">
        <w:rPr>
          <w:rStyle w:val="Emphasis"/>
          <w:rFonts w:ascii="Arial" w:hAnsi="Arial" w:cs="Arial"/>
          <w:sz w:val="24"/>
          <w:szCs w:val="24"/>
        </w:rPr>
        <w:t>BMJ Open Quality</w:t>
      </w:r>
      <w:r w:rsidRPr="00F54FD2">
        <w:rPr>
          <w:rFonts w:ascii="Arial" w:hAnsi="Arial" w:cs="Arial"/>
          <w:sz w:val="24"/>
          <w:szCs w:val="24"/>
        </w:rPr>
        <w:t xml:space="preserve">, 9(1). Available at: </w:t>
      </w:r>
      <w:hyperlink r:id="rId33" w:tgtFrame="_new" w:history="1">
        <w:r w:rsidRPr="00F54FD2">
          <w:rPr>
            <w:rStyle w:val="Hyperlink"/>
            <w:rFonts w:ascii="Arial" w:hAnsi="Arial" w:cs="Arial"/>
            <w:sz w:val="24"/>
            <w:szCs w:val="24"/>
          </w:rPr>
          <w:t>https://doi.org/10.1136/bmjoq-2019-000714</w:t>
        </w:r>
      </w:hyperlink>
      <w:r w:rsidRPr="00F54FD2">
        <w:rPr>
          <w:rFonts w:ascii="Arial" w:hAnsi="Arial" w:cs="Arial"/>
          <w:sz w:val="24"/>
          <w:szCs w:val="24"/>
        </w:rPr>
        <w:t xml:space="preserve"> </w:t>
      </w:r>
    </w:p>
    <w:p w14:paraId="57656193"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NHS England (2019) </w:t>
      </w:r>
      <w:r w:rsidRPr="00F54FD2">
        <w:rPr>
          <w:rFonts w:ascii="Arial" w:hAnsi="Arial" w:cs="Arial"/>
          <w:i/>
          <w:iCs/>
          <w:sz w:val="24"/>
          <w:szCs w:val="24"/>
        </w:rPr>
        <w:t>The NHS Patient Safety Strategy</w:t>
      </w:r>
      <w:r w:rsidRPr="00F54FD2">
        <w:rPr>
          <w:rFonts w:ascii="Arial" w:hAnsi="Arial" w:cs="Arial"/>
          <w:sz w:val="24"/>
          <w:szCs w:val="24"/>
        </w:rPr>
        <w:t xml:space="preserve">. Available at: </w:t>
      </w:r>
      <w:hyperlink r:id="rId34" w:tgtFrame="_new" w:history="1">
        <w:r w:rsidRPr="00F54FD2">
          <w:rPr>
            <w:rStyle w:val="Hyperlink"/>
            <w:rFonts w:ascii="Arial" w:hAnsi="Arial" w:cs="Arial"/>
            <w:sz w:val="24"/>
            <w:szCs w:val="24"/>
          </w:rPr>
          <w:t>https://www.england.nhs.uk/patient-safety/the-nhs-patient-safety-strategy/</w:t>
        </w:r>
      </w:hyperlink>
      <w:r w:rsidRPr="00F54FD2">
        <w:rPr>
          <w:rFonts w:ascii="Arial" w:hAnsi="Arial" w:cs="Arial"/>
          <w:sz w:val="24"/>
          <w:szCs w:val="24"/>
        </w:rPr>
        <w:t xml:space="preserve"> (Accessed: 17 July 2026).</w:t>
      </w:r>
    </w:p>
    <w:p w14:paraId="57656194"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O’Donovan, R., McAuliffe, E. and De Brún, A. (2021) ‘Psychological safety and healthcare team performance: a systematic review’, </w:t>
      </w:r>
      <w:r w:rsidRPr="00F54FD2">
        <w:rPr>
          <w:rFonts w:ascii="Arial" w:hAnsi="Arial" w:cs="Arial"/>
          <w:i/>
          <w:iCs/>
          <w:sz w:val="24"/>
          <w:szCs w:val="24"/>
        </w:rPr>
        <w:t>International Journal for Quality in Health Care</w:t>
      </w:r>
      <w:r w:rsidRPr="00F54FD2">
        <w:rPr>
          <w:rFonts w:ascii="Arial" w:hAnsi="Arial" w:cs="Arial"/>
          <w:sz w:val="24"/>
          <w:szCs w:val="24"/>
        </w:rPr>
        <w:t xml:space="preserve">, 33(1). Available at: </w:t>
      </w:r>
      <w:hyperlink r:id="rId35" w:history="1">
        <w:r w:rsidRPr="00F54FD2">
          <w:rPr>
            <w:rStyle w:val="Hyperlink"/>
            <w:rFonts w:ascii="Arial" w:hAnsi="Arial" w:cs="Arial"/>
            <w:sz w:val="24"/>
            <w:szCs w:val="24"/>
          </w:rPr>
          <w:t>https://doi.org/10.1093/intqhc/mzaa086</w:t>
        </w:r>
      </w:hyperlink>
      <w:r w:rsidRPr="00F54FD2">
        <w:rPr>
          <w:rFonts w:ascii="Arial" w:hAnsi="Arial" w:cs="Arial"/>
          <w:sz w:val="24"/>
          <w:szCs w:val="24"/>
        </w:rPr>
        <w:t xml:space="preserve"> (Accessed: 17 July 2026).</w:t>
      </w:r>
    </w:p>
    <w:p w14:paraId="57656195"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O’Mahony, E., Kenny, J., Hayde, J. and Dalton, K. (2023) ‘Development and evaluation of pharmacist-provided teach-back medication counselling at hospital discharge’, </w:t>
      </w:r>
      <w:r w:rsidRPr="00F54FD2">
        <w:rPr>
          <w:rFonts w:ascii="Arial" w:hAnsi="Arial" w:cs="Arial"/>
          <w:i/>
          <w:iCs/>
          <w:sz w:val="24"/>
          <w:szCs w:val="24"/>
        </w:rPr>
        <w:t>International Journal of Clinical Pharmacy</w:t>
      </w:r>
      <w:r w:rsidRPr="00F54FD2">
        <w:rPr>
          <w:rFonts w:ascii="Arial" w:hAnsi="Arial" w:cs="Arial"/>
          <w:sz w:val="24"/>
          <w:szCs w:val="24"/>
        </w:rPr>
        <w:t xml:space="preserve">, 45. Available at: </w:t>
      </w:r>
      <w:hyperlink r:id="rId36" w:tgtFrame="_new" w:history="1">
        <w:r w:rsidRPr="00F54FD2">
          <w:rPr>
            <w:rStyle w:val="Hyperlink"/>
            <w:rFonts w:ascii="Arial" w:hAnsi="Arial" w:cs="Arial"/>
            <w:sz w:val="24"/>
            <w:szCs w:val="24"/>
          </w:rPr>
          <w:t>https://doi.org/10.1007/s11096-023-01558-0</w:t>
        </w:r>
      </w:hyperlink>
      <w:r w:rsidRPr="00F54FD2">
        <w:rPr>
          <w:rFonts w:ascii="Arial" w:hAnsi="Arial" w:cs="Arial"/>
          <w:sz w:val="24"/>
          <w:szCs w:val="24"/>
        </w:rPr>
        <w:t xml:space="preserve"> (Accessed: 17 July 2026).</w:t>
      </w:r>
    </w:p>
    <w:p w14:paraId="57656196"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O'Brien, J.L. (2021) 'Relationships among structural empowerment, psychological empowerment, transformational leadership and </w:t>
      </w:r>
      <w:r w:rsidRPr="00F54FD2">
        <w:rPr>
          <w:rFonts w:ascii="Arial" w:hAnsi="Arial" w:cs="Arial"/>
          <w:sz w:val="24"/>
          <w:szCs w:val="24"/>
        </w:rPr>
        <w:lastRenderedPageBreak/>
        <w:t xml:space="preserve">employee engagement', </w:t>
      </w:r>
      <w:r w:rsidRPr="00F54FD2">
        <w:rPr>
          <w:rStyle w:val="Emphasis"/>
          <w:rFonts w:ascii="Arial" w:hAnsi="Arial" w:cs="Arial"/>
          <w:sz w:val="24"/>
          <w:szCs w:val="24"/>
        </w:rPr>
        <w:t>Journal of Nursing Management</w:t>
      </w:r>
      <w:r w:rsidRPr="00F54FD2">
        <w:rPr>
          <w:rFonts w:ascii="Arial" w:hAnsi="Arial" w:cs="Arial"/>
          <w:sz w:val="24"/>
          <w:szCs w:val="24"/>
        </w:rPr>
        <w:t xml:space="preserve">, 29(5), pp.1290–1298. Available at: https://doi.org/10.1111/jonm.13264 </w:t>
      </w:r>
    </w:p>
    <w:p w14:paraId="57656197"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O'Donovan, R., McAuliffe, E. and De Brún, A. (2021) 'Exploring psychological safety in healthcare teams', </w:t>
      </w:r>
      <w:r w:rsidRPr="00F54FD2">
        <w:rPr>
          <w:rStyle w:val="Emphasis"/>
          <w:rFonts w:ascii="Arial" w:hAnsi="Arial" w:cs="Arial"/>
          <w:sz w:val="24"/>
          <w:szCs w:val="24"/>
        </w:rPr>
        <w:t>BMC Health Services Research</w:t>
      </w:r>
      <w:r w:rsidRPr="00F54FD2">
        <w:rPr>
          <w:rFonts w:ascii="Arial" w:hAnsi="Arial" w:cs="Arial"/>
          <w:sz w:val="24"/>
          <w:szCs w:val="24"/>
        </w:rPr>
        <w:t xml:space="preserve">, 21, Article 773. Available at: https://doi.org/10.1186/s12913-021-06718-z </w:t>
      </w:r>
    </w:p>
    <w:p w14:paraId="57656198"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Owen-</w:t>
      </w:r>
      <w:proofErr w:type="spellStart"/>
      <w:r w:rsidRPr="00F54FD2">
        <w:rPr>
          <w:rFonts w:ascii="Arial" w:hAnsi="Arial" w:cs="Arial"/>
          <w:sz w:val="24"/>
          <w:szCs w:val="24"/>
        </w:rPr>
        <w:t>Boukra</w:t>
      </w:r>
      <w:proofErr w:type="spellEnd"/>
      <w:r w:rsidRPr="00F54FD2">
        <w:rPr>
          <w:rFonts w:ascii="Arial" w:hAnsi="Arial" w:cs="Arial"/>
          <w:sz w:val="24"/>
          <w:szCs w:val="24"/>
        </w:rPr>
        <w:t xml:space="preserve">, E., Cai, Z., Duddy, C., Fudge, N., Hamer-Hunt, J., Husson, F., Mahtani, K.R., Ogden, M., </w:t>
      </w:r>
      <w:proofErr w:type="spellStart"/>
      <w:r w:rsidRPr="00F54FD2">
        <w:rPr>
          <w:rFonts w:ascii="Arial" w:hAnsi="Arial" w:cs="Arial"/>
          <w:sz w:val="24"/>
          <w:szCs w:val="24"/>
        </w:rPr>
        <w:t>Swinglehurst</w:t>
      </w:r>
      <w:proofErr w:type="spellEnd"/>
      <w:r w:rsidRPr="00F54FD2">
        <w:rPr>
          <w:rFonts w:ascii="Arial" w:hAnsi="Arial" w:cs="Arial"/>
          <w:sz w:val="24"/>
          <w:szCs w:val="24"/>
        </w:rPr>
        <w:t xml:space="preserve">, D., Turner, M., Whittlesea, C., Wong, G. and Park, S. (2024) ‘Collaborative and integrated working between general practice and community pharmacies: a realist review of what works, for whom, and in which contexts’, </w:t>
      </w:r>
      <w:r w:rsidRPr="00F54FD2">
        <w:rPr>
          <w:rFonts w:ascii="Arial" w:hAnsi="Arial" w:cs="Arial"/>
          <w:i/>
          <w:iCs/>
          <w:sz w:val="24"/>
          <w:szCs w:val="24"/>
        </w:rPr>
        <w:t>Journal of Health Services Research &amp; Policy</w:t>
      </w:r>
      <w:r w:rsidRPr="00F54FD2">
        <w:rPr>
          <w:rFonts w:ascii="Arial" w:hAnsi="Arial" w:cs="Arial"/>
          <w:sz w:val="24"/>
          <w:szCs w:val="24"/>
        </w:rPr>
        <w:t xml:space="preserve">. Available at: </w:t>
      </w:r>
      <w:hyperlink r:id="rId37" w:history="1">
        <w:r w:rsidRPr="00F54FD2">
          <w:rPr>
            <w:rStyle w:val="Hyperlink"/>
            <w:rFonts w:ascii="Arial" w:hAnsi="Arial" w:cs="Arial"/>
            <w:sz w:val="24"/>
            <w:szCs w:val="24"/>
          </w:rPr>
          <w:t>https://doi.org/10.1177/13558196241290923</w:t>
        </w:r>
      </w:hyperlink>
      <w:r w:rsidRPr="00F54FD2">
        <w:rPr>
          <w:rFonts w:ascii="Arial" w:hAnsi="Arial" w:cs="Arial"/>
          <w:sz w:val="24"/>
          <w:szCs w:val="24"/>
        </w:rPr>
        <w:t xml:space="preserve"> (Accessed: 17 July 2026).</w:t>
      </w:r>
    </w:p>
    <w:p w14:paraId="57656199"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Rashdan, D., Farha, R.A., Yasin, H. and Hadi, M.A. (</w:t>
      </w:r>
      <w:proofErr w:type="gramStart"/>
      <w:r w:rsidRPr="00F54FD2">
        <w:rPr>
          <w:rFonts w:ascii="Arial" w:hAnsi="Arial" w:cs="Arial"/>
          <w:sz w:val="24"/>
          <w:szCs w:val="24"/>
        </w:rPr>
        <w:t>2025) ‘</w:t>
      </w:r>
      <w:proofErr w:type="gramEnd"/>
      <w:r w:rsidRPr="00F54FD2">
        <w:rPr>
          <w:rFonts w:ascii="Arial" w:hAnsi="Arial" w:cs="Arial"/>
          <w:sz w:val="24"/>
          <w:szCs w:val="24"/>
        </w:rPr>
        <w:t xml:space="preserve">Human factors frameworks in analysis of contributory factors to medication error: a systematic review’, </w:t>
      </w:r>
      <w:r w:rsidRPr="00F54FD2">
        <w:rPr>
          <w:rFonts w:ascii="Arial" w:hAnsi="Arial" w:cs="Arial"/>
          <w:i/>
          <w:iCs/>
          <w:sz w:val="24"/>
          <w:szCs w:val="24"/>
        </w:rPr>
        <w:t>Research in Social and Administrative Pharmacy</w:t>
      </w:r>
      <w:r w:rsidRPr="00F54FD2">
        <w:rPr>
          <w:rFonts w:ascii="Arial" w:hAnsi="Arial" w:cs="Arial"/>
          <w:sz w:val="24"/>
          <w:szCs w:val="24"/>
        </w:rPr>
        <w:t xml:space="preserve">, 21(9). Available at: </w:t>
      </w:r>
      <w:hyperlink r:id="rId38" w:tgtFrame="_new" w:history="1">
        <w:r w:rsidRPr="00F54FD2">
          <w:rPr>
            <w:rStyle w:val="Hyperlink"/>
            <w:rFonts w:ascii="Arial" w:hAnsi="Arial" w:cs="Arial"/>
            <w:sz w:val="24"/>
            <w:szCs w:val="24"/>
          </w:rPr>
          <w:t>https://doi.org/10.1016/j.sapharm.2025.04.005</w:t>
        </w:r>
      </w:hyperlink>
      <w:r w:rsidRPr="00F54FD2">
        <w:rPr>
          <w:rFonts w:ascii="Arial" w:hAnsi="Arial" w:cs="Arial"/>
          <w:sz w:val="24"/>
          <w:szCs w:val="24"/>
        </w:rPr>
        <w:t xml:space="preserve"> (Accessed: 17 July 2026).</w:t>
      </w:r>
    </w:p>
    <w:p w14:paraId="5765619A"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Ree, E. and Wiig, S. (2020) ‘Linking transformational leadership, patient safety culture and work engagement in home care services’, </w:t>
      </w:r>
      <w:r w:rsidRPr="00F54FD2">
        <w:rPr>
          <w:rFonts w:ascii="Arial" w:hAnsi="Arial" w:cs="Arial"/>
          <w:i/>
          <w:iCs/>
          <w:sz w:val="24"/>
          <w:szCs w:val="24"/>
        </w:rPr>
        <w:t>Nursing Open</w:t>
      </w:r>
      <w:r w:rsidRPr="00F54FD2">
        <w:rPr>
          <w:rFonts w:ascii="Arial" w:hAnsi="Arial" w:cs="Arial"/>
          <w:sz w:val="24"/>
          <w:szCs w:val="24"/>
        </w:rPr>
        <w:t xml:space="preserve">, 7(1), pp. 256–264. Available at: </w:t>
      </w:r>
      <w:hyperlink r:id="rId39" w:tgtFrame="_new" w:history="1">
        <w:r w:rsidRPr="00F54FD2">
          <w:rPr>
            <w:rStyle w:val="Hyperlink"/>
            <w:rFonts w:ascii="Arial" w:hAnsi="Arial" w:cs="Arial"/>
            <w:sz w:val="24"/>
            <w:szCs w:val="24"/>
          </w:rPr>
          <w:t>https://doi.org/10.1002/nop2.386</w:t>
        </w:r>
      </w:hyperlink>
      <w:r w:rsidRPr="00F54FD2">
        <w:rPr>
          <w:rFonts w:ascii="Arial" w:hAnsi="Arial" w:cs="Arial"/>
          <w:sz w:val="24"/>
          <w:szCs w:val="24"/>
        </w:rPr>
        <w:t xml:space="preserve"> (Accessed: 17 July 2026).</w:t>
      </w:r>
    </w:p>
    <w:p w14:paraId="5765619B"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Ree, E. and Wiig, S. (2020) 'Linking transformational leadership, patient safety culture and work engagement', </w:t>
      </w:r>
      <w:r w:rsidRPr="00F54FD2">
        <w:rPr>
          <w:rStyle w:val="Emphasis"/>
          <w:rFonts w:ascii="Arial" w:hAnsi="Arial" w:cs="Arial"/>
          <w:sz w:val="24"/>
          <w:szCs w:val="24"/>
        </w:rPr>
        <w:t>BMC Health Services Research</w:t>
      </w:r>
      <w:r w:rsidRPr="00F54FD2">
        <w:rPr>
          <w:rFonts w:ascii="Arial" w:hAnsi="Arial" w:cs="Arial"/>
          <w:sz w:val="24"/>
          <w:szCs w:val="24"/>
        </w:rPr>
        <w:t xml:space="preserve">, 20, Article 799. Available at: https://doi.org/10.1186/s12913-020-05671-5 </w:t>
      </w:r>
    </w:p>
    <w:p w14:paraId="5765619C"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Scanlon, M.C. and Karsh, B.-T. (2010) ‘The value of human factors to medication and patient safety in the ICU’, </w:t>
      </w:r>
      <w:r w:rsidRPr="00F54FD2">
        <w:rPr>
          <w:rFonts w:ascii="Arial" w:hAnsi="Arial" w:cs="Arial"/>
          <w:i/>
          <w:iCs/>
          <w:sz w:val="24"/>
          <w:szCs w:val="24"/>
        </w:rPr>
        <w:t>Critical Care Medicine</w:t>
      </w:r>
      <w:r w:rsidRPr="00F54FD2">
        <w:rPr>
          <w:rFonts w:ascii="Arial" w:hAnsi="Arial" w:cs="Arial"/>
          <w:sz w:val="24"/>
          <w:szCs w:val="24"/>
        </w:rPr>
        <w:t xml:space="preserve">, 38(6 Suppl.), pp. S90–S96. Available at: </w:t>
      </w:r>
      <w:hyperlink r:id="rId40" w:history="1">
        <w:r w:rsidRPr="00F54FD2">
          <w:rPr>
            <w:rStyle w:val="Hyperlink"/>
            <w:rFonts w:ascii="Arial" w:hAnsi="Arial" w:cs="Arial"/>
            <w:sz w:val="24"/>
            <w:szCs w:val="24"/>
          </w:rPr>
          <w:t>https://doi.org/10.1097/CCM.0b013e3181dd8de2</w:t>
        </w:r>
      </w:hyperlink>
      <w:r w:rsidRPr="00F54FD2">
        <w:rPr>
          <w:rFonts w:ascii="Arial" w:hAnsi="Arial" w:cs="Arial"/>
          <w:sz w:val="24"/>
          <w:szCs w:val="24"/>
        </w:rPr>
        <w:t xml:space="preserve"> (Accessed: 17 July 2026).</w:t>
      </w:r>
    </w:p>
    <w:p w14:paraId="5765619D"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Schwan, J., Sclafani, J. and Tawfik, V.L. (2019) ‘Chronic pain management in the elderly’, </w:t>
      </w:r>
      <w:r w:rsidRPr="00F54FD2">
        <w:rPr>
          <w:rFonts w:ascii="Arial" w:hAnsi="Arial" w:cs="Arial"/>
          <w:i/>
          <w:iCs/>
          <w:sz w:val="24"/>
          <w:szCs w:val="24"/>
        </w:rPr>
        <w:t>Anesthesiology Clinics</w:t>
      </w:r>
      <w:r w:rsidRPr="00F54FD2">
        <w:rPr>
          <w:rFonts w:ascii="Arial" w:hAnsi="Arial" w:cs="Arial"/>
          <w:sz w:val="24"/>
          <w:szCs w:val="24"/>
        </w:rPr>
        <w:t xml:space="preserve">, 37(3), pp. 547–560. Available at: </w:t>
      </w:r>
      <w:hyperlink r:id="rId41" w:history="1">
        <w:r w:rsidRPr="00F54FD2">
          <w:rPr>
            <w:rStyle w:val="Hyperlink"/>
            <w:rFonts w:ascii="Arial" w:hAnsi="Arial" w:cs="Arial"/>
            <w:sz w:val="24"/>
            <w:szCs w:val="24"/>
          </w:rPr>
          <w:t>https://doi.org/10.1016/j.anclin.2019.04.012</w:t>
        </w:r>
      </w:hyperlink>
      <w:r w:rsidRPr="00F54FD2">
        <w:rPr>
          <w:rFonts w:ascii="Arial" w:hAnsi="Arial" w:cs="Arial"/>
          <w:sz w:val="24"/>
          <w:szCs w:val="24"/>
        </w:rPr>
        <w:t xml:space="preserve"> (Accessed: 17 July 2026).</w:t>
      </w:r>
    </w:p>
    <w:p w14:paraId="5765619E"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lastRenderedPageBreak/>
        <w:t xml:space="preserve">Tariq, R., </w:t>
      </w:r>
      <w:proofErr w:type="spellStart"/>
      <w:r w:rsidRPr="00F54FD2">
        <w:rPr>
          <w:rFonts w:ascii="Arial" w:hAnsi="Arial" w:cs="Arial"/>
          <w:sz w:val="24"/>
          <w:szCs w:val="24"/>
        </w:rPr>
        <w:t>Scherbak</w:t>
      </w:r>
      <w:proofErr w:type="spellEnd"/>
      <w:r w:rsidRPr="00F54FD2">
        <w:rPr>
          <w:rFonts w:ascii="Arial" w:hAnsi="Arial" w:cs="Arial"/>
          <w:sz w:val="24"/>
          <w:szCs w:val="24"/>
        </w:rPr>
        <w:t xml:space="preserve">, Y., Vashisht, R. and Sinha, A. (2024) </w:t>
      </w:r>
      <w:r w:rsidRPr="00F54FD2">
        <w:rPr>
          <w:rFonts w:ascii="Arial" w:hAnsi="Arial" w:cs="Arial"/>
          <w:i/>
          <w:iCs/>
          <w:sz w:val="24"/>
          <w:szCs w:val="24"/>
        </w:rPr>
        <w:t>Medication dispensing errors and prevention</w:t>
      </w:r>
      <w:r w:rsidRPr="00F54FD2">
        <w:rPr>
          <w:rFonts w:ascii="Arial" w:hAnsi="Arial" w:cs="Arial"/>
          <w:sz w:val="24"/>
          <w:szCs w:val="24"/>
        </w:rPr>
        <w:t xml:space="preserve">. Available at: </w:t>
      </w:r>
      <w:hyperlink r:id="rId42" w:tgtFrame="_new" w:history="1">
        <w:r w:rsidRPr="00F54FD2">
          <w:rPr>
            <w:rStyle w:val="Hyperlink"/>
            <w:rFonts w:ascii="Arial" w:hAnsi="Arial" w:cs="Arial"/>
            <w:sz w:val="24"/>
            <w:szCs w:val="24"/>
          </w:rPr>
          <w:t>https://www.ncbi.nlm.nih.gov/books/NBK519065/</w:t>
        </w:r>
      </w:hyperlink>
      <w:r w:rsidRPr="00F54FD2">
        <w:rPr>
          <w:rFonts w:ascii="Arial" w:hAnsi="Arial" w:cs="Arial"/>
          <w:sz w:val="24"/>
          <w:szCs w:val="24"/>
        </w:rPr>
        <w:t xml:space="preserve"> (Accessed: 17 July 2026).</w:t>
      </w:r>
    </w:p>
    <w:p w14:paraId="5765619F" w14:textId="77777777" w:rsidR="008809EB" w:rsidRPr="00F54FD2" w:rsidRDefault="008809EB" w:rsidP="008809EB">
      <w:pPr>
        <w:spacing w:line="360" w:lineRule="auto"/>
        <w:ind w:left="720" w:hanging="720"/>
        <w:rPr>
          <w:rFonts w:ascii="Arial" w:hAnsi="Arial" w:cs="Arial"/>
          <w:sz w:val="24"/>
          <w:szCs w:val="24"/>
        </w:rPr>
      </w:pPr>
      <w:proofErr w:type="spellStart"/>
      <w:r w:rsidRPr="00F54FD2">
        <w:rPr>
          <w:rFonts w:ascii="Arial" w:hAnsi="Arial" w:cs="Arial"/>
          <w:sz w:val="24"/>
          <w:szCs w:val="24"/>
        </w:rPr>
        <w:t>Thiyagu</w:t>
      </w:r>
      <w:proofErr w:type="spellEnd"/>
      <w:r w:rsidRPr="00F54FD2">
        <w:rPr>
          <w:rFonts w:ascii="Arial" w:hAnsi="Arial" w:cs="Arial"/>
          <w:sz w:val="24"/>
          <w:szCs w:val="24"/>
        </w:rPr>
        <w:t xml:space="preserve">, R. (2010) ‘Development of indicators for identifying adverse drug events in an Indian tertiary care teaching hospital’, </w:t>
      </w:r>
      <w:r w:rsidRPr="00F54FD2">
        <w:rPr>
          <w:rFonts w:ascii="Arial" w:hAnsi="Arial" w:cs="Arial"/>
          <w:i/>
          <w:iCs/>
          <w:sz w:val="24"/>
          <w:szCs w:val="24"/>
        </w:rPr>
        <w:t>Drug, Healthcare and Patient Safety</w:t>
      </w:r>
      <w:r w:rsidRPr="00F54FD2">
        <w:rPr>
          <w:rFonts w:ascii="Arial" w:hAnsi="Arial" w:cs="Arial"/>
          <w:sz w:val="24"/>
          <w:szCs w:val="24"/>
        </w:rPr>
        <w:t xml:space="preserve">, pp. 95–102. Available at: </w:t>
      </w:r>
      <w:hyperlink r:id="rId43" w:history="1">
        <w:r w:rsidRPr="00F54FD2">
          <w:rPr>
            <w:rStyle w:val="Hyperlink"/>
            <w:rFonts w:ascii="Arial" w:hAnsi="Arial" w:cs="Arial"/>
            <w:sz w:val="24"/>
            <w:szCs w:val="24"/>
          </w:rPr>
          <w:t>https://doi.org/10.2147/DHPS.S11222</w:t>
        </w:r>
      </w:hyperlink>
      <w:r w:rsidRPr="00F54FD2">
        <w:rPr>
          <w:rFonts w:ascii="Arial" w:hAnsi="Arial" w:cs="Arial"/>
          <w:sz w:val="24"/>
          <w:szCs w:val="24"/>
        </w:rPr>
        <w:t xml:space="preserve"> (Accessed: 17 July 2026).</w:t>
      </w:r>
    </w:p>
    <w:p w14:paraId="576561A0" w14:textId="77777777" w:rsidR="008809EB" w:rsidRPr="00F54FD2" w:rsidRDefault="008809EB" w:rsidP="008809EB">
      <w:pPr>
        <w:spacing w:line="360" w:lineRule="auto"/>
        <w:ind w:left="720" w:hanging="720"/>
        <w:rPr>
          <w:rFonts w:ascii="Arial" w:hAnsi="Arial" w:cs="Arial"/>
          <w:sz w:val="24"/>
          <w:szCs w:val="24"/>
        </w:rPr>
      </w:pPr>
      <w:proofErr w:type="spellStart"/>
      <w:r w:rsidRPr="00F54FD2">
        <w:rPr>
          <w:rFonts w:ascii="Arial" w:hAnsi="Arial" w:cs="Arial"/>
          <w:sz w:val="24"/>
          <w:szCs w:val="24"/>
        </w:rPr>
        <w:t>Tubic</w:t>
      </w:r>
      <w:proofErr w:type="spellEnd"/>
      <w:r w:rsidRPr="00F54FD2">
        <w:rPr>
          <w:rFonts w:ascii="Arial" w:hAnsi="Arial" w:cs="Arial"/>
          <w:sz w:val="24"/>
          <w:szCs w:val="24"/>
        </w:rPr>
        <w:t xml:space="preserve">, B., </w:t>
      </w:r>
      <w:proofErr w:type="spellStart"/>
      <w:r w:rsidRPr="00F54FD2">
        <w:rPr>
          <w:rFonts w:ascii="Arial" w:hAnsi="Arial" w:cs="Arial"/>
          <w:sz w:val="24"/>
          <w:szCs w:val="24"/>
        </w:rPr>
        <w:t>Finizia</w:t>
      </w:r>
      <w:proofErr w:type="spellEnd"/>
      <w:r w:rsidRPr="00F54FD2">
        <w:rPr>
          <w:rFonts w:ascii="Arial" w:hAnsi="Arial" w:cs="Arial"/>
          <w:sz w:val="24"/>
          <w:szCs w:val="24"/>
        </w:rPr>
        <w:t xml:space="preserve">, C., Zainal Kamil, A., Larsson, P. and Engström, M. (2022) ‘Patients’ experience of patient safety information and participation in care during a hospital stay’, </w:t>
      </w:r>
      <w:r w:rsidRPr="00F54FD2">
        <w:rPr>
          <w:rFonts w:ascii="Arial" w:hAnsi="Arial" w:cs="Arial"/>
          <w:i/>
          <w:iCs/>
          <w:sz w:val="24"/>
          <w:szCs w:val="24"/>
        </w:rPr>
        <w:t>Nursing Open</w:t>
      </w:r>
      <w:r w:rsidRPr="00F54FD2">
        <w:rPr>
          <w:rFonts w:ascii="Arial" w:hAnsi="Arial" w:cs="Arial"/>
          <w:sz w:val="24"/>
          <w:szCs w:val="24"/>
        </w:rPr>
        <w:t xml:space="preserve">, 10(3), pp. 1684–1692. Available at: </w:t>
      </w:r>
      <w:hyperlink r:id="rId44" w:tgtFrame="_new" w:history="1">
        <w:r w:rsidRPr="00F54FD2">
          <w:rPr>
            <w:rStyle w:val="Hyperlink"/>
            <w:rFonts w:ascii="Arial" w:hAnsi="Arial" w:cs="Arial"/>
            <w:sz w:val="24"/>
            <w:szCs w:val="24"/>
          </w:rPr>
          <w:t>https://doi.org/10.1002/nop2.1423</w:t>
        </w:r>
      </w:hyperlink>
      <w:r w:rsidRPr="00F54FD2">
        <w:rPr>
          <w:rFonts w:ascii="Arial" w:hAnsi="Arial" w:cs="Arial"/>
          <w:sz w:val="24"/>
          <w:szCs w:val="24"/>
        </w:rPr>
        <w:t xml:space="preserve"> (Accessed: 17 July 2026).</w:t>
      </w:r>
    </w:p>
    <w:p w14:paraId="576561A1"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Vincent, C. and Amalberti, R. (2021) 'Safer healthcare and the role of systems thinking', </w:t>
      </w:r>
      <w:r w:rsidRPr="00F54FD2">
        <w:rPr>
          <w:rStyle w:val="Emphasis"/>
          <w:rFonts w:ascii="Arial" w:hAnsi="Arial" w:cs="Arial"/>
          <w:sz w:val="24"/>
          <w:szCs w:val="24"/>
        </w:rPr>
        <w:t>BMJ Quality &amp; Safety</w:t>
      </w:r>
      <w:r w:rsidRPr="00F54FD2">
        <w:rPr>
          <w:rFonts w:ascii="Arial" w:hAnsi="Arial" w:cs="Arial"/>
          <w:sz w:val="24"/>
          <w:szCs w:val="24"/>
        </w:rPr>
        <w:t xml:space="preserve">, 30(1), pp.1–3. Available at: https://doi.org/10.1136/bmjqs-2020-012700 </w:t>
      </w:r>
    </w:p>
    <w:p w14:paraId="576561A2"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Wagenaar, B., Schouten, B., Ket, J.C., Wagner, C. and Merten, H. (2024) ‘Addressing organizational risk factors and interventions during transitions of care for older patients: a systematic umbrella review’, </w:t>
      </w:r>
      <w:r w:rsidRPr="00F54FD2">
        <w:rPr>
          <w:rFonts w:ascii="Arial" w:hAnsi="Arial" w:cs="Arial"/>
          <w:i/>
          <w:iCs/>
          <w:sz w:val="24"/>
          <w:szCs w:val="24"/>
        </w:rPr>
        <w:t>BMC Health Services Research</w:t>
      </w:r>
      <w:r w:rsidRPr="00F54FD2">
        <w:rPr>
          <w:rFonts w:ascii="Arial" w:hAnsi="Arial" w:cs="Arial"/>
          <w:sz w:val="24"/>
          <w:szCs w:val="24"/>
        </w:rPr>
        <w:t xml:space="preserve">. Available at: </w:t>
      </w:r>
      <w:hyperlink r:id="rId45" w:tgtFrame="_new" w:history="1">
        <w:r w:rsidRPr="00F54FD2">
          <w:rPr>
            <w:rStyle w:val="Hyperlink"/>
            <w:rFonts w:ascii="Arial" w:hAnsi="Arial" w:cs="Arial"/>
            <w:sz w:val="24"/>
            <w:szCs w:val="24"/>
          </w:rPr>
          <w:t>https://pmc.ncbi.nlm.nih.gov/articles/PMC13085744/</w:t>
        </w:r>
      </w:hyperlink>
      <w:r w:rsidRPr="00F54FD2">
        <w:rPr>
          <w:rFonts w:ascii="Arial" w:hAnsi="Arial" w:cs="Arial"/>
          <w:sz w:val="24"/>
          <w:szCs w:val="24"/>
        </w:rPr>
        <w:t xml:space="preserve"> (Accessed: 17 July 2026).</w:t>
      </w:r>
    </w:p>
    <w:p w14:paraId="576561A3"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Wang, X., Liu, Y., Peng, Z., Li, B., Liang, Q., Liao, S. and Liu, M. (2024) ‘Situational leadership theory in nursing management: a scoping review’, </w:t>
      </w:r>
      <w:r w:rsidRPr="00F54FD2">
        <w:rPr>
          <w:rFonts w:ascii="Arial" w:hAnsi="Arial" w:cs="Arial"/>
          <w:i/>
          <w:iCs/>
          <w:sz w:val="24"/>
          <w:szCs w:val="24"/>
        </w:rPr>
        <w:t>BMC Nursing</w:t>
      </w:r>
      <w:r w:rsidRPr="00F54FD2">
        <w:rPr>
          <w:rFonts w:ascii="Arial" w:hAnsi="Arial" w:cs="Arial"/>
          <w:sz w:val="24"/>
          <w:szCs w:val="24"/>
        </w:rPr>
        <w:t xml:space="preserve">, 23(1). Available at: </w:t>
      </w:r>
      <w:hyperlink r:id="rId46" w:tgtFrame="_new" w:history="1">
        <w:r w:rsidRPr="00F54FD2">
          <w:rPr>
            <w:rStyle w:val="Hyperlink"/>
            <w:rFonts w:ascii="Arial" w:hAnsi="Arial" w:cs="Arial"/>
            <w:sz w:val="24"/>
            <w:szCs w:val="24"/>
          </w:rPr>
          <w:t>https://doi.org/10.1186/s12912-024-02582-9</w:t>
        </w:r>
      </w:hyperlink>
      <w:r w:rsidRPr="00F54FD2">
        <w:rPr>
          <w:rFonts w:ascii="Arial" w:hAnsi="Arial" w:cs="Arial"/>
          <w:sz w:val="24"/>
          <w:szCs w:val="24"/>
        </w:rPr>
        <w:t xml:space="preserve"> (Accessed: 17 July 2026).</w:t>
      </w:r>
    </w:p>
    <w:p w14:paraId="576561A4"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Wei, H., Sewell, K.A., Woody, G. and Rose, M.A. (2020) 'The state of the science of nurse work environments in the United States: A systematic review', </w:t>
      </w:r>
      <w:r w:rsidRPr="00F54FD2">
        <w:rPr>
          <w:rStyle w:val="Emphasis"/>
          <w:rFonts w:ascii="Arial" w:hAnsi="Arial" w:cs="Arial"/>
          <w:sz w:val="24"/>
          <w:szCs w:val="24"/>
        </w:rPr>
        <w:t>International Journal of Nursing Sciences</w:t>
      </w:r>
      <w:r w:rsidRPr="00F54FD2">
        <w:rPr>
          <w:rFonts w:ascii="Arial" w:hAnsi="Arial" w:cs="Arial"/>
          <w:sz w:val="24"/>
          <w:szCs w:val="24"/>
        </w:rPr>
        <w:t xml:space="preserve">, 7(3), pp.287–300. Available at: https://doi.org/10.1016/j.ijnss.2020.04.010 </w:t>
      </w:r>
    </w:p>
    <w:p w14:paraId="576561A5"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t xml:space="preserve">World Health Organization (2012) </w:t>
      </w:r>
      <w:r w:rsidRPr="00F54FD2">
        <w:rPr>
          <w:rFonts w:ascii="Arial" w:hAnsi="Arial" w:cs="Arial"/>
          <w:i/>
          <w:iCs/>
          <w:sz w:val="24"/>
          <w:szCs w:val="24"/>
        </w:rPr>
        <w:t>Why applying human factors is important for patient safety</w:t>
      </w:r>
      <w:r w:rsidRPr="00F54FD2">
        <w:rPr>
          <w:rFonts w:ascii="Arial" w:hAnsi="Arial" w:cs="Arial"/>
          <w:sz w:val="24"/>
          <w:szCs w:val="24"/>
        </w:rPr>
        <w:t xml:space="preserve">. Available at: </w:t>
      </w:r>
      <w:hyperlink r:id="rId47" w:tgtFrame="_new" w:history="1">
        <w:r w:rsidRPr="00F54FD2">
          <w:rPr>
            <w:rStyle w:val="Hyperlink"/>
            <w:rFonts w:ascii="Arial" w:hAnsi="Arial" w:cs="Arial"/>
            <w:sz w:val="24"/>
            <w:szCs w:val="24"/>
          </w:rPr>
          <w:t>https://www.who.int/about/licensing/en/index.html</w:t>
        </w:r>
      </w:hyperlink>
      <w:r w:rsidRPr="00F54FD2">
        <w:rPr>
          <w:rFonts w:ascii="Arial" w:hAnsi="Arial" w:cs="Arial"/>
          <w:sz w:val="24"/>
          <w:szCs w:val="24"/>
        </w:rPr>
        <w:t xml:space="preserve"> (Accessed: 17 July 2026).</w:t>
      </w:r>
    </w:p>
    <w:p w14:paraId="576561A6" w14:textId="77777777" w:rsidR="008809EB" w:rsidRPr="00F54FD2" w:rsidRDefault="008809EB" w:rsidP="008809EB">
      <w:pPr>
        <w:spacing w:line="360" w:lineRule="auto"/>
        <w:ind w:left="720" w:hanging="720"/>
        <w:rPr>
          <w:rFonts w:ascii="Arial" w:hAnsi="Arial" w:cs="Arial"/>
          <w:sz w:val="24"/>
          <w:szCs w:val="24"/>
        </w:rPr>
      </w:pPr>
      <w:r w:rsidRPr="00F54FD2">
        <w:rPr>
          <w:rFonts w:ascii="Arial" w:hAnsi="Arial" w:cs="Arial"/>
          <w:sz w:val="24"/>
          <w:szCs w:val="24"/>
        </w:rPr>
        <w:lastRenderedPageBreak/>
        <w:t xml:space="preserve">World Health Organization (2023a) </w:t>
      </w:r>
      <w:r w:rsidRPr="00F54FD2">
        <w:rPr>
          <w:rFonts w:ascii="Arial" w:hAnsi="Arial" w:cs="Arial"/>
          <w:i/>
          <w:iCs/>
          <w:sz w:val="24"/>
          <w:szCs w:val="24"/>
        </w:rPr>
        <w:t>Patient safety</w:t>
      </w:r>
      <w:r w:rsidRPr="00F54FD2">
        <w:rPr>
          <w:rFonts w:ascii="Arial" w:hAnsi="Arial" w:cs="Arial"/>
          <w:sz w:val="24"/>
          <w:szCs w:val="24"/>
        </w:rPr>
        <w:t xml:space="preserve">. Available at: </w:t>
      </w:r>
      <w:hyperlink r:id="rId48" w:tgtFrame="_new" w:history="1">
        <w:r w:rsidRPr="00F54FD2">
          <w:rPr>
            <w:rStyle w:val="Hyperlink"/>
            <w:rFonts w:ascii="Arial" w:hAnsi="Arial" w:cs="Arial"/>
            <w:sz w:val="24"/>
            <w:szCs w:val="24"/>
          </w:rPr>
          <w:t>https://www.who.int/news-room/fact-sheets/detail/patient-safety</w:t>
        </w:r>
      </w:hyperlink>
      <w:r w:rsidRPr="00F54FD2">
        <w:rPr>
          <w:rFonts w:ascii="Arial" w:hAnsi="Arial" w:cs="Arial"/>
          <w:sz w:val="24"/>
          <w:szCs w:val="24"/>
        </w:rPr>
        <w:t xml:space="preserve"> (Accessed: 17 July 2026).</w:t>
      </w:r>
    </w:p>
    <w:p w14:paraId="576561A7" w14:textId="77777777" w:rsidR="00BD4A79" w:rsidRPr="00F54FD2" w:rsidRDefault="00BD4A79">
      <w:pPr>
        <w:spacing w:line="480" w:lineRule="auto"/>
        <w:jc w:val="both"/>
        <w:rPr>
          <w:rFonts w:ascii="Arial" w:hAnsi="Arial" w:cs="Arial"/>
          <w:sz w:val="24"/>
          <w:szCs w:val="24"/>
          <w:lang w:val="en-GB"/>
        </w:rPr>
      </w:pPr>
    </w:p>
    <w:sectPr w:rsidR="00BD4A79" w:rsidRPr="00F54FD2">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ist Fallback">
    <w:altName w:val="Segoe Print"/>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FFCF9E"/>
    <w:multiLevelType w:val="multilevel"/>
    <w:tmpl w:val="3FFFCF9E"/>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 w15:restartNumberingAfterBreak="0">
    <w:nsid w:val="5E90FC13"/>
    <w:multiLevelType w:val="multilevel"/>
    <w:tmpl w:val="5E90FC13"/>
    <w:lvl w:ilvl="0">
      <w:start w:val="1"/>
      <w:numFmt w:val="bullet"/>
      <w:lvlText w:val=""/>
      <w:lvlJc w:val="left"/>
      <w:pPr>
        <w:tabs>
          <w:tab w:val="left" w:pos="720"/>
        </w:tabs>
        <w:ind w:left="720" w:hanging="360"/>
      </w:pPr>
      <w:rPr>
        <w:rFonts w:ascii="Symbol" w:hAnsi="Symbol" w:cs="Symbol" w:hint="default"/>
        <w:sz w:val="20"/>
      </w:rPr>
    </w:lvl>
    <w:lvl w:ilvl="1">
      <w:start w:val="1"/>
      <w:numFmt w:val="bullet"/>
      <w:lvlText w:val="o"/>
      <w:lvlJc w:val="left"/>
      <w:pPr>
        <w:tabs>
          <w:tab w:val="left" w:pos="1440"/>
        </w:tabs>
        <w:ind w:left="1440" w:hanging="360"/>
      </w:pPr>
      <w:rPr>
        <w:rFonts w:ascii="Courier New" w:hAnsi="Courier New" w:cs="Courier New" w:hint="default"/>
        <w:sz w:val="20"/>
      </w:rPr>
    </w:lvl>
    <w:lvl w:ilvl="2">
      <w:start w:val="1"/>
      <w:numFmt w:val="bullet"/>
      <w:lvlText w:val=""/>
      <w:lvlJc w:val="left"/>
      <w:pPr>
        <w:tabs>
          <w:tab w:val="left" w:pos="2160"/>
        </w:tabs>
        <w:ind w:left="2160" w:hanging="360"/>
      </w:pPr>
      <w:rPr>
        <w:rFonts w:ascii="Wingdings" w:hAnsi="Wingdings" w:cs="Wingdings" w:hint="default"/>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num w:numId="1" w16cid:durableId="330182029">
    <w:abstractNumId w:val="1"/>
  </w:num>
  <w:num w:numId="2" w16cid:durableId="1373503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290D53"/>
    <w:rsid w:val="000760E2"/>
    <w:rsid w:val="00077ACC"/>
    <w:rsid w:val="000E496F"/>
    <w:rsid w:val="001762D8"/>
    <w:rsid w:val="004D04EF"/>
    <w:rsid w:val="005409D6"/>
    <w:rsid w:val="005E6754"/>
    <w:rsid w:val="008436C4"/>
    <w:rsid w:val="008809EB"/>
    <w:rsid w:val="00885B7C"/>
    <w:rsid w:val="008F24F1"/>
    <w:rsid w:val="00A260E9"/>
    <w:rsid w:val="00B32FAD"/>
    <w:rsid w:val="00B828CE"/>
    <w:rsid w:val="00BB709A"/>
    <w:rsid w:val="00BD4A79"/>
    <w:rsid w:val="00DE0ABE"/>
    <w:rsid w:val="00E9254E"/>
    <w:rsid w:val="00F148D5"/>
    <w:rsid w:val="00F54FD2"/>
    <w:rsid w:val="54290D53"/>
    <w:rsid w:val="649C04A0"/>
    <w:rsid w:val="64D121CA"/>
    <w:rsid w:val="6D204C0A"/>
    <w:rsid w:val="7DD16A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5611B"/>
  <w15:docId w15:val="{BA2BB36B-46BA-40EA-A110-B2E462036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annotation text" w:qFormat="1"/>
    <w:lsdException w:name="caption" w:semiHidden="1" w:unhideWhenUsed="1" w:qFormat="1"/>
    <w:lsdException w:name="annotation reference" w:qFormat="1"/>
    <w:lsdException w:name="Title" w:qFormat="1"/>
    <w:lsdException w:name="Default Paragraph Font" w:semiHidden="1" w:uiPriority="1" w:unhideWhenUsed="1" w:qFormat="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rFonts w:ascii="Times New Roman" w:hAnsi="Times New Roman" w:cs="Times New Roman"/>
      <w:b/>
      <w:bCs/>
      <w:kern w:val="44"/>
      <w:sz w:val="32"/>
      <w:szCs w:val="32"/>
      <w:lang w:val="en-GB"/>
    </w:rPr>
  </w:style>
  <w:style w:type="paragraph" w:styleId="Heading2">
    <w:name w:val="heading 2"/>
    <w:next w:val="Normal"/>
    <w:unhideWhenUsed/>
    <w:qFormat/>
    <w:pPr>
      <w:spacing w:beforeAutospacing="1" w:afterAutospacing="1"/>
      <w:outlineLvl w:val="1"/>
    </w:pPr>
    <w:rPr>
      <w:b/>
      <w:bCs/>
      <w:sz w:val="28"/>
      <w:szCs w:val="36"/>
      <w:lang w:eastAsia="zh-CN"/>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qFormat/>
    <w:rPr>
      <w:rFonts w:ascii="Segoe UI" w:hAnsi="Segoe UI" w:cs="Segoe UI"/>
      <w:sz w:val="18"/>
      <w:szCs w:val="18"/>
    </w:rPr>
  </w:style>
  <w:style w:type="character" w:styleId="CommentReference">
    <w:name w:val="annotation reference"/>
    <w:basedOn w:val="DefaultParagraphFont"/>
    <w:qFormat/>
    <w:rPr>
      <w:sz w:val="16"/>
      <w:szCs w:val="16"/>
    </w:rPr>
  </w:style>
  <w:style w:type="paragraph" w:styleId="CommentText">
    <w:name w:val="annotation text"/>
    <w:basedOn w:val="Normal"/>
    <w:link w:val="CommentTextChar"/>
    <w:qFormat/>
  </w:style>
  <w:style w:type="paragraph" w:styleId="CommentSubject">
    <w:name w:val="annotation subject"/>
    <w:basedOn w:val="CommentText"/>
    <w:next w:val="CommentText"/>
    <w:link w:val="CommentSubjectChar"/>
    <w:rPr>
      <w:b/>
      <w:bCs/>
    </w:rPr>
  </w:style>
  <w:style w:type="character" w:styleId="Emphasis">
    <w:name w:val="Emphasis"/>
    <w:basedOn w:val="DefaultParagraphFont"/>
    <w:qFormat/>
    <w:rPr>
      <w:i/>
      <w:iCs/>
    </w:rPr>
  </w:style>
  <w:style w:type="character" w:styleId="Hyperlink">
    <w:name w:val="Hyperlink"/>
    <w:basedOn w:val="DefaultParagraphFont"/>
    <w:uiPriority w:val="99"/>
    <w:qFormat/>
    <w:rPr>
      <w:color w:val="0000FF"/>
      <w:u w:val="single"/>
    </w:rPr>
  </w:style>
  <w:style w:type="paragraph" w:styleId="NormalWeb">
    <w:name w:val="Normal (Web)"/>
    <w:qFormat/>
    <w:pPr>
      <w:spacing w:beforeAutospacing="1" w:afterAutospacing="1"/>
    </w:pPr>
    <w:rPr>
      <w:sz w:val="24"/>
      <w:szCs w:val="24"/>
      <w:lang w:eastAsia="zh-CN"/>
    </w:rPr>
  </w:style>
  <w:style w:type="character" w:styleId="Strong">
    <w:name w:val="Strong"/>
    <w:basedOn w:val="DefaultParagraphFont"/>
    <w:qFormat/>
    <w:rPr>
      <w:b/>
      <w:bCs/>
    </w:rPr>
  </w:style>
  <w:style w:type="character" w:customStyle="1" w:styleId="CommentTextChar">
    <w:name w:val="Comment Text Char"/>
    <w:basedOn w:val="DefaultParagraphFont"/>
    <w:link w:val="CommentText"/>
    <w:qFormat/>
    <w:rPr>
      <w:rFonts w:asciiTheme="minorHAnsi" w:eastAsiaTheme="minorEastAsia" w:hAnsiTheme="minorHAnsi" w:cstheme="minorBidi"/>
      <w:lang w:eastAsia="zh-CN"/>
    </w:rPr>
  </w:style>
  <w:style w:type="character" w:customStyle="1" w:styleId="CommentSubjectChar">
    <w:name w:val="Comment Subject Char"/>
    <w:basedOn w:val="CommentTextChar"/>
    <w:link w:val="CommentSubject"/>
    <w:qFormat/>
    <w:rPr>
      <w:rFonts w:asciiTheme="minorHAnsi" w:eastAsiaTheme="minorEastAsia" w:hAnsiTheme="minorHAnsi" w:cstheme="minorBidi"/>
      <w:b/>
      <w:bCs/>
      <w:lang w:eastAsia="zh-CN"/>
    </w:rPr>
  </w:style>
  <w:style w:type="character" w:customStyle="1" w:styleId="BalloonTextChar">
    <w:name w:val="Balloon Text Char"/>
    <w:basedOn w:val="DefaultParagraphFont"/>
    <w:link w:val="BalloonText"/>
    <w:qFormat/>
    <w:rPr>
      <w:rFonts w:ascii="Segoe UI" w:eastAsiaTheme="minorEastAsia" w:hAnsi="Segoe UI" w:cs="Segoe U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07/978-3-319-20928-9_3128" TargetMode="External"/><Relationship Id="rId18" Type="http://schemas.openxmlformats.org/officeDocument/2006/relationships/hyperlink" Target="https://doi.org/10.1111/inr.70166" TargetMode="External"/><Relationship Id="rId26" Type="http://schemas.openxmlformats.org/officeDocument/2006/relationships/hyperlink" Target="https://www.hssib.org.uk/patient-safety-investigations/unintentional-overdose-of-morphine-sulfate-oral-solution/investigation-report/" TargetMode="External"/><Relationship Id="rId39" Type="http://schemas.openxmlformats.org/officeDocument/2006/relationships/hyperlink" Target="https://doi.org/10.1002/nop2.386" TargetMode="External"/><Relationship Id="rId21" Type="http://schemas.openxmlformats.org/officeDocument/2006/relationships/hyperlink" Target="https://www.researchgate.net/publication/353795714_Regional_and_local_productivity_in_the_public_sector_Where_do_we_stand_Paper_to_the_2021_OECD-EC_high-level_expert_workshop_series_Productivity_Policy_for_Places" TargetMode="External"/><Relationship Id="rId34" Type="http://schemas.openxmlformats.org/officeDocument/2006/relationships/hyperlink" Target="https://www.england.nhs.uk/patient-safety/the-nhs-patient-safety-strategy/" TargetMode="External"/><Relationship Id="rId42" Type="http://schemas.openxmlformats.org/officeDocument/2006/relationships/hyperlink" Target="https://www.ncbi.nlm.nih.gov/books/NBK519065/" TargetMode="External"/><Relationship Id="rId47" Type="http://schemas.openxmlformats.org/officeDocument/2006/relationships/hyperlink" Target="https://www.who.int/about/licensing/en/index.html" TargetMode="External"/><Relationship Id="rId50" Type="http://schemas.openxmlformats.org/officeDocument/2006/relationships/theme" Target="theme/theme1.xml"/><Relationship Id="rId7" Type="http://schemas.openxmlformats.org/officeDocument/2006/relationships/hyperlink" Target="https://doi.org/10.1111/j.1365-2125.2009.03427.x" TargetMode="External"/><Relationship Id="rId2" Type="http://schemas.openxmlformats.org/officeDocument/2006/relationships/styles" Target="styles.xml"/><Relationship Id="rId16" Type="http://schemas.openxmlformats.org/officeDocument/2006/relationships/hyperlink" Target="https://www.ncbi.nlm.nih.gov/books/NBK508079/" TargetMode="External"/><Relationship Id="rId29" Type="http://schemas.openxmlformats.org/officeDocument/2006/relationships/hyperlink" Target="https://doi.org/10.1111/scs.12737?utm_source=chatgpt.com" TargetMode="External"/><Relationship Id="rId11" Type="http://schemas.openxmlformats.org/officeDocument/2006/relationships/hyperlink" Target="https://doi.org/10.1016/j.ijmedinf.2023.105017" TargetMode="External"/><Relationship Id="rId24" Type="http://schemas.openxmlformats.org/officeDocument/2006/relationships/hyperlink" Target="https://doi.org/10.1016/j.sftr.2025.101130" TargetMode="External"/><Relationship Id="rId32" Type="http://schemas.openxmlformats.org/officeDocument/2006/relationships/hyperlink" Target="https://doi.org/10.54844/hamp.2022.0020" TargetMode="External"/><Relationship Id="rId37" Type="http://schemas.openxmlformats.org/officeDocument/2006/relationships/hyperlink" Target="https://doi.org/10.1177/13558196241290923" TargetMode="External"/><Relationship Id="rId40" Type="http://schemas.openxmlformats.org/officeDocument/2006/relationships/hyperlink" Target="https://doi.org/10.1097/CCM.0b013e3181dd8de2" TargetMode="External"/><Relationship Id="rId45" Type="http://schemas.openxmlformats.org/officeDocument/2006/relationships/hyperlink" Target="https://pmc.ncbi.nlm.nih.gov/articles/PMC13085744/" TargetMode="External"/><Relationship Id="rId5" Type="http://schemas.openxmlformats.org/officeDocument/2006/relationships/image" Target="media/image1.png"/><Relationship Id="rId15" Type="http://schemas.openxmlformats.org/officeDocument/2006/relationships/hyperlink" Target="https://doi.org/10.3389/fpubh.2025.1600779" TargetMode="External"/><Relationship Id="rId23" Type="http://schemas.openxmlformats.org/officeDocument/2006/relationships/hyperlink" Target="https://doi.org/10.2147/RMHP.S589078" TargetMode="External"/><Relationship Id="rId28" Type="http://schemas.openxmlformats.org/officeDocument/2006/relationships/hyperlink" Target="https://doi.org/10.1136/bmjopen-2022-067441" TargetMode="External"/><Relationship Id="rId36" Type="http://schemas.openxmlformats.org/officeDocument/2006/relationships/hyperlink" Target="https://doi.org/10.1007/s11096-023-01558-0" TargetMode="External"/><Relationship Id="rId49" Type="http://schemas.openxmlformats.org/officeDocument/2006/relationships/fontTable" Target="fontTable.xml"/><Relationship Id="rId10" Type="http://schemas.openxmlformats.org/officeDocument/2006/relationships/hyperlink" Target="https://doi.org/10.1136/leader-2020-000228" TargetMode="External"/><Relationship Id="rId19" Type="http://schemas.openxmlformats.org/officeDocument/2006/relationships/hyperlink" Target="https://www.hssib.org.uk/patient-safety-investigations/workforce-and-patient-safety/fourth-investigation-report/" TargetMode="External"/><Relationship Id="rId31" Type="http://schemas.openxmlformats.org/officeDocument/2006/relationships/hyperlink" Target="https://doi.org/10.3390/ijerph20010676" TargetMode="External"/><Relationship Id="rId44" Type="http://schemas.openxmlformats.org/officeDocument/2006/relationships/hyperlink" Target="https://doi.org/10.1002/nop2.1423" TargetMode="External"/><Relationship Id="rId4" Type="http://schemas.openxmlformats.org/officeDocument/2006/relationships/webSettings" Target="webSettings.xml"/><Relationship Id="rId9" Type="http://schemas.openxmlformats.org/officeDocument/2006/relationships/hyperlink" Target="https://doi.org/10.1186/s40814-025-01636-2" TargetMode="External"/><Relationship Id="rId14" Type="http://schemas.openxmlformats.org/officeDocument/2006/relationships/hyperlink" Target="https://doi.org/10.1097/HMR.0000000000000385" TargetMode="External"/><Relationship Id="rId22" Type="http://schemas.openxmlformats.org/officeDocument/2006/relationships/hyperlink" Target="https://doi.org/10.1111/ecc.12348" TargetMode="External"/><Relationship Id="rId27" Type="http://schemas.openxmlformats.org/officeDocument/2006/relationships/hyperlink" Target="https://www.researchgate.net/publication/374000466_The_Role_of_Leadership_in_Changing_Organizational_Culture" TargetMode="External"/><Relationship Id="rId30" Type="http://schemas.openxmlformats.org/officeDocument/2006/relationships/hyperlink" Target="https://doi.org/10.1177/1715163516641432" TargetMode="External"/><Relationship Id="rId35" Type="http://schemas.openxmlformats.org/officeDocument/2006/relationships/hyperlink" Target="https://doi.org/10.1093/intqhc/mzaa086" TargetMode="External"/><Relationship Id="rId43" Type="http://schemas.openxmlformats.org/officeDocument/2006/relationships/hyperlink" Target="https://doi.org/10.2147/DHPS.S11222" TargetMode="External"/><Relationship Id="rId48" Type="http://schemas.openxmlformats.org/officeDocument/2006/relationships/hyperlink" Target="https://www.who.int/news-room/fact-sheets/detail/patient-safety" TargetMode="External"/><Relationship Id="rId8" Type="http://schemas.openxmlformats.org/officeDocument/2006/relationships/hyperlink" Target="https://doi.org/10.2147/JHL.S496266" TargetMode="External"/><Relationship Id="rId3" Type="http://schemas.openxmlformats.org/officeDocument/2006/relationships/settings" Target="settings.xml"/><Relationship Id="rId12" Type="http://schemas.openxmlformats.org/officeDocument/2006/relationships/hyperlink" Target="https://doi.org/10.1136/bmjoq-2019-000714" TargetMode="External"/><Relationship Id="rId17" Type="http://schemas.openxmlformats.org/officeDocument/2006/relationships/hyperlink" Target="https://doi.org/10.1002/prp2.70093" TargetMode="External"/><Relationship Id="rId25" Type="http://schemas.openxmlformats.org/officeDocument/2006/relationships/hyperlink" Target="https://www.ncbi.nlm.nih.gov/books/NBK572085/" TargetMode="External"/><Relationship Id="rId33" Type="http://schemas.openxmlformats.org/officeDocument/2006/relationships/hyperlink" Target="https://doi.org/10.1136/bmjoq-2019-000714" TargetMode="External"/><Relationship Id="rId38" Type="http://schemas.openxmlformats.org/officeDocument/2006/relationships/hyperlink" Target="https://doi.org/10.1016/j.sapharm.2025.04.005" TargetMode="External"/><Relationship Id="rId46" Type="http://schemas.openxmlformats.org/officeDocument/2006/relationships/hyperlink" Target="https://doi.org/10.1186/s12912-024-02582-9" TargetMode="External"/><Relationship Id="rId20" Type="http://schemas.openxmlformats.org/officeDocument/2006/relationships/hyperlink" Target="https://doi.org/10.1136/bmj.m872" TargetMode="External"/><Relationship Id="rId41" Type="http://schemas.openxmlformats.org/officeDocument/2006/relationships/hyperlink" Target="https://doi.org/10.1016/j.anclin.2019.04.012" TargetMode="External"/><Relationship Id="rId1" Type="http://schemas.openxmlformats.org/officeDocument/2006/relationships/numbering" Target="numbering.xml"/><Relationship Id="rId6" Type="http://schemas.openxmlformats.org/officeDocument/2006/relationships/hyperlink" Target="https://pmc.ncbi.nlm.nih.gov/articles/PMC10030275/"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31</Pages>
  <Words>8910</Words>
  <Characters>50790</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Syeda Hudaibiya</dc:creator>
  <cp:lastModifiedBy>Ivana Konjevod</cp:lastModifiedBy>
  <cp:revision>2</cp:revision>
  <dcterms:created xsi:type="dcterms:W3CDTF">2026-07-27T10:59:00Z</dcterms:created>
  <dcterms:modified xsi:type="dcterms:W3CDTF">2026-07-27T10:59:00Z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24EF38B779AC4CDE8CAAC33129247465_11</vt:lpwstr>
  </property>
  <property fmtid="{D5CDD505-2E9C-101B-9397-08002B2CF9AE}" pid="4" name="KSOTemplateDocerSaveRecord">
    <vt:lpwstr>eyJoZGlkIjoiMjM4NDc5NmIwN2NjZWI4MWZhODMzNGJiZDM0ZDk5MjUiLCJ1c2VySWQiOiIxOTQyMDEzNjc1OTg1In0=</vt:lpwstr>
  </property>
</Properties>
</file>