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0B4FCD" w14:textId="77777777" w:rsidR="003D11A6" w:rsidRDefault="003D11A6" w:rsidP="003D11A6">
      <w:pPr>
        <w:pStyle w:val="NormalWeb"/>
        <w:spacing w:before="0" w:beforeAutospacing="0" w:after="0" w:afterAutospacing="0"/>
        <w:ind w:left="-180" w:right="-334"/>
        <w:rPr>
          <w:rFonts w:ascii="Trebuchet MS" w:hAnsi="Trebuchet MS" w:cs="Tahoma"/>
          <w:sz w:val="24"/>
          <w:szCs w:val="24"/>
        </w:rPr>
      </w:pPr>
      <w:bookmarkStart w:id="0" w:name="_Hlk506810649"/>
      <w:r>
        <w:rPr>
          <w:noProof/>
        </w:rPr>
        <w:drawing>
          <wp:inline distT="0" distB="0" distL="0" distR="0" wp14:anchorId="44196576" wp14:editId="1D563C2E">
            <wp:extent cx="2880360" cy="1046480"/>
            <wp:effectExtent l="19050" t="19050" r="15240" b="2032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0360" cy="1046480"/>
                    </a:xfrm>
                    <a:prstGeom prst="rect">
                      <a:avLst/>
                    </a:prstGeom>
                    <a:noFill/>
                    <a:ln w="19050" cmpd="sng">
                      <a:solidFill>
                        <a:srgbClr val="000000"/>
                      </a:solidFill>
                      <a:miter lim="800000"/>
                      <a:headEnd/>
                      <a:tailEnd/>
                    </a:ln>
                    <a:effectLst/>
                  </pic:spPr>
                </pic:pic>
              </a:graphicData>
            </a:graphic>
          </wp:inline>
        </w:drawing>
      </w:r>
    </w:p>
    <w:p w14:paraId="010136A1" w14:textId="77777777" w:rsidR="003D11A6" w:rsidRDefault="003D11A6" w:rsidP="003D11A6">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26997916" w14:textId="77777777" w:rsidR="003D11A6" w:rsidRPr="001E50BB" w:rsidRDefault="003D11A6" w:rsidP="003D11A6">
      <w:pPr>
        <w:jc w:val="center"/>
        <w:rPr>
          <w:rFonts w:ascii="Arial" w:hAnsi="Arial" w:cs="Arial"/>
          <w:b/>
          <w:lang w:val="cy-GB"/>
        </w:rPr>
      </w:pPr>
      <w:r w:rsidRPr="001E50BB">
        <w:rPr>
          <w:rFonts w:ascii="Arial" w:hAnsi="Arial" w:cs="Arial"/>
          <w:b/>
          <w:lang w:val="cy-GB"/>
        </w:rPr>
        <w:t>(to be completed by marker)</w:t>
      </w:r>
    </w:p>
    <w:p w14:paraId="68C6F61E" w14:textId="77777777" w:rsidR="003D11A6" w:rsidRPr="001E50BB" w:rsidRDefault="003D11A6" w:rsidP="003D11A6">
      <w:pPr>
        <w:jc w:val="center"/>
        <w:rPr>
          <w:rFonts w:ascii="Arial" w:hAnsi="Arial" w:cs="Arial"/>
          <w:b/>
          <w:lang w:val="cy-GB"/>
        </w:rPr>
      </w:pPr>
    </w:p>
    <w:p w14:paraId="33DCB9EC" w14:textId="77777777" w:rsidR="003D11A6" w:rsidRDefault="003D11A6" w:rsidP="003D11A6">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3D11A6" w:rsidRPr="0065654E" w14:paraId="570F90F6" w14:textId="77777777" w:rsidTr="00FC677E">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35D56CCD" w14:textId="77777777" w:rsidR="003D11A6" w:rsidRPr="00D56E14" w:rsidRDefault="003D11A6" w:rsidP="00FC677E">
            <w:pPr>
              <w:pStyle w:val="NormalWeb"/>
              <w:spacing w:before="0" w:beforeAutospacing="0" w:after="0" w:afterAutospacing="0"/>
              <w:ind w:right="34"/>
              <w:rPr>
                <w:rFonts w:ascii="Calibri" w:hAnsi="Calibri" w:cs="Tahoma"/>
                <w:sz w:val="24"/>
                <w:szCs w:val="24"/>
              </w:rPr>
            </w:pPr>
            <w:r w:rsidRPr="0065654E">
              <w:rPr>
                <w:rFonts w:ascii="Calibri" w:hAnsi="Calibri" w:cs="Tahoma"/>
                <w:i/>
                <w:sz w:val="24"/>
                <w:szCs w:val="24"/>
              </w:rPr>
              <w:t>Student Na</w:t>
            </w:r>
            <w:r>
              <w:rPr>
                <w:rFonts w:ascii="Calibri" w:hAnsi="Calibri" w:cs="Tahoma"/>
                <w:i/>
                <w:sz w:val="24"/>
                <w:szCs w:val="24"/>
              </w:rPr>
              <w:t>me:</w:t>
            </w:r>
            <w:r>
              <w:rPr>
                <w:rFonts w:ascii="Calibri" w:hAnsi="Calibri" w:cs="Tahoma"/>
                <w:sz w:val="24"/>
                <w:szCs w:val="24"/>
              </w:rPr>
              <w:t xml:space="preserve"> Andrew Gowler</w:t>
            </w:r>
          </w:p>
          <w:p w14:paraId="57BBB4AF" w14:textId="77777777" w:rsidR="003D11A6" w:rsidRPr="0065654E" w:rsidRDefault="003D11A6" w:rsidP="00FC677E">
            <w:pPr>
              <w:pStyle w:val="NormalWeb"/>
              <w:spacing w:before="0" w:beforeAutospacing="0" w:after="0" w:afterAutospacing="0"/>
              <w:ind w:right="34"/>
              <w:rPr>
                <w:rFonts w:ascii="Calibri" w:hAnsi="Calibri" w:cs="Tahoma"/>
                <w:i/>
                <w:sz w:val="24"/>
                <w:szCs w:val="24"/>
              </w:rPr>
            </w:pPr>
          </w:p>
        </w:tc>
      </w:tr>
      <w:tr w:rsidR="003D11A6" w:rsidRPr="0065654E" w14:paraId="3211C645" w14:textId="77777777" w:rsidTr="00FC677E">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0B392315" w14:textId="77777777" w:rsidR="003D11A6" w:rsidRPr="00D56E14" w:rsidRDefault="003D11A6" w:rsidP="00FC677E">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Module Code</w:t>
            </w:r>
            <w:r w:rsidRPr="007A41B9">
              <w:rPr>
                <w:rFonts w:asciiTheme="minorHAnsi" w:hAnsiTheme="minorHAnsi" w:cstheme="minorHAnsi"/>
                <w:i/>
                <w:sz w:val="24"/>
                <w:szCs w:val="24"/>
              </w:rPr>
              <w:t xml:space="preserve">: </w:t>
            </w:r>
            <w:r w:rsidRPr="007A41B9">
              <w:rPr>
                <w:rFonts w:asciiTheme="minorHAnsi" w:hAnsiTheme="minorHAnsi" w:cstheme="minorHAnsi"/>
                <w:bCs/>
                <w:color w:val="373A3C"/>
                <w:sz w:val="24"/>
                <w:szCs w:val="24"/>
              </w:rPr>
              <w:t>CSPH4025</w:t>
            </w:r>
          </w:p>
          <w:p w14:paraId="2A039DD1" w14:textId="77777777" w:rsidR="003D11A6" w:rsidRDefault="003D11A6" w:rsidP="00FC677E">
            <w:pPr>
              <w:pStyle w:val="NormalWeb"/>
              <w:spacing w:before="0" w:beforeAutospacing="0" w:after="0" w:afterAutospacing="0"/>
              <w:ind w:right="34"/>
              <w:rPr>
                <w:rFonts w:ascii="Calibri" w:hAnsi="Calibri" w:cs="Tahoma"/>
                <w:i/>
                <w:sz w:val="24"/>
                <w:szCs w:val="24"/>
              </w:rPr>
            </w:pPr>
          </w:p>
          <w:p w14:paraId="67CA35D0" w14:textId="77777777" w:rsidR="003D11A6" w:rsidRPr="00D56E14" w:rsidRDefault="003D11A6" w:rsidP="00FC677E">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w:t>
            </w:r>
            <w:r w:rsidRPr="007A41B9">
              <w:rPr>
                <w:rFonts w:ascii="Calibri" w:hAnsi="Calibri" w:cs="Tahoma"/>
                <w:sz w:val="24"/>
                <w:szCs w:val="24"/>
              </w:rPr>
              <w:t xml:space="preserve"> Ancient Greek Philosophy</w:t>
            </w:r>
            <w:r>
              <w:rPr>
                <w:rFonts w:ascii="Calibri" w:hAnsi="Calibri" w:cs="Tahoma"/>
                <w:i/>
                <w:sz w:val="24"/>
                <w:szCs w:val="24"/>
              </w:rPr>
              <w:t xml:space="preserve"> </w:t>
            </w:r>
          </w:p>
          <w:p w14:paraId="537F5310" w14:textId="77777777" w:rsidR="003D11A6" w:rsidRPr="0065654E" w:rsidRDefault="003D11A6" w:rsidP="00FC677E">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56A2793C" w14:textId="77777777" w:rsidR="003D11A6" w:rsidRPr="00D56E14" w:rsidRDefault="003D11A6" w:rsidP="00FC677E">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sz w:val="24"/>
                <w:szCs w:val="24"/>
              </w:rPr>
              <w:t xml:space="preserve"> 1704494</w:t>
            </w:r>
          </w:p>
        </w:tc>
      </w:tr>
      <w:tr w:rsidR="003D11A6" w:rsidRPr="0065654E" w14:paraId="05FC6794" w14:textId="77777777" w:rsidTr="00FC677E">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6EF005E0" w14:textId="77777777" w:rsidR="003D11A6" w:rsidRPr="0065654E" w:rsidRDefault="003D11A6" w:rsidP="00FC677E">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091E6727" w14:textId="77777777" w:rsidR="003D11A6" w:rsidRDefault="003D11A6" w:rsidP="00FC677E">
            <w:pPr>
              <w:pStyle w:val="NormalWeb"/>
              <w:rPr>
                <w:rFonts w:ascii="Calibri" w:hAnsi="Calibri" w:cs="Tahoma"/>
                <w:i/>
                <w:sz w:val="24"/>
                <w:szCs w:val="24"/>
              </w:rPr>
            </w:pPr>
            <w:r w:rsidRPr="0065654E">
              <w:rPr>
                <w:rFonts w:ascii="Calibri" w:hAnsi="Calibri" w:cs="Tahoma"/>
                <w:i/>
                <w:sz w:val="24"/>
                <w:szCs w:val="24"/>
              </w:rPr>
              <w:t>Comments:</w:t>
            </w:r>
          </w:p>
          <w:p w14:paraId="6E67F18C" w14:textId="77777777" w:rsidR="003D11A6" w:rsidRDefault="003D11A6" w:rsidP="00FC677E">
            <w:pPr>
              <w:pStyle w:val="NormalWeb"/>
              <w:rPr>
                <w:rFonts w:ascii="Calibri" w:hAnsi="Calibri" w:cs="Tahoma"/>
                <w:i/>
                <w:sz w:val="24"/>
                <w:szCs w:val="24"/>
              </w:rPr>
            </w:pPr>
          </w:p>
          <w:p w14:paraId="24AA7269" w14:textId="77777777" w:rsidR="003D11A6" w:rsidRDefault="003D11A6" w:rsidP="00FC677E">
            <w:pPr>
              <w:pStyle w:val="NormalWeb"/>
              <w:rPr>
                <w:rFonts w:ascii="Calibri" w:hAnsi="Calibri" w:cs="Tahoma"/>
                <w:i/>
                <w:sz w:val="24"/>
                <w:szCs w:val="24"/>
              </w:rPr>
            </w:pPr>
          </w:p>
          <w:p w14:paraId="39F3E503" w14:textId="77777777" w:rsidR="003D11A6" w:rsidRDefault="003D11A6" w:rsidP="00FC677E">
            <w:pPr>
              <w:pStyle w:val="NormalWeb"/>
              <w:rPr>
                <w:rFonts w:ascii="Calibri" w:hAnsi="Calibri" w:cs="Tahoma"/>
                <w:i/>
                <w:sz w:val="24"/>
                <w:szCs w:val="24"/>
              </w:rPr>
            </w:pPr>
          </w:p>
          <w:p w14:paraId="5CA566C6" w14:textId="77777777" w:rsidR="003D11A6" w:rsidRDefault="003D11A6" w:rsidP="00FC677E">
            <w:pPr>
              <w:pStyle w:val="NormalWeb"/>
              <w:rPr>
                <w:rFonts w:ascii="Calibri" w:hAnsi="Calibri" w:cs="Tahoma"/>
                <w:i/>
                <w:sz w:val="24"/>
                <w:szCs w:val="24"/>
              </w:rPr>
            </w:pPr>
          </w:p>
          <w:p w14:paraId="5064AD18" w14:textId="77777777" w:rsidR="003D11A6" w:rsidRDefault="003D11A6" w:rsidP="00FC677E">
            <w:pPr>
              <w:pStyle w:val="NormalWeb"/>
              <w:rPr>
                <w:rFonts w:ascii="Calibri" w:hAnsi="Calibri" w:cs="Tahoma"/>
                <w:i/>
                <w:sz w:val="24"/>
                <w:szCs w:val="24"/>
              </w:rPr>
            </w:pPr>
          </w:p>
          <w:p w14:paraId="41515287" w14:textId="77777777" w:rsidR="003D11A6" w:rsidRDefault="003D11A6" w:rsidP="00FC677E">
            <w:pPr>
              <w:pStyle w:val="NormalWeb"/>
              <w:rPr>
                <w:rFonts w:ascii="Calibri" w:hAnsi="Calibri" w:cs="Tahoma"/>
                <w:i/>
                <w:sz w:val="24"/>
                <w:szCs w:val="24"/>
              </w:rPr>
            </w:pPr>
          </w:p>
          <w:p w14:paraId="67D7D297" w14:textId="77777777" w:rsidR="003D11A6" w:rsidRDefault="003D11A6" w:rsidP="00FC677E">
            <w:pPr>
              <w:pStyle w:val="NormalWeb"/>
              <w:rPr>
                <w:rFonts w:ascii="Calibri" w:hAnsi="Calibri" w:cs="Tahoma"/>
                <w:i/>
                <w:sz w:val="24"/>
                <w:szCs w:val="24"/>
              </w:rPr>
            </w:pPr>
          </w:p>
          <w:p w14:paraId="5DB6EAFB" w14:textId="77777777" w:rsidR="003D11A6" w:rsidRDefault="003D11A6" w:rsidP="00FC677E">
            <w:pPr>
              <w:pStyle w:val="NormalWeb"/>
              <w:rPr>
                <w:rFonts w:ascii="Calibri" w:hAnsi="Calibri" w:cs="Tahoma"/>
                <w:i/>
                <w:sz w:val="24"/>
                <w:szCs w:val="24"/>
              </w:rPr>
            </w:pPr>
          </w:p>
          <w:p w14:paraId="4D619040" w14:textId="77777777" w:rsidR="003D11A6" w:rsidRDefault="003D11A6" w:rsidP="00FC677E">
            <w:pPr>
              <w:pStyle w:val="NormalWeb"/>
              <w:rPr>
                <w:rFonts w:ascii="Calibri" w:hAnsi="Calibri" w:cs="Tahoma"/>
                <w:i/>
                <w:sz w:val="24"/>
                <w:szCs w:val="24"/>
              </w:rPr>
            </w:pPr>
          </w:p>
          <w:p w14:paraId="32E7C4C3" w14:textId="77777777" w:rsidR="003D11A6" w:rsidRDefault="003D11A6" w:rsidP="00FC677E">
            <w:pPr>
              <w:pStyle w:val="NormalWeb"/>
              <w:rPr>
                <w:rFonts w:ascii="Calibri" w:hAnsi="Calibri" w:cs="Tahoma"/>
                <w:i/>
                <w:sz w:val="24"/>
                <w:szCs w:val="24"/>
              </w:rPr>
            </w:pPr>
          </w:p>
          <w:p w14:paraId="00743AB2" w14:textId="77777777" w:rsidR="003D11A6" w:rsidRPr="0065654E" w:rsidRDefault="003D11A6" w:rsidP="00FC677E">
            <w:pPr>
              <w:pStyle w:val="NormalWeb"/>
              <w:rPr>
                <w:rFonts w:ascii="Calibri" w:hAnsi="Calibri" w:cs="Tahoma"/>
                <w:i/>
                <w:sz w:val="24"/>
                <w:szCs w:val="24"/>
              </w:rPr>
            </w:pPr>
          </w:p>
        </w:tc>
      </w:tr>
      <w:tr w:rsidR="003D11A6" w:rsidRPr="0065654E" w14:paraId="21A477E5" w14:textId="77777777" w:rsidTr="00FC677E">
        <w:trPr>
          <w:trHeight w:val="492"/>
        </w:trPr>
        <w:tc>
          <w:tcPr>
            <w:tcW w:w="6768" w:type="dxa"/>
            <w:gridSpan w:val="2"/>
            <w:tcBorders>
              <w:top w:val="single" w:sz="4" w:space="0" w:color="auto"/>
            </w:tcBorders>
            <w:vAlign w:val="center"/>
          </w:tcPr>
          <w:p w14:paraId="3F1E52FD" w14:textId="77777777" w:rsidR="003D11A6" w:rsidRPr="0065654E" w:rsidRDefault="003D11A6" w:rsidP="00FC677E">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0962780E" w14:textId="77777777" w:rsidR="003D11A6" w:rsidRPr="0065654E" w:rsidRDefault="003D11A6" w:rsidP="00FC677E">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3D11A6" w:rsidRPr="0065654E" w14:paraId="628C86B9" w14:textId="77777777" w:rsidTr="00FC677E">
        <w:tc>
          <w:tcPr>
            <w:tcW w:w="8755" w:type="dxa"/>
            <w:gridSpan w:val="3"/>
            <w:vAlign w:val="center"/>
          </w:tcPr>
          <w:p w14:paraId="3D98589E" w14:textId="77777777" w:rsidR="003D11A6" w:rsidRDefault="003D11A6" w:rsidP="00FC677E">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188C89BB" w14:textId="77777777" w:rsidR="003D11A6" w:rsidRPr="0065654E" w:rsidRDefault="003D11A6" w:rsidP="00FC677E">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0CF0A251" w14:textId="0522F045" w:rsidR="005C6127" w:rsidRDefault="00E56BBE" w:rsidP="007C0B1D">
      <w:pPr>
        <w:jc w:val="center"/>
        <w:rPr>
          <w:rFonts w:ascii="Book Antiqua" w:hAnsi="Book Antiqua" w:cs="Arial"/>
          <w:color w:val="373A3C"/>
          <w:sz w:val="28"/>
          <w:szCs w:val="28"/>
          <w:u w:val="single"/>
        </w:rPr>
      </w:pPr>
      <w:bookmarkStart w:id="1" w:name="_GoBack"/>
      <w:bookmarkEnd w:id="0"/>
      <w:bookmarkEnd w:id="1"/>
      <w:r w:rsidRPr="00E56BBE">
        <w:rPr>
          <w:rFonts w:ascii="Book Antiqua" w:hAnsi="Book Antiqua" w:cs="Arial"/>
          <w:color w:val="373A3C"/>
          <w:sz w:val="28"/>
          <w:szCs w:val="28"/>
          <w:u w:val="single"/>
        </w:rPr>
        <w:lastRenderedPageBreak/>
        <w:t>What does Heraclitus mean in saying that we never step into the same river twice?</w:t>
      </w:r>
    </w:p>
    <w:p w14:paraId="068FAD16" w14:textId="77777777" w:rsidR="00E56BBE" w:rsidRDefault="00E56BBE" w:rsidP="00E56BBE">
      <w:pPr>
        <w:jc w:val="both"/>
        <w:rPr>
          <w:rFonts w:ascii="Book Antiqua" w:hAnsi="Book Antiqua"/>
          <w:sz w:val="28"/>
          <w:szCs w:val="28"/>
          <w:u w:val="single"/>
        </w:rPr>
      </w:pPr>
    </w:p>
    <w:p w14:paraId="50EFC62F" w14:textId="4FF06691" w:rsidR="00E56BBE" w:rsidRDefault="00E56BBE" w:rsidP="00E56BBE">
      <w:pPr>
        <w:jc w:val="both"/>
        <w:rPr>
          <w:rFonts w:ascii="Times New Roman" w:hAnsi="Times New Roman" w:cs="Times New Roman"/>
          <w:sz w:val="24"/>
          <w:szCs w:val="24"/>
        </w:rPr>
      </w:pPr>
      <w:r>
        <w:rPr>
          <w:rFonts w:ascii="Times New Roman" w:hAnsi="Times New Roman" w:cs="Times New Roman"/>
          <w:sz w:val="24"/>
          <w:szCs w:val="24"/>
        </w:rPr>
        <w:t xml:space="preserve">This essay will consider </w:t>
      </w:r>
      <w:r w:rsidR="0066716C">
        <w:rPr>
          <w:rFonts w:ascii="Times New Roman" w:hAnsi="Times New Roman" w:cs="Times New Roman"/>
          <w:sz w:val="24"/>
          <w:szCs w:val="24"/>
        </w:rPr>
        <w:t xml:space="preserve">texts taken from early philosophers that are attributed to Heraclitus </w:t>
      </w:r>
      <w:r w:rsidR="00FD5207">
        <w:rPr>
          <w:rFonts w:ascii="Times New Roman" w:hAnsi="Times New Roman" w:cs="Times New Roman"/>
          <w:sz w:val="24"/>
          <w:szCs w:val="24"/>
        </w:rPr>
        <w:t xml:space="preserve"> </w:t>
      </w:r>
      <w:r w:rsidR="0066716C">
        <w:rPr>
          <w:rFonts w:ascii="Times New Roman" w:hAnsi="Times New Roman" w:cs="Times New Roman"/>
          <w:sz w:val="24"/>
          <w:szCs w:val="24"/>
        </w:rPr>
        <w:t xml:space="preserve"> </w:t>
      </w:r>
      <w:r w:rsidR="00B93A94">
        <w:rPr>
          <w:rFonts w:ascii="Times New Roman" w:hAnsi="Times New Roman" w:cs="Times New Roman"/>
          <w:sz w:val="24"/>
          <w:szCs w:val="24"/>
        </w:rPr>
        <w:t>along with commentary</w:t>
      </w:r>
      <w:r w:rsidR="00B93A94">
        <w:rPr>
          <w:rFonts w:ascii="Times New Roman" w:hAnsi="Times New Roman" w:cs="Times New Roman"/>
          <w:sz w:val="24"/>
          <w:szCs w:val="24"/>
        </w:rPr>
        <w:t xml:space="preserve"> </w:t>
      </w:r>
      <w:r w:rsidR="00FD5207">
        <w:rPr>
          <w:rFonts w:ascii="Times New Roman" w:hAnsi="Times New Roman" w:cs="Times New Roman"/>
          <w:sz w:val="24"/>
          <w:szCs w:val="24"/>
        </w:rPr>
        <w:t xml:space="preserve">from </w:t>
      </w:r>
      <w:r>
        <w:rPr>
          <w:rFonts w:ascii="Times New Roman" w:hAnsi="Times New Roman" w:cs="Times New Roman"/>
          <w:sz w:val="24"/>
          <w:szCs w:val="24"/>
        </w:rPr>
        <w:t>two modern philosopher</w:t>
      </w:r>
      <w:r w:rsidR="0066716C">
        <w:rPr>
          <w:rFonts w:ascii="Times New Roman" w:hAnsi="Times New Roman" w:cs="Times New Roman"/>
          <w:sz w:val="24"/>
          <w:szCs w:val="24"/>
        </w:rPr>
        <w:t>s</w:t>
      </w:r>
      <w:r w:rsidR="00B93A94">
        <w:rPr>
          <w:rFonts w:ascii="Times New Roman" w:hAnsi="Times New Roman" w:cs="Times New Roman"/>
          <w:sz w:val="24"/>
          <w:szCs w:val="24"/>
        </w:rPr>
        <w:t>. The scholars I</w:t>
      </w:r>
      <w:r w:rsidR="00FD5207">
        <w:rPr>
          <w:rFonts w:ascii="Times New Roman" w:hAnsi="Times New Roman" w:cs="Times New Roman"/>
          <w:sz w:val="24"/>
          <w:szCs w:val="24"/>
        </w:rPr>
        <w:t xml:space="preserve"> shall use</w:t>
      </w:r>
      <w:r w:rsidR="00B93A94">
        <w:rPr>
          <w:rFonts w:ascii="Times New Roman" w:hAnsi="Times New Roman" w:cs="Times New Roman"/>
          <w:sz w:val="24"/>
          <w:szCs w:val="24"/>
        </w:rPr>
        <w:t xml:space="preserve"> are</w:t>
      </w:r>
      <w:r w:rsidR="0066716C">
        <w:rPr>
          <w:rFonts w:ascii="Times New Roman" w:hAnsi="Times New Roman" w:cs="Times New Roman"/>
          <w:sz w:val="24"/>
          <w:szCs w:val="24"/>
        </w:rPr>
        <w:t xml:space="preserve"> C.C.W Taylor and David G Stern</w:t>
      </w:r>
      <w:r>
        <w:rPr>
          <w:rFonts w:ascii="Times New Roman" w:hAnsi="Times New Roman" w:cs="Times New Roman"/>
          <w:sz w:val="24"/>
          <w:szCs w:val="24"/>
        </w:rPr>
        <w:t xml:space="preserve"> on what Heraclitus means</w:t>
      </w:r>
      <w:r w:rsidR="00B93A94">
        <w:rPr>
          <w:rFonts w:ascii="Times New Roman" w:hAnsi="Times New Roman" w:cs="Times New Roman"/>
          <w:sz w:val="24"/>
          <w:szCs w:val="24"/>
        </w:rPr>
        <w:t>, I shall also postulate my own opinion where needed, concluding where I feel the evidence leads.</w:t>
      </w:r>
    </w:p>
    <w:p w14:paraId="16833EC7" w14:textId="47EFB77A" w:rsidR="00DA07E8" w:rsidRDefault="00DA07E8" w:rsidP="00E56BBE">
      <w:pPr>
        <w:jc w:val="both"/>
        <w:rPr>
          <w:rFonts w:ascii="Times New Roman" w:hAnsi="Times New Roman" w:cs="Times New Roman"/>
          <w:sz w:val="24"/>
          <w:szCs w:val="24"/>
        </w:rPr>
      </w:pPr>
      <w:r>
        <w:rPr>
          <w:rFonts w:ascii="Times New Roman" w:hAnsi="Times New Roman" w:cs="Times New Roman"/>
          <w:sz w:val="24"/>
          <w:szCs w:val="24"/>
        </w:rPr>
        <w:t xml:space="preserve">Firstly, we shall delve into what have been coined as the ‘River fragments’, </w:t>
      </w:r>
      <w:r w:rsidR="00B93A94">
        <w:rPr>
          <w:rFonts w:ascii="Times New Roman" w:hAnsi="Times New Roman" w:cs="Times New Roman"/>
          <w:sz w:val="24"/>
          <w:szCs w:val="24"/>
        </w:rPr>
        <w:t>which</w:t>
      </w:r>
      <w:r>
        <w:rPr>
          <w:rFonts w:ascii="Times New Roman" w:hAnsi="Times New Roman" w:cs="Times New Roman"/>
          <w:sz w:val="24"/>
          <w:szCs w:val="24"/>
        </w:rPr>
        <w:t xml:space="preserve"> are believed to be “variants of a single Heraclitan saying or he may have said several similar things.”</w:t>
      </w:r>
      <w:r>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w:t>
      </w:r>
      <w:r w:rsidR="0066716C">
        <w:rPr>
          <w:rFonts w:ascii="Times New Roman" w:hAnsi="Times New Roman" w:cs="Times New Roman"/>
          <w:sz w:val="24"/>
          <w:szCs w:val="24"/>
        </w:rPr>
        <w:t>We shall start with the fragments chosen by Taylor and his commentary</w:t>
      </w:r>
      <w:r w:rsidR="00B93A94">
        <w:rPr>
          <w:rFonts w:ascii="Times New Roman" w:hAnsi="Times New Roman" w:cs="Times New Roman"/>
          <w:sz w:val="24"/>
          <w:szCs w:val="24"/>
        </w:rPr>
        <w:t>:</w:t>
      </w:r>
    </w:p>
    <w:p w14:paraId="64280B99" w14:textId="1B10DD1B" w:rsidR="00DA07E8" w:rsidRDefault="00DA07E8" w:rsidP="00E56BBE">
      <w:pPr>
        <w:jc w:val="both"/>
        <w:rPr>
          <w:rFonts w:ascii="Times New Roman" w:hAnsi="Times New Roman" w:cs="Times New Roman"/>
          <w:color w:val="000000"/>
          <w:sz w:val="24"/>
          <w:szCs w:val="24"/>
        </w:rPr>
      </w:pPr>
      <w:r>
        <w:rPr>
          <w:rFonts w:ascii="Times New Roman" w:hAnsi="Times New Roman" w:cs="Times New Roman"/>
          <w:color w:val="000000"/>
          <w:sz w:val="24"/>
          <w:szCs w:val="24"/>
        </w:rPr>
        <w:t>“For it is not possible to step twice into the same river…nor twice to touch a mortal being in the same condition…”</w:t>
      </w:r>
      <w:r>
        <w:rPr>
          <w:rStyle w:val="FootnoteReference"/>
          <w:rFonts w:ascii="Times New Roman" w:hAnsi="Times New Roman" w:cs="Times New Roman"/>
          <w:color w:val="000000"/>
          <w:sz w:val="24"/>
          <w:szCs w:val="24"/>
        </w:rPr>
        <w:footnoteReference w:id="2"/>
      </w:r>
    </w:p>
    <w:p w14:paraId="4C742A34" w14:textId="14131709" w:rsidR="00DA07E8" w:rsidRDefault="00DA07E8" w:rsidP="00E56BBE">
      <w:pPr>
        <w:jc w:val="both"/>
        <w:rPr>
          <w:rFonts w:ascii="Times New Roman" w:hAnsi="Times New Roman" w:cs="Times New Roman"/>
          <w:color w:val="000000"/>
          <w:sz w:val="24"/>
          <w:szCs w:val="24"/>
        </w:rPr>
      </w:pPr>
      <w:r>
        <w:rPr>
          <w:rFonts w:ascii="Times New Roman" w:hAnsi="Times New Roman" w:cs="Times New Roman"/>
          <w:color w:val="000000"/>
          <w:sz w:val="24"/>
          <w:szCs w:val="24"/>
        </w:rPr>
        <w:t>“Onto those who step into the same rivers different and different waters flow; and souls are exhaled from moistures.”</w:t>
      </w:r>
      <w:r>
        <w:rPr>
          <w:rStyle w:val="FootnoteReference"/>
          <w:rFonts w:ascii="Times New Roman" w:hAnsi="Times New Roman" w:cs="Times New Roman"/>
          <w:color w:val="000000"/>
          <w:sz w:val="24"/>
          <w:szCs w:val="24"/>
        </w:rPr>
        <w:footnoteReference w:id="3"/>
      </w:r>
    </w:p>
    <w:p w14:paraId="65D5C99E" w14:textId="11C08750" w:rsidR="00DA07E8" w:rsidRPr="00DA07E8" w:rsidRDefault="00DA07E8" w:rsidP="00E56BBE">
      <w:pPr>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“We step and do not step into the same rivers, we </w:t>
      </w:r>
      <w:proofErr w:type="gramStart"/>
      <w:r>
        <w:rPr>
          <w:rFonts w:ascii="Times New Roman" w:hAnsi="Times New Roman" w:cs="Times New Roman"/>
          <w:color w:val="000000"/>
          <w:sz w:val="24"/>
          <w:szCs w:val="24"/>
        </w:rPr>
        <w:t>are</w:t>
      </w:r>
      <w:proofErr w:type="gramEnd"/>
      <w:r>
        <w:rPr>
          <w:rFonts w:ascii="Times New Roman" w:hAnsi="Times New Roman" w:cs="Times New Roman"/>
          <w:color w:val="000000"/>
          <w:sz w:val="24"/>
          <w:szCs w:val="24"/>
        </w:rPr>
        <w:t xml:space="preserve"> and we are not.”</w:t>
      </w:r>
      <w:r>
        <w:rPr>
          <w:rStyle w:val="FootnoteReference"/>
          <w:rFonts w:ascii="Times New Roman" w:hAnsi="Times New Roman" w:cs="Times New Roman"/>
          <w:color w:val="000000"/>
          <w:sz w:val="24"/>
          <w:szCs w:val="24"/>
        </w:rPr>
        <w:footnoteReference w:id="4"/>
      </w:r>
    </w:p>
    <w:p w14:paraId="1B11CC1C" w14:textId="2D1097E0" w:rsidR="00DA07E8" w:rsidRDefault="00DA07E8" w:rsidP="00E56BBE">
      <w:pPr>
        <w:jc w:val="both"/>
        <w:rPr>
          <w:rFonts w:ascii="Times New Roman" w:hAnsi="Times New Roman" w:cs="Times New Roman"/>
          <w:sz w:val="24"/>
          <w:szCs w:val="24"/>
        </w:rPr>
      </w:pPr>
      <w:r>
        <w:rPr>
          <w:rFonts w:ascii="Times New Roman" w:hAnsi="Times New Roman" w:cs="Times New Roman"/>
          <w:sz w:val="24"/>
          <w:szCs w:val="24"/>
        </w:rPr>
        <w:t>The first fragment is from the writings of Plutarch, the second from Eusebius and the third from Heraclitus Homericus.</w:t>
      </w:r>
      <w:r>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These philosophers quoting the texts “imply that Heraclitus was </w:t>
      </w:r>
      <w:proofErr w:type="gramStart"/>
      <w:r>
        <w:rPr>
          <w:rFonts w:ascii="Times New Roman" w:hAnsi="Times New Roman" w:cs="Times New Roman"/>
          <w:sz w:val="24"/>
          <w:szCs w:val="24"/>
        </w:rPr>
        <w:t>making an observation about</w:t>
      </w:r>
      <w:proofErr w:type="gramEnd"/>
      <w:r>
        <w:rPr>
          <w:rFonts w:ascii="Times New Roman" w:hAnsi="Times New Roman" w:cs="Times New Roman"/>
          <w:sz w:val="24"/>
          <w:szCs w:val="24"/>
        </w:rPr>
        <w:t xml:space="preserve"> the continuing identity of the human soul”</w:t>
      </w:r>
      <w:r>
        <w:rPr>
          <w:rStyle w:val="FootnoteReference"/>
          <w:rFonts w:ascii="Times New Roman" w:hAnsi="Times New Roman" w:cs="Times New Roman"/>
          <w:sz w:val="24"/>
          <w:szCs w:val="24"/>
        </w:rPr>
        <w:footnoteReference w:id="6"/>
      </w:r>
      <w:r>
        <w:rPr>
          <w:rFonts w:ascii="Times New Roman" w:hAnsi="Times New Roman" w:cs="Times New Roman"/>
          <w:sz w:val="24"/>
          <w:szCs w:val="24"/>
        </w:rPr>
        <w:t>. Therefore, “there need not be material identity in the waters flowing down a river, yet we shall say that it is the same river.”</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On the surface this may seem to be looking for the immaterial reality of the river rather than the visible sight of it</w:t>
      </w:r>
      <w:r w:rsidR="0066716C">
        <w:rPr>
          <w:rFonts w:ascii="Times New Roman" w:hAnsi="Times New Roman" w:cs="Times New Roman"/>
          <w:sz w:val="24"/>
          <w:szCs w:val="24"/>
        </w:rPr>
        <w:t xml:space="preserve"> as we observe it</w:t>
      </w:r>
      <w:r w:rsidR="00B93A94">
        <w:rPr>
          <w:rFonts w:ascii="Times New Roman" w:hAnsi="Times New Roman" w:cs="Times New Roman"/>
          <w:sz w:val="24"/>
          <w:szCs w:val="24"/>
        </w:rPr>
        <w:t xml:space="preserve">, </w:t>
      </w:r>
      <w:r w:rsidR="000944F9">
        <w:rPr>
          <w:rFonts w:ascii="Times New Roman" w:hAnsi="Times New Roman" w:cs="Times New Roman"/>
          <w:sz w:val="24"/>
          <w:szCs w:val="24"/>
        </w:rPr>
        <w:t>and thus we see the same river and we do not</w:t>
      </w:r>
      <w:r w:rsidR="0066716C">
        <w:rPr>
          <w:rFonts w:ascii="Times New Roman" w:hAnsi="Times New Roman" w:cs="Times New Roman"/>
          <w:sz w:val="24"/>
          <w:szCs w:val="24"/>
        </w:rPr>
        <w:t xml:space="preserve">. </w:t>
      </w:r>
      <w:r w:rsidR="000944F9">
        <w:rPr>
          <w:rFonts w:ascii="Times New Roman" w:hAnsi="Times New Roman" w:cs="Times New Roman"/>
          <w:sz w:val="24"/>
          <w:szCs w:val="24"/>
        </w:rPr>
        <w:t xml:space="preserve">Similarly, Taylor points out that “there is a sense in which we encounter the same individual twice, but if the individual is not in the same condition what is it that makes it the same person?” again perhaps pointing to an immaterial view of self and nature. </w:t>
      </w:r>
    </w:p>
    <w:p w14:paraId="49DE0682" w14:textId="23328523" w:rsidR="00C74962" w:rsidRDefault="003838FF" w:rsidP="00E56BBE">
      <w:pPr>
        <w:jc w:val="both"/>
        <w:rPr>
          <w:rFonts w:ascii="Times New Roman" w:hAnsi="Times New Roman" w:cs="Times New Roman"/>
          <w:sz w:val="24"/>
          <w:szCs w:val="24"/>
        </w:rPr>
      </w:pPr>
      <w:r>
        <w:rPr>
          <w:rFonts w:ascii="Times New Roman" w:hAnsi="Times New Roman" w:cs="Times New Roman"/>
          <w:sz w:val="24"/>
          <w:szCs w:val="24"/>
        </w:rPr>
        <w:t>Moving on to David Stern and his view on Heraclitus</w:t>
      </w:r>
      <w:r w:rsidR="00B93A94">
        <w:rPr>
          <w:rFonts w:ascii="Times New Roman" w:hAnsi="Times New Roman" w:cs="Times New Roman"/>
          <w:sz w:val="24"/>
          <w:szCs w:val="24"/>
        </w:rPr>
        <w:t>,</w:t>
      </w:r>
      <w:r>
        <w:rPr>
          <w:rFonts w:ascii="Times New Roman" w:hAnsi="Times New Roman" w:cs="Times New Roman"/>
          <w:sz w:val="24"/>
          <w:szCs w:val="24"/>
        </w:rPr>
        <w:t xml:space="preserve"> Stern makes a very valid point when talking about anything Heraclitus is meant to have said</w:t>
      </w:r>
      <w:r w:rsidR="00C74962">
        <w:rPr>
          <w:rFonts w:ascii="Times New Roman" w:hAnsi="Times New Roman" w:cs="Times New Roman"/>
          <w:sz w:val="24"/>
          <w:szCs w:val="24"/>
        </w:rPr>
        <w:t xml:space="preserve"> “because our knowledge of his writing and teaching derives entirely from subsequent quotations…”</w:t>
      </w:r>
      <w:r w:rsidR="00C74962">
        <w:rPr>
          <w:rStyle w:val="FootnoteReference"/>
          <w:rFonts w:ascii="Times New Roman" w:hAnsi="Times New Roman" w:cs="Times New Roman"/>
          <w:sz w:val="24"/>
          <w:szCs w:val="24"/>
        </w:rPr>
        <w:footnoteReference w:id="8"/>
      </w:r>
      <w:r w:rsidR="00C74962">
        <w:rPr>
          <w:rFonts w:ascii="Times New Roman" w:hAnsi="Times New Roman" w:cs="Times New Roman"/>
          <w:sz w:val="24"/>
          <w:szCs w:val="24"/>
        </w:rPr>
        <w:t xml:space="preserve"> therefore I feel we cannot answer the question, </w:t>
      </w:r>
      <w:r w:rsidR="00B93A94">
        <w:rPr>
          <w:rFonts w:ascii="Times New Roman" w:hAnsi="Times New Roman" w:cs="Times New Roman"/>
          <w:sz w:val="24"/>
          <w:szCs w:val="24"/>
        </w:rPr>
        <w:t>‘</w:t>
      </w:r>
      <w:r w:rsidR="00C74962">
        <w:rPr>
          <w:rFonts w:ascii="Times New Roman" w:hAnsi="Times New Roman" w:cs="Times New Roman"/>
          <w:sz w:val="24"/>
          <w:szCs w:val="24"/>
        </w:rPr>
        <w:t>what did Heraclitus mean?</w:t>
      </w:r>
      <w:r w:rsidR="00B93A94">
        <w:rPr>
          <w:rFonts w:ascii="Times New Roman" w:hAnsi="Times New Roman" w:cs="Times New Roman"/>
          <w:sz w:val="24"/>
          <w:szCs w:val="24"/>
        </w:rPr>
        <w:t>’</w:t>
      </w:r>
      <w:r w:rsidR="00C74962">
        <w:rPr>
          <w:rFonts w:ascii="Times New Roman" w:hAnsi="Times New Roman" w:cs="Times New Roman"/>
          <w:sz w:val="24"/>
          <w:szCs w:val="24"/>
        </w:rPr>
        <w:t xml:space="preserve"> </w:t>
      </w:r>
      <w:r w:rsidR="00B93A94">
        <w:rPr>
          <w:rFonts w:ascii="Times New Roman" w:hAnsi="Times New Roman" w:cs="Times New Roman"/>
          <w:sz w:val="24"/>
          <w:szCs w:val="24"/>
        </w:rPr>
        <w:t>a</w:t>
      </w:r>
      <w:r w:rsidR="00C74962">
        <w:rPr>
          <w:rFonts w:ascii="Times New Roman" w:hAnsi="Times New Roman" w:cs="Times New Roman"/>
          <w:sz w:val="24"/>
          <w:szCs w:val="24"/>
        </w:rPr>
        <w:t xml:space="preserve">s it will be purely speculative and instead we must try to answer what others have taken it to mean and which </w:t>
      </w:r>
      <w:r w:rsidR="00B93A94">
        <w:rPr>
          <w:rFonts w:ascii="Times New Roman" w:hAnsi="Times New Roman" w:cs="Times New Roman"/>
          <w:sz w:val="24"/>
          <w:szCs w:val="24"/>
        </w:rPr>
        <w:t>meaning</w:t>
      </w:r>
      <w:r w:rsidR="00C74962">
        <w:rPr>
          <w:rFonts w:ascii="Times New Roman" w:hAnsi="Times New Roman" w:cs="Times New Roman"/>
          <w:sz w:val="24"/>
          <w:szCs w:val="24"/>
        </w:rPr>
        <w:t xml:space="preserve"> seems most plausible. </w:t>
      </w:r>
    </w:p>
    <w:p w14:paraId="0AFBCFBB" w14:textId="1A4007E1" w:rsidR="003838FF" w:rsidRDefault="00C36C57" w:rsidP="00E56BBE">
      <w:pPr>
        <w:jc w:val="both"/>
        <w:rPr>
          <w:rFonts w:ascii="Times New Roman" w:hAnsi="Times New Roman" w:cs="Times New Roman"/>
          <w:sz w:val="24"/>
          <w:szCs w:val="24"/>
        </w:rPr>
      </w:pPr>
      <w:r>
        <w:rPr>
          <w:rFonts w:ascii="Times New Roman" w:hAnsi="Times New Roman" w:cs="Times New Roman"/>
          <w:sz w:val="24"/>
          <w:szCs w:val="24"/>
        </w:rPr>
        <w:lastRenderedPageBreak/>
        <w:t>Let us look at the fragments</w:t>
      </w:r>
      <w:r w:rsidR="00B93A94">
        <w:rPr>
          <w:rFonts w:ascii="Times New Roman" w:hAnsi="Times New Roman" w:cs="Times New Roman"/>
          <w:sz w:val="24"/>
          <w:szCs w:val="24"/>
        </w:rPr>
        <w:t xml:space="preserve"> and the translation Stern uses:</w:t>
      </w:r>
      <w:r>
        <w:rPr>
          <w:rFonts w:ascii="Times New Roman" w:hAnsi="Times New Roman" w:cs="Times New Roman"/>
          <w:sz w:val="24"/>
          <w:szCs w:val="24"/>
        </w:rPr>
        <w:t xml:space="preserve"> </w:t>
      </w:r>
      <w:r w:rsidR="00C74962">
        <w:rPr>
          <w:rFonts w:ascii="Times New Roman" w:hAnsi="Times New Roman" w:cs="Times New Roman"/>
          <w:sz w:val="24"/>
          <w:szCs w:val="24"/>
        </w:rPr>
        <w:t xml:space="preserve"> </w:t>
      </w:r>
    </w:p>
    <w:p w14:paraId="6DCC1B50" w14:textId="54B39955" w:rsidR="00C36C57" w:rsidRDefault="00C36C57" w:rsidP="00E56BBE">
      <w:pPr>
        <w:jc w:val="both"/>
        <w:rPr>
          <w:rFonts w:ascii="Times New Roman" w:hAnsi="Times New Roman" w:cs="Times New Roman"/>
          <w:sz w:val="24"/>
          <w:szCs w:val="24"/>
        </w:rPr>
      </w:pPr>
      <w:r>
        <w:rPr>
          <w:rFonts w:ascii="Times New Roman" w:hAnsi="Times New Roman" w:cs="Times New Roman"/>
          <w:sz w:val="24"/>
          <w:szCs w:val="24"/>
        </w:rPr>
        <w:t>“As they step into the same rivers, other and still other waters flow upon them.”</w:t>
      </w:r>
      <w:r>
        <w:rPr>
          <w:rStyle w:val="FootnoteReference"/>
          <w:rFonts w:ascii="Times New Roman" w:hAnsi="Times New Roman" w:cs="Times New Roman"/>
          <w:sz w:val="24"/>
          <w:szCs w:val="24"/>
        </w:rPr>
        <w:footnoteReference w:id="9"/>
      </w:r>
    </w:p>
    <w:p w14:paraId="3C2130BA" w14:textId="695F6064" w:rsidR="00C36C57" w:rsidRDefault="00C36C57" w:rsidP="00E56BBE">
      <w:pPr>
        <w:jc w:val="both"/>
        <w:rPr>
          <w:rFonts w:ascii="Times New Roman" w:hAnsi="Times New Roman" w:cs="Times New Roman"/>
          <w:sz w:val="24"/>
          <w:szCs w:val="24"/>
        </w:rPr>
      </w:pPr>
      <w:r>
        <w:rPr>
          <w:rFonts w:ascii="Times New Roman" w:hAnsi="Times New Roman" w:cs="Times New Roman"/>
          <w:sz w:val="24"/>
          <w:szCs w:val="24"/>
        </w:rPr>
        <w:t>“One cannot step into the same river, nor can one grasp any mortal substance in a stable condition, but it scatters and again gathers; it form</w:t>
      </w:r>
      <w:r w:rsidR="000646CB">
        <w:rPr>
          <w:rFonts w:ascii="Times New Roman" w:hAnsi="Times New Roman" w:cs="Times New Roman"/>
          <w:sz w:val="24"/>
          <w:szCs w:val="24"/>
        </w:rPr>
        <w:t>s</w:t>
      </w:r>
      <w:r>
        <w:rPr>
          <w:rFonts w:ascii="Times New Roman" w:hAnsi="Times New Roman" w:cs="Times New Roman"/>
          <w:sz w:val="24"/>
          <w:szCs w:val="24"/>
        </w:rPr>
        <w:t xml:space="preserve"> and dissolves, and approaches and departs.”</w:t>
      </w:r>
      <w:r>
        <w:rPr>
          <w:rStyle w:val="FootnoteReference"/>
          <w:rFonts w:ascii="Times New Roman" w:hAnsi="Times New Roman" w:cs="Times New Roman"/>
          <w:sz w:val="24"/>
          <w:szCs w:val="24"/>
        </w:rPr>
        <w:footnoteReference w:id="10"/>
      </w:r>
    </w:p>
    <w:p w14:paraId="617271E2" w14:textId="6E52DFD7" w:rsidR="00C36C57" w:rsidRDefault="00C36C57" w:rsidP="00E56BBE">
      <w:pPr>
        <w:jc w:val="both"/>
        <w:rPr>
          <w:rFonts w:ascii="Times New Roman" w:hAnsi="Times New Roman" w:cs="Times New Roman"/>
          <w:sz w:val="24"/>
          <w:szCs w:val="24"/>
        </w:rPr>
      </w:pPr>
      <w:r>
        <w:rPr>
          <w:rFonts w:ascii="Times New Roman" w:hAnsi="Times New Roman" w:cs="Times New Roman"/>
          <w:sz w:val="24"/>
          <w:szCs w:val="24"/>
        </w:rPr>
        <w:t xml:space="preserve">“Into the same rivers we step and do not step, we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and we are not”</w:t>
      </w:r>
      <w:r>
        <w:rPr>
          <w:rStyle w:val="FootnoteReference"/>
          <w:rFonts w:ascii="Times New Roman" w:hAnsi="Times New Roman" w:cs="Times New Roman"/>
          <w:sz w:val="24"/>
          <w:szCs w:val="24"/>
        </w:rPr>
        <w:footnoteReference w:id="11"/>
      </w:r>
    </w:p>
    <w:p w14:paraId="1BF6A235" w14:textId="2D494A04" w:rsidR="009561B6" w:rsidRDefault="00C36C57" w:rsidP="00E56BBE">
      <w:pPr>
        <w:jc w:val="both"/>
        <w:rPr>
          <w:rFonts w:ascii="Times New Roman" w:hAnsi="Times New Roman" w:cs="Times New Roman"/>
          <w:sz w:val="24"/>
          <w:szCs w:val="24"/>
        </w:rPr>
      </w:pPr>
      <w:r>
        <w:rPr>
          <w:rFonts w:ascii="Times New Roman" w:hAnsi="Times New Roman" w:cs="Times New Roman"/>
          <w:sz w:val="24"/>
          <w:szCs w:val="24"/>
        </w:rPr>
        <w:t xml:space="preserve">It is important that we look at these varying fragments that have been attributed to Heraclitus as it will allow a broader and perhaps </w:t>
      </w:r>
      <w:r w:rsidR="009561B6">
        <w:rPr>
          <w:rFonts w:ascii="Times New Roman" w:hAnsi="Times New Roman" w:cs="Times New Roman"/>
          <w:sz w:val="24"/>
          <w:szCs w:val="24"/>
        </w:rPr>
        <w:t>different</w:t>
      </w:r>
      <w:r>
        <w:rPr>
          <w:rFonts w:ascii="Times New Roman" w:hAnsi="Times New Roman" w:cs="Times New Roman"/>
          <w:sz w:val="24"/>
          <w:szCs w:val="24"/>
        </w:rPr>
        <w:t xml:space="preserve"> interpretation to answer our question. </w:t>
      </w:r>
      <w:proofErr w:type="gramStart"/>
      <w:r w:rsidR="009561B6">
        <w:rPr>
          <w:rFonts w:ascii="Times New Roman" w:hAnsi="Times New Roman" w:cs="Times New Roman"/>
          <w:sz w:val="24"/>
          <w:szCs w:val="24"/>
        </w:rPr>
        <w:t>All of</w:t>
      </w:r>
      <w:proofErr w:type="gramEnd"/>
      <w:r w:rsidR="009561B6">
        <w:rPr>
          <w:rFonts w:ascii="Times New Roman" w:hAnsi="Times New Roman" w:cs="Times New Roman"/>
          <w:sz w:val="24"/>
          <w:szCs w:val="24"/>
        </w:rPr>
        <w:t xml:space="preserve"> the above texts have been taken from Herman Alexander Diels</w:t>
      </w:r>
      <w:r w:rsidR="004E44A6">
        <w:rPr>
          <w:rFonts w:ascii="Times New Roman" w:hAnsi="Times New Roman" w:cs="Times New Roman"/>
          <w:sz w:val="24"/>
          <w:szCs w:val="24"/>
        </w:rPr>
        <w:t xml:space="preserve">, </w:t>
      </w:r>
      <w:r w:rsidR="009561B6">
        <w:rPr>
          <w:rFonts w:ascii="Times New Roman" w:hAnsi="Times New Roman" w:cs="Times New Roman"/>
          <w:sz w:val="24"/>
          <w:szCs w:val="24"/>
        </w:rPr>
        <w:t>a German Philosopher (1848-1922) who attributed them to Heraclitus.</w:t>
      </w:r>
      <w:r w:rsidR="009561B6">
        <w:rPr>
          <w:rStyle w:val="FootnoteReference"/>
          <w:rFonts w:ascii="Times New Roman" w:hAnsi="Times New Roman" w:cs="Times New Roman"/>
          <w:sz w:val="24"/>
          <w:szCs w:val="24"/>
        </w:rPr>
        <w:footnoteReference w:id="12"/>
      </w:r>
      <w:r w:rsidR="00B4707B">
        <w:rPr>
          <w:rFonts w:ascii="Times New Roman" w:hAnsi="Times New Roman" w:cs="Times New Roman"/>
          <w:sz w:val="24"/>
          <w:szCs w:val="24"/>
        </w:rPr>
        <w:t xml:space="preserve"> </w:t>
      </w:r>
      <w:r w:rsidR="00FD5207">
        <w:rPr>
          <w:rFonts w:ascii="Times New Roman" w:hAnsi="Times New Roman" w:cs="Times New Roman"/>
          <w:sz w:val="24"/>
          <w:szCs w:val="24"/>
        </w:rPr>
        <w:t>Following in Stern</w:t>
      </w:r>
      <w:r w:rsidR="004E44A6">
        <w:rPr>
          <w:rFonts w:ascii="Times New Roman" w:hAnsi="Times New Roman" w:cs="Times New Roman"/>
          <w:sz w:val="24"/>
          <w:szCs w:val="24"/>
        </w:rPr>
        <w:t>`s</w:t>
      </w:r>
      <w:r w:rsidR="00FD5207">
        <w:rPr>
          <w:rFonts w:ascii="Times New Roman" w:hAnsi="Times New Roman" w:cs="Times New Roman"/>
          <w:sz w:val="24"/>
          <w:szCs w:val="24"/>
        </w:rPr>
        <w:t xml:space="preserve"> use of these fragments, we shall change our language and use the coined expression ‘River imagery’ to refer to the passages. </w:t>
      </w:r>
    </w:p>
    <w:p w14:paraId="2C099275" w14:textId="1BBA63AB" w:rsidR="001B5E2C" w:rsidRDefault="001B5E2C" w:rsidP="00E56BBE">
      <w:pPr>
        <w:jc w:val="both"/>
        <w:rPr>
          <w:rFonts w:ascii="Times New Roman" w:hAnsi="Times New Roman" w:cs="Times New Roman"/>
          <w:sz w:val="24"/>
          <w:szCs w:val="24"/>
        </w:rPr>
      </w:pPr>
      <w:r>
        <w:rPr>
          <w:rFonts w:ascii="Times New Roman" w:hAnsi="Times New Roman" w:cs="Times New Roman"/>
          <w:sz w:val="24"/>
          <w:szCs w:val="24"/>
        </w:rPr>
        <w:t>Stern turns to Socrates and his commentary on the famous saying, quoting that Heraclitus means that “all things are in motion and nothing at rest; he compares them to the stream of a river, and says that you cannot go into the same water twice.”</w:t>
      </w:r>
      <w:r>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This is where we come to a view of the logos (reality) that everything is in a constant flux, changing and never “stable or permanent”</w:t>
      </w:r>
      <w:r>
        <w:rPr>
          <w:rStyle w:val="FootnoteReference"/>
          <w:rFonts w:ascii="Times New Roman" w:hAnsi="Times New Roman" w:cs="Times New Roman"/>
          <w:sz w:val="24"/>
          <w:szCs w:val="24"/>
        </w:rPr>
        <w:footnoteReference w:id="14"/>
      </w:r>
      <w:r>
        <w:rPr>
          <w:rFonts w:ascii="Times New Roman" w:hAnsi="Times New Roman" w:cs="Times New Roman"/>
          <w:sz w:val="24"/>
          <w:szCs w:val="24"/>
        </w:rPr>
        <w:t xml:space="preserve">. </w:t>
      </w:r>
    </w:p>
    <w:p w14:paraId="588E62DF" w14:textId="0285443B" w:rsidR="001B5E2C" w:rsidRDefault="001B5E2C" w:rsidP="00E56BBE">
      <w:pPr>
        <w:jc w:val="both"/>
        <w:rPr>
          <w:rFonts w:ascii="Times New Roman" w:hAnsi="Times New Roman" w:cs="Times New Roman"/>
          <w:sz w:val="24"/>
          <w:szCs w:val="24"/>
        </w:rPr>
      </w:pPr>
      <w:r>
        <w:rPr>
          <w:rFonts w:ascii="Times New Roman" w:hAnsi="Times New Roman" w:cs="Times New Roman"/>
          <w:sz w:val="24"/>
          <w:szCs w:val="24"/>
        </w:rPr>
        <w:t>This may at first seem in contrast to what we have seen from Taylor</w:t>
      </w:r>
      <w:r w:rsidR="004E44A6">
        <w:rPr>
          <w:rFonts w:ascii="Times New Roman" w:hAnsi="Times New Roman" w:cs="Times New Roman"/>
          <w:sz w:val="24"/>
          <w:szCs w:val="24"/>
        </w:rPr>
        <w:t>`s</w:t>
      </w:r>
      <w:r>
        <w:rPr>
          <w:rFonts w:ascii="Times New Roman" w:hAnsi="Times New Roman" w:cs="Times New Roman"/>
          <w:sz w:val="24"/>
          <w:szCs w:val="24"/>
        </w:rPr>
        <w:t xml:space="preserve"> work</w:t>
      </w:r>
      <w:r w:rsidR="004E44A6">
        <w:rPr>
          <w:rFonts w:ascii="Times New Roman" w:hAnsi="Times New Roman" w:cs="Times New Roman"/>
          <w:sz w:val="24"/>
          <w:szCs w:val="24"/>
        </w:rPr>
        <w:t>,</w:t>
      </w:r>
      <w:r>
        <w:rPr>
          <w:rFonts w:ascii="Times New Roman" w:hAnsi="Times New Roman" w:cs="Times New Roman"/>
          <w:sz w:val="24"/>
          <w:szCs w:val="24"/>
        </w:rPr>
        <w:t xml:space="preserve"> as it seems his philosophers viewed that there is such a thing that is never changing</w:t>
      </w:r>
      <w:r w:rsidR="004E44A6">
        <w:rPr>
          <w:rFonts w:ascii="Times New Roman" w:hAnsi="Times New Roman" w:cs="Times New Roman"/>
          <w:sz w:val="24"/>
          <w:szCs w:val="24"/>
        </w:rPr>
        <w:t>,</w:t>
      </w:r>
      <w:r>
        <w:rPr>
          <w:rFonts w:ascii="Times New Roman" w:hAnsi="Times New Roman" w:cs="Times New Roman"/>
          <w:sz w:val="24"/>
          <w:szCs w:val="24"/>
        </w:rPr>
        <w:t xml:space="preserve"> but rather immaterial than material. Therefore</w:t>
      </w:r>
      <w:r w:rsidR="000B016D">
        <w:rPr>
          <w:rFonts w:ascii="Times New Roman" w:hAnsi="Times New Roman" w:cs="Times New Roman"/>
          <w:sz w:val="24"/>
          <w:szCs w:val="24"/>
        </w:rPr>
        <w:t>,</w:t>
      </w:r>
      <w:r>
        <w:rPr>
          <w:rFonts w:ascii="Times New Roman" w:hAnsi="Times New Roman" w:cs="Times New Roman"/>
          <w:sz w:val="24"/>
          <w:szCs w:val="24"/>
        </w:rPr>
        <w:t xml:space="preserve"> we might want to consider the possibility of both having an equal say in this, as I feel that one can see the argument </w:t>
      </w:r>
      <w:r w:rsidR="000B016D">
        <w:rPr>
          <w:rFonts w:ascii="Times New Roman" w:hAnsi="Times New Roman" w:cs="Times New Roman"/>
          <w:sz w:val="24"/>
          <w:szCs w:val="24"/>
        </w:rPr>
        <w:t>to be non-conflicting, as something in constant flux like the river flowing, which is always changing</w:t>
      </w:r>
      <w:r w:rsidR="004E44A6">
        <w:rPr>
          <w:rFonts w:ascii="Times New Roman" w:hAnsi="Times New Roman" w:cs="Times New Roman"/>
          <w:sz w:val="24"/>
          <w:szCs w:val="24"/>
        </w:rPr>
        <w:t>,</w:t>
      </w:r>
      <w:r w:rsidR="000B016D">
        <w:rPr>
          <w:rFonts w:ascii="Times New Roman" w:hAnsi="Times New Roman" w:cs="Times New Roman"/>
          <w:sz w:val="24"/>
          <w:szCs w:val="24"/>
        </w:rPr>
        <w:t xml:space="preserve"> and the water also not being the same water we stepped into</w:t>
      </w:r>
      <w:r w:rsidR="004E44A6">
        <w:rPr>
          <w:rFonts w:ascii="Times New Roman" w:hAnsi="Times New Roman" w:cs="Times New Roman"/>
          <w:sz w:val="24"/>
          <w:szCs w:val="24"/>
        </w:rPr>
        <w:t>, as it</w:t>
      </w:r>
      <w:r w:rsidR="000B016D">
        <w:rPr>
          <w:rFonts w:ascii="Times New Roman" w:hAnsi="Times New Roman" w:cs="Times New Roman"/>
          <w:sz w:val="24"/>
          <w:szCs w:val="24"/>
        </w:rPr>
        <w:t xml:space="preserve"> </w:t>
      </w:r>
      <w:r w:rsidR="004E44A6">
        <w:rPr>
          <w:rFonts w:ascii="Times New Roman" w:hAnsi="Times New Roman" w:cs="Times New Roman"/>
          <w:sz w:val="24"/>
          <w:szCs w:val="24"/>
        </w:rPr>
        <w:t>is</w:t>
      </w:r>
      <w:r w:rsidR="000B016D">
        <w:rPr>
          <w:rFonts w:ascii="Times New Roman" w:hAnsi="Times New Roman" w:cs="Times New Roman"/>
          <w:sz w:val="24"/>
          <w:szCs w:val="24"/>
        </w:rPr>
        <w:t xml:space="preserve"> moving further downstream. However, I think for sake of identity we still call it the same river as it resides in the same location and within the same banks. Analogous perhaps to the Human person</w:t>
      </w:r>
      <w:r w:rsidR="004E44A6">
        <w:rPr>
          <w:rFonts w:ascii="Times New Roman" w:hAnsi="Times New Roman" w:cs="Times New Roman"/>
          <w:sz w:val="24"/>
          <w:szCs w:val="24"/>
        </w:rPr>
        <w:t>:</w:t>
      </w:r>
      <w:r w:rsidR="000B016D">
        <w:rPr>
          <w:rFonts w:ascii="Times New Roman" w:hAnsi="Times New Roman" w:cs="Times New Roman"/>
          <w:sz w:val="24"/>
          <w:szCs w:val="24"/>
        </w:rPr>
        <w:t xml:space="preserve"> ageing, changing in personality but still within a state of bodily continuity. </w:t>
      </w:r>
    </w:p>
    <w:p w14:paraId="73FD582E" w14:textId="55BFDA95" w:rsidR="000B016D" w:rsidRDefault="000B016D" w:rsidP="00E56BBE">
      <w:pPr>
        <w:jc w:val="both"/>
        <w:rPr>
          <w:rFonts w:ascii="Times New Roman" w:hAnsi="Times New Roman" w:cs="Times New Roman"/>
          <w:sz w:val="24"/>
          <w:szCs w:val="24"/>
        </w:rPr>
      </w:pPr>
      <w:r>
        <w:rPr>
          <w:rFonts w:ascii="Times New Roman" w:hAnsi="Times New Roman" w:cs="Times New Roman"/>
          <w:sz w:val="24"/>
          <w:szCs w:val="24"/>
        </w:rPr>
        <w:t xml:space="preserve">This idea I think is backed up in the first </w:t>
      </w:r>
      <w:r w:rsidR="004E44A6">
        <w:rPr>
          <w:rFonts w:ascii="Times New Roman" w:hAnsi="Times New Roman" w:cs="Times New Roman"/>
          <w:sz w:val="24"/>
          <w:szCs w:val="24"/>
        </w:rPr>
        <w:t>river image</w:t>
      </w:r>
      <w:r>
        <w:rPr>
          <w:rFonts w:ascii="Times New Roman" w:hAnsi="Times New Roman" w:cs="Times New Roman"/>
          <w:sz w:val="24"/>
          <w:szCs w:val="24"/>
        </w:rPr>
        <w:t xml:space="preserve"> presented by Stern</w:t>
      </w:r>
      <w:r w:rsidR="004E44A6">
        <w:rPr>
          <w:rFonts w:ascii="Times New Roman" w:hAnsi="Times New Roman" w:cs="Times New Roman"/>
          <w:sz w:val="24"/>
          <w:szCs w:val="24"/>
        </w:rPr>
        <w:t>;</w:t>
      </w:r>
      <w:r>
        <w:rPr>
          <w:rFonts w:ascii="Times New Roman" w:hAnsi="Times New Roman" w:cs="Times New Roman"/>
          <w:sz w:val="24"/>
          <w:szCs w:val="24"/>
        </w:rPr>
        <w:t xml:space="preserve"> he postulates that “the first fragment contains an image of both flux and permanence: the waters are continually flowing and changing b</w:t>
      </w:r>
      <w:r w:rsidR="000646CB">
        <w:rPr>
          <w:rFonts w:ascii="Times New Roman" w:hAnsi="Times New Roman" w:cs="Times New Roman"/>
          <w:sz w:val="24"/>
          <w:szCs w:val="24"/>
        </w:rPr>
        <w:t>u</w:t>
      </w:r>
      <w:r>
        <w:rPr>
          <w:rFonts w:ascii="Times New Roman" w:hAnsi="Times New Roman" w:cs="Times New Roman"/>
          <w:sz w:val="24"/>
          <w:szCs w:val="24"/>
        </w:rPr>
        <w:t>t the rivers persist.”</w:t>
      </w:r>
      <w:r>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Stern comments further to suggest that this is in deep contrast with not being able to step into the same river twice, as it is clear that you can</w:t>
      </w:r>
      <w:r w:rsidR="004E44A6">
        <w:rPr>
          <w:rFonts w:ascii="Times New Roman" w:hAnsi="Times New Roman" w:cs="Times New Roman"/>
          <w:sz w:val="24"/>
          <w:szCs w:val="24"/>
        </w:rPr>
        <w:t>,</w:t>
      </w:r>
      <w:r>
        <w:rPr>
          <w:rFonts w:ascii="Times New Roman" w:hAnsi="Times New Roman" w:cs="Times New Roman"/>
          <w:sz w:val="24"/>
          <w:szCs w:val="24"/>
        </w:rPr>
        <w:t xml:space="preserve"> using this fragment. However, this </w:t>
      </w:r>
      <w:r w:rsidR="000646CB">
        <w:rPr>
          <w:rFonts w:ascii="Times New Roman" w:hAnsi="Times New Roman" w:cs="Times New Roman"/>
          <w:sz w:val="24"/>
          <w:szCs w:val="24"/>
        </w:rPr>
        <w:t xml:space="preserve">is compatible with the view just mentioned on the above paragraph that “things change, but they persist through these changes.” </w:t>
      </w:r>
    </w:p>
    <w:p w14:paraId="7FB3706A" w14:textId="0DC237B0" w:rsidR="000646CB" w:rsidRDefault="000646CB" w:rsidP="00E56BBE">
      <w:pPr>
        <w:jc w:val="both"/>
        <w:rPr>
          <w:rFonts w:ascii="Times New Roman" w:hAnsi="Times New Roman" w:cs="Times New Roman"/>
          <w:sz w:val="24"/>
          <w:szCs w:val="24"/>
        </w:rPr>
      </w:pPr>
      <w:r>
        <w:rPr>
          <w:rFonts w:ascii="Times New Roman" w:hAnsi="Times New Roman" w:cs="Times New Roman"/>
          <w:sz w:val="24"/>
          <w:szCs w:val="24"/>
        </w:rPr>
        <w:t xml:space="preserve">To conclude, I postulate that this idea of a changing yet persisting world view is highly </w:t>
      </w:r>
      <w:r w:rsidR="004E44A6">
        <w:rPr>
          <w:rFonts w:ascii="Times New Roman" w:hAnsi="Times New Roman" w:cs="Times New Roman"/>
          <w:sz w:val="24"/>
          <w:szCs w:val="24"/>
        </w:rPr>
        <w:t>plausible,</w:t>
      </w:r>
      <w:r>
        <w:rPr>
          <w:rFonts w:ascii="Times New Roman" w:hAnsi="Times New Roman" w:cs="Times New Roman"/>
          <w:sz w:val="24"/>
          <w:szCs w:val="24"/>
        </w:rPr>
        <w:t xml:space="preserve"> but whether this is what Heraclitus thought is hard to see if we consider the other river fragments provided. The second passage denies anything persisting not even the river banks as no stable condition is seen. Moreover, the third passage goes even further to suggest </w:t>
      </w:r>
      <w:r>
        <w:rPr>
          <w:rFonts w:ascii="Times New Roman" w:hAnsi="Times New Roman" w:cs="Times New Roman"/>
          <w:sz w:val="24"/>
          <w:szCs w:val="24"/>
        </w:rPr>
        <w:lastRenderedPageBreak/>
        <w:t>that we cannot even have an idea about our self-identity, that everything is in constant flux and nothing at all persists</w:t>
      </w:r>
      <w:r w:rsidR="004E44A6">
        <w:rPr>
          <w:rFonts w:ascii="Times New Roman" w:hAnsi="Times New Roman" w:cs="Times New Roman"/>
          <w:sz w:val="24"/>
          <w:szCs w:val="24"/>
        </w:rPr>
        <w:t>;</w:t>
      </w:r>
      <w:r>
        <w:rPr>
          <w:rFonts w:ascii="Times New Roman" w:hAnsi="Times New Roman" w:cs="Times New Roman"/>
          <w:sz w:val="24"/>
          <w:szCs w:val="24"/>
        </w:rPr>
        <w:t xml:space="preserve"> this is where Stern reaches his climax and showing that this is a view </w:t>
      </w:r>
      <w:r w:rsidR="009B14EC">
        <w:rPr>
          <w:rFonts w:ascii="Times New Roman" w:hAnsi="Times New Roman" w:cs="Times New Roman"/>
          <w:sz w:val="24"/>
          <w:szCs w:val="24"/>
        </w:rPr>
        <w:t>that there “is considerable support for… in Plato and Aristotle”</w:t>
      </w:r>
      <w:r w:rsidR="009B14EC">
        <w:rPr>
          <w:rStyle w:val="FootnoteReference"/>
          <w:rFonts w:ascii="Times New Roman" w:hAnsi="Times New Roman" w:cs="Times New Roman"/>
          <w:sz w:val="24"/>
          <w:szCs w:val="24"/>
        </w:rPr>
        <w:footnoteReference w:id="16"/>
      </w:r>
      <w:r w:rsidR="009B14EC">
        <w:rPr>
          <w:rFonts w:ascii="Times New Roman" w:hAnsi="Times New Roman" w:cs="Times New Roman"/>
          <w:sz w:val="24"/>
          <w:szCs w:val="24"/>
        </w:rPr>
        <w:t xml:space="preserve"> and that Socrates “says that Heraclitus had arrived at the “mistaken opinion” that “all things were in motion or flux”….”</w:t>
      </w:r>
      <w:r w:rsidR="009B14EC">
        <w:rPr>
          <w:rStyle w:val="FootnoteReference"/>
          <w:rFonts w:ascii="Times New Roman" w:hAnsi="Times New Roman" w:cs="Times New Roman"/>
          <w:sz w:val="24"/>
          <w:szCs w:val="24"/>
        </w:rPr>
        <w:footnoteReference w:id="17"/>
      </w:r>
      <w:r w:rsidR="009B14EC">
        <w:rPr>
          <w:rFonts w:ascii="Times New Roman" w:hAnsi="Times New Roman" w:cs="Times New Roman"/>
          <w:sz w:val="24"/>
          <w:szCs w:val="24"/>
        </w:rPr>
        <w:t xml:space="preserve"> Perhaps, this is what Heraclitus meant that everything changes and nothing persists</w:t>
      </w:r>
      <w:r w:rsidR="004E44A6">
        <w:rPr>
          <w:rFonts w:ascii="Times New Roman" w:hAnsi="Times New Roman" w:cs="Times New Roman"/>
          <w:sz w:val="24"/>
          <w:szCs w:val="24"/>
        </w:rPr>
        <w:t xml:space="preserve"> although</w:t>
      </w:r>
      <w:r w:rsidR="009B14EC">
        <w:rPr>
          <w:rFonts w:ascii="Times New Roman" w:hAnsi="Times New Roman" w:cs="Times New Roman"/>
          <w:sz w:val="24"/>
          <w:szCs w:val="24"/>
        </w:rPr>
        <w:t xml:space="preserve"> I think it is difficult to be certain on this point but it seems to be where the evidence leads, at least</w:t>
      </w:r>
      <w:r w:rsidR="002839A7">
        <w:rPr>
          <w:rFonts w:ascii="Times New Roman" w:hAnsi="Times New Roman" w:cs="Times New Roman"/>
          <w:sz w:val="24"/>
          <w:szCs w:val="24"/>
        </w:rPr>
        <w:t>,</w:t>
      </w:r>
      <w:r w:rsidR="009B14EC">
        <w:rPr>
          <w:rFonts w:ascii="Times New Roman" w:hAnsi="Times New Roman" w:cs="Times New Roman"/>
          <w:sz w:val="24"/>
          <w:szCs w:val="24"/>
        </w:rPr>
        <w:t xml:space="preserve"> for now.</w:t>
      </w:r>
    </w:p>
    <w:p w14:paraId="4191DC48" w14:textId="77777777" w:rsidR="000B016D" w:rsidRDefault="000B016D" w:rsidP="00E56BBE">
      <w:pPr>
        <w:jc w:val="both"/>
        <w:rPr>
          <w:rFonts w:ascii="Times New Roman" w:hAnsi="Times New Roman" w:cs="Times New Roman"/>
          <w:sz w:val="24"/>
          <w:szCs w:val="24"/>
        </w:rPr>
      </w:pPr>
    </w:p>
    <w:p w14:paraId="309B325F" w14:textId="51A0AC16" w:rsidR="009561B6" w:rsidRDefault="009561B6" w:rsidP="00E56BBE">
      <w:pPr>
        <w:jc w:val="both"/>
        <w:rPr>
          <w:rFonts w:ascii="Times New Roman" w:hAnsi="Times New Roman" w:cs="Times New Roman"/>
          <w:sz w:val="24"/>
          <w:szCs w:val="24"/>
        </w:rPr>
      </w:pPr>
      <w:r>
        <w:rPr>
          <w:rFonts w:ascii="Times New Roman" w:hAnsi="Times New Roman" w:cs="Times New Roman"/>
          <w:sz w:val="24"/>
          <w:szCs w:val="24"/>
        </w:rPr>
        <w:t xml:space="preserve"> </w:t>
      </w:r>
    </w:p>
    <w:p w14:paraId="2A0AF240" w14:textId="77777777" w:rsidR="000944F9" w:rsidRDefault="000944F9" w:rsidP="00E56BBE">
      <w:pPr>
        <w:jc w:val="both"/>
        <w:rPr>
          <w:rFonts w:ascii="Times New Roman" w:hAnsi="Times New Roman" w:cs="Times New Roman"/>
          <w:sz w:val="24"/>
          <w:szCs w:val="24"/>
        </w:rPr>
      </w:pPr>
    </w:p>
    <w:p w14:paraId="70A0F086" w14:textId="19B15515" w:rsidR="0066716C" w:rsidRDefault="0066716C" w:rsidP="00E56BBE">
      <w:pPr>
        <w:jc w:val="both"/>
        <w:rPr>
          <w:rFonts w:ascii="Times New Roman" w:hAnsi="Times New Roman" w:cs="Times New Roman"/>
          <w:sz w:val="24"/>
          <w:szCs w:val="24"/>
        </w:rPr>
      </w:pPr>
    </w:p>
    <w:p w14:paraId="4319B35C" w14:textId="4C02BB1F" w:rsidR="004868E7" w:rsidRDefault="004868E7" w:rsidP="00E56BBE">
      <w:pPr>
        <w:jc w:val="both"/>
        <w:rPr>
          <w:rFonts w:ascii="Times New Roman" w:hAnsi="Times New Roman" w:cs="Times New Roman"/>
          <w:sz w:val="24"/>
          <w:szCs w:val="24"/>
        </w:rPr>
      </w:pPr>
    </w:p>
    <w:p w14:paraId="1FD160EA" w14:textId="3E7FC3E1" w:rsidR="004868E7" w:rsidRDefault="004868E7" w:rsidP="00E56BBE">
      <w:pPr>
        <w:jc w:val="both"/>
        <w:rPr>
          <w:rFonts w:ascii="Times New Roman" w:hAnsi="Times New Roman" w:cs="Times New Roman"/>
          <w:sz w:val="24"/>
          <w:szCs w:val="24"/>
        </w:rPr>
      </w:pPr>
    </w:p>
    <w:p w14:paraId="468A6488" w14:textId="463F8E6C" w:rsidR="004868E7" w:rsidRDefault="004868E7" w:rsidP="00E56BBE">
      <w:pPr>
        <w:jc w:val="both"/>
        <w:rPr>
          <w:rFonts w:ascii="Times New Roman" w:hAnsi="Times New Roman" w:cs="Times New Roman"/>
          <w:sz w:val="24"/>
          <w:szCs w:val="24"/>
        </w:rPr>
      </w:pPr>
    </w:p>
    <w:p w14:paraId="0F4796FC" w14:textId="4877FB8B" w:rsidR="004868E7" w:rsidRDefault="004868E7" w:rsidP="00E56BBE">
      <w:pPr>
        <w:jc w:val="both"/>
        <w:rPr>
          <w:rFonts w:ascii="Times New Roman" w:hAnsi="Times New Roman" w:cs="Times New Roman"/>
          <w:sz w:val="24"/>
          <w:szCs w:val="24"/>
        </w:rPr>
      </w:pPr>
    </w:p>
    <w:p w14:paraId="3DF9CD9A" w14:textId="33515913" w:rsidR="004868E7" w:rsidRDefault="004868E7" w:rsidP="00E56BBE">
      <w:pPr>
        <w:jc w:val="both"/>
        <w:rPr>
          <w:rFonts w:ascii="Times New Roman" w:hAnsi="Times New Roman" w:cs="Times New Roman"/>
          <w:sz w:val="24"/>
          <w:szCs w:val="24"/>
        </w:rPr>
      </w:pPr>
    </w:p>
    <w:p w14:paraId="52D2F65B" w14:textId="0241F3B4" w:rsidR="004868E7" w:rsidRDefault="004868E7" w:rsidP="00E56BBE">
      <w:pPr>
        <w:jc w:val="both"/>
        <w:rPr>
          <w:rFonts w:ascii="Times New Roman" w:hAnsi="Times New Roman" w:cs="Times New Roman"/>
          <w:sz w:val="24"/>
          <w:szCs w:val="24"/>
        </w:rPr>
      </w:pPr>
    </w:p>
    <w:p w14:paraId="372EF06C" w14:textId="1ECA2346" w:rsidR="004868E7" w:rsidRDefault="004868E7" w:rsidP="00E56BBE">
      <w:pPr>
        <w:jc w:val="both"/>
        <w:rPr>
          <w:rFonts w:ascii="Times New Roman" w:hAnsi="Times New Roman" w:cs="Times New Roman"/>
          <w:sz w:val="24"/>
          <w:szCs w:val="24"/>
        </w:rPr>
      </w:pPr>
    </w:p>
    <w:p w14:paraId="4BB7FC36" w14:textId="6C537DE7" w:rsidR="004868E7" w:rsidRDefault="004868E7" w:rsidP="00E56BBE">
      <w:pPr>
        <w:jc w:val="both"/>
        <w:rPr>
          <w:rFonts w:ascii="Times New Roman" w:hAnsi="Times New Roman" w:cs="Times New Roman"/>
          <w:sz w:val="24"/>
          <w:szCs w:val="24"/>
        </w:rPr>
      </w:pPr>
    </w:p>
    <w:p w14:paraId="5A120266" w14:textId="7FF2EA14" w:rsidR="004868E7" w:rsidRDefault="004868E7" w:rsidP="00E56BBE">
      <w:pPr>
        <w:jc w:val="both"/>
        <w:rPr>
          <w:rFonts w:ascii="Times New Roman" w:hAnsi="Times New Roman" w:cs="Times New Roman"/>
          <w:sz w:val="24"/>
          <w:szCs w:val="24"/>
        </w:rPr>
      </w:pPr>
    </w:p>
    <w:p w14:paraId="250AF81B" w14:textId="30DCDA95" w:rsidR="004868E7" w:rsidRDefault="004868E7" w:rsidP="00E56BBE">
      <w:pPr>
        <w:jc w:val="both"/>
        <w:rPr>
          <w:rFonts w:ascii="Times New Roman" w:hAnsi="Times New Roman" w:cs="Times New Roman"/>
          <w:sz w:val="24"/>
          <w:szCs w:val="24"/>
        </w:rPr>
      </w:pPr>
    </w:p>
    <w:p w14:paraId="23BA5781" w14:textId="3EBBAD61" w:rsidR="004868E7" w:rsidRDefault="004868E7" w:rsidP="00E56BBE">
      <w:pPr>
        <w:jc w:val="both"/>
        <w:rPr>
          <w:rFonts w:ascii="Times New Roman" w:hAnsi="Times New Roman" w:cs="Times New Roman"/>
          <w:sz w:val="24"/>
          <w:szCs w:val="24"/>
        </w:rPr>
      </w:pPr>
    </w:p>
    <w:p w14:paraId="40F740F3" w14:textId="68837487" w:rsidR="004868E7" w:rsidRDefault="004868E7" w:rsidP="00E56BBE">
      <w:pPr>
        <w:jc w:val="both"/>
        <w:rPr>
          <w:rFonts w:ascii="Times New Roman" w:hAnsi="Times New Roman" w:cs="Times New Roman"/>
          <w:sz w:val="24"/>
          <w:szCs w:val="24"/>
        </w:rPr>
      </w:pPr>
    </w:p>
    <w:p w14:paraId="161A5F79" w14:textId="0CCD652D" w:rsidR="004868E7" w:rsidRDefault="004868E7" w:rsidP="00E56BBE">
      <w:pPr>
        <w:jc w:val="both"/>
        <w:rPr>
          <w:rFonts w:ascii="Times New Roman" w:hAnsi="Times New Roman" w:cs="Times New Roman"/>
          <w:sz w:val="24"/>
          <w:szCs w:val="24"/>
        </w:rPr>
      </w:pPr>
    </w:p>
    <w:p w14:paraId="3EAF1603" w14:textId="5DEC4070" w:rsidR="004868E7" w:rsidRDefault="004868E7" w:rsidP="00E56BBE">
      <w:pPr>
        <w:jc w:val="both"/>
        <w:rPr>
          <w:rFonts w:ascii="Times New Roman" w:hAnsi="Times New Roman" w:cs="Times New Roman"/>
          <w:sz w:val="24"/>
          <w:szCs w:val="24"/>
        </w:rPr>
      </w:pPr>
    </w:p>
    <w:p w14:paraId="4B70F03D" w14:textId="46BD2F0C" w:rsidR="004868E7" w:rsidRDefault="004868E7" w:rsidP="00E56BBE">
      <w:pPr>
        <w:jc w:val="both"/>
        <w:rPr>
          <w:rFonts w:ascii="Times New Roman" w:hAnsi="Times New Roman" w:cs="Times New Roman"/>
          <w:sz w:val="24"/>
          <w:szCs w:val="24"/>
        </w:rPr>
      </w:pPr>
    </w:p>
    <w:p w14:paraId="62C2C5DC" w14:textId="652D7557" w:rsidR="004868E7" w:rsidRDefault="004868E7" w:rsidP="00E56BBE">
      <w:pPr>
        <w:jc w:val="both"/>
        <w:rPr>
          <w:rFonts w:ascii="Times New Roman" w:hAnsi="Times New Roman" w:cs="Times New Roman"/>
          <w:sz w:val="24"/>
          <w:szCs w:val="24"/>
        </w:rPr>
      </w:pPr>
    </w:p>
    <w:p w14:paraId="1BFB8471" w14:textId="1B14A3DE" w:rsidR="004868E7" w:rsidRDefault="004868E7" w:rsidP="00E56BBE">
      <w:pPr>
        <w:jc w:val="both"/>
        <w:rPr>
          <w:rFonts w:ascii="Times New Roman" w:hAnsi="Times New Roman" w:cs="Times New Roman"/>
          <w:sz w:val="24"/>
          <w:szCs w:val="24"/>
        </w:rPr>
      </w:pPr>
    </w:p>
    <w:p w14:paraId="01DF33B3" w14:textId="6ACF0868" w:rsidR="004868E7" w:rsidRDefault="004868E7" w:rsidP="00E56BBE">
      <w:pPr>
        <w:jc w:val="both"/>
        <w:rPr>
          <w:rFonts w:ascii="Times New Roman" w:hAnsi="Times New Roman" w:cs="Times New Roman"/>
          <w:sz w:val="24"/>
          <w:szCs w:val="24"/>
        </w:rPr>
      </w:pPr>
    </w:p>
    <w:p w14:paraId="23826855" w14:textId="5CE95AAC" w:rsidR="004868E7" w:rsidRDefault="004868E7" w:rsidP="00E56BBE">
      <w:pPr>
        <w:jc w:val="both"/>
        <w:rPr>
          <w:rFonts w:ascii="Times New Roman" w:hAnsi="Times New Roman" w:cs="Times New Roman"/>
          <w:sz w:val="24"/>
          <w:szCs w:val="24"/>
        </w:rPr>
      </w:pPr>
    </w:p>
    <w:p w14:paraId="1571ADD4" w14:textId="45265A55" w:rsidR="004868E7" w:rsidRDefault="004868E7" w:rsidP="00E56BBE">
      <w:pPr>
        <w:jc w:val="both"/>
        <w:rPr>
          <w:rFonts w:ascii="Times New Roman" w:hAnsi="Times New Roman" w:cs="Times New Roman"/>
          <w:sz w:val="24"/>
          <w:szCs w:val="24"/>
        </w:rPr>
      </w:pPr>
    </w:p>
    <w:p w14:paraId="6B64512F" w14:textId="3D8244BA" w:rsidR="004868E7" w:rsidRDefault="004868E7" w:rsidP="00E56BBE">
      <w:pPr>
        <w:jc w:val="both"/>
        <w:rPr>
          <w:rFonts w:ascii="Times New Roman" w:hAnsi="Times New Roman" w:cs="Times New Roman"/>
          <w:sz w:val="32"/>
          <w:szCs w:val="32"/>
          <w:u w:val="single"/>
        </w:rPr>
      </w:pPr>
      <w:r w:rsidRPr="004868E7">
        <w:rPr>
          <w:rFonts w:ascii="Times New Roman" w:hAnsi="Times New Roman" w:cs="Times New Roman"/>
          <w:sz w:val="32"/>
          <w:szCs w:val="32"/>
          <w:u w:val="single"/>
        </w:rPr>
        <w:t>Bibliography</w:t>
      </w:r>
    </w:p>
    <w:p w14:paraId="3E909673" w14:textId="11CD16FC" w:rsidR="004868E7" w:rsidRDefault="004868E7" w:rsidP="00E56BBE">
      <w:pPr>
        <w:jc w:val="both"/>
        <w:rPr>
          <w:color w:val="000000"/>
        </w:rPr>
      </w:pPr>
      <w:r w:rsidRPr="003838FF">
        <w:rPr>
          <w:color w:val="000000"/>
        </w:rPr>
        <w:t>Taylor</w:t>
      </w:r>
      <w:r w:rsidRPr="003838FF">
        <w:rPr>
          <w:color w:val="000000"/>
        </w:rPr>
        <w:t xml:space="preserve"> </w:t>
      </w:r>
      <w:r w:rsidRPr="003838FF">
        <w:rPr>
          <w:color w:val="000000"/>
        </w:rPr>
        <w:t xml:space="preserve">C.C.W., </w:t>
      </w:r>
      <w:r w:rsidRPr="003838FF">
        <w:rPr>
          <w:i/>
          <w:iCs/>
          <w:color w:val="000000"/>
        </w:rPr>
        <w:t>From the beginning to Plato</w:t>
      </w:r>
      <w:r w:rsidRPr="003838FF">
        <w:rPr>
          <w:color w:val="000000"/>
        </w:rPr>
        <w:t xml:space="preserve"> (Oxon: Routledge, 1997)</w:t>
      </w:r>
    </w:p>
    <w:p w14:paraId="03F78390" w14:textId="1F465AA2" w:rsidR="004868E7" w:rsidRDefault="004868E7" w:rsidP="004868E7">
      <w:pPr>
        <w:rPr>
          <w:color w:val="000000"/>
        </w:rPr>
      </w:pPr>
      <w:r w:rsidRPr="002C4345">
        <w:rPr>
          <w:color w:val="000000"/>
        </w:rPr>
        <w:t>Stern</w:t>
      </w:r>
      <w:r w:rsidRPr="002C4345">
        <w:rPr>
          <w:color w:val="000000"/>
        </w:rPr>
        <w:t xml:space="preserve"> </w:t>
      </w:r>
      <w:r w:rsidRPr="002C4345">
        <w:rPr>
          <w:color w:val="000000"/>
        </w:rPr>
        <w:t>David G, 'HERACLITUS' AND WITTGENSTEIN'S RIVER IMAGES: STEPPING TWICE INTO THE SAME RIVER',</w:t>
      </w:r>
      <w:r>
        <w:rPr>
          <w:color w:val="000000"/>
        </w:rPr>
        <w:t xml:space="preserve"> </w:t>
      </w:r>
      <w:r w:rsidRPr="002C4345">
        <w:rPr>
          <w:i/>
          <w:iCs/>
          <w:color w:val="000000"/>
        </w:rPr>
        <w:t>Monist</w:t>
      </w:r>
      <w:r w:rsidRPr="002C4345">
        <w:rPr>
          <w:color w:val="000000"/>
        </w:rPr>
        <w:t xml:space="preserve">, 74.4, (1991), 1-3 (p. 1), in </w:t>
      </w:r>
      <w:r w:rsidRPr="002C4345">
        <w:rPr>
          <w:i/>
          <w:iCs/>
          <w:color w:val="000000"/>
        </w:rPr>
        <w:t>&lt;http://web.b.ebscohost.com.ezproxy.uwtsd.ac.uk/ehost/detail/detail?vid=1&amp;sid=18cf2e81-9e4f-4b44-a6e5-a162a35eff3b%40sessionmgr102&amp;bdata=JnNpdGU9ZWhvc3QtbGl2ZQ%3d%3d#AN=9705071695&amp;db=rlh&gt; [accessed 16 February 2018].</w:t>
      </w:r>
    </w:p>
    <w:p w14:paraId="1E00E1A0" w14:textId="77777777" w:rsidR="004868E7" w:rsidRDefault="004868E7" w:rsidP="00E56BBE">
      <w:pPr>
        <w:jc w:val="both"/>
        <w:rPr>
          <w:color w:val="000000"/>
        </w:rPr>
      </w:pPr>
    </w:p>
    <w:p w14:paraId="19BB0462" w14:textId="77777777" w:rsidR="004868E7" w:rsidRPr="004868E7" w:rsidRDefault="004868E7" w:rsidP="00E56BBE">
      <w:pPr>
        <w:jc w:val="both"/>
        <w:rPr>
          <w:rFonts w:ascii="Times New Roman" w:hAnsi="Times New Roman" w:cs="Times New Roman"/>
          <w:sz w:val="32"/>
          <w:szCs w:val="32"/>
          <w:u w:val="single"/>
        </w:rPr>
      </w:pPr>
    </w:p>
    <w:sectPr w:rsidR="004868E7" w:rsidRPr="004868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0804FA" w14:textId="77777777" w:rsidR="00C42CD7" w:rsidRDefault="00C42CD7" w:rsidP="00DA07E8">
      <w:pPr>
        <w:spacing w:after="0" w:line="240" w:lineRule="auto"/>
      </w:pPr>
      <w:r>
        <w:separator/>
      </w:r>
    </w:p>
  </w:endnote>
  <w:endnote w:type="continuationSeparator" w:id="0">
    <w:p w14:paraId="0DA2530D" w14:textId="77777777" w:rsidR="00C42CD7" w:rsidRDefault="00C42CD7" w:rsidP="00DA0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570EB7" w14:textId="77777777" w:rsidR="00C42CD7" w:rsidRDefault="00C42CD7" w:rsidP="00DA07E8">
      <w:pPr>
        <w:spacing w:after="0" w:line="240" w:lineRule="auto"/>
      </w:pPr>
      <w:r>
        <w:separator/>
      </w:r>
    </w:p>
  </w:footnote>
  <w:footnote w:type="continuationSeparator" w:id="0">
    <w:p w14:paraId="625855BE" w14:textId="77777777" w:rsidR="00C42CD7" w:rsidRDefault="00C42CD7" w:rsidP="00DA07E8">
      <w:pPr>
        <w:spacing w:after="0" w:line="240" w:lineRule="auto"/>
      </w:pPr>
      <w:r>
        <w:continuationSeparator/>
      </w:r>
    </w:p>
  </w:footnote>
  <w:footnote w:id="1">
    <w:p w14:paraId="5CB63AFA" w14:textId="7879BC46" w:rsidR="00DA07E8" w:rsidRDefault="00DA07E8">
      <w:pPr>
        <w:pStyle w:val="FootnoteText"/>
      </w:pPr>
      <w:r>
        <w:rPr>
          <w:rStyle w:val="FootnoteReference"/>
        </w:rPr>
        <w:footnoteRef/>
      </w:r>
      <w:r>
        <w:t xml:space="preserve"> </w:t>
      </w:r>
      <w:r w:rsidR="000944F9" w:rsidRPr="003838FF">
        <w:rPr>
          <w:color w:val="000000"/>
          <w:sz w:val="22"/>
          <w:szCs w:val="22"/>
        </w:rPr>
        <w:t xml:space="preserve">C.C.W. Taylor, </w:t>
      </w:r>
      <w:r w:rsidR="000944F9" w:rsidRPr="003838FF">
        <w:rPr>
          <w:i/>
          <w:iCs/>
          <w:color w:val="000000"/>
          <w:sz w:val="22"/>
          <w:szCs w:val="22"/>
        </w:rPr>
        <w:t>From the beginning to Plato</w:t>
      </w:r>
      <w:r w:rsidR="000944F9" w:rsidRPr="003838FF">
        <w:rPr>
          <w:color w:val="000000"/>
          <w:sz w:val="22"/>
          <w:szCs w:val="22"/>
        </w:rPr>
        <w:t xml:space="preserve"> (Oxon: Routledge, 1997), p. 99.</w:t>
      </w:r>
    </w:p>
  </w:footnote>
  <w:footnote w:id="2">
    <w:p w14:paraId="70FF08E2" w14:textId="04BFF503" w:rsidR="00DA07E8" w:rsidRDefault="00DA07E8">
      <w:pPr>
        <w:pStyle w:val="FootnoteText"/>
      </w:pPr>
      <w:r>
        <w:rPr>
          <w:rStyle w:val="FootnoteReference"/>
        </w:rPr>
        <w:footnoteRef/>
      </w:r>
      <w:r>
        <w:t xml:space="preserve"> </w:t>
      </w:r>
      <w:r w:rsidR="003838FF">
        <w:t>Ibid</w:t>
      </w:r>
    </w:p>
  </w:footnote>
  <w:footnote w:id="3">
    <w:p w14:paraId="3B676C8B" w14:textId="0359FAD2" w:rsidR="00DA07E8" w:rsidRDefault="00DA07E8">
      <w:pPr>
        <w:pStyle w:val="FootnoteText"/>
      </w:pPr>
      <w:r>
        <w:rPr>
          <w:rStyle w:val="FootnoteReference"/>
        </w:rPr>
        <w:footnoteRef/>
      </w:r>
      <w:r>
        <w:t xml:space="preserve"> </w:t>
      </w:r>
      <w:r w:rsidR="003838FF">
        <w:t>Ibid</w:t>
      </w:r>
    </w:p>
  </w:footnote>
  <w:footnote w:id="4">
    <w:p w14:paraId="533C9E9B" w14:textId="7C9D2BE9" w:rsidR="00DA07E8" w:rsidRDefault="00DA07E8">
      <w:pPr>
        <w:pStyle w:val="FootnoteText"/>
      </w:pPr>
      <w:r>
        <w:rPr>
          <w:rStyle w:val="FootnoteReference"/>
        </w:rPr>
        <w:footnoteRef/>
      </w:r>
      <w:r>
        <w:t xml:space="preserve"> </w:t>
      </w:r>
      <w:r w:rsidR="003838FF">
        <w:t>Ibid</w:t>
      </w:r>
    </w:p>
  </w:footnote>
  <w:footnote w:id="5">
    <w:p w14:paraId="17830FC8" w14:textId="3B03FE8B" w:rsidR="00DA07E8" w:rsidRDefault="00DA07E8">
      <w:pPr>
        <w:pStyle w:val="FootnoteText"/>
      </w:pPr>
      <w:r>
        <w:rPr>
          <w:rStyle w:val="FootnoteReference"/>
        </w:rPr>
        <w:footnoteRef/>
      </w:r>
      <w:r>
        <w:t xml:space="preserve"> </w:t>
      </w:r>
      <w:r w:rsidR="003838FF">
        <w:t>Ibid, P.121.</w:t>
      </w:r>
    </w:p>
  </w:footnote>
  <w:footnote w:id="6">
    <w:p w14:paraId="5778097D" w14:textId="107442B4" w:rsidR="00DA07E8" w:rsidRDefault="00DA07E8">
      <w:pPr>
        <w:pStyle w:val="FootnoteText"/>
      </w:pPr>
      <w:r>
        <w:rPr>
          <w:rStyle w:val="FootnoteReference"/>
        </w:rPr>
        <w:footnoteRef/>
      </w:r>
      <w:r>
        <w:t xml:space="preserve"> </w:t>
      </w:r>
      <w:r w:rsidR="003838FF">
        <w:t>Ibid, P.99</w:t>
      </w:r>
    </w:p>
  </w:footnote>
  <w:footnote w:id="7">
    <w:p w14:paraId="7EEBBEBC" w14:textId="3E364A5C" w:rsidR="00DA07E8" w:rsidRDefault="00DA07E8">
      <w:pPr>
        <w:pStyle w:val="FootnoteText"/>
      </w:pPr>
      <w:r>
        <w:rPr>
          <w:rStyle w:val="FootnoteReference"/>
        </w:rPr>
        <w:footnoteRef/>
      </w:r>
      <w:r>
        <w:t xml:space="preserve"> </w:t>
      </w:r>
      <w:r w:rsidR="003838FF">
        <w:t xml:space="preserve">Ibid </w:t>
      </w:r>
    </w:p>
  </w:footnote>
  <w:footnote w:id="8">
    <w:p w14:paraId="1469A2FB" w14:textId="577C5F65" w:rsidR="00C74962" w:rsidRDefault="00C74962">
      <w:pPr>
        <w:pStyle w:val="FootnoteText"/>
      </w:pPr>
      <w:r>
        <w:rPr>
          <w:rStyle w:val="FootnoteReference"/>
        </w:rPr>
        <w:footnoteRef/>
      </w:r>
      <w:r>
        <w:t xml:space="preserve"> </w:t>
      </w:r>
      <w:r w:rsidR="002C4345" w:rsidRPr="002C4345">
        <w:rPr>
          <w:color w:val="000000"/>
          <w:sz w:val="22"/>
          <w:szCs w:val="22"/>
        </w:rPr>
        <w:t xml:space="preserve">David G </w:t>
      </w:r>
      <w:proofErr w:type="gramStart"/>
      <w:r w:rsidR="002C4345" w:rsidRPr="002C4345">
        <w:rPr>
          <w:color w:val="000000"/>
          <w:sz w:val="22"/>
          <w:szCs w:val="22"/>
        </w:rPr>
        <w:t>Stern ,</w:t>
      </w:r>
      <w:proofErr w:type="gramEnd"/>
      <w:r w:rsidR="002C4345" w:rsidRPr="002C4345">
        <w:rPr>
          <w:color w:val="000000"/>
          <w:sz w:val="22"/>
          <w:szCs w:val="22"/>
        </w:rPr>
        <w:t xml:space="preserve"> 'HERACLITUS' AND WITTGENSTEIN'S RIVER IMAGES: STEPPING TWICE INTO THE SAME RIVER', </w:t>
      </w:r>
      <w:r w:rsidR="002C4345" w:rsidRPr="002C4345">
        <w:rPr>
          <w:i/>
          <w:iCs/>
          <w:color w:val="000000"/>
          <w:sz w:val="22"/>
          <w:szCs w:val="22"/>
        </w:rPr>
        <w:t xml:space="preserve">Monist </w:t>
      </w:r>
      <w:r w:rsidR="002C4345" w:rsidRPr="002C4345">
        <w:rPr>
          <w:color w:val="000000"/>
          <w:sz w:val="22"/>
          <w:szCs w:val="22"/>
        </w:rPr>
        <w:t xml:space="preserve">, 74.4, (1991), 1-3 (p. 1), in </w:t>
      </w:r>
      <w:r w:rsidR="002C4345" w:rsidRPr="002C4345">
        <w:rPr>
          <w:i/>
          <w:iCs/>
          <w:color w:val="000000"/>
          <w:sz w:val="22"/>
          <w:szCs w:val="22"/>
        </w:rPr>
        <w:t>&lt;http://web.b.ebscohost.com.ezproxy.uwtsd.ac.uk/ehost/detail/detail?vid=1&amp;sid=18cf2e81-9e4f-4b44-a6e5-a162a35eff3b%40sessionmgr102&amp;bdata=JnNpdGU9ZWhvc3QtbGl2ZQ%3d%3d#AN=9705071695&amp;db=rlh&gt; [accessed 16 February 2018].</w:t>
      </w:r>
    </w:p>
  </w:footnote>
  <w:footnote w:id="9">
    <w:p w14:paraId="090E2A86" w14:textId="1DB56633" w:rsidR="00C36C57" w:rsidRDefault="00C36C57">
      <w:pPr>
        <w:pStyle w:val="FootnoteText"/>
      </w:pPr>
      <w:r>
        <w:rPr>
          <w:rStyle w:val="FootnoteReference"/>
        </w:rPr>
        <w:footnoteRef/>
      </w:r>
      <w:r>
        <w:t xml:space="preserve"> </w:t>
      </w:r>
      <w:r w:rsidR="002C4345">
        <w:t>Ibid</w:t>
      </w:r>
      <w:r w:rsidR="004868E7">
        <w:t xml:space="preserve"> p.3.</w:t>
      </w:r>
    </w:p>
  </w:footnote>
  <w:footnote w:id="10">
    <w:p w14:paraId="2ECE54B2" w14:textId="348E4F69" w:rsidR="00C36C57" w:rsidRDefault="00C36C57">
      <w:pPr>
        <w:pStyle w:val="FootnoteText"/>
      </w:pPr>
      <w:r>
        <w:rPr>
          <w:rStyle w:val="FootnoteReference"/>
        </w:rPr>
        <w:footnoteRef/>
      </w:r>
      <w:r>
        <w:t xml:space="preserve"> </w:t>
      </w:r>
      <w:r w:rsidR="002C4345">
        <w:t>Ibid</w:t>
      </w:r>
      <w:r w:rsidR="004868E7">
        <w:t xml:space="preserve"> p.3</w:t>
      </w:r>
    </w:p>
  </w:footnote>
  <w:footnote w:id="11">
    <w:p w14:paraId="0153EA56" w14:textId="2692C956" w:rsidR="00C36C57" w:rsidRDefault="00C36C57">
      <w:pPr>
        <w:pStyle w:val="FootnoteText"/>
      </w:pPr>
      <w:r>
        <w:rPr>
          <w:rStyle w:val="FootnoteReference"/>
        </w:rPr>
        <w:footnoteRef/>
      </w:r>
      <w:r>
        <w:t xml:space="preserve"> </w:t>
      </w:r>
      <w:r w:rsidR="002C4345">
        <w:t>Ibid</w:t>
      </w:r>
      <w:r w:rsidR="004868E7">
        <w:t xml:space="preserve"> p.3</w:t>
      </w:r>
    </w:p>
  </w:footnote>
  <w:footnote w:id="12">
    <w:p w14:paraId="6E3EEF90" w14:textId="2D61546A" w:rsidR="009561B6" w:rsidRDefault="009561B6">
      <w:pPr>
        <w:pStyle w:val="FootnoteText"/>
      </w:pPr>
      <w:r>
        <w:rPr>
          <w:rStyle w:val="FootnoteReference"/>
        </w:rPr>
        <w:footnoteRef/>
      </w:r>
      <w:r>
        <w:t xml:space="preserve"> </w:t>
      </w:r>
      <w:r w:rsidR="002C4345">
        <w:t>Ibid</w:t>
      </w:r>
      <w:r w:rsidR="004868E7">
        <w:t xml:space="preserve"> p.3 </w:t>
      </w:r>
    </w:p>
  </w:footnote>
  <w:footnote w:id="13">
    <w:p w14:paraId="7346BABF" w14:textId="6C616BE9" w:rsidR="001B5E2C" w:rsidRDefault="001B5E2C">
      <w:pPr>
        <w:pStyle w:val="FootnoteText"/>
      </w:pPr>
      <w:r>
        <w:rPr>
          <w:rStyle w:val="FootnoteReference"/>
        </w:rPr>
        <w:footnoteRef/>
      </w:r>
      <w:r>
        <w:t xml:space="preserve"> </w:t>
      </w:r>
      <w:r w:rsidR="002C4345">
        <w:t xml:space="preserve">Ibid </w:t>
      </w:r>
      <w:r w:rsidR="004868E7">
        <w:t>p.4</w:t>
      </w:r>
    </w:p>
  </w:footnote>
  <w:footnote w:id="14">
    <w:p w14:paraId="48B82C94" w14:textId="5937C782" w:rsidR="001B5E2C" w:rsidRDefault="001B5E2C">
      <w:pPr>
        <w:pStyle w:val="FootnoteText"/>
      </w:pPr>
      <w:r>
        <w:rPr>
          <w:rStyle w:val="FootnoteReference"/>
        </w:rPr>
        <w:footnoteRef/>
      </w:r>
      <w:r>
        <w:t xml:space="preserve"> </w:t>
      </w:r>
      <w:r w:rsidR="002C4345">
        <w:t>Ibid</w:t>
      </w:r>
      <w:r w:rsidR="004868E7">
        <w:t xml:space="preserve"> p.4 </w:t>
      </w:r>
    </w:p>
  </w:footnote>
  <w:footnote w:id="15">
    <w:p w14:paraId="631882C1" w14:textId="498B3154" w:rsidR="000B016D" w:rsidRDefault="000B016D">
      <w:pPr>
        <w:pStyle w:val="FootnoteText"/>
      </w:pPr>
      <w:r>
        <w:rPr>
          <w:rStyle w:val="FootnoteReference"/>
        </w:rPr>
        <w:footnoteRef/>
      </w:r>
      <w:r>
        <w:t xml:space="preserve"> </w:t>
      </w:r>
      <w:r w:rsidR="002C4345">
        <w:t>Ibid</w:t>
      </w:r>
      <w:r w:rsidR="004868E7">
        <w:t xml:space="preserve"> p.4 </w:t>
      </w:r>
    </w:p>
  </w:footnote>
  <w:footnote w:id="16">
    <w:p w14:paraId="47DA44D9" w14:textId="55B28D09" w:rsidR="009B14EC" w:rsidRDefault="009B14EC">
      <w:pPr>
        <w:pStyle w:val="FootnoteText"/>
      </w:pPr>
      <w:r>
        <w:rPr>
          <w:rStyle w:val="FootnoteReference"/>
        </w:rPr>
        <w:footnoteRef/>
      </w:r>
      <w:r>
        <w:t xml:space="preserve"> </w:t>
      </w:r>
      <w:r w:rsidR="004868E7">
        <w:t xml:space="preserve">Ibid P.4 </w:t>
      </w:r>
    </w:p>
  </w:footnote>
  <w:footnote w:id="17">
    <w:p w14:paraId="30DF45EC" w14:textId="65877C1D" w:rsidR="009B14EC" w:rsidRDefault="009B14EC">
      <w:pPr>
        <w:pStyle w:val="FootnoteText"/>
      </w:pPr>
      <w:r>
        <w:rPr>
          <w:rStyle w:val="FootnoteReference"/>
        </w:rPr>
        <w:footnoteRef/>
      </w:r>
      <w:r>
        <w:t xml:space="preserve"> </w:t>
      </w:r>
      <w:r w:rsidR="004868E7">
        <w:t xml:space="preserve">Ibid P.4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BBE"/>
    <w:rsid w:val="000646CB"/>
    <w:rsid w:val="000944F9"/>
    <w:rsid w:val="000B016D"/>
    <w:rsid w:val="001B5E2C"/>
    <w:rsid w:val="002839A7"/>
    <w:rsid w:val="002C4345"/>
    <w:rsid w:val="003838FF"/>
    <w:rsid w:val="003D11A6"/>
    <w:rsid w:val="004868E7"/>
    <w:rsid w:val="004E44A6"/>
    <w:rsid w:val="005C6127"/>
    <w:rsid w:val="0066716C"/>
    <w:rsid w:val="007C0B1D"/>
    <w:rsid w:val="00852681"/>
    <w:rsid w:val="009561B6"/>
    <w:rsid w:val="009633D4"/>
    <w:rsid w:val="009B14EC"/>
    <w:rsid w:val="00B4707B"/>
    <w:rsid w:val="00B9376C"/>
    <w:rsid w:val="00B93A94"/>
    <w:rsid w:val="00C36C57"/>
    <w:rsid w:val="00C42CD7"/>
    <w:rsid w:val="00C74962"/>
    <w:rsid w:val="00D53055"/>
    <w:rsid w:val="00DA07E8"/>
    <w:rsid w:val="00DB41EE"/>
    <w:rsid w:val="00E56BBE"/>
    <w:rsid w:val="00FD5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1866D"/>
  <w15:chartTrackingRefBased/>
  <w15:docId w15:val="{11C20999-240F-4D35-AB59-5A6C63F71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7C0B1D"/>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7C0B1D"/>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A07E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07E8"/>
    <w:rPr>
      <w:sz w:val="20"/>
      <w:szCs w:val="20"/>
    </w:rPr>
  </w:style>
  <w:style w:type="character" w:styleId="FootnoteReference">
    <w:name w:val="footnote reference"/>
    <w:basedOn w:val="DefaultParagraphFont"/>
    <w:uiPriority w:val="99"/>
    <w:semiHidden/>
    <w:unhideWhenUsed/>
    <w:rsid w:val="00DA07E8"/>
    <w:rPr>
      <w:vertAlign w:val="superscript"/>
    </w:rPr>
  </w:style>
  <w:style w:type="character" w:customStyle="1" w:styleId="Heading1Char">
    <w:name w:val="Heading 1 Char"/>
    <w:basedOn w:val="DefaultParagraphFont"/>
    <w:link w:val="Heading1"/>
    <w:rsid w:val="007C0B1D"/>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7C0B1D"/>
    <w:rPr>
      <w:rFonts w:ascii="Tahoma" w:eastAsia="SimSun" w:hAnsi="Tahoma" w:cs="Tahoma"/>
      <w:b/>
      <w:bCs/>
      <w:sz w:val="20"/>
      <w:szCs w:val="20"/>
      <w:lang w:eastAsia="zh-CN"/>
    </w:rPr>
  </w:style>
  <w:style w:type="paragraph" w:styleId="NormalWeb">
    <w:name w:val="Normal (Web)"/>
    <w:basedOn w:val="Normal"/>
    <w:rsid w:val="007C0B1D"/>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36FE48-7A23-48E8-8F06-7300F061E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992</Words>
  <Characters>5656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Gowler</dc:creator>
  <cp:keywords/>
  <dc:description/>
  <cp:lastModifiedBy>Andrew Gowler</cp:lastModifiedBy>
  <cp:revision>2</cp:revision>
  <dcterms:created xsi:type="dcterms:W3CDTF">2018-02-19T13:38:00Z</dcterms:created>
  <dcterms:modified xsi:type="dcterms:W3CDTF">2018-02-19T13:38:00Z</dcterms:modified>
</cp:coreProperties>
</file>