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CBA7CE" w14:textId="77777777" w:rsidR="00D115BD" w:rsidRDefault="00D115BD" w:rsidP="00AD664E"/>
    <w:p w14:paraId="6B9D30B9" w14:textId="00FBF8FF" w:rsidR="00AD664E" w:rsidRPr="00D115BD" w:rsidRDefault="00D115BD" w:rsidP="00AD664E">
      <w:pPr>
        <w:rPr>
          <w:b/>
          <w:bCs/>
        </w:rPr>
      </w:pPr>
      <w:r>
        <w:rPr>
          <w:b/>
          <w:bCs/>
        </w:rPr>
        <w:t>Is there evidence for</w:t>
      </w:r>
      <w:r w:rsidR="00AD664E" w:rsidRPr="00D115BD">
        <w:rPr>
          <w:b/>
          <w:bCs/>
        </w:rPr>
        <w:t xml:space="preserve"> a transformation from Islamist to Muslim democrat in Malaysia?</w:t>
      </w:r>
    </w:p>
    <w:p w14:paraId="086318DB" w14:textId="77777777" w:rsidR="00AD664E" w:rsidRDefault="00AD664E" w:rsidP="00AD664E"/>
    <w:p w14:paraId="5CBD2F8C" w14:textId="6D5D502E" w:rsidR="00AD664E" w:rsidRDefault="00AD664E" w:rsidP="00AD664E">
      <w:pPr>
        <w:spacing w:line="360" w:lineRule="auto"/>
        <w:jc w:val="both"/>
      </w:pPr>
      <w:r>
        <w:t>Asef Bayat defined an Islamist ideology as one that strived towards establishing a kind of Islamic order, together with sharia law and Islamic moral codes</w:t>
      </w:r>
      <w:r>
        <w:rPr>
          <w:rStyle w:val="FootnoteReference"/>
        </w:rPr>
        <w:footnoteReference w:id="1"/>
      </w:r>
      <w:r>
        <w:t>. Bayat added that whereas Islamists were unlikely to ‘embrace democratic polity, ‘post-Islamism’ could’</w:t>
      </w:r>
      <w:r>
        <w:rPr>
          <w:rStyle w:val="FootnoteReference"/>
        </w:rPr>
        <w:footnoteReference w:id="2"/>
      </w:r>
      <w:r>
        <w:t xml:space="preserve">. Due to a changing political landscape and democratisation in Malaysia, Islamists had to alter their political stance to gain further support. </w:t>
      </w:r>
      <w:r w:rsidR="006109B0">
        <w:t>Zain proposed a prog</w:t>
      </w:r>
      <w:r w:rsidR="008C562A">
        <w:t>r</w:t>
      </w:r>
      <w:r w:rsidR="006109B0">
        <w:t>essive timeline of modernisation</w:t>
      </w:r>
      <w:r w:rsidR="008C562A">
        <w:t xml:space="preserve">. </w:t>
      </w:r>
      <w:r>
        <w:t>Since the 1970s and the then Islamic revival, rivalry between ruling elites and Islamic political movements was seen within the wider arena of Muslim politics</w:t>
      </w:r>
      <w:r>
        <w:rPr>
          <w:rStyle w:val="FootnoteReference"/>
        </w:rPr>
        <w:footnoteReference w:id="3"/>
      </w:r>
      <w:r>
        <w:t>. The 1980s Islamist framework failed to produce a new political model of a desirable society which lead to a rhetoric invoking the benefits of an Islamic state. The 1990s saw Islamic political movements embrace an acceptance for democracy and subsequently elections which strengthened the radical to moderate paradigm shift, forcing change in a previously top-down Islamist political ideology. The 21</w:t>
      </w:r>
      <w:r w:rsidRPr="000165C3">
        <w:rPr>
          <w:vertAlign w:val="superscript"/>
        </w:rPr>
        <w:t>st</w:t>
      </w:r>
      <w:r>
        <w:t xml:space="preserve"> century has witnessed a consolidation phase of this democracy as a political culture</w:t>
      </w:r>
      <w:r>
        <w:rPr>
          <w:rStyle w:val="FootnoteReference"/>
        </w:rPr>
        <w:footnoteReference w:id="4"/>
      </w:r>
      <w:r>
        <w:t xml:space="preserve">. </w:t>
      </w:r>
      <w:r w:rsidR="008C562A">
        <w:t xml:space="preserve">The progression of change could arguably </w:t>
      </w:r>
      <w:r>
        <w:t>demonstrate Bayat’s position.</w:t>
      </w:r>
    </w:p>
    <w:p w14:paraId="60D5EB38" w14:textId="053D2DA8" w:rsidR="00AD664E" w:rsidRDefault="00AD664E" w:rsidP="00AD664E">
      <w:pPr>
        <w:spacing w:line="360" w:lineRule="auto"/>
        <w:jc w:val="both"/>
      </w:pPr>
      <w:r>
        <w:t xml:space="preserve">In Malaysia, Muslim politics has been centred around two political players: United Malays National Organisation (UMNO) and </w:t>
      </w:r>
      <w:r w:rsidR="00BF68BF">
        <w:t xml:space="preserve">Pan Malaysian Islamic Party </w:t>
      </w:r>
      <w:r w:rsidR="00BF68BF">
        <w:t>(</w:t>
      </w:r>
      <w:r>
        <w:t>PAS</w:t>
      </w:r>
      <w:r w:rsidR="00BF68BF">
        <w:t>)</w:t>
      </w:r>
      <w:r>
        <w:t>. Through their ability to work with other Malaysian parties, Zain posits UMNO in this context as moderate and pragmatic Muslim democrats</w:t>
      </w:r>
      <w:r>
        <w:rPr>
          <w:rStyle w:val="FootnoteReference"/>
        </w:rPr>
        <w:footnoteReference w:id="5"/>
      </w:r>
      <w:r>
        <w:t>.</w:t>
      </w:r>
    </w:p>
    <w:p w14:paraId="09ADA9A0" w14:textId="58C38D47" w:rsidR="00AD664E" w:rsidRDefault="00AD664E" w:rsidP="00AD664E">
      <w:pPr>
        <w:spacing w:line="360" w:lineRule="auto"/>
        <w:jc w:val="both"/>
      </w:pPr>
      <w:r>
        <w:t xml:space="preserve">Zain argued that these three phases could be shown in Malaysian politics. The 1980s tensions between PAS ulama who fought to maintain their idea of a ‘Muslim country’ and the government is demonstrative of the first phase; the second phase arguably demonstrated by the Barisan Nasional’s 1990s loss of Kelantan </w:t>
      </w:r>
      <w:proofErr w:type="gramStart"/>
      <w:r>
        <w:t>to  PAS</w:t>
      </w:r>
      <w:proofErr w:type="gramEnd"/>
      <w:r>
        <w:rPr>
          <w:rStyle w:val="FootnoteReference"/>
        </w:rPr>
        <w:footnoteReference w:id="6"/>
      </w:r>
      <w:r>
        <w:t>. Subsequent elections have shown an increased support in some states and a decrease in others for them; PAS has increased non-Malay support but ‘failed miserably’ to garner support from Malays/Muslims</w:t>
      </w:r>
      <w:r>
        <w:rPr>
          <w:rStyle w:val="FootnoteReference"/>
        </w:rPr>
        <w:footnoteReference w:id="7"/>
      </w:r>
      <w:r>
        <w:t>. The consolidation phase of Zain’s argument in relation to Muslim transformation from Islamist to Muslim democrat is less clear.</w:t>
      </w:r>
    </w:p>
    <w:p w14:paraId="66511047" w14:textId="1B14839C" w:rsidR="00AD664E" w:rsidRDefault="00AD664E" w:rsidP="00AD664E">
      <w:pPr>
        <w:spacing w:line="360" w:lineRule="auto"/>
        <w:jc w:val="both"/>
      </w:pPr>
      <w:r>
        <w:lastRenderedPageBreak/>
        <w:t xml:space="preserve">In a 2004 ruling, Justice Faiza </w:t>
      </w:r>
      <w:proofErr w:type="spellStart"/>
      <w:r>
        <w:t>Tamby</w:t>
      </w:r>
      <w:proofErr w:type="spellEnd"/>
      <w:r>
        <w:t xml:space="preserve"> Chick acknowledged a previous case’s acceptance that established Malaysia as being a secular ‘state’ and permitting sharia law so long as it did not contradict the Federal Constitution. However, Faiza asserted that Malaysia was a hybrid between a secular and theocratic state, opening the ‘floodgates for a flurry of rulings that broadened the interpretation of Article 3(1)’, casting doubt on Malaysia being a ‘secular state’</w:t>
      </w:r>
      <w:r>
        <w:rPr>
          <w:rStyle w:val="FootnoteReference"/>
        </w:rPr>
        <w:footnoteReference w:id="8"/>
      </w:r>
      <w:r>
        <w:t>. Hamid determined Malaysia as unable to be categorised as a secular state due to the constitution authorising and managing Islamic institutions and enactments of Islamic by-laws through state assemblies</w:t>
      </w:r>
      <w:r>
        <w:rPr>
          <w:rStyle w:val="FootnoteReference"/>
        </w:rPr>
        <w:footnoteReference w:id="9"/>
      </w:r>
      <w:r>
        <w:t xml:space="preserve">. Indeed, 2001 witnessed Prime Minister Mahathir Mohamad </w:t>
      </w:r>
      <w:r w:rsidR="009B0CEF">
        <w:t xml:space="preserve">address </w:t>
      </w:r>
      <w:r>
        <w:t xml:space="preserve">to UMNO’s coalition partner Malaysian People’s Movement annual assembly </w:t>
      </w:r>
      <w:r w:rsidR="009B0CEF">
        <w:t xml:space="preserve">stating </w:t>
      </w:r>
      <w:r>
        <w:t>that ‘to all intents and purposes, [Malaysia] already had become an Islamic state’</w:t>
      </w:r>
      <w:r>
        <w:rPr>
          <w:rStyle w:val="FootnoteReference"/>
        </w:rPr>
        <w:footnoteReference w:id="10"/>
      </w:r>
      <w:r>
        <w:t>. This move could however been seen as politicking, as his declaration was a response to PAS, intending to steal away their Islamic state agenda</w:t>
      </w:r>
      <w:r>
        <w:rPr>
          <w:rStyle w:val="FootnoteReference"/>
        </w:rPr>
        <w:footnoteReference w:id="11"/>
      </w:r>
      <w:r>
        <w:t xml:space="preserve">; </w:t>
      </w:r>
      <w:r w:rsidR="00A9794A">
        <w:t>c</w:t>
      </w:r>
      <w:r>
        <w:t>onservatism could been seen within many of Malaysian’s political institutions from UMON to their oppositions parties</w:t>
      </w:r>
      <w:r>
        <w:rPr>
          <w:rStyle w:val="FootnoteReference"/>
        </w:rPr>
        <w:footnoteReference w:id="12"/>
      </w:r>
      <w:r>
        <w:t>. This demonstrates the fluidity of Islamist</w:t>
      </w:r>
      <w:r w:rsidR="00A9794A">
        <w:t xml:space="preserve"> and </w:t>
      </w:r>
      <w:r>
        <w:t xml:space="preserve">progressive thought in Malaysian politics, demonstrated in Mahathir’s use of language that meant that non-Muslims had every right to view Malaysia as a secular state. Non-Muslims and other religious adherents were forced into defending their idea of a secular state when a convergence of UMNO-PAS Islamist ideology appeared in a discursive form suggesting </w:t>
      </w:r>
      <w:r w:rsidR="00A9794A">
        <w:t>that</w:t>
      </w:r>
      <w:r>
        <w:t xml:space="preserve"> Malaysia should be an Islamic state, and how Islamic it should be to serve Malay Muslims best. Badawi’s succession did little to placate such polemics</w:t>
      </w:r>
      <w:r w:rsidR="00500F57">
        <w:t>,</w:t>
      </w:r>
      <w:r>
        <w:t xml:space="preserve"> setting secularist against Islamist through his promotion of Islam Hadhari</w:t>
      </w:r>
      <w:r>
        <w:rPr>
          <w:rStyle w:val="FootnoteReference"/>
        </w:rPr>
        <w:footnoteReference w:id="13"/>
      </w:r>
      <w:r>
        <w:t xml:space="preserve"> and in 2015, the hudud question saw a split in PAS with the professional faction leaving the party ‘en masse’</w:t>
      </w:r>
      <w:r>
        <w:rPr>
          <w:rStyle w:val="FootnoteReference"/>
        </w:rPr>
        <w:footnoteReference w:id="14"/>
      </w:r>
      <w:r>
        <w:t xml:space="preserve">. </w:t>
      </w:r>
    </w:p>
    <w:p w14:paraId="4EEA53A0" w14:textId="4EE6BBAA" w:rsidR="00AD664E" w:rsidRDefault="00AD664E" w:rsidP="00AD664E">
      <w:pPr>
        <w:spacing w:line="360" w:lineRule="auto"/>
        <w:jc w:val="both"/>
      </w:pPr>
      <w:r>
        <w:t>Zain’s optimistic view of PAS’</w:t>
      </w:r>
      <w:r w:rsidR="00626589">
        <w:t>s</w:t>
      </w:r>
      <w:r>
        <w:t xml:space="preserve"> long game in a moderate Malaysia believes them to be participating in democracy ‘no longer just for the sake of election’</w:t>
      </w:r>
      <w:r>
        <w:rPr>
          <w:rStyle w:val="FootnoteReference"/>
        </w:rPr>
        <w:footnoteReference w:id="15"/>
      </w:r>
      <w:r>
        <w:t>. However, Hamad’s extant, hardened political duality, pits secularism against Islamism. This is by no means a position of two camps, with support for both cutting across established partisan affiliations</w:t>
      </w:r>
      <w:r>
        <w:rPr>
          <w:rStyle w:val="FootnoteReference"/>
        </w:rPr>
        <w:footnoteReference w:id="16"/>
      </w:r>
      <w:r>
        <w:t>. However, without progression to a second-</w:t>
      </w:r>
      <w:r>
        <w:lastRenderedPageBreak/>
        <w:t>generation civil nationhood-minded Islamist, PAS’</w:t>
      </w:r>
      <w:r w:rsidR="00626589">
        <w:t>s</w:t>
      </w:r>
      <w:r>
        <w:t xml:space="preserve"> hudud and juridical Islamic state model will confine then to a bygone era</w:t>
      </w:r>
      <w:r>
        <w:rPr>
          <w:rStyle w:val="FootnoteReference"/>
        </w:rPr>
        <w:footnoteReference w:id="17"/>
      </w:r>
      <w:r>
        <w:t>.</w:t>
      </w:r>
    </w:p>
    <w:p w14:paraId="0E97072E" w14:textId="1A1EA0B6" w:rsidR="00AD664E" w:rsidRDefault="00AD664E" w:rsidP="00AD664E">
      <w:pPr>
        <w:spacing w:line="360" w:lineRule="auto"/>
        <w:jc w:val="both"/>
      </w:pPr>
      <w:r>
        <w:t>In 2017, Osman posited Islam’s continuing turn towards Conservatism, with the implementation of Islamic laws, the role of religious in governance and minority rights the major issues. Osman also asserted that two other long-term changes may been seen in Malaysia, that is a growth in the young’s adherence to Islam with an increase of neo-Salafism and neo-Sufism and that Islamist parties will be replaced by neo-Islamist movements. The halal-haram approach of neo-Salafism may provide better educated and young an opportunity to view politics through a right or wrong lens,</w:t>
      </w:r>
      <w:r>
        <w:rPr>
          <w:rStyle w:val="FootnoteReference"/>
        </w:rPr>
        <w:footnoteReference w:id="18"/>
      </w:r>
      <w:r>
        <w:t xml:space="preserve"> thus dispensing with the extremely nuanced way that Malaysian politics has become. Alternatively, the Malaysian political landscape may be better experienced through neo-Sufism</w:t>
      </w:r>
      <w:r w:rsidR="00B94F73">
        <w:t xml:space="preserve">, with a move from </w:t>
      </w:r>
      <w:r w:rsidR="004C353A">
        <w:t xml:space="preserve">authoritarianism and concentration </w:t>
      </w:r>
      <w:r w:rsidR="00F5304C">
        <w:t>on the inner dimension of religious life and sharia</w:t>
      </w:r>
      <w:r w:rsidR="00326BA2">
        <w:t>-</w:t>
      </w:r>
      <w:r w:rsidR="00F5304C">
        <w:t>based Islam</w:t>
      </w:r>
      <w:r w:rsidR="00326BA2">
        <w:rPr>
          <w:rStyle w:val="FootnoteReference"/>
        </w:rPr>
        <w:footnoteReference w:id="19"/>
      </w:r>
      <w:r w:rsidR="00E6697C">
        <w:t>.</w:t>
      </w:r>
    </w:p>
    <w:p w14:paraId="7B8D8F91" w14:textId="6891C89E" w:rsidR="00C77272" w:rsidRDefault="00C77272"/>
    <w:p w14:paraId="6731FDB9" w14:textId="77777777" w:rsidR="009E4DC9" w:rsidRDefault="009E4DC9"/>
    <w:p w14:paraId="32DFA4EA" w14:textId="77777777" w:rsidR="009E4DC9" w:rsidRDefault="009E4DC9"/>
    <w:p w14:paraId="02E5F208" w14:textId="77777777" w:rsidR="009E4DC9" w:rsidRDefault="009E4DC9"/>
    <w:p w14:paraId="19279E44" w14:textId="77777777" w:rsidR="009E4DC9" w:rsidRDefault="009E4DC9"/>
    <w:p w14:paraId="3E92639E" w14:textId="77777777" w:rsidR="009E4DC9" w:rsidRDefault="009E4DC9"/>
    <w:p w14:paraId="75577139" w14:textId="77777777" w:rsidR="009E4DC9" w:rsidRDefault="009E4DC9"/>
    <w:p w14:paraId="249C0B7F" w14:textId="77777777" w:rsidR="009E4DC9" w:rsidRDefault="009E4DC9"/>
    <w:p w14:paraId="54B777B2" w14:textId="77777777" w:rsidR="009E4DC9" w:rsidRDefault="009E4DC9"/>
    <w:p w14:paraId="1769967A" w14:textId="77777777" w:rsidR="009E4DC9" w:rsidRDefault="009E4DC9"/>
    <w:p w14:paraId="4F1F6F99" w14:textId="77777777" w:rsidR="009E4DC9" w:rsidRDefault="009E4DC9"/>
    <w:p w14:paraId="6E5B3AFA" w14:textId="77777777" w:rsidR="009E4DC9" w:rsidRDefault="009E4DC9"/>
    <w:p w14:paraId="4029155F" w14:textId="77777777" w:rsidR="009E4DC9" w:rsidRDefault="009E4DC9"/>
    <w:p w14:paraId="590BE876" w14:textId="77777777" w:rsidR="009E4DC9" w:rsidRDefault="009E4DC9"/>
    <w:p w14:paraId="4B6C68C8" w14:textId="77777777" w:rsidR="009E4DC9" w:rsidRDefault="009E4DC9"/>
    <w:p w14:paraId="2C559C1B" w14:textId="77777777" w:rsidR="009E4DC9" w:rsidRDefault="009E4DC9"/>
    <w:p w14:paraId="56ECFE88" w14:textId="77777777" w:rsidR="009E4DC9" w:rsidRDefault="009E4DC9"/>
    <w:p w14:paraId="1FAF121C" w14:textId="77777777" w:rsidR="009E4DC9" w:rsidRDefault="009E4DC9"/>
    <w:p w14:paraId="05B78EEC" w14:textId="77777777" w:rsidR="009E4DC9" w:rsidRDefault="009E4DC9"/>
    <w:p w14:paraId="3BCA3D06" w14:textId="6DF2AA81" w:rsidR="00EB79CB" w:rsidRDefault="00EB79CB">
      <w:r>
        <w:t>References</w:t>
      </w:r>
    </w:p>
    <w:p w14:paraId="6B7F4764" w14:textId="0CE2B986" w:rsidR="00EB79CB" w:rsidRPr="00642BAF" w:rsidRDefault="00EB79CB"/>
    <w:p w14:paraId="7DF856A8" w14:textId="48CD55F8" w:rsidR="00EB79CB" w:rsidRPr="009B66D5" w:rsidRDefault="00EB79CB" w:rsidP="009B66D5">
      <w:pPr>
        <w:spacing w:line="360" w:lineRule="auto"/>
        <w:rPr>
          <w:rFonts w:cstheme="minorHAnsi"/>
          <w:u w:val="single"/>
          <w:shd w:val="clear" w:color="auto" w:fill="FFFFFF"/>
        </w:rPr>
      </w:pPr>
      <w:r w:rsidRPr="009B66D5">
        <w:rPr>
          <w:rFonts w:cstheme="minorHAnsi"/>
          <w:shd w:val="clear" w:color="auto" w:fill="FFFFFF"/>
        </w:rPr>
        <w:t xml:space="preserve">Bayat, A. (2013-06-25). Post-Islamism at Large. In Post-Islamism: The Changing Faces of Political Islam. : Oxford University Press, p. 4, Retrieved 24 Sep. 2020, from </w:t>
      </w:r>
      <w:hyperlink r:id="rId7" w:history="1">
        <w:r w:rsidRPr="009B66D5">
          <w:rPr>
            <w:rStyle w:val="Hyperlink"/>
            <w:rFonts w:cstheme="minorHAnsi"/>
            <w:color w:val="auto"/>
            <w:shd w:val="clear" w:color="auto" w:fill="FFFFFF"/>
          </w:rPr>
          <w:t>https://oxford.universitypressscholarship.com/view/10.1093/acprof:oso/9780199766062.001.0001/acprof-9780199766062</w:t>
        </w:r>
      </w:hyperlink>
    </w:p>
    <w:p w14:paraId="6300C923" w14:textId="77777777" w:rsidR="00EB79CB" w:rsidRPr="009B66D5" w:rsidRDefault="00EB79CB" w:rsidP="009B66D5">
      <w:pPr>
        <w:pStyle w:val="FootnoteText"/>
        <w:spacing w:line="360" w:lineRule="auto"/>
        <w:rPr>
          <w:rFonts w:cstheme="minorHAnsi"/>
          <w:sz w:val="22"/>
          <w:szCs w:val="22"/>
          <w:shd w:val="clear" w:color="auto" w:fill="FFFFFF"/>
        </w:rPr>
      </w:pPr>
      <w:r w:rsidRPr="009B66D5">
        <w:rPr>
          <w:rFonts w:cstheme="minorHAnsi"/>
          <w:sz w:val="22"/>
          <w:szCs w:val="22"/>
          <w:shd w:val="clear" w:color="auto" w:fill="FFFFFF"/>
        </w:rPr>
        <w:t>Hamid, A.F.A., 2018. Shifting Trends of Islamism and Islamist Practices in Malaysia, 1957–2017. </w:t>
      </w:r>
      <w:r w:rsidRPr="009B66D5">
        <w:rPr>
          <w:rFonts w:cstheme="minorHAnsi"/>
          <w:i/>
          <w:iCs/>
          <w:sz w:val="22"/>
          <w:szCs w:val="22"/>
          <w:shd w:val="clear" w:color="auto" w:fill="FFFFFF"/>
        </w:rPr>
        <w:t>Southeast Asian Studies, </w:t>
      </w:r>
      <w:r w:rsidRPr="009B66D5">
        <w:rPr>
          <w:rFonts w:cstheme="minorHAnsi"/>
          <w:b/>
          <w:bCs/>
          <w:sz w:val="22"/>
          <w:szCs w:val="22"/>
          <w:shd w:val="clear" w:color="auto" w:fill="FFFFFF"/>
        </w:rPr>
        <w:t>7</w:t>
      </w:r>
      <w:r w:rsidRPr="009B66D5">
        <w:rPr>
          <w:rFonts w:cstheme="minorHAnsi"/>
          <w:sz w:val="22"/>
          <w:szCs w:val="22"/>
          <w:shd w:val="clear" w:color="auto" w:fill="FFFFFF"/>
        </w:rPr>
        <w:t xml:space="preserve">(3), pp. 363-390, p. 368, </w:t>
      </w:r>
      <w:hyperlink r:id="rId8" w:history="1">
        <w:r w:rsidRPr="009B66D5">
          <w:rPr>
            <w:rStyle w:val="Hyperlink"/>
            <w:rFonts w:cstheme="minorHAnsi"/>
            <w:color w:val="auto"/>
            <w:sz w:val="22"/>
            <w:szCs w:val="22"/>
            <w:shd w:val="clear" w:color="auto" w:fill="FFFFFF"/>
          </w:rPr>
          <w:t>https://whel-primo.hosted.exlibrisgroup.com/permalink/f/mqg008/TN_cdi_jstage_primary_https_jlc_jst_go_jp_DN_JLC_20113102064_from_SUMMON</w:t>
        </w:r>
      </w:hyperlink>
    </w:p>
    <w:p w14:paraId="582F480D" w14:textId="77777777" w:rsidR="00EB79CB" w:rsidRPr="009B66D5" w:rsidRDefault="00EB79CB" w:rsidP="009B66D5">
      <w:pPr>
        <w:spacing w:line="360" w:lineRule="auto"/>
        <w:rPr>
          <w:rFonts w:cstheme="minorHAnsi"/>
          <w:shd w:val="clear" w:color="auto" w:fill="FFFFFF"/>
        </w:rPr>
      </w:pPr>
    </w:p>
    <w:p w14:paraId="4C0D6335" w14:textId="7620822F" w:rsidR="00EB79CB" w:rsidRPr="009B66D5" w:rsidRDefault="00EB79CB" w:rsidP="009B66D5">
      <w:pPr>
        <w:spacing w:line="360" w:lineRule="auto"/>
        <w:rPr>
          <w:rStyle w:val="Hyperlink"/>
          <w:color w:val="auto"/>
        </w:rPr>
      </w:pPr>
      <w:r w:rsidRPr="009B66D5">
        <w:t xml:space="preserve">Osman, M. N., "The Islamic Conservative Turn in Malaysia: Impact and Future Trajectories." Contemporary Islam 11, no. 1 (2016): 1-20, p.3, </w:t>
      </w:r>
      <w:hyperlink r:id="rId9" w:history="1">
        <w:r w:rsidRPr="009B66D5">
          <w:rPr>
            <w:rStyle w:val="Hyperlink"/>
            <w:color w:val="auto"/>
          </w:rPr>
          <w:t>https://whel-primo.hosted.exlibrisgroup.com/permalink/f/mqg008/TN_cdi_proquest_journals_1899605353</w:t>
        </w:r>
      </w:hyperlink>
    </w:p>
    <w:p w14:paraId="305CF18A" w14:textId="78AB06E2" w:rsidR="00EB79CB" w:rsidRPr="009B66D5" w:rsidRDefault="00EB79CB" w:rsidP="009B66D5">
      <w:pPr>
        <w:spacing w:line="360" w:lineRule="auto"/>
      </w:pPr>
      <w:r w:rsidRPr="009B66D5">
        <w:rPr>
          <w:rFonts w:cstheme="minorHAnsi"/>
          <w:shd w:val="clear" w:color="auto" w:fill="FFFFFF"/>
        </w:rPr>
        <w:t>Zain, M. I. M., "From Islamist to Muslim Democrat: The Present Phenomenon of Muslim Politics in Malaysia." </w:t>
      </w:r>
      <w:r w:rsidRPr="009B66D5">
        <w:rPr>
          <w:rFonts w:cstheme="minorHAnsi"/>
          <w:i/>
          <w:iCs/>
          <w:shd w:val="clear" w:color="auto" w:fill="FFFFFF"/>
        </w:rPr>
        <w:t>International Journal of Islamic Thought</w:t>
      </w:r>
      <w:r w:rsidRPr="009B66D5">
        <w:rPr>
          <w:rFonts w:cstheme="minorHAnsi"/>
          <w:shd w:val="clear" w:color="auto" w:fill="FFFFFF"/>
        </w:rPr>
        <w:t> 6, no. 1 (2014): 37-45, p.37.</w:t>
      </w:r>
      <w:r w:rsidRPr="009B66D5">
        <w:rPr>
          <w:rFonts w:cstheme="minorHAnsi"/>
        </w:rPr>
        <w:t xml:space="preserve"> </w:t>
      </w:r>
      <w:hyperlink r:id="rId10" w:history="1">
        <w:r w:rsidRPr="009B66D5">
          <w:rPr>
            <w:rStyle w:val="Hyperlink"/>
            <w:rFonts w:cstheme="minorHAnsi"/>
            <w:color w:val="auto"/>
          </w:rPr>
          <w:t>https://whel-primo.hosted.exlibrisgroup.com/permalink/f/mqg008/TN_cdi_doaj_primary_oai_doaj_org_article_5eb37f9286e24e21ba51c83aade12de</w:t>
        </w:r>
      </w:hyperlink>
    </w:p>
    <w:sectPr w:rsidR="00EB79CB" w:rsidRPr="009B66D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9D8B17" w14:textId="77777777" w:rsidR="005C3873" w:rsidRDefault="005C3873" w:rsidP="00AD664E">
      <w:pPr>
        <w:spacing w:after="0" w:line="240" w:lineRule="auto"/>
      </w:pPr>
      <w:r>
        <w:separator/>
      </w:r>
    </w:p>
  </w:endnote>
  <w:endnote w:type="continuationSeparator" w:id="0">
    <w:p w14:paraId="534660A0" w14:textId="77777777" w:rsidR="005C3873" w:rsidRDefault="005C3873" w:rsidP="00AD6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F453CC" w14:textId="77777777" w:rsidR="009D18C4" w:rsidRDefault="009D18C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DF1B478" w14:textId="77777777" w:rsidR="007C257D" w:rsidRDefault="007C2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E6E76D" w14:textId="77777777" w:rsidR="005C3873" w:rsidRDefault="005C3873" w:rsidP="00AD664E">
      <w:pPr>
        <w:spacing w:after="0" w:line="240" w:lineRule="auto"/>
      </w:pPr>
      <w:r>
        <w:separator/>
      </w:r>
    </w:p>
  </w:footnote>
  <w:footnote w:type="continuationSeparator" w:id="0">
    <w:p w14:paraId="687FC3C4" w14:textId="77777777" w:rsidR="005C3873" w:rsidRDefault="005C3873" w:rsidP="00AD664E">
      <w:pPr>
        <w:spacing w:after="0" w:line="240" w:lineRule="auto"/>
      </w:pPr>
      <w:r>
        <w:continuationSeparator/>
      </w:r>
    </w:p>
  </w:footnote>
  <w:footnote w:id="1">
    <w:p w14:paraId="09C65FFD" w14:textId="01FB60DF" w:rsidR="00AD664E" w:rsidRPr="00D81427" w:rsidRDefault="00AD664E" w:rsidP="00AD664E">
      <w:pPr>
        <w:pStyle w:val="FootnoteText"/>
        <w:rPr>
          <w:rFonts w:cstheme="minorHAnsi"/>
          <w:sz w:val="18"/>
          <w:szCs w:val="18"/>
          <w:shd w:val="clear" w:color="auto" w:fill="FFFFFF"/>
        </w:rPr>
      </w:pPr>
      <w:r w:rsidRPr="00D81427">
        <w:rPr>
          <w:rStyle w:val="FootnoteReference"/>
          <w:rFonts w:cstheme="minorHAnsi"/>
          <w:sz w:val="18"/>
          <w:szCs w:val="18"/>
        </w:rPr>
        <w:footnoteRef/>
      </w:r>
      <w:r w:rsidRPr="00D81427">
        <w:rPr>
          <w:rFonts w:cstheme="minorHAnsi"/>
          <w:sz w:val="18"/>
          <w:szCs w:val="18"/>
        </w:rPr>
        <w:t xml:space="preserve"> </w:t>
      </w:r>
      <w:r w:rsidRPr="00D81427">
        <w:rPr>
          <w:rFonts w:cstheme="minorHAnsi"/>
          <w:sz w:val="18"/>
          <w:szCs w:val="18"/>
          <w:shd w:val="clear" w:color="auto" w:fill="FFFFFF"/>
        </w:rPr>
        <w:t xml:space="preserve">Bayat, A. (2013-06-25). Post-Islamism at Large. In Post-Islamism: The Changing Faces of Political Islam. : Oxford University Press, p. 4, Retrieved 24 Sep. 2020, from </w:t>
      </w:r>
      <w:hyperlink r:id="rId1" w:history="1">
        <w:r w:rsidRPr="00D81427">
          <w:rPr>
            <w:rStyle w:val="Hyperlink"/>
            <w:rFonts w:cstheme="minorHAnsi"/>
            <w:color w:val="auto"/>
            <w:sz w:val="18"/>
            <w:szCs w:val="18"/>
            <w:shd w:val="clear" w:color="auto" w:fill="FFFFFF"/>
          </w:rPr>
          <w:t>https://oxford.universitypressscholarship.com/view/10.1093/acprof:oso/9780199766062.001.0001/acprof-9780199766062</w:t>
        </w:r>
      </w:hyperlink>
    </w:p>
  </w:footnote>
  <w:footnote w:id="2">
    <w:p w14:paraId="0359B480" w14:textId="3E6A96A2" w:rsidR="00AD664E" w:rsidRPr="00D81427" w:rsidRDefault="00AD664E" w:rsidP="00AD664E">
      <w:pPr>
        <w:pStyle w:val="FootnoteText"/>
        <w:rPr>
          <w:rFonts w:cstheme="minorHAnsi"/>
          <w:sz w:val="18"/>
          <w:szCs w:val="18"/>
          <w:shd w:val="clear" w:color="auto" w:fill="FFFFFF"/>
        </w:rPr>
      </w:pPr>
      <w:r w:rsidRPr="00D81427">
        <w:rPr>
          <w:rStyle w:val="FootnoteReference"/>
          <w:rFonts w:cstheme="minorHAnsi"/>
          <w:sz w:val="18"/>
          <w:szCs w:val="18"/>
        </w:rPr>
        <w:footnoteRef/>
      </w:r>
      <w:r w:rsidRPr="00D81427">
        <w:rPr>
          <w:rFonts w:cstheme="minorHAnsi"/>
          <w:sz w:val="18"/>
          <w:szCs w:val="18"/>
        </w:rPr>
        <w:t xml:space="preserve"> </w:t>
      </w:r>
      <w:r w:rsidRPr="00D81427">
        <w:rPr>
          <w:rFonts w:cstheme="minorHAnsi"/>
          <w:sz w:val="18"/>
          <w:szCs w:val="18"/>
          <w:shd w:val="clear" w:color="auto" w:fill="FFFFFF"/>
        </w:rPr>
        <w:t>ibid, p.4</w:t>
      </w:r>
    </w:p>
  </w:footnote>
  <w:footnote w:id="3">
    <w:p w14:paraId="5903938B" w14:textId="5759992F" w:rsidR="00AD664E" w:rsidRPr="00D81427" w:rsidRDefault="00AD664E" w:rsidP="00AD664E">
      <w:pPr>
        <w:pStyle w:val="FootnoteText"/>
        <w:rPr>
          <w:rFonts w:cstheme="minorHAnsi"/>
          <w:sz w:val="18"/>
          <w:szCs w:val="18"/>
        </w:rPr>
      </w:pPr>
      <w:r w:rsidRPr="00D81427">
        <w:rPr>
          <w:rStyle w:val="FootnoteReference"/>
          <w:rFonts w:cstheme="minorHAnsi"/>
          <w:sz w:val="18"/>
          <w:szCs w:val="18"/>
        </w:rPr>
        <w:footnoteRef/>
      </w:r>
      <w:r w:rsidRPr="00D81427">
        <w:rPr>
          <w:rFonts w:cstheme="minorHAnsi"/>
          <w:sz w:val="18"/>
          <w:szCs w:val="18"/>
          <w:shd w:val="clear" w:color="auto" w:fill="FFFFFF"/>
        </w:rPr>
        <w:t xml:space="preserve"> Zain, M. I. M., "From Islamist to Muslim Democrat: The Present Phenomenon of Muslim Politics in Malaysia." </w:t>
      </w:r>
      <w:r w:rsidRPr="00D81427">
        <w:rPr>
          <w:rFonts w:cstheme="minorHAnsi"/>
          <w:i/>
          <w:iCs/>
          <w:sz w:val="18"/>
          <w:szCs w:val="18"/>
          <w:shd w:val="clear" w:color="auto" w:fill="FFFFFF"/>
        </w:rPr>
        <w:t>International Journal of Islamic Thought</w:t>
      </w:r>
      <w:r w:rsidRPr="00D81427">
        <w:rPr>
          <w:rFonts w:cstheme="minorHAnsi"/>
          <w:sz w:val="18"/>
          <w:szCs w:val="18"/>
          <w:shd w:val="clear" w:color="auto" w:fill="FFFFFF"/>
        </w:rPr>
        <w:t> 6, no. 1 (2014): 37-45, p.37.</w:t>
      </w:r>
      <w:r w:rsidRPr="00D81427">
        <w:rPr>
          <w:rFonts w:cstheme="minorHAnsi"/>
          <w:sz w:val="18"/>
          <w:szCs w:val="18"/>
        </w:rPr>
        <w:t xml:space="preserve"> </w:t>
      </w:r>
      <w:hyperlink r:id="rId2" w:history="1">
        <w:r w:rsidRPr="00D81427">
          <w:rPr>
            <w:rStyle w:val="Hyperlink"/>
            <w:rFonts w:cstheme="minorHAnsi"/>
            <w:color w:val="auto"/>
            <w:sz w:val="18"/>
            <w:szCs w:val="18"/>
          </w:rPr>
          <w:t>https://whel-primo.hosted.exlibrisgroup.com/permalink/f/mqg008/TN_cdi_doaj_primary_oai_doaj_org_article_5eb37f9286e24e21ba51c83aade12de</w:t>
        </w:r>
      </w:hyperlink>
    </w:p>
  </w:footnote>
  <w:footnote w:id="4">
    <w:p w14:paraId="79401721" w14:textId="77777777" w:rsidR="00AD664E" w:rsidRPr="00D81427" w:rsidRDefault="00AD664E" w:rsidP="00AD664E">
      <w:pPr>
        <w:pStyle w:val="FootnoteText"/>
        <w:rPr>
          <w:rFonts w:cstheme="minorHAnsi"/>
          <w:sz w:val="18"/>
          <w:szCs w:val="18"/>
        </w:rPr>
      </w:pPr>
      <w:r w:rsidRPr="00D81427">
        <w:rPr>
          <w:rStyle w:val="FootnoteReference"/>
          <w:sz w:val="18"/>
          <w:szCs w:val="18"/>
        </w:rPr>
        <w:footnoteRef/>
      </w:r>
      <w:r w:rsidRPr="00D81427">
        <w:rPr>
          <w:sz w:val="18"/>
          <w:szCs w:val="18"/>
        </w:rPr>
        <w:t xml:space="preserve"> </w:t>
      </w:r>
      <w:r w:rsidRPr="00D81427">
        <w:rPr>
          <w:rFonts w:cstheme="minorHAnsi"/>
          <w:sz w:val="18"/>
          <w:szCs w:val="18"/>
          <w:shd w:val="clear" w:color="auto" w:fill="FFFFFF"/>
        </w:rPr>
        <w:t>ibid, p,38</w:t>
      </w:r>
    </w:p>
  </w:footnote>
  <w:footnote w:id="5">
    <w:p w14:paraId="2AC452D0" w14:textId="77777777" w:rsidR="00AD664E" w:rsidRPr="00D81427" w:rsidRDefault="00AD664E" w:rsidP="00AD664E">
      <w:pPr>
        <w:pStyle w:val="FootnoteText"/>
        <w:rPr>
          <w:sz w:val="18"/>
          <w:szCs w:val="18"/>
        </w:rPr>
      </w:pPr>
      <w:r w:rsidRPr="00D81427">
        <w:rPr>
          <w:rStyle w:val="FootnoteReference"/>
          <w:rFonts w:cstheme="minorHAnsi"/>
          <w:sz w:val="18"/>
          <w:szCs w:val="18"/>
        </w:rPr>
        <w:footnoteRef/>
      </w:r>
      <w:r w:rsidRPr="00D81427">
        <w:rPr>
          <w:rFonts w:cstheme="minorHAnsi"/>
          <w:sz w:val="18"/>
          <w:szCs w:val="18"/>
        </w:rPr>
        <w:t xml:space="preserve"> i</w:t>
      </w:r>
      <w:r w:rsidRPr="00D81427">
        <w:rPr>
          <w:rFonts w:cstheme="minorHAnsi"/>
          <w:sz w:val="18"/>
          <w:szCs w:val="18"/>
          <w:shd w:val="clear" w:color="auto" w:fill="FFFFFF"/>
        </w:rPr>
        <w:t>bid, p.40</w:t>
      </w:r>
    </w:p>
  </w:footnote>
  <w:footnote w:id="6">
    <w:p w14:paraId="32281AE4" w14:textId="3D41BE23" w:rsidR="00AD664E" w:rsidRPr="00D81427" w:rsidRDefault="00AD664E" w:rsidP="00AD664E">
      <w:pPr>
        <w:pStyle w:val="FootnoteText"/>
        <w:rPr>
          <w:rFonts w:cstheme="minorHAnsi"/>
          <w:sz w:val="18"/>
          <w:szCs w:val="18"/>
        </w:rPr>
      </w:pPr>
      <w:r w:rsidRPr="00D81427">
        <w:rPr>
          <w:rStyle w:val="FootnoteReference"/>
          <w:sz w:val="18"/>
          <w:szCs w:val="18"/>
        </w:rPr>
        <w:footnoteRef/>
      </w:r>
      <w:r w:rsidRPr="00D81427">
        <w:rPr>
          <w:sz w:val="18"/>
          <w:szCs w:val="18"/>
        </w:rPr>
        <w:t xml:space="preserve"> </w:t>
      </w:r>
      <w:r w:rsidRPr="00D81427">
        <w:rPr>
          <w:rFonts w:cstheme="minorHAnsi"/>
          <w:sz w:val="18"/>
          <w:szCs w:val="18"/>
          <w:shd w:val="clear" w:color="auto" w:fill="FFFFFF"/>
        </w:rPr>
        <w:t>ibid, p.39</w:t>
      </w:r>
    </w:p>
  </w:footnote>
  <w:footnote w:id="7">
    <w:p w14:paraId="479C588C" w14:textId="4524C68D" w:rsidR="00AD664E" w:rsidRPr="00AA788F" w:rsidRDefault="00AD664E" w:rsidP="00AD664E">
      <w:pPr>
        <w:pStyle w:val="FootnoteText"/>
        <w:rPr>
          <w:rFonts w:cstheme="minorHAnsi"/>
          <w:sz w:val="18"/>
          <w:szCs w:val="18"/>
        </w:rPr>
      </w:pPr>
      <w:r w:rsidRPr="00D81427">
        <w:rPr>
          <w:rStyle w:val="FootnoteReference"/>
          <w:rFonts w:cstheme="minorHAnsi"/>
          <w:sz w:val="18"/>
          <w:szCs w:val="18"/>
        </w:rPr>
        <w:footnoteRef/>
      </w:r>
      <w:r w:rsidRPr="00D81427">
        <w:rPr>
          <w:rFonts w:cstheme="minorHAnsi"/>
          <w:sz w:val="18"/>
          <w:szCs w:val="18"/>
        </w:rPr>
        <w:t xml:space="preserve"> </w:t>
      </w:r>
      <w:r w:rsidR="00D81427">
        <w:rPr>
          <w:rFonts w:cstheme="minorHAnsi"/>
          <w:sz w:val="18"/>
          <w:szCs w:val="18"/>
        </w:rPr>
        <w:t>i</w:t>
      </w:r>
      <w:r w:rsidR="00D81427">
        <w:rPr>
          <w:rFonts w:cstheme="minorHAnsi"/>
          <w:sz w:val="18"/>
          <w:szCs w:val="18"/>
          <w:shd w:val="clear" w:color="auto" w:fill="FFFFFF"/>
        </w:rPr>
        <w:t xml:space="preserve">bid, </w:t>
      </w:r>
      <w:r w:rsidRPr="00D81427">
        <w:rPr>
          <w:rFonts w:cstheme="minorHAnsi"/>
          <w:sz w:val="18"/>
          <w:szCs w:val="18"/>
          <w:shd w:val="clear" w:color="auto" w:fill="FFFFFF"/>
        </w:rPr>
        <w:t>p.43</w:t>
      </w:r>
    </w:p>
  </w:footnote>
  <w:footnote w:id="8">
    <w:p w14:paraId="53FDC3C8" w14:textId="77777777" w:rsidR="00AD664E" w:rsidRPr="00AA788F" w:rsidRDefault="00AD664E" w:rsidP="00AD664E">
      <w:pPr>
        <w:pStyle w:val="FootnoteText"/>
        <w:rPr>
          <w:rFonts w:cstheme="minorHAnsi"/>
          <w:sz w:val="18"/>
          <w:szCs w:val="18"/>
          <w:shd w:val="clear" w:color="auto" w:fill="FFFFFF"/>
        </w:rPr>
      </w:pPr>
      <w:r w:rsidRPr="00AA788F">
        <w:rPr>
          <w:rStyle w:val="FootnoteReference"/>
          <w:rFonts w:cstheme="minorHAnsi"/>
          <w:sz w:val="18"/>
          <w:szCs w:val="18"/>
        </w:rPr>
        <w:footnoteRef/>
      </w:r>
      <w:r w:rsidRPr="00AA788F">
        <w:rPr>
          <w:rFonts w:cstheme="minorHAnsi"/>
          <w:sz w:val="18"/>
          <w:szCs w:val="18"/>
        </w:rPr>
        <w:t xml:space="preserve"> </w:t>
      </w:r>
      <w:r w:rsidRPr="00AA788F">
        <w:rPr>
          <w:rFonts w:cstheme="minorHAnsi"/>
          <w:sz w:val="18"/>
          <w:szCs w:val="18"/>
          <w:shd w:val="clear" w:color="auto" w:fill="FFFFFF"/>
        </w:rPr>
        <w:t>Hamid, A.F.A., 2018. Shifting Trends of Islamism and Islamist Practices in Malaysia, 1957–2017. </w:t>
      </w:r>
      <w:r w:rsidRPr="00AA788F">
        <w:rPr>
          <w:rFonts w:cstheme="minorHAnsi"/>
          <w:i/>
          <w:iCs/>
          <w:sz w:val="18"/>
          <w:szCs w:val="18"/>
          <w:shd w:val="clear" w:color="auto" w:fill="FFFFFF"/>
        </w:rPr>
        <w:t>Southeast Asian Studies, </w:t>
      </w:r>
      <w:r w:rsidRPr="00AA788F">
        <w:rPr>
          <w:rFonts w:cstheme="minorHAnsi"/>
          <w:b/>
          <w:bCs/>
          <w:sz w:val="18"/>
          <w:szCs w:val="18"/>
          <w:shd w:val="clear" w:color="auto" w:fill="FFFFFF"/>
        </w:rPr>
        <w:t>7</w:t>
      </w:r>
      <w:r w:rsidRPr="00AA788F">
        <w:rPr>
          <w:rFonts w:cstheme="minorHAnsi"/>
          <w:sz w:val="18"/>
          <w:szCs w:val="18"/>
          <w:shd w:val="clear" w:color="auto" w:fill="FFFFFF"/>
        </w:rPr>
        <w:t xml:space="preserve">(3), pp. 363-390, p. 368, </w:t>
      </w:r>
      <w:hyperlink r:id="rId3" w:history="1">
        <w:r w:rsidRPr="00AA788F">
          <w:rPr>
            <w:rStyle w:val="Hyperlink"/>
            <w:rFonts w:cstheme="minorHAnsi"/>
            <w:color w:val="auto"/>
            <w:sz w:val="18"/>
            <w:szCs w:val="18"/>
            <w:shd w:val="clear" w:color="auto" w:fill="FFFFFF"/>
          </w:rPr>
          <w:t>https://whel-primo.hosted.exlibrisgroup.com/permalink/f/mqg008/TN_cdi_jstage_primary_https_jlc_jst_go_jp_DN_JLC_20113102064_from_SUMMON</w:t>
        </w:r>
      </w:hyperlink>
    </w:p>
  </w:footnote>
  <w:footnote w:id="9">
    <w:p w14:paraId="494CB017" w14:textId="77777777" w:rsidR="00AD664E" w:rsidRPr="00AA788F" w:rsidRDefault="00AD664E" w:rsidP="00AD664E">
      <w:pPr>
        <w:pStyle w:val="FootnoteText"/>
        <w:rPr>
          <w:sz w:val="18"/>
          <w:szCs w:val="18"/>
        </w:rPr>
      </w:pPr>
      <w:r w:rsidRPr="00AA788F">
        <w:rPr>
          <w:rStyle w:val="FootnoteReference"/>
          <w:sz w:val="18"/>
          <w:szCs w:val="18"/>
        </w:rPr>
        <w:footnoteRef/>
      </w:r>
      <w:r w:rsidRPr="00AA788F">
        <w:rPr>
          <w:sz w:val="18"/>
          <w:szCs w:val="18"/>
        </w:rPr>
        <w:t xml:space="preserve"> </w:t>
      </w:r>
      <w:r w:rsidRPr="00AA788F">
        <w:rPr>
          <w:rFonts w:cstheme="minorHAnsi"/>
          <w:sz w:val="18"/>
          <w:szCs w:val="18"/>
          <w:shd w:val="clear" w:color="auto" w:fill="FFFFFF"/>
        </w:rPr>
        <w:t>ibid, p.369</w:t>
      </w:r>
    </w:p>
  </w:footnote>
  <w:footnote w:id="10">
    <w:p w14:paraId="1E0C336E" w14:textId="77777777" w:rsidR="00AD664E" w:rsidRPr="00AA788F" w:rsidRDefault="00AD664E" w:rsidP="00AD664E">
      <w:pPr>
        <w:pStyle w:val="FootnoteText"/>
        <w:rPr>
          <w:sz w:val="18"/>
          <w:szCs w:val="18"/>
        </w:rPr>
      </w:pPr>
      <w:r w:rsidRPr="00AA788F">
        <w:rPr>
          <w:rStyle w:val="FootnoteReference"/>
          <w:sz w:val="18"/>
          <w:szCs w:val="18"/>
        </w:rPr>
        <w:footnoteRef/>
      </w:r>
      <w:r w:rsidRPr="00AA788F">
        <w:rPr>
          <w:sz w:val="18"/>
          <w:szCs w:val="18"/>
        </w:rPr>
        <w:t xml:space="preserve"> </w:t>
      </w:r>
      <w:r w:rsidRPr="00AA788F">
        <w:rPr>
          <w:rFonts w:cstheme="minorHAnsi"/>
          <w:sz w:val="18"/>
          <w:szCs w:val="18"/>
          <w:shd w:val="clear" w:color="auto" w:fill="FFFFFF"/>
        </w:rPr>
        <w:t>ibid, p.369</w:t>
      </w:r>
    </w:p>
  </w:footnote>
  <w:footnote w:id="11">
    <w:p w14:paraId="551DCAF7" w14:textId="77777777" w:rsidR="00AD664E" w:rsidRPr="00AA788F" w:rsidRDefault="00AD664E" w:rsidP="00AD664E">
      <w:pPr>
        <w:pStyle w:val="FootnoteText"/>
        <w:rPr>
          <w:sz w:val="18"/>
          <w:szCs w:val="18"/>
        </w:rPr>
      </w:pPr>
      <w:r w:rsidRPr="00AA788F">
        <w:rPr>
          <w:rStyle w:val="FootnoteReference"/>
          <w:sz w:val="18"/>
          <w:szCs w:val="18"/>
        </w:rPr>
        <w:footnoteRef/>
      </w:r>
      <w:r w:rsidRPr="00AA788F">
        <w:rPr>
          <w:sz w:val="18"/>
          <w:szCs w:val="18"/>
        </w:rPr>
        <w:t xml:space="preserve"> </w:t>
      </w:r>
      <w:r w:rsidRPr="00AA788F">
        <w:rPr>
          <w:rFonts w:cstheme="minorHAnsi"/>
          <w:sz w:val="18"/>
          <w:szCs w:val="18"/>
          <w:shd w:val="clear" w:color="auto" w:fill="FFFFFF"/>
        </w:rPr>
        <w:t>ibid, p.370</w:t>
      </w:r>
    </w:p>
  </w:footnote>
  <w:footnote w:id="12">
    <w:p w14:paraId="730054EC" w14:textId="77777777" w:rsidR="00AD664E" w:rsidRPr="00AA788F" w:rsidRDefault="00AD664E" w:rsidP="00AD664E">
      <w:pPr>
        <w:pStyle w:val="FootnoteText"/>
        <w:rPr>
          <w:sz w:val="18"/>
          <w:szCs w:val="18"/>
        </w:rPr>
      </w:pPr>
      <w:r w:rsidRPr="00AA788F">
        <w:rPr>
          <w:rStyle w:val="FootnoteReference"/>
          <w:sz w:val="18"/>
          <w:szCs w:val="18"/>
        </w:rPr>
        <w:footnoteRef/>
      </w:r>
      <w:r w:rsidRPr="00AA788F">
        <w:rPr>
          <w:sz w:val="18"/>
          <w:szCs w:val="18"/>
        </w:rPr>
        <w:t xml:space="preserve"> Osman, M. N., "The Islamic Conservative Turn in Malaysia: Impact and Future Trajectories." Contemporary Islam 11, no. 1 (2016): 1-20, p.3, </w:t>
      </w:r>
      <w:hyperlink r:id="rId4" w:history="1">
        <w:r w:rsidRPr="00AA788F">
          <w:rPr>
            <w:rStyle w:val="Hyperlink"/>
            <w:color w:val="auto"/>
            <w:sz w:val="18"/>
            <w:szCs w:val="18"/>
          </w:rPr>
          <w:t>https://whel-primo.hosted.exlibrisgroup.com/permalink/f/mqg008/TN_cdi_proquest_journals_1899605353</w:t>
        </w:r>
      </w:hyperlink>
    </w:p>
  </w:footnote>
  <w:footnote w:id="13">
    <w:p w14:paraId="6EC6D0DA" w14:textId="72C02F13" w:rsidR="00AD664E" w:rsidRPr="00AA788F" w:rsidRDefault="00AD664E" w:rsidP="00AD664E">
      <w:pPr>
        <w:pStyle w:val="FootnoteText"/>
        <w:rPr>
          <w:sz w:val="18"/>
          <w:szCs w:val="18"/>
        </w:rPr>
      </w:pPr>
      <w:r w:rsidRPr="00AA788F">
        <w:rPr>
          <w:rStyle w:val="FootnoteReference"/>
          <w:sz w:val="18"/>
          <w:szCs w:val="18"/>
        </w:rPr>
        <w:footnoteRef/>
      </w:r>
      <w:r w:rsidRPr="00AA788F">
        <w:rPr>
          <w:sz w:val="18"/>
          <w:szCs w:val="18"/>
        </w:rPr>
        <w:t xml:space="preserve"> </w:t>
      </w:r>
      <w:r w:rsidRPr="00AA788F">
        <w:rPr>
          <w:rFonts w:cstheme="minorHAnsi"/>
          <w:sz w:val="18"/>
          <w:szCs w:val="18"/>
          <w:shd w:val="clear" w:color="auto" w:fill="FFFFFF"/>
        </w:rPr>
        <w:t>Hamid, p.371</w:t>
      </w:r>
    </w:p>
  </w:footnote>
  <w:footnote w:id="14">
    <w:p w14:paraId="5C47236B" w14:textId="6CED6513" w:rsidR="00AD664E" w:rsidRPr="00AA788F" w:rsidRDefault="00AD664E" w:rsidP="00AD664E">
      <w:pPr>
        <w:pStyle w:val="FootnoteText"/>
        <w:rPr>
          <w:sz w:val="18"/>
          <w:szCs w:val="18"/>
        </w:rPr>
      </w:pPr>
      <w:r w:rsidRPr="00AA788F">
        <w:rPr>
          <w:rStyle w:val="FootnoteReference"/>
          <w:sz w:val="18"/>
          <w:szCs w:val="18"/>
        </w:rPr>
        <w:footnoteRef/>
      </w:r>
      <w:r w:rsidRPr="00AA788F">
        <w:rPr>
          <w:sz w:val="18"/>
          <w:szCs w:val="18"/>
        </w:rPr>
        <w:t xml:space="preserve"> </w:t>
      </w:r>
      <w:r w:rsidR="00110642">
        <w:rPr>
          <w:rFonts w:cstheme="minorHAnsi"/>
          <w:sz w:val="18"/>
          <w:szCs w:val="18"/>
          <w:shd w:val="clear" w:color="auto" w:fill="FFFFFF"/>
        </w:rPr>
        <w:t>ibid,</w:t>
      </w:r>
      <w:r w:rsidRPr="00AA788F">
        <w:rPr>
          <w:rFonts w:cstheme="minorHAnsi"/>
          <w:sz w:val="18"/>
          <w:szCs w:val="18"/>
          <w:shd w:val="clear" w:color="auto" w:fill="FFFFFF"/>
        </w:rPr>
        <w:t xml:space="preserve"> p.373</w:t>
      </w:r>
    </w:p>
  </w:footnote>
  <w:footnote w:id="15">
    <w:p w14:paraId="3026B330" w14:textId="3F1C8835" w:rsidR="00AD664E" w:rsidRDefault="00AD664E" w:rsidP="00AD664E">
      <w:pPr>
        <w:pStyle w:val="FootnoteText"/>
      </w:pPr>
      <w:r w:rsidRPr="00AA788F">
        <w:rPr>
          <w:rStyle w:val="FootnoteReference"/>
          <w:sz w:val="18"/>
          <w:szCs w:val="18"/>
        </w:rPr>
        <w:footnoteRef/>
      </w:r>
      <w:r w:rsidRPr="00AA788F">
        <w:rPr>
          <w:sz w:val="18"/>
          <w:szCs w:val="18"/>
        </w:rPr>
        <w:t xml:space="preserve"> </w:t>
      </w:r>
      <w:r w:rsidRPr="00AA788F">
        <w:rPr>
          <w:rFonts w:cstheme="minorHAnsi"/>
          <w:sz w:val="18"/>
          <w:szCs w:val="18"/>
          <w:shd w:val="clear" w:color="auto" w:fill="FFFFFF"/>
        </w:rPr>
        <w:t>Zain,</w:t>
      </w:r>
      <w:r w:rsidR="00110642">
        <w:rPr>
          <w:rFonts w:cstheme="minorHAnsi"/>
          <w:sz w:val="18"/>
          <w:szCs w:val="18"/>
          <w:shd w:val="clear" w:color="auto" w:fill="FFFFFF"/>
        </w:rPr>
        <w:t xml:space="preserve"> </w:t>
      </w:r>
      <w:r w:rsidRPr="00AA788F">
        <w:rPr>
          <w:rFonts w:cstheme="minorHAnsi"/>
          <w:sz w:val="18"/>
          <w:szCs w:val="18"/>
          <w:shd w:val="clear" w:color="auto" w:fill="FFFFFF"/>
        </w:rPr>
        <w:t>p.45</w:t>
      </w:r>
    </w:p>
  </w:footnote>
  <w:footnote w:id="16">
    <w:p w14:paraId="57B500D1" w14:textId="4A74241C" w:rsidR="00AD664E" w:rsidRPr="00AA788F" w:rsidRDefault="00AD664E" w:rsidP="00AD664E">
      <w:pPr>
        <w:pStyle w:val="FootnoteText"/>
        <w:rPr>
          <w:sz w:val="18"/>
          <w:szCs w:val="18"/>
        </w:rPr>
      </w:pPr>
      <w:r w:rsidRPr="00AA788F">
        <w:rPr>
          <w:rStyle w:val="FootnoteReference"/>
          <w:sz w:val="18"/>
          <w:szCs w:val="18"/>
        </w:rPr>
        <w:footnoteRef/>
      </w:r>
      <w:r w:rsidRPr="00AA788F">
        <w:rPr>
          <w:sz w:val="18"/>
          <w:szCs w:val="18"/>
        </w:rPr>
        <w:t xml:space="preserve"> </w:t>
      </w:r>
      <w:r w:rsidRPr="00AA788F">
        <w:rPr>
          <w:rFonts w:cstheme="minorHAnsi"/>
          <w:sz w:val="18"/>
          <w:szCs w:val="18"/>
          <w:shd w:val="clear" w:color="auto" w:fill="FFFFFF"/>
        </w:rPr>
        <w:t>Hamid, p.374</w:t>
      </w:r>
    </w:p>
  </w:footnote>
  <w:footnote w:id="17">
    <w:p w14:paraId="55ED3D99" w14:textId="072C8FAB" w:rsidR="00AD664E" w:rsidRPr="009E4DC9" w:rsidRDefault="00AD664E" w:rsidP="00AD664E">
      <w:pPr>
        <w:pStyle w:val="FootnoteText"/>
        <w:rPr>
          <w:sz w:val="18"/>
          <w:szCs w:val="18"/>
        </w:rPr>
      </w:pPr>
      <w:r w:rsidRPr="009E4DC9">
        <w:rPr>
          <w:rStyle w:val="FootnoteReference"/>
          <w:sz w:val="18"/>
          <w:szCs w:val="18"/>
        </w:rPr>
        <w:footnoteRef/>
      </w:r>
      <w:r w:rsidRPr="009E4DC9">
        <w:rPr>
          <w:sz w:val="18"/>
          <w:szCs w:val="18"/>
        </w:rPr>
        <w:t xml:space="preserve"> </w:t>
      </w:r>
      <w:r w:rsidR="00110642">
        <w:rPr>
          <w:rFonts w:cstheme="minorHAnsi"/>
          <w:sz w:val="18"/>
          <w:szCs w:val="18"/>
          <w:shd w:val="clear" w:color="auto" w:fill="FFFFFF"/>
        </w:rPr>
        <w:t>Hamad</w:t>
      </w:r>
      <w:r w:rsidRPr="009E4DC9">
        <w:rPr>
          <w:rFonts w:cstheme="minorHAnsi"/>
          <w:sz w:val="18"/>
          <w:szCs w:val="18"/>
          <w:shd w:val="clear" w:color="auto" w:fill="FFFFFF"/>
        </w:rPr>
        <w:t>, p.374</w:t>
      </w:r>
    </w:p>
  </w:footnote>
  <w:footnote w:id="18">
    <w:p w14:paraId="0960F119" w14:textId="61E57CC1" w:rsidR="00AD664E" w:rsidRPr="009E4DC9" w:rsidRDefault="00AD664E" w:rsidP="00AD664E">
      <w:pPr>
        <w:pStyle w:val="FootnoteText"/>
        <w:rPr>
          <w:sz w:val="18"/>
          <w:szCs w:val="18"/>
        </w:rPr>
      </w:pPr>
      <w:r w:rsidRPr="009E4DC9">
        <w:rPr>
          <w:rStyle w:val="FootnoteReference"/>
          <w:sz w:val="18"/>
          <w:szCs w:val="18"/>
        </w:rPr>
        <w:footnoteRef/>
      </w:r>
      <w:r w:rsidRPr="009E4DC9">
        <w:rPr>
          <w:sz w:val="18"/>
          <w:szCs w:val="18"/>
        </w:rPr>
        <w:t xml:space="preserve"> Osman, p.14</w:t>
      </w:r>
    </w:p>
  </w:footnote>
  <w:footnote w:id="19">
    <w:p w14:paraId="1502ACF9" w14:textId="660241CF" w:rsidR="00326BA2" w:rsidRDefault="00326BA2">
      <w:pPr>
        <w:pStyle w:val="FootnoteText"/>
      </w:pPr>
      <w:r w:rsidRPr="009E4DC9">
        <w:rPr>
          <w:rStyle w:val="FootnoteReference"/>
          <w:sz w:val="18"/>
          <w:szCs w:val="18"/>
        </w:rPr>
        <w:footnoteRef/>
      </w:r>
      <w:r w:rsidRPr="009E4DC9">
        <w:rPr>
          <w:sz w:val="18"/>
          <w:szCs w:val="18"/>
        </w:rPr>
        <w:t xml:space="preserve"> </w:t>
      </w:r>
      <w:r w:rsidR="00110642">
        <w:rPr>
          <w:sz w:val="18"/>
          <w:szCs w:val="18"/>
        </w:rPr>
        <w:t xml:space="preserve">ibid, </w:t>
      </w:r>
      <w:r w:rsidRPr="009E4DC9">
        <w:rPr>
          <w:sz w:val="18"/>
          <w:szCs w:val="18"/>
        </w:rPr>
        <w:t>p.15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F4A1D9" w14:textId="6CF3475B" w:rsidR="007C257D" w:rsidRDefault="007C257D">
    <w:pPr>
      <w:pStyle w:val="Header"/>
    </w:pPr>
    <w:r>
      <w:t>Graham Lowe 1807689</w:t>
    </w:r>
    <w:r>
      <w:ptab w:relativeTo="margin" w:alignment="center" w:leader="none"/>
    </w:r>
    <w:r>
      <w:t>TRDL7066</w:t>
    </w:r>
    <w:r w:rsidR="009D18C4">
      <w:t xml:space="preserve"> Assignment 4</w:t>
    </w:r>
    <w:r>
      <w:ptab w:relativeTo="margin" w:alignment="right" w:leader="none"/>
    </w:r>
    <w:r w:rsidR="009D18C4">
      <w:t>28</w:t>
    </w:r>
    <w:r w:rsidR="009D18C4" w:rsidRPr="009D18C4">
      <w:rPr>
        <w:vertAlign w:val="superscript"/>
      </w:rPr>
      <w:t>th</w:t>
    </w:r>
    <w:r w:rsidR="009D18C4">
      <w:t xml:space="preserve"> September 2020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64E"/>
    <w:rsid w:val="00015E22"/>
    <w:rsid w:val="000D2AAD"/>
    <w:rsid w:val="000E38BC"/>
    <w:rsid w:val="00110642"/>
    <w:rsid w:val="001A19F5"/>
    <w:rsid w:val="00241AC9"/>
    <w:rsid w:val="00251CC8"/>
    <w:rsid w:val="00273B40"/>
    <w:rsid w:val="0028730A"/>
    <w:rsid w:val="00297666"/>
    <w:rsid w:val="0032019F"/>
    <w:rsid w:val="00326BA2"/>
    <w:rsid w:val="00372607"/>
    <w:rsid w:val="004876B0"/>
    <w:rsid w:val="004C353A"/>
    <w:rsid w:val="004E24FC"/>
    <w:rsid w:val="00500F57"/>
    <w:rsid w:val="005042CE"/>
    <w:rsid w:val="0052214A"/>
    <w:rsid w:val="00541FFE"/>
    <w:rsid w:val="005A4D0E"/>
    <w:rsid w:val="005A79A2"/>
    <w:rsid w:val="005C3873"/>
    <w:rsid w:val="005D7702"/>
    <w:rsid w:val="006109B0"/>
    <w:rsid w:val="00626589"/>
    <w:rsid w:val="006401FB"/>
    <w:rsid w:val="00642BAF"/>
    <w:rsid w:val="006C7C51"/>
    <w:rsid w:val="007A1F65"/>
    <w:rsid w:val="007C257D"/>
    <w:rsid w:val="0083181D"/>
    <w:rsid w:val="00835CF9"/>
    <w:rsid w:val="008C562A"/>
    <w:rsid w:val="008F65D6"/>
    <w:rsid w:val="00912C2E"/>
    <w:rsid w:val="009B0CEF"/>
    <w:rsid w:val="009B66D5"/>
    <w:rsid w:val="009D18C4"/>
    <w:rsid w:val="009E4DC9"/>
    <w:rsid w:val="00A33B72"/>
    <w:rsid w:val="00A9794A"/>
    <w:rsid w:val="00AA788F"/>
    <w:rsid w:val="00AD310E"/>
    <w:rsid w:val="00AD664E"/>
    <w:rsid w:val="00B001C2"/>
    <w:rsid w:val="00B94F73"/>
    <w:rsid w:val="00BF68BF"/>
    <w:rsid w:val="00C302FA"/>
    <w:rsid w:val="00C40EA6"/>
    <w:rsid w:val="00C77272"/>
    <w:rsid w:val="00CA1284"/>
    <w:rsid w:val="00CA76A0"/>
    <w:rsid w:val="00D03C32"/>
    <w:rsid w:val="00D115BD"/>
    <w:rsid w:val="00D341DE"/>
    <w:rsid w:val="00D3781D"/>
    <w:rsid w:val="00D50EAD"/>
    <w:rsid w:val="00D81427"/>
    <w:rsid w:val="00DF4C6A"/>
    <w:rsid w:val="00E45B30"/>
    <w:rsid w:val="00E6697C"/>
    <w:rsid w:val="00EB51A8"/>
    <w:rsid w:val="00EB79CB"/>
    <w:rsid w:val="00EC368C"/>
    <w:rsid w:val="00ED5F63"/>
    <w:rsid w:val="00ED70E2"/>
    <w:rsid w:val="00F34AFE"/>
    <w:rsid w:val="00F5304C"/>
    <w:rsid w:val="00FE3F89"/>
    <w:rsid w:val="00FF0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3AA01"/>
  <w15:chartTrackingRefBased/>
  <w15:docId w15:val="{7DF0F96B-F101-443E-878B-EC6C7DF2E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6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D66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664E"/>
    <w:rPr>
      <w:sz w:val="20"/>
      <w:szCs w:val="20"/>
    </w:rPr>
  </w:style>
  <w:style w:type="character" w:styleId="FootnoteReference">
    <w:name w:val="footnote reference"/>
    <w:basedOn w:val="DefaultParagraphFont"/>
    <w:uiPriority w:val="99"/>
    <w:semiHidden/>
    <w:unhideWhenUsed/>
    <w:rsid w:val="00AD664E"/>
    <w:rPr>
      <w:vertAlign w:val="superscript"/>
    </w:rPr>
  </w:style>
  <w:style w:type="character" w:styleId="Hyperlink">
    <w:name w:val="Hyperlink"/>
    <w:basedOn w:val="DefaultParagraphFont"/>
    <w:uiPriority w:val="99"/>
    <w:unhideWhenUsed/>
    <w:rsid w:val="00AD664E"/>
    <w:rPr>
      <w:color w:val="0563C1" w:themeColor="hyperlink"/>
      <w:u w:val="single"/>
    </w:rPr>
  </w:style>
  <w:style w:type="paragraph" w:styleId="Header">
    <w:name w:val="header"/>
    <w:basedOn w:val="Normal"/>
    <w:link w:val="HeaderChar"/>
    <w:uiPriority w:val="99"/>
    <w:unhideWhenUsed/>
    <w:rsid w:val="007C2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57D"/>
  </w:style>
  <w:style w:type="paragraph" w:styleId="Footer">
    <w:name w:val="footer"/>
    <w:basedOn w:val="Normal"/>
    <w:link w:val="FooterChar"/>
    <w:uiPriority w:val="99"/>
    <w:unhideWhenUsed/>
    <w:rsid w:val="007C2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5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ermalink/f/mqg008/TN_cdi_jstage_primary_https_jlc_jst_go_jp_DN_JLC_20113102064_from_SUMM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xford.universitypressscholarship.com/view/10.1093/acprof:oso/9780199766062.001.0001/acprof-9780199766062"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hel-primo.hosted.exlibrisgroup.com/permalink/f/mqg008/TN_cdi_doaj_primary_oai_doaj_org_article_5eb37f9286e24e21ba51c83aade12de" TargetMode="External"/><Relationship Id="rId4" Type="http://schemas.openxmlformats.org/officeDocument/2006/relationships/webSettings" Target="webSettings.xml"/><Relationship Id="rId9" Type="http://schemas.openxmlformats.org/officeDocument/2006/relationships/hyperlink" Target="https://whel-primo.hosted.exlibrisgroup.com/permalink/f/mqg008/TN_cdi_proquest_journals_1899605353"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hel-primo.hosted.exlibrisgroup.com/permalink/f/mqg008/TN_cdi_jstage_primary_https_jlc_jst_go_jp_DN_JLC_20113102064_from_SUMMON" TargetMode="External"/><Relationship Id="rId2" Type="http://schemas.openxmlformats.org/officeDocument/2006/relationships/hyperlink" Target="https://whel-primo.hosted.exlibrisgroup.com/permalink/f/mqg008/TN_cdi_doaj_primary_oai_doaj_org_article_5eb37f9286e24e21ba51c83aade12de" TargetMode="External"/><Relationship Id="rId1" Type="http://schemas.openxmlformats.org/officeDocument/2006/relationships/hyperlink" Target="https://oxford.universitypressscholarship.com/view/10.1093/acprof:oso/9780199766062.001.0001/acprof-9780199766062" TargetMode="External"/><Relationship Id="rId4" Type="http://schemas.openxmlformats.org/officeDocument/2006/relationships/hyperlink" Target="https://whel-primo.hosted.exlibrisgroup.com/permalink/f/mqg008/TN_cdi_proquest_journals_18996053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72442-D5CF-4297-AE23-EF7AE1779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1078</Words>
  <Characters>6148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Lowe</dc:creator>
  <cp:keywords/>
  <dc:description/>
  <cp:lastModifiedBy>Graham Lowe</cp:lastModifiedBy>
  <cp:revision>2</cp:revision>
  <dcterms:created xsi:type="dcterms:W3CDTF">2020-09-28T09:54:00Z</dcterms:created>
  <dcterms:modified xsi:type="dcterms:W3CDTF">2020-09-28T09:54:00Z</dcterms:modified>
</cp:coreProperties>
</file>