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BA5E17" w:rsidRDefault="00BA5E17">
      <w:pPr>
        <w:jc w:val="center"/>
        <w:rPr>
          <w:b/>
          <w:sz w:val="32"/>
          <w:szCs w:val="32"/>
        </w:rPr>
      </w:pPr>
    </w:p>
    <w:p w14:paraId="00000002" w14:textId="77777777" w:rsidR="00BA5E17" w:rsidRDefault="00BA5E17">
      <w:pPr>
        <w:jc w:val="center"/>
        <w:rPr>
          <w:b/>
          <w:sz w:val="32"/>
          <w:szCs w:val="32"/>
        </w:rPr>
      </w:pPr>
    </w:p>
    <w:p w14:paraId="00000003" w14:textId="77777777" w:rsidR="00BA5E17" w:rsidRDefault="00BA5E17">
      <w:pPr>
        <w:jc w:val="center"/>
        <w:rPr>
          <w:b/>
          <w:sz w:val="32"/>
          <w:szCs w:val="32"/>
        </w:rPr>
      </w:pPr>
    </w:p>
    <w:p w14:paraId="00000004" w14:textId="77777777" w:rsidR="00BA5E17" w:rsidRDefault="00BA5E17">
      <w:pPr>
        <w:jc w:val="center"/>
        <w:rPr>
          <w:b/>
          <w:sz w:val="32"/>
          <w:szCs w:val="32"/>
        </w:rPr>
      </w:pPr>
    </w:p>
    <w:p w14:paraId="00000005" w14:textId="77777777" w:rsidR="00BA5E17" w:rsidRDefault="00BA5E17">
      <w:pPr>
        <w:jc w:val="center"/>
        <w:rPr>
          <w:b/>
          <w:sz w:val="32"/>
          <w:szCs w:val="32"/>
        </w:rPr>
      </w:pPr>
    </w:p>
    <w:p w14:paraId="00000006" w14:textId="77777777" w:rsidR="00BA5E17" w:rsidRDefault="00BA5E17">
      <w:pPr>
        <w:jc w:val="center"/>
        <w:rPr>
          <w:b/>
          <w:sz w:val="32"/>
          <w:szCs w:val="32"/>
        </w:rPr>
      </w:pPr>
    </w:p>
    <w:p w14:paraId="00000007" w14:textId="77777777" w:rsidR="00BA5E17" w:rsidRDefault="00BA5E17">
      <w:pPr>
        <w:jc w:val="center"/>
        <w:rPr>
          <w:b/>
          <w:sz w:val="32"/>
          <w:szCs w:val="32"/>
        </w:rPr>
      </w:pPr>
    </w:p>
    <w:p w14:paraId="00000008" w14:textId="77777777" w:rsidR="00BA5E17" w:rsidRDefault="00BA5E17">
      <w:pPr>
        <w:jc w:val="center"/>
        <w:rPr>
          <w:b/>
          <w:sz w:val="32"/>
          <w:szCs w:val="32"/>
        </w:rPr>
      </w:pPr>
    </w:p>
    <w:p w14:paraId="0000000C" w14:textId="77777777" w:rsidR="00BA5E17" w:rsidRDefault="001739EF" w:rsidP="0033560E">
      <w:pPr>
        <w:jc w:val="center"/>
        <w:rPr>
          <w:b/>
          <w:sz w:val="32"/>
          <w:szCs w:val="32"/>
        </w:rPr>
      </w:pPr>
      <w:r>
        <w:rPr>
          <w:b/>
          <w:sz w:val="32"/>
          <w:szCs w:val="32"/>
        </w:rPr>
        <w:t>BA Business Management</w:t>
      </w:r>
    </w:p>
    <w:p w14:paraId="0000000D" w14:textId="77777777" w:rsidR="00BA5E17" w:rsidRDefault="001739EF" w:rsidP="0033560E">
      <w:pPr>
        <w:jc w:val="center"/>
        <w:rPr>
          <w:b/>
          <w:sz w:val="32"/>
          <w:szCs w:val="32"/>
        </w:rPr>
      </w:pPr>
      <w:r>
        <w:rPr>
          <w:b/>
          <w:sz w:val="32"/>
          <w:szCs w:val="32"/>
        </w:rPr>
        <w:t>Community Engagement</w:t>
      </w:r>
    </w:p>
    <w:p w14:paraId="42F5F789" w14:textId="77777777" w:rsidR="005A6780" w:rsidRDefault="001739EF" w:rsidP="0033560E">
      <w:pPr>
        <w:jc w:val="center"/>
        <w:rPr>
          <w:b/>
          <w:sz w:val="32"/>
          <w:szCs w:val="32"/>
        </w:rPr>
      </w:pPr>
      <w:r>
        <w:rPr>
          <w:b/>
          <w:sz w:val="32"/>
          <w:szCs w:val="32"/>
        </w:rPr>
        <w:t>Assessment 1</w:t>
      </w:r>
    </w:p>
    <w:p w14:paraId="5DCE2239" w14:textId="77777777" w:rsidR="005A6780" w:rsidRDefault="005A6780" w:rsidP="0033560E">
      <w:pPr>
        <w:jc w:val="center"/>
        <w:rPr>
          <w:b/>
          <w:sz w:val="32"/>
          <w:szCs w:val="32"/>
        </w:rPr>
      </w:pPr>
    </w:p>
    <w:p w14:paraId="53E84490" w14:textId="77777777" w:rsidR="005A6780" w:rsidRDefault="005A6780" w:rsidP="0033560E">
      <w:pPr>
        <w:jc w:val="center"/>
        <w:rPr>
          <w:b/>
          <w:sz w:val="32"/>
          <w:szCs w:val="32"/>
        </w:rPr>
      </w:pPr>
    </w:p>
    <w:p w14:paraId="2CB32A3C" w14:textId="77777777" w:rsidR="005A6780" w:rsidRDefault="005A6780" w:rsidP="0033560E">
      <w:pPr>
        <w:jc w:val="center"/>
        <w:rPr>
          <w:b/>
          <w:sz w:val="32"/>
          <w:szCs w:val="32"/>
        </w:rPr>
      </w:pPr>
    </w:p>
    <w:p w14:paraId="630E6682" w14:textId="77777777" w:rsidR="005A6780" w:rsidRDefault="005A6780" w:rsidP="0033560E">
      <w:pPr>
        <w:jc w:val="center"/>
        <w:rPr>
          <w:b/>
          <w:sz w:val="32"/>
          <w:szCs w:val="32"/>
        </w:rPr>
      </w:pPr>
    </w:p>
    <w:p w14:paraId="46AEB654" w14:textId="77777777" w:rsidR="005A6780" w:rsidRDefault="005A6780" w:rsidP="0033560E">
      <w:pPr>
        <w:jc w:val="center"/>
        <w:rPr>
          <w:b/>
          <w:sz w:val="32"/>
          <w:szCs w:val="32"/>
        </w:rPr>
      </w:pPr>
    </w:p>
    <w:p w14:paraId="0000000F" w14:textId="6511F9B4" w:rsidR="00BA5E17" w:rsidRDefault="005A6780" w:rsidP="0033560E">
      <w:pPr>
        <w:jc w:val="center"/>
        <w:rPr>
          <w:b/>
          <w:sz w:val="32"/>
          <w:szCs w:val="32"/>
        </w:rPr>
      </w:pPr>
      <w:proofErr w:type="spellStart"/>
      <w:r>
        <w:rPr>
          <w:b/>
          <w:sz w:val="32"/>
          <w:szCs w:val="32"/>
        </w:rPr>
        <w:t>Iosip</w:t>
      </w:r>
      <w:proofErr w:type="spellEnd"/>
      <w:r>
        <w:rPr>
          <w:b/>
          <w:sz w:val="32"/>
          <w:szCs w:val="32"/>
        </w:rPr>
        <w:t xml:space="preserve"> </w:t>
      </w:r>
      <w:proofErr w:type="spellStart"/>
      <w:r>
        <w:rPr>
          <w:b/>
          <w:sz w:val="32"/>
          <w:szCs w:val="32"/>
        </w:rPr>
        <w:t>Costel</w:t>
      </w:r>
      <w:proofErr w:type="spellEnd"/>
      <w:r>
        <w:rPr>
          <w:b/>
          <w:sz w:val="32"/>
          <w:szCs w:val="32"/>
        </w:rPr>
        <w:t xml:space="preserve"> (2022687)</w:t>
      </w:r>
      <w:r w:rsidR="001739EF">
        <w:br w:type="page"/>
      </w:r>
    </w:p>
    <w:p w14:paraId="674D834B" w14:textId="77777777" w:rsidR="0033560E" w:rsidRDefault="001739EF" w:rsidP="0033560E">
      <w:pPr>
        <w:rPr>
          <w:b/>
        </w:rPr>
      </w:pPr>
      <w:r>
        <w:rPr>
          <w:b/>
        </w:rPr>
        <w:lastRenderedPageBreak/>
        <w:t>Table of Contents</w:t>
      </w:r>
    </w:p>
    <w:sdt>
      <w:sdtPr>
        <w:rPr>
          <w:rFonts w:ascii="Times New Roman" w:eastAsia="Times New Roman" w:hAnsi="Times New Roman" w:cs="Times New Roman"/>
          <w:color w:val="auto"/>
          <w:sz w:val="24"/>
          <w:szCs w:val="24"/>
          <w:lang w:val="en" w:eastAsia="en-IN"/>
        </w:rPr>
        <w:id w:val="-2037727541"/>
        <w:docPartObj>
          <w:docPartGallery w:val="Table of Contents"/>
          <w:docPartUnique/>
        </w:docPartObj>
      </w:sdtPr>
      <w:sdtEndPr>
        <w:rPr>
          <w:b/>
          <w:bCs/>
          <w:noProof/>
        </w:rPr>
      </w:sdtEndPr>
      <w:sdtContent>
        <w:p w14:paraId="2D6225B2" w14:textId="2283DAA4" w:rsidR="0033560E" w:rsidRDefault="0033560E">
          <w:pPr>
            <w:pStyle w:val="TOCHeading"/>
          </w:pPr>
          <w:r>
            <w:t xml:space="preserve"> </w:t>
          </w:r>
        </w:p>
        <w:p w14:paraId="0DA65697" w14:textId="3EEA664B" w:rsidR="00BD31F6" w:rsidRDefault="0033560E">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71307472" w:history="1">
            <w:r w:rsidR="00BD31F6" w:rsidRPr="002F29C2">
              <w:rPr>
                <w:rStyle w:val="Hyperlink"/>
                <w:noProof/>
              </w:rPr>
              <w:t>Part A</w:t>
            </w:r>
            <w:r w:rsidR="00BD31F6">
              <w:rPr>
                <w:noProof/>
                <w:webHidden/>
              </w:rPr>
              <w:tab/>
            </w:r>
            <w:r w:rsidR="00BD31F6">
              <w:rPr>
                <w:noProof/>
                <w:webHidden/>
              </w:rPr>
              <w:fldChar w:fldCharType="begin"/>
            </w:r>
            <w:r w:rsidR="00BD31F6">
              <w:rPr>
                <w:noProof/>
                <w:webHidden/>
              </w:rPr>
              <w:instrText xml:space="preserve"> PAGEREF _Toc71307472 \h </w:instrText>
            </w:r>
            <w:r w:rsidR="00BD31F6">
              <w:rPr>
                <w:noProof/>
                <w:webHidden/>
              </w:rPr>
            </w:r>
            <w:r w:rsidR="00BD31F6">
              <w:rPr>
                <w:noProof/>
                <w:webHidden/>
              </w:rPr>
              <w:fldChar w:fldCharType="separate"/>
            </w:r>
            <w:r w:rsidR="00BD31F6">
              <w:rPr>
                <w:noProof/>
                <w:webHidden/>
              </w:rPr>
              <w:t>2</w:t>
            </w:r>
            <w:r w:rsidR="00BD31F6">
              <w:rPr>
                <w:noProof/>
                <w:webHidden/>
              </w:rPr>
              <w:fldChar w:fldCharType="end"/>
            </w:r>
          </w:hyperlink>
        </w:p>
        <w:p w14:paraId="41548FDC" w14:textId="7A1C5F74" w:rsidR="00BD31F6" w:rsidRDefault="00856274">
          <w:pPr>
            <w:pStyle w:val="TOC1"/>
            <w:tabs>
              <w:tab w:val="right" w:leader="dot" w:pos="9350"/>
            </w:tabs>
            <w:rPr>
              <w:rFonts w:asciiTheme="minorHAnsi" w:eastAsiaTheme="minorEastAsia" w:hAnsiTheme="minorHAnsi" w:cstheme="minorBidi"/>
              <w:noProof/>
              <w:sz w:val="22"/>
              <w:szCs w:val="22"/>
              <w:lang w:val="en-IN"/>
            </w:rPr>
          </w:pPr>
          <w:hyperlink w:anchor="_Toc71307473" w:history="1">
            <w:r w:rsidR="00BD31F6" w:rsidRPr="002F29C2">
              <w:rPr>
                <w:rStyle w:val="Hyperlink"/>
                <w:noProof/>
              </w:rPr>
              <w:t>Introduction</w:t>
            </w:r>
            <w:r w:rsidR="00BD31F6">
              <w:rPr>
                <w:noProof/>
                <w:webHidden/>
              </w:rPr>
              <w:tab/>
            </w:r>
            <w:r w:rsidR="00BD31F6">
              <w:rPr>
                <w:noProof/>
                <w:webHidden/>
              </w:rPr>
              <w:fldChar w:fldCharType="begin"/>
            </w:r>
            <w:r w:rsidR="00BD31F6">
              <w:rPr>
                <w:noProof/>
                <w:webHidden/>
              </w:rPr>
              <w:instrText xml:space="preserve"> PAGEREF _Toc71307473 \h </w:instrText>
            </w:r>
            <w:r w:rsidR="00BD31F6">
              <w:rPr>
                <w:noProof/>
                <w:webHidden/>
              </w:rPr>
            </w:r>
            <w:r w:rsidR="00BD31F6">
              <w:rPr>
                <w:noProof/>
                <w:webHidden/>
              </w:rPr>
              <w:fldChar w:fldCharType="separate"/>
            </w:r>
            <w:r w:rsidR="00BD31F6">
              <w:rPr>
                <w:noProof/>
                <w:webHidden/>
              </w:rPr>
              <w:t>2</w:t>
            </w:r>
            <w:r w:rsidR="00BD31F6">
              <w:rPr>
                <w:noProof/>
                <w:webHidden/>
              </w:rPr>
              <w:fldChar w:fldCharType="end"/>
            </w:r>
          </w:hyperlink>
        </w:p>
        <w:p w14:paraId="641FBCD1" w14:textId="5A758C9D" w:rsidR="00BD31F6" w:rsidRDefault="00856274">
          <w:pPr>
            <w:pStyle w:val="TOC1"/>
            <w:tabs>
              <w:tab w:val="right" w:leader="dot" w:pos="9350"/>
            </w:tabs>
            <w:rPr>
              <w:rFonts w:asciiTheme="minorHAnsi" w:eastAsiaTheme="minorEastAsia" w:hAnsiTheme="minorHAnsi" w:cstheme="minorBidi"/>
              <w:noProof/>
              <w:sz w:val="22"/>
              <w:szCs w:val="22"/>
              <w:lang w:val="en-IN"/>
            </w:rPr>
          </w:pPr>
          <w:hyperlink w:anchor="_Toc71307474" w:history="1">
            <w:r w:rsidR="00BD31F6" w:rsidRPr="002F29C2">
              <w:rPr>
                <w:rStyle w:val="Hyperlink"/>
                <w:noProof/>
              </w:rPr>
              <w:t>Identification and Establishment the sort of relationship they have with the Stakeholders</w:t>
            </w:r>
            <w:r w:rsidR="00BD31F6">
              <w:rPr>
                <w:noProof/>
                <w:webHidden/>
              </w:rPr>
              <w:tab/>
            </w:r>
            <w:r w:rsidR="007E26E1">
              <w:rPr>
                <w:noProof/>
                <w:webHidden/>
              </w:rPr>
              <w:t>3</w:t>
            </w:r>
          </w:hyperlink>
        </w:p>
        <w:p w14:paraId="309B8C39" w14:textId="4496CA4B" w:rsidR="00BD31F6" w:rsidRDefault="00856274">
          <w:pPr>
            <w:pStyle w:val="TOC1"/>
            <w:tabs>
              <w:tab w:val="right" w:leader="dot" w:pos="9350"/>
            </w:tabs>
            <w:rPr>
              <w:rFonts w:asciiTheme="minorHAnsi" w:eastAsiaTheme="minorEastAsia" w:hAnsiTheme="minorHAnsi" w:cstheme="minorBidi"/>
              <w:noProof/>
              <w:sz w:val="22"/>
              <w:szCs w:val="22"/>
              <w:lang w:val="en-IN"/>
            </w:rPr>
          </w:pPr>
          <w:hyperlink w:anchor="_Toc71307475" w:history="1">
            <w:r w:rsidR="00BD31F6" w:rsidRPr="002F29C2">
              <w:rPr>
                <w:rStyle w:val="Hyperlink"/>
                <w:noProof/>
              </w:rPr>
              <w:t>Different eras of the organization how their community engagement has evolved</w:t>
            </w:r>
            <w:r w:rsidR="00BD31F6">
              <w:rPr>
                <w:noProof/>
                <w:webHidden/>
              </w:rPr>
              <w:tab/>
            </w:r>
            <w:r w:rsidR="007E26E1">
              <w:rPr>
                <w:noProof/>
                <w:webHidden/>
              </w:rPr>
              <w:t>4</w:t>
            </w:r>
          </w:hyperlink>
        </w:p>
        <w:p w14:paraId="5A5F2891" w14:textId="681A85AC" w:rsidR="00BD31F6" w:rsidRDefault="00856274">
          <w:pPr>
            <w:pStyle w:val="TOC1"/>
            <w:tabs>
              <w:tab w:val="right" w:leader="dot" w:pos="9350"/>
            </w:tabs>
            <w:rPr>
              <w:rFonts w:asciiTheme="minorHAnsi" w:eastAsiaTheme="minorEastAsia" w:hAnsiTheme="minorHAnsi" w:cstheme="minorBidi"/>
              <w:noProof/>
              <w:sz w:val="22"/>
              <w:szCs w:val="22"/>
              <w:lang w:val="en-IN"/>
            </w:rPr>
          </w:pPr>
          <w:hyperlink w:anchor="_Toc71307476" w:history="1">
            <w:r w:rsidR="00BD31F6" w:rsidRPr="002F29C2">
              <w:rPr>
                <w:rStyle w:val="Hyperlink"/>
                <w:noProof/>
              </w:rPr>
              <w:t>Use of different types of Social Media Platform</w:t>
            </w:r>
            <w:r w:rsidR="00BD31F6">
              <w:rPr>
                <w:noProof/>
                <w:webHidden/>
              </w:rPr>
              <w:tab/>
            </w:r>
            <w:r w:rsidR="007E26E1">
              <w:rPr>
                <w:noProof/>
                <w:webHidden/>
              </w:rPr>
              <w:t>5</w:t>
            </w:r>
          </w:hyperlink>
        </w:p>
        <w:p w14:paraId="0FA435EB" w14:textId="445FBB39" w:rsidR="00BD31F6" w:rsidRDefault="00856274">
          <w:pPr>
            <w:pStyle w:val="TOC1"/>
            <w:tabs>
              <w:tab w:val="right" w:leader="dot" w:pos="9350"/>
            </w:tabs>
            <w:rPr>
              <w:rFonts w:asciiTheme="minorHAnsi" w:eastAsiaTheme="minorEastAsia" w:hAnsiTheme="minorHAnsi" w:cstheme="minorBidi"/>
              <w:noProof/>
              <w:sz w:val="22"/>
              <w:szCs w:val="22"/>
              <w:lang w:val="en-IN"/>
            </w:rPr>
          </w:pPr>
          <w:hyperlink w:anchor="_Toc71307477" w:history="1">
            <w:r w:rsidR="00BD31F6" w:rsidRPr="002F29C2">
              <w:rPr>
                <w:rStyle w:val="Hyperlink"/>
                <w:noProof/>
              </w:rPr>
              <w:t>Training and development for the employees that deal with Socio-cultural issues</w:t>
            </w:r>
            <w:r w:rsidR="00BD31F6">
              <w:rPr>
                <w:noProof/>
                <w:webHidden/>
              </w:rPr>
              <w:tab/>
            </w:r>
            <w:r w:rsidR="007E26E1">
              <w:rPr>
                <w:noProof/>
                <w:webHidden/>
              </w:rPr>
              <w:t>5</w:t>
            </w:r>
          </w:hyperlink>
        </w:p>
        <w:p w14:paraId="29B539C9" w14:textId="030DA63E" w:rsidR="00BD31F6" w:rsidRDefault="00856274">
          <w:pPr>
            <w:pStyle w:val="TOC1"/>
            <w:tabs>
              <w:tab w:val="right" w:leader="dot" w:pos="9350"/>
            </w:tabs>
            <w:rPr>
              <w:rFonts w:asciiTheme="minorHAnsi" w:eastAsiaTheme="minorEastAsia" w:hAnsiTheme="minorHAnsi" w:cstheme="minorBidi"/>
              <w:noProof/>
              <w:sz w:val="22"/>
              <w:szCs w:val="22"/>
              <w:lang w:val="en-IN"/>
            </w:rPr>
          </w:pPr>
          <w:hyperlink w:anchor="_Toc71307478" w:history="1">
            <w:r w:rsidR="00BD31F6" w:rsidRPr="002F29C2">
              <w:rPr>
                <w:rStyle w:val="Hyperlink"/>
                <w:noProof/>
              </w:rPr>
              <w:t>Adaptation of a forward-looking approach in training their employees on multiculturalism external factors that should be considered in building and sustaining business relationships</w:t>
            </w:r>
            <w:r w:rsidR="00BD31F6">
              <w:rPr>
                <w:noProof/>
                <w:webHidden/>
              </w:rPr>
              <w:tab/>
            </w:r>
            <w:r w:rsidR="007E26E1">
              <w:rPr>
                <w:noProof/>
                <w:webHidden/>
              </w:rPr>
              <w:t>6</w:t>
            </w:r>
          </w:hyperlink>
        </w:p>
        <w:p w14:paraId="28769D73" w14:textId="0ACF58FC" w:rsidR="00BD31F6" w:rsidRDefault="00856274">
          <w:pPr>
            <w:pStyle w:val="TOC1"/>
            <w:tabs>
              <w:tab w:val="right" w:leader="dot" w:pos="9350"/>
            </w:tabs>
            <w:rPr>
              <w:rFonts w:asciiTheme="minorHAnsi" w:eastAsiaTheme="minorEastAsia" w:hAnsiTheme="minorHAnsi" w:cstheme="minorBidi"/>
              <w:noProof/>
              <w:sz w:val="22"/>
              <w:szCs w:val="22"/>
              <w:lang w:val="en-IN"/>
            </w:rPr>
          </w:pPr>
          <w:hyperlink w:anchor="_Toc71307479" w:history="1">
            <w:r w:rsidR="00BD31F6" w:rsidRPr="002F29C2">
              <w:rPr>
                <w:rStyle w:val="Hyperlink"/>
                <w:noProof/>
              </w:rPr>
              <w:t>Conclusion and Recommendation</w:t>
            </w:r>
            <w:r w:rsidR="00BD31F6">
              <w:rPr>
                <w:noProof/>
                <w:webHidden/>
              </w:rPr>
              <w:tab/>
            </w:r>
            <w:r w:rsidR="007E26E1">
              <w:rPr>
                <w:noProof/>
                <w:webHidden/>
              </w:rPr>
              <w:t>8</w:t>
            </w:r>
          </w:hyperlink>
        </w:p>
        <w:p w14:paraId="69831EEA" w14:textId="351E5057" w:rsidR="00BD31F6" w:rsidRDefault="00856274">
          <w:pPr>
            <w:pStyle w:val="TOC1"/>
            <w:tabs>
              <w:tab w:val="right" w:leader="dot" w:pos="9350"/>
            </w:tabs>
            <w:rPr>
              <w:rFonts w:asciiTheme="minorHAnsi" w:eastAsiaTheme="minorEastAsia" w:hAnsiTheme="minorHAnsi" w:cstheme="minorBidi"/>
              <w:noProof/>
              <w:sz w:val="22"/>
              <w:szCs w:val="22"/>
              <w:lang w:val="en-IN"/>
            </w:rPr>
          </w:pPr>
          <w:hyperlink w:anchor="_Toc71307480" w:history="1">
            <w:r w:rsidR="00BD31F6" w:rsidRPr="002F29C2">
              <w:rPr>
                <w:rStyle w:val="Hyperlink"/>
                <w:noProof/>
              </w:rPr>
              <w:t>Reference List</w:t>
            </w:r>
            <w:r w:rsidR="00BD31F6">
              <w:rPr>
                <w:noProof/>
                <w:webHidden/>
              </w:rPr>
              <w:tab/>
            </w:r>
            <w:r w:rsidR="007E26E1">
              <w:rPr>
                <w:noProof/>
                <w:webHidden/>
              </w:rPr>
              <w:t>9</w:t>
            </w:r>
          </w:hyperlink>
        </w:p>
        <w:p w14:paraId="294CDE8E" w14:textId="6645E48D" w:rsidR="0033560E" w:rsidRDefault="0033560E">
          <w:r>
            <w:rPr>
              <w:b/>
              <w:bCs/>
              <w:noProof/>
            </w:rPr>
            <w:fldChar w:fldCharType="end"/>
          </w:r>
        </w:p>
      </w:sdtContent>
    </w:sdt>
    <w:p w14:paraId="00000010" w14:textId="46092141" w:rsidR="00BA5E17" w:rsidRDefault="001739EF" w:rsidP="0033560E">
      <w:pPr>
        <w:rPr>
          <w:b/>
        </w:rPr>
      </w:pPr>
      <w:r>
        <w:br w:type="page"/>
      </w:r>
    </w:p>
    <w:p w14:paraId="00000011" w14:textId="77777777" w:rsidR="00BA5E17" w:rsidRDefault="001739EF">
      <w:pPr>
        <w:pStyle w:val="Heading1"/>
      </w:pPr>
      <w:bookmarkStart w:id="0" w:name="_Toc71307472"/>
      <w:r>
        <w:lastRenderedPageBreak/>
        <w:t>Part A</w:t>
      </w:r>
      <w:bookmarkEnd w:id="0"/>
    </w:p>
    <w:p w14:paraId="00000012" w14:textId="77777777" w:rsidR="00BA5E17" w:rsidRDefault="001739EF">
      <w:pPr>
        <w:pStyle w:val="Heading1"/>
      </w:pPr>
      <w:bookmarkStart w:id="1" w:name="_ubepo687eodo" w:colFirst="0" w:colLast="0"/>
      <w:bookmarkStart w:id="2" w:name="_Toc71307473"/>
      <w:bookmarkEnd w:id="1"/>
      <w:r>
        <w:t>Introduction</w:t>
      </w:r>
      <w:bookmarkEnd w:id="2"/>
      <w:r>
        <w:t xml:space="preserve"> </w:t>
      </w:r>
    </w:p>
    <w:p w14:paraId="744CBC58" w14:textId="2A43BE6D" w:rsidR="00474AB9" w:rsidRDefault="00474AB9">
      <w:pPr>
        <w:pStyle w:val="Heading1"/>
        <w:rPr>
          <w:b w:val="0"/>
          <w:bCs/>
        </w:rPr>
      </w:pPr>
      <w:bookmarkStart w:id="3" w:name="_3wu6pvnu3hro" w:colFirst="0" w:colLast="0"/>
      <w:bookmarkStart w:id="4" w:name="_Toc71307474"/>
      <w:bookmarkEnd w:id="3"/>
      <w:r w:rsidRPr="00474AB9">
        <w:rPr>
          <w:b w:val="0"/>
          <w:bCs/>
        </w:rPr>
        <w:t xml:space="preserve">The purpose of the study is to analyze community engagement through BP Plc. BP Plc is a British multinational gas and oil company. The headquarters of it is situated in London. The text describes the relations of BP with its stakeholders. Next, it describes the different eras of the organization and how the community is developed through it. BP uses different types of social media platforms for its business. They are also helpful to create community engagement for the organization. BP commits to building a safer, stronger, sustainable, and reliable future. The people of BP make it possible. BP has online learning methods and structured courses that make development among the employees. After that, the report shows that the organization should develop a cross-cultural training program. </w:t>
      </w:r>
    </w:p>
    <w:p w14:paraId="0C485289" w14:textId="5FA3D533" w:rsidR="00122E1B" w:rsidRDefault="00122E1B" w:rsidP="00122E1B">
      <w:r>
        <w:rPr>
          <w:noProof/>
        </w:rPr>
        <w:drawing>
          <wp:inline distT="0" distB="0" distL="0" distR="0" wp14:anchorId="5132075C" wp14:editId="0751365B">
            <wp:extent cx="3303270" cy="3303270"/>
            <wp:effectExtent l="0" t="0" r="0" b="0"/>
            <wp:docPr id="1" name="Picture 1" descr="A picture containing text, vector graphics,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vector graphics, businesscar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03270" cy="3303270"/>
                    </a:xfrm>
                    <a:prstGeom prst="rect">
                      <a:avLst/>
                    </a:prstGeom>
                  </pic:spPr>
                </pic:pic>
              </a:graphicData>
            </a:graphic>
          </wp:inline>
        </w:drawing>
      </w:r>
    </w:p>
    <w:p w14:paraId="2B36EE0E" w14:textId="2110A443" w:rsidR="00F60339" w:rsidRDefault="00F60339" w:rsidP="00122E1B">
      <w:r>
        <w:t xml:space="preserve">                             Fig1; BP PLC</w:t>
      </w:r>
    </w:p>
    <w:p w14:paraId="167A726A" w14:textId="1B9925B1" w:rsidR="00F60339" w:rsidRPr="00122E1B" w:rsidRDefault="00F60339" w:rsidP="00122E1B">
      <w:r>
        <w:t xml:space="preserve">                  Source;(Expert Market.co.uk)</w:t>
      </w:r>
    </w:p>
    <w:p w14:paraId="76A49E73" w14:textId="245FABCC" w:rsidR="00474AB9" w:rsidRPr="00474AB9" w:rsidRDefault="001739EF">
      <w:pPr>
        <w:pStyle w:val="Heading1"/>
      </w:pPr>
      <w:r>
        <w:lastRenderedPageBreak/>
        <w:t>Identification and Establishment the sort of relationship they have with the Stakeholders</w:t>
      </w:r>
      <w:bookmarkEnd w:id="4"/>
      <w:r>
        <w:t xml:space="preserve"> </w:t>
      </w:r>
      <w:bookmarkStart w:id="5" w:name="_e3l9htd3i9o5" w:colFirst="0" w:colLast="0"/>
      <w:bookmarkStart w:id="6" w:name="_Toc71307475"/>
      <w:bookmarkEnd w:id="5"/>
      <w:r w:rsidR="00474AB9" w:rsidRPr="00474AB9">
        <w:rPr>
          <w:b w:val="0"/>
          <w:bCs/>
        </w:rPr>
        <w:t>The stakeholders of BP are included with many individual organizations.  Among them, the company's major stakeholders are The Public Investment Fund that is known as PIF, FMR Co., Inc, Dimensional Fund Advisors, Inc., The Vanguard Group. The BP plc. Is engaging with the stakeholders with a wide range for understanding the expectations of the society. BP engages with the analysts and the stakeholders through the different types of events and general meetings. They are communicating via webcasts and one-to-one meetings.  They are engaging with the governments on many kinds of fronts, from consultants' responses to the direct engagement with the government representatives. Through the multi-channel campaigns, they are well-reputed on social media platforms. Bp works through the industry and business groups to help establish standards and address the complex energy challenges. They are also engaging with the local communities through public consultations. They seem that the relationships with the communities are too important for the existing operations. The new projects are consulting with international and local NGOs who can provide specialized expertise on managing impacts. Undoubtedly, they did a better job talking about the spill, and they are informing the public through online channels (</w:t>
      </w:r>
      <w:proofErr w:type="spellStart"/>
      <w:r w:rsidR="00474AB9" w:rsidRPr="00474AB9">
        <w:rPr>
          <w:b w:val="0"/>
          <w:bCs/>
        </w:rPr>
        <w:t>webfx</w:t>
      </w:r>
      <w:proofErr w:type="spellEnd"/>
      <w:r w:rsidR="00474AB9" w:rsidRPr="00474AB9">
        <w:rPr>
          <w:b w:val="0"/>
          <w:bCs/>
        </w:rPr>
        <w:t xml:space="preserve">, 2021). During the COVID-19 situation, most of the engagements are connected virtually. They are connected through the webcasts for discussing the vital topics with the leadership members. Their employee assistance platforms show the increasing anxiety among employees; their CEO led a live webcast series to reduce the mental health stigma and encourage their employees to ask them if they need any help. They also increase the frequency of the training of mental health awareness for the managers. Employees got information about the company by visiting the cities, town halls, and social media channels (Bp, 2021).  </w:t>
      </w:r>
    </w:p>
    <w:p w14:paraId="050741AA" w14:textId="77777777" w:rsidR="00474AB9" w:rsidRDefault="00474AB9">
      <w:pPr>
        <w:pStyle w:val="Heading1"/>
      </w:pPr>
    </w:p>
    <w:p w14:paraId="6D3A8985" w14:textId="77777777" w:rsidR="00474AB9" w:rsidRDefault="00474AB9">
      <w:pPr>
        <w:pStyle w:val="Heading1"/>
      </w:pPr>
    </w:p>
    <w:p w14:paraId="0A57E010" w14:textId="77777777" w:rsidR="00474AB9" w:rsidRDefault="00474AB9">
      <w:pPr>
        <w:pStyle w:val="Heading1"/>
      </w:pPr>
    </w:p>
    <w:p w14:paraId="4F607E42" w14:textId="77777777" w:rsidR="00474AB9" w:rsidRDefault="00474AB9">
      <w:pPr>
        <w:pStyle w:val="Heading1"/>
      </w:pPr>
    </w:p>
    <w:p w14:paraId="643A3B1D" w14:textId="77777777" w:rsidR="00474AB9" w:rsidRDefault="00474AB9">
      <w:pPr>
        <w:pStyle w:val="Heading1"/>
      </w:pPr>
    </w:p>
    <w:p w14:paraId="3474D5DF" w14:textId="77777777" w:rsidR="00474AB9" w:rsidRDefault="00474AB9">
      <w:pPr>
        <w:pStyle w:val="Heading1"/>
      </w:pPr>
    </w:p>
    <w:p w14:paraId="00000016" w14:textId="28FAB169" w:rsidR="00BA5E17" w:rsidRDefault="001739EF">
      <w:pPr>
        <w:pStyle w:val="Heading1"/>
      </w:pPr>
      <w:r>
        <w:lastRenderedPageBreak/>
        <w:t>Different eras of the organization how their community engagement has evolved</w:t>
      </w:r>
      <w:bookmarkEnd w:id="6"/>
      <w:r>
        <w:t xml:space="preserve"> </w:t>
      </w:r>
    </w:p>
    <w:p w14:paraId="2BFA1217" w14:textId="246363F4" w:rsidR="00474AB9" w:rsidRPr="00474AB9" w:rsidRDefault="00474AB9" w:rsidP="00474AB9">
      <w:pPr>
        <w:pStyle w:val="Heading1"/>
        <w:rPr>
          <w:b w:val="0"/>
          <w:bCs/>
        </w:rPr>
      </w:pPr>
      <w:bookmarkStart w:id="7" w:name="_at3e2wqzmb8z" w:colFirst="0" w:colLast="0"/>
      <w:bookmarkStart w:id="8" w:name="_Toc71307476"/>
      <w:bookmarkEnd w:id="7"/>
      <w:r w:rsidRPr="00474AB9">
        <w:rPr>
          <w:b w:val="0"/>
          <w:bCs/>
        </w:rPr>
        <w:t xml:space="preserve">Different types of crises sometimes motivated BP to improve the performance in the present times and take a more involved role for the community. BP has reached out to the groups or areas that it has negatively affected and for communicating to the large countries and regions that the company operates. BP has focused on creating a positive difference through the multipole community and collaborative partnerships and philanthropic cash given to the local communities they serve. BP struggled for the leaks of a plugged pipeline that spewed oil's untold barrels into Mexico's Gulf. The public became angry, and they started a campaign, "Boycott BP," through social media. BP's community is involved with the initiatives in Alaska, Gulf of Mexico, and </w:t>
      </w:r>
      <w:proofErr w:type="gramStart"/>
      <w:r w:rsidRPr="00474AB9">
        <w:rPr>
          <w:b w:val="0"/>
          <w:bCs/>
        </w:rPr>
        <w:t xml:space="preserve">Wyoming </w:t>
      </w:r>
      <w:r w:rsidR="00F60339">
        <w:rPr>
          <w:b w:val="0"/>
          <w:bCs/>
        </w:rPr>
        <w:t>.</w:t>
      </w:r>
      <w:proofErr w:type="gramEnd"/>
    </w:p>
    <w:p w14:paraId="34FC9DB0" w14:textId="77777777" w:rsidR="00474AB9" w:rsidRDefault="00474AB9" w:rsidP="00474AB9">
      <w:pPr>
        <w:pStyle w:val="Heading1"/>
      </w:pPr>
      <w:r w:rsidRPr="00474AB9">
        <w:rPr>
          <w:b w:val="0"/>
          <w:bCs/>
        </w:rPr>
        <w:t>However, now they are developing their business with better strategies. They are ensuring that their aim 13 is helpful to build resilience and sustainable livelihoods. They are supporting the communities where they can work to create more sustainable livelihoods and greater resilience. They are also supportive in the workplace through the quality of the jobs with good conditions. They believe that resilient communities and self-reliance are beneficial for building after the pandemic of COVID-19, and it can bring stability in the changing world. They are supporting the sustainable livelihoods in the local communities through the business's number. They are working with the priority in business and BP sites where local communities need access for developing the local plans in the next two years. In the next four years, they will focus on the initiatives that impact how the global partnerships can be supportive as per the local needs (bp global, 2021). Their aim 11 is to develop enough clean energy, and more than 36 million people are benefited from this. Their aim 12 supports the just energy transactions that advance education and human rights. Their aim 13 helps more than one million people for building resilience and sustainable livelihood. Aim 14 is included with equity, inclusion, and greater diversity for the workforce and the consumers. Their aim 15 is to enhance the wellbeing and health of the employees, local communities, and contractors (Bp global. 2021). So, it is ensured that the different areas of BP helped them to improve community engagement</w:t>
      </w:r>
      <w:r>
        <w:t xml:space="preserve">. </w:t>
      </w:r>
    </w:p>
    <w:p w14:paraId="21C1DE3D" w14:textId="77777777" w:rsidR="007E26E1" w:rsidRDefault="007E26E1" w:rsidP="00474AB9">
      <w:pPr>
        <w:pStyle w:val="Heading1"/>
      </w:pPr>
    </w:p>
    <w:p w14:paraId="743E2655" w14:textId="77777777" w:rsidR="007E26E1" w:rsidRDefault="007E26E1" w:rsidP="00474AB9">
      <w:pPr>
        <w:pStyle w:val="Heading1"/>
      </w:pPr>
    </w:p>
    <w:p w14:paraId="1F6A6ED1" w14:textId="77777777" w:rsidR="00F60339" w:rsidRDefault="00F60339" w:rsidP="00474AB9">
      <w:pPr>
        <w:pStyle w:val="Heading1"/>
      </w:pPr>
    </w:p>
    <w:p w14:paraId="00000019" w14:textId="13FE575E" w:rsidR="00BA5E17" w:rsidRDefault="001739EF" w:rsidP="00474AB9">
      <w:pPr>
        <w:pStyle w:val="Heading1"/>
      </w:pPr>
      <w:r>
        <w:lastRenderedPageBreak/>
        <w:t>Use of different types of Social Media Platform</w:t>
      </w:r>
      <w:bookmarkEnd w:id="8"/>
    </w:p>
    <w:p w14:paraId="0000001A" w14:textId="15CA9106" w:rsidR="00BA5E17" w:rsidRDefault="001739EF">
      <w:r>
        <w:t xml:space="preserve">BP is doing a good job in the crisis of communication. A little time is taken by BP for getting the strategy of social media but they have done it effectively. The </w:t>
      </w:r>
      <w:r w:rsidR="0033560E">
        <w:t>YouTube</w:t>
      </w:r>
      <w:r>
        <w:t xml:space="preserve"> channel of BP is extremely thorough. It has the videos that are categorized by cleanup, beaches and latest response, economy and claims, safety and health, wildlife and environment’s restoration. BP </w:t>
      </w:r>
      <w:r w:rsidR="0033560E">
        <w:t>says</w:t>
      </w:r>
      <w:r>
        <w:t xml:space="preserve"> that they are creating the YouTube channel for engaging with the public in dialogue and informative conversation about their efforts that are associated with the oil spill in Mexico's Gulf. Om Flicker, they are streaming the photos that are nicely organized by topics like wildlife, community reach. Now, BP is using Twitter on a daily basis for sending the updates on what it is doing in the Gulf. In the Twitter page, BP listed all the information of the important </w:t>
      </w:r>
      <w:r w:rsidR="0033560E">
        <w:t>contacts. So</w:t>
      </w:r>
      <w:r>
        <w:t xml:space="preserve">, the people are connected with the company through different types of ways. They are working a good job through Twitter (Bruce </w:t>
      </w:r>
      <w:r w:rsidR="0033560E">
        <w:t>Clay, 2021</w:t>
      </w:r>
      <w:r>
        <w:t xml:space="preserve">). They are using technology for streaming the live video robot’s feed for fixing the oil leak miles. The company purchased the promotional placement on Yahoo and Google for controlling the search results. The company is investing $50 million on </w:t>
      </w:r>
      <w:r w:rsidR="0033560E">
        <w:t>the</w:t>
      </w:r>
      <w:r>
        <w:t xml:space="preserve"> TV campaign to promote the positive role of BP. Those strategies are helpful for improving the business for British Petroleum (</w:t>
      </w:r>
      <w:proofErr w:type="spellStart"/>
      <w:r>
        <w:t>webfx</w:t>
      </w:r>
      <w:proofErr w:type="spellEnd"/>
      <w:r>
        <w:t xml:space="preserve">, 2021). So, the uses of different types of social media affect the business of BP and by this they are achieving different types of success from the different areas of the organizations. </w:t>
      </w:r>
    </w:p>
    <w:p w14:paraId="0000001B" w14:textId="77777777" w:rsidR="00BA5E17" w:rsidRDefault="001739EF">
      <w:pPr>
        <w:pStyle w:val="Heading1"/>
      </w:pPr>
      <w:bookmarkStart w:id="9" w:name="_3wyfpwf1og6g" w:colFirst="0" w:colLast="0"/>
      <w:bookmarkStart w:id="10" w:name="_Toc71307477"/>
      <w:bookmarkEnd w:id="9"/>
      <w:r>
        <w:t>Training and development for the employees that deal with Socio-cultural issues</w:t>
      </w:r>
      <w:bookmarkEnd w:id="10"/>
    </w:p>
    <w:p w14:paraId="0000001C" w14:textId="336E0007" w:rsidR="00BA5E17" w:rsidRDefault="00B11D6E">
      <w:r w:rsidRPr="00B11D6E">
        <w:t xml:space="preserve">BP commits to building a safer, stronger, sustainable, and reliable future. The people of BP make it possible. BP has online learning methods and structured courses that make development among the employees. It focuses on leadership, presentation, and communication skills. BP wants its people to perform with the true potential for meeting the aims by creating effective and innovative digital learning experiences and solutions. The university of BP is the center for the learning and talent of the employees, and it is offering various types of training and development opportunities. Their challenge program attracts graduates of different kinds of countries. By this, both the professional skills and technical skills are improved in the BP. The Future Leaders Program of BP is an international program that takes talented and enthusiastic people from a professional background, gives them opportunities and skills to continue the business, and is also effective for </w:t>
      </w:r>
      <w:r w:rsidRPr="00B11D6E">
        <w:lastRenderedPageBreak/>
        <w:t>their careers. The training and development hold the organization's social cultures and sustainable business (Bp global, 2021). The development program of BP is 'Connections.' It is the first track management training program that is packed with workshops and modules. It provides confidence, knowledge, and skills</w:t>
      </w:r>
      <w:r w:rsidR="001739EF">
        <w:t xml:space="preserve">. </w:t>
      </w:r>
    </w:p>
    <w:p w14:paraId="0000001E" w14:textId="495FF834" w:rsidR="00BA5E17" w:rsidRDefault="001739EF">
      <w:pPr>
        <w:pStyle w:val="Heading1"/>
      </w:pPr>
      <w:bookmarkStart w:id="11" w:name="_Toc71307478"/>
      <w:r>
        <w:lastRenderedPageBreak/>
        <w:t xml:space="preserve">Adaptation of a forward-looking approach in training their employees on multiculturalism </w:t>
      </w:r>
      <w:bookmarkStart w:id="12" w:name="_6lcscccda2x7" w:colFirst="0" w:colLast="0"/>
      <w:bookmarkEnd w:id="12"/>
      <w:r>
        <w:t>external factors that should be considered in building and sustaining business relationships</w:t>
      </w:r>
      <w:bookmarkEnd w:id="11"/>
      <w:r>
        <w:t xml:space="preserve">  </w:t>
      </w:r>
    </w:p>
    <w:p w14:paraId="17DBE882" w14:textId="591EF106" w:rsidR="00B11D6E" w:rsidRPr="00B11D6E" w:rsidRDefault="00B11D6E" w:rsidP="00B11D6E">
      <w:pPr>
        <w:pStyle w:val="Heading1"/>
        <w:rPr>
          <w:b w:val="0"/>
          <w:bCs/>
        </w:rPr>
      </w:pPr>
      <w:bookmarkStart w:id="13" w:name="_73069ikvrvej" w:colFirst="0" w:colLast="0"/>
      <w:bookmarkStart w:id="14" w:name="_Toc71307479"/>
      <w:bookmarkEnd w:id="13"/>
      <w:r w:rsidRPr="00B11D6E">
        <w:rPr>
          <w:b w:val="0"/>
          <w:bCs/>
        </w:rPr>
        <w:t xml:space="preserve">Cross-cultural training aims to develop the awareness between the people where the common cultural framework does not exist for promoting the communication's clear line and better relationships. BP should improve Cross-culture training because it helps to manage diversity in the organization. It is a necessary process used to facilitate interaction and cross-cultural </w:t>
      </w:r>
      <w:proofErr w:type="gramStart"/>
      <w:r w:rsidRPr="00B11D6E">
        <w:rPr>
          <w:b w:val="0"/>
          <w:bCs/>
        </w:rPr>
        <w:t xml:space="preserve">communication </w:t>
      </w:r>
      <w:r w:rsidR="00F60339">
        <w:rPr>
          <w:b w:val="0"/>
          <w:bCs/>
        </w:rPr>
        <w:t>.</w:t>
      </w:r>
      <w:r w:rsidRPr="00B11D6E">
        <w:rPr>
          <w:b w:val="0"/>
          <w:bCs/>
        </w:rPr>
        <w:t>The</w:t>
      </w:r>
      <w:proofErr w:type="gramEnd"/>
      <w:r w:rsidRPr="00B11D6E">
        <w:rPr>
          <w:b w:val="0"/>
          <w:bCs/>
        </w:rPr>
        <w:t xml:space="preserve"> training process leads to the higher performance of the employees. The social culture is included with the five dimensions: Individualism vs. collectivism that refers to the social framework in which the people can see their interests, Power distance that refers to the power's unequal distribution, Uncertainty avoidance tells that about the extent to which the population of the country searches orderliness structure, laws, consistency, and formalized procedures, Masculinity vs femininity that expresses masculine role or the gender role and the last is time orientation that stated the value of the organization is placed on the time.  Cross-cultural training can provide a straight point of preparation for the BP. They can use it in the conflict resolution in the </w:t>
      </w:r>
      <w:proofErr w:type="gramStart"/>
      <w:r w:rsidRPr="00B11D6E">
        <w:rPr>
          <w:b w:val="0"/>
          <w:bCs/>
        </w:rPr>
        <w:t xml:space="preserve">organization </w:t>
      </w:r>
      <w:r w:rsidR="00F60339">
        <w:rPr>
          <w:b w:val="0"/>
          <w:bCs/>
        </w:rPr>
        <w:t>.</w:t>
      </w:r>
      <w:proofErr w:type="gramEnd"/>
      <w:r w:rsidRPr="00B11D6E">
        <w:rPr>
          <w:b w:val="0"/>
          <w:bCs/>
        </w:rPr>
        <w:t xml:space="preserve"> </w:t>
      </w:r>
    </w:p>
    <w:p w14:paraId="1A40D2DA" w14:textId="77777777" w:rsidR="00B11D6E" w:rsidRPr="00B11D6E" w:rsidRDefault="00B11D6E" w:rsidP="00B11D6E">
      <w:pPr>
        <w:pStyle w:val="Heading1"/>
        <w:rPr>
          <w:b w:val="0"/>
          <w:bCs/>
        </w:rPr>
      </w:pPr>
      <w:r w:rsidRPr="00B11D6E">
        <w:rPr>
          <w:b w:val="0"/>
          <w:bCs/>
        </w:rPr>
        <w:t>The external factors that are helpful to maintain good and sustainable business relationships are investors, society, partners, and suppliers, government and regulators, and customers (Bp global, 2021). Those are the external factors that hold the business relationships in the organization, and those are responsible for doing effective business in the organizations. The government's policy directly impacts the organization, and if the company follows the legislation rightly, they can get advantages in the market. The company and the consumer's relationship are essential for every industry. So, BP also maintains this.</w:t>
      </w:r>
    </w:p>
    <w:p w14:paraId="00B2CB21" w14:textId="77777777" w:rsidR="007E26E1" w:rsidRDefault="007E26E1" w:rsidP="00B11D6E">
      <w:pPr>
        <w:pStyle w:val="Heading1"/>
      </w:pPr>
    </w:p>
    <w:p w14:paraId="104E9A85" w14:textId="77777777" w:rsidR="007E26E1" w:rsidRDefault="007E26E1" w:rsidP="00B11D6E">
      <w:pPr>
        <w:pStyle w:val="Heading1"/>
      </w:pPr>
    </w:p>
    <w:p w14:paraId="0920E6C0" w14:textId="77777777" w:rsidR="007E26E1" w:rsidRDefault="007E26E1" w:rsidP="00B11D6E">
      <w:pPr>
        <w:pStyle w:val="Heading1"/>
      </w:pPr>
    </w:p>
    <w:p w14:paraId="2F4C12EB" w14:textId="77777777" w:rsidR="007E26E1" w:rsidRDefault="007E26E1" w:rsidP="00B11D6E">
      <w:pPr>
        <w:pStyle w:val="Heading1"/>
      </w:pPr>
    </w:p>
    <w:p w14:paraId="53F9279F" w14:textId="77777777" w:rsidR="007E26E1" w:rsidRDefault="007E26E1" w:rsidP="00B11D6E">
      <w:pPr>
        <w:pStyle w:val="Heading1"/>
      </w:pPr>
    </w:p>
    <w:p w14:paraId="644FC971" w14:textId="77777777" w:rsidR="007E26E1" w:rsidRDefault="007E26E1" w:rsidP="00B11D6E">
      <w:pPr>
        <w:pStyle w:val="Heading1"/>
      </w:pPr>
    </w:p>
    <w:p w14:paraId="00000020" w14:textId="1871E44B" w:rsidR="00BA5E17" w:rsidRDefault="001739EF" w:rsidP="00B11D6E">
      <w:pPr>
        <w:pStyle w:val="Heading1"/>
      </w:pPr>
      <w:r>
        <w:t>Conclusion and Recommendation</w:t>
      </w:r>
      <w:bookmarkEnd w:id="14"/>
    </w:p>
    <w:p w14:paraId="5D834038" w14:textId="77777777" w:rsidR="00C954CB" w:rsidRDefault="00C954CB" w:rsidP="00C954CB">
      <w:r>
        <w:t xml:space="preserve">The report is described the community engagement of BP Plc. BP Plc is a British multinational gas and oil company. The BP plc. Is engaging with the stakeholders with a wide range for understanding the expectations of the society. Their employee assistance platforms show the increasing anxiety among employees; their CEO led a live webcast series to reduce the mental health stigma and encourage their employees to ask them if they need any help. They are ensuring that their aim 13 is helpful to build resilience and sustainable livelihoods. BP is supporting the communities where they can work to create more sustainable livelihoods and greater resilience. The practical training and development process is another reason for sustainability in the organization. So, through the strategies, they are improving their community engagement. </w:t>
      </w:r>
    </w:p>
    <w:p w14:paraId="00000022" w14:textId="0F437EEF" w:rsidR="00BA5E17" w:rsidRDefault="00C954CB" w:rsidP="00C954CB">
      <w:pPr>
        <w:rPr>
          <w:b/>
        </w:rPr>
      </w:pPr>
      <w:r>
        <w:t xml:space="preserve">So, the community engagement of the BP is good, but for more effectiveness, they can follow some recommendations. BP </w:t>
      </w:r>
      <w:proofErr w:type="gramStart"/>
      <w:r>
        <w:t>has to</w:t>
      </w:r>
      <w:proofErr w:type="gramEnd"/>
      <w:r>
        <w:t xml:space="preserve"> interact with the community effectively. They </w:t>
      </w:r>
      <w:proofErr w:type="gramStart"/>
      <w:r>
        <w:t>have to</w:t>
      </w:r>
      <w:proofErr w:type="gramEnd"/>
      <w:r>
        <w:t xml:space="preserve"> encourage the discussion that helps to hold the sustainable relationships in the organization. BP can provide local events and campaigns that help to increase the engagement of the community. The company </w:t>
      </w:r>
      <w:proofErr w:type="gramStart"/>
      <w:r>
        <w:t>has to</w:t>
      </w:r>
      <w:proofErr w:type="gramEnd"/>
      <w:r>
        <w:t xml:space="preserve"> understand the issues that are affecting them most. BP can target the influencer and leaders for working with them. It can be an excellent move for the company to improve community engagement. The company </w:t>
      </w:r>
      <w:proofErr w:type="gramStart"/>
      <w:r>
        <w:t>has to</w:t>
      </w:r>
      <w:proofErr w:type="gramEnd"/>
      <w:r>
        <w:t xml:space="preserve"> be more consistent and has to be involved with the culture. These recommendations can be helpful for the company to get more profit and by this, the company receives more advantages. </w:t>
      </w:r>
      <w:r w:rsidR="001739EF">
        <w:br w:type="page"/>
      </w:r>
    </w:p>
    <w:p w14:paraId="00000023" w14:textId="77777777" w:rsidR="00BA5E17" w:rsidRDefault="001739EF">
      <w:pPr>
        <w:pStyle w:val="Heading1"/>
      </w:pPr>
      <w:bookmarkStart w:id="15" w:name="_qs36cqso3851" w:colFirst="0" w:colLast="0"/>
      <w:bookmarkStart w:id="16" w:name="_Toc71307480"/>
      <w:bookmarkEnd w:id="15"/>
      <w:r>
        <w:lastRenderedPageBreak/>
        <w:t>Reference List</w:t>
      </w:r>
      <w:bookmarkEnd w:id="16"/>
    </w:p>
    <w:p w14:paraId="7A70543E" w14:textId="10E3504A" w:rsidR="0033560E" w:rsidRDefault="0033560E">
      <w:pPr>
        <w:spacing w:after="80"/>
      </w:pPr>
      <w:r>
        <w:t xml:space="preserve">BP and social media: The good, t. and </w:t>
      </w:r>
      <w:proofErr w:type="spellStart"/>
      <w:r>
        <w:t>Shirey</w:t>
      </w:r>
      <w:proofErr w:type="spellEnd"/>
      <w:r>
        <w:t xml:space="preserve">, T., 2021. </w:t>
      </w:r>
      <w:r>
        <w:rPr>
          <w:i/>
        </w:rPr>
        <w:t>BP and social media: The good, the bad and the ugly</w:t>
      </w:r>
      <w:r>
        <w:t xml:space="preserve">. [online] </w:t>
      </w:r>
      <w:proofErr w:type="spellStart"/>
      <w:r>
        <w:t>WebFX</w:t>
      </w:r>
      <w:proofErr w:type="spellEnd"/>
      <w:r>
        <w:t xml:space="preserve"> Blog. Available at: &lt;</w:t>
      </w:r>
      <w:hyperlink r:id="rId8">
        <w:r>
          <w:rPr>
            <w:color w:val="1155CC"/>
            <w:u w:val="single"/>
          </w:rPr>
          <w:t>https://www.webfx.com/blog/business-advice/bp-and-social-media/</w:t>
        </w:r>
      </w:hyperlink>
      <w:r>
        <w:t xml:space="preserve">&gt; </w:t>
      </w:r>
    </w:p>
    <w:p w14:paraId="425CD146" w14:textId="3E33B961" w:rsidR="0033560E" w:rsidRDefault="0033560E">
      <w:pPr>
        <w:spacing w:after="80"/>
      </w:pPr>
      <w:r>
        <w:t xml:space="preserve">Bp global. 2021. Improving </w:t>
      </w:r>
      <w:proofErr w:type="spellStart"/>
      <w:r>
        <w:t>people‎’s</w:t>
      </w:r>
      <w:proofErr w:type="spellEnd"/>
      <w:r>
        <w:t>‎ lives | Sustainability | Home. [online] Available at: &lt;</w:t>
      </w:r>
      <w:hyperlink r:id="rId9">
        <w:r>
          <w:rPr>
            <w:color w:val="1155CC"/>
            <w:u w:val="single"/>
          </w:rPr>
          <w:t>https://www.bp.com/en/global/corporate/sustainability/improving-peoples-lives.html</w:t>
        </w:r>
      </w:hyperlink>
      <w:r>
        <w:t xml:space="preserve">&gt; </w:t>
      </w:r>
    </w:p>
    <w:p w14:paraId="7DD542EB" w14:textId="615B9F92" w:rsidR="0033560E" w:rsidRDefault="0033560E">
      <w:pPr>
        <w:spacing w:after="80"/>
      </w:pPr>
      <w:r>
        <w:t>Bp global. 2021. Learning and development | Careers | Home. [online] Available at: &lt;</w:t>
      </w:r>
      <w:hyperlink r:id="rId10">
        <w:r>
          <w:rPr>
            <w:color w:val="1155CC"/>
            <w:u w:val="single"/>
          </w:rPr>
          <w:t>https://www.bp.com/en/global/corporate/careers/life-at-bp/learning-and-development.html</w:t>
        </w:r>
      </w:hyperlink>
      <w:r>
        <w:t xml:space="preserve">&gt; </w:t>
      </w:r>
    </w:p>
    <w:p w14:paraId="79751F10" w14:textId="5E122844" w:rsidR="0033560E" w:rsidRDefault="0033560E">
      <w:pPr>
        <w:spacing w:after="80"/>
        <w:rPr>
          <w:color w:val="222222"/>
        </w:rPr>
      </w:pPr>
      <w:r>
        <w:rPr>
          <w:color w:val="222222"/>
        </w:rPr>
        <w:t xml:space="preserve">Bp global. 2021. </w:t>
      </w:r>
      <w:r>
        <w:rPr>
          <w:i/>
          <w:color w:val="222222"/>
        </w:rPr>
        <w:t>Our business model | What we do | Home</w:t>
      </w:r>
      <w:r>
        <w:rPr>
          <w:color w:val="222222"/>
        </w:rPr>
        <w:t>. [online] Available at: &lt;</w:t>
      </w:r>
      <w:hyperlink r:id="rId11">
        <w:r>
          <w:rPr>
            <w:color w:val="1155CC"/>
            <w:u w:val="single"/>
          </w:rPr>
          <w:t>https://www.bp.com/en/global/corporate/what-we-do/our-business-model.html</w:t>
        </w:r>
      </w:hyperlink>
      <w:r>
        <w:rPr>
          <w:color w:val="222222"/>
        </w:rPr>
        <w:t xml:space="preserve">&gt; </w:t>
      </w:r>
    </w:p>
    <w:p w14:paraId="1D35A605" w14:textId="7C609229" w:rsidR="0033560E" w:rsidRDefault="0033560E">
      <w:pPr>
        <w:spacing w:after="80"/>
      </w:pPr>
      <w:r>
        <w:t>Bp global. 2021. Sustainable livelihoods | Sustainability | Home. [online] Available at: &lt;</w:t>
      </w:r>
      <w:hyperlink r:id="rId12">
        <w:r>
          <w:rPr>
            <w:color w:val="1155CC"/>
            <w:u w:val="single"/>
          </w:rPr>
          <w:t>https://www.bp.com/en/global/corporate/sustainability/improving-peoples-lives/sustainable-livelihoods.html</w:t>
        </w:r>
      </w:hyperlink>
      <w:r>
        <w:t xml:space="preserve">&gt; </w:t>
      </w:r>
    </w:p>
    <w:p w14:paraId="2E2ED560" w14:textId="1FD431CC" w:rsidR="0033560E" w:rsidRDefault="0033560E">
      <w:r>
        <w:t>Bp.com. 2021. [online] Available at: &lt;</w:t>
      </w:r>
      <w:hyperlink r:id="rId13">
        <w:r>
          <w:t>https://www.bp.com/content/dam/bp/business-sites/en/global/corporate/pdfs/investors/bp-ar-stakeholder-engagement-2020.pdf</w:t>
        </w:r>
      </w:hyperlink>
      <w:r>
        <w:t xml:space="preserve">&gt; </w:t>
      </w:r>
    </w:p>
    <w:p w14:paraId="55BC8942" w14:textId="2A871F2D" w:rsidR="0033560E" w:rsidRDefault="0033560E">
      <w:r>
        <w:t xml:space="preserve">Bruce Clay, Inc. 2021. BP, Crisis Communications, and Social Media - Bruce Clay, </w:t>
      </w:r>
      <w:proofErr w:type="gramStart"/>
      <w:r>
        <w:t>Inc..</w:t>
      </w:r>
      <w:proofErr w:type="gramEnd"/>
      <w:r>
        <w:t xml:space="preserve"> [online] Available at: &lt;</w:t>
      </w:r>
      <w:hyperlink r:id="rId14">
        <w:r>
          <w:t>https://www.bruceclay.com/blog/bp-crisis-communications-and-social-media/</w:t>
        </w:r>
      </w:hyperlink>
      <w:r>
        <w:t xml:space="preserve">&gt; </w:t>
      </w:r>
    </w:p>
    <w:p w14:paraId="3CEA8A75" w14:textId="77777777" w:rsidR="0033560E" w:rsidRDefault="0033560E">
      <w:pPr>
        <w:jc w:val="left"/>
      </w:pPr>
      <w:r>
        <w:t xml:space="preserve">Hou, N., Fan, J., Tan, J.A., Hua, J. and Valdez, G., 2018. Cross-cultural training effectiveness: Does when the training is delivered </w:t>
      </w:r>
      <w:proofErr w:type="gramStart"/>
      <w:r>
        <w:t>matter?.</w:t>
      </w:r>
      <w:proofErr w:type="gramEnd"/>
      <w:r>
        <w:t xml:space="preserve"> International Journal of Intercultural Relations, 65, pp.17-29.</w:t>
      </w:r>
    </w:p>
    <w:p w14:paraId="0CCE9069" w14:textId="1CC3C071" w:rsidR="0033560E" w:rsidRDefault="0033560E">
      <w:r>
        <w:t>Sites.google.com. 2021. Community Engagement Initiatives - BP Company Assessment. [online] Available at: &lt;</w:t>
      </w:r>
      <w:hyperlink r:id="rId15">
        <w:r>
          <w:t>https://sites.google.com/site/702cap/community-engagement-initiatives</w:t>
        </w:r>
      </w:hyperlink>
      <w:r>
        <w:t xml:space="preserve">&gt; </w:t>
      </w:r>
    </w:p>
    <w:p w14:paraId="6B86C0D1" w14:textId="77777777" w:rsidR="0033560E" w:rsidRDefault="0033560E">
      <w:pPr>
        <w:jc w:val="left"/>
      </w:pPr>
      <w:proofErr w:type="spellStart"/>
      <w:r>
        <w:t>Виноградова</w:t>
      </w:r>
      <w:proofErr w:type="spellEnd"/>
      <w:r>
        <w:t xml:space="preserve">, Н.Г., 2020. THE IMPORTANCE OF </w:t>
      </w:r>
      <w:proofErr w:type="gramStart"/>
      <w:r>
        <w:t>CROSS CULTURAL</w:t>
      </w:r>
      <w:proofErr w:type="gramEnd"/>
      <w:r>
        <w:t xml:space="preserve"> STUDYING. In </w:t>
      </w:r>
      <w:proofErr w:type="spellStart"/>
      <w:r>
        <w:t>Язык</w:t>
      </w:r>
      <w:proofErr w:type="spellEnd"/>
      <w:r>
        <w:t xml:space="preserve">, </w:t>
      </w:r>
      <w:proofErr w:type="spellStart"/>
      <w:r>
        <w:t>литература</w:t>
      </w:r>
      <w:proofErr w:type="spellEnd"/>
      <w:r>
        <w:t xml:space="preserve">, </w:t>
      </w:r>
      <w:proofErr w:type="spellStart"/>
      <w:r>
        <w:t>история</w:t>
      </w:r>
      <w:proofErr w:type="spellEnd"/>
      <w:r>
        <w:t xml:space="preserve"> и </w:t>
      </w:r>
      <w:proofErr w:type="spellStart"/>
      <w:r>
        <w:t>культура</w:t>
      </w:r>
      <w:proofErr w:type="spellEnd"/>
      <w:r>
        <w:t xml:space="preserve"> в </w:t>
      </w:r>
      <w:proofErr w:type="spellStart"/>
      <w:r>
        <w:t>современных</w:t>
      </w:r>
      <w:proofErr w:type="spellEnd"/>
      <w:r>
        <w:t xml:space="preserve"> </w:t>
      </w:r>
      <w:proofErr w:type="spellStart"/>
      <w:r>
        <w:t>парадигмах</w:t>
      </w:r>
      <w:proofErr w:type="spellEnd"/>
      <w:r>
        <w:t xml:space="preserve"> </w:t>
      </w:r>
      <w:proofErr w:type="spellStart"/>
      <w:r>
        <w:t>научного</w:t>
      </w:r>
      <w:proofErr w:type="spellEnd"/>
      <w:r>
        <w:t xml:space="preserve"> </w:t>
      </w:r>
      <w:proofErr w:type="spellStart"/>
      <w:r>
        <w:t>знания</w:t>
      </w:r>
      <w:proofErr w:type="spellEnd"/>
      <w:r>
        <w:t xml:space="preserve"> (pp. 56-57).</w:t>
      </w:r>
    </w:p>
    <w:sectPr w:rsidR="0033560E" w:rsidSect="0033560E">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9A1B3D" w14:textId="77777777" w:rsidR="00856274" w:rsidRDefault="00856274">
      <w:pPr>
        <w:spacing w:after="0" w:line="240" w:lineRule="auto"/>
      </w:pPr>
      <w:r>
        <w:separator/>
      </w:r>
    </w:p>
  </w:endnote>
  <w:endnote w:type="continuationSeparator" w:id="0">
    <w:p w14:paraId="33C0EC4C" w14:textId="77777777" w:rsidR="00856274" w:rsidRDefault="00856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8896703"/>
      <w:docPartObj>
        <w:docPartGallery w:val="Page Numbers (Bottom of Page)"/>
        <w:docPartUnique/>
      </w:docPartObj>
    </w:sdtPr>
    <w:sdtEndPr>
      <w:rPr>
        <w:noProof/>
      </w:rPr>
    </w:sdtEndPr>
    <w:sdtContent>
      <w:p w14:paraId="5A4115B0" w14:textId="6186156E" w:rsidR="0033560E" w:rsidRDefault="003356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00030" w14:textId="020D7B55" w:rsidR="00BA5E17" w:rsidRDefault="00BA5E17">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0BD405" w14:textId="77777777" w:rsidR="00856274" w:rsidRDefault="00856274">
      <w:pPr>
        <w:spacing w:after="0" w:line="240" w:lineRule="auto"/>
      </w:pPr>
      <w:r>
        <w:separator/>
      </w:r>
    </w:p>
  </w:footnote>
  <w:footnote w:type="continuationSeparator" w:id="0">
    <w:p w14:paraId="233B0077" w14:textId="77777777" w:rsidR="00856274" w:rsidRDefault="008562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5E17"/>
    <w:rsid w:val="000F63F4"/>
    <w:rsid w:val="00122E1B"/>
    <w:rsid w:val="001739EF"/>
    <w:rsid w:val="0033560E"/>
    <w:rsid w:val="00474AB9"/>
    <w:rsid w:val="004A3499"/>
    <w:rsid w:val="00505BAC"/>
    <w:rsid w:val="005A6780"/>
    <w:rsid w:val="00615CC2"/>
    <w:rsid w:val="00623CA5"/>
    <w:rsid w:val="007E26E1"/>
    <w:rsid w:val="00856274"/>
    <w:rsid w:val="00B11D6E"/>
    <w:rsid w:val="00BA5E17"/>
    <w:rsid w:val="00BD31F6"/>
    <w:rsid w:val="00C954CB"/>
    <w:rsid w:val="00F603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E7E79"/>
  <w15:docId w15:val="{410D3946-BAC1-4634-BC60-0790C7933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 w:eastAsia="en-IN" w:bidi="ar-SA"/>
      </w:rPr>
    </w:rPrDefault>
    <w:pPrDefault>
      <w:pPr>
        <w:spacing w:after="1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33560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3560E"/>
    <w:pPr>
      <w:spacing w:after="100"/>
    </w:pPr>
  </w:style>
  <w:style w:type="character" w:styleId="Hyperlink">
    <w:name w:val="Hyperlink"/>
    <w:basedOn w:val="DefaultParagraphFont"/>
    <w:uiPriority w:val="99"/>
    <w:unhideWhenUsed/>
    <w:rsid w:val="0033560E"/>
    <w:rPr>
      <w:color w:val="0000FF" w:themeColor="hyperlink"/>
      <w:u w:val="single"/>
    </w:rPr>
  </w:style>
  <w:style w:type="paragraph" w:styleId="Header">
    <w:name w:val="header"/>
    <w:basedOn w:val="Normal"/>
    <w:link w:val="HeaderChar"/>
    <w:uiPriority w:val="99"/>
    <w:unhideWhenUsed/>
    <w:rsid w:val="003356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60E"/>
  </w:style>
  <w:style w:type="paragraph" w:styleId="Footer">
    <w:name w:val="footer"/>
    <w:basedOn w:val="Normal"/>
    <w:link w:val="FooterChar"/>
    <w:uiPriority w:val="99"/>
    <w:unhideWhenUsed/>
    <w:rsid w:val="003356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6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8991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webfx.com/blog/business-advice/bp-and-social-media/" TargetMode="External"/><Relationship Id="rId13" Type="http://schemas.openxmlformats.org/officeDocument/2006/relationships/hyperlink" Target="https://www.bp.com/content/dam/bp/business-sites/en/global/corporate/pdfs/investors/bp-ar-stakeholder-engagement-2020.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p.com/en/global/corporate/sustainability/improving-peoples-lives/sustainable-livelihoods.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p.com/en/global/corporate/what-we-do/our-business-model.html" TargetMode="External"/><Relationship Id="rId5" Type="http://schemas.openxmlformats.org/officeDocument/2006/relationships/footnotes" Target="footnotes.xml"/><Relationship Id="rId15" Type="http://schemas.openxmlformats.org/officeDocument/2006/relationships/hyperlink" Target="https://sites.google.com/site/702cap/community-engagement-initiatives" TargetMode="External"/><Relationship Id="rId10" Type="http://schemas.openxmlformats.org/officeDocument/2006/relationships/hyperlink" Target="https://www.bp.com/en/global/corporate/careers/life-at-bp/learning-and-development.html" TargetMode="External"/><Relationship Id="rId4" Type="http://schemas.openxmlformats.org/officeDocument/2006/relationships/webSettings" Target="webSettings.xml"/><Relationship Id="rId9" Type="http://schemas.openxmlformats.org/officeDocument/2006/relationships/hyperlink" Target="https://www.bp.com/en/global/corporate/sustainability/improving-peoples-lives.html" TargetMode="External"/><Relationship Id="rId14" Type="http://schemas.openxmlformats.org/officeDocument/2006/relationships/hyperlink" Target="https://www.bruceclay.com/blog/bp-crisis-communications-and-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88ED2C-E6AA-428D-B6E1-401F54F81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10</Pages>
  <Words>2345</Words>
  <Characters>13368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HIMAN DASH</dc:creator>
  <cp:lastModifiedBy>Costel Iosip (2022687)</cp:lastModifiedBy>
  <cp:revision>4</cp:revision>
  <dcterms:created xsi:type="dcterms:W3CDTF">2021-05-08T12:33:00Z</dcterms:created>
  <dcterms:modified xsi:type="dcterms:W3CDTF">2021-05-11T17:06:00Z</dcterms:modified>
</cp:coreProperties>
</file>