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88075A3">
      <w:pPr>
        <w:spacing w:before="175" w:line="360" w:lineRule="auto"/>
        <w:ind w:left="5787" w:hanging="908"/>
        <w:rPr>
          <w:rFonts w:ascii="Calibri" w:hAnsi="Calibri" w:cs="Calibri"/>
          <w:b/>
          <w:color w:val="000000" w:themeColor="text1"/>
          <w:sz w:val="30"/>
          <w14:textFill>
            <w14:solidFill>
              <w14:schemeClr w14:val="tx1"/>
            </w14:solidFill>
          </w14:textFill>
        </w:rPr>
      </w:pPr>
      <w:r>
        <w:rPr>
          <w:rFonts w:ascii="Calibri" w:hAnsi="Calibri" w:cs="Calibri"/>
          <w:b/>
          <w:color w:val="000000" w:themeColor="text1"/>
          <w:sz w:val="30"/>
          <w14:textFill>
            <w14:solidFill>
              <w14:schemeClr w14:val="tx1"/>
            </w14:solidFill>
          </w14:textFill>
        </w:rPr>
        <w:drawing>
          <wp:anchor distT="0" distB="0" distL="0" distR="0" simplePos="0" relativeHeight="251659264" behindDoc="0" locked="0" layoutInCell="1" allowOverlap="1">
            <wp:simplePos x="0" y="0"/>
            <wp:positionH relativeFrom="page">
              <wp:posOffset>2392680</wp:posOffset>
            </wp:positionH>
            <wp:positionV relativeFrom="paragraph">
              <wp:posOffset>-361315</wp:posOffset>
            </wp:positionV>
            <wp:extent cx="2352675" cy="800100"/>
            <wp:effectExtent l="0" t="0" r="0" b="0"/>
            <wp:wrapNone/>
            <wp:docPr id="2" name="Image 2"/>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5" cstate="print"/>
                    <a:stretch>
                      <a:fillRect/>
                    </a:stretch>
                  </pic:blipFill>
                  <pic:spPr>
                    <a:xfrm>
                      <a:off x="0" y="0"/>
                      <a:ext cx="2352392" cy="799832"/>
                    </a:xfrm>
                    <a:prstGeom prst="rect">
                      <a:avLst/>
                    </a:prstGeom>
                  </pic:spPr>
                </pic:pic>
              </a:graphicData>
            </a:graphic>
          </wp:anchor>
        </w:drawing>
      </w:r>
    </w:p>
    <w:p w14:paraId="5C235EDE">
      <w:pPr>
        <w:spacing w:before="175" w:line="360" w:lineRule="auto"/>
        <w:rPr>
          <w:rFonts w:ascii="Calibri" w:hAnsi="Calibri" w:cs="Calibri"/>
          <w:b/>
          <w:color w:val="000000" w:themeColor="text1"/>
          <w:sz w:val="30"/>
          <w14:textFill>
            <w14:solidFill>
              <w14:schemeClr w14:val="tx1"/>
            </w14:solidFill>
          </w14:textFill>
        </w:rPr>
      </w:pPr>
    </w:p>
    <w:p w14:paraId="5FB3BDB7">
      <w:pPr>
        <w:spacing w:before="175" w:line="360" w:lineRule="auto"/>
        <w:ind w:firstLine="700" w:firstLineChars="250"/>
        <w:jc w:val="center"/>
        <w:rPr>
          <w:rFonts w:hint="default" w:ascii="Arial" w:hAnsi="Arial" w:cs="Arial"/>
          <w:b/>
          <w:color w:val="000000" w:themeColor="text1"/>
          <w:sz w:val="28"/>
          <w:szCs w:val="28"/>
          <w14:textFill>
            <w14:solidFill>
              <w14:schemeClr w14:val="tx1"/>
            </w14:solidFill>
          </w14:textFill>
        </w:rPr>
      </w:pPr>
      <w:r>
        <w:rPr>
          <w:rFonts w:hint="default" w:ascii="Arial" w:hAnsi="Arial" w:cs="Arial"/>
          <w:b/>
          <w:color w:val="000000" w:themeColor="text1"/>
          <w:sz w:val="28"/>
          <w:szCs w:val="28"/>
          <w14:textFill>
            <w14:solidFill>
              <w14:schemeClr w14:val="tx1"/>
            </w14:solidFill>
          </w14:textFill>
        </w:rPr>
        <w:t>Institute</w:t>
      </w:r>
      <w:r>
        <w:rPr>
          <w:rFonts w:hint="default" w:ascii="Arial" w:hAnsi="Arial" w:cs="Arial"/>
          <w:b/>
          <w:color w:val="000000" w:themeColor="text1"/>
          <w:spacing w:val="-17"/>
          <w:sz w:val="28"/>
          <w:szCs w:val="28"/>
          <w14:textFill>
            <w14:solidFill>
              <w14:schemeClr w14:val="tx1"/>
            </w14:solidFill>
          </w14:textFill>
        </w:rPr>
        <w:t xml:space="preserve"> </w:t>
      </w:r>
      <w:r>
        <w:rPr>
          <w:rFonts w:hint="default" w:ascii="Arial" w:hAnsi="Arial" w:cs="Arial"/>
          <w:b/>
          <w:color w:val="000000" w:themeColor="text1"/>
          <w:sz w:val="28"/>
          <w:szCs w:val="28"/>
          <w14:textFill>
            <w14:solidFill>
              <w14:schemeClr w14:val="tx1"/>
            </w14:solidFill>
          </w14:textFill>
        </w:rPr>
        <w:t>of</w:t>
      </w:r>
      <w:r>
        <w:rPr>
          <w:rFonts w:hint="default" w:ascii="Arial" w:hAnsi="Arial" w:cs="Arial"/>
          <w:b/>
          <w:color w:val="000000" w:themeColor="text1"/>
          <w:spacing w:val="-17"/>
          <w:sz w:val="28"/>
          <w:szCs w:val="28"/>
          <w14:textFill>
            <w14:solidFill>
              <w14:schemeClr w14:val="tx1"/>
            </w14:solidFill>
          </w14:textFill>
        </w:rPr>
        <w:t xml:space="preserve"> </w:t>
      </w:r>
      <w:r>
        <w:rPr>
          <w:rFonts w:hint="default" w:ascii="Arial" w:hAnsi="Arial" w:cs="Arial"/>
          <w:b/>
          <w:color w:val="000000" w:themeColor="text1"/>
          <w:sz w:val="28"/>
          <w:szCs w:val="28"/>
          <w14:textFill>
            <w14:solidFill>
              <w14:schemeClr w14:val="tx1"/>
            </w14:solidFill>
          </w14:textFill>
        </w:rPr>
        <w:t>Inner-City</w:t>
      </w:r>
      <w:r>
        <w:rPr>
          <w:rFonts w:hint="default" w:ascii="Arial" w:hAnsi="Arial" w:cs="Arial"/>
          <w:b/>
          <w:color w:val="000000" w:themeColor="text1"/>
          <w:spacing w:val="-17"/>
          <w:sz w:val="28"/>
          <w:szCs w:val="28"/>
          <w14:textFill>
            <w14:solidFill>
              <w14:schemeClr w14:val="tx1"/>
            </w14:solidFill>
          </w14:textFill>
        </w:rPr>
        <w:t xml:space="preserve"> </w:t>
      </w:r>
      <w:r>
        <w:rPr>
          <w:rFonts w:hint="default" w:ascii="Arial" w:hAnsi="Arial" w:cs="Arial"/>
          <w:b/>
          <w:color w:val="000000" w:themeColor="text1"/>
          <w:sz w:val="28"/>
          <w:szCs w:val="28"/>
          <w14:textFill>
            <w14:solidFill>
              <w14:schemeClr w14:val="tx1"/>
            </w14:solidFill>
          </w14:textFill>
        </w:rPr>
        <w:t>Learning London Campus</w:t>
      </w:r>
      <w:bookmarkStart w:id="0" w:name="_GoBack"/>
      <w:bookmarkEnd w:id="0"/>
    </w:p>
    <w:p w14:paraId="0D81F3AB">
      <w:pPr>
        <w:pStyle w:val="3"/>
        <w:spacing w:before="274" w:line="360" w:lineRule="auto"/>
        <w:ind w:left="1664" w:right="1665" w:firstLine="2"/>
        <w:jc w:val="center"/>
        <w:rPr>
          <w:rFonts w:hint="default" w:ascii="Arial" w:hAnsi="Arial" w:cs="Arial"/>
          <w:color w:val="000000" w:themeColor="text1"/>
          <w:sz w:val="28"/>
          <w:szCs w:val="28"/>
          <w14:textFill>
            <w14:solidFill>
              <w14:schemeClr w14:val="tx1"/>
            </w14:solidFill>
          </w14:textFill>
        </w:rPr>
      </w:pPr>
      <w:r>
        <w:rPr>
          <w:rFonts w:hint="default" w:ascii="Arial" w:hAnsi="Arial" w:cs="Arial"/>
          <w:color w:val="000000" w:themeColor="text1"/>
          <w:sz w:val="28"/>
          <w:szCs w:val="28"/>
          <w14:textFill>
            <w14:solidFill>
              <w14:schemeClr w14:val="tx1"/>
            </w14:solidFill>
          </w14:textFill>
        </w:rPr>
        <w:t>Master of Business Administration LCMB7037</w:t>
      </w:r>
      <w:r>
        <w:rPr>
          <w:rFonts w:hint="default" w:ascii="Arial" w:hAnsi="Arial" w:cs="Arial"/>
          <w:color w:val="000000" w:themeColor="text1"/>
          <w:spacing w:val="-13"/>
          <w:sz w:val="28"/>
          <w:szCs w:val="28"/>
          <w14:textFill>
            <w14:solidFill>
              <w14:schemeClr w14:val="tx1"/>
            </w14:solidFill>
          </w14:textFill>
        </w:rPr>
        <w:t xml:space="preserve"> </w:t>
      </w:r>
      <w:r>
        <w:rPr>
          <w:rFonts w:hint="default" w:ascii="Arial" w:hAnsi="Arial" w:cs="Arial"/>
          <w:color w:val="000000" w:themeColor="text1"/>
          <w:sz w:val="28"/>
          <w:szCs w:val="28"/>
          <w14:textFill>
            <w14:solidFill>
              <w14:schemeClr w14:val="tx1"/>
            </w14:solidFill>
          </w14:textFill>
        </w:rPr>
        <w:t>Business</w:t>
      </w:r>
      <w:r>
        <w:rPr>
          <w:rFonts w:hint="default" w:ascii="Arial" w:hAnsi="Arial" w:cs="Arial"/>
          <w:color w:val="000000" w:themeColor="text1"/>
          <w:spacing w:val="-11"/>
          <w:sz w:val="28"/>
          <w:szCs w:val="28"/>
          <w14:textFill>
            <w14:solidFill>
              <w14:schemeClr w14:val="tx1"/>
            </w14:solidFill>
          </w14:textFill>
        </w:rPr>
        <w:t xml:space="preserve"> </w:t>
      </w:r>
      <w:r>
        <w:rPr>
          <w:rFonts w:hint="default" w:ascii="Arial" w:hAnsi="Arial" w:cs="Arial"/>
          <w:color w:val="000000" w:themeColor="text1"/>
          <w:sz w:val="28"/>
          <w:szCs w:val="28"/>
          <w14:textFill>
            <w14:solidFill>
              <w14:schemeClr w14:val="tx1"/>
            </w14:solidFill>
          </w14:textFill>
        </w:rPr>
        <w:t>Development</w:t>
      </w:r>
      <w:r>
        <w:rPr>
          <w:rFonts w:hint="default" w:ascii="Arial" w:hAnsi="Arial" w:cs="Arial"/>
          <w:color w:val="000000" w:themeColor="text1"/>
          <w:spacing w:val="-11"/>
          <w:sz w:val="28"/>
          <w:szCs w:val="28"/>
          <w14:textFill>
            <w14:solidFill>
              <w14:schemeClr w14:val="tx1"/>
            </w14:solidFill>
          </w14:textFill>
        </w:rPr>
        <w:t xml:space="preserve"> </w:t>
      </w:r>
      <w:r>
        <w:rPr>
          <w:rFonts w:hint="default" w:ascii="Arial" w:hAnsi="Arial" w:cs="Arial"/>
          <w:color w:val="000000" w:themeColor="text1"/>
          <w:sz w:val="28"/>
          <w:szCs w:val="28"/>
          <w14:textFill>
            <w14:solidFill>
              <w14:schemeClr w14:val="tx1"/>
            </w14:solidFill>
          </w14:textFill>
        </w:rPr>
        <w:t>Proposal</w:t>
      </w:r>
    </w:p>
    <w:p w14:paraId="390296B6">
      <w:pPr>
        <w:spacing w:line="360" w:lineRule="auto"/>
        <w:ind w:left="1"/>
        <w:jc w:val="center"/>
        <w:rPr>
          <w:rFonts w:hint="default" w:ascii="Arial" w:hAnsi="Arial" w:cs="Arial"/>
          <w:b/>
          <w:color w:val="000000" w:themeColor="text1"/>
          <w:sz w:val="28"/>
          <w:szCs w:val="28"/>
          <w14:textFill>
            <w14:solidFill>
              <w14:schemeClr w14:val="tx1"/>
            </w14:solidFill>
          </w14:textFill>
        </w:rPr>
      </w:pPr>
    </w:p>
    <w:p w14:paraId="2843BE37">
      <w:pPr>
        <w:spacing w:line="360" w:lineRule="auto"/>
        <w:ind w:left="1"/>
        <w:jc w:val="center"/>
        <w:rPr>
          <w:rFonts w:hint="default" w:ascii="Arial" w:hAnsi="Arial" w:cs="Arial"/>
          <w:b/>
          <w:color w:val="000000" w:themeColor="text1"/>
          <w:sz w:val="28"/>
          <w:szCs w:val="28"/>
          <w:lang w:val="en-US"/>
          <w14:textFill>
            <w14:solidFill>
              <w14:schemeClr w14:val="tx1"/>
            </w14:solidFill>
          </w14:textFill>
        </w:rPr>
      </w:pPr>
      <w:r>
        <w:rPr>
          <w:rFonts w:hint="default" w:ascii="Arial" w:hAnsi="Arial" w:cs="Arial"/>
          <w:b/>
          <w:color w:val="000000" w:themeColor="text1"/>
          <w:sz w:val="28"/>
          <w:szCs w:val="28"/>
          <w:lang w:val="en-US"/>
          <w14:textFill>
            <w14:solidFill>
              <w14:schemeClr w14:val="tx1"/>
            </w14:solidFill>
          </w14:textFill>
        </w:rPr>
        <w:t>Submitted by - Arpit Verma</w:t>
      </w:r>
    </w:p>
    <w:p w14:paraId="26F84E34">
      <w:pPr>
        <w:spacing w:line="360" w:lineRule="auto"/>
        <w:ind w:left="1"/>
        <w:jc w:val="center"/>
        <w:rPr>
          <w:rFonts w:hint="default" w:ascii="Arial" w:hAnsi="Arial" w:cs="Arial"/>
          <w:b/>
          <w:color w:val="000000" w:themeColor="text1"/>
          <w:sz w:val="28"/>
          <w:szCs w:val="28"/>
          <w:lang w:val="en-US"/>
          <w14:textFill>
            <w14:solidFill>
              <w14:schemeClr w14:val="tx1"/>
            </w14:solidFill>
          </w14:textFill>
        </w:rPr>
      </w:pPr>
      <w:r>
        <w:rPr>
          <w:rFonts w:hint="default" w:ascii="Arial" w:hAnsi="Arial" w:cs="Arial"/>
          <w:b/>
          <w:color w:val="000000" w:themeColor="text1"/>
          <w:sz w:val="28"/>
          <w:szCs w:val="28"/>
          <w:lang w:val="en-US"/>
          <w14:textFill>
            <w14:solidFill>
              <w14:schemeClr w14:val="tx1"/>
            </w14:solidFill>
          </w14:textFill>
        </w:rPr>
        <w:t>Student ID - 2532968</w:t>
      </w:r>
    </w:p>
    <w:p w14:paraId="276D1BAB">
      <w:pPr>
        <w:spacing w:line="360" w:lineRule="auto"/>
        <w:ind w:left="1"/>
        <w:jc w:val="center"/>
        <w:rPr>
          <w:rFonts w:hint="default" w:ascii="Arial" w:hAnsi="Arial" w:cs="Arial"/>
          <w:b/>
          <w:color w:val="000000" w:themeColor="text1"/>
          <w:sz w:val="28"/>
          <w:szCs w:val="28"/>
          <w:lang w:val="en-US"/>
          <w14:textFill>
            <w14:solidFill>
              <w14:schemeClr w14:val="tx1"/>
            </w14:solidFill>
          </w14:textFill>
        </w:rPr>
      </w:pPr>
      <w:r>
        <w:rPr>
          <w:rFonts w:hint="default" w:ascii="Arial" w:hAnsi="Arial" w:cs="Arial"/>
          <w:b/>
          <w:color w:val="000000" w:themeColor="text1"/>
          <w:sz w:val="28"/>
          <w:szCs w:val="28"/>
          <w:lang w:val="en-US"/>
          <w14:textFill>
            <w14:solidFill>
              <w14:schemeClr w14:val="tx1"/>
            </w14:solidFill>
          </w14:textFill>
        </w:rPr>
        <w:t>Submitted to - Shahrukh Irfan</w:t>
      </w:r>
    </w:p>
    <w:p w14:paraId="0109C7D6">
      <w:pPr>
        <w:spacing w:line="360" w:lineRule="auto"/>
        <w:ind w:left="1"/>
        <w:jc w:val="center"/>
        <w:rPr>
          <w:rFonts w:ascii="Calibri" w:hAnsi="Calibri" w:cs="Calibri"/>
          <w:b/>
          <w:color w:val="000000" w:themeColor="text1"/>
          <w:sz w:val="38"/>
          <w14:textFill>
            <w14:solidFill>
              <w14:schemeClr w14:val="tx1"/>
            </w14:solidFill>
          </w14:textFill>
        </w:rPr>
      </w:pPr>
    </w:p>
    <w:p w14:paraId="493BB403">
      <w:pPr>
        <w:spacing w:line="360" w:lineRule="auto"/>
        <w:ind w:left="1"/>
        <w:jc w:val="center"/>
        <w:rPr>
          <w:rFonts w:ascii="Calibri" w:hAnsi="Calibri" w:cs="Calibri"/>
          <w:b/>
          <w:color w:val="000000" w:themeColor="text1"/>
          <w:sz w:val="38"/>
          <w14:textFill>
            <w14:solidFill>
              <w14:schemeClr w14:val="tx1"/>
            </w14:solidFill>
          </w14:textFill>
        </w:rPr>
      </w:pPr>
    </w:p>
    <w:p w14:paraId="4C505BA2">
      <w:pPr>
        <w:spacing w:line="360" w:lineRule="auto"/>
        <w:ind w:left="1"/>
        <w:jc w:val="center"/>
        <w:rPr>
          <w:rFonts w:ascii="Calibri" w:hAnsi="Calibri" w:cs="Calibri"/>
          <w:b/>
          <w:color w:val="000000" w:themeColor="text1"/>
          <w:sz w:val="38"/>
          <w14:textFill>
            <w14:solidFill>
              <w14:schemeClr w14:val="tx1"/>
            </w14:solidFill>
          </w14:textFill>
        </w:rPr>
      </w:pPr>
    </w:p>
    <w:p w14:paraId="61555C26">
      <w:pPr>
        <w:spacing w:line="360" w:lineRule="auto"/>
        <w:ind w:left="1"/>
        <w:jc w:val="center"/>
        <w:rPr>
          <w:rFonts w:ascii="Calibri" w:hAnsi="Calibri" w:cs="Calibri"/>
          <w:b/>
          <w:color w:val="000000" w:themeColor="text1"/>
          <w:sz w:val="38"/>
          <w14:textFill>
            <w14:solidFill>
              <w14:schemeClr w14:val="tx1"/>
            </w14:solidFill>
          </w14:textFill>
        </w:rPr>
      </w:pPr>
    </w:p>
    <w:p w14:paraId="42DC3D63">
      <w:pPr>
        <w:spacing w:line="360" w:lineRule="auto"/>
        <w:ind w:left="1"/>
        <w:jc w:val="center"/>
        <w:rPr>
          <w:rFonts w:ascii="Calibri" w:hAnsi="Calibri" w:cs="Calibri"/>
          <w:b/>
          <w:color w:val="000000" w:themeColor="text1"/>
          <w:sz w:val="38"/>
          <w14:textFill>
            <w14:solidFill>
              <w14:schemeClr w14:val="tx1"/>
            </w14:solidFill>
          </w14:textFill>
        </w:rPr>
      </w:pPr>
    </w:p>
    <w:p w14:paraId="0A2178C7">
      <w:pPr>
        <w:spacing w:line="360" w:lineRule="auto"/>
        <w:ind w:left="1"/>
        <w:jc w:val="center"/>
        <w:rPr>
          <w:rFonts w:ascii="Calibri" w:hAnsi="Calibri" w:cs="Calibri"/>
          <w:b/>
          <w:color w:val="000000" w:themeColor="text1"/>
          <w:sz w:val="38"/>
          <w14:textFill>
            <w14:solidFill>
              <w14:schemeClr w14:val="tx1"/>
            </w14:solidFill>
          </w14:textFill>
        </w:rPr>
      </w:pPr>
    </w:p>
    <w:p w14:paraId="6D407049">
      <w:pPr>
        <w:spacing w:line="360" w:lineRule="auto"/>
        <w:ind w:left="1"/>
        <w:jc w:val="center"/>
        <w:rPr>
          <w:rFonts w:ascii="Calibri" w:hAnsi="Calibri" w:cs="Calibri"/>
          <w:b/>
          <w:color w:val="000000" w:themeColor="text1"/>
          <w:sz w:val="38"/>
          <w14:textFill>
            <w14:solidFill>
              <w14:schemeClr w14:val="tx1"/>
            </w14:solidFill>
          </w14:textFill>
        </w:rPr>
      </w:pPr>
    </w:p>
    <w:p w14:paraId="6B6EE00B">
      <w:pPr>
        <w:spacing w:line="360" w:lineRule="auto"/>
        <w:ind w:left="1"/>
        <w:jc w:val="center"/>
        <w:rPr>
          <w:rFonts w:ascii="Calibri" w:hAnsi="Calibri" w:cs="Calibri"/>
          <w:b/>
          <w:color w:val="000000" w:themeColor="text1"/>
          <w:sz w:val="38"/>
          <w14:textFill>
            <w14:solidFill>
              <w14:schemeClr w14:val="tx1"/>
            </w14:solidFill>
          </w14:textFill>
        </w:rPr>
      </w:pPr>
    </w:p>
    <w:p w14:paraId="368AA5EA">
      <w:pPr>
        <w:spacing w:line="360" w:lineRule="auto"/>
        <w:ind w:left="1"/>
        <w:jc w:val="center"/>
        <w:rPr>
          <w:rFonts w:ascii="Calibri" w:hAnsi="Calibri" w:cs="Calibri"/>
          <w:b/>
          <w:color w:val="000000" w:themeColor="text1"/>
          <w:sz w:val="38"/>
          <w14:textFill>
            <w14:solidFill>
              <w14:schemeClr w14:val="tx1"/>
            </w14:solidFill>
          </w14:textFill>
        </w:rPr>
      </w:pPr>
    </w:p>
    <w:p w14:paraId="22134E69">
      <w:pPr>
        <w:spacing w:line="360" w:lineRule="auto"/>
        <w:ind w:left="1"/>
        <w:jc w:val="center"/>
        <w:rPr>
          <w:rFonts w:ascii="Calibri" w:hAnsi="Calibri" w:cs="Calibri"/>
          <w:b/>
          <w:color w:val="000000" w:themeColor="text1"/>
          <w:sz w:val="38"/>
          <w14:textFill>
            <w14:solidFill>
              <w14:schemeClr w14:val="tx1"/>
            </w14:solidFill>
          </w14:textFill>
        </w:rPr>
      </w:pPr>
    </w:p>
    <w:p w14:paraId="2C64F026">
      <w:pPr>
        <w:spacing w:line="360" w:lineRule="auto"/>
        <w:ind w:left="1"/>
        <w:jc w:val="center"/>
        <w:rPr>
          <w:rFonts w:ascii="Calibri" w:hAnsi="Calibri" w:cs="Calibri"/>
          <w:b/>
          <w:color w:val="000000" w:themeColor="text1"/>
          <w:sz w:val="38"/>
          <w14:textFill>
            <w14:solidFill>
              <w14:schemeClr w14:val="tx1"/>
            </w14:solidFill>
          </w14:textFill>
        </w:rPr>
      </w:pPr>
    </w:p>
    <w:p w14:paraId="21AC746E">
      <w:pPr>
        <w:spacing w:line="360" w:lineRule="auto"/>
        <w:jc w:val="both"/>
        <w:rPr>
          <w:rFonts w:ascii="Calibri" w:hAnsi="Calibri" w:cs="Calibri"/>
          <w:b/>
          <w:color w:val="000000" w:themeColor="text1"/>
          <w:sz w:val="38"/>
          <w14:textFill>
            <w14:solidFill>
              <w14:schemeClr w14:val="tx1"/>
            </w14:solidFill>
          </w14:textFill>
        </w:rPr>
      </w:pPr>
    </w:p>
    <w:p w14:paraId="02AAFBEB">
      <w:pPr>
        <w:spacing w:line="360" w:lineRule="auto"/>
        <w:jc w:val="both"/>
        <w:rPr>
          <w:rFonts w:hint="default" w:ascii="Arial" w:hAnsi="Arial" w:cs="Arial"/>
          <w:b/>
          <w:color w:val="000000" w:themeColor="text1"/>
          <w:spacing w:val="-2"/>
          <w:sz w:val="28"/>
          <w:szCs w:val="28"/>
          <w14:textFill>
            <w14:solidFill>
              <w14:schemeClr w14:val="tx1"/>
            </w14:solidFill>
          </w14:textFill>
        </w:rPr>
      </w:pPr>
      <w:r>
        <w:rPr>
          <w:rFonts w:hint="default" w:ascii="Arial" w:hAnsi="Arial" w:cs="Arial"/>
          <w:b/>
          <w:color w:val="000000" w:themeColor="text1"/>
          <w:sz w:val="28"/>
          <w:szCs w:val="28"/>
          <w14:textFill>
            <w14:solidFill>
              <w14:schemeClr w14:val="tx1"/>
            </w14:solidFill>
          </w14:textFill>
        </w:rPr>
        <w:t>Business</w:t>
      </w:r>
      <w:r>
        <w:rPr>
          <w:rFonts w:hint="default" w:ascii="Arial" w:hAnsi="Arial" w:cs="Arial"/>
          <w:b/>
          <w:color w:val="000000" w:themeColor="text1"/>
          <w:spacing w:val="-13"/>
          <w:sz w:val="28"/>
          <w:szCs w:val="28"/>
          <w14:textFill>
            <w14:solidFill>
              <w14:schemeClr w14:val="tx1"/>
            </w14:solidFill>
          </w14:textFill>
        </w:rPr>
        <w:t xml:space="preserve"> </w:t>
      </w:r>
      <w:r>
        <w:rPr>
          <w:rFonts w:hint="default" w:ascii="Arial" w:hAnsi="Arial" w:cs="Arial"/>
          <w:b/>
          <w:color w:val="000000" w:themeColor="text1"/>
          <w:sz w:val="28"/>
          <w:szCs w:val="28"/>
          <w14:textFill>
            <w14:solidFill>
              <w14:schemeClr w14:val="tx1"/>
            </w14:solidFill>
          </w14:textFill>
        </w:rPr>
        <w:t>Development</w:t>
      </w:r>
      <w:r>
        <w:rPr>
          <w:rFonts w:hint="default" w:ascii="Arial" w:hAnsi="Arial" w:cs="Arial"/>
          <w:b/>
          <w:color w:val="000000" w:themeColor="text1"/>
          <w:spacing w:val="-12"/>
          <w:sz w:val="28"/>
          <w:szCs w:val="28"/>
          <w14:textFill>
            <w14:solidFill>
              <w14:schemeClr w14:val="tx1"/>
            </w14:solidFill>
          </w14:textFill>
        </w:rPr>
        <w:t xml:space="preserve"> </w:t>
      </w:r>
      <w:r>
        <w:rPr>
          <w:rFonts w:hint="default" w:ascii="Arial" w:hAnsi="Arial" w:cs="Arial"/>
          <w:b/>
          <w:color w:val="000000" w:themeColor="text1"/>
          <w:sz w:val="28"/>
          <w:szCs w:val="28"/>
          <w14:textFill>
            <w14:solidFill>
              <w14:schemeClr w14:val="tx1"/>
            </w14:solidFill>
          </w14:textFill>
        </w:rPr>
        <w:t>Proposal</w:t>
      </w:r>
      <w:r>
        <w:rPr>
          <w:rFonts w:hint="default" w:ascii="Arial" w:hAnsi="Arial" w:cs="Arial"/>
          <w:b/>
          <w:color w:val="000000" w:themeColor="text1"/>
          <w:spacing w:val="-12"/>
          <w:sz w:val="28"/>
          <w:szCs w:val="28"/>
          <w14:textFill>
            <w14:solidFill>
              <w14:schemeClr w14:val="tx1"/>
            </w14:solidFill>
          </w14:textFill>
        </w:rPr>
        <w:t xml:space="preserve"> </w:t>
      </w:r>
      <w:r>
        <w:rPr>
          <w:rFonts w:hint="default" w:ascii="Arial" w:hAnsi="Arial" w:cs="Arial"/>
          <w:b/>
          <w:color w:val="000000" w:themeColor="text1"/>
          <w:sz w:val="28"/>
          <w:szCs w:val="28"/>
          <w14:textFill>
            <w14:solidFill>
              <w14:schemeClr w14:val="tx1"/>
            </w14:solidFill>
          </w14:textFill>
        </w:rPr>
        <w:t>Outline</w:t>
      </w:r>
      <w:r>
        <w:rPr>
          <w:rFonts w:hint="default" w:ascii="Arial" w:hAnsi="Arial" w:cs="Arial"/>
          <w:b/>
          <w:color w:val="000000" w:themeColor="text1"/>
          <w:spacing w:val="-11"/>
          <w:sz w:val="28"/>
          <w:szCs w:val="28"/>
          <w14:textFill>
            <w14:solidFill>
              <w14:schemeClr w14:val="tx1"/>
            </w14:solidFill>
          </w14:textFill>
        </w:rPr>
        <w:t xml:space="preserve"> </w:t>
      </w:r>
      <w:r>
        <w:rPr>
          <w:rFonts w:hint="default" w:ascii="Arial" w:hAnsi="Arial" w:cs="Arial"/>
          <w:b/>
          <w:color w:val="000000" w:themeColor="text1"/>
          <w:spacing w:val="-2"/>
          <w:sz w:val="28"/>
          <w:szCs w:val="28"/>
          <w14:textFill>
            <w14:solidFill>
              <w14:schemeClr w14:val="tx1"/>
            </w14:solidFill>
          </w14:textFill>
        </w:rPr>
        <w:t>Structure</w:t>
      </w:r>
    </w:p>
    <w:p w14:paraId="0467D5EE">
      <w:pPr>
        <w:spacing w:line="360" w:lineRule="auto"/>
        <w:jc w:val="both"/>
        <w:rPr>
          <w:rFonts w:hint="default" w:ascii="Arial" w:hAnsi="Arial" w:cs="Arial"/>
          <w:b/>
          <w:color w:val="000000" w:themeColor="text1"/>
          <w:spacing w:val="-2"/>
          <w:sz w:val="28"/>
          <w:szCs w:val="28"/>
          <w14:textFill>
            <w14:solidFill>
              <w14:schemeClr w14:val="tx1"/>
            </w14:solidFill>
          </w14:textFill>
        </w:rPr>
      </w:pPr>
    </w:p>
    <w:p w14:paraId="03024A19">
      <w:pPr>
        <w:spacing w:line="360" w:lineRule="auto"/>
        <w:rPr>
          <w:rFonts w:hint="default" w:ascii="Arial" w:hAnsi="Arial" w:cs="Arial"/>
          <w:b/>
          <w:bCs/>
          <w:color w:val="000000" w:themeColor="text1"/>
          <w:sz w:val="24"/>
          <w:szCs w:val="24"/>
          <w:lang w:val="en-GB"/>
          <w14:textFill>
            <w14:solidFill>
              <w14:schemeClr w14:val="tx1"/>
            </w14:solidFill>
          </w14:textFill>
        </w:rPr>
      </w:pPr>
      <w:r>
        <w:rPr>
          <w:rFonts w:hint="default" w:ascii="Arial" w:hAnsi="Arial" w:cs="Arial"/>
          <w:b/>
          <w:bCs/>
          <w:color w:val="000000" w:themeColor="text1"/>
          <w:sz w:val="24"/>
          <w:szCs w:val="24"/>
          <w:lang w:val="en-GB"/>
          <w14:textFill>
            <w14:solidFill>
              <w14:schemeClr w14:val="tx1"/>
            </w14:solidFill>
          </w14:textFill>
        </w:rPr>
        <w:t>AI Use Acknowledgement</w:t>
      </w:r>
    </w:p>
    <w:p w14:paraId="09E14DBE">
      <w:pPr>
        <w:spacing w:after="160"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In this assignment, no AI is used. All the writing in this proposal is the individual work of the writer. </w:t>
      </w:r>
    </w:p>
    <w:p w14:paraId="23702F65">
      <w:pPr>
        <w:pStyle w:val="2"/>
        <w:spacing w:before="360" w:after="180" w:line="360" w:lineRule="auto"/>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1. Introduction</w:t>
      </w:r>
    </w:p>
    <w:p w14:paraId="21D6F719">
      <w:pPr>
        <w:spacing w:after="160" w:line="360" w:lineRule="auto"/>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It is the aim of PMAY-Urban 2.0 scheme by Indian government is to support urban homes over five years for one crore people (Press Information Bureau, 2024), and by June 2026 over 16 lakh were sanctioned (News on AIR, 2026). The fired clay bricks, which consume topsoil and coal, are used for building most of the homes. Meanwhile, India generated about 4.1 million tonnes of plastic waste in 2020–21 (Open Government Data Platform India, 2025). Based on this, the business development proposal (BDP) intends to evaluate whether a startup making plastic eco-bricks can profitably supply small and mid-sized PMAY builders in the Pune Metropolitan Region. Rural housing and premium real estate are excluded in this proposal. However, it is observed that there are mixed reaction on use of plastic bricks, where households will ready to pay for green housing, but there is low awareness among them (International Finance Corporation, 2022).</w:t>
      </w:r>
    </w:p>
    <w:p w14:paraId="4ED23443">
      <w:pPr>
        <w:pStyle w:val="2"/>
        <w:spacing w:before="360" w:after="180" w:line="360" w:lineRule="auto"/>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2. Literature Review</w:t>
      </w:r>
    </w:p>
    <w:p w14:paraId="712BDD0B">
      <w:pPr>
        <w:spacing w:after="160" w:line="360" w:lineRule="auto"/>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In order to evaluate the policy, regulatory and environmental drivers of using these eco bricks, a PESTEL analysis will be conducted. Apart from that, Porter's (2008) Five Forces will also be used to highlight the competitive threats for eco bricks, such as substitute threats from clay, fly-ash, AAC and concrete blocks. There are two theoretical frameworks that will be used for the research, which are Diffusion of Innovation and the Natural Resource-Based View (Rogers, 2003; Tran et al., 2020). Diffusion of Innovation explains the reasons builders adopt or resist new materials. The Natural Resource-Based View (Hart, 1995) frames waste conversion as an advantage. Apart from that, green marketing literature will be reviewed to understand eco bricks (Peattie and Crane, 2005). </w:t>
      </w:r>
    </w:p>
    <w:p w14:paraId="3ACBEA67">
      <w:pPr>
        <w:pStyle w:val="2"/>
        <w:spacing w:before="360" w:after="180" w:line="360" w:lineRule="auto"/>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3. Methodology</w:t>
      </w:r>
    </w:p>
    <w:p w14:paraId="3BEC518D">
      <w:pPr>
        <w:spacing w:after="160" w:line="360" w:lineRule="auto"/>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This research will be based on pragmatism philosophy, where mixed-methods design will be used (Saunders, Lewis and Thornhill, 2023). Secondary data will be collected from sources like MoHUA, BIS standards, life-cycle studies (Jain, Manchanda and Singh, 2024), the schedule of rates and GRIHA/IGBC manuals. Primary data for the research will be collected by conducting an anonymous survey with 30–50 Pune builders. Before conducting the survey, ethics approval will be obtained from the university. The collected data will be analysed by using multi-criteria comparison per 100 m² of wall, with sensitivity tests, market sizing, and a five-year financial model with break-even, NPV and IRR.</w:t>
      </w:r>
    </w:p>
    <w:p w14:paraId="740169C8">
      <w:pPr>
        <w:pStyle w:val="2"/>
        <w:spacing w:before="360" w:after="180" w:line="360" w:lineRule="auto"/>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4. Initial Market Opportunity Analysis</w:t>
      </w:r>
    </w:p>
    <w:p w14:paraId="75441C82">
      <w:pPr>
        <w:spacing w:after="160" w:line="360" w:lineRule="auto"/>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From analysing the initial market of eco bricks, it can be stated that it has great demand in the Indian market, which is around 20 lakh urban homes a year nationally. Thus, a key constrain for using this product is the lack of adoption among people. In this industry, the bargaining power of buyers and the threat of substitutes are high. In this business environment, developers who can obtain GRIHA or IGBC credits can become the strongest first segment that will provide these eco bricks to the market (Dhingra, 2024). The key benefits of this product is that they are reusable, can reduce waste and are carbon neutral, but its key limitations are poor fire performance and quality standards (Yadav, Singh and Bhat, 2024).</w:t>
      </w:r>
    </w:p>
    <w:p w14:paraId="510694FF">
      <w:pPr>
        <w:pStyle w:val="2"/>
        <w:spacing w:before="360" w:after="180" w:line="360" w:lineRule="auto"/>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5. Limitations</w:t>
      </w:r>
    </w:p>
    <w:p w14:paraId="048ED887">
      <w:pPr>
        <w:spacing w:after="160" w:line="360" w:lineRule="auto"/>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There are certain limitations of the research; for example, the first limitation is that non-random sampling will be used to conduct the primary research. The second limitation is that secondary data regarding the durability and fire performance of eco bricks are limited, which can impact the findings.</w:t>
      </w:r>
    </w:p>
    <w:p w14:paraId="77155701">
      <w:pPr>
        <w:pStyle w:val="2"/>
        <w:spacing w:before="360" w:after="180" w:line="360" w:lineRule="auto"/>
        <w:rPr>
          <w:rFonts w:hint="default" w:ascii="Arial" w:hAnsi="Arial" w:cs="Arial"/>
          <w:b w:val="0"/>
          <w:bCs w:val="0"/>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6. Timeframe</w:t>
      </w:r>
    </w:p>
    <w:p w14:paraId="08B7C8C3">
      <w:pPr>
        <w:spacing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The following Table 1 demonstrates the proposed timeframe for conducting the research.  </w:t>
      </w:r>
    </w:p>
    <w:p w14:paraId="0D9D9D03">
      <w:pPr>
        <w:spacing w:before="200" w:after="80" w:line="360" w:lineRule="auto"/>
        <w:jc w:val="center"/>
        <w:rPr>
          <w:rFonts w:hint="default" w:ascii="Arial" w:hAnsi="Arial" w:cs="Arial"/>
          <w:color w:val="000000" w:themeColor="text1"/>
          <w:sz w:val="24"/>
          <w:szCs w:val="24"/>
          <w14:textFill>
            <w14:solidFill>
              <w14:schemeClr w14:val="tx1"/>
            </w14:solidFill>
          </w14:textFill>
        </w:rPr>
      </w:pPr>
      <w:r>
        <w:rPr>
          <w:rFonts w:hint="default" w:ascii="Arial" w:hAnsi="Arial" w:cs="Arial"/>
          <w:b/>
          <w:bCs/>
          <w:color w:val="000000" w:themeColor="text1"/>
          <w:sz w:val="24"/>
          <w:szCs w:val="24"/>
          <w14:textFill>
            <w14:solidFill>
              <w14:schemeClr w14:val="tx1"/>
            </w14:solidFill>
          </w14:textFill>
        </w:rPr>
        <w:t>Table 1: Project timeline</w:t>
      </w:r>
    </w:p>
    <w:tbl>
      <w:tblPr>
        <w:tblStyle w:val="5"/>
        <w:tblW w:w="9026" w:type="dxa"/>
        <w:tblInd w:w="-1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 w:type="dxa"/>
          <w:bottom w:w="0" w:type="dxa"/>
          <w:right w:w="10" w:type="dxa"/>
        </w:tblCellMar>
      </w:tblPr>
      <w:tblGrid>
        <w:gridCol w:w="5000"/>
        <w:gridCol w:w="4026"/>
      </w:tblGrid>
      <w:tr w14:paraId="3F77C0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rPr>
          <w:tblHeader/>
        </w:trPr>
        <w:tc>
          <w:tcPr>
            <w:tcW w:w="5000" w:type="dxa"/>
            <w:tcBorders>
              <w:top w:val="single" w:color="808080" w:sz="4" w:space="0"/>
              <w:left w:val="single" w:color="808080" w:sz="4" w:space="0"/>
              <w:bottom w:val="single" w:color="808080" w:sz="4" w:space="0"/>
              <w:right w:val="single" w:color="808080" w:sz="4" w:space="0"/>
            </w:tcBorders>
            <w:shd w:val="clear" w:color="auto" w:fill="D9E2F3"/>
            <w:tcMar>
              <w:top w:w="60" w:type="dxa"/>
              <w:left w:w="80" w:type="dxa"/>
              <w:bottom w:w="60" w:type="dxa"/>
              <w:right w:w="80" w:type="dxa"/>
            </w:tcMar>
          </w:tcPr>
          <w:p w14:paraId="729D2A18">
            <w:pPr>
              <w:spacing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b/>
                <w:bCs/>
                <w:color w:val="000000" w:themeColor="text1"/>
                <w:sz w:val="24"/>
                <w:szCs w:val="24"/>
                <w14:textFill>
                  <w14:solidFill>
                    <w14:schemeClr w14:val="tx1"/>
                  </w14:solidFill>
                </w14:textFill>
              </w:rPr>
              <w:t>Phase</w:t>
            </w:r>
          </w:p>
        </w:tc>
        <w:tc>
          <w:tcPr>
            <w:tcW w:w="4026" w:type="dxa"/>
            <w:tcBorders>
              <w:top w:val="single" w:color="808080" w:sz="4" w:space="0"/>
              <w:left w:val="single" w:color="808080" w:sz="4" w:space="0"/>
              <w:bottom w:val="single" w:color="808080" w:sz="4" w:space="0"/>
              <w:right w:val="single" w:color="808080" w:sz="4" w:space="0"/>
            </w:tcBorders>
            <w:shd w:val="clear" w:color="auto" w:fill="D9E2F3"/>
            <w:tcMar>
              <w:top w:w="60" w:type="dxa"/>
              <w:left w:w="80" w:type="dxa"/>
              <w:bottom w:w="60" w:type="dxa"/>
              <w:right w:w="80" w:type="dxa"/>
            </w:tcMar>
          </w:tcPr>
          <w:p w14:paraId="1264C8CB">
            <w:pPr>
              <w:spacing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b/>
                <w:bCs/>
                <w:color w:val="000000" w:themeColor="text1"/>
                <w:sz w:val="24"/>
                <w:szCs w:val="24"/>
                <w14:textFill>
                  <w14:solidFill>
                    <w14:schemeClr w14:val="tx1"/>
                  </w14:solidFill>
                </w14:textFill>
              </w:rPr>
              <w:t>Dates</w:t>
            </w:r>
          </w:p>
        </w:tc>
      </w:tr>
      <w:tr w14:paraId="6B80B6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rPr>
          <w:cantSplit/>
        </w:trPr>
        <w:tc>
          <w:tcPr>
            <w:tcW w:w="5000" w:type="dxa"/>
            <w:tcBorders>
              <w:top w:val="single" w:color="808080" w:sz="4" w:space="0"/>
              <w:left w:val="single" w:color="808080" w:sz="4" w:space="0"/>
              <w:bottom w:val="single" w:color="808080" w:sz="4" w:space="0"/>
              <w:right w:val="single" w:color="808080" w:sz="4" w:space="0"/>
            </w:tcBorders>
            <w:tcMar>
              <w:top w:w="60" w:type="dxa"/>
              <w:left w:w="80" w:type="dxa"/>
              <w:bottom w:w="60" w:type="dxa"/>
              <w:right w:w="80" w:type="dxa"/>
            </w:tcMar>
          </w:tcPr>
          <w:p w14:paraId="702B7280">
            <w:pPr>
              <w:spacing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Outline and ethics form</w:t>
            </w:r>
          </w:p>
        </w:tc>
        <w:tc>
          <w:tcPr>
            <w:tcW w:w="4026" w:type="dxa"/>
            <w:tcBorders>
              <w:top w:val="single" w:color="808080" w:sz="4" w:space="0"/>
              <w:left w:val="single" w:color="808080" w:sz="4" w:space="0"/>
              <w:bottom w:val="single" w:color="808080" w:sz="4" w:space="0"/>
              <w:right w:val="single" w:color="808080" w:sz="4" w:space="0"/>
            </w:tcBorders>
            <w:tcMar>
              <w:top w:w="60" w:type="dxa"/>
              <w:left w:w="80" w:type="dxa"/>
              <w:bottom w:w="60" w:type="dxa"/>
              <w:right w:w="80" w:type="dxa"/>
            </w:tcMar>
          </w:tcPr>
          <w:p w14:paraId="4DD47B08">
            <w:pPr>
              <w:spacing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By 6 Nov 2026</w:t>
            </w:r>
          </w:p>
        </w:tc>
      </w:tr>
      <w:tr w14:paraId="47548F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rPr>
          <w:cantSplit/>
        </w:trPr>
        <w:tc>
          <w:tcPr>
            <w:tcW w:w="5000" w:type="dxa"/>
            <w:tcBorders>
              <w:top w:val="single" w:color="808080" w:sz="4" w:space="0"/>
              <w:left w:val="single" w:color="808080" w:sz="4" w:space="0"/>
              <w:bottom w:val="single" w:color="808080" w:sz="4" w:space="0"/>
              <w:right w:val="single" w:color="808080" w:sz="4" w:space="0"/>
            </w:tcBorders>
            <w:tcMar>
              <w:top w:w="60" w:type="dxa"/>
              <w:left w:w="80" w:type="dxa"/>
              <w:bottom w:w="60" w:type="dxa"/>
              <w:right w:w="80" w:type="dxa"/>
            </w:tcMar>
          </w:tcPr>
          <w:p w14:paraId="43E0695F">
            <w:pPr>
              <w:spacing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Literature and secondary data</w:t>
            </w:r>
          </w:p>
        </w:tc>
        <w:tc>
          <w:tcPr>
            <w:tcW w:w="4026" w:type="dxa"/>
            <w:tcBorders>
              <w:top w:val="single" w:color="808080" w:sz="4" w:space="0"/>
              <w:left w:val="single" w:color="808080" w:sz="4" w:space="0"/>
              <w:bottom w:val="single" w:color="808080" w:sz="4" w:space="0"/>
              <w:right w:val="single" w:color="808080" w:sz="4" w:space="0"/>
            </w:tcBorders>
            <w:tcMar>
              <w:top w:w="60" w:type="dxa"/>
              <w:left w:w="80" w:type="dxa"/>
              <w:bottom w:w="60" w:type="dxa"/>
              <w:right w:w="80" w:type="dxa"/>
            </w:tcMar>
          </w:tcPr>
          <w:p w14:paraId="133730B7">
            <w:pPr>
              <w:spacing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9–29 Nov</w:t>
            </w:r>
          </w:p>
        </w:tc>
      </w:tr>
      <w:tr w14:paraId="645582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rPr>
          <w:cantSplit/>
        </w:trPr>
        <w:tc>
          <w:tcPr>
            <w:tcW w:w="5000" w:type="dxa"/>
            <w:tcBorders>
              <w:top w:val="single" w:color="808080" w:sz="4" w:space="0"/>
              <w:left w:val="single" w:color="808080" w:sz="4" w:space="0"/>
              <w:bottom w:val="single" w:color="808080" w:sz="4" w:space="0"/>
              <w:right w:val="single" w:color="808080" w:sz="4" w:space="0"/>
            </w:tcBorders>
            <w:tcMar>
              <w:top w:w="60" w:type="dxa"/>
              <w:left w:w="80" w:type="dxa"/>
              <w:bottom w:w="60" w:type="dxa"/>
              <w:right w:w="80" w:type="dxa"/>
            </w:tcMar>
          </w:tcPr>
          <w:p w14:paraId="121ADC11">
            <w:pPr>
              <w:spacing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Survey and analysis</w:t>
            </w:r>
          </w:p>
        </w:tc>
        <w:tc>
          <w:tcPr>
            <w:tcW w:w="4026" w:type="dxa"/>
            <w:tcBorders>
              <w:top w:val="single" w:color="808080" w:sz="4" w:space="0"/>
              <w:left w:val="single" w:color="808080" w:sz="4" w:space="0"/>
              <w:bottom w:val="single" w:color="808080" w:sz="4" w:space="0"/>
              <w:right w:val="single" w:color="808080" w:sz="4" w:space="0"/>
            </w:tcBorders>
            <w:tcMar>
              <w:top w:w="60" w:type="dxa"/>
              <w:left w:w="80" w:type="dxa"/>
              <w:bottom w:w="60" w:type="dxa"/>
              <w:right w:w="80" w:type="dxa"/>
            </w:tcMar>
          </w:tcPr>
          <w:p w14:paraId="2B793791">
            <w:pPr>
              <w:spacing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30 Nov–20 Dec</w:t>
            </w:r>
          </w:p>
        </w:tc>
      </w:tr>
      <w:tr w14:paraId="6D16E6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rPr>
          <w:cantSplit/>
        </w:trPr>
        <w:tc>
          <w:tcPr>
            <w:tcW w:w="5000" w:type="dxa"/>
            <w:tcBorders>
              <w:top w:val="single" w:color="808080" w:sz="4" w:space="0"/>
              <w:left w:val="single" w:color="808080" w:sz="4" w:space="0"/>
              <w:bottom w:val="single" w:color="808080" w:sz="4" w:space="0"/>
              <w:right w:val="single" w:color="808080" w:sz="4" w:space="0"/>
            </w:tcBorders>
            <w:tcMar>
              <w:top w:w="60" w:type="dxa"/>
              <w:left w:w="80" w:type="dxa"/>
              <w:bottom w:w="60" w:type="dxa"/>
              <w:right w:w="80" w:type="dxa"/>
            </w:tcMar>
          </w:tcPr>
          <w:p w14:paraId="3F86E29C">
            <w:pPr>
              <w:spacing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Full draft</w:t>
            </w:r>
          </w:p>
        </w:tc>
        <w:tc>
          <w:tcPr>
            <w:tcW w:w="4026" w:type="dxa"/>
            <w:tcBorders>
              <w:top w:val="single" w:color="808080" w:sz="4" w:space="0"/>
              <w:left w:val="single" w:color="808080" w:sz="4" w:space="0"/>
              <w:bottom w:val="single" w:color="808080" w:sz="4" w:space="0"/>
              <w:right w:val="single" w:color="808080" w:sz="4" w:space="0"/>
            </w:tcBorders>
            <w:tcMar>
              <w:top w:w="60" w:type="dxa"/>
              <w:left w:w="80" w:type="dxa"/>
              <w:bottom w:w="60" w:type="dxa"/>
              <w:right w:w="80" w:type="dxa"/>
            </w:tcMar>
          </w:tcPr>
          <w:p w14:paraId="34B05E1A">
            <w:pPr>
              <w:spacing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21 Dec–11 Jan</w:t>
            </w:r>
          </w:p>
        </w:tc>
      </w:tr>
      <w:tr w14:paraId="009891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 w:type="dxa"/>
            <w:bottom w:w="0" w:type="dxa"/>
            <w:right w:w="10" w:type="dxa"/>
          </w:tblCellMar>
        </w:tblPrEx>
        <w:trPr>
          <w:cantSplit/>
        </w:trPr>
        <w:tc>
          <w:tcPr>
            <w:tcW w:w="5000" w:type="dxa"/>
            <w:tcBorders>
              <w:top w:val="single" w:color="808080" w:sz="4" w:space="0"/>
              <w:left w:val="single" w:color="808080" w:sz="4" w:space="0"/>
              <w:bottom w:val="single" w:color="808080" w:sz="4" w:space="0"/>
              <w:right w:val="single" w:color="808080" w:sz="4" w:space="0"/>
            </w:tcBorders>
            <w:tcMar>
              <w:top w:w="60" w:type="dxa"/>
              <w:left w:w="80" w:type="dxa"/>
              <w:bottom w:w="60" w:type="dxa"/>
              <w:right w:w="80" w:type="dxa"/>
            </w:tcMar>
          </w:tcPr>
          <w:p w14:paraId="229D90BC">
            <w:pPr>
              <w:spacing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Revision and submission</w:t>
            </w:r>
          </w:p>
        </w:tc>
        <w:tc>
          <w:tcPr>
            <w:tcW w:w="4026" w:type="dxa"/>
            <w:tcBorders>
              <w:top w:val="single" w:color="808080" w:sz="4" w:space="0"/>
              <w:left w:val="single" w:color="808080" w:sz="4" w:space="0"/>
              <w:bottom w:val="single" w:color="808080" w:sz="4" w:space="0"/>
              <w:right w:val="single" w:color="808080" w:sz="4" w:space="0"/>
            </w:tcBorders>
            <w:tcMar>
              <w:top w:w="60" w:type="dxa"/>
              <w:left w:w="80" w:type="dxa"/>
              <w:bottom w:w="60" w:type="dxa"/>
              <w:right w:w="80" w:type="dxa"/>
            </w:tcMar>
          </w:tcPr>
          <w:p w14:paraId="11C65431">
            <w:pPr>
              <w:spacing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12–22 Jan 2027</w:t>
            </w:r>
          </w:p>
        </w:tc>
      </w:tr>
    </w:tbl>
    <w:p w14:paraId="781C4432">
      <w:pPr>
        <w:spacing w:before="60" w:after="200" w:line="360" w:lineRule="auto"/>
        <w:rPr>
          <w:rFonts w:hint="default" w:ascii="Arial" w:hAnsi="Arial" w:cs="Arial"/>
          <w:color w:val="000000" w:themeColor="text1"/>
          <w:sz w:val="24"/>
          <w:szCs w:val="24"/>
          <w14:textFill>
            <w14:solidFill>
              <w14:schemeClr w14:val="tx1"/>
            </w14:solidFill>
          </w14:textFill>
        </w:rPr>
      </w:pPr>
      <w:r>
        <w:rPr>
          <w:rFonts w:hint="default" w:ascii="Arial" w:hAnsi="Arial" w:cs="Arial"/>
          <w:i/>
          <w:iCs/>
          <w:color w:val="000000" w:themeColor="text1"/>
          <w:sz w:val="24"/>
          <w:szCs w:val="24"/>
          <w14:textFill>
            <w14:solidFill>
              <w14:schemeClr w14:val="tx1"/>
            </w14:solidFill>
          </w14:textFill>
        </w:rPr>
        <w:t>Source: Author's own, based on LCMB7037 module deadlines.</w:t>
      </w:r>
    </w:p>
    <w:p w14:paraId="6F711D03">
      <w:pPr>
        <w:pStyle w:val="2"/>
        <w:spacing w:before="360" w:after="180" w:line="360" w:lineRule="auto"/>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7. Conclusion</w:t>
      </w:r>
    </w:p>
    <w:p w14:paraId="6172E237">
      <w:pPr>
        <w:spacing w:after="160" w:line="360" w:lineRule="auto"/>
        <w:jc w:val="both"/>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In conclusion, it can be stated that there is real opportunity for small and mid-sized PMAY builders to provide eco bricks, but its success depends on whether the builders of homes will adopt this new eco-friendly material. The diffusion of innovation and resource-based view theoretical frameworks and mixed-methods design will be used in this research to understand the effectiveness of this product for the Pune Metropolitan Region.</w:t>
      </w:r>
    </w:p>
    <w:p w14:paraId="0F5D4800">
      <w:pPr>
        <w:spacing w:line="360" w:lineRule="auto"/>
        <w:rPr>
          <w:rFonts w:ascii="Calibri" w:hAnsi="Calibri" w:cs="Calibri"/>
          <w:color w:val="000000" w:themeColor="text1"/>
          <w14:textFill>
            <w14:solidFill>
              <w14:schemeClr w14:val="tx1"/>
            </w14:solidFill>
          </w14:textFill>
        </w:rPr>
      </w:pPr>
      <w:r>
        <w:rPr>
          <w:rFonts w:ascii="Calibri" w:hAnsi="Calibri" w:cs="Calibri"/>
          <w:color w:val="000000" w:themeColor="text1"/>
          <w14:textFill>
            <w14:solidFill>
              <w14:schemeClr w14:val="tx1"/>
            </w14:solidFill>
          </w14:textFill>
        </w:rPr>
        <w:br w:type="page"/>
      </w:r>
    </w:p>
    <w:p w14:paraId="089FF0AF">
      <w:pPr>
        <w:pStyle w:val="2"/>
        <w:spacing w:before="360" w:after="180" w:line="360" w:lineRule="auto"/>
        <w:rPr>
          <w:rFonts w:hint="default" w:ascii="Arial" w:hAnsi="Arial" w:cs="Arial"/>
          <w:color w:val="000000" w:themeColor="text1"/>
          <w:sz w:val="24"/>
          <w:szCs w:val="24"/>
          <w:lang w:val="en-GB"/>
          <w14:textFill>
            <w14:solidFill>
              <w14:schemeClr w14:val="tx1"/>
            </w14:solidFill>
          </w14:textFill>
        </w:rPr>
      </w:pPr>
      <w:r>
        <w:rPr>
          <w:rFonts w:hint="default" w:ascii="Arial" w:hAnsi="Arial" w:cs="Arial"/>
          <w:color w:val="000000" w:themeColor="text1"/>
          <w:sz w:val="24"/>
          <w:szCs w:val="24"/>
          <w:lang w:val="en-GB"/>
          <w14:textFill>
            <w14:solidFill>
              <w14:schemeClr w14:val="tx1"/>
            </w14:solidFill>
          </w14:textFill>
        </w:rPr>
        <w:t>8. References</w:t>
      </w:r>
    </w:p>
    <w:p w14:paraId="7AE12464">
      <w:pPr>
        <w:spacing w:after="120" w:line="360" w:lineRule="auto"/>
        <w:ind w:left="567" w:hanging="567"/>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Dhingra, R. (2024) 'Review of Indian green building rating systems by using Analytical Hierarchy Process (AHP) on various parameters', </w:t>
      </w:r>
      <w:r>
        <w:rPr>
          <w:rFonts w:hint="default" w:ascii="Arial" w:hAnsi="Arial" w:cs="Arial"/>
          <w:i/>
          <w:iCs/>
          <w:color w:val="000000" w:themeColor="text1"/>
          <w:sz w:val="24"/>
          <w:szCs w:val="24"/>
          <w14:textFill>
            <w14:solidFill>
              <w14:schemeClr w14:val="tx1"/>
            </w14:solidFill>
          </w14:textFill>
        </w:rPr>
        <w:t xml:space="preserve">Discover Sustainability, </w:t>
      </w:r>
      <w:r>
        <w:rPr>
          <w:rFonts w:hint="default" w:ascii="Arial" w:hAnsi="Arial" w:cs="Arial"/>
          <w:color w:val="000000" w:themeColor="text1"/>
          <w:sz w:val="24"/>
          <w:szCs w:val="24"/>
          <w14:textFill>
            <w14:solidFill>
              <w14:schemeClr w14:val="tx1"/>
            </w14:solidFill>
          </w14:textFill>
        </w:rPr>
        <w:t xml:space="preserve">5, 210. Available at: </w:t>
      </w:r>
      <w:r>
        <w:rPr>
          <w:rFonts w:hint="default" w:ascii="Arial" w:hAnsi="Arial" w:cs="Arial"/>
          <w:color w:val="000000" w:themeColor="text1"/>
          <w:sz w:val="24"/>
          <w:szCs w:val="24"/>
          <w14:textFill>
            <w14:solidFill>
              <w14:schemeClr w14:val="tx1"/>
            </w14:solidFill>
          </w14:textFill>
        </w:rPr>
        <w:fldChar w:fldCharType="begin"/>
      </w:r>
      <w:r>
        <w:rPr>
          <w:rFonts w:hint="default" w:ascii="Arial" w:hAnsi="Arial" w:cs="Arial"/>
          <w:color w:val="000000" w:themeColor="text1"/>
          <w:sz w:val="24"/>
          <w:szCs w:val="24"/>
          <w14:textFill>
            <w14:solidFill>
              <w14:schemeClr w14:val="tx1"/>
            </w14:solidFill>
          </w14:textFill>
        </w:rPr>
        <w:instrText xml:space="preserve"> HYPERLINK "https://doi.org/10.1007/s43621-024-00355-7" </w:instrText>
      </w:r>
      <w:r>
        <w:rPr>
          <w:rFonts w:hint="default" w:ascii="Arial" w:hAnsi="Arial" w:cs="Arial"/>
          <w:color w:val="000000" w:themeColor="text1"/>
          <w:sz w:val="24"/>
          <w:szCs w:val="24"/>
          <w14:textFill>
            <w14:solidFill>
              <w14:schemeClr w14:val="tx1"/>
            </w14:solidFill>
          </w14:textFill>
        </w:rPr>
        <w:fldChar w:fldCharType="separate"/>
      </w:r>
      <w:r>
        <w:rPr>
          <w:rFonts w:hint="default" w:ascii="Arial" w:hAnsi="Arial" w:cs="Arial"/>
          <w:color w:val="000000" w:themeColor="text1"/>
          <w:sz w:val="24"/>
          <w:szCs w:val="24"/>
          <w:u w:val="single"/>
          <w14:textFill>
            <w14:solidFill>
              <w14:schemeClr w14:val="tx1"/>
            </w14:solidFill>
          </w14:textFill>
        </w:rPr>
        <w:t>https://doi.org/10.1007/s43621-024-00355-7</w:t>
      </w:r>
      <w:r>
        <w:rPr>
          <w:rFonts w:hint="default" w:ascii="Arial" w:hAnsi="Arial" w:cs="Arial"/>
          <w:color w:val="000000" w:themeColor="text1"/>
          <w:sz w:val="24"/>
          <w:szCs w:val="24"/>
          <w:u w:val="single"/>
          <w14:textFill>
            <w14:solidFill>
              <w14:schemeClr w14:val="tx1"/>
            </w14:solidFill>
          </w14:textFill>
        </w:rPr>
        <w:fldChar w:fldCharType="end"/>
      </w:r>
      <w:r>
        <w:rPr>
          <w:rFonts w:hint="default" w:ascii="Arial" w:hAnsi="Arial" w:cs="Arial"/>
          <w:color w:val="000000" w:themeColor="text1"/>
          <w:sz w:val="24"/>
          <w:szCs w:val="24"/>
          <w14:textFill>
            <w14:solidFill>
              <w14:schemeClr w14:val="tx1"/>
            </w14:solidFill>
          </w14:textFill>
        </w:rPr>
        <w:t xml:space="preserve"> (Accessed: 14 October 2026).</w:t>
      </w:r>
    </w:p>
    <w:p w14:paraId="2A3E00B9">
      <w:pPr>
        <w:spacing w:after="120" w:line="360" w:lineRule="auto"/>
        <w:ind w:left="567" w:hanging="567"/>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Hart, S.L. (1995) 'A natural-resource-based view of the firm', </w:t>
      </w:r>
      <w:r>
        <w:rPr>
          <w:rFonts w:hint="default" w:ascii="Arial" w:hAnsi="Arial" w:cs="Arial"/>
          <w:i/>
          <w:iCs/>
          <w:color w:val="000000" w:themeColor="text1"/>
          <w:sz w:val="24"/>
          <w:szCs w:val="24"/>
          <w14:textFill>
            <w14:solidFill>
              <w14:schemeClr w14:val="tx1"/>
            </w14:solidFill>
          </w14:textFill>
        </w:rPr>
        <w:t xml:space="preserve">Academy of Management Review, </w:t>
      </w:r>
      <w:r>
        <w:rPr>
          <w:rFonts w:hint="default" w:ascii="Arial" w:hAnsi="Arial" w:cs="Arial"/>
          <w:color w:val="000000" w:themeColor="text1"/>
          <w:sz w:val="24"/>
          <w:szCs w:val="24"/>
          <w14:textFill>
            <w14:solidFill>
              <w14:schemeClr w14:val="tx1"/>
            </w14:solidFill>
          </w14:textFill>
        </w:rPr>
        <w:t xml:space="preserve">20(4), pp. 986–1014. Available at: </w:t>
      </w:r>
      <w:r>
        <w:rPr>
          <w:rFonts w:hint="default" w:ascii="Arial" w:hAnsi="Arial" w:cs="Arial"/>
          <w:color w:val="000000" w:themeColor="text1"/>
          <w:sz w:val="24"/>
          <w:szCs w:val="24"/>
          <w14:textFill>
            <w14:solidFill>
              <w14:schemeClr w14:val="tx1"/>
            </w14:solidFill>
          </w14:textFill>
        </w:rPr>
        <w:fldChar w:fldCharType="begin"/>
      </w:r>
      <w:r>
        <w:rPr>
          <w:rFonts w:hint="default" w:ascii="Arial" w:hAnsi="Arial" w:cs="Arial"/>
          <w:color w:val="000000" w:themeColor="text1"/>
          <w:sz w:val="24"/>
          <w:szCs w:val="24"/>
          <w14:textFill>
            <w14:solidFill>
              <w14:schemeClr w14:val="tx1"/>
            </w14:solidFill>
          </w14:textFill>
        </w:rPr>
        <w:instrText xml:space="preserve"> HYPERLINK "https://doi.org/10.5465/amr.1995.9512280033" </w:instrText>
      </w:r>
      <w:r>
        <w:rPr>
          <w:rFonts w:hint="default" w:ascii="Arial" w:hAnsi="Arial" w:cs="Arial"/>
          <w:color w:val="000000" w:themeColor="text1"/>
          <w:sz w:val="24"/>
          <w:szCs w:val="24"/>
          <w14:textFill>
            <w14:solidFill>
              <w14:schemeClr w14:val="tx1"/>
            </w14:solidFill>
          </w14:textFill>
        </w:rPr>
        <w:fldChar w:fldCharType="separate"/>
      </w:r>
      <w:r>
        <w:rPr>
          <w:rFonts w:hint="default" w:ascii="Arial" w:hAnsi="Arial" w:cs="Arial"/>
          <w:color w:val="000000" w:themeColor="text1"/>
          <w:sz w:val="24"/>
          <w:szCs w:val="24"/>
          <w:u w:val="single"/>
          <w14:textFill>
            <w14:solidFill>
              <w14:schemeClr w14:val="tx1"/>
            </w14:solidFill>
          </w14:textFill>
        </w:rPr>
        <w:t>https://doi.org/10.5465/amr.1995.9512280033</w:t>
      </w:r>
      <w:r>
        <w:rPr>
          <w:rFonts w:hint="default" w:ascii="Arial" w:hAnsi="Arial" w:cs="Arial"/>
          <w:color w:val="000000" w:themeColor="text1"/>
          <w:sz w:val="24"/>
          <w:szCs w:val="24"/>
          <w:u w:val="single"/>
          <w14:textFill>
            <w14:solidFill>
              <w14:schemeClr w14:val="tx1"/>
            </w14:solidFill>
          </w14:textFill>
        </w:rPr>
        <w:fldChar w:fldCharType="end"/>
      </w:r>
      <w:r>
        <w:rPr>
          <w:rFonts w:hint="default" w:ascii="Arial" w:hAnsi="Arial" w:cs="Arial"/>
          <w:color w:val="000000" w:themeColor="text1"/>
          <w:sz w:val="24"/>
          <w:szCs w:val="24"/>
          <w14:textFill>
            <w14:solidFill>
              <w14:schemeClr w14:val="tx1"/>
            </w14:solidFill>
          </w14:textFill>
        </w:rPr>
        <w:t xml:space="preserve"> (Accessed: 19 October 2026).</w:t>
      </w:r>
    </w:p>
    <w:p w14:paraId="27AE7E5E">
      <w:pPr>
        <w:spacing w:after="120" w:line="360" w:lineRule="auto"/>
        <w:ind w:left="567" w:hanging="567"/>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International Finance Corporation (2022) </w:t>
      </w:r>
      <w:r>
        <w:rPr>
          <w:rFonts w:hint="default" w:ascii="Arial" w:hAnsi="Arial" w:cs="Arial"/>
          <w:i/>
          <w:iCs/>
          <w:color w:val="000000" w:themeColor="text1"/>
          <w:sz w:val="24"/>
          <w:szCs w:val="24"/>
          <w14:textFill>
            <w14:solidFill>
              <w14:schemeClr w14:val="tx1"/>
            </w14:solidFill>
          </w14:textFill>
        </w:rPr>
        <w:t xml:space="preserve">Market research report on business case for affordable green housing finance in India. Washington, DC: International Finance Corporation. </w:t>
      </w:r>
      <w:r>
        <w:rPr>
          <w:rFonts w:hint="default" w:ascii="Arial" w:hAnsi="Arial" w:cs="Arial"/>
          <w:color w:val="000000" w:themeColor="text1"/>
          <w:sz w:val="24"/>
          <w:szCs w:val="24"/>
          <w14:textFill>
            <w14:solidFill>
              <w14:schemeClr w14:val="tx1"/>
            </w14:solidFill>
          </w14:textFill>
        </w:rPr>
        <w:t xml:space="preserve">Available at: </w:t>
      </w:r>
      <w:r>
        <w:rPr>
          <w:rFonts w:hint="default" w:ascii="Arial" w:hAnsi="Arial" w:cs="Arial"/>
          <w:color w:val="000000" w:themeColor="text1"/>
          <w:sz w:val="24"/>
          <w:szCs w:val="24"/>
          <w14:textFill>
            <w14:solidFill>
              <w14:schemeClr w14:val="tx1"/>
            </w14:solidFill>
          </w14:textFill>
        </w:rPr>
        <w:fldChar w:fldCharType="begin"/>
      </w:r>
      <w:r>
        <w:rPr>
          <w:rFonts w:hint="default" w:ascii="Arial" w:hAnsi="Arial" w:cs="Arial"/>
          <w:color w:val="000000" w:themeColor="text1"/>
          <w:sz w:val="24"/>
          <w:szCs w:val="24"/>
          <w14:textFill>
            <w14:solidFill>
              <w14:schemeClr w14:val="tx1"/>
            </w14:solidFill>
          </w14:textFill>
        </w:rPr>
        <w:instrText xml:space="preserve"> HYPERLINK "https://www.ifc.org/en/insights-reports/2023/market-research-affordable-green-housing-finance-in-india" </w:instrText>
      </w:r>
      <w:r>
        <w:rPr>
          <w:rFonts w:hint="default" w:ascii="Arial" w:hAnsi="Arial" w:cs="Arial"/>
          <w:color w:val="000000" w:themeColor="text1"/>
          <w:sz w:val="24"/>
          <w:szCs w:val="24"/>
          <w14:textFill>
            <w14:solidFill>
              <w14:schemeClr w14:val="tx1"/>
            </w14:solidFill>
          </w14:textFill>
        </w:rPr>
        <w:fldChar w:fldCharType="separate"/>
      </w:r>
      <w:r>
        <w:rPr>
          <w:rFonts w:hint="default" w:ascii="Arial" w:hAnsi="Arial" w:cs="Arial"/>
          <w:color w:val="000000" w:themeColor="text1"/>
          <w:sz w:val="24"/>
          <w:szCs w:val="24"/>
          <w:u w:val="single"/>
          <w14:textFill>
            <w14:solidFill>
              <w14:schemeClr w14:val="tx1"/>
            </w14:solidFill>
          </w14:textFill>
        </w:rPr>
        <w:t>https://www.ifc.org/en/insights-reports/2023/market-research-affordable-green-housing-finance-in-india</w:t>
      </w:r>
      <w:r>
        <w:rPr>
          <w:rFonts w:hint="default" w:ascii="Arial" w:hAnsi="Arial" w:cs="Arial"/>
          <w:color w:val="000000" w:themeColor="text1"/>
          <w:sz w:val="24"/>
          <w:szCs w:val="24"/>
          <w:u w:val="single"/>
          <w14:textFill>
            <w14:solidFill>
              <w14:schemeClr w14:val="tx1"/>
            </w14:solidFill>
          </w14:textFill>
        </w:rPr>
        <w:fldChar w:fldCharType="end"/>
      </w:r>
      <w:r>
        <w:rPr>
          <w:rFonts w:hint="default" w:ascii="Arial" w:hAnsi="Arial" w:cs="Arial"/>
          <w:color w:val="000000" w:themeColor="text1"/>
          <w:sz w:val="24"/>
          <w:szCs w:val="24"/>
          <w14:textFill>
            <w14:solidFill>
              <w14:schemeClr w14:val="tx1"/>
            </w14:solidFill>
          </w14:textFill>
        </w:rPr>
        <w:t xml:space="preserve"> (Accessed: 14 October 2026).</w:t>
      </w:r>
    </w:p>
    <w:p w14:paraId="6C32A8B9">
      <w:pPr>
        <w:spacing w:after="120" w:line="360" w:lineRule="auto"/>
        <w:ind w:left="567" w:hanging="567"/>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Jain, G., Manchanda, S. and Singh, M. (2024) 'Embodied energy and thermal performance of alternate walling materials in affordable housing in the composite climate of Delhi', </w:t>
      </w:r>
      <w:r>
        <w:rPr>
          <w:rFonts w:hint="default" w:ascii="Arial" w:hAnsi="Arial" w:cs="Arial"/>
          <w:i/>
          <w:iCs/>
          <w:color w:val="000000" w:themeColor="text1"/>
          <w:sz w:val="24"/>
          <w:szCs w:val="24"/>
          <w14:textFill>
            <w14:solidFill>
              <w14:schemeClr w14:val="tx1"/>
            </w14:solidFill>
          </w14:textFill>
        </w:rPr>
        <w:t>Current World Environment,</w:t>
      </w:r>
      <w:r>
        <w:rPr>
          <w:rFonts w:hint="default" w:ascii="Arial" w:hAnsi="Arial" w:cs="Arial"/>
          <w:color w:val="000000" w:themeColor="text1"/>
          <w:sz w:val="24"/>
          <w:szCs w:val="24"/>
          <w14:textFill>
            <w14:solidFill>
              <w14:schemeClr w14:val="tx1"/>
            </w14:solidFill>
          </w14:textFill>
        </w:rPr>
        <w:t xml:space="preserve"> 19(1), pp. 146–155. Available at: </w:t>
      </w:r>
      <w:r>
        <w:rPr>
          <w:rFonts w:hint="default" w:ascii="Arial" w:hAnsi="Arial" w:cs="Arial"/>
          <w:color w:val="000000" w:themeColor="text1"/>
          <w:sz w:val="24"/>
          <w:szCs w:val="24"/>
          <w14:textFill>
            <w14:solidFill>
              <w14:schemeClr w14:val="tx1"/>
            </w14:solidFill>
          </w14:textFill>
        </w:rPr>
        <w:fldChar w:fldCharType="begin"/>
      </w:r>
      <w:r>
        <w:rPr>
          <w:rFonts w:hint="default" w:ascii="Arial" w:hAnsi="Arial" w:cs="Arial"/>
          <w:color w:val="000000" w:themeColor="text1"/>
          <w:sz w:val="24"/>
          <w:szCs w:val="24"/>
          <w14:textFill>
            <w14:solidFill>
              <w14:schemeClr w14:val="tx1"/>
            </w14:solidFill>
          </w14:textFill>
        </w:rPr>
        <w:instrText xml:space="preserve"> HYPERLINK "https://doi.org/10.12944/CWE.19.1.13" </w:instrText>
      </w:r>
      <w:r>
        <w:rPr>
          <w:rFonts w:hint="default" w:ascii="Arial" w:hAnsi="Arial" w:cs="Arial"/>
          <w:color w:val="000000" w:themeColor="text1"/>
          <w:sz w:val="24"/>
          <w:szCs w:val="24"/>
          <w14:textFill>
            <w14:solidFill>
              <w14:schemeClr w14:val="tx1"/>
            </w14:solidFill>
          </w14:textFill>
        </w:rPr>
        <w:fldChar w:fldCharType="separate"/>
      </w:r>
      <w:r>
        <w:rPr>
          <w:rFonts w:hint="default" w:ascii="Arial" w:hAnsi="Arial" w:cs="Arial"/>
          <w:color w:val="000000" w:themeColor="text1"/>
          <w:sz w:val="24"/>
          <w:szCs w:val="24"/>
          <w:u w:val="single"/>
          <w14:textFill>
            <w14:solidFill>
              <w14:schemeClr w14:val="tx1"/>
            </w14:solidFill>
          </w14:textFill>
        </w:rPr>
        <w:t>https://doi.org/10.12944/CWE.19.1.13</w:t>
      </w:r>
      <w:r>
        <w:rPr>
          <w:rFonts w:hint="default" w:ascii="Arial" w:hAnsi="Arial" w:cs="Arial"/>
          <w:color w:val="000000" w:themeColor="text1"/>
          <w:sz w:val="24"/>
          <w:szCs w:val="24"/>
          <w:u w:val="single"/>
          <w14:textFill>
            <w14:solidFill>
              <w14:schemeClr w14:val="tx1"/>
            </w14:solidFill>
          </w14:textFill>
        </w:rPr>
        <w:fldChar w:fldCharType="end"/>
      </w:r>
      <w:r>
        <w:rPr>
          <w:rFonts w:hint="default" w:ascii="Arial" w:hAnsi="Arial" w:cs="Arial"/>
          <w:color w:val="000000" w:themeColor="text1"/>
          <w:sz w:val="24"/>
          <w:szCs w:val="24"/>
          <w14:textFill>
            <w14:solidFill>
              <w14:schemeClr w14:val="tx1"/>
            </w14:solidFill>
          </w14:textFill>
        </w:rPr>
        <w:t xml:space="preserve"> (Accessed: 14 October 2026).</w:t>
      </w:r>
    </w:p>
    <w:p w14:paraId="6E7FB378">
      <w:pPr>
        <w:spacing w:after="120" w:line="360" w:lineRule="auto"/>
        <w:ind w:left="567" w:hanging="567"/>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News on AIR (2026) </w:t>
      </w:r>
      <w:r>
        <w:rPr>
          <w:rFonts w:hint="default" w:ascii="Arial" w:hAnsi="Arial" w:cs="Arial"/>
          <w:i/>
          <w:iCs/>
          <w:color w:val="000000" w:themeColor="text1"/>
          <w:sz w:val="24"/>
          <w:szCs w:val="24"/>
          <w14:textFill>
            <w14:solidFill>
              <w14:schemeClr w14:val="tx1"/>
            </w14:solidFill>
          </w14:textFill>
        </w:rPr>
        <w:t>'Govt approves over 2.13 lakh additional houses for eligible urban poor families under PM Awas Yojana-Urban 2.0', 17 June.</w:t>
      </w:r>
      <w:r>
        <w:rPr>
          <w:rFonts w:hint="default" w:ascii="Arial" w:hAnsi="Arial" w:cs="Arial"/>
          <w:color w:val="000000" w:themeColor="text1"/>
          <w:sz w:val="24"/>
          <w:szCs w:val="24"/>
          <w14:textFill>
            <w14:solidFill>
              <w14:schemeClr w14:val="tx1"/>
            </w14:solidFill>
          </w14:textFill>
        </w:rPr>
        <w:t xml:space="preserve"> Available at: </w:t>
      </w:r>
      <w:r>
        <w:rPr>
          <w:rFonts w:hint="default" w:ascii="Arial" w:hAnsi="Arial" w:cs="Arial"/>
          <w:color w:val="000000" w:themeColor="text1"/>
          <w:sz w:val="24"/>
          <w:szCs w:val="24"/>
          <w14:textFill>
            <w14:solidFill>
              <w14:schemeClr w14:val="tx1"/>
            </w14:solidFill>
          </w14:textFill>
        </w:rPr>
        <w:fldChar w:fldCharType="begin"/>
      </w:r>
      <w:r>
        <w:rPr>
          <w:rFonts w:hint="default" w:ascii="Arial" w:hAnsi="Arial" w:cs="Arial"/>
          <w:color w:val="000000" w:themeColor="text1"/>
          <w:sz w:val="24"/>
          <w:szCs w:val="24"/>
          <w14:textFill>
            <w14:solidFill>
              <w14:schemeClr w14:val="tx1"/>
            </w14:solidFill>
          </w14:textFill>
        </w:rPr>
        <w:instrText xml:space="preserve"> HYPERLINK "https://newsonair.gov.in/govt-approves-over-than-2-13-lakh-additional-houses-for-eligible-urban-poor-families-under-pm-awas-yojana-urban-2-0/" </w:instrText>
      </w:r>
      <w:r>
        <w:rPr>
          <w:rFonts w:hint="default" w:ascii="Arial" w:hAnsi="Arial" w:cs="Arial"/>
          <w:color w:val="000000" w:themeColor="text1"/>
          <w:sz w:val="24"/>
          <w:szCs w:val="24"/>
          <w14:textFill>
            <w14:solidFill>
              <w14:schemeClr w14:val="tx1"/>
            </w14:solidFill>
          </w14:textFill>
        </w:rPr>
        <w:fldChar w:fldCharType="separate"/>
      </w:r>
      <w:r>
        <w:rPr>
          <w:rFonts w:hint="default" w:ascii="Arial" w:hAnsi="Arial" w:cs="Arial"/>
          <w:color w:val="000000" w:themeColor="text1"/>
          <w:sz w:val="24"/>
          <w:szCs w:val="24"/>
          <w:u w:val="single"/>
          <w14:textFill>
            <w14:solidFill>
              <w14:schemeClr w14:val="tx1"/>
            </w14:solidFill>
          </w14:textFill>
        </w:rPr>
        <w:t>https://newsonair.gov.in/govt-approves-over-than-2-13-lakh-additional-houses-for-eligible-urban-poor-families-under-pm-awas-yojana-urban-2-0/</w:t>
      </w:r>
      <w:r>
        <w:rPr>
          <w:rFonts w:hint="default" w:ascii="Arial" w:hAnsi="Arial" w:cs="Arial"/>
          <w:color w:val="000000" w:themeColor="text1"/>
          <w:sz w:val="24"/>
          <w:szCs w:val="24"/>
          <w:u w:val="single"/>
          <w14:textFill>
            <w14:solidFill>
              <w14:schemeClr w14:val="tx1"/>
            </w14:solidFill>
          </w14:textFill>
        </w:rPr>
        <w:fldChar w:fldCharType="end"/>
      </w:r>
      <w:r>
        <w:rPr>
          <w:rFonts w:hint="default" w:ascii="Arial" w:hAnsi="Arial" w:cs="Arial"/>
          <w:color w:val="000000" w:themeColor="text1"/>
          <w:sz w:val="24"/>
          <w:szCs w:val="24"/>
          <w14:textFill>
            <w14:solidFill>
              <w14:schemeClr w14:val="tx1"/>
            </w14:solidFill>
          </w14:textFill>
        </w:rPr>
        <w:t xml:space="preserve"> (Accessed: 19 October 2026).</w:t>
      </w:r>
    </w:p>
    <w:p w14:paraId="341502F2">
      <w:pPr>
        <w:spacing w:after="120" w:line="360" w:lineRule="auto"/>
        <w:ind w:left="567" w:hanging="567"/>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Open Government Data Platform India (2025) </w:t>
      </w:r>
      <w:r>
        <w:rPr>
          <w:rFonts w:hint="default" w:ascii="Arial" w:hAnsi="Arial" w:cs="Arial"/>
          <w:i/>
          <w:iCs/>
          <w:color w:val="000000" w:themeColor="text1"/>
          <w:sz w:val="24"/>
          <w:szCs w:val="24"/>
          <w14:textFill>
            <w14:solidFill>
              <w14:schemeClr w14:val="tx1"/>
            </w14:solidFill>
          </w14:textFill>
        </w:rPr>
        <w:t xml:space="preserve">Year-wise details of plastic waste generated in the country as per Central Pollution Control Board (CPCB) annual reports from 2016-17 to 2020-21. </w:t>
      </w:r>
      <w:r>
        <w:rPr>
          <w:rFonts w:hint="default" w:ascii="Arial" w:hAnsi="Arial" w:cs="Arial"/>
          <w:color w:val="000000" w:themeColor="text1"/>
          <w:sz w:val="24"/>
          <w:szCs w:val="24"/>
          <w14:textFill>
            <w14:solidFill>
              <w14:schemeClr w14:val="tx1"/>
            </w14:solidFill>
          </w14:textFill>
        </w:rPr>
        <w:t xml:space="preserve">Available at: </w:t>
      </w:r>
      <w:r>
        <w:rPr>
          <w:rFonts w:hint="default" w:ascii="Arial" w:hAnsi="Arial" w:cs="Arial"/>
          <w:color w:val="000000" w:themeColor="text1"/>
          <w:sz w:val="24"/>
          <w:szCs w:val="24"/>
          <w14:textFill>
            <w14:solidFill>
              <w14:schemeClr w14:val="tx1"/>
            </w14:solidFill>
          </w14:textFill>
        </w:rPr>
        <w:fldChar w:fldCharType="begin"/>
      </w:r>
      <w:r>
        <w:rPr>
          <w:rFonts w:hint="default" w:ascii="Arial" w:hAnsi="Arial" w:cs="Arial"/>
          <w:color w:val="000000" w:themeColor="text1"/>
          <w:sz w:val="24"/>
          <w:szCs w:val="24"/>
          <w14:textFill>
            <w14:solidFill>
              <w14:schemeClr w14:val="tx1"/>
            </w14:solidFill>
          </w14:textFill>
        </w:rPr>
        <w:instrText xml:space="preserve"> HYPERLINK "https://www.data.gov.in/resource/year-wise-details-plastic-waste-generated-country-central-pollution-control-board-cpcb" </w:instrText>
      </w:r>
      <w:r>
        <w:rPr>
          <w:rFonts w:hint="default" w:ascii="Arial" w:hAnsi="Arial" w:cs="Arial"/>
          <w:color w:val="000000" w:themeColor="text1"/>
          <w:sz w:val="24"/>
          <w:szCs w:val="24"/>
          <w14:textFill>
            <w14:solidFill>
              <w14:schemeClr w14:val="tx1"/>
            </w14:solidFill>
          </w14:textFill>
        </w:rPr>
        <w:fldChar w:fldCharType="separate"/>
      </w:r>
      <w:r>
        <w:rPr>
          <w:rFonts w:hint="default" w:ascii="Arial" w:hAnsi="Arial" w:cs="Arial"/>
          <w:color w:val="000000" w:themeColor="text1"/>
          <w:sz w:val="24"/>
          <w:szCs w:val="24"/>
          <w:u w:val="single"/>
          <w14:textFill>
            <w14:solidFill>
              <w14:schemeClr w14:val="tx1"/>
            </w14:solidFill>
          </w14:textFill>
        </w:rPr>
        <w:t>https://www.data.gov.in/resource/year-wise-details-plastic-waste-generated-country-central-pollution-control-board-cpcb</w:t>
      </w:r>
      <w:r>
        <w:rPr>
          <w:rFonts w:hint="default" w:ascii="Arial" w:hAnsi="Arial" w:cs="Arial"/>
          <w:color w:val="000000" w:themeColor="text1"/>
          <w:sz w:val="24"/>
          <w:szCs w:val="24"/>
          <w:u w:val="single"/>
          <w14:textFill>
            <w14:solidFill>
              <w14:schemeClr w14:val="tx1"/>
            </w14:solidFill>
          </w14:textFill>
        </w:rPr>
        <w:fldChar w:fldCharType="end"/>
      </w:r>
      <w:r>
        <w:rPr>
          <w:rFonts w:hint="default" w:ascii="Arial" w:hAnsi="Arial" w:cs="Arial"/>
          <w:color w:val="000000" w:themeColor="text1"/>
          <w:sz w:val="24"/>
          <w:szCs w:val="24"/>
          <w14:textFill>
            <w14:solidFill>
              <w14:schemeClr w14:val="tx1"/>
            </w14:solidFill>
          </w14:textFill>
        </w:rPr>
        <w:t xml:space="preserve"> (Accessed: 19 October 2026).</w:t>
      </w:r>
    </w:p>
    <w:p w14:paraId="251EDD99">
      <w:pPr>
        <w:spacing w:after="120" w:line="360" w:lineRule="auto"/>
        <w:ind w:left="567" w:hanging="567"/>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Peattie, K. and Crane, A. (2005) 'Green marketing: legend, myth, farce or prophesy?', </w:t>
      </w:r>
      <w:r>
        <w:rPr>
          <w:rFonts w:hint="default" w:ascii="Arial" w:hAnsi="Arial" w:cs="Arial"/>
          <w:i/>
          <w:iCs/>
          <w:color w:val="000000" w:themeColor="text1"/>
          <w:sz w:val="24"/>
          <w:szCs w:val="24"/>
          <w14:textFill>
            <w14:solidFill>
              <w14:schemeClr w14:val="tx1"/>
            </w14:solidFill>
          </w14:textFill>
        </w:rPr>
        <w:t xml:space="preserve">Qualitative Market Research: An International Journal, </w:t>
      </w:r>
      <w:r>
        <w:rPr>
          <w:rFonts w:hint="default" w:ascii="Arial" w:hAnsi="Arial" w:cs="Arial"/>
          <w:color w:val="000000" w:themeColor="text1"/>
          <w:sz w:val="24"/>
          <w:szCs w:val="24"/>
          <w14:textFill>
            <w14:solidFill>
              <w14:schemeClr w14:val="tx1"/>
            </w14:solidFill>
          </w14:textFill>
        </w:rPr>
        <w:t xml:space="preserve">8(4), pp. 357–370. Available at: </w:t>
      </w:r>
      <w:r>
        <w:rPr>
          <w:rFonts w:hint="default" w:ascii="Arial" w:hAnsi="Arial" w:cs="Arial"/>
          <w:color w:val="000000" w:themeColor="text1"/>
          <w:sz w:val="24"/>
          <w:szCs w:val="24"/>
          <w14:textFill>
            <w14:solidFill>
              <w14:schemeClr w14:val="tx1"/>
            </w14:solidFill>
          </w14:textFill>
        </w:rPr>
        <w:fldChar w:fldCharType="begin"/>
      </w:r>
      <w:r>
        <w:rPr>
          <w:rFonts w:hint="default" w:ascii="Arial" w:hAnsi="Arial" w:cs="Arial"/>
          <w:color w:val="000000" w:themeColor="text1"/>
          <w:sz w:val="24"/>
          <w:szCs w:val="24"/>
          <w14:textFill>
            <w14:solidFill>
              <w14:schemeClr w14:val="tx1"/>
            </w14:solidFill>
          </w14:textFill>
        </w:rPr>
        <w:instrText xml:space="preserve"> HYPERLINK "https://doi.org/10.1108/13522750510619733" </w:instrText>
      </w:r>
      <w:r>
        <w:rPr>
          <w:rFonts w:hint="default" w:ascii="Arial" w:hAnsi="Arial" w:cs="Arial"/>
          <w:color w:val="000000" w:themeColor="text1"/>
          <w:sz w:val="24"/>
          <w:szCs w:val="24"/>
          <w14:textFill>
            <w14:solidFill>
              <w14:schemeClr w14:val="tx1"/>
            </w14:solidFill>
          </w14:textFill>
        </w:rPr>
        <w:fldChar w:fldCharType="separate"/>
      </w:r>
      <w:r>
        <w:rPr>
          <w:rFonts w:hint="default" w:ascii="Arial" w:hAnsi="Arial" w:cs="Arial"/>
          <w:color w:val="000000" w:themeColor="text1"/>
          <w:sz w:val="24"/>
          <w:szCs w:val="24"/>
          <w:u w:val="single"/>
          <w14:textFill>
            <w14:solidFill>
              <w14:schemeClr w14:val="tx1"/>
            </w14:solidFill>
          </w14:textFill>
        </w:rPr>
        <w:t>https://doi.org/10.1108/13522750510619733</w:t>
      </w:r>
      <w:r>
        <w:rPr>
          <w:rFonts w:hint="default" w:ascii="Arial" w:hAnsi="Arial" w:cs="Arial"/>
          <w:color w:val="000000" w:themeColor="text1"/>
          <w:sz w:val="24"/>
          <w:szCs w:val="24"/>
          <w:u w:val="single"/>
          <w14:textFill>
            <w14:solidFill>
              <w14:schemeClr w14:val="tx1"/>
            </w14:solidFill>
          </w14:textFill>
        </w:rPr>
        <w:fldChar w:fldCharType="end"/>
      </w:r>
      <w:r>
        <w:rPr>
          <w:rFonts w:hint="default" w:ascii="Arial" w:hAnsi="Arial" w:cs="Arial"/>
          <w:color w:val="000000" w:themeColor="text1"/>
          <w:sz w:val="24"/>
          <w:szCs w:val="24"/>
          <w14:textFill>
            <w14:solidFill>
              <w14:schemeClr w14:val="tx1"/>
            </w14:solidFill>
          </w14:textFill>
        </w:rPr>
        <w:t xml:space="preserve"> (Accessed: 19 October 2026).</w:t>
      </w:r>
    </w:p>
    <w:p w14:paraId="2C280EB3">
      <w:pPr>
        <w:spacing w:after="120" w:line="360" w:lineRule="auto"/>
        <w:ind w:left="567" w:hanging="567"/>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Porter, M.E. (2008) 'The five competitive forces that shape strategy', </w:t>
      </w:r>
      <w:r>
        <w:rPr>
          <w:rFonts w:hint="default" w:ascii="Arial" w:hAnsi="Arial" w:cs="Arial"/>
          <w:i/>
          <w:iCs/>
          <w:color w:val="000000" w:themeColor="text1"/>
          <w:sz w:val="24"/>
          <w:szCs w:val="24"/>
          <w14:textFill>
            <w14:solidFill>
              <w14:schemeClr w14:val="tx1"/>
            </w14:solidFill>
          </w14:textFill>
        </w:rPr>
        <w:t xml:space="preserve">Harvard Business Review, </w:t>
      </w:r>
      <w:r>
        <w:rPr>
          <w:rFonts w:hint="default" w:ascii="Arial" w:hAnsi="Arial" w:cs="Arial"/>
          <w:color w:val="000000" w:themeColor="text1"/>
          <w:sz w:val="24"/>
          <w:szCs w:val="24"/>
          <w14:textFill>
            <w14:solidFill>
              <w14:schemeClr w14:val="tx1"/>
            </w14:solidFill>
          </w14:textFill>
        </w:rPr>
        <w:t xml:space="preserve">86(1), pp. 78–93. Available at: </w:t>
      </w:r>
      <w:r>
        <w:rPr>
          <w:rFonts w:hint="default" w:ascii="Arial" w:hAnsi="Arial" w:cs="Arial"/>
          <w:color w:val="000000" w:themeColor="text1"/>
          <w:sz w:val="24"/>
          <w:szCs w:val="24"/>
          <w14:textFill>
            <w14:solidFill>
              <w14:schemeClr w14:val="tx1"/>
            </w14:solidFill>
          </w14:textFill>
        </w:rPr>
        <w:fldChar w:fldCharType="begin"/>
      </w:r>
      <w:r>
        <w:rPr>
          <w:rFonts w:hint="default" w:ascii="Arial" w:hAnsi="Arial" w:cs="Arial"/>
          <w:color w:val="000000" w:themeColor="text1"/>
          <w:sz w:val="24"/>
          <w:szCs w:val="24"/>
          <w14:textFill>
            <w14:solidFill>
              <w14:schemeClr w14:val="tx1"/>
            </w14:solidFill>
          </w14:textFill>
        </w:rPr>
        <w:instrText xml:space="preserve"> HYPERLINK "https://hbr.org/2008/01/the-five-competitive-forces-that-shape-strategy" </w:instrText>
      </w:r>
      <w:r>
        <w:rPr>
          <w:rFonts w:hint="default" w:ascii="Arial" w:hAnsi="Arial" w:cs="Arial"/>
          <w:color w:val="000000" w:themeColor="text1"/>
          <w:sz w:val="24"/>
          <w:szCs w:val="24"/>
          <w14:textFill>
            <w14:solidFill>
              <w14:schemeClr w14:val="tx1"/>
            </w14:solidFill>
          </w14:textFill>
        </w:rPr>
        <w:fldChar w:fldCharType="separate"/>
      </w:r>
      <w:r>
        <w:rPr>
          <w:rFonts w:hint="default" w:ascii="Arial" w:hAnsi="Arial" w:cs="Arial"/>
          <w:color w:val="000000" w:themeColor="text1"/>
          <w:sz w:val="24"/>
          <w:szCs w:val="24"/>
          <w:u w:val="single"/>
          <w14:textFill>
            <w14:solidFill>
              <w14:schemeClr w14:val="tx1"/>
            </w14:solidFill>
          </w14:textFill>
        </w:rPr>
        <w:t>https://hbr.org/2008/01/the-five-competitive-forces-that-shape-strategy</w:t>
      </w:r>
      <w:r>
        <w:rPr>
          <w:rFonts w:hint="default" w:ascii="Arial" w:hAnsi="Arial" w:cs="Arial"/>
          <w:color w:val="000000" w:themeColor="text1"/>
          <w:sz w:val="24"/>
          <w:szCs w:val="24"/>
          <w:u w:val="single"/>
          <w14:textFill>
            <w14:solidFill>
              <w14:schemeClr w14:val="tx1"/>
            </w14:solidFill>
          </w14:textFill>
        </w:rPr>
        <w:fldChar w:fldCharType="end"/>
      </w:r>
      <w:r>
        <w:rPr>
          <w:rFonts w:hint="default" w:ascii="Arial" w:hAnsi="Arial" w:cs="Arial"/>
          <w:color w:val="000000" w:themeColor="text1"/>
          <w:sz w:val="24"/>
          <w:szCs w:val="24"/>
          <w14:textFill>
            <w14:solidFill>
              <w14:schemeClr w14:val="tx1"/>
            </w14:solidFill>
          </w14:textFill>
        </w:rPr>
        <w:t xml:space="preserve"> (Accessed: 19 October 2026).</w:t>
      </w:r>
    </w:p>
    <w:p w14:paraId="17C8B3E2">
      <w:pPr>
        <w:spacing w:after="120" w:line="360" w:lineRule="auto"/>
        <w:ind w:left="567" w:hanging="567"/>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Press Information Bureau (2024) </w:t>
      </w:r>
      <w:r>
        <w:rPr>
          <w:rFonts w:hint="default" w:ascii="Arial" w:hAnsi="Arial" w:cs="Arial"/>
          <w:i/>
          <w:iCs/>
          <w:color w:val="000000" w:themeColor="text1"/>
          <w:sz w:val="24"/>
          <w:szCs w:val="24"/>
          <w14:textFill>
            <w14:solidFill>
              <w14:schemeClr w14:val="tx1"/>
            </w14:solidFill>
          </w14:textFill>
        </w:rPr>
        <w:t>Pradhan Mantri Awas Yojana-Urban 2.0. New Delhi: Government of India.</w:t>
      </w:r>
      <w:r>
        <w:rPr>
          <w:rFonts w:hint="default" w:ascii="Arial" w:hAnsi="Arial" w:cs="Arial"/>
          <w:color w:val="000000" w:themeColor="text1"/>
          <w:sz w:val="24"/>
          <w:szCs w:val="24"/>
          <w14:textFill>
            <w14:solidFill>
              <w14:schemeClr w14:val="tx1"/>
            </w14:solidFill>
          </w14:textFill>
        </w:rPr>
        <w:t xml:space="preserve"> Available at: </w:t>
      </w:r>
      <w:r>
        <w:rPr>
          <w:rFonts w:hint="default" w:ascii="Arial" w:hAnsi="Arial" w:cs="Arial"/>
          <w:color w:val="000000" w:themeColor="text1"/>
          <w:sz w:val="24"/>
          <w:szCs w:val="24"/>
          <w14:textFill>
            <w14:solidFill>
              <w14:schemeClr w14:val="tx1"/>
            </w14:solidFill>
          </w14:textFill>
        </w:rPr>
        <w:fldChar w:fldCharType="begin"/>
      </w:r>
      <w:r>
        <w:rPr>
          <w:rFonts w:hint="default" w:ascii="Arial" w:hAnsi="Arial" w:cs="Arial"/>
          <w:color w:val="000000" w:themeColor="text1"/>
          <w:sz w:val="24"/>
          <w:szCs w:val="24"/>
          <w14:textFill>
            <w14:solidFill>
              <w14:schemeClr w14:val="tx1"/>
            </w14:solidFill>
          </w14:textFill>
        </w:rPr>
        <w:instrText xml:space="preserve"> HYPERLINK "https://static.pib.gov.in/WriteReadData/specificdocs/documents/2024/aug/doc2024810372701.pdf" </w:instrText>
      </w:r>
      <w:r>
        <w:rPr>
          <w:rFonts w:hint="default" w:ascii="Arial" w:hAnsi="Arial" w:cs="Arial"/>
          <w:color w:val="000000" w:themeColor="text1"/>
          <w:sz w:val="24"/>
          <w:szCs w:val="24"/>
          <w14:textFill>
            <w14:solidFill>
              <w14:schemeClr w14:val="tx1"/>
            </w14:solidFill>
          </w14:textFill>
        </w:rPr>
        <w:fldChar w:fldCharType="separate"/>
      </w:r>
      <w:r>
        <w:rPr>
          <w:rFonts w:hint="default" w:ascii="Arial" w:hAnsi="Arial" w:cs="Arial"/>
          <w:color w:val="000000" w:themeColor="text1"/>
          <w:sz w:val="24"/>
          <w:szCs w:val="24"/>
          <w:u w:val="single"/>
          <w14:textFill>
            <w14:solidFill>
              <w14:schemeClr w14:val="tx1"/>
            </w14:solidFill>
          </w14:textFill>
        </w:rPr>
        <w:t>https://static.pib.gov.in/WriteReadData/specificdocs/documents/2024/aug/doc2024810372701.pdf</w:t>
      </w:r>
      <w:r>
        <w:rPr>
          <w:rFonts w:hint="default" w:ascii="Arial" w:hAnsi="Arial" w:cs="Arial"/>
          <w:color w:val="000000" w:themeColor="text1"/>
          <w:sz w:val="24"/>
          <w:szCs w:val="24"/>
          <w:u w:val="single"/>
          <w14:textFill>
            <w14:solidFill>
              <w14:schemeClr w14:val="tx1"/>
            </w14:solidFill>
          </w14:textFill>
        </w:rPr>
        <w:fldChar w:fldCharType="end"/>
      </w:r>
      <w:r>
        <w:rPr>
          <w:rFonts w:hint="default" w:ascii="Arial" w:hAnsi="Arial" w:cs="Arial"/>
          <w:color w:val="000000" w:themeColor="text1"/>
          <w:sz w:val="24"/>
          <w:szCs w:val="24"/>
          <w14:textFill>
            <w14:solidFill>
              <w14:schemeClr w14:val="tx1"/>
            </w14:solidFill>
          </w14:textFill>
        </w:rPr>
        <w:t xml:space="preserve"> (Accessed: 19 October 2026).</w:t>
      </w:r>
    </w:p>
    <w:p w14:paraId="09A9AA30">
      <w:pPr>
        <w:spacing w:after="120" w:line="360" w:lineRule="auto"/>
        <w:ind w:left="567" w:hanging="567"/>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Rogers, E.M. (2003) </w:t>
      </w:r>
      <w:r>
        <w:rPr>
          <w:rFonts w:hint="default" w:ascii="Arial" w:hAnsi="Arial" w:cs="Arial"/>
          <w:i/>
          <w:iCs/>
          <w:color w:val="000000" w:themeColor="text1"/>
          <w:sz w:val="24"/>
          <w:szCs w:val="24"/>
          <w14:textFill>
            <w14:solidFill>
              <w14:schemeClr w14:val="tx1"/>
            </w14:solidFill>
          </w14:textFill>
        </w:rPr>
        <w:t>Diffusion of innovations.</w:t>
      </w:r>
      <w:r>
        <w:rPr>
          <w:rFonts w:hint="default" w:ascii="Arial" w:hAnsi="Arial" w:cs="Arial"/>
          <w:color w:val="000000" w:themeColor="text1"/>
          <w:sz w:val="24"/>
          <w:szCs w:val="24"/>
          <w14:textFill>
            <w14:solidFill>
              <w14:schemeClr w14:val="tx1"/>
            </w14:solidFill>
          </w14:textFill>
        </w:rPr>
        <w:t xml:space="preserve"> 5th edn. New York: Free Press.</w:t>
      </w:r>
    </w:p>
    <w:p w14:paraId="4CF2B90C">
      <w:pPr>
        <w:spacing w:after="120" w:line="360" w:lineRule="auto"/>
        <w:ind w:left="567" w:hanging="567"/>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Saha, S. et al. (2021) 'Barriers to adoption of commercial green buildings in India: a review', </w:t>
      </w:r>
      <w:r>
        <w:rPr>
          <w:rFonts w:hint="default" w:ascii="Arial" w:hAnsi="Arial" w:cs="Arial"/>
          <w:i/>
          <w:iCs/>
          <w:color w:val="000000" w:themeColor="text1"/>
          <w:sz w:val="24"/>
          <w:szCs w:val="24"/>
          <w14:textFill>
            <w14:solidFill>
              <w14:schemeClr w14:val="tx1"/>
            </w14:solidFill>
          </w14:textFill>
        </w:rPr>
        <w:t>Journal of Infrastructure Development,</w:t>
      </w:r>
      <w:r>
        <w:rPr>
          <w:rFonts w:hint="default" w:ascii="Arial" w:hAnsi="Arial" w:cs="Arial"/>
          <w:color w:val="000000" w:themeColor="text1"/>
          <w:sz w:val="24"/>
          <w:szCs w:val="24"/>
          <w14:textFill>
            <w14:solidFill>
              <w14:schemeClr w14:val="tx1"/>
            </w14:solidFill>
          </w14:textFill>
        </w:rPr>
        <w:t xml:space="preserve"> 13(2), pp. 107–128. Available at: </w:t>
      </w:r>
      <w:r>
        <w:rPr>
          <w:rFonts w:hint="default" w:ascii="Arial" w:hAnsi="Arial" w:cs="Arial"/>
          <w:color w:val="000000" w:themeColor="text1"/>
          <w:sz w:val="24"/>
          <w:szCs w:val="24"/>
          <w14:textFill>
            <w14:solidFill>
              <w14:schemeClr w14:val="tx1"/>
            </w14:solidFill>
          </w14:textFill>
        </w:rPr>
        <w:fldChar w:fldCharType="begin"/>
      </w:r>
      <w:r>
        <w:rPr>
          <w:rFonts w:hint="default" w:ascii="Arial" w:hAnsi="Arial" w:cs="Arial"/>
          <w:color w:val="000000" w:themeColor="text1"/>
          <w:sz w:val="24"/>
          <w:szCs w:val="24"/>
          <w14:textFill>
            <w14:solidFill>
              <w14:schemeClr w14:val="tx1"/>
            </w14:solidFill>
          </w14:textFill>
        </w:rPr>
        <w:instrText xml:space="preserve"> HYPERLINK "https://doi.org/10.1177/09749306211058499" </w:instrText>
      </w:r>
      <w:r>
        <w:rPr>
          <w:rFonts w:hint="default" w:ascii="Arial" w:hAnsi="Arial" w:cs="Arial"/>
          <w:color w:val="000000" w:themeColor="text1"/>
          <w:sz w:val="24"/>
          <w:szCs w:val="24"/>
          <w14:textFill>
            <w14:solidFill>
              <w14:schemeClr w14:val="tx1"/>
            </w14:solidFill>
          </w14:textFill>
        </w:rPr>
        <w:fldChar w:fldCharType="separate"/>
      </w:r>
      <w:r>
        <w:rPr>
          <w:rFonts w:hint="default" w:ascii="Arial" w:hAnsi="Arial" w:cs="Arial"/>
          <w:color w:val="000000" w:themeColor="text1"/>
          <w:sz w:val="24"/>
          <w:szCs w:val="24"/>
          <w:u w:val="single"/>
          <w14:textFill>
            <w14:solidFill>
              <w14:schemeClr w14:val="tx1"/>
            </w14:solidFill>
          </w14:textFill>
        </w:rPr>
        <w:t>https://doi.org/10.1177/09749306211058499</w:t>
      </w:r>
      <w:r>
        <w:rPr>
          <w:rFonts w:hint="default" w:ascii="Arial" w:hAnsi="Arial" w:cs="Arial"/>
          <w:color w:val="000000" w:themeColor="text1"/>
          <w:sz w:val="24"/>
          <w:szCs w:val="24"/>
          <w:u w:val="single"/>
          <w14:textFill>
            <w14:solidFill>
              <w14:schemeClr w14:val="tx1"/>
            </w14:solidFill>
          </w14:textFill>
        </w:rPr>
        <w:fldChar w:fldCharType="end"/>
      </w:r>
      <w:r>
        <w:rPr>
          <w:rFonts w:hint="default" w:ascii="Arial" w:hAnsi="Arial" w:cs="Arial"/>
          <w:color w:val="000000" w:themeColor="text1"/>
          <w:sz w:val="24"/>
          <w:szCs w:val="24"/>
          <w14:textFill>
            <w14:solidFill>
              <w14:schemeClr w14:val="tx1"/>
            </w14:solidFill>
          </w14:textFill>
        </w:rPr>
        <w:t xml:space="preserve"> (Accessed: 14 October 2026).</w:t>
      </w:r>
    </w:p>
    <w:p w14:paraId="16B1D163">
      <w:pPr>
        <w:spacing w:after="120" w:line="360" w:lineRule="auto"/>
        <w:ind w:left="567" w:hanging="567"/>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Saunders, M., Lewis, P. and Thornhill, A. (2023) </w:t>
      </w:r>
      <w:r>
        <w:rPr>
          <w:rFonts w:hint="default" w:ascii="Arial" w:hAnsi="Arial" w:cs="Arial"/>
          <w:i/>
          <w:iCs/>
          <w:color w:val="000000" w:themeColor="text1"/>
          <w:sz w:val="24"/>
          <w:szCs w:val="24"/>
          <w14:textFill>
            <w14:solidFill>
              <w14:schemeClr w14:val="tx1"/>
            </w14:solidFill>
          </w14:textFill>
        </w:rPr>
        <w:t xml:space="preserve">Research methods for business students. </w:t>
      </w:r>
      <w:r>
        <w:rPr>
          <w:rFonts w:hint="default" w:ascii="Arial" w:hAnsi="Arial" w:cs="Arial"/>
          <w:color w:val="000000" w:themeColor="text1"/>
          <w:sz w:val="24"/>
          <w:szCs w:val="24"/>
          <w14:textFill>
            <w14:solidFill>
              <w14:schemeClr w14:val="tx1"/>
            </w14:solidFill>
          </w14:textFill>
        </w:rPr>
        <w:t>9th edn. Harlow: Pearson.</w:t>
      </w:r>
    </w:p>
    <w:p w14:paraId="3EBA7624">
      <w:pPr>
        <w:spacing w:after="120" w:line="360" w:lineRule="auto"/>
        <w:ind w:left="567" w:hanging="567"/>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Tran, Q. et al. (2020) 'Empirical examination of factors influencing the adoption of green building technologies: the perspective of construction developers in developing economies', </w:t>
      </w:r>
      <w:r>
        <w:rPr>
          <w:rFonts w:hint="default" w:ascii="Arial" w:hAnsi="Arial" w:cs="Arial"/>
          <w:i/>
          <w:iCs/>
          <w:color w:val="000000" w:themeColor="text1"/>
          <w:sz w:val="24"/>
          <w:szCs w:val="24"/>
          <w14:textFill>
            <w14:solidFill>
              <w14:schemeClr w14:val="tx1"/>
            </w14:solidFill>
          </w14:textFill>
        </w:rPr>
        <w:t>Sustainability,</w:t>
      </w:r>
      <w:r>
        <w:rPr>
          <w:rFonts w:hint="default" w:ascii="Arial" w:hAnsi="Arial" w:cs="Arial"/>
          <w:color w:val="000000" w:themeColor="text1"/>
          <w:sz w:val="24"/>
          <w:szCs w:val="24"/>
          <w14:textFill>
            <w14:solidFill>
              <w14:schemeClr w14:val="tx1"/>
            </w14:solidFill>
          </w14:textFill>
        </w:rPr>
        <w:t xml:space="preserve"> 12(19), 8067. Available at: </w:t>
      </w:r>
      <w:r>
        <w:rPr>
          <w:rFonts w:hint="default" w:ascii="Arial" w:hAnsi="Arial" w:cs="Arial"/>
          <w:color w:val="000000" w:themeColor="text1"/>
          <w:sz w:val="24"/>
          <w:szCs w:val="24"/>
          <w14:textFill>
            <w14:solidFill>
              <w14:schemeClr w14:val="tx1"/>
            </w14:solidFill>
          </w14:textFill>
        </w:rPr>
        <w:fldChar w:fldCharType="begin"/>
      </w:r>
      <w:r>
        <w:rPr>
          <w:rFonts w:hint="default" w:ascii="Arial" w:hAnsi="Arial" w:cs="Arial"/>
          <w:color w:val="000000" w:themeColor="text1"/>
          <w:sz w:val="24"/>
          <w:szCs w:val="24"/>
          <w14:textFill>
            <w14:solidFill>
              <w14:schemeClr w14:val="tx1"/>
            </w14:solidFill>
          </w14:textFill>
        </w:rPr>
        <w:instrText xml:space="preserve"> HYPERLINK "https://doi.org/10.3390/su12198067" </w:instrText>
      </w:r>
      <w:r>
        <w:rPr>
          <w:rFonts w:hint="default" w:ascii="Arial" w:hAnsi="Arial" w:cs="Arial"/>
          <w:color w:val="000000" w:themeColor="text1"/>
          <w:sz w:val="24"/>
          <w:szCs w:val="24"/>
          <w14:textFill>
            <w14:solidFill>
              <w14:schemeClr w14:val="tx1"/>
            </w14:solidFill>
          </w14:textFill>
        </w:rPr>
        <w:fldChar w:fldCharType="separate"/>
      </w:r>
      <w:r>
        <w:rPr>
          <w:rFonts w:hint="default" w:ascii="Arial" w:hAnsi="Arial" w:cs="Arial"/>
          <w:color w:val="000000" w:themeColor="text1"/>
          <w:sz w:val="24"/>
          <w:szCs w:val="24"/>
          <w:u w:val="single"/>
          <w14:textFill>
            <w14:solidFill>
              <w14:schemeClr w14:val="tx1"/>
            </w14:solidFill>
          </w14:textFill>
        </w:rPr>
        <w:t>https://doi.org/10.3390/su12198067</w:t>
      </w:r>
      <w:r>
        <w:rPr>
          <w:rFonts w:hint="default" w:ascii="Arial" w:hAnsi="Arial" w:cs="Arial"/>
          <w:color w:val="000000" w:themeColor="text1"/>
          <w:sz w:val="24"/>
          <w:szCs w:val="24"/>
          <w:u w:val="single"/>
          <w14:textFill>
            <w14:solidFill>
              <w14:schemeClr w14:val="tx1"/>
            </w14:solidFill>
          </w14:textFill>
        </w:rPr>
        <w:fldChar w:fldCharType="end"/>
      </w:r>
      <w:r>
        <w:rPr>
          <w:rFonts w:hint="default" w:ascii="Arial" w:hAnsi="Arial" w:cs="Arial"/>
          <w:color w:val="000000" w:themeColor="text1"/>
          <w:sz w:val="24"/>
          <w:szCs w:val="24"/>
          <w14:textFill>
            <w14:solidFill>
              <w14:schemeClr w14:val="tx1"/>
            </w14:solidFill>
          </w14:textFill>
        </w:rPr>
        <w:t xml:space="preserve"> (Accessed: 14 October 2026).</w:t>
      </w:r>
    </w:p>
    <w:p w14:paraId="12531F3E">
      <w:pPr>
        <w:spacing w:after="120" w:line="360" w:lineRule="auto"/>
        <w:ind w:left="567" w:hanging="567"/>
        <w:rPr>
          <w:rFonts w:hint="default" w:ascii="Arial" w:hAnsi="Arial" w:cs="Arial"/>
          <w:color w:val="000000" w:themeColor="text1"/>
          <w:sz w:val="24"/>
          <w:szCs w:val="24"/>
          <w14:textFill>
            <w14:solidFill>
              <w14:schemeClr w14:val="tx1"/>
            </w14:solidFill>
          </w14:textFill>
        </w:rPr>
      </w:pPr>
      <w:r>
        <w:rPr>
          <w:rFonts w:hint="default" w:ascii="Arial" w:hAnsi="Arial" w:cs="Arial"/>
          <w:color w:val="000000" w:themeColor="text1"/>
          <w:sz w:val="24"/>
          <w:szCs w:val="24"/>
          <w14:textFill>
            <w14:solidFill>
              <w14:schemeClr w14:val="tx1"/>
            </w14:solidFill>
          </w14:textFill>
        </w:rPr>
        <w:t xml:space="preserve">Yadav, K., Singh, A. and Bhat, O.N. (2024) 'Transforming waste into innovation: a review of plastic bricks as sustainable construction materials', </w:t>
      </w:r>
      <w:r>
        <w:rPr>
          <w:rFonts w:hint="default" w:ascii="Arial" w:hAnsi="Arial" w:cs="Arial"/>
          <w:i/>
          <w:iCs/>
          <w:color w:val="000000" w:themeColor="text1"/>
          <w:sz w:val="24"/>
          <w:szCs w:val="24"/>
          <w14:textFill>
            <w14:solidFill>
              <w14:schemeClr w14:val="tx1"/>
            </w14:solidFill>
          </w14:textFill>
        </w:rPr>
        <w:t xml:space="preserve">Discover Civil Engineering, </w:t>
      </w:r>
      <w:r>
        <w:rPr>
          <w:rFonts w:hint="default" w:ascii="Arial" w:hAnsi="Arial" w:cs="Arial"/>
          <w:color w:val="000000" w:themeColor="text1"/>
          <w:sz w:val="24"/>
          <w:szCs w:val="24"/>
          <w14:textFill>
            <w14:solidFill>
              <w14:schemeClr w14:val="tx1"/>
            </w14:solidFill>
          </w14:textFill>
        </w:rPr>
        <w:t xml:space="preserve">1, 38. Available at: </w:t>
      </w:r>
      <w:r>
        <w:rPr>
          <w:rFonts w:hint="default" w:ascii="Arial" w:hAnsi="Arial" w:cs="Arial"/>
          <w:color w:val="000000" w:themeColor="text1"/>
          <w:sz w:val="24"/>
          <w:szCs w:val="24"/>
          <w14:textFill>
            <w14:solidFill>
              <w14:schemeClr w14:val="tx1"/>
            </w14:solidFill>
          </w14:textFill>
        </w:rPr>
        <w:fldChar w:fldCharType="begin"/>
      </w:r>
      <w:r>
        <w:rPr>
          <w:rFonts w:hint="default" w:ascii="Arial" w:hAnsi="Arial" w:cs="Arial"/>
          <w:color w:val="000000" w:themeColor="text1"/>
          <w:sz w:val="24"/>
          <w:szCs w:val="24"/>
          <w14:textFill>
            <w14:solidFill>
              <w14:schemeClr w14:val="tx1"/>
            </w14:solidFill>
          </w14:textFill>
        </w:rPr>
        <w:instrText xml:space="preserve"> HYPERLINK "https://doi.org/10.1007/s44290-024-00040-8" </w:instrText>
      </w:r>
      <w:r>
        <w:rPr>
          <w:rFonts w:hint="default" w:ascii="Arial" w:hAnsi="Arial" w:cs="Arial"/>
          <w:color w:val="000000" w:themeColor="text1"/>
          <w:sz w:val="24"/>
          <w:szCs w:val="24"/>
          <w14:textFill>
            <w14:solidFill>
              <w14:schemeClr w14:val="tx1"/>
            </w14:solidFill>
          </w14:textFill>
        </w:rPr>
        <w:fldChar w:fldCharType="separate"/>
      </w:r>
      <w:r>
        <w:rPr>
          <w:rFonts w:hint="default" w:ascii="Arial" w:hAnsi="Arial" w:cs="Arial"/>
          <w:color w:val="000000" w:themeColor="text1"/>
          <w:sz w:val="24"/>
          <w:szCs w:val="24"/>
          <w:u w:val="single"/>
          <w14:textFill>
            <w14:solidFill>
              <w14:schemeClr w14:val="tx1"/>
            </w14:solidFill>
          </w14:textFill>
        </w:rPr>
        <w:t>https://doi.org/10.1007/s44290-024-00040-8</w:t>
      </w:r>
      <w:r>
        <w:rPr>
          <w:rFonts w:hint="default" w:ascii="Arial" w:hAnsi="Arial" w:cs="Arial"/>
          <w:color w:val="000000" w:themeColor="text1"/>
          <w:sz w:val="24"/>
          <w:szCs w:val="24"/>
          <w:u w:val="single"/>
          <w14:textFill>
            <w14:solidFill>
              <w14:schemeClr w14:val="tx1"/>
            </w14:solidFill>
          </w14:textFill>
        </w:rPr>
        <w:fldChar w:fldCharType="end"/>
      </w:r>
      <w:r>
        <w:rPr>
          <w:rFonts w:hint="default" w:ascii="Arial" w:hAnsi="Arial" w:cs="Arial"/>
          <w:color w:val="000000" w:themeColor="text1"/>
          <w:sz w:val="24"/>
          <w:szCs w:val="24"/>
          <w14:textFill>
            <w14:solidFill>
              <w14:schemeClr w14:val="tx1"/>
            </w14:solidFill>
          </w14:textFill>
        </w:rPr>
        <w:t xml:space="preserve"> (Accessed: 14 October 2026).</w:t>
      </w:r>
    </w:p>
    <w:p w14:paraId="1DDAEAE1">
      <w:pPr>
        <w:pStyle w:val="2"/>
        <w:spacing w:before="0" w:line="360" w:lineRule="auto"/>
        <w:rPr>
          <w:rFonts w:ascii="Calibri" w:hAnsi="Calibri" w:cs="Calibri"/>
        </w:rPr>
      </w:pPr>
    </w:p>
    <w:sectPr>
      <w:footerReference r:id="rId3" w:type="default"/>
      <w:type w:val="continuous"/>
      <w:pgSz w:w="11910" w:h="16840"/>
      <w:pgMar w:top="1520" w:right="1417" w:bottom="1200" w:left="1417" w:header="0" w:footer="962" w:gutter="0"/>
      <w:pgNumType w:start="1"/>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000247B" w:usb2="00000009" w:usb3="00000000" w:csb0="200001FF" w:csb1="00000000"/>
  </w:font>
  <w:font w:name="Aptos">
    <w:altName w:val="Segoe UI"/>
    <w:panose1 w:val="020B0004020202020204"/>
    <w:charset w:val="00"/>
    <w:family w:val="swiss"/>
    <w:pitch w:val="default"/>
    <w:sig w:usb0="00000000" w:usb1="00000000" w:usb2="00000000" w:usb3="00000000" w:csb0="0000019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A2C87EB">
    <w:pPr>
      <w:pStyle w:val="6"/>
      <w:spacing w:line="200" w:lineRule="exact"/>
      <w:rPr>
        <w:sz w:val="20"/>
      </w:rPr>
    </w:pPr>
    <w:r>
      <w:rPr>
        <w:sz w:val="20"/>
      </w:rPr>
      <mc:AlternateContent>
        <mc:Choice Requires="wps">
          <w:drawing>
            <wp:anchor distT="0" distB="0" distL="0" distR="0" simplePos="0" relativeHeight="251660288" behindDoc="1" locked="0" layoutInCell="1" allowOverlap="1">
              <wp:simplePos x="0" y="0"/>
              <wp:positionH relativeFrom="page">
                <wp:posOffset>6511925</wp:posOffset>
              </wp:positionH>
              <wp:positionV relativeFrom="page">
                <wp:posOffset>9915525</wp:posOffset>
              </wp:positionV>
              <wp:extent cx="261620" cy="165735"/>
              <wp:effectExtent l="0" t="0" r="0" b="0"/>
              <wp:wrapNone/>
              <wp:docPr id="1" name="Textbox 1"/>
              <wp:cNvGraphicFramePr/>
              <a:graphic xmlns:a="http://schemas.openxmlformats.org/drawingml/2006/main">
                <a:graphicData uri="http://schemas.microsoft.com/office/word/2010/wordprocessingShape">
                  <wps:wsp>
                    <wps:cNvSpPr txBox="1"/>
                    <wps:spPr>
                      <a:xfrm>
                        <a:off x="0" y="0"/>
                        <a:ext cx="261620" cy="165735"/>
                      </a:xfrm>
                      <a:prstGeom prst="rect">
                        <a:avLst/>
                      </a:prstGeom>
                    </wps:spPr>
                    <wps:txbx>
                      <w:txbxContent>
                        <w:p w14:paraId="39012BAF">
                          <w:pPr>
                            <w:spacing w:line="245" w:lineRule="exact"/>
                            <w:ind w:left="100"/>
                            <w:rPr>
                              <w:rFonts w:ascii="Calibri"/>
                            </w:rPr>
                          </w:pPr>
                          <w:r>
                            <w:rPr>
                              <w:rFonts w:ascii="Calibri"/>
                              <w:spacing w:val="-10"/>
                            </w:rPr>
                            <w:fldChar w:fldCharType="begin"/>
                          </w:r>
                          <w:r>
                            <w:rPr>
                              <w:rFonts w:ascii="Calibri"/>
                              <w:spacing w:val="-10"/>
                            </w:rPr>
                            <w:instrText xml:space="preserve"> PAGE </w:instrText>
                          </w:r>
                          <w:r>
                            <w:rPr>
                              <w:rFonts w:ascii="Calibri"/>
                              <w:spacing w:val="-10"/>
                            </w:rPr>
                            <w:fldChar w:fldCharType="separate"/>
                          </w:r>
                          <w:r>
                            <w:rPr>
                              <w:rFonts w:ascii="Calibri"/>
                              <w:spacing w:val="-10"/>
                            </w:rPr>
                            <w:t>1</w:t>
                          </w:r>
                          <w:r>
                            <w:rPr>
                              <w:rFonts w:ascii="Calibri"/>
                              <w:spacing w:val="-10"/>
                            </w:rPr>
                            <w:fldChar w:fldCharType="end"/>
                          </w:r>
                        </w:p>
                      </w:txbxContent>
                    </wps:txbx>
                    <wps:bodyPr wrap="square" lIns="0" tIns="0" rIns="0" bIns="0" rtlCol="0">
                      <a:noAutofit/>
                    </wps:bodyPr>
                  </wps:wsp>
                </a:graphicData>
              </a:graphic>
            </wp:anchor>
          </w:drawing>
        </mc:Choice>
        <mc:Fallback>
          <w:pict>
            <v:shape id="Textbox 1" o:spid="_x0000_s1026" o:spt="202" type="#_x0000_t202" style="position:absolute;left:0pt;margin-left:512.75pt;margin-top:780.75pt;height:13.05pt;width:20.6pt;mso-position-horizontal-relative:page;mso-position-vertical-relative:page;z-index:-251656192;mso-width-relative:page;mso-height-relative:page;" filled="f" stroked="f" coordsize="21600,21600" o:gfxdata="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">
              <v:fill on="f" focussize="0,0"/>
              <v:stroke on="f"/>
              <v:imagedata o:title=""/>
              <o:lock v:ext="edit" aspectratio="f"/>
              <v:textbox inset="0mm,0mm,0mm,0mm">
                <w:txbxContent>
                  <w:p w14:paraId="39012BAF">
                    <w:pPr>
                      <w:spacing w:line="245" w:lineRule="exact"/>
                      <w:ind w:left="100"/>
                      <w:rPr>
                        <w:rFonts w:ascii="Calibri"/>
                      </w:rPr>
                    </w:pPr>
                    <w:r>
                      <w:rPr>
                        <w:rFonts w:ascii="Calibri"/>
                        <w:spacing w:val="-10"/>
                      </w:rPr>
                      <w:fldChar w:fldCharType="begin"/>
                    </w:r>
                    <w:r>
                      <w:rPr>
                        <w:rFonts w:ascii="Calibri"/>
                        <w:spacing w:val="-10"/>
                      </w:rPr>
                      <w:instrText xml:space="preserve"> PAGE </w:instrText>
                    </w:r>
                    <w:r>
                      <w:rPr>
                        <w:rFonts w:ascii="Calibri"/>
                        <w:spacing w:val="-10"/>
                      </w:rPr>
                      <w:fldChar w:fldCharType="separate"/>
                    </w:r>
                    <w:r>
                      <w:rPr>
                        <w:rFonts w:ascii="Calibri"/>
                        <w:spacing w:val="-10"/>
                      </w:rPr>
                      <w:t>1</w:t>
                    </w:r>
                    <w:r>
                      <w:rPr>
                        <w:rFonts w:ascii="Calibri"/>
                        <w:spacing w:val="-10"/>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removePersonalInformation/>
  <w:documentProtection w:enforcement="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7A64"/>
    <w:rsid w:val="00362B9D"/>
    <w:rsid w:val="004F7A64"/>
    <w:rsid w:val="005C40E1"/>
    <w:rsid w:val="00BE329B"/>
    <w:rsid w:val="00CB7B81"/>
    <w:rsid w:val="00E135CB"/>
    <w:rsid w:val="39EA254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utoSpaceDE w:val="0"/>
      <w:autoSpaceDN w:val="0"/>
    </w:pPr>
    <w:rPr>
      <w:rFonts w:ascii="Aptos" w:hAnsi="Aptos" w:eastAsia="Aptos" w:cs="Aptos"/>
      <w:sz w:val="22"/>
      <w:szCs w:val="22"/>
      <w:lang w:val="en-US" w:eastAsia="en-US" w:bidi="ar-SA"/>
    </w:rPr>
  </w:style>
  <w:style w:type="paragraph" w:styleId="2">
    <w:name w:val="heading 1"/>
    <w:basedOn w:val="1"/>
    <w:qFormat/>
    <w:uiPriority w:val="9"/>
    <w:pPr>
      <w:spacing w:before="82"/>
      <w:ind w:left="23"/>
      <w:outlineLvl w:val="0"/>
    </w:pPr>
    <w:rPr>
      <w:b/>
      <w:bCs/>
      <w:sz w:val="36"/>
      <w:szCs w:val="36"/>
    </w:rPr>
  </w:style>
  <w:style w:type="paragraph" w:styleId="3">
    <w:name w:val="heading 2"/>
    <w:basedOn w:val="1"/>
    <w:unhideWhenUsed/>
    <w:qFormat/>
    <w:uiPriority w:val="9"/>
    <w:pPr>
      <w:ind w:left="742" w:hanging="359"/>
      <w:outlineLvl w:val="1"/>
    </w:pPr>
    <w:rPr>
      <w:b/>
      <w:bCs/>
      <w:sz w:val="32"/>
      <w:szCs w:val="32"/>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ody Text"/>
    <w:basedOn w:val="1"/>
    <w:qFormat/>
    <w:uiPriority w:val="1"/>
    <w:rPr>
      <w:sz w:val="24"/>
      <w:szCs w:val="24"/>
    </w:rPr>
  </w:style>
  <w:style w:type="paragraph" w:styleId="7">
    <w:name w:val="List Paragraph"/>
    <w:basedOn w:val="1"/>
    <w:qFormat/>
    <w:uiPriority w:val="1"/>
    <w:pPr>
      <w:ind w:left="742" w:hanging="359"/>
    </w:pPr>
  </w:style>
  <w:style w:type="paragraph" w:customStyle="1" w:styleId="8">
    <w:name w:val="Table Paragraph"/>
    <w:basedOn w:val="1"/>
    <w:qFormat/>
    <w:uiPriority w:val="1"/>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6</Pages>
  <Words>659</Words>
  <Characters>3557</Characters>
  <Lines>161</Lines>
  <Paragraphs>69</Paragraphs>
  <TotalTime>12</TotalTime>
  <ScaleCrop>false</ScaleCrop>
  <LinksUpToDate>false</LinksUpToDate>
  <CharactersWithSpaces>4189</CharactersWithSpaces>
  <Application>WPS Office_12.1.0.29162_F1E327BC-269C-435d-A152-05C5408002CA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2026-10-19T18:16:00Z</dcterms:created>
  <dcterms:modified xsi:type="dcterms:W3CDTF">2026-10-19T18:47:30Z</dcterms:modified>
  <dc:title>Microsoft Word - BDP outline structure_2026.06.06.docx</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v10.0.20290.1</vt:lpwstr>
  </property>
  <property fmtid="{D5CDD505-2E9C-101B-9397-08002B2CF9AE}" pid="3" name="Created">
    <vt:filetime>2026-06-06T00:00:00Z</vt:filetime>
  </property>
  <property fmtid="{D5CDD505-2E9C-101B-9397-08002B2CF9AE}" pid="4" name="LastSaved">
    <vt:filetime>2026-10-19T00:00:00Z</vt:filetime>
  </property>
  <property fmtid="{D5CDD505-2E9C-101B-9397-08002B2CF9AE}" pid="5" name="Producer">
    <vt:lpwstr>Microsoft: Print To PDF</vt:lpwstr>
  </property>
  <property fmtid="{D5CDD505-2E9C-101B-9397-08002B2CF9AE}" pid="6" name="KSOTemplateDocerSaveRecord">
    <vt:lpwstr>eyJoZGlkIjoiZWI0MWYxNTMxMTVhYzdmZjZhZmFjYWNiMTg2NzZmMDciLCJ1c2VySWQiOiIzODQ4MjkxOTg3ODQyIn0=</vt:lpwstr>
  </property>
  <property fmtid="{D5CDD505-2E9C-101B-9397-08002B2CF9AE}" pid="7" name="KSOProductBuildVer">
    <vt:lpwstr>1033-12.1.0.29162</vt:lpwstr>
  </property>
  <property fmtid="{D5CDD505-2E9C-101B-9397-08002B2CF9AE}" pid="8" name="ICV">
    <vt:lpwstr>0F9106FAF25A4EDE849776C1F89ECE3E_12</vt:lpwstr>
  </property>
</Properties>
</file>