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eastAsiaTheme="minorHAnsi" w:hAnsi="Arial"/>
          <w:color w:val="156082" w:themeColor="accent1"/>
          <w:kern w:val="2"/>
          <w:sz w:val="24"/>
          <w:szCs w:val="24"/>
          <w14:ligatures w14:val="standardContextual"/>
        </w:rPr>
        <w:id w:val="-452019784"/>
        <w:docPartObj>
          <w:docPartGallery w:val="Cover Pages"/>
          <w:docPartUnique/>
        </w:docPartObj>
      </w:sdtPr>
      <w:sdtEndPr>
        <w:rPr>
          <w:color w:val="auto"/>
        </w:rPr>
      </w:sdtEndPr>
      <w:sdtContent>
        <w:p w14:paraId="14C2FF2C" w14:textId="4461AF1D" w:rsidR="001A25B5" w:rsidRDefault="001A25B5">
          <w:pPr>
            <w:pStyle w:val="NoSpacing"/>
            <w:spacing w:before="1540" w:after="240"/>
            <w:jc w:val="center"/>
            <w:rPr>
              <w:color w:val="156082" w:themeColor="accent1"/>
            </w:rPr>
          </w:pPr>
          <w:r>
            <w:rPr>
              <w:noProof/>
              <w:color w:val="156082" w:themeColor="accent1"/>
              <w:lang w:val="en-GB" w:eastAsia="en-GB"/>
            </w:rPr>
            <w:drawing>
              <wp:inline distT="0" distB="0" distL="0" distR="0" wp14:anchorId="29098636" wp14:editId="6D6E90B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156082" w:themeColor="accent1"/>
              <w:sz w:val="48"/>
              <w:szCs w:val="48"/>
            </w:rPr>
            <w:alias w:val="Title"/>
            <w:tag w:val=""/>
            <w:id w:val="1735040861"/>
            <w:placeholder>
              <w:docPart w:val="CB7679C717114D71A412436ECA2F807B"/>
            </w:placeholder>
            <w:dataBinding w:prefixMappings="xmlns:ns0='http://purl.org/dc/elements/1.1/' xmlns:ns1='http://schemas.openxmlformats.org/package/2006/metadata/core-properties' " w:xpath="/ns1:coreProperties[1]/ns0:title[1]" w:storeItemID="{6C3C8BC8-F283-45AE-878A-BAB7291924A1}"/>
            <w:text/>
          </w:sdtPr>
          <w:sdtEndPr/>
          <w:sdtContent>
            <w:p w14:paraId="17C406F7" w14:textId="7FE03C3E" w:rsidR="001A25B5" w:rsidRPr="001A25B5" w:rsidRDefault="001A25B5" w:rsidP="001A25B5">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color w:val="156082" w:themeColor="accent1"/>
                  <w:sz w:val="48"/>
                  <w:szCs w:val="48"/>
                </w:rPr>
              </w:pPr>
              <w:r w:rsidRPr="001A25B5">
                <w:rPr>
                  <w:rFonts w:ascii="Arial" w:eastAsiaTheme="majorEastAsia" w:hAnsi="Arial" w:cs="Arial"/>
                  <w:caps/>
                  <w:color w:val="156082" w:themeColor="accent1"/>
                  <w:sz w:val="48"/>
                  <w:szCs w:val="48"/>
                </w:rPr>
                <w:t>“The Influence of National and International Labour Markets on HRM and IHRM Strategies”</w:t>
              </w:r>
            </w:p>
          </w:sdtContent>
        </w:sdt>
        <w:p w14:paraId="564BEC40" w14:textId="6C757DD1" w:rsidR="001A25B5" w:rsidRDefault="001A25B5" w:rsidP="001A25B5">
          <w:pPr>
            <w:pStyle w:val="NoSpacing"/>
            <w:rPr>
              <w:color w:val="156082" w:themeColor="accent1"/>
              <w:sz w:val="28"/>
              <w:szCs w:val="28"/>
            </w:rPr>
          </w:pPr>
        </w:p>
        <w:p w14:paraId="39B327C5" w14:textId="0D7CA2C1" w:rsidR="001A25B5" w:rsidRDefault="001A25B5">
          <w:pPr>
            <w:pStyle w:val="NoSpacing"/>
            <w:spacing w:before="480"/>
            <w:jc w:val="center"/>
            <w:rPr>
              <w:color w:val="156082" w:themeColor="accent1"/>
            </w:rPr>
          </w:pPr>
          <w:r>
            <w:rPr>
              <w:noProof/>
              <w:color w:val="156082" w:themeColor="accent1"/>
              <w:lang w:val="en-GB" w:eastAsia="en-GB"/>
            </w:rPr>
            <w:drawing>
              <wp:inline distT="0" distB="0" distL="0" distR="0" wp14:anchorId="45A1E8D0" wp14:editId="017C7CE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A967A7E" w14:textId="03E35C89" w:rsidR="001A25B5" w:rsidRDefault="001A25B5">
          <w:pPr>
            <w:jc w:val="left"/>
          </w:pPr>
          <w:r>
            <w:br w:type="page"/>
          </w:r>
        </w:p>
      </w:sdtContent>
    </w:sdt>
    <w:p w14:paraId="0D68993E" w14:textId="77777777" w:rsidR="00D52FCF" w:rsidRDefault="00D52FCF" w:rsidP="00D52FCF"/>
    <w:p w14:paraId="34490F8D" w14:textId="2C47D975" w:rsidR="001A25B5" w:rsidRDefault="001A25B5" w:rsidP="00D52FCF">
      <w:r>
        <w:rPr>
          <w:noProof/>
          <w:lang w:val="en-GB" w:eastAsia="en-GB"/>
        </w:rPr>
        <w:drawing>
          <wp:inline distT="0" distB="0" distL="0" distR="0" wp14:anchorId="5B6E24C2" wp14:editId="48D88186">
            <wp:extent cx="2809702" cy="1404851"/>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0">
                      <a:extLst>
                        <a:ext uri="{28A0092B-C50C-407E-A947-70E740481C1C}">
                          <a14:useLocalDpi xmlns:a14="http://schemas.microsoft.com/office/drawing/2010/main" val="0"/>
                        </a:ext>
                      </a:extLst>
                    </a:blip>
                    <a:stretch>
                      <a:fillRect/>
                    </a:stretch>
                  </pic:blipFill>
                  <pic:spPr>
                    <a:xfrm>
                      <a:off x="0" y="0"/>
                      <a:ext cx="2823822" cy="1411911"/>
                    </a:xfrm>
                    <a:prstGeom prst="rect">
                      <a:avLst/>
                    </a:prstGeom>
                  </pic:spPr>
                </pic:pic>
              </a:graphicData>
            </a:graphic>
          </wp:inline>
        </w:drawing>
      </w:r>
    </w:p>
    <w:p w14:paraId="2223F94D" w14:textId="77777777" w:rsidR="001A25B5" w:rsidRDefault="001A25B5" w:rsidP="00D52FCF"/>
    <w:tbl>
      <w:tblPr>
        <w:tblStyle w:val="TableGrid"/>
        <w:tblW w:w="0" w:type="auto"/>
        <w:tblLook w:val="04A0" w:firstRow="1" w:lastRow="0" w:firstColumn="1" w:lastColumn="0" w:noHBand="0" w:noVBand="1"/>
      </w:tblPr>
      <w:tblGrid>
        <w:gridCol w:w="4753"/>
        <w:gridCol w:w="4597"/>
      </w:tblGrid>
      <w:tr w:rsidR="001A25B5" w:rsidRPr="001A25B5" w14:paraId="7ABEBB0F" w14:textId="77777777" w:rsidTr="001A25B5">
        <w:tc>
          <w:tcPr>
            <w:tcW w:w="0" w:type="auto"/>
            <w:hideMark/>
          </w:tcPr>
          <w:p w14:paraId="0E23A733" w14:textId="77777777" w:rsidR="001A25B5" w:rsidRPr="001A25B5" w:rsidRDefault="001A25B5" w:rsidP="001A25B5">
            <w:pPr>
              <w:spacing w:after="160" w:line="278" w:lineRule="auto"/>
              <w:rPr>
                <w:b/>
                <w:bCs/>
              </w:rPr>
            </w:pPr>
            <w:r w:rsidRPr="001A25B5">
              <w:rPr>
                <w:b/>
                <w:bCs/>
              </w:rPr>
              <w:t>Student Name:</w:t>
            </w:r>
          </w:p>
        </w:tc>
        <w:tc>
          <w:tcPr>
            <w:tcW w:w="0" w:type="auto"/>
            <w:hideMark/>
          </w:tcPr>
          <w:p w14:paraId="08D1FC0A" w14:textId="74A153C4" w:rsidR="001A25B5" w:rsidRPr="001A25B5" w:rsidRDefault="00906432" w:rsidP="001A25B5">
            <w:pPr>
              <w:spacing w:after="160" w:line="278" w:lineRule="auto"/>
              <w:rPr>
                <w:b/>
                <w:bCs/>
              </w:rPr>
            </w:pPr>
            <w:r>
              <w:rPr>
                <w:b/>
                <w:bCs/>
              </w:rPr>
              <w:t xml:space="preserve"> </w:t>
            </w:r>
            <w:r w:rsidRPr="00906432">
              <w:rPr>
                <w:b/>
                <w:bCs/>
              </w:rPr>
              <w:t>Hamza khan</w:t>
            </w:r>
          </w:p>
        </w:tc>
      </w:tr>
      <w:tr w:rsidR="001A25B5" w:rsidRPr="001A25B5" w14:paraId="632FEC33" w14:textId="77777777" w:rsidTr="001A25B5">
        <w:tc>
          <w:tcPr>
            <w:tcW w:w="0" w:type="auto"/>
            <w:hideMark/>
          </w:tcPr>
          <w:p w14:paraId="021B2DD5" w14:textId="77777777" w:rsidR="001A25B5" w:rsidRPr="001A25B5" w:rsidRDefault="001A25B5" w:rsidP="001A25B5">
            <w:pPr>
              <w:spacing w:after="160" w:line="278" w:lineRule="auto"/>
            </w:pPr>
            <w:r w:rsidRPr="001A25B5">
              <w:rPr>
                <w:b/>
                <w:bCs/>
              </w:rPr>
              <w:t>Student ID Number:</w:t>
            </w:r>
          </w:p>
        </w:tc>
        <w:tc>
          <w:tcPr>
            <w:tcW w:w="0" w:type="auto"/>
            <w:hideMark/>
          </w:tcPr>
          <w:p w14:paraId="67B9EFC3" w14:textId="5043FDF2" w:rsidR="001A25B5" w:rsidRPr="001A25B5" w:rsidRDefault="00906432" w:rsidP="001A25B5">
            <w:pPr>
              <w:spacing w:after="160" w:line="278" w:lineRule="auto"/>
            </w:pPr>
            <w:r w:rsidRPr="00906432">
              <w:t>2504521</w:t>
            </w:r>
            <w:bookmarkStart w:id="0" w:name="_GoBack"/>
            <w:bookmarkEnd w:id="0"/>
          </w:p>
        </w:tc>
      </w:tr>
      <w:tr w:rsidR="001A25B5" w:rsidRPr="001A25B5" w14:paraId="0556E614" w14:textId="77777777" w:rsidTr="001A25B5">
        <w:tc>
          <w:tcPr>
            <w:tcW w:w="0" w:type="auto"/>
            <w:hideMark/>
          </w:tcPr>
          <w:p w14:paraId="408541A2" w14:textId="77777777" w:rsidR="001A25B5" w:rsidRPr="001A25B5" w:rsidRDefault="001A25B5" w:rsidP="001A25B5">
            <w:pPr>
              <w:spacing w:after="160" w:line="278" w:lineRule="auto"/>
            </w:pPr>
            <w:r w:rsidRPr="001A25B5">
              <w:rPr>
                <w:b/>
                <w:bCs/>
              </w:rPr>
              <w:t>Programme:</w:t>
            </w:r>
          </w:p>
        </w:tc>
        <w:tc>
          <w:tcPr>
            <w:tcW w:w="0" w:type="auto"/>
            <w:hideMark/>
          </w:tcPr>
          <w:p w14:paraId="5333CD46" w14:textId="77777777" w:rsidR="001A25B5" w:rsidRPr="001A25B5" w:rsidRDefault="001A25B5" w:rsidP="001A25B5">
            <w:pPr>
              <w:spacing w:after="160" w:line="278" w:lineRule="auto"/>
            </w:pPr>
            <w:r w:rsidRPr="001A25B5">
              <w:t>Master of Business Administration</w:t>
            </w:r>
          </w:p>
        </w:tc>
      </w:tr>
      <w:tr w:rsidR="001A25B5" w:rsidRPr="001A25B5" w14:paraId="68335FF3" w14:textId="77777777" w:rsidTr="001A25B5">
        <w:tc>
          <w:tcPr>
            <w:tcW w:w="0" w:type="auto"/>
            <w:hideMark/>
          </w:tcPr>
          <w:p w14:paraId="71C5331A" w14:textId="77777777" w:rsidR="001A25B5" w:rsidRPr="001A25B5" w:rsidRDefault="001A25B5" w:rsidP="001A25B5">
            <w:pPr>
              <w:spacing w:after="160" w:line="278" w:lineRule="auto"/>
            </w:pPr>
            <w:r w:rsidRPr="001A25B5">
              <w:rPr>
                <w:b/>
                <w:bCs/>
              </w:rPr>
              <w:t>Module:</w:t>
            </w:r>
          </w:p>
        </w:tc>
        <w:tc>
          <w:tcPr>
            <w:tcW w:w="0" w:type="auto"/>
            <w:hideMark/>
          </w:tcPr>
          <w:p w14:paraId="3546623C" w14:textId="77777777" w:rsidR="001A25B5" w:rsidRPr="001A25B5" w:rsidRDefault="001A25B5" w:rsidP="001A25B5">
            <w:pPr>
              <w:spacing w:after="160" w:line="278" w:lineRule="auto"/>
            </w:pPr>
            <w:r w:rsidRPr="001A25B5">
              <w:t>Human Capital Management</w:t>
            </w:r>
          </w:p>
        </w:tc>
      </w:tr>
      <w:tr w:rsidR="001A25B5" w:rsidRPr="001A25B5" w14:paraId="52F4DBEE" w14:textId="77777777" w:rsidTr="001A25B5">
        <w:tc>
          <w:tcPr>
            <w:tcW w:w="0" w:type="auto"/>
            <w:hideMark/>
          </w:tcPr>
          <w:p w14:paraId="15F4EA69" w14:textId="77777777" w:rsidR="001A25B5" w:rsidRPr="001A25B5" w:rsidRDefault="001A25B5" w:rsidP="001A25B5">
            <w:pPr>
              <w:spacing w:after="160" w:line="278" w:lineRule="auto"/>
            </w:pPr>
            <w:r w:rsidRPr="001A25B5">
              <w:rPr>
                <w:b/>
                <w:bCs/>
              </w:rPr>
              <w:t>Module Code:</w:t>
            </w:r>
          </w:p>
        </w:tc>
        <w:tc>
          <w:tcPr>
            <w:tcW w:w="0" w:type="auto"/>
            <w:hideMark/>
          </w:tcPr>
          <w:p w14:paraId="6FD17EA8" w14:textId="77777777" w:rsidR="001A25B5" w:rsidRPr="001A25B5" w:rsidRDefault="001A25B5" w:rsidP="001A25B5">
            <w:pPr>
              <w:spacing w:after="160" w:line="278" w:lineRule="auto"/>
            </w:pPr>
            <w:r w:rsidRPr="001A25B5">
              <w:t>LCMB7023</w:t>
            </w:r>
          </w:p>
        </w:tc>
      </w:tr>
      <w:tr w:rsidR="001A25B5" w:rsidRPr="001A25B5" w14:paraId="1BBB6CB7" w14:textId="77777777" w:rsidTr="001A25B5">
        <w:tc>
          <w:tcPr>
            <w:tcW w:w="0" w:type="auto"/>
            <w:hideMark/>
          </w:tcPr>
          <w:p w14:paraId="16A61EB1" w14:textId="77777777" w:rsidR="001A25B5" w:rsidRPr="001A25B5" w:rsidRDefault="001A25B5" w:rsidP="001A25B5">
            <w:pPr>
              <w:spacing w:after="160" w:line="278" w:lineRule="auto"/>
            </w:pPr>
            <w:r w:rsidRPr="001A25B5">
              <w:rPr>
                <w:b/>
                <w:bCs/>
              </w:rPr>
              <w:t>Assignment Title:</w:t>
            </w:r>
          </w:p>
        </w:tc>
        <w:tc>
          <w:tcPr>
            <w:tcW w:w="0" w:type="auto"/>
            <w:hideMark/>
          </w:tcPr>
          <w:p w14:paraId="7DF42EFC" w14:textId="77777777" w:rsidR="001A25B5" w:rsidRPr="001A25B5" w:rsidRDefault="001A25B5" w:rsidP="001A25B5">
            <w:pPr>
              <w:spacing w:after="160" w:line="278" w:lineRule="auto"/>
            </w:pPr>
            <w:r w:rsidRPr="001A25B5">
              <w:t>Assessment Component 1 – Individual Report</w:t>
            </w:r>
          </w:p>
        </w:tc>
      </w:tr>
      <w:tr w:rsidR="001A25B5" w:rsidRPr="001A25B5" w14:paraId="619C82F6" w14:textId="77777777" w:rsidTr="001A25B5">
        <w:tc>
          <w:tcPr>
            <w:tcW w:w="0" w:type="auto"/>
            <w:hideMark/>
          </w:tcPr>
          <w:p w14:paraId="00466301" w14:textId="77777777" w:rsidR="001A25B5" w:rsidRPr="001A25B5" w:rsidRDefault="001A25B5" w:rsidP="001A25B5">
            <w:pPr>
              <w:spacing w:after="160" w:line="278" w:lineRule="auto"/>
            </w:pPr>
            <w:r w:rsidRPr="001A25B5">
              <w:rPr>
                <w:b/>
                <w:bCs/>
              </w:rPr>
              <w:t>Contribution to Overall Module Assessment:</w:t>
            </w:r>
          </w:p>
        </w:tc>
        <w:tc>
          <w:tcPr>
            <w:tcW w:w="0" w:type="auto"/>
            <w:hideMark/>
          </w:tcPr>
          <w:p w14:paraId="2750CB85" w14:textId="77777777" w:rsidR="001A25B5" w:rsidRPr="001A25B5" w:rsidRDefault="001A25B5" w:rsidP="001A25B5">
            <w:pPr>
              <w:spacing w:after="160" w:line="278" w:lineRule="auto"/>
            </w:pPr>
            <w:r w:rsidRPr="001A25B5">
              <w:t>50%</w:t>
            </w:r>
          </w:p>
        </w:tc>
      </w:tr>
      <w:tr w:rsidR="001A25B5" w:rsidRPr="001A25B5" w14:paraId="49E8FF09" w14:textId="77777777" w:rsidTr="001A25B5">
        <w:tc>
          <w:tcPr>
            <w:tcW w:w="0" w:type="auto"/>
            <w:hideMark/>
          </w:tcPr>
          <w:p w14:paraId="4C58F0D5" w14:textId="77777777" w:rsidR="001A25B5" w:rsidRPr="001A25B5" w:rsidRDefault="001A25B5" w:rsidP="001A25B5">
            <w:pPr>
              <w:spacing w:after="160" w:line="278" w:lineRule="auto"/>
            </w:pPr>
            <w:r w:rsidRPr="001A25B5">
              <w:rPr>
                <w:b/>
                <w:bCs/>
              </w:rPr>
              <w:t>Word Count:</w:t>
            </w:r>
          </w:p>
        </w:tc>
        <w:tc>
          <w:tcPr>
            <w:tcW w:w="0" w:type="auto"/>
            <w:hideMark/>
          </w:tcPr>
          <w:p w14:paraId="0B1BF093" w14:textId="4C3855C5" w:rsidR="001A25B5" w:rsidRPr="001A25B5" w:rsidRDefault="001A25B5" w:rsidP="001A25B5">
            <w:pPr>
              <w:spacing w:after="160" w:line="278" w:lineRule="auto"/>
            </w:pPr>
            <w:r w:rsidRPr="00BA0F47">
              <w:rPr>
                <w:highlight w:val="yellow"/>
              </w:rPr>
              <w:t>2,</w:t>
            </w:r>
            <w:r w:rsidR="00BA0F47" w:rsidRPr="00BA0F47">
              <w:rPr>
                <w:highlight w:val="yellow"/>
              </w:rPr>
              <w:t>743</w:t>
            </w:r>
          </w:p>
        </w:tc>
      </w:tr>
      <w:tr w:rsidR="001A25B5" w:rsidRPr="001A25B5" w14:paraId="59DCE08A" w14:textId="77777777" w:rsidTr="001A25B5">
        <w:tc>
          <w:tcPr>
            <w:tcW w:w="0" w:type="auto"/>
            <w:hideMark/>
          </w:tcPr>
          <w:p w14:paraId="0A8CC8A0" w14:textId="77777777" w:rsidR="001A25B5" w:rsidRPr="001A25B5" w:rsidRDefault="001A25B5" w:rsidP="001A25B5">
            <w:pPr>
              <w:spacing w:after="160" w:line="278" w:lineRule="auto"/>
            </w:pPr>
            <w:r w:rsidRPr="001A25B5">
              <w:rPr>
                <w:b/>
                <w:bCs/>
              </w:rPr>
              <w:t>Submission Deadline:</w:t>
            </w:r>
          </w:p>
        </w:tc>
        <w:tc>
          <w:tcPr>
            <w:tcW w:w="0" w:type="auto"/>
            <w:hideMark/>
          </w:tcPr>
          <w:p w14:paraId="55F9591F" w14:textId="77777777" w:rsidR="001A25B5" w:rsidRPr="001A25B5" w:rsidRDefault="001A25B5" w:rsidP="001A25B5">
            <w:pPr>
              <w:spacing w:after="160" w:line="278" w:lineRule="auto"/>
            </w:pPr>
            <w:r w:rsidRPr="001A25B5">
              <w:t>Friday 14th November 2025, 2:00 PM</w:t>
            </w:r>
          </w:p>
        </w:tc>
      </w:tr>
      <w:tr w:rsidR="001A25B5" w:rsidRPr="001A25B5" w14:paraId="17AF786D" w14:textId="77777777" w:rsidTr="001A25B5">
        <w:tc>
          <w:tcPr>
            <w:tcW w:w="0" w:type="auto"/>
            <w:hideMark/>
          </w:tcPr>
          <w:p w14:paraId="237F952E" w14:textId="77777777" w:rsidR="001A25B5" w:rsidRPr="001A25B5" w:rsidRDefault="001A25B5" w:rsidP="001A25B5">
            <w:pPr>
              <w:spacing w:after="160" w:line="278" w:lineRule="auto"/>
            </w:pPr>
            <w:r w:rsidRPr="001A25B5">
              <w:rPr>
                <w:b/>
                <w:bCs/>
              </w:rPr>
              <w:t>Lecturer:</w:t>
            </w:r>
          </w:p>
        </w:tc>
        <w:tc>
          <w:tcPr>
            <w:tcW w:w="0" w:type="auto"/>
            <w:hideMark/>
          </w:tcPr>
          <w:p w14:paraId="708ACB8B" w14:textId="77777777" w:rsidR="001A25B5" w:rsidRPr="001A25B5" w:rsidRDefault="001A25B5" w:rsidP="001A25B5">
            <w:pPr>
              <w:spacing w:after="160" w:line="278" w:lineRule="auto"/>
            </w:pPr>
            <w:r w:rsidRPr="001A25B5">
              <w:t xml:space="preserve">Gladius </w:t>
            </w:r>
            <w:proofErr w:type="spellStart"/>
            <w:r w:rsidRPr="001A25B5">
              <w:t>Kulothungan</w:t>
            </w:r>
            <w:proofErr w:type="spellEnd"/>
            <w:r w:rsidRPr="001A25B5">
              <w:t xml:space="preserve"> (London)</w:t>
            </w:r>
          </w:p>
        </w:tc>
      </w:tr>
    </w:tbl>
    <w:p w14:paraId="7B38E7C2" w14:textId="51200253" w:rsidR="001A25B5" w:rsidRDefault="00D52FCF" w:rsidP="00D52FCF">
      <w:r>
        <w:br w:type="page"/>
      </w:r>
    </w:p>
    <w:p w14:paraId="5E3B248A" w14:textId="77777777" w:rsidR="001A25B5" w:rsidRDefault="001A25B5" w:rsidP="00D52FCF"/>
    <w:p w14:paraId="18087B19" w14:textId="77777777" w:rsidR="001A25B5" w:rsidRDefault="001A25B5" w:rsidP="00D52FCF"/>
    <w:sdt>
      <w:sdtPr>
        <w:rPr>
          <w:rFonts w:ascii="Arial" w:eastAsiaTheme="minorHAnsi" w:hAnsi="Arial" w:cstheme="minorBidi"/>
          <w:color w:val="auto"/>
          <w:kern w:val="2"/>
          <w:sz w:val="24"/>
          <w:szCs w:val="24"/>
          <w14:ligatures w14:val="standardContextual"/>
        </w:rPr>
        <w:id w:val="2068915627"/>
        <w:docPartObj>
          <w:docPartGallery w:val="Table of Contents"/>
          <w:docPartUnique/>
        </w:docPartObj>
      </w:sdtPr>
      <w:sdtEndPr>
        <w:rPr>
          <w:b/>
          <w:bCs/>
          <w:noProof/>
        </w:rPr>
      </w:sdtEndPr>
      <w:sdtContent>
        <w:p w14:paraId="73CDE8E6" w14:textId="1C672FFE" w:rsidR="00D52FCF" w:rsidRPr="00FE34B1" w:rsidRDefault="00D52FCF" w:rsidP="00D52FCF">
          <w:pPr>
            <w:pStyle w:val="TOCHeading"/>
            <w:rPr>
              <w:color w:val="auto"/>
            </w:rPr>
          </w:pPr>
          <w:r w:rsidRPr="00FE34B1">
            <w:rPr>
              <w:color w:val="auto"/>
            </w:rPr>
            <w:t>Contents</w:t>
          </w:r>
        </w:p>
        <w:p w14:paraId="468FCE1A" w14:textId="6DD30F71" w:rsidR="002560AE" w:rsidRDefault="00D52FCF">
          <w:pPr>
            <w:pStyle w:val="TOC1"/>
            <w:tabs>
              <w:tab w:val="right" w:leader="dot" w:pos="9350"/>
            </w:tabs>
            <w:rPr>
              <w:rFonts w:asciiTheme="minorHAnsi" w:eastAsiaTheme="minorEastAsia" w:hAnsiTheme="minorHAnsi"/>
              <w:noProof/>
              <w:sz w:val="22"/>
              <w:szCs w:val="22"/>
            </w:rPr>
          </w:pPr>
          <w:r>
            <w:fldChar w:fldCharType="begin"/>
          </w:r>
          <w:r>
            <w:instrText xml:space="preserve"> TOC \o "1-3" \h \z \u </w:instrText>
          </w:r>
          <w:r>
            <w:fldChar w:fldCharType="separate"/>
          </w:r>
          <w:hyperlink w:anchor="_Toc213196093" w:history="1">
            <w:r w:rsidR="002560AE" w:rsidRPr="00310C97">
              <w:rPr>
                <w:rStyle w:val="Hyperlink"/>
                <w:noProof/>
              </w:rPr>
              <w:t>1. Technological Advancements and Their Implications for HRM and IHRM Strategies</w:t>
            </w:r>
            <w:r w:rsidR="002560AE">
              <w:rPr>
                <w:noProof/>
                <w:webHidden/>
              </w:rPr>
              <w:tab/>
            </w:r>
            <w:r w:rsidR="002560AE">
              <w:rPr>
                <w:noProof/>
                <w:webHidden/>
              </w:rPr>
              <w:fldChar w:fldCharType="begin"/>
            </w:r>
            <w:r w:rsidR="002560AE">
              <w:rPr>
                <w:noProof/>
                <w:webHidden/>
              </w:rPr>
              <w:instrText xml:space="preserve"> PAGEREF _Toc213196093 \h </w:instrText>
            </w:r>
            <w:r w:rsidR="002560AE">
              <w:rPr>
                <w:noProof/>
                <w:webHidden/>
              </w:rPr>
            </w:r>
            <w:r w:rsidR="002560AE">
              <w:rPr>
                <w:noProof/>
                <w:webHidden/>
              </w:rPr>
              <w:fldChar w:fldCharType="separate"/>
            </w:r>
            <w:r w:rsidR="002560AE">
              <w:rPr>
                <w:noProof/>
                <w:webHidden/>
              </w:rPr>
              <w:t>3</w:t>
            </w:r>
            <w:r w:rsidR="002560AE">
              <w:rPr>
                <w:noProof/>
                <w:webHidden/>
              </w:rPr>
              <w:fldChar w:fldCharType="end"/>
            </w:r>
          </w:hyperlink>
        </w:p>
        <w:p w14:paraId="15E2834E" w14:textId="19948D2D" w:rsidR="002560AE" w:rsidRDefault="006E40CB">
          <w:pPr>
            <w:pStyle w:val="TOC1"/>
            <w:tabs>
              <w:tab w:val="right" w:leader="dot" w:pos="9350"/>
            </w:tabs>
            <w:rPr>
              <w:rFonts w:asciiTheme="minorHAnsi" w:eastAsiaTheme="minorEastAsia" w:hAnsiTheme="minorHAnsi"/>
              <w:noProof/>
              <w:sz w:val="22"/>
              <w:szCs w:val="22"/>
            </w:rPr>
          </w:pPr>
          <w:hyperlink w:anchor="_Toc213196094" w:history="1">
            <w:r w:rsidR="002560AE" w:rsidRPr="00310C97">
              <w:rPr>
                <w:rStyle w:val="Hyperlink"/>
                <w:noProof/>
              </w:rPr>
              <w:t>2. Demographic and Geopolitical Factors Influencing Employment Markets and HRM/IHRM Strategies</w:t>
            </w:r>
            <w:r w:rsidR="002560AE">
              <w:rPr>
                <w:noProof/>
                <w:webHidden/>
              </w:rPr>
              <w:tab/>
            </w:r>
            <w:r w:rsidR="002560AE">
              <w:rPr>
                <w:noProof/>
                <w:webHidden/>
              </w:rPr>
              <w:fldChar w:fldCharType="begin"/>
            </w:r>
            <w:r w:rsidR="002560AE">
              <w:rPr>
                <w:noProof/>
                <w:webHidden/>
              </w:rPr>
              <w:instrText xml:space="preserve"> PAGEREF _Toc213196094 \h </w:instrText>
            </w:r>
            <w:r w:rsidR="002560AE">
              <w:rPr>
                <w:noProof/>
                <w:webHidden/>
              </w:rPr>
            </w:r>
            <w:r w:rsidR="002560AE">
              <w:rPr>
                <w:noProof/>
                <w:webHidden/>
              </w:rPr>
              <w:fldChar w:fldCharType="separate"/>
            </w:r>
            <w:r w:rsidR="002560AE">
              <w:rPr>
                <w:noProof/>
                <w:webHidden/>
              </w:rPr>
              <w:t>5</w:t>
            </w:r>
            <w:r w:rsidR="002560AE">
              <w:rPr>
                <w:noProof/>
                <w:webHidden/>
              </w:rPr>
              <w:fldChar w:fldCharType="end"/>
            </w:r>
          </w:hyperlink>
        </w:p>
        <w:p w14:paraId="2DD4023B" w14:textId="0C2C75D5" w:rsidR="002560AE" w:rsidRDefault="006E40CB">
          <w:pPr>
            <w:pStyle w:val="TOC2"/>
            <w:tabs>
              <w:tab w:val="right" w:leader="dot" w:pos="9350"/>
            </w:tabs>
            <w:rPr>
              <w:rFonts w:asciiTheme="minorHAnsi" w:eastAsiaTheme="minorEastAsia" w:hAnsiTheme="minorHAnsi"/>
              <w:noProof/>
              <w:sz w:val="22"/>
              <w:szCs w:val="22"/>
            </w:rPr>
          </w:pPr>
          <w:hyperlink w:anchor="_Toc213196095" w:history="1">
            <w:r w:rsidR="002560AE" w:rsidRPr="00310C97">
              <w:rPr>
                <w:rStyle w:val="Hyperlink"/>
                <w:noProof/>
              </w:rPr>
              <w:t>2.1 Demographic Realignments and HRM Adaptation</w:t>
            </w:r>
            <w:r w:rsidR="002560AE">
              <w:rPr>
                <w:noProof/>
                <w:webHidden/>
              </w:rPr>
              <w:tab/>
            </w:r>
            <w:r w:rsidR="002560AE">
              <w:rPr>
                <w:noProof/>
                <w:webHidden/>
              </w:rPr>
              <w:fldChar w:fldCharType="begin"/>
            </w:r>
            <w:r w:rsidR="002560AE">
              <w:rPr>
                <w:noProof/>
                <w:webHidden/>
              </w:rPr>
              <w:instrText xml:space="preserve"> PAGEREF _Toc213196095 \h </w:instrText>
            </w:r>
            <w:r w:rsidR="002560AE">
              <w:rPr>
                <w:noProof/>
                <w:webHidden/>
              </w:rPr>
            </w:r>
            <w:r w:rsidR="002560AE">
              <w:rPr>
                <w:noProof/>
                <w:webHidden/>
              </w:rPr>
              <w:fldChar w:fldCharType="separate"/>
            </w:r>
            <w:r w:rsidR="002560AE">
              <w:rPr>
                <w:noProof/>
                <w:webHidden/>
              </w:rPr>
              <w:t>6</w:t>
            </w:r>
            <w:r w:rsidR="002560AE">
              <w:rPr>
                <w:noProof/>
                <w:webHidden/>
              </w:rPr>
              <w:fldChar w:fldCharType="end"/>
            </w:r>
          </w:hyperlink>
        </w:p>
        <w:p w14:paraId="3966626F" w14:textId="6A256530" w:rsidR="002560AE" w:rsidRDefault="006E40CB">
          <w:pPr>
            <w:pStyle w:val="TOC2"/>
            <w:tabs>
              <w:tab w:val="right" w:leader="dot" w:pos="9350"/>
            </w:tabs>
            <w:rPr>
              <w:rFonts w:asciiTheme="minorHAnsi" w:eastAsiaTheme="minorEastAsia" w:hAnsiTheme="minorHAnsi"/>
              <w:noProof/>
              <w:sz w:val="22"/>
              <w:szCs w:val="22"/>
            </w:rPr>
          </w:pPr>
          <w:hyperlink w:anchor="_Toc213196096" w:history="1">
            <w:r w:rsidR="002560AE" w:rsidRPr="00310C97">
              <w:rPr>
                <w:rStyle w:val="Hyperlink"/>
                <w:noProof/>
              </w:rPr>
              <w:t>2.2 Geopolitical Disruptions and IHRM Complexity</w:t>
            </w:r>
            <w:r w:rsidR="002560AE">
              <w:rPr>
                <w:noProof/>
                <w:webHidden/>
              </w:rPr>
              <w:tab/>
            </w:r>
            <w:r w:rsidR="002560AE">
              <w:rPr>
                <w:noProof/>
                <w:webHidden/>
              </w:rPr>
              <w:fldChar w:fldCharType="begin"/>
            </w:r>
            <w:r w:rsidR="002560AE">
              <w:rPr>
                <w:noProof/>
                <w:webHidden/>
              </w:rPr>
              <w:instrText xml:space="preserve"> PAGEREF _Toc213196096 \h </w:instrText>
            </w:r>
            <w:r w:rsidR="002560AE">
              <w:rPr>
                <w:noProof/>
                <w:webHidden/>
              </w:rPr>
            </w:r>
            <w:r w:rsidR="002560AE">
              <w:rPr>
                <w:noProof/>
                <w:webHidden/>
              </w:rPr>
              <w:fldChar w:fldCharType="separate"/>
            </w:r>
            <w:r w:rsidR="002560AE">
              <w:rPr>
                <w:noProof/>
                <w:webHidden/>
              </w:rPr>
              <w:t>7</w:t>
            </w:r>
            <w:r w:rsidR="002560AE">
              <w:rPr>
                <w:noProof/>
                <w:webHidden/>
              </w:rPr>
              <w:fldChar w:fldCharType="end"/>
            </w:r>
          </w:hyperlink>
        </w:p>
        <w:p w14:paraId="27DAFD5D" w14:textId="67B4A65F" w:rsidR="002560AE" w:rsidRDefault="006E40CB">
          <w:pPr>
            <w:pStyle w:val="TOC2"/>
            <w:tabs>
              <w:tab w:val="right" w:leader="dot" w:pos="9350"/>
            </w:tabs>
            <w:rPr>
              <w:rFonts w:asciiTheme="minorHAnsi" w:eastAsiaTheme="minorEastAsia" w:hAnsiTheme="minorHAnsi"/>
              <w:noProof/>
              <w:sz w:val="22"/>
              <w:szCs w:val="22"/>
            </w:rPr>
          </w:pPr>
          <w:hyperlink w:anchor="_Toc213196097" w:history="1">
            <w:r w:rsidR="002560AE" w:rsidRPr="00310C97">
              <w:rPr>
                <w:rStyle w:val="Hyperlink"/>
                <w:noProof/>
              </w:rPr>
              <w:t>2.3 Integrating Demographic and Geopolitical Intelligence into Strategy</w:t>
            </w:r>
            <w:r w:rsidR="002560AE">
              <w:rPr>
                <w:noProof/>
                <w:webHidden/>
              </w:rPr>
              <w:tab/>
            </w:r>
            <w:r w:rsidR="002560AE">
              <w:rPr>
                <w:noProof/>
                <w:webHidden/>
              </w:rPr>
              <w:fldChar w:fldCharType="begin"/>
            </w:r>
            <w:r w:rsidR="002560AE">
              <w:rPr>
                <w:noProof/>
                <w:webHidden/>
              </w:rPr>
              <w:instrText xml:space="preserve"> PAGEREF _Toc213196097 \h </w:instrText>
            </w:r>
            <w:r w:rsidR="002560AE">
              <w:rPr>
                <w:noProof/>
                <w:webHidden/>
              </w:rPr>
            </w:r>
            <w:r w:rsidR="002560AE">
              <w:rPr>
                <w:noProof/>
                <w:webHidden/>
              </w:rPr>
              <w:fldChar w:fldCharType="separate"/>
            </w:r>
            <w:r w:rsidR="002560AE">
              <w:rPr>
                <w:noProof/>
                <w:webHidden/>
              </w:rPr>
              <w:t>8</w:t>
            </w:r>
            <w:r w:rsidR="002560AE">
              <w:rPr>
                <w:noProof/>
                <w:webHidden/>
              </w:rPr>
              <w:fldChar w:fldCharType="end"/>
            </w:r>
          </w:hyperlink>
        </w:p>
        <w:p w14:paraId="1736A5BD" w14:textId="2457F23F" w:rsidR="002560AE" w:rsidRDefault="006E40CB">
          <w:pPr>
            <w:pStyle w:val="TOC1"/>
            <w:tabs>
              <w:tab w:val="right" w:leader="dot" w:pos="9350"/>
            </w:tabs>
            <w:rPr>
              <w:rFonts w:asciiTheme="minorHAnsi" w:eastAsiaTheme="minorEastAsia" w:hAnsiTheme="minorHAnsi"/>
              <w:noProof/>
              <w:sz w:val="22"/>
              <w:szCs w:val="22"/>
            </w:rPr>
          </w:pPr>
          <w:hyperlink w:anchor="_Toc213196098" w:history="1">
            <w:r w:rsidR="002560AE" w:rsidRPr="00310C97">
              <w:rPr>
                <w:rStyle w:val="Hyperlink"/>
                <w:noProof/>
              </w:rPr>
              <w:t>3. Skills Gaps and Strategic Talent Management in Global Labour Markets</w:t>
            </w:r>
            <w:r w:rsidR="002560AE">
              <w:rPr>
                <w:noProof/>
                <w:webHidden/>
              </w:rPr>
              <w:tab/>
            </w:r>
            <w:r w:rsidR="002560AE">
              <w:rPr>
                <w:noProof/>
                <w:webHidden/>
              </w:rPr>
              <w:fldChar w:fldCharType="begin"/>
            </w:r>
            <w:r w:rsidR="002560AE">
              <w:rPr>
                <w:noProof/>
                <w:webHidden/>
              </w:rPr>
              <w:instrText xml:space="preserve"> PAGEREF _Toc213196098 \h </w:instrText>
            </w:r>
            <w:r w:rsidR="002560AE">
              <w:rPr>
                <w:noProof/>
                <w:webHidden/>
              </w:rPr>
            </w:r>
            <w:r w:rsidR="002560AE">
              <w:rPr>
                <w:noProof/>
                <w:webHidden/>
              </w:rPr>
              <w:fldChar w:fldCharType="separate"/>
            </w:r>
            <w:r w:rsidR="002560AE">
              <w:rPr>
                <w:noProof/>
                <w:webHidden/>
              </w:rPr>
              <w:t>9</w:t>
            </w:r>
            <w:r w:rsidR="002560AE">
              <w:rPr>
                <w:noProof/>
                <w:webHidden/>
              </w:rPr>
              <w:fldChar w:fldCharType="end"/>
            </w:r>
          </w:hyperlink>
        </w:p>
        <w:p w14:paraId="26810C0B" w14:textId="147E2B60" w:rsidR="002560AE" w:rsidRDefault="006E40CB">
          <w:pPr>
            <w:pStyle w:val="TOC2"/>
            <w:tabs>
              <w:tab w:val="right" w:leader="dot" w:pos="9350"/>
            </w:tabs>
            <w:rPr>
              <w:rFonts w:asciiTheme="minorHAnsi" w:eastAsiaTheme="minorEastAsia" w:hAnsiTheme="minorHAnsi"/>
              <w:noProof/>
              <w:sz w:val="22"/>
              <w:szCs w:val="22"/>
            </w:rPr>
          </w:pPr>
          <w:hyperlink w:anchor="_Toc213196099" w:history="1">
            <w:r w:rsidR="002560AE" w:rsidRPr="00310C97">
              <w:rPr>
                <w:rStyle w:val="Hyperlink"/>
                <w:noProof/>
              </w:rPr>
              <w:t>3.1 Diagnosing the Global Skills Deficit</w:t>
            </w:r>
            <w:r w:rsidR="002560AE">
              <w:rPr>
                <w:noProof/>
                <w:webHidden/>
              </w:rPr>
              <w:tab/>
            </w:r>
            <w:r w:rsidR="002560AE">
              <w:rPr>
                <w:noProof/>
                <w:webHidden/>
              </w:rPr>
              <w:fldChar w:fldCharType="begin"/>
            </w:r>
            <w:r w:rsidR="002560AE">
              <w:rPr>
                <w:noProof/>
                <w:webHidden/>
              </w:rPr>
              <w:instrText xml:space="preserve"> PAGEREF _Toc213196099 \h </w:instrText>
            </w:r>
            <w:r w:rsidR="002560AE">
              <w:rPr>
                <w:noProof/>
                <w:webHidden/>
              </w:rPr>
            </w:r>
            <w:r w:rsidR="002560AE">
              <w:rPr>
                <w:noProof/>
                <w:webHidden/>
              </w:rPr>
              <w:fldChar w:fldCharType="separate"/>
            </w:r>
            <w:r w:rsidR="002560AE">
              <w:rPr>
                <w:noProof/>
                <w:webHidden/>
              </w:rPr>
              <w:t>10</w:t>
            </w:r>
            <w:r w:rsidR="002560AE">
              <w:rPr>
                <w:noProof/>
                <w:webHidden/>
              </w:rPr>
              <w:fldChar w:fldCharType="end"/>
            </w:r>
          </w:hyperlink>
        </w:p>
        <w:p w14:paraId="3FB7C74E" w14:textId="1ED71DD8" w:rsidR="002560AE" w:rsidRDefault="006E40CB">
          <w:pPr>
            <w:pStyle w:val="TOC2"/>
            <w:tabs>
              <w:tab w:val="right" w:leader="dot" w:pos="9350"/>
            </w:tabs>
            <w:rPr>
              <w:rFonts w:asciiTheme="minorHAnsi" w:eastAsiaTheme="minorEastAsia" w:hAnsiTheme="minorHAnsi"/>
              <w:noProof/>
              <w:sz w:val="22"/>
              <w:szCs w:val="22"/>
            </w:rPr>
          </w:pPr>
          <w:hyperlink w:anchor="_Toc213196100" w:history="1">
            <w:r w:rsidR="002560AE" w:rsidRPr="00310C97">
              <w:rPr>
                <w:rStyle w:val="Hyperlink"/>
                <w:noProof/>
              </w:rPr>
              <w:t>3.2 Strategic HRM and Organisational Responses</w:t>
            </w:r>
            <w:r w:rsidR="002560AE">
              <w:rPr>
                <w:noProof/>
                <w:webHidden/>
              </w:rPr>
              <w:tab/>
            </w:r>
            <w:r w:rsidR="002560AE">
              <w:rPr>
                <w:noProof/>
                <w:webHidden/>
              </w:rPr>
              <w:fldChar w:fldCharType="begin"/>
            </w:r>
            <w:r w:rsidR="002560AE">
              <w:rPr>
                <w:noProof/>
                <w:webHidden/>
              </w:rPr>
              <w:instrText xml:space="preserve"> PAGEREF _Toc213196100 \h </w:instrText>
            </w:r>
            <w:r w:rsidR="002560AE">
              <w:rPr>
                <w:noProof/>
                <w:webHidden/>
              </w:rPr>
            </w:r>
            <w:r w:rsidR="002560AE">
              <w:rPr>
                <w:noProof/>
                <w:webHidden/>
              </w:rPr>
              <w:fldChar w:fldCharType="separate"/>
            </w:r>
            <w:r w:rsidR="002560AE">
              <w:rPr>
                <w:noProof/>
                <w:webHidden/>
              </w:rPr>
              <w:t>11</w:t>
            </w:r>
            <w:r w:rsidR="002560AE">
              <w:rPr>
                <w:noProof/>
                <w:webHidden/>
              </w:rPr>
              <w:fldChar w:fldCharType="end"/>
            </w:r>
          </w:hyperlink>
        </w:p>
        <w:p w14:paraId="0865D5DA" w14:textId="1B96A254" w:rsidR="002560AE" w:rsidRDefault="006E40CB">
          <w:pPr>
            <w:pStyle w:val="TOC2"/>
            <w:tabs>
              <w:tab w:val="right" w:leader="dot" w:pos="9350"/>
            </w:tabs>
            <w:rPr>
              <w:rFonts w:asciiTheme="minorHAnsi" w:eastAsiaTheme="minorEastAsia" w:hAnsiTheme="minorHAnsi"/>
              <w:noProof/>
              <w:sz w:val="22"/>
              <w:szCs w:val="22"/>
            </w:rPr>
          </w:pPr>
          <w:hyperlink w:anchor="_Toc213196101" w:history="1">
            <w:r w:rsidR="002560AE" w:rsidRPr="00310C97">
              <w:rPr>
                <w:rStyle w:val="Hyperlink"/>
                <w:noProof/>
              </w:rPr>
              <w:t>3.3 Data-Driven and Ethical Talent Strategies</w:t>
            </w:r>
            <w:r w:rsidR="002560AE">
              <w:rPr>
                <w:noProof/>
                <w:webHidden/>
              </w:rPr>
              <w:tab/>
            </w:r>
            <w:r w:rsidR="002560AE">
              <w:rPr>
                <w:noProof/>
                <w:webHidden/>
              </w:rPr>
              <w:fldChar w:fldCharType="begin"/>
            </w:r>
            <w:r w:rsidR="002560AE">
              <w:rPr>
                <w:noProof/>
                <w:webHidden/>
              </w:rPr>
              <w:instrText xml:space="preserve"> PAGEREF _Toc213196101 \h </w:instrText>
            </w:r>
            <w:r w:rsidR="002560AE">
              <w:rPr>
                <w:noProof/>
                <w:webHidden/>
              </w:rPr>
            </w:r>
            <w:r w:rsidR="002560AE">
              <w:rPr>
                <w:noProof/>
                <w:webHidden/>
              </w:rPr>
              <w:fldChar w:fldCharType="separate"/>
            </w:r>
            <w:r w:rsidR="002560AE">
              <w:rPr>
                <w:noProof/>
                <w:webHidden/>
              </w:rPr>
              <w:t>11</w:t>
            </w:r>
            <w:r w:rsidR="002560AE">
              <w:rPr>
                <w:noProof/>
                <w:webHidden/>
              </w:rPr>
              <w:fldChar w:fldCharType="end"/>
            </w:r>
          </w:hyperlink>
        </w:p>
        <w:p w14:paraId="45C9CFDB" w14:textId="4A6A4187" w:rsidR="002560AE" w:rsidRDefault="006E40CB">
          <w:pPr>
            <w:pStyle w:val="TOC2"/>
            <w:tabs>
              <w:tab w:val="right" w:leader="dot" w:pos="9350"/>
            </w:tabs>
            <w:rPr>
              <w:rFonts w:asciiTheme="minorHAnsi" w:eastAsiaTheme="minorEastAsia" w:hAnsiTheme="minorHAnsi"/>
              <w:noProof/>
              <w:sz w:val="22"/>
              <w:szCs w:val="22"/>
            </w:rPr>
          </w:pPr>
          <w:hyperlink w:anchor="_Toc213196102" w:history="1">
            <w:r w:rsidR="002560AE" w:rsidRPr="00310C97">
              <w:rPr>
                <w:rStyle w:val="Hyperlink"/>
                <w:noProof/>
              </w:rPr>
              <w:t>3.4 Integrating Talent Strategy with Organisational Sustainability</w:t>
            </w:r>
            <w:r w:rsidR="002560AE">
              <w:rPr>
                <w:noProof/>
                <w:webHidden/>
              </w:rPr>
              <w:tab/>
            </w:r>
            <w:r w:rsidR="002560AE">
              <w:rPr>
                <w:noProof/>
                <w:webHidden/>
              </w:rPr>
              <w:fldChar w:fldCharType="begin"/>
            </w:r>
            <w:r w:rsidR="002560AE">
              <w:rPr>
                <w:noProof/>
                <w:webHidden/>
              </w:rPr>
              <w:instrText xml:space="preserve"> PAGEREF _Toc213196102 \h </w:instrText>
            </w:r>
            <w:r w:rsidR="002560AE">
              <w:rPr>
                <w:noProof/>
                <w:webHidden/>
              </w:rPr>
            </w:r>
            <w:r w:rsidR="002560AE">
              <w:rPr>
                <w:noProof/>
                <w:webHidden/>
              </w:rPr>
              <w:fldChar w:fldCharType="separate"/>
            </w:r>
            <w:r w:rsidR="002560AE">
              <w:rPr>
                <w:noProof/>
                <w:webHidden/>
              </w:rPr>
              <w:t>12</w:t>
            </w:r>
            <w:r w:rsidR="002560AE">
              <w:rPr>
                <w:noProof/>
                <w:webHidden/>
              </w:rPr>
              <w:fldChar w:fldCharType="end"/>
            </w:r>
          </w:hyperlink>
        </w:p>
        <w:p w14:paraId="6A37DF38" w14:textId="34B5E2B5" w:rsidR="002560AE" w:rsidRDefault="006E40CB">
          <w:pPr>
            <w:pStyle w:val="TOC1"/>
            <w:tabs>
              <w:tab w:val="right" w:leader="dot" w:pos="9350"/>
            </w:tabs>
            <w:rPr>
              <w:rFonts w:asciiTheme="minorHAnsi" w:eastAsiaTheme="minorEastAsia" w:hAnsiTheme="minorHAnsi"/>
              <w:noProof/>
              <w:sz w:val="22"/>
              <w:szCs w:val="22"/>
            </w:rPr>
          </w:pPr>
          <w:hyperlink w:anchor="_Toc213196103" w:history="1">
            <w:r w:rsidR="002560AE" w:rsidRPr="00310C97">
              <w:rPr>
                <w:rStyle w:val="Hyperlink"/>
                <w:noProof/>
              </w:rPr>
              <w:t>4 Reflective Self-Analysis of Capabilities in an International Context</w:t>
            </w:r>
            <w:r w:rsidR="002560AE">
              <w:rPr>
                <w:noProof/>
                <w:webHidden/>
              </w:rPr>
              <w:tab/>
            </w:r>
            <w:r w:rsidR="002560AE">
              <w:rPr>
                <w:noProof/>
                <w:webHidden/>
              </w:rPr>
              <w:fldChar w:fldCharType="begin"/>
            </w:r>
            <w:r w:rsidR="002560AE">
              <w:rPr>
                <w:noProof/>
                <w:webHidden/>
              </w:rPr>
              <w:instrText xml:space="preserve"> PAGEREF _Toc213196103 \h </w:instrText>
            </w:r>
            <w:r w:rsidR="002560AE">
              <w:rPr>
                <w:noProof/>
                <w:webHidden/>
              </w:rPr>
            </w:r>
            <w:r w:rsidR="002560AE">
              <w:rPr>
                <w:noProof/>
                <w:webHidden/>
              </w:rPr>
              <w:fldChar w:fldCharType="separate"/>
            </w:r>
            <w:r w:rsidR="002560AE">
              <w:rPr>
                <w:noProof/>
                <w:webHidden/>
              </w:rPr>
              <w:t>13</w:t>
            </w:r>
            <w:r w:rsidR="002560AE">
              <w:rPr>
                <w:noProof/>
                <w:webHidden/>
              </w:rPr>
              <w:fldChar w:fldCharType="end"/>
            </w:r>
          </w:hyperlink>
        </w:p>
        <w:p w14:paraId="7C7B5F4D" w14:textId="67F7C908" w:rsidR="002560AE" w:rsidRDefault="006E40CB">
          <w:pPr>
            <w:pStyle w:val="TOC2"/>
            <w:tabs>
              <w:tab w:val="right" w:leader="dot" w:pos="9350"/>
            </w:tabs>
            <w:rPr>
              <w:rFonts w:asciiTheme="minorHAnsi" w:eastAsiaTheme="minorEastAsia" w:hAnsiTheme="minorHAnsi"/>
              <w:noProof/>
              <w:sz w:val="22"/>
              <w:szCs w:val="22"/>
            </w:rPr>
          </w:pPr>
          <w:hyperlink w:anchor="_Toc213196104" w:history="1">
            <w:r w:rsidR="002560AE" w:rsidRPr="00310C97">
              <w:rPr>
                <w:rStyle w:val="Hyperlink"/>
                <w:noProof/>
              </w:rPr>
              <w:t>4.1 Introduction and Method</w:t>
            </w:r>
            <w:r w:rsidR="002560AE">
              <w:rPr>
                <w:noProof/>
                <w:webHidden/>
              </w:rPr>
              <w:tab/>
            </w:r>
            <w:r w:rsidR="002560AE">
              <w:rPr>
                <w:noProof/>
                <w:webHidden/>
              </w:rPr>
              <w:fldChar w:fldCharType="begin"/>
            </w:r>
            <w:r w:rsidR="002560AE">
              <w:rPr>
                <w:noProof/>
                <w:webHidden/>
              </w:rPr>
              <w:instrText xml:space="preserve"> PAGEREF _Toc213196104 \h </w:instrText>
            </w:r>
            <w:r w:rsidR="002560AE">
              <w:rPr>
                <w:noProof/>
                <w:webHidden/>
              </w:rPr>
            </w:r>
            <w:r w:rsidR="002560AE">
              <w:rPr>
                <w:noProof/>
                <w:webHidden/>
              </w:rPr>
              <w:fldChar w:fldCharType="separate"/>
            </w:r>
            <w:r w:rsidR="002560AE">
              <w:rPr>
                <w:noProof/>
                <w:webHidden/>
              </w:rPr>
              <w:t>13</w:t>
            </w:r>
            <w:r w:rsidR="002560AE">
              <w:rPr>
                <w:noProof/>
                <w:webHidden/>
              </w:rPr>
              <w:fldChar w:fldCharType="end"/>
            </w:r>
          </w:hyperlink>
        </w:p>
        <w:p w14:paraId="240405C2" w14:textId="251EAAF3" w:rsidR="002560AE" w:rsidRDefault="006E40CB">
          <w:pPr>
            <w:pStyle w:val="TOC2"/>
            <w:tabs>
              <w:tab w:val="right" w:leader="dot" w:pos="9350"/>
            </w:tabs>
            <w:rPr>
              <w:rFonts w:asciiTheme="minorHAnsi" w:eastAsiaTheme="minorEastAsia" w:hAnsiTheme="minorHAnsi"/>
              <w:noProof/>
              <w:sz w:val="22"/>
              <w:szCs w:val="22"/>
            </w:rPr>
          </w:pPr>
          <w:hyperlink w:anchor="_Toc213196105" w:history="1">
            <w:r w:rsidR="002560AE" w:rsidRPr="00310C97">
              <w:rPr>
                <w:rStyle w:val="Hyperlink"/>
                <w:noProof/>
              </w:rPr>
              <w:t>4.2 Technological Capability</w:t>
            </w:r>
            <w:r w:rsidR="002560AE">
              <w:rPr>
                <w:noProof/>
                <w:webHidden/>
              </w:rPr>
              <w:tab/>
            </w:r>
            <w:r w:rsidR="002560AE">
              <w:rPr>
                <w:noProof/>
                <w:webHidden/>
              </w:rPr>
              <w:fldChar w:fldCharType="begin"/>
            </w:r>
            <w:r w:rsidR="002560AE">
              <w:rPr>
                <w:noProof/>
                <w:webHidden/>
              </w:rPr>
              <w:instrText xml:space="preserve"> PAGEREF _Toc213196105 \h </w:instrText>
            </w:r>
            <w:r w:rsidR="002560AE">
              <w:rPr>
                <w:noProof/>
                <w:webHidden/>
              </w:rPr>
            </w:r>
            <w:r w:rsidR="002560AE">
              <w:rPr>
                <w:noProof/>
                <w:webHidden/>
              </w:rPr>
              <w:fldChar w:fldCharType="separate"/>
            </w:r>
            <w:r w:rsidR="002560AE">
              <w:rPr>
                <w:noProof/>
                <w:webHidden/>
              </w:rPr>
              <w:t>14</w:t>
            </w:r>
            <w:r w:rsidR="002560AE">
              <w:rPr>
                <w:noProof/>
                <w:webHidden/>
              </w:rPr>
              <w:fldChar w:fldCharType="end"/>
            </w:r>
          </w:hyperlink>
        </w:p>
        <w:p w14:paraId="495DB5D3" w14:textId="2A051FDA" w:rsidR="002560AE" w:rsidRDefault="006E40CB">
          <w:pPr>
            <w:pStyle w:val="TOC2"/>
            <w:tabs>
              <w:tab w:val="right" w:leader="dot" w:pos="9350"/>
            </w:tabs>
            <w:rPr>
              <w:rFonts w:asciiTheme="minorHAnsi" w:eastAsiaTheme="minorEastAsia" w:hAnsiTheme="minorHAnsi"/>
              <w:noProof/>
              <w:sz w:val="22"/>
              <w:szCs w:val="22"/>
            </w:rPr>
          </w:pPr>
          <w:hyperlink w:anchor="_Toc213196106" w:history="1">
            <w:r w:rsidR="002560AE" w:rsidRPr="00310C97">
              <w:rPr>
                <w:rStyle w:val="Hyperlink"/>
                <w:noProof/>
              </w:rPr>
              <w:t>4.3 Communication Capability</w:t>
            </w:r>
            <w:r w:rsidR="002560AE">
              <w:rPr>
                <w:noProof/>
                <w:webHidden/>
              </w:rPr>
              <w:tab/>
            </w:r>
            <w:r w:rsidR="002560AE">
              <w:rPr>
                <w:noProof/>
                <w:webHidden/>
              </w:rPr>
              <w:fldChar w:fldCharType="begin"/>
            </w:r>
            <w:r w:rsidR="002560AE">
              <w:rPr>
                <w:noProof/>
                <w:webHidden/>
              </w:rPr>
              <w:instrText xml:space="preserve"> PAGEREF _Toc213196106 \h </w:instrText>
            </w:r>
            <w:r w:rsidR="002560AE">
              <w:rPr>
                <w:noProof/>
                <w:webHidden/>
              </w:rPr>
            </w:r>
            <w:r w:rsidR="002560AE">
              <w:rPr>
                <w:noProof/>
                <w:webHidden/>
              </w:rPr>
              <w:fldChar w:fldCharType="separate"/>
            </w:r>
            <w:r w:rsidR="002560AE">
              <w:rPr>
                <w:noProof/>
                <w:webHidden/>
              </w:rPr>
              <w:t>15</w:t>
            </w:r>
            <w:r w:rsidR="002560AE">
              <w:rPr>
                <w:noProof/>
                <w:webHidden/>
              </w:rPr>
              <w:fldChar w:fldCharType="end"/>
            </w:r>
          </w:hyperlink>
        </w:p>
        <w:p w14:paraId="2B152B08" w14:textId="514F40FE" w:rsidR="002560AE" w:rsidRDefault="006E40CB">
          <w:pPr>
            <w:pStyle w:val="TOC2"/>
            <w:tabs>
              <w:tab w:val="right" w:leader="dot" w:pos="9350"/>
            </w:tabs>
            <w:rPr>
              <w:rFonts w:asciiTheme="minorHAnsi" w:eastAsiaTheme="minorEastAsia" w:hAnsiTheme="minorHAnsi"/>
              <w:noProof/>
              <w:sz w:val="22"/>
              <w:szCs w:val="22"/>
            </w:rPr>
          </w:pPr>
          <w:hyperlink w:anchor="_Toc213196107" w:history="1">
            <w:r w:rsidR="002560AE" w:rsidRPr="00310C97">
              <w:rPr>
                <w:rStyle w:val="Hyperlink"/>
                <w:noProof/>
              </w:rPr>
              <w:t>4.4 Teamwork Capability</w:t>
            </w:r>
            <w:r w:rsidR="002560AE">
              <w:rPr>
                <w:noProof/>
                <w:webHidden/>
              </w:rPr>
              <w:tab/>
            </w:r>
            <w:r w:rsidR="002560AE">
              <w:rPr>
                <w:noProof/>
                <w:webHidden/>
              </w:rPr>
              <w:fldChar w:fldCharType="begin"/>
            </w:r>
            <w:r w:rsidR="002560AE">
              <w:rPr>
                <w:noProof/>
                <w:webHidden/>
              </w:rPr>
              <w:instrText xml:space="preserve"> PAGEREF _Toc213196107 \h </w:instrText>
            </w:r>
            <w:r w:rsidR="002560AE">
              <w:rPr>
                <w:noProof/>
                <w:webHidden/>
              </w:rPr>
            </w:r>
            <w:r w:rsidR="002560AE">
              <w:rPr>
                <w:noProof/>
                <w:webHidden/>
              </w:rPr>
              <w:fldChar w:fldCharType="separate"/>
            </w:r>
            <w:r w:rsidR="002560AE">
              <w:rPr>
                <w:noProof/>
                <w:webHidden/>
              </w:rPr>
              <w:t>16</w:t>
            </w:r>
            <w:r w:rsidR="002560AE">
              <w:rPr>
                <w:noProof/>
                <w:webHidden/>
              </w:rPr>
              <w:fldChar w:fldCharType="end"/>
            </w:r>
          </w:hyperlink>
        </w:p>
        <w:p w14:paraId="6620A167" w14:textId="501F41EB" w:rsidR="002560AE" w:rsidRDefault="006E40CB">
          <w:pPr>
            <w:pStyle w:val="TOC2"/>
            <w:tabs>
              <w:tab w:val="right" w:leader="dot" w:pos="9350"/>
            </w:tabs>
            <w:rPr>
              <w:rFonts w:asciiTheme="minorHAnsi" w:eastAsiaTheme="minorEastAsia" w:hAnsiTheme="minorHAnsi"/>
              <w:noProof/>
              <w:sz w:val="22"/>
              <w:szCs w:val="22"/>
            </w:rPr>
          </w:pPr>
          <w:hyperlink w:anchor="_Toc213196108" w:history="1">
            <w:r w:rsidR="002560AE" w:rsidRPr="00310C97">
              <w:rPr>
                <w:rStyle w:val="Hyperlink"/>
                <w:noProof/>
              </w:rPr>
              <w:t>4.5 Leadership Capability</w:t>
            </w:r>
            <w:r w:rsidR="002560AE">
              <w:rPr>
                <w:noProof/>
                <w:webHidden/>
              </w:rPr>
              <w:tab/>
            </w:r>
            <w:r w:rsidR="002560AE">
              <w:rPr>
                <w:noProof/>
                <w:webHidden/>
              </w:rPr>
              <w:fldChar w:fldCharType="begin"/>
            </w:r>
            <w:r w:rsidR="002560AE">
              <w:rPr>
                <w:noProof/>
                <w:webHidden/>
              </w:rPr>
              <w:instrText xml:space="preserve"> PAGEREF _Toc213196108 \h </w:instrText>
            </w:r>
            <w:r w:rsidR="002560AE">
              <w:rPr>
                <w:noProof/>
                <w:webHidden/>
              </w:rPr>
            </w:r>
            <w:r w:rsidR="002560AE">
              <w:rPr>
                <w:noProof/>
                <w:webHidden/>
              </w:rPr>
              <w:fldChar w:fldCharType="separate"/>
            </w:r>
            <w:r w:rsidR="002560AE">
              <w:rPr>
                <w:noProof/>
                <w:webHidden/>
              </w:rPr>
              <w:t>16</w:t>
            </w:r>
            <w:r w:rsidR="002560AE">
              <w:rPr>
                <w:noProof/>
                <w:webHidden/>
              </w:rPr>
              <w:fldChar w:fldCharType="end"/>
            </w:r>
          </w:hyperlink>
        </w:p>
        <w:p w14:paraId="0CDCE1E9" w14:textId="791EAE8F" w:rsidR="002560AE" w:rsidRDefault="006E40CB">
          <w:pPr>
            <w:pStyle w:val="TOC2"/>
            <w:tabs>
              <w:tab w:val="right" w:leader="dot" w:pos="9350"/>
            </w:tabs>
            <w:rPr>
              <w:rFonts w:asciiTheme="minorHAnsi" w:eastAsiaTheme="minorEastAsia" w:hAnsiTheme="minorHAnsi"/>
              <w:noProof/>
              <w:sz w:val="22"/>
              <w:szCs w:val="22"/>
            </w:rPr>
          </w:pPr>
          <w:hyperlink w:anchor="_Toc213196109" w:history="1">
            <w:r w:rsidR="002560AE" w:rsidRPr="00310C97">
              <w:rPr>
                <w:rStyle w:val="Hyperlink"/>
                <w:noProof/>
              </w:rPr>
              <w:t>4.6 Self-Directed Learning Capability</w:t>
            </w:r>
            <w:r w:rsidR="002560AE">
              <w:rPr>
                <w:noProof/>
                <w:webHidden/>
              </w:rPr>
              <w:tab/>
            </w:r>
            <w:r w:rsidR="002560AE">
              <w:rPr>
                <w:noProof/>
                <w:webHidden/>
              </w:rPr>
              <w:fldChar w:fldCharType="begin"/>
            </w:r>
            <w:r w:rsidR="002560AE">
              <w:rPr>
                <w:noProof/>
                <w:webHidden/>
              </w:rPr>
              <w:instrText xml:space="preserve"> PAGEREF _Toc213196109 \h </w:instrText>
            </w:r>
            <w:r w:rsidR="002560AE">
              <w:rPr>
                <w:noProof/>
                <w:webHidden/>
              </w:rPr>
            </w:r>
            <w:r w:rsidR="002560AE">
              <w:rPr>
                <w:noProof/>
                <w:webHidden/>
              </w:rPr>
              <w:fldChar w:fldCharType="separate"/>
            </w:r>
            <w:r w:rsidR="002560AE">
              <w:rPr>
                <w:noProof/>
                <w:webHidden/>
              </w:rPr>
              <w:t>17</w:t>
            </w:r>
            <w:r w:rsidR="002560AE">
              <w:rPr>
                <w:noProof/>
                <w:webHidden/>
              </w:rPr>
              <w:fldChar w:fldCharType="end"/>
            </w:r>
          </w:hyperlink>
        </w:p>
        <w:p w14:paraId="10D353EE" w14:textId="255DB599" w:rsidR="002560AE" w:rsidRDefault="006E40CB">
          <w:pPr>
            <w:pStyle w:val="TOC2"/>
            <w:tabs>
              <w:tab w:val="right" w:leader="dot" w:pos="9350"/>
            </w:tabs>
            <w:rPr>
              <w:rFonts w:asciiTheme="minorHAnsi" w:eastAsiaTheme="minorEastAsia" w:hAnsiTheme="minorHAnsi"/>
              <w:noProof/>
              <w:sz w:val="22"/>
              <w:szCs w:val="22"/>
            </w:rPr>
          </w:pPr>
          <w:hyperlink w:anchor="_Toc213196110" w:history="1">
            <w:r w:rsidR="002560AE" w:rsidRPr="00310C97">
              <w:rPr>
                <w:rStyle w:val="Hyperlink"/>
                <w:noProof/>
              </w:rPr>
              <w:t>4.7 Integrated Learning and Future Competence</w:t>
            </w:r>
            <w:r w:rsidR="002560AE">
              <w:rPr>
                <w:noProof/>
                <w:webHidden/>
              </w:rPr>
              <w:tab/>
            </w:r>
            <w:r w:rsidR="002560AE">
              <w:rPr>
                <w:noProof/>
                <w:webHidden/>
              </w:rPr>
              <w:fldChar w:fldCharType="begin"/>
            </w:r>
            <w:r w:rsidR="002560AE">
              <w:rPr>
                <w:noProof/>
                <w:webHidden/>
              </w:rPr>
              <w:instrText xml:space="preserve"> PAGEREF _Toc213196110 \h </w:instrText>
            </w:r>
            <w:r w:rsidR="002560AE">
              <w:rPr>
                <w:noProof/>
                <w:webHidden/>
              </w:rPr>
            </w:r>
            <w:r w:rsidR="002560AE">
              <w:rPr>
                <w:noProof/>
                <w:webHidden/>
              </w:rPr>
              <w:fldChar w:fldCharType="separate"/>
            </w:r>
            <w:r w:rsidR="002560AE">
              <w:rPr>
                <w:noProof/>
                <w:webHidden/>
              </w:rPr>
              <w:t>18</w:t>
            </w:r>
            <w:r w:rsidR="002560AE">
              <w:rPr>
                <w:noProof/>
                <w:webHidden/>
              </w:rPr>
              <w:fldChar w:fldCharType="end"/>
            </w:r>
          </w:hyperlink>
        </w:p>
        <w:p w14:paraId="1647925A" w14:textId="63B0716E" w:rsidR="002560AE" w:rsidRDefault="006E40CB">
          <w:pPr>
            <w:pStyle w:val="TOC2"/>
            <w:tabs>
              <w:tab w:val="right" w:leader="dot" w:pos="9350"/>
            </w:tabs>
            <w:rPr>
              <w:rFonts w:asciiTheme="minorHAnsi" w:eastAsiaTheme="minorEastAsia" w:hAnsiTheme="minorHAnsi"/>
              <w:noProof/>
              <w:sz w:val="22"/>
              <w:szCs w:val="22"/>
            </w:rPr>
          </w:pPr>
          <w:hyperlink w:anchor="_Toc213196111" w:history="1">
            <w:r w:rsidR="002560AE" w:rsidRPr="00310C97">
              <w:rPr>
                <w:rStyle w:val="Hyperlink"/>
                <w:noProof/>
              </w:rPr>
              <w:t>4.8 Conclusion</w:t>
            </w:r>
            <w:r w:rsidR="002560AE">
              <w:rPr>
                <w:noProof/>
                <w:webHidden/>
              </w:rPr>
              <w:tab/>
            </w:r>
            <w:r w:rsidR="002560AE">
              <w:rPr>
                <w:noProof/>
                <w:webHidden/>
              </w:rPr>
              <w:fldChar w:fldCharType="begin"/>
            </w:r>
            <w:r w:rsidR="002560AE">
              <w:rPr>
                <w:noProof/>
                <w:webHidden/>
              </w:rPr>
              <w:instrText xml:space="preserve"> PAGEREF _Toc213196111 \h </w:instrText>
            </w:r>
            <w:r w:rsidR="002560AE">
              <w:rPr>
                <w:noProof/>
                <w:webHidden/>
              </w:rPr>
            </w:r>
            <w:r w:rsidR="002560AE">
              <w:rPr>
                <w:noProof/>
                <w:webHidden/>
              </w:rPr>
              <w:fldChar w:fldCharType="separate"/>
            </w:r>
            <w:r w:rsidR="002560AE">
              <w:rPr>
                <w:noProof/>
                <w:webHidden/>
              </w:rPr>
              <w:t>19</w:t>
            </w:r>
            <w:r w:rsidR="002560AE">
              <w:rPr>
                <w:noProof/>
                <w:webHidden/>
              </w:rPr>
              <w:fldChar w:fldCharType="end"/>
            </w:r>
          </w:hyperlink>
        </w:p>
        <w:p w14:paraId="52C645B6" w14:textId="51D446B5" w:rsidR="002560AE" w:rsidRDefault="006E40CB">
          <w:pPr>
            <w:pStyle w:val="TOC1"/>
            <w:tabs>
              <w:tab w:val="right" w:leader="dot" w:pos="9350"/>
            </w:tabs>
            <w:rPr>
              <w:rFonts w:asciiTheme="minorHAnsi" w:eastAsiaTheme="minorEastAsia" w:hAnsiTheme="minorHAnsi"/>
              <w:noProof/>
              <w:sz w:val="22"/>
              <w:szCs w:val="22"/>
            </w:rPr>
          </w:pPr>
          <w:hyperlink w:anchor="_Toc213196112" w:history="1">
            <w:r w:rsidR="002560AE" w:rsidRPr="00310C97">
              <w:rPr>
                <w:rStyle w:val="Hyperlink"/>
                <w:noProof/>
              </w:rPr>
              <w:t>5. References</w:t>
            </w:r>
            <w:r w:rsidR="002560AE">
              <w:rPr>
                <w:noProof/>
                <w:webHidden/>
              </w:rPr>
              <w:tab/>
            </w:r>
            <w:r w:rsidR="002560AE">
              <w:rPr>
                <w:noProof/>
                <w:webHidden/>
              </w:rPr>
              <w:fldChar w:fldCharType="begin"/>
            </w:r>
            <w:r w:rsidR="002560AE">
              <w:rPr>
                <w:noProof/>
                <w:webHidden/>
              </w:rPr>
              <w:instrText xml:space="preserve"> PAGEREF _Toc213196112 \h </w:instrText>
            </w:r>
            <w:r w:rsidR="002560AE">
              <w:rPr>
                <w:noProof/>
                <w:webHidden/>
              </w:rPr>
            </w:r>
            <w:r w:rsidR="002560AE">
              <w:rPr>
                <w:noProof/>
                <w:webHidden/>
              </w:rPr>
              <w:fldChar w:fldCharType="separate"/>
            </w:r>
            <w:r w:rsidR="002560AE">
              <w:rPr>
                <w:noProof/>
                <w:webHidden/>
              </w:rPr>
              <w:t>19</w:t>
            </w:r>
            <w:r w:rsidR="002560AE">
              <w:rPr>
                <w:noProof/>
                <w:webHidden/>
              </w:rPr>
              <w:fldChar w:fldCharType="end"/>
            </w:r>
          </w:hyperlink>
        </w:p>
        <w:p w14:paraId="3D6CB604" w14:textId="1B6D27BE" w:rsidR="00D52FCF" w:rsidRDefault="00D52FCF" w:rsidP="00D52FCF">
          <w:r>
            <w:rPr>
              <w:b/>
              <w:bCs/>
              <w:noProof/>
            </w:rPr>
            <w:fldChar w:fldCharType="end"/>
          </w:r>
        </w:p>
      </w:sdtContent>
    </w:sdt>
    <w:p w14:paraId="181F39C9" w14:textId="3721C3DB" w:rsidR="00CD7C9E" w:rsidRDefault="00CD7C9E" w:rsidP="00D52FCF"/>
    <w:p w14:paraId="2FA19C64" w14:textId="77777777" w:rsidR="00D52FCF" w:rsidRDefault="00D52FCF" w:rsidP="00D52FCF"/>
    <w:p w14:paraId="19658B49" w14:textId="77777777" w:rsidR="00D52FCF" w:rsidRDefault="00D52FCF" w:rsidP="00D52FCF"/>
    <w:p w14:paraId="2F8502FC" w14:textId="77777777" w:rsidR="00D52FCF" w:rsidRDefault="00D52FCF" w:rsidP="00D52FCF"/>
    <w:p w14:paraId="647B2016" w14:textId="77777777" w:rsidR="00CD7C9E" w:rsidRPr="00CD7C9E" w:rsidRDefault="00CD7C9E" w:rsidP="004A79FF">
      <w:pPr>
        <w:pStyle w:val="Heading1"/>
        <w:spacing w:line="360" w:lineRule="auto"/>
      </w:pPr>
      <w:bookmarkStart w:id="1" w:name="_Toc213196093"/>
      <w:r w:rsidRPr="00CD7C9E">
        <w:lastRenderedPageBreak/>
        <w:t>1. Technological Advancements and Their Implications for HRM and IHRM Strategies</w:t>
      </w:r>
      <w:bookmarkEnd w:id="1"/>
    </w:p>
    <w:p w14:paraId="67A48048" w14:textId="77777777" w:rsidR="001D555C" w:rsidRDefault="001D555C" w:rsidP="001D555C">
      <w:pPr>
        <w:spacing w:line="360" w:lineRule="auto"/>
      </w:pPr>
      <w:r>
        <w:t>The ongoing increase in the diffusion of artificial intelligence (AI), robotics, and digital platforms has transformed the structure of global labour markets and, thus, the strategic orientation of Human Resource Management (HRM) and International Human Resource Management (IHRM) (Tsiskaridze et al., 2023). The OECD (2023) states that in the member economies, about 27 percent of mid-skill positions are under high risks of being automated, and the largest disruption is reported in administrative, manufacturing, and logistics processes. Likewise, according to the projections of the World Economic Forum (2024), in 2027, 44% of the core skills across job classes will be different, indicating that the competency requirements undergo a structural shift (</w:t>
      </w:r>
      <w:proofErr w:type="spellStart"/>
      <w:r>
        <w:t>Baakeel</w:t>
      </w:r>
      <w:proofErr w:type="spellEnd"/>
      <w:r>
        <w:t>, 2020). Such changes force organisations to redefine HRM as active, data-intensive role that is concerned with workforce agility, ongoing learning, and cross-border coordination (Ajmal et al., 2023).</w:t>
      </w:r>
    </w:p>
    <w:p w14:paraId="2CDA3AED" w14:textId="77777777" w:rsidR="001D555C" w:rsidRDefault="001D555C" w:rsidP="001D555C">
      <w:pPr>
        <w:spacing w:line="360" w:lineRule="auto"/>
      </w:pPr>
      <w:r>
        <w:t>Theoretically, the resulting technological change is a validation of the Resource-Based View (RBV), in which human capital is viewed as a unique, non-replicable resource that contributes to maintaining competitive advantage (Barney, 1991). Nonetheless, as robots substitute manual labour, companies more and more require meta-cognitive and cyber-collaborative competencies, and not task efficiency (</w:t>
      </w:r>
      <w:proofErr w:type="spellStart"/>
      <w:r>
        <w:t>Purba</w:t>
      </w:r>
      <w:proofErr w:type="spellEnd"/>
      <w:r>
        <w:t>, 2024). The digital recruitment, analytics-based performance management and AI-based decision making define an emergent paradigm of e-HRM that has provided HR departments with the opportunity to be more aligned to strategic objectives (</w:t>
      </w:r>
      <w:proofErr w:type="spellStart"/>
      <w:r>
        <w:t>Elnadi</w:t>
      </w:r>
      <w:proofErr w:type="spellEnd"/>
      <w:r>
        <w:t xml:space="preserve"> and Abdallah, 2023). IHRM roles in multinational enterprises MNEs now use predictive analytics to ensure the coordination of their talent pipelines across geographies, enabling evidence-based expatriate selection and integration of virtual global teams (</w:t>
      </w:r>
      <w:proofErr w:type="spellStart"/>
      <w:r>
        <w:t>Kasubi</w:t>
      </w:r>
      <w:proofErr w:type="spellEnd"/>
      <w:r>
        <w:t xml:space="preserve"> et al., 2025). </w:t>
      </w:r>
    </w:p>
    <w:p w14:paraId="52630262" w14:textId="32F405A1" w:rsidR="00CD7C9E" w:rsidRPr="00FE34B1" w:rsidRDefault="001D555C" w:rsidP="001D555C">
      <w:pPr>
        <w:spacing w:line="360" w:lineRule="auto"/>
      </w:pPr>
      <w:r>
        <w:t xml:space="preserve">The magnitude of this reconfiguration is lent credence by empirical information. According to the International Labour Organization (ILO, 2024), employment in digital platforms grew 17% per year in 2018-23, and one-third of the total number of gig workers is concentrated in Asia-Pacific. This has further heightened the need of HR policies to deal with algorithmic fairness, data privacy and cross jurisdictional employment requirements. In the case of Unilever and Accenture, the MNEs have implemented AI-based ethical HR </w:t>
      </w:r>
      <w:r>
        <w:lastRenderedPageBreak/>
        <w:t>systems that integrate automated talent screening applications with human capital to reduce bias during the talent acquisition process (</w:t>
      </w:r>
      <w:proofErr w:type="spellStart"/>
      <w:r>
        <w:t>Kambur</w:t>
      </w:r>
      <w:proofErr w:type="spellEnd"/>
      <w:r>
        <w:t xml:space="preserve"> &amp; </w:t>
      </w:r>
      <w:proofErr w:type="spellStart"/>
      <w:r>
        <w:t>Yildirim</w:t>
      </w:r>
      <w:proofErr w:type="spellEnd"/>
      <w:r>
        <w:t>, 2022</w:t>
      </w:r>
      <w:r w:rsidR="00B247A1" w:rsidRPr="00B247A1">
        <w:t>)</w:t>
      </w:r>
      <w:r w:rsidR="00CD7C9E" w:rsidRPr="00FE34B1">
        <w:t>.</w:t>
      </w:r>
    </w:p>
    <w:p w14:paraId="6C0BDFCD" w14:textId="489BCFD1" w:rsidR="007224A4" w:rsidRPr="007224A4" w:rsidRDefault="007224A4" w:rsidP="004A79FF">
      <w:pPr>
        <w:spacing w:line="360" w:lineRule="auto"/>
        <w:rPr>
          <w:b/>
          <w:bCs/>
        </w:rPr>
      </w:pPr>
      <w:r w:rsidRPr="007224A4">
        <w:rPr>
          <w:b/>
          <w:bCs/>
        </w:rPr>
        <w:t>Table 1 – Global Automation Risk by Sector (OECD 2023)</w:t>
      </w:r>
    </w:p>
    <w:tbl>
      <w:tblPr>
        <w:tblStyle w:val="PlainTable1"/>
        <w:tblW w:w="0" w:type="auto"/>
        <w:tblLook w:val="04A0" w:firstRow="1" w:lastRow="0" w:firstColumn="1" w:lastColumn="0" w:noHBand="0" w:noVBand="1"/>
      </w:tblPr>
      <w:tblGrid>
        <w:gridCol w:w="2416"/>
        <w:gridCol w:w="3153"/>
        <w:gridCol w:w="3781"/>
      </w:tblGrid>
      <w:tr w:rsidR="00D52FCF" w:rsidRPr="007224A4" w14:paraId="1E904E0A" w14:textId="77777777" w:rsidTr="00D52F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959E15" w14:textId="77777777" w:rsidR="007224A4" w:rsidRPr="007224A4" w:rsidRDefault="007224A4" w:rsidP="004A79FF">
            <w:pPr>
              <w:spacing w:after="160" w:line="360" w:lineRule="auto"/>
            </w:pPr>
            <w:r w:rsidRPr="007224A4">
              <w:t>Sector</w:t>
            </w:r>
          </w:p>
        </w:tc>
        <w:tc>
          <w:tcPr>
            <w:tcW w:w="0" w:type="auto"/>
            <w:hideMark/>
          </w:tcPr>
          <w:p w14:paraId="6CDE409A" w14:textId="77777777" w:rsidR="007224A4" w:rsidRPr="007224A4" w:rsidRDefault="007224A4" w:rsidP="004A79FF">
            <w:pPr>
              <w:spacing w:after="160" w:line="360" w:lineRule="auto"/>
              <w:cnfStyle w:val="100000000000" w:firstRow="1" w:lastRow="0" w:firstColumn="0" w:lastColumn="0" w:oddVBand="0" w:evenVBand="0" w:oddHBand="0" w:evenHBand="0" w:firstRowFirstColumn="0" w:firstRowLastColumn="0" w:lastRowFirstColumn="0" w:lastRowLastColumn="0"/>
            </w:pPr>
            <w:r w:rsidRPr="007224A4">
              <w:t>Estimated Jobs at High Automation Risk (%)</w:t>
            </w:r>
          </w:p>
        </w:tc>
        <w:tc>
          <w:tcPr>
            <w:tcW w:w="0" w:type="auto"/>
            <w:hideMark/>
          </w:tcPr>
          <w:p w14:paraId="25613DE5" w14:textId="77777777" w:rsidR="007224A4" w:rsidRPr="007224A4" w:rsidRDefault="007224A4" w:rsidP="004A79FF">
            <w:pPr>
              <w:spacing w:after="160" w:line="360" w:lineRule="auto"/>
              <w:cnfStyle w:val="100000000000" w:firstRow="1" w:lastRow="0" w:firstColumn="0" w:lastColumn="0" w:oddVBand="0" w:evenVBand="0" w:oddHBand="0" w:evenHBand="0" w:firstRowFirstColumn="0" w:firstRowLastColumn="0" w:lastRowFirstColumn="0" w:lastRowLastColumn="0"/>
            </w:pPr>
            <w:r w:rsidRPr="007224A4">
              <w:t>Primary HRM/IHRM Implication</w:t>
            </w:r>
          </w:p>
        </w:tc>
      </w:tr>
      <w:tr w:rsidR="00D52FCF" w:rsidRPr="007224A4" w14:paraId="58B4D3B5" w14:textId="77777777" w:rsidTr="00D52F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0E92ED" w14:textId="77777777" w:rsidR="007224A4" w:rsidRPr="007224A4" w:rsidRDefault="007224A4" w:rsidP="004A79FF">
            <w:pPr>
              <w:spacing w:after="160" w:line="360" w:lineRule="auto"/>
            </w:pPr>
            <w:r w:rsidRPr="007224A4">
              <w:t>Manufacturing</w:t>
            </w:r>
          </w:p>
        </w:tc>
        <w:tc>
          <w:tcPr>
            <w:tcW w:w="0" w:type="auto"/>
            <w:hideMark/>
          </w:tcPr>
          <w:p w14:paraId="472757E7" w14:textId="77777777" w:rsidR="007224A4" w:rsidRPr="007224A4" w:rsidRDefault="007224A4"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224A4">
              <w:t>46 %</w:t>
            </w:r>
          </w:p>
        </w:tc>
        <w:tc>
          <w:tcPr>
            <w:tcW w:w="0" w:type="auto"/>
            <w:hideMark/>
          </w:tcPr>
          <w:p w14:paraId="4B640F89" w14:textId="77777777" w:rsidR="007224A4" w:rsidRPr="007224A4" w:rsidRDefault="007224A4"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224A4">
              <w:t>Workforce redeployment, retraining in robotics supervision</w:t>
            </w:r>
          </w:p>
        </w:tc>
      </w:tr>
      <w:tr w:rsidR="00D52FCF" w:rsidRPr="007224A4" w14:paraId="7F768DA0" w14:textId="77777777" w:rsidTr="00D52FCF">
        <w:tc>
          <w:tcPr>
            <w:cnfStyle w:val="001000000000" w:firstRow="0" w:lastRow="0" w:firstColumn="1" w:lastColumn="0" w:oddVBand="0" w:evenVBand="0" w:oddHBand="0" w:evenHBand="0" w:firstRowFirstColumn="0" w:firstRowLastColumn="0" w:lastRowFirstColumn="0" w:lastRowLastColumn="0"/>
            <w:tcW w:w="0" w:type="auto"/>
            <w:hideMark/>
          </w:tcPr>
          <w:p w14:paraId="2C2AB7E6" w14:textId="77777777" w:rsidR="007224A4" w:rsidRPr="007224A4" w:rsidRDefault="007224A4" w:rsidP="004A79FF">
            <w:pPr>
              <w:spacing w:after="160" w:line="360" w:lineRule="auto"/>
            </w:pPr>
            <w:r w:rsidRPr="007224A4">
              <w:t>Retail &amp; Logistics</w:t>
            </w:r>
          </w:p>
        </w:tc>
        <w:tc>
          <w:tcPr>
            <w:tcW w:w="0" w:type="auto"/>
            <w:hideMark/>
          </w:tcPr>
          <w:p w14:paraId="7DDDB0AB" w14:textId="77777777" w:rsidR="007224A4" w:rsidRPr="007224A4" w:rsidRDefault="007224A4"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224A4">
              <w:t>41 %</w:t>
            </w:r>
          </w:p>
        </w:tc>
        <w:tc>
          <w:tcPr>
            <w:tcW w:w="0" w:type="auto"/>
            <w:hideMark/>
          </w:tcPr>
          <w:p w14:paraId="3CCF8037" w14:textId="77777777" w:rsidR="007224A4" w:rsidRPr="007224A4" w:rsidRDefault="007224A4"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224A4">
              <w:t>Need for digital-skills upgrading and AI-assisted scheduling</w:t>
            </w:r>
          </w:p>
        </w:tc>
      </w:tr>
      <w:tr w:rsidR="00D52FCF" w:rsidRPr="007224A4" w14:paraId="51963FBE" w14:textId="77777777" w:rsidTr="00D52F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24368E" w14:textId="77777777" w:rsidR="007224A4" w:rsidRPr="007224A4" w:rsidRDefault="007224A4" w:rsidP="004A79FF">
            <w:pPr>
              <w:spacing w:after="160" w:line="360" w:lineRule="auto"/>
            </w:pPr>
            <w:r w:rsidRPr="007224A4">
              <w:t>Administration &amp; Clerical</w:t>
            </w:r>
          </w:p>
        </w:tc>
        <w:tc>
          <w:tcPr>
            <w:tcW w:w="0" w:type="auto"/>
            <w:hideMark/>
          </w:tcPr>
          <w:p w14:paraId="424D89C7" w14:textId="77777777" w:rsidR="007224A4" w:rsidRPr="007224A4" w:rsidRDefault="007224A4"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224A4">
              <w:t>38 %</w:t>
            </w:r>
          </w:p>
        </w:tc>
        <w:tc>
          <w:tcPr>
            <w:tcW w:w="0" w:type="auto"/>
            <w:hideMark/>
          </w:tcPr>
          <w:p w14:paraId="33AB66DF" w14:textId="77777777" w:rsidR="007224A4" w:rsidRPr="007224A4" w:rsidRDefault="007224A4"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224A4">
              <w:t>Transition to self-service HR portals, reduced clerical staff</w:t>
            </w:r>
          </w:p>
        </w:tc>
      </w:tr>
      <w:tr w:rsidR="00D52FCF" w:rsidRPr="007224A4" w14:paraId="556D2194" w14:textId="77777777" w:rsidTr="00D52FCF">
        <w:tc>
          <w:tcPr>
            <w:cnfStyle w:val="001000000000" w:firstRow="0" w:lastRow="0" w:firstColumn="1" w:lastColumn="0" w:oddVBand="0" w:evenVBand="0" w:oddHBand="0" w:evenHBand="0" w:firstRowFirstColumn="0" w:firstRowLastColumn="0" w:lastRowFirstColumn="0" w:lastRowLastColumn="0"/>
            <w:tcW w:w="0" w:type="auto"/>
            <w:hideMark/>
          </w:tcPr>
          <w:p w14:paraId="0C1847D9" w14:textId="77777777" w:rsidR="007224A4" w:rsidRPr="007224A4" w:rsidRDefault="007224A4" w:rsidP="004A79FF">
            <w:pPr>
              <w:spacing w:after="160" w:line="360" w:lineRule="auto"/>
            </w:pPr>
            <w:r w:rsidRPr="007224A4">
              <w:t>Healthcare</w:t>
            </w:r>
          </w:p>
        </w:tc>
        <w:tc>
          <w:tcPr>
            <w:tcW w:w="0" w:type="auto"/>
            <w:hideMark/>
          </w:tcPr>
          <w:p w14:paraId="1A8911EC" w14:textId="77777777" w:rsidR="007224A4" w:rsidRPr="007224A4" w:rsidRDefault="007224A4"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224A4">
              <w:t>22 %</w:t>
            </w:r>
          </w:p>
        </w:tc>
        <w:tc>
          <w:tcPr>
            <w:tcW w:w="0" w:type="auto"/>
            <w:hideMark/>
          </w:tcPr>
          <w:p w14:paraId="17814628" w14:textId="77777777" w:rsidR="007224A4" w:rsidRPr="007224A4" w:rsidRDefault="007224A4"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224A4">
              <w:t>Automation in diagnostics; ethical oversight roles expand</w:t>
            </w:r>
          </w:p>
        </w:tc>
      </w:tr>
      <w:tr w:rsidR="00D52FCF" w:rsidRPr="007224A4" w14:paraId="02BDE929" w14:textId="77777777" w:rsidTr="00D52F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AE1BAE" w14:textId="77777777" w:rsidR="007224A4" w:rsidRPr="007224A4" w:rsidRDefault="007224A4" w:rsidP="004A79FF">
            <w:pPr>
              <w:spacing w:after="160" w:line="360" w:lineRule="auto"/>
            </w:pPr>
            <w:r w:rsidRPr="007224A4">
              <w:t>Education &amp; Training</w:t>
            </w:r>
          </w:p>
        </w:tc>
        <w:tc>
          <w:tcPr>
            <w:tcW w:w="0" w:type="auto"/>
            <w:hideMark/>
          </w:tcPr>
          <w:p w14:paraId="7068D825" w14:textId="77777777" w:rsidR="007224A4" w:rsidRPr="007224A4" w:rsidRDefault="007224A4"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224A4">
              <w:t>19 %</w:t>
            </w:r>
          </w:p>
        </w:tc>
        <w:tc>
          <w:tcPr>
            <w:tcW w:w="0" w:type="auto"/>
            <w:hideMark/>
          </w:tcPr>
          <w:p w14:paraId="0138FFE7" w14:textId="77777777" w:rsidR="007224A4" w:rsidRPr="007224A4" w:rsidRDefault="007224A4"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224A4">
              <w:t>Growth of EdTech and continuous-learning facilitation</w:t>
            </w:r>
          </w:p>
        </w:tc>
      </w:tr>
      <w:tr w:rsidR="00D52FCF" w:rsidRPr="007224A4" w14:paraId="3B66BCBC" w14:textId="77777777" w:rsidTr="00D52FCF">
        <w:tc>
          <w:tcPr>
            <w:cnfStyle w:val="001000000000" w:firstRow="0" w:lastRow="0" w:firstColumn="1" w:lastColumn="0" w:oddVBand="0" w:evenVBand="0" w:oddHBand="0" w:evenHBand="0" w:firstRowFirstColumn="0" w:firstRowLastColumn="0" w:lastRowFirstColumn="0" w:lastRowLastColumn="0"/>
            <w:tcW w:w="0" w:type="auto"/>
            <w:hideMark/>
          </w:tcPr>
          <w:p w14:paraId="4AA66BC3" w14:textId="77777777" w:rsidR="007224A4" w:rsidRPr="007224A4" w:rsidRDefault="007224A4" w:rsidP="004A79FF">
            <w:pPr>
              <w:spacing w:after="160" w:line="360" w:lineRule="auto"/>
            </w:pPr>
            <w:r w:rsidRPr="007224A4">
              <w:t>Professional Services</w:t>
            </w:r>
          </w:p>
        </w:tc>
        <w:tc>
          <w:tcPr>
            <w:tcW w:w="0" w:type="auto"/>
            <w:hideMark/>
          </w:tcPr>
          <w:p w14:paraId="6D810112" w14:textId="77777777" w:rsidR="007224A4" w:rsidRPr="007224A4" w:rsidRDefault="007224A4"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224A4">
              <w:t>17 %</w:t>
            </w:r>
          </w:p>
        </w:tc>
        <w:tc>
          <w:tcPr>
            <w:tcW w:w="0" w:type="auto"/>
            <w:hideMark/>
          </w:tcPr>
          <w:p w14:paraId="09131058" w14:textId="77777777" w:rsidR="007224A4" w:rsidRPr="007224A4" w:rsidRDefault="007224A4"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224A4">
              <w:t>Hybrid human-machine decision support in consulting</w:t>
            </w:r>
          </w:p>
        </w:tc>
      </w:tr>
    </w:tbl>
    <w:p w14:paraId="05C89F79" w14:textId="77777777" w:rsidR="001A25B5" w:rsidRDefault="001A25B5" w:rsidP="004A79FF">
      <w:pPr>
        <w:spacing w:line="360" w:lineRule="auto"/>
        <w:rPr>
          <w:i/>
          <w:iCs/>
        </w:rPr>
      </w:pPr>
    </w:p>
    <w:p w14:paraId="56FEE38E" w14:textId="77777777" w:rsidR="001D555C" w:rsidRDefault="001D555C" w:rsidP="001D555C">
      <w:pPr>
        <w:spacing w:line="360" w:lineRule="auto"/>
      </w:pPr>
      <w:r>
        <w:t xml:space="preserve">Furthermore, the change in technology has created </w:t>
      </w:r>
      <w:proofErr w:type="spellStart"/>
      <w:r>
        <w:t>polarisation</w:t>
      </w:r>
      <w:proofErr w:type="spellEnd"/>
      <w:r>
        <w:t xml:space="preserve"> outcomes in the labour market: as high-skilled digital roles expand, manual labour is being substituted, creating the structural unemployment effect and the problem of shortages in skills (Holl and Rama, 2023). This duality demands that HRM develops talent ecosystems that are both inclusive and combine automation and human flexibility. As an example, the Career Choice </w:t>
      </w:r>
      <w:proofErr w:type="spellStart"/>
      <w:r>
        <w:t>programme</w:t>
      </w:r>
      <w:proofErr w:type="spellEnd"/>
      <w:r>
        <w:t xml:space="preserve"> initiated by Amazon spends more than US$1.2 billion to reskill warehouse workers into technology-related jobs, which proves that it cares about sustainable employability (Costa et al., 2024). At the international level, IHRM has to balance the </w:t>
      </w:r>
      <w:r>
        <w:lastRenderedPageBreak/>
        <w:t>unequal spread of technology in different areas, between cost-effectiveness and cultural and legislative diversity.</w:t>
      </w:r>
    </w:p>
    <w:p w14:paraId="265ABD8F" w14:textId="74F87981" w:rsidR="00FE34B1" w:rsidRDefault="00FE34B1" w:rsidP="004A79FF">
      <w:pPr>
        <w:keepNext/>
        <w:spacing w:line="360" w:lineRule="auto"/>
      </w:pPr>
      <w:r>
        <w:rPr>
          <w:noProof/>
          <w:lang w:val="en-GB" w:eastAsia="en-GB"/>
        </w:rPr>
        <w:drawing>
          <wp:inline distT="0" distB="0" distL="0" distR="0" wp14:anchorId="530DB814" wp14:editId="5DCF4E37">
            <wp:extent cx="5943600" cy="3350029"/>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1">
                      <a:extLst>
                        <a:ext uri="{28A0092B-C50C-407E-A947-70E740481C1C}">
                          <a14:useLocalDpi xmlns:a14="http://schemas.microsoft.com/office/drawing/2010/main" val="0"/>
                        </a:ext>
                      </a:extLst>
                    </a:blip>
                    <a:srcRect t="6061"/>
                    <a:stretch/>
                  </pic:blipFill>
                  <pic:spPr bwMode="auto">
                    <a:xfrm>
                      <a:off x="0" y="0"/>
                      <a:ext cx="5943600" cy="3350029"/>
                    </a:xfrm>
                    <a:prstGeom prst="rect">
                      <a:avLst/>
                    </a:prstGeom>
                    <a:ln>
                      <a:noFill/>
                    </a:ln>
                    <a:extLst>
                      <a:ext uri="{53640926-AAD7-44D8-BBD7-CCE9431645EC}">
                        <a14:shadowObscured xmlns:a14="http://schemas.microsoft.com/office/drawing/2010/main"/>
                      </a:ext>
                    </a:extLst>
                  </pic:spPr>
                </pic:pic>
              </a:graphicData>
            </a:graphic>
          </wp:inline>
        </w:drawing>
      </w:r>
    </w:p>
    <w:p w14:paraId="1FB13112" w14:textId="102ECF2E" w:rsidR="009B4850" w:rsidRPr="00CD7C9E" w:rsidRDefault="00FE34B1" w:rsidP="004A79FF">
      <w:pPr>
        <w:pStyle w:val="Caption"/>
        <w:spacing w:line="360" w:lineRule="auto"/>
      </w:pPr>
      <w:r>
        <w:t xml:space="preserve">Figure </w:t>
      </w:r>
      <w:fldSimple w:instr=" SEQ Figure \* ARABIC ">
        <w:r>
          <w:rPr>
            <w:noProof/>
          </w:rPr>
          <w:t>1</w:t>
        </w:r>
      </w:fldSimple>
      <w:r>
        <w:t xml:space="preserve">: </w:t>
      </w:r>
      <w:r w:rsidRPr="00C40BF9">
        <w:t>AI Adoption and Labour Demand Trends (2020–2030) (OECD, 2024).</w:t>
      </w:r>
    </w:p>
    <w:p w14:paraId="7A291CA6" w14:textId="1FFAD5A5" w:rsidR="00CD7C9E" w:rsidRPr="00CD7C9E" w:rsidRDefault="00CD7C9E" w:rsidP="004A79FF">
      <w:pPr>
        <w:pStyle w:val="Heading1"/>
        <w:spacing w:line="360" w:lineRule="auto"/>
      </w:pPr>
      <w:bookmarkStart w:id="2" w:name="_Toc213196094"/>
      <w:r w:rsidRPr="00CD7C9E">
        <w:t>2. Demographic and Geopolitical Factors Influencing Employment Markets and HRM/IHRM Strategies</w:t>
      </w:r>
      <w:bookmarkEnd w:id="2"/>
    </w:p>
    <w:p w14:paraId="3C1ECB1E" w14:textId="1A60A0C4" w:rsidR="00CD7C9E" w:rsidRPr="00FE34B1" w:rsidRDefault="00875EE0" w:rsidP="004A79FF">
      <w:pPr>
        <w:spacing w:line="360" w:lineRule="auto"/>
      </w:pPr>
      <w:r w:rsidRPr="00875EE0">
        <w:t>Economic uncertainty is cutting across the structure and dynamics of global employment with demographic transitions and geopolitical instability intersecting in the re-shaping of employment. According to the data presented by United Nations (2024), the median age in the world has risen to 32.4 years currently and will rise to 1.6 billion by 2050 as the share of individuals aged 65 + continues to grow instead of 29.6 years in 2010 (</w:t>
      </w:r>
      <w:proofErr w:type="spellStart"/>
      <w:r w:rsidRPr="00875EE0">
        <w:t>Boehmer</w:t>
      </w:r>
      <w:proofErr w:type="spellEnd"/>
      <w:r w:rsidRPr="00875EE0">
        <w:t xml:space="preserve"> and </w:t>
      </w:r>
      <w:proofErr w:type="spellStart"/>
      <w:r w:rsidRPr="00875EE0">
        <w:t>Schinnenburg</w:t>
      </w:r>
      <w:proofErr w:type="spellEnd"/>
      <w:r w:rsidRPr="00875EE0">
        <w:t xml:space="preserve">, 2023). Meanwhile, in other developed economies, fertility is decreasing and in emerging economies, the youth bulges are increasing regional labour-supply imbalances. These ageing workforce trends create both opportunities and limitations to HRM and IHRM, compelling organisations to strike a balance between retaining ageing cohorts of workers and absorbing digitally native generations (Becker and </w:t>
      </w:r>
      <w:proofErr w:type="spellStart"/>
      <w:r w:rsidRPr="00875EE0">
        <w:t>Huselid</w:t>
      </w:r>
      <w:proofErr w:type="spellEnd"/>
      <w:r w:rsidRPr="00875EE0">
        <w:t>, 2006</w:t>
      </w:r>
      <w:r w:rsidR="002560AE" w:rsidRPr="00FE34B1">
        <w:t>).</w:t>
      </w:r>
    </w:p>
    <w:p w14:paraId="046305AF" w14:textId="77777777" w:rsidR="00CD7C9E" w:rsidRPr="00CD7C9E" w:rsidRDefault="00CD7C9E" w:rsidP="004A79FF">
      <w:pPr>
        <w:pStyle w:val="Heading2"/>
        <w:spacing w:line="360" w:lineRule="auto"/>
      </w:pPr>
      <w:bookmarkStart w:id="3" w:name="_Toc213196095"/>
      <w:r w:rsidRPr="00CD7C9E">
        <w:lastRenderedPageBreak/>
        <w:t>2.1 Demographic Realignments and HRM Adaptation</w:t>
      </w:r>
      <w:bookmarkEnd w:id="3"/>
    </w:p>
    <w:p w14:paraId="65DDBE7F" w14:textId="36491BDD" w:rsidR="00CD7C9E" w:rsidRPr="00FE34B1" w:rsidRDefault="00875EE0" w:rsidP="004A79FF">
      <w:pPr>
        <w:spacing w:line="360" w:lineRule="auto"/>
      </w:pPr>
      <w:r w:rsidRPr="00875EE0">
        <w:t>HRM wise, the ageing of the population requires policies that will increase the lifespan of employability and redesign the working systems to make it long last. United Kingdom In the United Kingdom, the employment rate of 65 + workers increased to 15.1% in 2023, against 10.3% in 2013</w:t>
      </w:r>
      <w:r w:rsidR="00BA0F47">
        <w:t xml:space="preserve"> </w:t>
      </w:r>
      <w:r w:rsidR="00BA0F47" w:rsidRPr="00875EE0">
        <w:t xml:space="preserve"> (Pillai and </w:t>
      </w:r>
      <w:proofErr w:type="spellStart"/>
      <w:r w:rsidR="00BA0F47" w:rsidRPr="00875EE0">
        <w:t>Sivathanu</w:t>
      </w:r>
      <w:proofErr w:type="spellEnd"/>
      <w:r w:rsidR="00BA0F47" w:rsidRPr="00875EE0">
        <w:t>, 2020</w:t>
      </w:r>
      <w:r w:rsidR="00BA0F47" w:rsidRPr="00B247A1">
        <w:t>)</w:t>
      </w:r>
      <w:r w:rsidR="00BA0F47">
        <w:t>,</w:t>
      </w:r>
      <w:r w:rsidRPr="00875EE0">
        <w:t xml:space="preserve"> forcing employers to re-engineer ergonomic work and flexible work schedules. The practice of multinationals like Siemens and IBM, which include generation-spanning talent pipelines with mentorship and phased retirement schemes, can be seen as an example of the Strategic Human Capital Theory, which emphasizes the role of tacit knowledge in maintaining</w:t>
      </w:r>
      <w:r>
        <w:t xml:space="preserve"> </w:t>
      </w:r>
      <w:r w:rsidR="00B247A1" w:rsidRPr="00B247A1">
        <w:t>(Fenwick et al., 2024)</w:t>
      </w:r>
      <w:r w:rsidR="00B247A1">
        <w:t>.</w:t>
      </w:r>
    </w:p>
    <w:p w14:paraId="05F14867" w14:textId="23D040C9" w:rsidR="007547FB" w:rsidRPr="007547FB" w:rsidRDefault="007547FB" w:rsidP="004A79FF">
      <w:pPr>
        <w:spacing w:line="360" w:lineRule="auto"/>
        <w:rPr>
          <w:b/>
          <w:bCs/>
        </w:rPr>
      </w:pPr>
      <w:r w:rsidRPr="007547FB">
        <w:rPr>
          <w:b/>
          <w:bCs/>
        </w:rPr>
        <w:t>Table 2</w:t>
      </w:r>
      <w:r w:rsidR="004A79FF">
        <w:rPr>
          <w:b/>
          <w:bCs/>
        </w:rPr>
        <w:t xml:space="preserve"> </w:t>
      </w:r>
      <w:r w:rsidRPr="007547FB">
        <w:rPr>
          <w:b/>
          <w:bCs/>
        </w:rPr>
        <w:t>– Comparative Workforce Age Profiles (UN 2024)</w:t>
      </w:r>
    </w:p>
    <w:tbl>
      <w:tblPr>
        <w:tblStyle w:val="PlainTable1"/>
        <w:tblW w:w="0" w:type="auto"/>
        <w:tblLook w:val="04A0" w:firstRow="1" w:lastRow="0" w:firstColumn="1" w:lastColumn="0" w:noHBand="0" w:noVBand="1"/>
      </w:tblPr>
      <w:tblGrid>
        <w:gridCol w:w="2043"/>
        <w:gridCol w:w="1735"/>
        <w:gridCol w:w="2938"/>
        <w:gridCol w:w="2634"/>
      </w:tblGrid>
      <w:tr w:rsidR="007547FB" w:rsidRPr="007547FB" w14:paraId="1E27A1E2" w14:textId="77777777" w:rsidTr="00D52F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733877" w14:textId="77777777" w:rsidR="007547FB" w:rsidRPr="007547FB" w:rsidRDefault="007547FB" w:rsidP="004A79FF">
            <w:pPr>
              <w:spacing w:after="160" w:line="360" w:lineRule="auto"/>
            </w:pPr>
            <w:r w:rsidRPr="007547FB">
              <w:t>Country/Region</w:t>
            </w:r>
          </w:p>
        </w:tc>
        <w:tc>
          <w:tcPr>
            <w:tcW w:w="0" w:type="auto"/>
            <w:hideMark/>
          </w:tcPr>
          <w:p w14:paraId="2349E4AE" w14:textId="77777777" w:rsidR="007547FB" w:rsidRPr="007547FB" w:rsidRDefault="007547FB" w:rsidP="004A79FF">
            <w:pPr>
              <w:spacing w:after="160" w:line="360" w:lineRule="auto"/>
              <w:cnfStyle w:val="100000000000" w:firstRow="1" w:lastRow="0" w:firstColumn="0" w:lastColumn="0" w:oddVBand="0" w:evenVBand="0" w:oddHBand="0" w:evenHBand="0" w:firstRowFirstColumn="0" w:firstRowLastColumn="0" w:lastRowFirstColumn="0" w:lastRowLastColumn="0"/>
            </w:pPr>
            <w:r w:rsidRPr="007547FB">
              <w:t>Median Age (Years)</w:t>
            </w:r>
          </w:p>
        </w:tc>
        <w:tc>
          <w:tcPr>
            <w:tcW w:w="0" w:type="auto"/>
            <w:hideMark/>
          </w:tcPr>
          <w:p w14:paraId="64D6AA92" w14:textId="77777777" w:rsidR="007547FB" w:rsidRPr="007547FB" w:rsidRDefault="007547FB" w:rsidP="004A79FF">
            <w:pPr>
              <w:spacing w:after="160" w:line="360" w:lineRule="auto"/>
              <w:cnfStyle w:val="100000000000" w:firstRow="1" w:lastRow="0" w:firstColumn="0" w:lastColumn="0" w:oddVBand="0" w:evenVBand="0" w:oddHBand="0" w:evenHBand="0" w:firstRowFirstColumn="0" w:firstRowLastColumn="0" w:lastRowFirstColumn="0" w:lastRowLastColumn="0"/>
            </w:pPr>
            <w:r w:rsidRPr="007547FB">
              <w:t>Labour-Force Participation 65+ (%)</w:t>
            </w:r>
          </w:p>
        </w:tc>
        <w:tc>
          <w:tcPr>
            <w:tcW w:w="0" w:type="auto"/>
            <w:hideMark/>
          </w:tcPr>
          <w:p w14:paraId="1A5A8832" w14:textId="77777777" w:rsidR="007547FB" w:rsidRPr="007547FB" w:rsidRDefault="007547FB" w:rsidP="004A79FF">
            <w:pPr>
              <w:spacing w:after="160" w:line="360" w:lineRule="auto"/>
              <w:cnfStyle w:val="100000000000" w:firstRow="1" w:lastRow="0" w:firstColumn="0" w:lastColumn="0" w:oddVBand="0" w:evenVBand="0" w:oddHBand="0" w:evenHBand="0" w:firstRowFirstColumn="0" w:firstRowLastColumn="0" w:lastRowFirstColumn="0" w:lastRowLastColumn="0"/>
            </w:pPr>
            <w:r w:rsidRPr="007547FB">
              <w:t>Female Participation Rate (%)</w:t>
            </w:r>
          </w:p>
        </w:tc>
      </w:tr>
      <w:tr w:rsidR="007547FB" w:rsidRPr="007547FB" w14:paraId="788BAB4D" w14:textId="77777777" w:rsidTr="00D52F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7A2C05" w14:textId="77777777" w:rsidR="007547FB" w:rsidRPr="007547FB" w:rsidRDefault="007547FB" w:rsidP="004A79FF">
            <w:pPr>
              <w:spacing w:after="160" w:line="360" w:lineRule="auto"/>
            </w:pPr>
            <w:r w:rsidRPr="007547FB">
              <w:t>Japan</w:t>
            </w:r>
          </w:p>
        </w:tc>
        <w:tc>
          <w:tcPr>
            <w:tcW w:w="0" w:type="auto"/>
            <w:hideMark/>
          </w:tcPr>
          <w:p w14:paraId="76F7C29C"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49.2</w:t>
            </w:r>
          </w:p>
        </w:tc>
        <w:tc>
          <w:tcPr>
            <w:tcW w:w="0" w:type="auto"/>
            <w:hideMark/>
          </w:tcPr>
          <w:p w14:paraId="19F1D22F"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24.6</w:t>
            </w:r>
          </w:p>
        </w:tc>
        <w:tc>
          <w:tcPr>
            <w:tcW w:w="0" w:type="auto"/>
            <w:hideMark/>
          </w:tcPr>
          <w:p w14:paraId="6D19241F"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52.1</w:t>
            </w:r>
          </w:p>
        </w:tc>
      </w:tr>
      <w:tr w:rsidR="007547FB" w:rsidRPr="007547FB" w14:paraId="75E06589" w14:textId="77777777" w:rsidTr="00D52FCF">
        <w:tc>
          <w:tcPr>
            <w:cnfStyle w:val="001000000000" w:firstRow="0" w:lastRow="0" w:firstColumn="1" w:lastColumn="0" w:oddVBand="0" w:evenVBand="0" w:oddHBand="0" w:evenHBand="0" w:firstRowFirstColumn="0" w:firstRowLastColumn="0" w:lastRowFirstColumn="0" w:lastRowLastColumn="0"/>
            <w:tcW w:w="0" w:type="auto"/>
            <w:hideMark/>
          </w:tcPr>
          <w:p w14:paraId="2137947F" w14:textId="77777777" w:rsidR="007547FB" w:rsidRPr="007547FB" w:rsidRDefault="007547FB" w:rsidP="004A79FF">
            <w:pPr>
              <w:spacing w:after="160" w:line="360" w:lineRule="auto"/>
            </w:pPr>
            <w:r w:rsidRPr="007547FB">
              <w:t>United Kingdom</w:t>
            </w:r>
          </w:p>
        </w:tc>
        <w:tc>
          <w:tcPr>
            <w:tcW w:w="0" w:type="auto"/>
            <w:hideMark/>
          </w:tcPr>
          <w:p w14:paraId="6C4898C9" w14:textId="77777777" w:rsidR="007547FB" w:rsidRPr="007547FB" w:rsidRDefault="007547FB"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547FB">
              <w:t>41.0</w:t>
            </w:r>
          </w:p>
        </w:tc>
        <w:tc>
          <w:tcPr>
            <w:tcW w:w="0" w:type="auto"/>
            <w:hideMark/>
          </w:tcPr>
          <w:p w14:paraId="381A5041" w14:textId="77777777" w:rsidR="007547FB" w:rsidRPr="007547FB" w:rsidRDefault="007547FB"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547FB">
              <w:t>15.1</w:t>
            </w:r>
          </w:p>
        </w:tc>
        <w:tc>
          <w:tcPr>
            <w:tcW w:w="0" w:type="auto"/>
            <w:hideMark/>
          </w:tcPr>
          <w:p w14:paraId="6485A38E" w14:textId="77777777" w:rsidR="007547FB" w:rsidRPr="007547FB" w:rsidRDefault="007547FB"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547FB">
              <w:t>57.4</w:t>
            </w:r>
          </w:p>
        </w:tc>
      </w:tr>
      <w:tr w:rsidR="007547FB" w:rsidRPr="007547FB" w14:paraId="0747F640" w14:textId="77777777" w:rsidTr="00D52F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A428A3" w14:textId="77777777" w:rsidR="007547FB" w:rsidRPr="007547FB" w:rsidRDefault="007547FB" w:rsidP="004A79FF">
            <w:pPr>
              <w:spacing w:after="160" w:line="360" w:lineRule="auto"/>
            </w:pPr>
            <w:r w:rsidRPr="007547FB">
              <w:t>United States</w:t>
            </w:r>
          </w:p>
        </w:tc>
        <w:tc>
          <w:tcPr>
            <w:tcW w:w="0" w:type="auto"/>
            <w:hideMark/>
          </w:tcPr>
          <w:p w14:paraId="00B7D667"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38.5</w:t>
            </w:r>
          </w:p>
        </w:tc>
        <w:tc>
          <w:tcPr>
            <w:tcW w:w="0" w:type="auto"/>
            <w:hideMark/>
          </w:tcPr>
          <w:p w14:paraId="27A8D116"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19.8</w:t>
            </w:r>
          </w:p>
        </w:tc>
        <w:tc>
          <w:tcPr>
            <w:tcW w:w="0" w:type="auto"/>
            <w:hideMark/>
          </w:tcPr>
          <w:p w14:paraId="1269FE28"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56.2</w:t>
            </w:r>
          </w:p>
        </w:tc>
      </w:tr>
      <w:tr w:rsidR="007547FB" w:rsidRPr="007547FB" w14:paraId="1A3A1781" w14:textId="77777777" w:rsidTr="00D52FCF">
        <w:tc>
          <w:tcPr>
            <w:cnfStyle w:val="001000000000" w:firstRow="0" w:lastRow="0" w:firstColumn="1" w:lastColumn="0" w:oddVBand="0" w:evenVBand="0" w:oddHBand="0" w:evenHBand="0" w:firstRowFirstColumn="0" w:firstRowLastColumn="0" w:lastRowFirstColumn="0" w:lastRowLastColumn="0"/>
            <w:tcW w:w="0" w:type="auto"/>
            <w:hideMark/>
          </w:tcPr>
          <w:p w14:paraId="6EBEA96F" w14:textId="77777777" w:rsidR="007547FB" w:rsidRPr="007547FB" w:rsidRDefault="007547FB" w:rsidP="004A79FF">
            <w:pPr>
              <w:spacing w:after="160" w:line="360" w:lineRule="auto"/>
            </w:pPr>
            <w:r w:rsidRPr="007547FB">
              <w:t>India</w:t>
            </w:r>
          </w:p>
        </w:tc>
        <w:tc>
          <w:tcPr>
            <w:tcW w:w="0" w:type="auto"/>
            <w:hideMark/>
          </w:tcPr>
          <w:p w14:paraId="23770804" w14:textId="77777777" w:rsidR="007547FB" w:rsidRPr="007547FB" w:rsidRDefault="007547FB"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547FB">
              <w:t>28.4</w:t>
            </w:r>
          </w:p>
        </w:tc>
        <w:tc>
          <w:tcPr>
            <w:tcW w:w="0" w:type="auto"/>
            <w:hideMark/>
          </w:tcPr>
          <w:p w14:paraId="287B46EA" w14:textId="77777777" w:rsidR="007547FB" w:rsidRPr="007547FB" w:rsidRDefault="007547FB"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547FB">
              <w:t>6.2</w:t>
            </w:r>
          </w:p>
        </w:tc>
        <w:tc>
          <w:tcPr>
            <w:tcW w:w="0" w:type="auto"/>
            <w:hideMark/>
          </w:tcPr>
          <w:p w14:paraId="1C5C4119" w14:textId="77777777" w:rsidR="007547FB" w:rsidRPr="007547FB" w:rsidRDefault="007547FB"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547FB">
              <w:t>25.1</w:t>
            </w:r>
          </w:p>
        </w:tc>
      </w:tr>
      <w:tr w:rsidR="007547FB" w:rsidRPr="007547FB" w14:paraId="2513147A" w14:textId="77777777" w:rsidTr="00D52F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A464EA" w14:textId="77777777" w:rsidR="007547FB" w:rsidRPr="007547FB" w:rsidRDefault="007547FB" w:rsidP="004A79FF">
            <w:pPr>
              <w:spacing w:after="160" w:line="360" w:lineRule="auto"/>
            </w:pPr>
            <w:r w:rsidRPr="007547FB">
              <w:t>Nigeria</w:t>
            </w:r>
          </w:p>
        </w:tc>
        <w:tc>
          <w:tcPr>
            <w:tcW w:w="0" w:type="auto"/>
            <w:hideMark/>
          </w:tcPr>
          <w:p w14:paraId="5AC02F8F"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18.9</w:t>
            </w:r>
          </w:p>
        </w:tc>
        <w:tc>
          <w:tcPr>
            <w:tcW w:w="0" w:type="auto"/>
            <w:hideMark/>
          </w:tcPr>
          <w:p w14:paraId="19ED76E4"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4.8</w:t>
            </w:r>
          </w:p>
        </w:tc>
        <w:tc>
          <w:tcPr>
            <w:tcW w:w="0" w:type="auto"/>
            <w:hideMark/>
          </w:tcPr>
          <w:p w14:paraId="45F6B88F"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48.3</w:t>
            </w:r>
          </w:p>
        </w:tc>
      </w:tr>
    </w:tbl>
    <w:p w14:paraId="7414F2DD" w14:textId="77777777" w:rsidR="004A79FF" w:rsidRDefault="004A79FF" w:rsidP="004A79FF">
      <w:pPr>
        <w:spacing w:line="360" w:lineRule="auto"/>
        <w:rPr>
          <w:i/>
          <w:iCs/>
        </w:rPr>
      </w:pPr>
    </w:p>
    <w:p w14:paraId="2897D96D" w14:textId="77777777" w:rsidR="00CD7C9E" w:rsidRPr="00CD7C9E" w:rsidRDefault="00CD7C9E" w:rsidP="004A79FF">
      <w:pPr>
        <w:pStyle w:val="Heading2"/>
        <w:spacing w:line="360" w:lineRule="auto"/>
      </w:pPr>
      <w:bookmarkStart w:id="4" w:name="_Toc213196096"/>
      <w:r w:rsidRPr="00CD7C9E">
        <w:t>2.2 Geopolitical Disruptions and IHRM Complexity</w:t>
      </w:r>
      <w:bookmarkEnd w:id="4"/>
    </w:p>
    <w:p w14:paraId="25EEB270" w14:textId="77777777" w:rsidR="00875EE0" w:rsidRDefault="00875EE0" w:rsidP="004A79FF">
      <w:pPr>
        <w:spacing w:line="360" w:lineRule="auto"/>
      </w:pPr>
      <w:r w:rsidRPr="00875EE0">
        <w:t xml:space="preserve">The cross-border labour mobility is heightened by the volatility generated by geopolitical instability. According to the OECD Migration Outlook (2024), the number of skilled-worker visas in EU has fallen 14 percent following the Russia-Ukraine conflict and the tightening of the regulatory environment to breach post-Brexit, intra-Asia labour migration increased 19 percent as companies sought near-shoring strategies (Rane, 2024). These changes increase the role of IHRM in managing visa compliance, dual-payroll management and geopolitical risk mapping. The Institutional Theory paradigm (DiMaggio and Powell, 1983) </w:t>
      </w:r>
      <w:r w:rsidRPr="00875EE0">
        <w:lastRenderedPageBreak/>
        <w:t xml:space="preserve">is used to understand the process through which MNEs adjust HR practices to their heterogeneous legal and cultural systems to balance international consistency and domestically based legitimacy. </w:t>
      </w:r>
    </w:p>
    <w:p w14:paraId="29B8BE87" w14:textId="7ECEF85D" w:rsidR="00CD7C9E" w:rsidRPr="00FE34B1" w:rsidRDefault="00875EE0" w:rsidP="004A79FF">
      <w:pPr>
        <w:spacing w:line="360" w:lineRule="auto"/>
      </w:pPr>
      <w:r w:rsidRPr="00875EE0">
        <w:t>An example is that following the disruption caused by sanctions, energy multinationals like Shell and TotalEnergies shifted the sourcing of expatriate talent in the direction of the Gulf and Southeast Asia, which is a geo-adaptive IHRM (</w:t>
      </w:r>
      <w:proofErr w:type="spellStart"/>
      <w:r w:rsidRPr="00875EE0">
        <w:t>Kshetri</w:t>
      </w:r>
      <w:proofErr w:type="spellEnd"/>
      <w:r w:rsidRPr="00875EE0">
        <w:t xml:space="preserve">, 2021). Greater geopolitical fragmentation is also an act of reinvigoration of the ethical </w:t>
      </w:r>
      <w:proofErr w:type="spellStart"/>
      <w:r w:rsidRPr="00875EE0">
        <w:t>globalisation</w:t>
      </w:r>
      <w:proofErr w:type="spellEnd"/>
      <w:r w:rsidRPr="00875EE0">
        <w:t xml:space="preserve"> debate. Forcible migration has created more than 114 million forcibly displaced persons (UNHCR, 2025), forcing HR teams to develop a strategy of inclusive hiring of refugees and migrants and offset xenophobic host labour market responses</w:t>
      </w:r>
      <w:r w:rsidR="00BA0F47">
        <w:t xml:space="preserve"> </w:t>
      </w:r>
      <w:r w:rsidRPr="00875EE0">
        <w:t>(</w:t>
      </w:r>
      <w:proofErr w:type="spellStart"/>
      <w:r w:rsidRPr="00875EE0">
        <w:t>Lodhi</w:t>
      </w:r>
      <w:proofErr w:type="spellEnd"/>
      <w:r w:rsidRPr="00875EE0">
        <w:t xml:space="preserve"> et al., 2024</w:t>
      </w:r>
      <w:r w:rsidR="00B247A1" w:rsidRPr="00B247A1">
        <w:t>)</w:t>
      </w:r>
      <w:r w:rsidR="00B247A1">
        <w:t xml:space="preserve">. </w:t>
      </w:r>
    </w:p>
    <w:p w14:paraId="71813171" w14:textId="23761368" w:rsidR="007547FB" w:rsidRPr="007547FB" w:rsidRDefault="007547FB" w:rsidP="004A79FF">
      <w:pPr>
        <w:spacing w:line="360" w:lineRule="auto"/>
        <w:rPr>
          <w:b/>
          <w:bCs/>
        </w:rPr>
      </w:pPr>
      <w:r w:rsidRPr="007547FB">
        <w:rPr>
          <w:b/>
          <w:bCs/>
        </w:rPr>
        <w:t xml:space="preserve">Table </w:t>
      </w:r>
      <w:r w:rsidR="004A79FF">
        <w:rPr>
          <w:b/>
          <w:bCs/>
        </w:rPr>
        <w:t xml:space="preserve">3 </w:t>
      </w:r>
      <w:r w:rsidRPr="007547FB">
        <w:rPr>
          <w:b/>
          <w:bCs/>
        </w:rPr>
        <w:t>– HR Policy Responses to Geopolitical Shocks (2022–2025)</w:t>
      </w:r>
    </w:p>
    <w:tbl>
      <w:tblPr>
        <w:tblStyle w:val="PlainTable1"/>
        <w:tblW w:w="0" w:type="auto"/>
        <w:tblLook w:val="04A0" w:firstRow="1" w:lastRow="0" w:firstColumn="1" w:lastColumn="0" w:noHBand="0" w:noVBand="1"/>
      </w:tblPr>
      <w:tblGrid>
        <w:gridCol w:w="1700"/>
        <w:gridCol w:w="1875"/>
        <w:gridCol w:w="3239"/>
        <w:gridCol w:w="2536"/>
      </w:tblGrid>
      <w:tr w:rsidR="007547FB" w:rsidRPr="007547FB" w14:paraId="417F8351" w14:textId="77777777" w:rsidTr="00D52F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52AF5F" w14:textId="77777777" w:rsidR="007547FB" w:rsidRPr="007547FB" w:rsidRDefault="007547FB" w:rsidP="004A79FF">
            <w:pPr>
              <w:spacing w:after="160" w:line="360" w:lineRule="auto"/>
            </w:pPr>
            <w:r w:rsidRPr="007547FB">
              <w:t>Organisation</w:t>
            </w:r>
          </w:p>
        </w:tc>
        <w:tc>
          <w:tcPr>
            <w:tcW w:w="0" w:type="auto"/>
            <w:hideMark/>
          </w:tcPr>
          <w:p w14:paraId="731E719A" w14:textId="77777777" w:rsidR="007547FB" w:rsidRPr="007547FB" w:rsidRDefault="007547FB" w:rsidP="004A79FF">
            <w:pPr>
              <w:spacing w:after="160" w:line="360" w:lineRule="auto"/>
              <w:cnfStyle w:val="100000000000" w:firstRow="1" w:lastRow="0" w:firstColumn="0" w:lastColumn="0" w:oddVBand="0" w:evenVBand="0" w:oddHBand="0" w:evenHBand="0" w:firstRowFirstColumn="0" w:firstRowLastColumn="0" w:lastRowFirstColumn="0" w:lastRowLastColumn="0"/>
            </w:pPr>
            <w:r w:rsidRPr="007547FB">
              <w:t>Shock Context</w:t>
            </w:r>
          </w:p>
        </w:tc>
        <w:tc>
          <w:tcPr>
            <w:tcW w:w="0" w:type="auto"/>
            <w:hideMark/>
          </w:tcPr>
          <w:p w14:paraId="71F91395" w14:textId="77777777" w:rsidR="007547FB" w:rsidRPr="007547FB" w:rsidRDefault="007547FB" w:rsidP="004A79FF">
            <w:pPr>
              <w:spacing w:after="160" w:line="360" w:lineRule="auto"/>
              <w:cnfStyle w:val="100000000000" w:firstRow="1" w:lastRow="0" w:firstColumn="0" w:lastColumn="0" w:oddVBand="0" w:evenVBand="0" w:oddHBand="0" w:evenHBand="0" w:firstRowFirstColumn="0" w:firstRowLastColumn="0" w:lastRowFirstColumn="0" w:lastRowLastColumn="0"/>
            </w:pPr>
            <w:r w:rsidRPr="007547FB">
              <w:t>HR/IHRM Response</w:t>
            </w:r>
          </w:p>
        </w:tc>
        <w:tc>
          <w:tcPr>
            <w:tcW w:w="0" w:type="auto"/>
            <w:hideMark/>
          </w:tcPr>
          <w:p w14:paraId="7B713808" w14:textId="77777777" w:rsidR="007547FB" w:rsidRPr="007547FB" w:rsidRDefault="007547FB" w:rsidP="004A79FF">
            <w:pPr>
              <w:spacing w:after="160" w:line="360" w:lineRule="auto"/>
              <w:cnfStyle w:val="100000000000" w:firstRow="1" w:lastRow="0" w:firstColumn="0" w:lastColumn="0" w:oddVBand="0" w:evenVBand="0" w:oddHBand="0" w:evenHBand="0" w:firstRowFirstColumn="0" w:firstRowLastColumn="0" w:lastRowFirstColumn="0" w:lastRowLastColumn="0"/>
            </w:pPr>
            <w:r w:rsidRPr="007547FB">
              <w:t>Outcome</w:t>
            </w:r>
          </w:p>
        </w:tc>
      </w:tr>
      <w:tr w:rsidR="007547FB" w:rsidRPr="007547FB" w14:paraId="70B8D6E5" w14:textId="77777777" w:rsidTr="00D52F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DD905E" w14:textId="77777777" w:rsidR="007547FB" w:rsidRPr="007547FB" w:rsidRDefault="007547FB" w:rsidP="004A79FF">
            <w:pPr>
              <w:spacing w:after="160" w:line="360" w:lineRule="auto"/>
            </w:pPr>
            <w:r w:rsidRPr="007547FB">
              <w:t>Shell PLC</w:t>
            </w:r>
          </w:p>
        </w:tc>
        <w:tc>
          <w:tcPr>
            <w:tcW w:w="0" w:type="auto"/>
            <w:hideMark/>
          </w:tcPr>
          <w:p w14:paraId="75F84D19"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Russia–Ukraine Conflict</w:t>
            </w:r>
          </w:p>
        </w:tc>
        <w:tc>
          <w:tcPr>
            <w:tcW w:w="0" w:type="auto"/>
            <w:hideMark/>
          </w:tcPr>
          <w:p w14:paraId="51B2A7F3"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Relocated 300 expatriates; implemented remote control centres</w:t>
            </w:r>
          </w:p>
        </w:tc>
        <w:tc>
          <w:tcPr>
            <w:tcW w:w="0" w:type="auto"/>
            <w:hideMark/>
          </w:tcPr>
          <w:p w14:paraId="4DE1F675"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Maintained 90 % project continuity</w:t>
            </w:r>
          </w:p>
        </w:tc>
      </w:tr>
      <w:tr w:rsidR="007547FB" w:rsidRPr="007547FB" w14:paraId="0B460B69" w14:textId="77777777" w:rsidTr="00D52FCF">
        <w:tc>
          <w:tcPr>
            <w:cnfStyle w:val="001000000000" w:firstRow="0" w:lastRow="0" w:firstColumn="1" w:lastColumn="0" w:oddVBand="0" w:evenVBand="0" w:oddHBand="0" w:evenHBand="0" w:firstRowFirstColumn="0" w:firstRowLastColumn="0" w:lastRowFirstColumn="0" w:lastRowLastColumn="0"/>
            <w:tcW w:w="0" w:type="auto"/>
            <w:hideMark/>
          </w:tcPr>
          <w:p w14:paraId="7E18FAB6" w14:textId="77777777" w:rsidR="007547FB" w:rsidRPr="007547FB" w:rsidRDefault="007547FB" w:rsidP="004A79FF">
            <w:pPr>
              <w:spacing w:after="160" w:line="360" w:lineRule="auto"/>
            </w:pPr>
            <w:r w:rsidRPr="007547FB">
              <w:t>Unilever PLC</w:t>
            </w:r>
          </w:p>
        </w:tc>
        <w:tc>
          <w:tcPr>
            <w:tcW w:w="0" w:type="auto"/>
            <w:hideMark/>
          </w:tcPr>
          <w:p w14:paraId="1F570B22" w14:textId="77777777" w:rsidR="007547FB" w:rsidRPr="007547FB" w:rsidRDefault="007547FB"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547FB">
              <w:t>Brexit Trade Regime</w:t>
            </w:r>
          </w:p>
        </w:tc>
        <w:tc>
          <w:tcPr>
            <w:tcW w:w="0" w:type="auto"/>
            <w:hideMark/>
          </w:tcPr>
          <w:p w14:paraId="6952EA4C" w14:textId="77777777" w:rsidR="007547FB" w:rsidRPr="007547FB" w:rsidRDefault="007547FB"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547FB">
              <w:t>Created dual-payroll model for UK–EU staff</w:t>
            </w:r>
          </w:p>
        </w:tc>
        <w:tc>
          <w:tcPr>
            <w:tcW w:w="0" w:type="auto"/>
            <w:hideMark/>
          </w:tcPr>
          <w:p w14:paraId="2CF3425F" w14:textId="77777777" w:rsidR="007547FB" w:rsidRPr="007547FB" w:rsidRDefault="007547FB"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547FB">
              <w:t>Reduced tax and visa delays by 40 %</w:t>
            </w:r>
          </w:p>
        </w:tc>
      </w:tr>
      <w:tr w:rsidR="007547FB" w:rsidRPr="007547FB" w14:paraId="0E0FB03F" w14:textId="77777777" w:rsidTr="00D52F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3066E8" w14:textId="77777777" w:rsidR="007547FB" w:rsidRPr="007547FB" w:rsidRDefault="007547FB" w:rsidP="004A79FF">
            <w:pPr>
              <w:spacing w:after="160" w:line="360" w:lineRule="auto"/>
            </w:pPr>
            <w:r w:rsidRPr="007547FB">
              <w:t>Siemens AG</w:t>
            </w:r>
          </w:p>
        </w:tc>
        <w:tc>
          <w:tcPr>
            <w:tcW w:w="0" w:type="auto"/>
            <w:hideMark/>
          </w:tcPr>
          <w:p w14:paraId="70E888C0"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Energy Transition Policy</w:t>
            </w:r>
          </w:p>
        </w:tc>
        <w:tc>
          <w:tcPr>
            <w:tcW w:w="0" w:type="auto"/>
            <w:hideMark/>
          </w:tcPr>
          <w:p w14:paraId="23D32FFA"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Retrained 12 000 engineers in renewables</w:t>
            </w:r>
          </w:p>
        </w:tc>
        <w:tc>
          <w:tcPr>
            <w:tcW w:w="0" w:type="auto"/>
            <w:hideMark/>
          </w:tcPr>
          <w:p w14:paraId="77E457F8"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Increased ESG skills coverage to 80 %</w:t>
            </w:r>
          </w:p>
        </w:tc>
      </w:tr>
      <w:tr w:rsidR="007547FB" w:rsidRPr="007547FB" w14:paraId="7183AA64" w14:textId="77777777" w:rsidTr="00D52FCF">
        <w:tc>
          <w:tcPr>
            <w:cnfStyle w:val="001000000000" w:firstRow="0" w:lastRow="0" w:firstColumn="1" w:lastColumn="0" w:oddVBand="0" w:evenVBand="0" w:oddHBand="0" w:evenHBand="0" w:firstRowFirstColumn="0" w:firstRowLastColumn="0" w:lastRowFirstColumn="0" w:lastRowLastColumn="0"/>
            <w:tcW w:w="0" w:type="auto"/>
            <w:hideMark/>
          </w:tcPr>
          <w:p w14:paraId="0AE90AC6" w14:textId="77777777" w:rsidR="007547FB" w:rsidRPr="007547FB" w:rsidRDefault="007547FB" w:rsidP="004A79FF">
            <w:pPr>
              <w:spacing w:after="160" w:line="360" w:lineRule="auto"/>
            </w:pPr>
            <w:r w:rsidRPr="007547FB">
              <w:t>Infosys Ltd</w:t>
            </w:r>
          </w:p>
        </w:tc>
        <w:tc>
          <w:tcPr>
            <w:tcW w:w="0" w:type="auto"/>
            <w:hideMark/>
          </w:tcPr>
          <w:p w14:paraId="294F1603" w14:textId="77777777" w:rsidR="007547FB" w:rsidRPr="007547FB" w:rsidRDefault="007547FB"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547FB">
              <w:t>US Visa Restrictions</w:t>
            </w:r>
          </w:p>
        </w:tc>
        <w:tc>
          <w:tcPr>
            <w:tcW w:w="0" w:type="auto"/>
            <w:hideMark/>
          </w:tcPr>
          <w:p w14:paraId="5A0C40E3" w14:textId="77777777" w:rsidR="007547FB" w:rsidRPr="007547FB" w:rsidRDefault="007547FB"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547FB">
              <w:t>Expanded near-shore centres in Mexico &amp; Poland</w:t>
            </w:r>
          </w:p>
        </w:tc>
        <w:tc>
          <w:tcPr>
            <w:tcW w:w="0" w:type="auto"/>
            <w:hideMark/>
          </w:tcPr>
          <w:p w14:paraId="23222F77" w14:textId="77777777" w:rsidR="007547FB" w:rsidRPr="007547FB" w:rsidRDefault="007547FB"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547FB">
              <w:t>Preserved market access and talent continuity</w:t>
            </w:r>
          </w:p>
        </w:tc>
      </w:tr>
    </w:tbl>
    <w:p w14:paraId="57E965E8" w14:textId="77777777" w:rsidR="004A79FF" w:rsidRDefault="004A79FF" w:rsidP="004A79FF">
      <w:pPr>
        <w:spacing w:line="360" w:lineRule="auto"/>
      </w:pPr>
    </w:p>
    <w:p w14:paraId="2F72047B" w14:textId="03D3301C" w:rsidR="00CD7C9E" w:rsidRPr="00CD7C9E" w:rsidRDefault="00CD7C9E" w:rsidP="004A79FF">
      <w:pPr>
        <w:pStyle w:val="Heading2"/>
        <w:spacing w:line="360" w:lineRule="auto"/>
      </w:pPr>
      <w:bookmarkStart w:id="5" w:name="_Toc213196097"/>
      <w:r w:rsidRPr="00CD7C9E">
        <w:lastRenderedPageBreak/>
        <w:t>2.3 Integrating Demographic and Geopolitical Intelligence into Strategy</w:t>
      </w:r>
      <w:bookmarkEnd w:id="5"/>
    </w:p>
    <w:p w14:paraId="5A7E361A" w14:textId="77777777" w:rsidR="00BA0F47" w:rsidRDefault="00875EE0" w:rsidP="004A79FF">
      <w:pPr>
        <w:spacing w:line="360" w:lineRule="auto"/>
      </w:pPr>
      <w:r w:rsidRPr="00875EE0">
        <w:t>To be strategic resilient, HRM and IHRM will have to transform into data-smart systems that are predictive of demographic exode and geopolitical vulnerability (</w:t>
      </w:r>
      <w:proofErr w:type="spellStart"/>
      <w:r w:rsidRPr="00875EE0">
        <w:t>Järvela</w:t>
      </w:r>
      <w:proofErr w:type="spellEnd"/>
      <w:r w:rsidRPr="00875EE0">
        <w:t xml:space="preserve"> et al., 2023). Using predictive workforce analytics, retirement-based vacancies can be modeled, or geopolitical supply-chain shock can be simulated, which allows successful succession and redeployment planning. According to the World Economic Forum (2024), companies that have developed people-analytics operations state that they have rates of talent-retention that are 22-percent greater and that cross-border mobility decisions are made 30 percent quicker. In addition, Environmental, Social and Governance (ESG) metrics are increasingly within the workforce dashboards of global HR leaders, with geopolitical due-diligence being connected to the ethical employment outcomes (Gupta &amp; Sharma, 2022). </w:t>
      </w:r>
    </w:p>
    <w:p w14:paraId="04B1A3E2" w14:textId="35F8719F" w:rsidR="00CD7C9E" w:rsidRPr="00FE34B1" w:rsidRDefault="00875EE0" w:rsidP="004A79FF">
      <w:pPr>
        <w:spacing w:line="360" w:lineRule="auto"/>
      </w:pPr>
      <w:r w:rsidRPr="00875EE0">
        <w:t xml:space="preserve">Nonetheless, there are still tensions that are critical. The immigration laws that are protectionist limit the high-skill inflows and the hybrid-work laws question the jurisdiction tax and labour-law adherence. IHRM should hence reconcile between global </w:t>
      </w:r>
      <w:proofErr w:type="spellStart"/>
      <w:r w:rsidRPr="00875EE0">
        <w:t>standardisation</w:t>
      </w:r>
      <w:proofErr w:type="spellEnd"/>
      <w:r w:rsidRPr="00875EE0">
        <w:t xml:space="preserve"> (similarity of HR principles) and local responsiveness (compliance with contextual demands) a duality expressed in the terms of the transnational model by Bartlett and Ghoshal (1989). The use of strategic foresight, scenario mapping, and intergovernmental dialogue is becoming a vital HR skill (</w:t>
      </w:r>
      <w:proofErr w:type="spellStart"/>
      <w:r w:rsidRPr="00875EE0">
        <w:t>Bentvelzen</w:t>
      </w:r>
      <w:proofErr w:type="spellEnd"/>
      <w:r w:rsidRPr="00875EE0">
        <w:t xml:space="preserve"> et al., 2024). As it were, the two megatrends that are redefining HRM and IHRM praxis are demographic maturity and geopolitical fragmentation</w:t>
      </w:r>
      <w:r w:rsidR="00BA0F47">
        <w:t xml:space="preserve"> </w:t>
      </w:r>
      <w:r w:rsidRPr="00875EE0">
        <w:t>(</w:t>
      </w:r>
      <w:proofErr w:type="spellStart"/>
      <w:r w:rsidRPr="00875EE0">
        <w:t>Folqué</w:t>
      </w:r>
      <w:proofErr w:type="spellEnd"/>
      <w:r w:rsidRPr="00875EE0">
        <w:t xml:space="preserve"> et al., 2021</w:t>
      </w:r>
      <w:r w:rsidR="00B83DE0" w:rsidRPr="00B83DE0">
        <w:t>)</w:t>
      </w:r>
      <w:r w:rsidR="00B83DE0">
        <w:t xml:space="preserve">. </w:t>
      </w:r>
    </w:p>
    <w:p w14:paraId="0F4B5888" w14:textId="77777777" w:rsidR="00FE34B1" w:rsidRDefault="00FE34B1" w:rsidP="004A79FF">
      <w:pPr>
        <w:spacing w:line="360" w:lineRule="auto"/>
        <w:rPr>
          <w:noProof/>
        </w:rPr>
      </w:pPr>
    </w:p>
    <w:p w14:paraId="7EFF2C2A" w14:textId="77777777" w:rsidR="00FE34B1" w:rsidRDefault="00FE34B1" w:rsidP="004A79FF">
      <w:pPr>
        <w:keepNext/>
        <w:spacing w:line="360" w:lineRule="auto"/>
      </w:pPr>
      <w:r>
        <w:rPr>
          <w:noProof/>
          <w:lang w:val="en-GB" w:eastAsia="en-GB"/>
        </w:rPr>
        <w:lastRenderedPageBreak/>
        <w:drawing>
          <wp:inline distT="0" distB="0" distL="0" distR="0" wp14:anchorId="2CB217CA" wp14:editId="7C2FBAD1">
            <wp:extent cx="5943041" cy="4272742"/>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2">
                      <a:extLst>
                        <a:ext uri="{28A0092B-C50C-407E-A947-70E740481C1C}">
                          <a14:useLocalDpi xmlns:a14="http://schemas.microsoft.com/office/drawing/2010/main" val="0"/>
                        </a:ext>
                      </a:extLst>
                    </a:blip>
                    <a:srcRect t="17343" b="10762"/>
                    <a:stretch/>
                  </pic:blipFill>
                  <pic:spPr bwMode="auto">
                    <a:xfrm>
                      <a:off x="0" y="0"/>
                      <a:ext cx="5943600" cy="4273144"/>
                    </a:xfrm>
                    <a:prstGeom prst="rect">
                      <a:avLst/>
                    </a:prstGeom>
                    <a:ln>
                      <a:noFill/>
                    </a:ln>
                    <a:extLst>
                      <a:ext uri="{53640926-AAD7-44D8-BBD7-CCE9431645EC}">
                        <a14:shadowObscured xmlns:a14="http://schemas.microsoft.com/office/drawing/2010/main"/>
                      </a:ext>
                    </a:extLst>
                  </pic:spPr>
                </pic:pic>
              </a:graphicData>
            </a:graphic>
          </wp:inline>
        </w:drawing>
      </w:r>
    </w:p>
    <w:p w14:paraId="5EF29A1C" w14:textId="6EED3D4E" w:rsidR="00FE34B1" w:rsidRPr="00CD7C9E" w:rsidRDefault="00FE34B1" w:rsidP="004A79FF">
      <w:pPr>
        <w:pStyle w:val="Caption"/>
        <w:spacing w:line="360" w:lineRule="auto"/>
      </w:pPr>
      <w:r>
        <w:t xml:space="preserve">Figure </w:t>
      </w:r>
      <w:fldSimple w:instr=" SEQ Figure \* ARABIC ">
        <w:r>
          <w:rPr>
            <w:noProof/>
          </w:rPr>
          <w:t>2</w:t>
        </w:r>
      </w:fldSimple>
      <w:r>
        <w:t xml:space="preserve">: </w:t>
      </w:r>
      <w:r w:rsidRPr="008F2C55">
        <w:t>Global Migration and Talent Flows (2015–2024) (UN, 2024).</w:t>
      </w:r>
    </w:p>
    <w:p w14:paraId="76B650E2" w14:textId="54828570" w:rsidR="00CD7C9E" w:rsidRPr="00CD7C9E" w:rsidRDefault="00CD7C9E" w:rsidP="004A79FF">
      <w:pPr>
        <w:pStyle w:val="Heading1"/>
        <w:spacing w:line="360" w:lineRule="auto"/>
      </w:pPr>
      <w:bookmarkStart w:id="6" w:name="_Toc213196098"/>
      <w:r w:rsidRPr="00CD7C9E">
        <w:t>3. Skills Gaps and Strategic Talent Management in Global Labour Markets</w:t>
      </w:r>
      <w:bookmarkEnd w:id="6"/>
    </w:p>
    <w:p w14:paraId="6AA1C230" w14:textId="1EB55B45" w:rsidR="00CD7C9E" w:rsidRPr="00FE34B1" w:rsidRDefault="00875EE0" w:rsidP="004A79FF">
      <w:pPr>
        <w:spacing w:line="360" w:lineRule="auto"/>
      </w:pPr>
      <w:r w:rsidRPr="00875EE0">
        <w:t>One of the most urgent structural challenges facing organisations and the policy makers during the post-pandemic era is the widening global skills gap. The World Economic Forum (2024) outlines that close to 44 per cent of the essential abilities of workers will evolve by 2027, and 85 million roles will stay open by 2030, which will eventually equate to the amount of missing world output of about US $8.5 trillion (McKinsey, 2023). At the same time, 70 per cent of firms claim that they experience an absence of digital-talents, especially in data analytics, cyber-security, and artificial intelligence development (</w:t>
      </w:r>
      <w:proofErr w:type="spellStart"/>
      <w:r w:rsidRPr="00875EE0">
        <w:t>Schecter</w:t>
      </w:r>
      <w:proofErr w:type="spellEnd"/>
      <w:r w:rsidRPr="00875EE0">
        <w:t xml:space="preserve"> and Li, 2023</w:t>
      </w:r>
      <w:r w:rsidR="00B83DE0" w:rsidRPr="00B83DE0">
        <w:t>)</w:t>
      </w:r>
      <w:r w:rsidR="00B83DE0">
        <w:t xml:space="preserve">. </w:t>
      </w:r>
    </w:p>
    <w:p w14:paraId="41AA7A24" w14:textId="09E81B69" w:rsidR="007547FB" w:rsidRPr="007547FB" w:rsidRDefault="007547FB" w:rsidP="004A79FF">
      <w:pPr>
        <w:spacing w:line="360" w:lineRule="auto"/>
        <w:rPr>
          <w:b/>
          <w:bCs/>
        </w:rPr>
      </w:pPr>
      <w:r w:rsidRPr="007547FB">
        <w:rPr>
          <w:b/>
          <w:bCs/>
        </w:rPr>
        <w:t xml:space="preserve">Table </w:t>
      </w:r>
      <w:r w:rsidR="004A79FF">
        <w:rPr>
          <w:b/>
          <w:bCs/>
        </w:rPr>
        <w:t>4</w:t>
      </w:r>
      <w:r w:rsidRPr="007547FB">
        <w:rPr>
          <w:b/>
          <w:bCs/>
        </w:rPr>
        <w:t xml:space="preserve"> – Top 10 Global Skill Shortages by Sector (WEF 2024)</w:t>
      </w:r>
    </w:p>
    <w:tbl>
      <w:tblPr>
        <w:tblStyle w:val="PlainTable1"/>
        <w:tblW w:w="0" w:type="auto"/>
        <w:tblLook w:val="04A0" w:firstRow="1" w:lastRow="0" w:firstColumn="1" w:lastColumn="0" w:noHBand="0" w:noVBand="1"/>
      </w:tblPr>
      <w:tblGrid>
        <w:gridCol w:w="803"/>
        <w:gridCol w:w="2327"/>
        <w:gridCol w:w="3000"/>
        <w:gridCol w:w="3220"/>
      </w:tblGrid>
      <w:tr w:rsidR="007547FB" w:rsidRPr="007547FB" w14:paraId="4722B16A" w14:textId="77777777" w:rsidTr="00D52F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1C8C6C" w14:textId="77777777" w:rsidR="007547FB" w:rsidRPr="007547FB" w:rsidRDefault="007547FB" w:rsidP="004A79FF">
            <w:pPr>
              <w:spacing w:after="160" w:line="360" w:lineRule="auto"/>
            </w:pPr>
            <w:r w:rsidRPr="007547FB">
              <w:lastRenderedPageBreak/>
              <w:t>Rank</w:t>
            </w:r>
          </w:p>
        </w:tc>
        <w:tc>
          <w:tcPr>
            <w:tcW w:w="0" w:type="auto"/>
            <w:hideMark/>
          </w:tcPr>
          <w:p w14:paraId="1643E0CE" w14:textId="77777777" w:rsidR="007547FB" w:rsidRPr="007547FB" w:rsidRDefault="007547FB" w:rsidP="004A79FF">
            <w:pPr>
              <w:spacing w:after="160" w:line="360" w:lineRule="auto"/>
              <w:cnfStyle w:val="100000000000" w:firstRow="1" w:lastRow="0" w:firstColumn="0" w:lastColumn="0" w:oddVBand="0" w:evenVBand="0" w:oddHBand="0" w:evenHBand="0" w:firstRowFirstColumn="0" w:firstRowLastColumn="0" w:lastRowFirstColumn="0" w:lastRowLastColumn="0"/>
            </w:pPr>
            <w:r w:rsidRPr="007547FB">
              <w:t>Sector</w:t>
            </w:r>
          </w:p>
        </w:tc>
        <w:tc>
          <w:tcPr>
            <w:tcW w:w="0" w:type="auto"/>
            <w:hideMark/>
          </w:tcPr>
          <w:p w14:paraId="451402F2" w14:textId="77777777" w:rsidR="007547FB" w:rsidRPr="007547FB" w:rsidRDefault="007547FB" w:rsidP="004A79FF">
            <w:pPr>
              <w:spacing w:after="160" w:line="360" w:lineRule="auto"/>
              <w:cnfStyle w:val="100000000000" w:firstRow="1" w:lastRow="0" w:firstColumn="0" w:lastColumn="0" w:oddVBand="0" w:evenVBand="0" w:oddHBand="0" w:evenHBand="0" w:firstRowFirstColumn="0" w:firstRowLastColumn="0" w:lastRowFirstColumn="0" w:lastRowLastColumn="0"/>
            </w:pPr>
            <w:r w:rsidRPr="007547FB">
              <w:t>Critical Skill Shortage</w:t>
            </w:r>
          </w:p>
        </w:tc>
        <w:tc>
          <w:tcPr>
            <w:tcW w:w="0" w:type="auto"/>
            <w:hideMark/>
          </w:tcPr>
          <w:p w14:paraId="2BC1DC07" w14:textId="77777777" w:rsidR="007547FB" w:rsidRPr="007547FB" w:rsidRDefault="007547FB" w:rsidP="004A79FF">
            <w:pPr>
              <w:spacing w:after="160" w:line="360" w:lineRule="auto"/>
              <w:cnfStyle w:val="100000000000" w:firstRow="1" w:lastRow="0" w:firstColumn="0" w:lastColumn="0" w:oddVBand="0" w:evenVBand="0" w:oddHBand="0" w:evenHBand="0" w:firstRowFirstColumn="0" w:firstRowLastColumn="0" w:lastRowFirstColumn="0" w:lastRowLastColumn="0"/>
            </w:pPr>
            <w:r w:rsidRPr="007547FB">
              <w:t>Estimated Deficit (Workers, Millions)</w:t>
            </w:r>
          </w:p>
        </w:tc>
      </w:tr>
      <w:tr w:rsidR="007547FB" w:rsidRPr="007547FB" w14:paraId="3BF1B2E6" w14:textId="77777777" w:rsidTr="00D52F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FD042E" w14:textId="77777777" w:rsidR="007547FB" w:rsidRPr="007547FB" w:rsidRDefault="007547FB" w:rsidP="004A79FF">
            <w:pPr>
              <w:spacing w:after="160" w:line="360" w:lineRule="auto"/>
            </w:pPr>
            <w:r w:rsidRPr="007547FB">
              <w:t>1</w:t>
            </w:r>
          </w:p>
        </w:tc>
        <w:tc>
          <w:tcPr>
            <w:tcW w:w="0" w:type="auto"/>
            <w:hideMark/>
          </w:tcPr>
          <w:p w14:paraId="3D9615EE"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Information Technology</w:t>
            </w:r>
          </w:p>
        </w:tc>
        <w:tc>
          <w:tcPr>
            <w:tcW w:w="0" w:type="auto"/>
            <w:hideMark/>
          </w:tcPr>
          <w:p w14:paraId="41D40E4C"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Cybersecurity &amp; AI Engineering</w:t>
            </w:r>
          </w:p>
        </w:tc>
        <w:tc>
          <w:tcPr>
            <w:tcW w:w="0" w:type="auto"/>
            <w:hideMark/>
          </w:tcPr>
          <w:p w14:paraId="7F355458"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4.8</w:t>
            </w:r>
          </w:p>
        </w:tc>
      </w:tr>
      <w:tr w:rsidR="007547FB" w:rsidRPr="007547FB" w14:paraId="3CCF4F11" w14:textId="77777777" w:rsidTr="00D52FCF">
        <w:tc>
          <w:tcPr>
            <w:cnfStyle w:val="001000000000" w:firstRow="0" w:lastRow="0" w:firstColumn="1" w:lastColumn="0" w:oddVBand="0" w:evenVBand="0" w:oddHBand="0" w:evenHBand="0" w:firstRowFirstColumn="0" w:firstRowLastColumn="0" w:lastRowFirstColumn="0" w:lastRowLastColumn="0"/>
            <w:tcW w:w="0" w:type="auto"/>
            <w:hideMark/>
          </w:tcPr>
          <w:p w14:paraId="4268F001" w14:textId="77777777" w:rsidR="007547FB" w:rsidRPr="007547FB" w:rsidRDefault="007547FB" w:rsidP="004A79FF">
            <w:pPr>
              <w:spacing w:after="160" w:line="360" w:lineRule="auto"/>
            </w:pPr>
            <w:r w:rsidRPr="007547FB">
              <w:t>2</w:t>
            </w:r>
          </w:p>
        </w:tc>
        <w:tc>
          <w:tcPr>
            <w:tcW w:w="0" w:type="auto"/>
            <w:hideMark/>
          </w:tcPr>
          <w:p w14:paraId="4ECC3705" w14:textId="77777777" w:rsidR="007547FB" w:rsidRPr="007547FB" w:rsidRDefault="007547FB"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547FB">
              <w:t>Healthcare</w:t>
            </w:r>
          </w:p>
        </w:tc>
        <w:tc>
          <w:tcPr>
            <w:tcW w:w="0" w:type="auto"/>
            <w:hideMark/>
          </w:tcPr>
          <w:p w14:paraId="0B67A0CC" w14:textId="77777777" w:rsidR="007547FB" w:rsidRPr="007547FB" w:rsidRDefault="007547FB"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547FB">
              <w:t>Nursing &amp; Elder Care</w:t>
            </w:r>
          </w:p>
        </w:tc>
        <w:tc>
          <w:tcPr>
            <w:tcW w:w="0" w:type="auto"/>
            <w:hideMark/>
          </w:tcPr>
          <w:p w14:paraId="21906DC1" w14:textId="77777777" w:rsidR="007547FB" w:rsidRPr="007547FB" w:rsidRDefault="007547FB"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547FB">
              <w:t>4.1</w:t>
            </w:r>
          </w:p>
        </w:tc>
      </w:tr>
      <w:tr w:rsidR="007547FB" w:rsidRPr="007547FB" w14:paraId="6A83EE7E" w14:textId="77777777" w:rsidTr="00D52F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1923BA" w14:textId="77777777" w:rsidR="007547FB" w:rsidRPr="007547FB" w:rsidRDefault="007547FB" w:rsidP="004A79FF">
            <w:pPr>
              <w:spacing w:after="160" w:line="360" w:lineRule="auto"/>
            </w:pPr>
            <w:r w:rsidRPr="007547FB">
              <w:t>3</w:t>
            </w:r>
          </w:p>
        </w:tc>
        <w:tc>
          <w:tcPr>
            <w:tcW w:w="0" w:type="auto"/>
            <w:hideMark/>
          </w:tcPr>
          <w:p w14:paraId="777C8DA1"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Construction</w:t>
            </w:r>
          </w:p>
        </w:tc>
        <w:tc>
          <w:tcPr>
            <w:tcW w:w="0" w:type="auto"/>
            <w:hideMark/>
          </w:tcPr>
          <w:p w14:paraId="00524B75"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Green Building Technicians</w:t>
            </w:r>
          </w:p>
        </w:tc>
        <w:tc>
          <w:tcPr>
            <w:tcW w:w="0" w:type="auto"/>
            <w:hideMark/>
          </w:tcPr>
          <w:p w14:paraId="7025859E"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3.6</w:t>
            </w:r>
          </w:p>
        </w:tc>
      </w:tr>
      <w:tr w:rsidR="007547FB" w:rsidRPr="007547FB" w14:paraId="39F3178A" w14:textId="77777777" w:rsidTr="00D52FCF">
        <w:tc>
          <w:tcPr>
            <w:cnfStyle w:val="001000000000" w:firstRow="0" w:lastRow="0" w:firstColumn="1" w:lastColumn="0" w:oddVBand="0" w:evenVBand="0" w:oddHBand="0" w:evenHBand="0" w:firstRowFirstColumn="0" w:firstRowLastColumn="0" w:lastRowFirstColumn="0" w:lastRowLastColumn="0"/>
            <w:tcW w:w="0" w:type="auto"/>
            <w:hideMark/>
          </w:tcPr>
          <w:p w14:paraId="626135CF" w14:textId="77777777" w:rsidR="007547FB" w:rsidRPr="007547FB" w:rsidRDefault="007547FB" w:rsidP="004A79FF">
            <w:pPr>
              <w:spacing w:after="160" w:line="360" w:lineRule="auto"/>
            </w:pPr>
            <w:r w:rsidRPr="007547FB">
              <w:t>4</w:t>
            </w:r>
          </w:p>
        </w:tc>
        <w:tc>
          <w:tcPr>
            <w:tcW w:w="0" w:type="auto"/>
            <w:hideMark/>
          </w:tcPr>
          <w:p w14:paraId="465A1E77" w14:textId="77777777" w:rsidR="007547FB" w:rsidRPr="007547FB" w:rsidRDefault="007547FB"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547FB">
              <w:t>Education</w:t>
            </w:r>
          </w:p>
        </w:tc>
        <w:tc>
          <w:tcPr>
            <w:tcW w:w="0" w:type="auto"/>
            <w:hideMark/>
          </w:tcPr>
          <w:p w14:paraId="0A4F9406" w14:textId="77777777" w:rsidR="007547FB" w:rsidRPr="007547FB" w:rsidRDefault="007547FB"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547FB">
              <w:t>STEM Teachers &amp; Trainers</w:t>
            </w:r>
          </w:p>
        </w:tc>
        <w:tc>
          <w:tcPr>
            <w:tcW w:w="0" w:type="auto"/>
            <w:hideMark/>
          </w:tcPr>
          <w:p w14:paraId="29EE6706" w14:textId="77777777" w:rsidR="007547FB" w:rsidRPr="007547FB" w:rsidRDefault="007547FB"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547FB">
              <w:t>3.3</w:t>
            </w:r>
          </w:p>
        </w:tc>
      </w:tr>
      <w:tr w:rsidR="007547FB" w:rsidRPr="007547FB" w14:paraId="119C80F6" w14:textId="77777777" w:rsidTr="00D52F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DAD21D" w14:textId="77777777" w:rsidR="007547FB" w:rsidRPr="007547FB" w:rsidRDefault="007547FB" w:rsidP="004A79FF">
            <w:pPr>
              <w:spacing w:after="160" w:line="360" w:lineRule="auto"/>
            </w:pPr>
            <w:r w:rsidRPr="007547FB">
              <w:t>5</w:t>
            </w:r>
          </w:p>
        </w:tc>
        <w:tc>
          <w:tcPr>
            <w:tcW w:w="0" w:type="auto"/>
            <w:hideMark/>
          </w:tcPr>
          <w:p w14:paraId="0EBB793B"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Finance</w:t>
            </w:r>
          </w:p>
        </w:tc>
        <w:tc>
          <w:tcPr>
            <w:tcW w:w="0" w:type="auto"/>
            <w:hideMark/>
          </w:tcPr>
          <w:p w14:paraId="492685FA"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Data Compliance &amp; ESG Analysts</w:t>
            </w:r>
          </w:p>
        </w:tc>
        <w:tc>
          <w:tcPr>
            <w:tcW w:w="0" w:type="auto"/>
            <w:hideMark/>
          </w:tcPr>
          <w:p w14:paraId="65EEB4D7"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2.9</w:t>
            </w:r>
          </w:p>
        </w:tc>
      </w:tr>
      <w:tr w:rsidR="007547FB" w:rsidRPr="007547FB" w14:paraId="4107494A" w14:textId="77777777" w:rsidTr="00D52FCF">
        <w:tc>
          <w:tcPr>
            <w:cnfStyle w:val="001000000000" w:firstRow="0" w:lastRow="0" w:firstColumn="1" w:lastColumn="0" w:oddVBand="0" w:evenVBand="0" w:oddHBand="0" w:evenHBand="0" w:firstRowFirstColumn="0" w:firstRowLastColumn="0" w:lastRowFirstColumn="0" w:lastRowLastColumn="0"/>
            <w:tcW w:w="0" w:type="auto"/>
            <w:hideMark/>
          </w:tcPr>
          <w:p w14:paraId="3C0C2393" w14:textId="77777777" w:rsidR="007547FB" w:rsidRPr="007547FB" w:rsidRDefault="007547FB" w:rsidP="004A79FF">
            <w:pPr>
              <w:spacing w:after="160" w:line="360" w:lineRule="auto"/>
            </w:pPr>
            <w:r w:rsidRPr="007547FB">
              <w:t>6</w:t>
            </w:r>
          </w:p>
        </w:tc>
        <w:tc>
          <w:tcPr>
            <w:tcW w:w="0" w:type="auto"/>
            <w:hideMark/>
          </w:tcPr>
          <w:p w14:paraId="38BD9FCF" w14:textId="77777777" w:rsidR="007547FB" w:rsidRPr="007547FB" w:rsidRDefault="007547FB"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547FB">
              <w:t>Manufacturing</w:t>
            </w:r>
          </w:p>
        </w:tc>
        <w:tc>
          <w:tcPr>
            <w:tcW w:w="0" w:type="auto"/>
            <w:hideMark/>
          </w:tcPr>
          <w:p w14:paraId="5DA8A722" w14:textId="77777777" w:rsidR="007547FB" w:rsidRPr="007547FB" w:rsidRDefault="007547FB"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547FB">
              <w:t>Automation Maintenance Experts</w:t>
            </w:r>
          </w:p>
        </w:tc>
        <w:tc>
          <w:tcPr>
            <w:tcW w:w="0" w:type="auto"/>
            <w:hideMark/>
          </w:tcPr>
          <w:p w14:paraId="2A20A283" w14:textId="77777777" w:rsidR="007547FB" w:rsidRPr="007547FB" w:rsidRDefault="007547FB"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547FB">
              <w:t>2.7</w:t>
            </w:r>
          </w:p>
        </w:tc>
      </w:tr>
      <w:tr w:rsidR="007547FB" w:rsidRPr="007547FB" w14:paraId="21F07D00" w14:textId="77777777" w:rsidTr="00D52F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938395" w14:textId="77777777" w:rsidR="007547FB" w:rsidRPr="007547FB" w:rsidRDefault="007547FB" w:rsidP="004A79FF">
            <w:pPr>
              <w:spacing w:after="160" w:line="360" w:lineRule="auto"/>
            </w:pPr>
            <w:r w:rsidRPr="007547FB">
              <w:t>7</w:t>
            </w:r>
          </w:p>
        </w:tc>
        <w:tc>
          <w:tcPr>
            <w:tcW w:w="0" w:type="auto"/>
            <w:hideMark/>
          </w:tcPr>
          <w:p w14:paraId="692BD3F4"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Retail &amp; Logistics</w:t>
            </w:r>
          </w:p>
        </w:tc>
        <w:tc>
          <w:tcPr>
            <w:tcW w:w="0" w:type="auto"/>
            <w:hideMark/>
          </w:tcPr>
          <w:p w14:paraId="516F15E6"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Supply-Chain Data Specialists</w:t>
            </w:r>
          </w:p>
        </w:tc>
        <w:tc>
          <w:tcPr>
            <w:tcW w:w="0" w:type="auto"/>
            <w:hideMark/>
          </w:tcPr>
          <w:p w14:paraId="2DA805BA"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2.5</w:t>
            </w:r>
          </w:p>
        </w:tc>
      </w:tr>
      <w:tr w:rsidR="007547FB" w:rsidRPr="007547FB" w14:paraId="0B8E6BF6" w14:textId="77777777" w:rsidTr="00D52FCF">
        <w:tc>
          <w:tcPr>
            <w:cnfStyle w:val="001000000000" w:firstRow="0" w:lastRow="0" w:firstColumn="1" w:lastColumn="0" w:oddVBand="0" w:evenVBand="0" w:oddHBand="0" w:evenHBand="0" w:firstRowFirstColumn="0" w:firstRowLastColumn="0" w:lastRowFirstColumn="0" w:lastRowLastColumn="0"/>
            <w:tcW w:w="0" w:type="auto"/>
            <w:hideMark/>
          </w:tcPr>
          <w:p w14:paraId="21F826F8" w14:textId="77777777" w:rsidR="007547FB" w:rsidRPr="007547FB" w:rsidRDefault="007547FB" w:rsidP="004A79FF">
            <w:pPr>
              <w:spacing w:after="160" w:line="360" w:lineRule="auto"/>
            </w:pPr>
            <w:r w:rsidRPr="007547FB">
              <w:t>8</w:t>
            </w:r>
          </w:p>
        </w:tc>
        <w:tc>
          <w:tcPr>
            <w:tcW w:w="0" w:type="auto"/>
            <w:hideMark/>
          </w:tcPr>
          <w:p w14:paraId="47FBB3E3" w14:textId="77777777" w:rsidR="007547FB" w:rsidRPr="007547FB" w:rsidRDefault="007547FB"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547FB">
              <w:t>Energy</w:t>
            </w:r>
          </w:p>
        </w:tc>
        <w:tc>
          <w:tcPr>
            <w:tcW w:w="0" w:type="auto"/>
            <w:hideMark/>
          </w:tcPr>
          <w:p w14:paraId="1E30E35C" w14:textId="77777777" w:rsidR="007547FB" w:rsidRPr="007547FB" w:rsidRDefault="007547FB"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547FB">
              <w:t>Renewable-Energy Engineers</w:t>
            </w:r>
          </w:p>
        </w:tc>
        <w:tc>
          <w:tcPr>
            <w:tcW w:w="0" w:type="auto"/>
            <w:hideMark/>
          </w:tcPr>
          <w:p w14:paraId="548EF65F" w14:textId="77777777" w:rsidR="007547FB" w:rsidRPr="007547FB" w:rsidRDefault="007547FB"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547FB">
              <w:t>2.3</w:t>
            </w:r>
          </w:p>
        </w:tc>
      </w:tr>
      <w:tr w:rsidR="007547FB" w:rsidRPr="007547FB" w14:paraId="5E64E8B1" w14:textId="77777777" w:rsidTr="00D52F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D080D9" w14:textId="77777777" w:rsidR="007547FB" w:rsidRPr="007547FB" w:rsidRDefault="007547FB" w:rsidP="004A79FF">
            <w:pPr>
              <w:spacing w:after="160" w:line="360" w:lineRule="auto"/>
            </w:pPr>
            <w:r w:rsidRPr="007547FB">
              <w:t>9</w:t>
            </w:r>
          </w:p>
        </w:tc>
        <w:tc>
          <w:tcPr>
            <w:tcW w:w="0" w:type="auto"/>
            <w:hideMark/>
          </w:tcPr>
          <w:p w14:paraId="66EC05C8"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Tourism &amp; Hospitality</w:t>
            </w:r>
          </w:p>
        </w:tc>
        <w:tc>
          <w:tcPr>
            <w:tcW w:w="0" w:type="auto"/>
            <w:hideMark/>
          </w:tcPr>
          <w:p w14:paraId="07A6BABA"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Service Design Managers</w:t>
            </w:r>
          </w:p>
        </w:tc>
        <w:tc>
          <w:tcPr>
            <w:tcW w:w="0" w:type="auto"/>
            <w:hideMark/>
          </w:tcPr>
          <w:p w14:paraId="225628B8" w14:textId="77777777" w:rsidR="007547FB" w:rsidRPr="007547FB" w:rsidRDefault="007547FB"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7547FB">
              <w:t>1.8</w:t>
            </w:r>
          </w:p>
        </w:tc>
      </w:tr>
      <w:tr w:rsidR="007547FB" w:rsidRPr="007547FB" w14:paraId="628B2DFC" w14:textId="77777777" w:rsidTr="00D52FCF">
        <w:tc>
          <w:tcPr>
            <w:cnfStyle w:val="001000000000" w:firstRow="0" w:lastRow="0" w:firstColumn="1" w:lastColumn="0" w:oddVBand="0" w:evenVBand="0" w:oddHBand="0" w:evenHBand="0" w:firstRowFirstColumn="0" w:firstRowLastColumn="0" w:lastRowFirstColumn="0" w:lastRowLastColumn="0"/>
            <w:tcW w:w="0" w:type="auto"/>
            <w:hideMark/>
          </w:tcPr>
          <w:p w14:paraId="603FC3F0" w14:textId="77777777" w:rsidR="007547FB" w:rsidRPr="007547FB" w:rsidRDefault="007547FB" w:rsidP="004A79FF">
            <w:pPr>
              <w:spacing w:after="160" w:line="360" w:lineRule="auto"/>
            </w:pPr>
            <w:r w:rsidRPr="007547FB">
              <w:t>10</w:t>
            </w:r>
          </w:p>
        </w:tc>
        <w:tc>
          <w:tcPr>
            <w:tcW w:w="0" w:type="auto"/>
            <w:hideMark/>
          </w:tcPr>
          <w:p w14:paraId="094CAEC6" w14:textId="77777777" w:rsidR="007547FB" w:rsidRPr="007547FB" w:rsidRDefault="007547FB"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547FB">
              <w:t>Public Sector</w:t>
            </w:r>
          </w:p>
        </w:tc>
        <w:tc>
          <w:tcPr>
            <w:tcW w:w="0" w:type="auto"/>
            <w:hideMark/>
          </w:tcPr>
          <w:p w14:paraId="5DD99A93" w14:textId="77777777" w:rsidR="007547FB" w:rsidRPr="007547FB" w:rsidRDefault="007547FB"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547FB">
              <w:t>Digital-Governance Officers</w:t>
            </w:r>
          </w:p>
        </w:tc>
        <w:tc>
          <w:tcPr>
            <w:tcW w:w="0" w:type="auto"/>
            <w:hideMark/>
          </w:tcPr>
          <w:p w14:paraId="000BDF89" w14:textId="77777777" w:rsidR="007547FB" w:rsidRPr="007547FB" w:rsidRDefault="007547FB"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7547FB">
              <w:t>1.5</w:t>
            </w:r>
          </w:p>
        </w:tc>
      </w:tr>
    </w:tbl>
    <w:p w14:paraId="014476EF" w14:textId="28703794" w:rsidR="007547FB" w:rsidRPr="00CD7C9E" w:rsidRDefault="007547FB" w:rsidP="004A79FF">
      <w:pPr>
        <w:spacing w:line="360" w:lineRule="auto"/>
      </w:pPr>
    </w:p>
    <w:p w14:paraId="5AA38F64" w14:textId="77777777" w:rsidR="00CD7C9E" w:rsidRPr="00CD7C9E" w:rsidRDefault="00CD7C9E" w:rsidP="004A79FF">
      <w:pPr>
        <w:pStyle w:val="Heading2"/>
        <w:spacing w:line="360" w:lineRule="auto"/>
      </w:pPr>
      <w:bookmarkStart w:id="7" w:name="_Toc213196099"/>
      <w:r w:rsidRPr="00CD7C9E">
        <w:t>3.1 Diagnosing the Global Skills Deficit</w:t>
      </w:r>
      <w:bookmarkEnd w:id="7"/>
    </w:p>
    <w:p w14:paraId="4FC0D501" w14:textId="05A8D29A" w:rsidR="00CD7C9E" w:rsidRPr="00FE34B1" w:rsidRDefault="00875EE0" w:rsidP="004A79FF">
      <w:pPr>
        <w:spacing w:line="360" w:lineRule="auto"/>
      </w:pPr>
      <w:r w:rsidRPr="00875EE0">
        <w:t xml:space="preserve">At the macro level, skills gap is an indication of under-investment in human development in comparison to the advancement in technology as conceptualised by the Human Capital Theory (Schultz, 1961). The emerging economies (e.g., India, Indonesia, and Brazil) have </w:t>
      </w:r>
      <w:r w:rsidRPr="00875EE0">
        <w:lastRenderedPageBreak/>
        <w:t>high tertiary-education output but inadequate employability skills, whereas advanced economies (e.g., Germany and Japan) suffer the loss of technical skills due to the ageing population (</w:t>
      </w:r>
      <w:proofErr w:type="spellStart"/>
      <w:r w:rsidRPr="00875EE0">
        <w:t>Asamani</w:t>
      </w:r>
      <w:proofErr w:type="spellEnd"/>
      <w:r w:rsidRPr="00875EE0">
        <w:t xml:space="preserve"> et al., 2018). The European Centre of the Development of Vocational Training (CEDEFOP, 2024) estimates the number of firms in the EU that have critical recruiting challenges in STEM and digital jobs at 39 percent, and 52 percent in micro-enterprises</w:t>
      </w:r>
      <w:r w:rsidR="00BA0F47">
        <w:t xml:space="preserve"> </w:t>
      </w:r>
      <w:r w:rsidRPr="00875EE0">
        <w:t>(Kumar, 2025</w:t>
      </w:r>
      <w:r w:rsidR="00B83DE0" w:rsidRPr="00B83DE0">
        <w:t>)</w:t>
      </w:r>
      <w:r w:rsidR="00B83DE0">
        <w:t xml:space="preserve">. </w:t>
      </w:r>
    </w:p>
    <w:p w14:paraId="33B873DC" w14:textId="77777777" w:rsidR="00CD7C9E" w:rsidRPr="00CD7C9E" w:rsidRDefault="00CD7C9E" w:rsidP="004A79FF">
      <w:pPr>
        <w:pStyle w:val="Heading2"/>
        <w:spacing w:line="360" w:lineRule="auto"/>
      </w:pPr>
      <w:bookmarkStart w:id="8" w:name="_Toc213196100"/>
      <w:r w:rsidRPr="00CD7C9E">
        <w:t>3.2 Strategic HRM and Organisational Responses</w:t>
      </w:r>
      <w:bookmarkEnd w:id="8"/>
    </w:p>
    <w:p w14:paraId="13A17FF2" w14:textId="6497AC80" w:rsidR="00FE34B1" w:rsidRPr="00CD7C9E" w:rsidRDefault="00875EE0" w:rsidP="004A79FF">
      <w:pPr>
        <w:spacing w:line="360" w:lineRule="auto"/>
      </w:pPr>
      <w:r w:rsidRPr="00875EE0">
        <w:t>Multi-pronged Strategic Talent Management (STM) models are being implemented by organisations which combine the concepts of reskilling, employer branding and internal mobility. Amazon has invested in the training of high-demand digital positions of 300,000 employees via its program, Upskilling 2025, with an investment of US $1.2 billion; and Unilever has used its program, Flex Experience, to match its employees with short-term global projects using an AI-driven algorithm, improving fluidity and retention of its workforce (Unilever, 2024). These types of strategies depict the assertion of the Resource-Based View (RBV) of the firm-specific human capital as an inimitable strategic resource (Tripathi et al., 2024). In cross-national situations, IHRM has to mediate the differences in education infrastructure, labour regulation, and the cultural perspectives toward lifelong learning. The 2/3rd unemployment rate among the youth is below 6 in the dual vocational-training system that integrates formal training with apprenticeship in Germany, as compared to an average of above 20 in Southern Europe (</w:t>
      </w:r>
      <w:proofErr w:type="spellStart"/>
      <w:r w:rsidRPr="00875EE0">
        <w:t>Alsheref</w:t>
      </w:r>
      <w:proofErr w:type="spellEnd"/>
      <w:r w:rsidRPr="00875EE0">
        <w:t xml:space="preserve"> et al., 2022</w:t>
      </w:r>
      <w:r w:rsidR="00B83DE0" w:rsidRPr="00B83DE0">
        <w:t>)</w:t>
      </w:r>
      <w:r w:rsidR="00B83DE0">
        <w:t xml:space="preserve">. </w:t>
      </w:r>
    </w:p>
    <w:p w14:paraId="27CDC41B" w14:textId="77777777" w:rsidR="00CD7C9E" w:rsidRPr="00CD7C9E" w:rsidRDefault="00CD7C9E" w:rsidP="004A79FF">
      <w:pPr>
        <w:pStyle w:val="Heading2"/>
        <w:spacing w:line="360" w:lineRule="auto"/>
      </w:pPr>
      <w:bookmarkStart w:id="9" w:name="_Toc213196101"/>
      <w:r w:rsidRPr="00CD7C9E">
        <w:t>3.3 Data-Driven and Ethical Talent Strategies</w:t>
      </w:r>
      <w:bookmarkEnd w:id="9"/>
    </w:p>
    <w:p w14:paraId="1BE91109" w14:textId="38F55CC3" w:rsidR="00CD7C9E" w:rsidRPr="00FE34B1" w:rsidRDefault="00875EE0" w:rsidP="004A79FF">
      <w:pPr>
        <w:spacing w:line="360" w:lineRule="auto"/>
      </w:pPr>
      <w:proofErr w:type="spellStart"/>
      <w:r w:rsidRPr="00875EE0">
        <w:t>Digitialisation</w:t>
      </w:r>
      <w:proofErr w:type="spellEnd"/>
      <w:r w:rsidRPr="00875EE0">
        <w:t xml:space="preserve"> of HRM presents superior people-analytics solutions that are able to map skills adjacencies, predict attrition, and predict high-potential employees. The companies that use analytics achieve 30 percent faster internal placements and 22 percent retention rates (Deloitte, 2024). There is also the issue of fairness and transparency in algorithmic decision-making, though. The AI-governance protocols that are integrated into ethical HRM frameworks, such as frequent bias audits, explainability measurement, and human supervision, are thus required to maintain equality and trust (Du, 2024). Moreover, IHRM </w:t>
      </w:r>
      <w:r w:rsidRPr="00875EE0">
        <w:lastRenderedPageBreak/>
        <w:t>struggles with the problem of fair talent mobility: restrictive visa policies and the so-called brain-drain tend to drain the expertise in a developing economy (Chen, 2023</w:t>
      </w:r>
      <w:r w:rsidR="00B83DE0">
        <w:t xml:space="preserve">). </w:t>
      </w:r>
    </w:p>
    <w:p w14:paraId="573F35D9" w14:textId="77777777" w:rsidR="00CD7C9E" w:rsidRPr="00CD7C9E" w:rsidRDefault="00CD7C9E" w:rsidP="004A79FF">
      <w:pPr>
        <w:pStyle w:val="Heading2"/>
        <w:spacing w:line="360" w:lineRule="auto"/>
      </w:pPr>
      <w:bookmarkStart w:id="10" w:name="_Toc213196102"/>
      <w:r w:rsidRPr="00CD7C9E">
        <w:t>3.4 Integrating Talent Strategy with Organisational Sustainability</w:t>
      </w:r>
      <w:bookmarkEnd w:id="10"/>
    </w:p>
    <w:p w14:paraId="2F01ACC9" w14:textId="26B6C2E4" w:rsidR="00CD7C9E" w:rsidRPr="00FE34B1" w:rsidRDefault="002542A9" w:rsidP="004A79FF">
      <w:pPr>
        <w:spacing w:line="360" w:lineRule="auto"/>
      </w:pPr>
      <w:r w:rsidRPr="002542A9">
        <w:t xml:space="preserve">Talent-development objectives are now being incorporated into Environmental, Social, and Governance (ESG) models by progressive HR leaders, who are aligning the need to upskill employees with the need to socially include them and transition to climate concerns. To illustrate this point, Siemens created its own renal-energy training </w:t>
      </w:r>
      <w:proofErr w:type="spellStart"/>
      <w:r w:rsidRPr="002542A9">
        <w:t>centre</w:t>
      </w:r>
      <w:proofErr w:type="spellEnd"/>
      <w:r w:rsidRPr="002542A9">
        <w:t xml:space="preserve">, Global Learning Campus, which educates engineers, whereas IBM created </w:t>
      </w:r>
      <w:proofErr w:type="spellStart"/>
      <w:r w:rsidRPr="002542A9">
        <w:t>SkillsBuild</w:t>
      </w:r>
      <w:proofErr w:type="spellEnd"/>
      <w:r w:rsidRPr="002542A9">
        <w:t xml:space="preserve"> </w:t>
      </w:r>
      <w:proofErr w:type="spellStart"/>
      <w:r w:rsidRPr="002542A9">
        <w:t>programme</w:t>
      </w:r>
      <w:proofErr w:type="spellEnd"/>
      <w:r w:rsidRPr="002542A9">
        <w:t xml:space="preserve"> in collaboration with NGOs in order to reach marginalised groups</w:t>
      </w:r>
      <w:r w:rsidR="00BA0F47">
        <w:t xml:space="preserve"> </w:t>
      </w:r>
      <w:r w:rsidRPr="002542A9">
        <w:t>(</w:t>
      </w:r>
      <w:proofErr w:type="spellStart"/>
      <w:r w:rsidRPr="002542A9">
        <w:t>Peeters</w:t>
      </w:r>
      <w:proofErr w:type="spellEnd"/>
      <w:r w:rsidRPr="002542A9">
        <w:t xml:space="preserve"> et al., 2020</w:t>
      </w:r>
      <w:r w:rsidR="00B83DE0" w:rsidRPr="00B83DE0">
        <w:t>)</w:t>
      </w:r>
      <w:r w:rsidR="00B83DE0">
        <w:t xml:space="preserve">. </w:t>
      </w:r>
    </w:p>
    <w:p w14:paraId="6E3596BA" w14:textId="77777777" w:rsidR="00FE34B1" w:rsidRDefault="00FE34B1" w:rsidP="004A79FF">
      <w:pPr>
        <w:keepNext/>
        <w:spacing w:line="360" w:lineRule="auto"/>
      </w:pPr>
      <w:r>
        <w:rPr>
          <w:noProof/>
          <w:lang w:val="en-GB" w:eastAsia="en-GB"/>
        </w:rPr>
        <w:drawing>
          <wp:inline distT="0" distB="0" distL="0" distR="0" wp14:anchorId="197663A0" wp14:editId="2C3A97A7">
            <wp:extent cx="5943600" cy="336665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3">
                      <a:extLst>
                        <a:ext uri="{28A0092B-C50C-407E-A947-70E740481C1C}">
                          <a14:useLocalDpi xmlns:a14="http://schemas.microsoft.com/office/drawing/2010/main" val="0"/>
                        </a:ext>
                      </a:extLst>
                    </a:blip>
                    <a:srcRect t="5594"/>
                    <a:stretch/>
                  </pic:blipFill>
                  <pic:spPr bwMode="auto">
                    <a:xfrm>
                      <a:off x="0" y="0"/>
                      <a:ext cx="5943600" cy="3366655"/>
                    </a:xfrm>
                    <a:prstGeom prst="rect">
                      <a:avLst/>
                    </a:prstGeom>
                    <a:ln>
                      <a:noFill/>
                    </a:ln>
                    <a:extLst>
                      <a:ext uri="{53640926-AAD7-44D8-BBD7-CCE9431645EC}">
                        <a14:shadowObscured xmlns:a14="http://schemas.microsoft.com/office/drawing/2010/main"/>
                      </a:ext>
                    </a:extLst>
                  </pic:spPr>
                </pic:pic>
              </a:graphicData>
            </a:graphic>
          </wp:inline>
        </w:drawing>
      </w:r>
    </w:p>
    <w:p w14:paraId="3BD1F992" w14:textId="101739D9" w:rsidR="00FE34B1" w:rsidRPr="00CD7C9E" w:rsidRDefault="00FE34B1" w:rsidP="004A79FF">
      <w:pPr>
        <w:pStyle w:val="Caption"/>
        <w:spacing w:line="360" w:lineRule="auto"/>
      </w:pPr>
      <w:r>
        <w:t xml:space="preserve">Figure </w:t>
      </w:r>
      <w:fldSimple w:instr=" SEQ Figure \* ARABIC ">
        <w:r>
          <w:rPr>
            <w:noProof/>
          </w:rPr>
          <w:t>3</w:t>
        </w:r>
      </w:fldSimple>
      <w:r>
        <w:t xml:space="preserve">: </w:t>
      </w:r>
      <w:proofErr w:type="spellStart"/>
      <w:r w:rsidRPr="00606269">
        <w:t>eskilling</w:t>
      </w:r>
      <w:proofErr w:type="spellEnd"/>
      <w:r w:rsidRPr="00606269">
        <w:t xml:space="preserve"> Investment vs Employee Retention Correlation (Deloitte, 2024).</w:t>
      </w:r>
    </w:p>
    <w:p w14:paraId="117BE778" w14:textId="77777777" w:rsidR="00CD7C9E" w:rsidRPr="00CD7C9E" w:rsidRDefault="00CD7C9E" w:rsidP="004A79FF">
      <w:pPr>
        <w:pStyle w:val="Heading1"/>
        <w:spacing w:line="360" w:lineRule="auto"/>
      </w:pPr>
      <w:bookmarkStart w:id="11" w:name="_Toc213196103"/>
      <w:r w:rsidRPr="00CD7C9E">
        <w:t>4 Reflective Self-Analysis of Capabilities in an International Context</w:t>
      </w:r>
      <w:bookmarkEnd w:id="11"/>
    </w:p>
    <w:p w14:paraId="596B9041" w14:textId="77777777" w:rsidR="00CD7C9E" w:rsidRPr="00CD7C9E" w:rsidRDefault="00CD7C9E" w:rsidP="004A79FF">
      <w:pPr>
        <w:pStyle w:val="Heading2"/>
        <w:spacing w:line="360" w:lineRule="auto"/>
      </w:pPr>
      <w:bookmarkStart w:id="12" w:name="_Toc213196104"/>
      <w:r w:rsidRPr="00CD7C9E">
        <w:t>4.1 Introduction and Method</w:t>
      </w:r>
      <w:bookmarkEnd w:id="12"/>
    </w:p>
    <w:p w14:paraId="5B759F54" w14:textId="7D98B301" w:rsidR="00CD7C9E" w:rsidRPr="00FE34B1" w:rsidRDefault="00CD7C9E" w:rsidP="004A79FF">
      <w:pPr>
        <w:spacing w:line="360" w:lineRule="auto"/>
      </w:pPr>
      <w:r w:rsidRPr="00FE34B1">
        <w:t xml:space="preserve">This reflection critically evaluates my professional capabilities as a postgraduate MBA student at UWTSD within an increasingly international and technology-mediated learning </w:t>
      </w:r>
      <w:r w:rsidRPr="00FE34B1">
        <w:lastRenderedPageBreak/>
        <w:t xml:space="preserve">environment. </w:t>
      </w:r>
      <w:r w:rsidR="002542A9" w:rsidRPr="002542A9">
        <w:t>I use the six-stage reflective cycle by Gibbs (1988) and the experiential-learning loop by Kolb (1984) to analyse the evidence of strengths and developmental needs based on the five dimensions of requirements established in the module brief: technology, communication, teamwork, leadership, and self-directed learning</w:t>
      </w:r>
      <w:r w:rsidR="00BA0F47">
        <w:t xml:space="preserve"> </w:t>
      </w:r>
      <w:r w:rsidR="002542A9" w:rsidRPr="002542A9">
        <w:t xml:space="preserve">(Maier and </w:t>
      </w:r>
      <w:proofErr w:type="spellStart"/>
      <w:r w:rsidR="002542A9" w:rsidRPr="002542A9">
        <w:t>Afentakis</w:t>
      </w:r>
      <w:proofErr w:type="spellEnd"/>
      <w:r w:rsidR="002542A9" w:rsidRPr="002542A9">
        <w:t>, 2013</w:t>
      </w:r>
      <w:r w:rsidR="00B83DE0" w:rsidRPr="00B83DE0">
        <w:t>)</w:t>
      </w:r>
      <w:r w:rsidR="00B83DE0">
        <w:t xml:space="preserve">. </w:t>
      </w:r>
    </w:p>
    <w:p w14:paraId="1E594E60" w14:textId="77777777" w:rsidR="00FE34B1" w:rsidRDefault="00FE34B1" w:rsidP="004A79FF">
      <w:pPr>
        <w:spacing w:line="360" w:lineRule="auto"/>
        <w:rPr>
          <w:noProof/>
        </w:rPr>
      </w:pPr>
    </w:p>
    <w:p w14:paraId="53D3A82F" w14:textId="77777777" w:rsidR="00FE34B1" w:rsidRDefault="00FE34B1" w:rsidP="004A79FF">
      <w:pPr>
        <w:keepNext/>
        <w:spacing w:line="360" w:lineRule="auto"/>
      </w:pPr>
      <w:r>
        <w:rPr>
          <w:noProof/>
          <w:lang w:val="en-GB" w:eastAsia="en-GB"/>
        </w:rPr>
        <w:drawing>
          <wp:inline distT="0" distB="0" distL="0" distR="0" wp14:anchorId="234CFFC3" wp14:editId="10699B50">
            <wp:extent cx="5943600" cy="53617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4">
                      <a:extLst>
                        <a:ext uri="{28A0092B-C50C-407E-A947-70E740481C1C}">
                          <a14:useLocalDpi xmlns:a14="http://schemas.microsoft.com/office/drawing/2010/main" val="0"/>
                        </a:ext>
                      </a:extLst>
                    </a:blip>
                    <a:srcRect t="9790"/>
                    <a:stretch/>
                  </pic:blipFill>
                  <pic:spPr bwMode="auto">
                    <a:xfrm>
                      <a:off x="0" y="0"/>
                      <a:ext cx="5943600" cy="5361709"/>
                    </a:xfrm>
                    <a:prstGeom prst="rect">
                      <a:avLst/>
                    </a:prstGeom>
                    <a:ln>
                      <a:noFill/>
                    </a:ln>
                    <a:extLst>
                      <a:ext uri="{53640926-AAD7-44D8-BBD7-CCE9431645EC}">
                        <a14:shadowObscured xmlns:a14="http://schemas.microsoft.com/office/drawing/2010/main"/>
                      </a:ext>
                    </a:extLst>
                  </pic:spPr>
                </pic:pic>
              </a:graphicData>
            </a:graphic>
          </wp:inline>
        </w:drawing>
      </w:r>
    </w:p>
    <w:p w14:paraId="101DADC1" w14:textId="0C7F70CE" w:rsidR="00FE34B1" w:rsidRPr="00CD7C9E" w:rsidRDefault="00FE34B1" w:rsidP="004A79FF">
      <w:pPr>
        <w:pStyle w:val="Caption"/>
        <w:spacing w:line="360" w:lineRule="auto"/>
      </w:pPr>
      <w:r>
        <w:t xml:space="preserve">Figure </w:t>
      </w:r>
      <w:fldSimple w:instr=" SEQ Figure \* ARABIC ">
        <w:r>
          <w:rPr>
            <w:noProof/>
          </w:rPr>
          <w:t>4</w:t>
        </w:r>
      </w:fldSimple>
      <w:r>
        <w:t xml:space="preserve">: </w:t>
      </w:r>
      <w:r w:rsidRPr="001F6DFF">
        <w:t>Gibbs–Kolb Integrated Reflective Learning Cycle</w:t>
      </w:r>
      <w:r>
        <w:t>.</w:t>
      </w:r>
    </w:p>
    <w:p w14:paraId="4A6E4364" w14:textId="77777777" w:rsidR="00CD7C9E" w:rsidRPr="00CD7C9E" w:rsidRDefault="00CD7C9E" w:rsidP="004A79FF">
      <w:pPr>
        <w:pStyle w:val="Heading2"/>
        <w:spacing w:line="360" w:lineRule="auto"/>
      </w:pPr>
      <w:bookmarkStart w:id="13" w:name="_Toc213196105"/>
      <w:r w:rsidRPr="00CD7C9E">
        <w:lastRenderedPageBreak/>
        <w:t>4.2 Technological Capability</w:t>
      </w:r>
      <w:bookmarkEnd w:id="13"/>
    </w:p>
    <w:p w14:paraId="031C200F" w14:textId="6768A0AE" w:rsidR="00CD7C9E" w:rsidRPr="00FE34B1" w:rsidRDefault="00CD7C9E" w:rsidP="004A79FF">
      <w:pPr>
        <w:spacing w:line="360" w:lineRule="auto"/>
      </w:pPr>
      <w:r w:rsidRPr="00CD7C9E">
        <w:rPr>
          <w:b/>
          <w:bCs/>
        </w:rPr>
        <w:t xml:space="preserve">Description &amp; </w:t>
      </w:r>
      <w:proofErr w:type="spellStart"/>
      <w:r w:rsidRPr="00CD7C9E">
        <w:rPr>
          <w:b/>
          <w:bCs/>
        </w:rPr>
        <w:t>Evidence.</w:t>
      </w:r>
      <w:r w:rsidR="00BA0F47">
        <w:t>:</w:t>
      </w:r>
      <w:r w:rsidRPr="00CD7C9E">
        <w:t>During</w:t>
      </w:r>
      <w:proofErr w:type="spellEnd"/>
      <w:r w:rsidRPr="00CD7C9E">
        <w:t xml:space="preserve"> LCMB7023 and BM7701 modules I employed </w:t>
      </w:r>
      <w:r w:rsidRPr="00FE34B1">
        <w:t>MS Teams, Moodle, Miro, Canva, and SPSS v29</w:t>
      </w:r>
      <w:r w:rsidRPr="00CD7C9E">
        <w:t xml:space="preserve"> for research, presentation, and quantitative analysis. I independently produced correlation and regression outputs in SPSS for a 120-response HR survey, receiving </w:t>
      </w:r>
      <w:r w:rsidRPr="00FE34B1">
        <w:t>82 % for analytical accuracy</w:t>
      </w:r>
      <w:r w:rsidR="00B83DE0">
        <w:t xml:space="preserve"> </w:t>
      </w:r>
      <w:r w:rsidR="00B83DE0" w:rsidRPr="00B83DE0">
        <w:t>(</w:t>
      </w:r>
      <w:proofErr w:type="spellStart"/>
      <w:r w:rsidR="00B83DE0" w:rsidRPr="00B83DE0">
        <w:t>Rusdi</w:t>
      </w:r>
      <w:proofErr w:type="spellEnd"/>
      <w:r w:rsidR="00B83DE0" w:rsidRPr="00B83DE0">
        <w:t xml:space="preserve"> et al., 2024)</w:t>
      </w:r>
      <w:r w:rsidR="00B83DE0">
        <w:t xml:space="preserve">. </w:t>
      </w:r>
    </w:p>
    <w:p w14:paraId="690692EC" w14:textId="033A5D6E" w:rsidR="00CD7C9E" w:rsidRPr="00CD7C9E" w:rsidRDefault="00CD7C9E" w:rsidP="004A79FF">
      <w:pPr>
        <w:spacing w:line="360" w:lineRule="auto"/>
      </w:pPr>
      <w:r w:rsidRPr="00CD7C9E">
        <w:rPr>
          <w:b/>
          <w:bCs/>
        </w:rPr>
        <w:t>Evaluation</w:t>
      </w:r>
      <w:r w:rsidR="00BA0F47">
        <w:rPr>
          <w:b/>
          <w:bCs/>
        </w:rPr>
        <w:t>:</w:t>
      </w:r>
      <w:r w:rsidRPr="00CD7C9E">
        <w:t xml:space="preserve"> Technological proficiency has enhanced my data-driven reasoning and confidence with HR analytics dashboards, directly supporting the CIPD’s “Evidence-Based Practice” behaviour. However, reflection revealed over-reliance on structured datasets and limited experimentation with AI-assisted insights (e.g., Power BI integration).</w:t>
      </w:r>
    </w:p>
    <w:p w14:paraId="3C3F5FC6" w14:textId="6B6D2454" w:rsidR="00CD7C9E" w:rsidRPr="00CD7C9E" w:rsidRDefault="00CD7C9E" w:rsidP="004A79FF">
      <w:pPr>
        <w:spacing w:line="360" w:lineRule="auto"/>
      </w:pPr>
      <w:r w:rsidRPr="00CD7C9E">
        <w:rPr>
          <w:b/>
          <w:bCs/>
        </w:rPr>
        <w:t>Analysis &amp; Conclusion</w:t>
      </w:r>
      <w:r w:rsidR="00BA0F47">
        <w:rPr>
          <w:b/>
          <w:bCs/>
        </w:rPr>
        <w:t>:</w:t>
      </w:r>
      <w:r w:rsidRPr="00CD7C9E">
        <w:t xml:space="preserve"> Kolb’s active-experimentation phase indicates I learn most effectively through </w:t>
      </w:r>
      <w:r w:rsidRPr="00CD7C9E">
        <w:rPr>
          <w:i/>
          <w:iCs/>
        </w:rPr>
        <w:t>doing and testing</w:t>
      </w:r>
      <w:r w:rsidRPr="00CD7C9E">
        <w:t>. Therefore, advancing from competent to expert digital fluency requires exposure to predictive-analytics tools and ethical-AI evaluation, aligning with Gartner’s (2024) emphasis on algorithmic accountability</w:t>
      </w:r>
      <w:r w:rsidR="00B83DE0">
        <w:t xml:space="preserve"> </w:t>
      </w:r>
      <w:r w:rsidR="00B83DE0" w:rsidRPr="00B83DE0">
        <w:t>(</w:t>
      </w:r>
      <w:proofErr w:type="spellStart"/>
      <w:r w:rsidR="00B83DE0" w:rsidRPr="00B83DE0">
        <w:t>Schecter</w:t>
      </w:r>
      <w:proofErr w:type="spellEnd"/>
      <w:r w:rsidR="00B83DE0" w:rsidRPr="00B83DE0">
        <w:t xml:space="preserve"> &amp; Li, 2023)</w:t>
      </w:r>
      <w:r w:rsidR="00B83DE0">
        <w:t xml:space="preserve">. </w:t>
      </w:r>
    </w:p>
    <w:p w14:paraId="3EE0BA87" w14:textId="1505CD10" w:rsidR="00CD7C9E" w:rsidRPr="00CD7C9E" w:rsidRDefault="00CD7C9E" w:rsidP="004A79FF">
      <w:pPr>
        <w:spacing w:line="360" w:lineRule="auto"/>
      </w:pPr>
      <w:r w:rsidRPr="00CD7C9E">
        <w:rPr>
          <w:b/>
          <w:bCs/>
        </w:rPr>
        <w:t>SMART Goal</w:t>
      </w:r>
      <w:r w:rsidR="00BA0F47">
        <w:rPr>
          <w:b/>
          <w:bCs/>
        </w:rPr>
        <w:t>:</w:t>
      </w:r>
      <w:r w:rsidRPr="00CD7C9E">
        <w:t xml:space="preserve"> </w:t>
      </w:r>
      <w:r w:rsidRPr="002560AE">
        <w:t>By May 2026</w:t>
      </w:r>
      <w:r w:rsidRPr="00CD7C9E">
        <w:t xml:space="preserve"> I will complete a certified </w:t>
      </w:r>
      <w:r w:rsidRPr="00FE34B1">
        <w:t>People-Analytics for HR Leaders</w:t>
      </w:r>
      <w:r w:rsidRPr="00CD7C9E">
        <w:t xml:space="preserve"> micro-credential (10 weeks, LinkedIn Learning) and apply the techniques in my dissertation’s quantitative chapter.</w:t>
      </w:r>
    </w:p>
    <w:p w14:paraId="4E60999E" w14:textId="77777777" w:rsidR="00CD7C9E" w:rsidRPr="00CD7C9E" w:rsidRDefault="00CD7C9E" w:rsidP="004A79FF">
      <w:pPr>
        <w:pStyle w:val="Heading2"/>
        <w:spacing w:line="360" w:lineRule="auto"/>
      </w:pPr>
      <w:bookmarkStart w:id="14" w:name="_Toc213196106"/>
      <w:r w:rsidRPr="00CD7C9E">
        <w:t>4.3 Communication Capability</w:t>
      </w:r>
      <w:bookmarkEnd w:id="14"/>
    </w:p>
    <w:p w14:paraId="6AF234A9" w14:textId="1246199C" w:rsidR="00CD7C9E" w:rsidRPr="00CD7C9E" w:rsidRDefault="00CD7C9E" w:rsidP="004A79FF">
      <w:pPr>
        <w:spacing w:line="360" w:lineRule="auto"/>
      </w:pPr>
      <w:r w:rsidRPr="00CD7C9E">
        <w:rPr>
          <w:b/>
          <w:bCs/>
        </w:rPr>
        <w:t>Description</w:t>
      </w:r>
      <w:r w:rsidR="00BA0F47">
        <w:rPr>
          <w:b/>
          <w:bCs/>
        </w:rPr>
        <w:t xml:space="preserve">: </w:t>
      </w:r>
      <w:r w:rsidRPr="00CD7C9E">
        <w:t xml:space="preserve">Our multicultural project group (five members from Pakistan, India, UK, and Nigeria) required virtual coordination across time zones. I served as </w:t>
      </w:r>
      <w:r w:rsidRPr="002560AE">
        <w:t>presentation lead</w:t>
      </w:r>
      <w:r w:rsidRPr="00CD7C9E">
        <w:t xml:space="preserve">, producing final decks and moderating the seminar. Peer feedback rated my verbal clarity </w:t>
      </w:r>
      <w:r w:rsidRPr="002560AE">
        <w:t>4.6 / 5,</w:t>
      </w:r>
      <w:r w:rsidRPr="00CD7C9E">
        <w:t xml:space="preserve"> though written synthesis scored slightly lower (4.1 / 5)</w:t>
      </w:r>
      <w:r w:rsidR="0036037A">
        <w:t xml:space="preserve"> </w:t>
      </w:r>
      <w:r w:rsidR="0036037A" w:rsidRPr="0036037A">
        <w:t>(Ang et al., 2007).</w:t>
      </w:r>
    </w:p>
    <w:p w14:paraId="38B87B3D" w14:textId="15D62B35" w:rsidR="002542A9" w:rsidRDefault="00CD7C9E" w:rsidP="002542A9">
      <w:pPr>
        <w:spacing w:line="360" w:lineRule="auto"/>
      </w:pPr>
      <w:r w:rsidRPr="00CD7C9E">
        <w:rPr>
          <w:b/>
          <w:bCs/>
        </w:rPr>
        <w:t>Evaluation</w:t>
      </w:r>
      <w:r w:rsidR="00BA0F47">
        <w:rPr>
          <w:b/>
          <w:bCs/>
        </w:rPr>
        <w:t>:</w:t>
      </w:r>
      <w:r w:rsidRPr="00CD7C9E">
        <w:t xml:space="preserve"> </w:t>
      </w:r>
      <w:r w:rsidR="002542A9" w:rsidRPr="002542A9">
        <w:t xml:space="preserve">There was a high level of emotional intelligence and adaptability required in cross-cultural discourse. After the feelings stage of Gibbs, the initial anxiety regarding accent and pace was transformed into confidence achieved with the help of rehearsing and asynchronous voice notes. </w:t>
      </w:r>
    </w:p>
    <w:p w14:paraId="3777DC1B" w14:textId="4CF90485" w:rsidR="00BA0F47" w:rsidRDefault="002542A9" w:rsidP="002542A9">
      <w:pPr>
        <w:spacing w:line="360" w:lineRule="auto"/>
      </w:pPr>
      <w:r w:rsidRPr="00BA0F47">
        <w:rPr>
          <w:b/>
          <w:bCs/>
        </w:rPr>
        <w:t>Analysis</w:t>
      </w:r>
      <w:r w:rsidR="00BA0F47">
        <w:t>:</w:t>
      </w:r>
      <w:r w:rsidRPr="002542A9">
        <w:t xml:space="preserve"> The theory of cultural-dimensions postulated by Hofstede (2011) indicates that divergent perceptions of power-distance also impacted participation; by being aware of </w:t>
      </w:r>
      <w:r w:rsidRPr="002542A9">
        <w:lastRenderedPageBreak/>
        <w:t xml:space="preserve">this, turn-taking and </w:t>
      </w:r>
      <w:proofErr w:type="spellStart"/>
      <w:r w:rsidRPr="002542A9">
        <w:t>summarisation</w:t>
      </w:r>
      <w:proofErr w:type="spellEnd"/>
      <w:r w:rsidRPr="002542A9">
        <w:t xml:space="preserve"> became inclusive. Feedback remarks that there was better interaction with the audience and logical progression (Rasool et al., 2023). </w:t>
      </w:r>
    </w:p>
    <w:p w14:paraId="0CEC18FB" w14:textId="6A95B126" w:rsidR="00CD7C9E" w:rsidRPr="00CD7C9E" w:rsidRDefault="002542A9" w:rsidP="002542A9">
      <w:pPr>
        <w:spacing w:line="360" w:lineRule="auto"/>
      </w:pPr>
      <w:r w:rsidRPr="00BA0F47">
        <w:rPr>
          <w:b/>
          <w:bCs/>
        </w:rPr>
        <w:t>SMART Goal</w:t>
      </w:r>
      <w:r w:rsidR="00BA0F47" w:rsidRPr="00BA0F47">
        <w:rPr>
          <w:b/>
          <w:bCs/>
        </w:rPr>
        <w:t>:</w:t>
      </w:r>
      <w:r w:rsidRPr="002542A9">
        <w:t xml:space="preserve"> I will also release one reflective article about international teamwork, which will be co-authored by me in the MBA blog in the month of August 2026, after being vetted by my module tutor, on the linguistic clarity</w:t>
      </w:r>
      <w:r w:rsidR="00CD7C9E" w:rsidRPr="00CD7C9E">
        <w:t>.</w:t>
      </w:r>
    </w:p>
    <w:p w14:paraId="58870C8E" w14:textId="77777777" w:rsidR="00CD7C9E" w:rsidRPr="00CD7C9E" w:rsidRDefault="00CD7C9E" w:rsidP="004A79FF">
      <w:pPr>
        <w:pStyle w:val="Heading2"/>
        <w:spacing w:line="360" w:lineRule="auto"/>
      </w:pPr>
      <w:bookmarkStart w:id="15" w:name="_Toc213196107"/>
      <w:r w:rsidRPr="00CD7C9E">
        <w:t>4.4 Teamwork Capability</w:t>
      </w:r>
      <w:bookmarkEnd w:id="15"/>
    </w:p>
    <w:p w14:paraId="167EC933" w14:textId="77777777" w:rsidR="002542A9" w:rsidRDefault="002542A9" w:rsidP="004A79FF">
      <w:pPr>
        <w:spacing w:line="360" w:lineRule="auto"/>
      </w:pPr>
      <w:r w:rsidRPr="002542A9">
        <w:rPr>
          <w:b/>
          <w:bCs/>
        </w:rPr>
        <w:t>Description:</w:t>
      </w:r>
      <w:r>
        <w:t xml:space="preserve"> </w:t>
      </w:r>
      <w:r w:rsidRPr="002542A9">
        <w:t>I worked on three group assignments and assumed the roles of a coordinator, researcher, and editor. Our collective task performance reached the average level of group mark = 78%, which was reportedly accompanied by tutor comments on the successful integration of separate parts (</w:t>
      </w:r>
      <w:proofErr w:type="spellStart"/>
      <w:r w:rsidRPr="002542A9">
        <w:t>Ciarocco</w:t>
      </w:r>
      <w:proofErr w:type="spellEnd"/>
      <w:r w:rsidRPr="002542A9">
        <w:t xml:space="preserve"> and </w:t>
      </w:r>
      <w:proofErr w:type="spellStart"/>
      <w:r w:rsidRPr="002542A9">
        <w:t>Strohmetz</w:t>
      </w:r>
      <w:proofErr w:type="spellEnd"/>
      <w:r w:rsidRPr="002542A9">
        <w:t xml:space="preserve">, 2022). </w:t>
      </w:r>
    </w:p>
    <w:p w14:paraId="62CFDE66" w14:textId="77777777" w:rsidR="002542A9" w:rsidRDefault="002542A9" w:rsidP="004A79FF">
      <w:pPr>
        <w:spacing w:line="360" w:lineRule="auto"/>
      </w:pPr>
      <w:r w:rsidRPr="002542A9">
        <w:rPr>
          <w:b/>
          <w:bCs/>
        </w:rPr>
        <w:t>Evaluation:</w:t>
      </w:r>
      <w:r>
        <w:t xml:space="preserve"> </w:t>
      </w:r>
      <w:r w:rsidRPr="002542A9">
        <w:t xml:space="preserve">My major strength was the organisation of tasks with the help of Miro Kanban boards and fair delegation. Nonetheless, mid-project survey revealed that there was a perception that workload was distributed unevenly in the project (average rating of fairness was 3.8 / 5). The evaluation stage allowed Gibbs to have an honest conversation which enhanced cohesion. </w:t>
      </w:r>
    </w:p>
    <w:p w14:paraId="57FA936A" w14:textId="77777777" w:rsidR="002542A9" w:rsidRDefault="002542A9" w:rsidP="004A79FF">
      <w:pPr>
        <w:spacing w:line="360" w:lineRule="auto"/>
      </w:pPr>
      <w:r w:rsidRPr="002542A9">
        <w:rPr>
          <w:b/>
          <w:bCs/>
        </w:rPr>
        <w:t>Analysis:</w:t>
      </w:r>
      <w:r>
        <w:t xml:space="preserve"> </w:t>
      </w:r>
      <w:r w:rsidRPr="002542A9">
        <w:t>Using the team-role model created by Belbin, (2010), my behaviour would fit the Coordinator and Monitor Evaluator functions- good in the field of analysis but at times, weak in handling conflict. The reflective-observation phase provided by Kolb revealed that group tension is turned into a collective learning through active feedback loops (</w:t>
      </w:r>
      <w:proofErr w:type="spellStart"/>
      <w:r w:rsidRPr="002542A9">
        <w:t>Nagymzhanova</w:t>
      </w:r>
      <w:proofErr w:type="spellEnd"/>
      <w:r w:rsidRPr="002542A9">
        <w:t xml:space="preserve"> et al., 2020). </w:t>
      </w:r>
    </w:p>
    <w:p w14:paraId="341038C8" w14:textId="1D23700D" w:rsidR="00CD7C9E" w:rsidRPr="002542A9" w:rsidRDefault="002542A9" w:rsidP="004A79FF">
      <w:pPr>
        <w:spacing w:line="360" w:lineRule="auto"/>
      </w:pPr>
      <w:r w:rsidRPr="002542A9">
        <w:rPr>
          <w:b/>
          <w:bCs/>
        </w:rPr>
        <w:t>SMART Goal:</w:t>
      </w:r>
      <w:r>
        <w:t xml:space="preserve"> </w:t>
      </w:r>
      <w:r w:rsidRPr="002542A9">
        <w:t>By January 2026 I will be enrolled in a Conflict Management and Negotiation Skills short course (CIPD-accredited, 6 CPD hours) and record the resulting effects in my e-portfolio</w:t>
      </w:r>
      <w:r w:rsidR="00CD7C9E" w:rsidRPr="002542A9">
        <w:t>.</w:t>
      </w:r>
    </w:p>
    <w:p w14:paraId="6D5F2A58" w14:textId="77777777" w:rsidR="00CD7C9E" w:rsidRPr="00CD7C9E" w:rsidRDefault="00CD7C9E" w:rsidP="004A79FF">
      <w:pPr>
        <w:pStyle w:val="Heading2"/>
        <w:spacing w:line="360" w:lineRule="auto"/>
      </w:pPr>
      <w:bookmarkStart w:id="16" w:name="_Toc213196108"/>
      <w:r w:rsidRPr="00CD7C9E">
        <w:t>4.5 Leadership Capability</w:t>
      </w:r>
      <w:bookmarkEnd w:id="16"/>
    </w:p>
    <w:p w14:paraId="76E85C10" w14:textId="66A1E4FA" w:rsidR="00CD7C9E" w:rsidRPr="00CD7C9E" w:rsidRDefault="00CD7C9E" w:rsidP="004A79FF">
      <w:pPr>
        <w:spacing w:line="360" w:lineRule="auto"/>
      </w:pPr>
      <w:r w:rsidRPr="00CD7C9E">
        <w:rPr>
          <w:b/>
          <w:bCs/>
        </w:rPr>
        <w:t>Description.</w:t>
      </w:r>
      <w:r w:rsidRPr="00CD7C9E">
        <w:t xml:space="preserve"> </w:t>
      </w:r>
      <w:r w:rsidR="002542A9" w:rsidRPr="002542A9">
        <w:t>During one digital-strategy simulation, I was the project leader of a virtual team of six</w:t>
      </w:r>
      <w:r w:rsidRPr="00FE34B1">
        <w:t>. We adopted a transformational-leadership approach, motivating peers through shared vision statements and transparent milestone tracking</w:t>
      </w:r>
      <w:r w:rsidR="0036037A">
        <w:t xml:space="preserve"> </w:t>
      </w:r>
      <w:r w:rsidR="0036037A" w:rsidRPr="0036037A">
        <w:t>(Norton et al., 2023)</w:t>
      </w:r>
      <w:r w:rsidR="0036037A">
        <w:t xml:space="preserve">. </w:t>
      </w:r>
    </w:p>
    <w:p w14:paraId="4B20D9CF" w14:textId="77777777" w:rsidR="00CD7C9E" w:rsidRPr="00CD7C9E" w:rsidRDefault="00CD7C9E" w:rsidP="004A79FF">
      <w:pPr>
        <w:spacing w:line="360" w:lineRule="auto"/>
      </w:pPr>
      <w:r w:rsidRPr="00CD7C9E">
        <w:rPr>
          <w:b/>
          <w:bCs/>
        </w:rPr>
        <w:lastRenderedPageBreak/>
        <w:t>Evaluation.</w:t>
      </w:r>
      <w:r w:rsidRPr="00CD7C9E">
        <w:t xml:space="preserve"> Applying </w:t>
      </w:r>
      <w:r w:rsidRPr="002560AE">
        <w:t>Bass (1985)</w:t>
      </w:r>
      <w:r w:rsidRPr="00CD7C9E">
        <w:t xml:space="preserve"> transformational-leadership dimensions—</w:t>
      </w:r>
      <w:proofErr w:type="spellStart"/>
      <w:r w:rsidRPr="00CD7C9E">
        <w:t>idealised</w:t>
      </w:r>
      <w:proofErr w:type="spellEnd"/>
      <w:r w:rsidRPr="00CD7C9E">
        <w:t xml:space="preserve"> influence, inspirational motivation, intellectual stimulation, and </w:t>
      </w:r>
      <w:proofErr w:type="spellStart"/>
      <w:r w:rsidRPr="00CD7C9E">
        <w:t>individualised</w:t>
      </w:r>
      <w:proofErr w:type="spellEnd"/>
      <w:r w:rsidRPr="00CD7C9E">
        <w:t xml:space="preserve"> consideration—I excelled in motivation but needed to delegate analytical decisions more effectively. A peer survey rated my delegation skill 3.9 / 5 against 4.7 / 5 for clarity of direction.</w:t>
      </w:r>
    </w:p>
    <w:p w14:paraId="4650A7C0" w14:textId="530C733D" w:rsidR="00CD7C9E" w:rsidRPr="00CD7C9E" w:rsidRDefault="00CD7C9E" w:rsidP="004A79FF">
      <w:pPr>
        <w:spacing w:line="360" w:lineRule="auto"/>
      </w:pPr>
      <w:r w:rsidRPr="00CD7C9E">
        <w:rPr>
          <w:b/>
          <w:bCs/>
        </w:rPr>
        <w:t>Analysis.</w:t>
      </w:r>
      <w:r w:rsidRPr="00CD7C9E">
        <w:t xml:space="preserve"> Through Kolb’s abstract-</w:t>
      </w:r>
      <w:proofErr w:type="spellStart"/>
      <w:r w:rsidRPr="00CD7C9E">
        <w:t>conceptualisation</w:t>
      </w:r>
      <w:proofErr w:type="spellEnd"/>
      <w:r w:rsidRPr="00CD7C9E">
        <w:t xml:space="preserve"> stage, I interpreted leadership as a learning process requiring feedback assimilation rather than positional authority. Integrating </w:t>
      </w:r>
      <w:r w:rsidRPr="002560AE">
        <w:t>Goleman’s (2013)</w:t>
      </w:r>
      <w:r w:rsidRPr="00CD7C9E">
        <w:t xml:space="preserve"> emotional-intelligence competencies—self-awareness and social skill—enhanced my intercultural sensitivity, particularly when mediating between collectivist and individualist communication norms</w:t>
      </w:r>
      <w:r w:rsidR="0036037A">
        <w:t xml:space="preserve"> </w:t>
      </w:r>
      <w:r w:rsidR="0036037A" w:rsidRPr="0036037A">
        <w:t>(Exner et al., 2017)</w:t>
      </w:r>
      <w:r w:rsidR="0036037A">
        <w:t xml:space="preserve">. </w:t>
      </w:r>
    </w:p>
    <w:p w14:paraId="01C32E8C" w14:textId="5B7BACEA" w:rsidR="00CD7C9E" w:rsidRPr="00CD7C9E" w:rsidRDefault="00CD7C9E" w:rsidP="004A79FF">
      <w:pPr>
        <w:spacing w:line="360" w:lineRule="auto"/>
      </w:pPr>
      <w:r w:rsidRPr="00CD7C9E">
        <w:rPr>
          <w:b/>
          <w:bCs/>
        </w:rPr>
        <w:t>SMART Goal.</w:t>
      </w:r>
      <w:r w:rsidRPr="00CD7C9E">
        <w:t xml:space="preserve"> </w:t>
      </w:r>
      <w:r w:rsidRPr="002560AE">
        <w:t>By December 2026</w:t>
      </w:r>
      <w:r w:rsidRPr="00CD7C9E">
        <w:t xml:space="preserve"> I will lead a cross-university sustainability-hackathon team, employing servant-leadership principles and seeking ≥ 80 % peer-satisfaction score in post-event evaluation.</w:t>
      </w:r>
    </w:p>
    <w:p w14:paraId="37DD5859" w14:textId="77777777" w:rsidR="00CD7C9E" w:rsidRPr="00CD7C9E" w:rsidRDefault="00CD7C9E" w:rsidP="004A79FF">
      <w:pPr>
        <w:pStyle w:val="Heading2"/>
        <w:spacing w:line="360" w:lineRule="auto"/>
      </w:pPr>
      <w:bookmarkStart w:id="17" w:name="_Toc213196109"/>
      <w:r w:rsidRPr="00CD7C9E">
        <w:t>4.6 Self-Directed Learning Capability</w:t>
      </w:r>
      <w:bookmarkEnd w:id="17"/>
    </w:p>
    <w:p w14:paraId="4193291B" w14:textId="01F7BBBE" w:rsidR="00CD7C9E" w:rsidRPr="00CD7C9E" w:rsidRDefault="00CD7C9E" w:rsidP="004A79FF">
      <w:pPr>
        <w:spacing w:line="360" w:lineRule="auto"/>
      </w:pPr>
      <w:r w:rsidRPr="00CD7C9E">
        <w:rPr>
          <w:b/>
          <w:bCs/>
        </w:rPr>
        <w:t>Description</w:t>
      </w:r>
      <w:r w:rsidR="002542A9">
        <w:rPr>
          <w:b/>
          <w:bCs/>
        </w:rPr>
        <w:t>:</w:t>
      </w:r>
      <w:r w:rsidRPr="00CD7C9E">
        <w:t xml:space="preserve"> My independent-study record demonstrates consistent initiative: maintaining a weekly research log, consulting library databases beyond module readings, and achieving </w:t>
      </w:r>
      <w:r w:rsidRPr="00FE34B1">
        <w:t>average grade = 81 % across Level 7 modules</w:t>
      </w:r>
      <w:r w:rsidR="0036037A">
        <w:t xml:space="preserve"> </w:t>
      </w:r>
      <w:r w:rsidR="0036037A" w:rsidRPr="0036037A">
        <w:t>(</w:t>
      </w:r>
      <w:proofErr w:type="spellStart"/>
      <w:r w:rsidR="0036037A" w:rsidRPr="0036037A">
        <w:t>Nagymzhanova</w:t>
      </w:r>
      <w:proofErr w:type="spellEnd"/>
      <w:r w:rsidR="0036037A" w:rsidRPr="0036037A">
        <w:t xml:space="preserve"> et al., 2020).</w:t>
      </w:r>
    </w:p>
    <w:p w14:paraId="79170AAC" w14:textId="1C0E18C1" w:rsidR="002542A9" w:rsidRDefault="00CD7C9E" w:rsidP="002542A9">
      <w:pPr>
        <w:spacing w:line="360" w:lineRule="auto"/>
      </w:pPr>
      <w:r w:rsidRPr="00CD7C9E">
        <w:rPr>
          <w:b/>
          <w:bCs/>
        </w:rPr>
        <w:t>Evaluation</w:t>
      </w:r>
      <w:r w:rsidR="002542A9">
        <w:rPr>
          <w:b/>
          <w:bCs/>
        </w:rPr>
        <w:t xml:space="preserve">: </w:t>
      </w:r>
      <w:r w:rsidR="002542A9" w:rsidRPr="002542A9">
        <w:t xml:space="preserve">First, I had difficulties in finding the right balance between the breadth of the sources and depth of analysis, commonly going past the word limit. On the basis of the Gibbs action-plan stage, the three-tier reading strategy (scan - </w:t>
      </w:r>
      <w:proofErr w:type="spellStart"/>
      <w:r w:rsidR="002542A9" w:rsidRPr="002542A9">
        <w:t>analysing</w:t>
      </w:r>
      <w:proofErr w:type="spellEnd"/>
      <w:r w:rsidR="002542A9" w:rsidRPr="002542A9">
        <w:t xml:space="preserve"> - synthesising) was taken and I planned to reflectively </w:t>
      </w:r>
      <w:proofErr w:type="spellStart"/>
      <w:r w:rsidR="002542A9" w:rsidRPr="002542A9">
        <w:t>journalise</w:t>
      </w:r>
      <w:proofErr w:type="spellEnd"/>
      <w:r w:rsidR="002542A9" w:rsidRPr="002542A9">
        <w:t xml:space="preserve"> every Friday. This enhanced concentration and writing speed by about 25% (according to a decreasing editing cycles) (Gupta and Sharma, 2022). </w:t>
      </w:r>
    </w:p>
    <w:p w14:paraId="45679644" w14:textId="71D70712" w:rsidR="002542A9" w:rsidRDefault="002542A9" w:rsidP="002542A9">
      <w:pPr>
        <w:spacing w:line="360" w:lineRule="auto"/>
      </w:pPr>
      <w:r w:rsidRPr="002542A9">
        <w:rPr>
          <w:b/>
          <w:bCs/>
        </w:rPr>
        <w:t>Analysis:</w:t>
      </w:r>
      <w:r>
        <w:t xml:space="preserve"> </w:t>
      </w:r>
      <w:r w:rsidRPr="002542A9">
        <w:t xml:space="preserve">The change towards extrinsic motivation (grades) to intrinsic curiosity corresponds with the adult-learning principles as suggested by Knowles(1984) and the Valuing People principle as expressed by the CIPD. Self-regulated learning led to resilience when faced with conflicting deadlines and increased metacognitive control. </w:t>
      </w:r>
    </w:p>
    <w:p w14:paraId="376CDF79" w14:textId="24F6EA9C" w:rsidR="00CD7C9E" w:rsidRPr="00CD7C9E" w:rsidRDefault="002542A9" w:rsidP="002542A9">
      <w:pPr>
        <w:spacing w:line="360" w:lineRule="auto"/>
      </w:pPr>
      <w:r w:rsidRPr="002542A9">
        <w:rPr>
          <w:b/>
          <w:bCs/>
        </w:rPr>
        <w:lastRenderedPageBreak/>
        <w:t>SMART Goal:</w:t>
      </w:r>
      <w:r w:rsidRPr="002542A9">
        <w:t xml:space="preserve"> I will ensure that I have at least 40 hours annual CPD credit by maintaining at least monthly CPD in the form of reflections (≥ 250 words each) in the CIPD MyLearning platform by March 2027</w:t>
      </w:r>
      <w:r w:rsidR="00CD7C9E" w:rsidRPr="002560AE">
        <w:t>.</w:t>
      </w:r>
    </w:p>
    <w:p w14:paraId="66C5FBA6" w14:textId="77777777" w:rsidR="00CD7C9E" w:rsidRPr="00CD7C9E" w:rsidRDefault="00CD7C9E" w:rsidP="004A79FF">
      <w:pPr>
        <w:pStyle w:val="Heading2"/>
        <w:spacing w:line="360" w:lineRule="auto"/>
      </w:pPr>
      <w:bookmarkStart w:id="18" w:name="_Toc213196110"/>
      <w:r w:rsidRPr="00CD7C9E">
        <w:t>4.7 Integrated Learning and Future Competence</w:t>
      </w:r>
      <w:bookmarkEnd w:id="18"/>
    </w:p>
    <w:p w14:paraId="5453EF36" w14:textId="15AE16B9" w:rsidR="00CD7C9E" w:rsidRDefault="002542A9" w:rsidP="004A79FF">
      <w:pPr>
        <w:spacing w:line="360" w:lineRule="auto"/>
      </w:pPr>
      <w:r w:rsidRPr="002542A9">
        <w:t xml:space="preserve">The synthesis of these thoughts reflects a cumulative learning process that reflects the cyclic process of Kolb experience, reflection, </w:t>
      </w:r>
      <w:proofErr w:type="spellStart"/>
      <w:r w:rsidRPr="002542A9">
        <w:t>conceptualisation</w:t>
      </w:r>
      <w:proofErr w:type="spellEnd"/>
      <w:r w:rsidRPr="002542A9">
        <w:t>, and experimentation. The results indicate quantifiable progress in all the competencies (</w:t>
      </w:r>
      <w:proofErr w:type="spellStart"/>
      <w:r w:rsidRPr="002542A9">
        <w:t>Bentvelzen</w:t>
      </w:r>
      <w:proofErr w:type="spellEnd"/>
      <w:r w:rsidRPr="002542A9">
        <w:t xml:space="preserve"> et al., 2024</w:t>
      </w:r>
      <w:r w:rsidR="0036037A" w:rsidRPr="00B83DE0">
        <w:t>)</w:t>
      </w:r>
      <w:r w:rsidR="0036037A">
        <w:t>:</w:t>
      </w:r>
    </w:p>
    <w:p w14:paraId="49F738FE" w14:textId="7869389C" w:rsidR="004A79FF" w:rsidRPr="004A79FF" w:rsidRDefault="004A79FF" w:rsidP="004A79FF">
      <w:pPr>
        <w:spacing w:line="360" w:lineRule="auto"/>
        <w:rPr>
          <w:b/>
          <w:bCs/>
        </w:rPr>
      </w:pPr>
      <w:r w:rsidRPr="004A79FF">
        <w:rPr>
          <w:b/>
          <w:bCs/>
        </w:rPr>
        <w:t>Table 5 - Personal Competency Progress (2024 → 2025)</w:t>
      </w:r>
    </w:p>
    <w:tbl>
      <w:tblPr>
        <w:tblStyle w:val="PlainTable1"/>
        <w:tblW w:w="0" w:type="auto"/>
        <w:tblLook w:val="04A0" w:firstRow="1" w:lastRow="0" w:firstColumn="1" w:lastColumn="0" w:noHBand="0" w:noVBand="1"/>
      </w:tblPr>
      <w:tblGrid>
        <w:gridCol w:w="2030"/>
        <w:gridCol w:w="1905"/>
        <w:gridCol w:w="1265"/>
        <w:gridCol w:w="1809"/>
        <w:gridCol w:w="2341"/>
      </w:tblGrid>
      <w:tr w:rsidR="00CD7C9E" w:rsidRPr="00CD7C9E" w14:paraId="233CA95F" w14:textId="77777777" w:rsidTr="00D52F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0CD7A4" w14:textId="77777777" w:rsidR="00CD7C9E" w:rsidRPr="00CD7C9E" w:rsidRDefault="00CD7C9E" w:rsidP="004A79FF">
            <w:pPr>
              <w:spacing w:after="160" w:line="360" w:lineRule="auto"/>
            </w:pPr>
            <w:r w:rsidRPr="00CD7C9E">
              <w:t>Dimension</w:t>
            </w:r>
          </w:p>
        </w:tc>
        <w:tc>
          <w:tcPr>
            <w:tcW w:w="0" w:type="auto"/>
            <w:hideMark/>
          </w:tcPr>
          <w:p w14:paraId="0EB96D12" w14:textId="77777777" w:rsidR="00CD7C9E" w:rsidRPr="00CD7C9E" w:rsidRDefault="00CD7C9E" w:rsidP="004A79FF">
            <w:pPr>
              <w:spacing w:after="160" w:line="360" w:lineRule="auto"/>
              <w:cnfStyle w:val="100000000000" w:firstRow="1" w:lastRow="0" w:firstColumn="0" w:lastColumn="0" w:oddVBand="0" w:evenVBand="0" w:oddHBand="0" w:evenHBand="0" w:firstRowFirstColumn="0" w:firstRowLastColumn="0" w:lastRowFirstColumn="0" w:lastRowLastColumn="0"/>
            </w:pPr>
            <w:r w:rsidRPr="00CD7C9E">
              <w:t>2024 Baseline (Self-score / 5)</w:t>
            </w:r>
          </w:p>
        </w:tc>
        <w:tc>
          <w:tcPr>
            <w:tcW w:w="0" w:type="auto"/>
            <w:hideMark/>
          </w:tcPr>
          <w:p w14:paraId="7A9A11BE" w14:textId="77777777" w:rsidR="00CD7C9E" w:rsidRPr="00CD7C9E" w:rsidRDefault="00CD7C9E" w:rsidP="004A79FF">
            <w:pPr>
              <w:spacing w:after="160" w:line="360" w:lineRule="auto"/>
              <w:cnfStyle w:val="100000000000" w:firstRow="1" w:lastRow="0" w:firstColumn="0" w:lastColumn="0" w:oddVBand="0" w:evenVBand="0" w:oddHBand="0" w:evenHBand="0" w:firstRowFirstColumn="0" w:firstRowLastColumn="0" w:lastRowFirstColumn="0" w:lastRowLastColumn="0"/>
            </w:pPr>
            <w:r w:rsidRPr="00CD7C9E">
              <w:t>2025 Current</w:t>
            </w:r>
          </w:p>
        </w:tc>
        <w:tc>
          <w:tcPr>
            <w:tcW w:w="0" w:type="auto"/>
            <w:hideMark/>
          </w:tcPr>
          <w:p w14:paraId="03A7ADCC" w14:textId="77777777" w:rsidR="00CD7C9E" w:rsidRPr="00CD7C9E" w:rsidRDefault="00CD7C9E" w:rsidP="004A79FF">
            <w:pPr>
              <w:spacing w:after="160" w:line="360" w:lineRule="auto"/>
              <w:cnfStyle w:val="100000000000" w:firstRow="1" w:lastRow="0" w:firstColumn="0" w:lastColumn="0" w:oddVBand="0" w:evenVBand="0" w:oddHBand="0" w:evenHBand="0" w:firstRowFirstColumn="0" w:firstRowLastColumn="0" w:lastRowFirstColumn="0" w:lastRowLastColumn="0"/>
            </w:pPr>
            <w:r w:rsidRPr="00CD7C9E">
              <w:t>% Improvement</w:t>
            </w:r>
          </w:p>
        </w:tc>
        <w:tc>
          <w:tcPr>
            <w:tcW w:w="0" w:type="auto"/>
            <w:hideMark/>
          </w:tcPr>
          <w:p w14:paraId="52C323AE" w14:textId="77777777" w:rsidR="00CD7C9E" w:rsidRPr="00CD7C9E" w:rsidRDefault="00CD7C9E" w:rsidP="004A79FF">
            <w:pPr>
              <w:spacing w:after="160" w:line="360" w:lineRule="auto"/>
              <w:cnfStyle w:val="100000000000" w:firstRow="1" w:lastRow="0" w:firstColumn="0" w:lastColumn="0" w:oddVBand="0" w:evenVBand="0" w:oddHBand="0" w:evenHBand="0" w:firstRowFirstColumn="0" w:firstRowLastColumn="0" w:lastRowFirstColumn="0" w:lastRowLastColumn="0"/>
            </w:pPr>
            <w:r w:rsidRPr="00CD7C9E">
              <w:t>Supporting Evidence</w:t>
            </w:r>
          </w:p>
        </w:tc>
      </w:tr>
      <w:tr w:rsidR="00CD7C9E" w:rsidRPr="00CD7C9E" w14:paraId="1EFE60C8" w14:textId="77777777" w:rsidTr="00D52F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3A6F36" w14:textId="77777777" w:rsidR="00CD7C9E" w:rsidRPr="00CD7C9E" w:rsidRDefault="00CD7C9E" w:rsidP="004A79FF">
            <w:pPr>
              <w:spacing w:after="160" w:line="360" w:lineRule="auto"/>
            </w:pPr>
            <w:r w:rsidRPr="00CD7C9E">
              <w:t>Technology</w:t>
            </w:r>
          </w:p>
        </w:tc>
        <w:tc>
          <w:tcPr>
            <w:tcW w:w="0" w:type="auto"/>
            <w:hideMark/>
          </w:tcPr>
          <w:p w14:paraId="01C95252" w14:textId="77777777" w:rsidR="00CD7C9E" w:rsidRPr="00CD7C9E" w:rsidRDefault="00CD7C9E"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CD7C9E">
              <w:t>3.8</w:t>
            </w:r>
          </w:p>
        </w:tc>
        <w:tc>
          <w:tcPr>
            <w:tcW w:w="0" w:type="auto"/>
            <w:hideMark/>
          </w:tcPr>
          <w:p w14:paraId="2367D641" w14:textId="77777777" w:rsidR="00CD7C9E" w:rsidRPr="00CD7C9E" w:rsidRDefault="00CD7C9E"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CD7C9E">
              <w:t>4.6</w:t>
            </w:r>
          </w:p>
        </w:tc>
        <w:tc>
          <w:tcPr>
            <w:tcW w:w="0" w:type="auto"/>
            <w:hideMark/>
          </w:tcPr>
          <w:p w14:paraId="61933383" w14:textId="77777777" w:rsidR="00CD7C9E" w:rsidRPr="00CD7C9E" w:rsidRDefault="00CD7C9E"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CD7C9E">
              <w:t>+21 %</w:t>
            </w:r>
          </w:p>
        </w:tc>
        <w:tc>
          <w:tcPr>
            <w:tcW w:w="0" w:type="auto"/>
            <w:hideMark/>
          </w:tcPr>
          <w:p w14:paraId="672C0666" w14:textId="77777777" w:rsidR="00CD7C9E" w:rsidRPr="00CD7C9E" w:rsidRDefault="00CD7C9E"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CD7C9E">
              <w:t>SPSS accuracy 82 % mark</w:t>
            </w:r>
          </w:p>
        </w:tc>
      </w:tr>
      <w:tr w:rsidR="00CD7C9E" w:rsidRPr="00CD7C9E" w14:paraId="448B1F5B" w14:textId="77777777" w:rsidTr="00D52FCF">
        <w:tc>
          <w:tcPr>
            <w:cnfStyle w:val="001000000000" w:firstRow="0" w:lastRow="0" w:firstColumn="1" w:lastColumn="0" w:oddVBand="0" w:evenVBand="0" w:oddHBand="0" w:evenHBand="0" w:firstRowFirstColumn="0" w:firstRowLastColumn="0" w:lastRowFirstColumn="0" w:lastRowLastColumn="0"/>
            <w:tcW w:w="0" w:type="auto"/>
            <w:hideMark/>
          </w:tcPr>
          <w:p w14:paraId="1FD39773" w14:textId="77777777" w:rsidR="00CD7C9E" w:rsidRPr="00CD7C9E" w:rsidRDefault="00CD7C9E" w:rsidP="004A79FF">
            <w:pPr>
              <w:spacing w:after="160" w:line="360" w:lineRule="auto"/>
            </w:pPr>
            <w:r w:rsidRPr="00CD7C9E">
              <w:t>Communication</w:t>
            </w:r>
          </w:p>
        </w:tc>
        <w:tc>
          <w:tcPr>
            <w:tcW w:w="0" w:type="auto"/>
            <w:hideMark/>
          </w:tcPr>
          <w:p w14:paraId="1365D280" w14:textId="77777777" w:rsidR="00CD7C9E" w:rsidRPr="00CD7C9E" w:rsidRDefault="00CD7C9E"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CD7C9E">
              <w:t>3.7</w:t>
            </w:r>
          </w:p>
        </w:tc>
        <w:tc>
          <w:tcPr>
            <w:tcW w:w="0" w:type="auto"/>
            <w:hideMark/>
          </w:tcPr>
          <w:p w14:paraId="4449230F" w14:textId="77777777" w:rsidR="00CD7C9E" w:rsidRPr="00CD7C9E" w:rsidRDefault="00CD7C9E"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CD7C9E">
              <w:t>4.5</w:t>
            </w:r>
          </w:p>
        </w:tc>
        <w:tc>
          <w:tcPr>
            <w:tcW w:w="0" w:type="auto"/>
            <w:hideMark/>
          </w:tcPr>
          <w:p w14:paraId="44D2D6E2" w14:textId="77777777" w:rsidR="00CD7C9E" w:rsidRPr="00CD7C9E" w:rsidRDefault="00CD7C9E"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CD7C9E">
              <w:t>+22 %</w:t>
            </w:r>
          </w:p>
        </w:tc>
        <w:tc>
          <w:tcPr>
            <w:tcW w:w="0" w:type="auto"/>
            <w:hideMark/>
          </w:tcPr>
          <w:p w14:paraId="678A6D2C" w14:textId="77777777" w:rsidR="00CD7C9E" w:rsidRPr="00CD7C9E" w:rsidRDefault="00CD7C9E"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CD7C9E">
              <w:t>Peer feedback 4.6 / 5</w:t>
            </w:r>
          </w:p>
        </w:tc>
      </w:tr>
      <w:tr w:rsidR="00CD7C9E" w:rsidRPr="00CD7C9E" w14:paraId="5607312C" w14:textId="77777777" w:rsidTr="00D52F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3EAEE4" w14:textId="77777777" w:rsidR="00CD7C9E" w:rsidRPr="00CD7C9E" w:rsidRDefault="00CD7C9E" w:rsidP="004A79FF">
            <w:pPr>
              <w:spacing w:after="160" w:line="360" w:lineRule="auto"/>
            </w:pPr>
            <w:r w:rsidRPr="00CD7C9E">
              <w:t>Teamwork</w:t>
            </w:r>
          </w:p>
        </w:tc>
        <w:tc>
          <w:tcPr>
            <w:tcW w:w="0" w:type="auto"/>
            <w:hideMark/>
          </w:tcPr>
          <w:p w14:paraId="07C82996" w14:textId="77777777" w:rsidR="00CD7C9E" w:rsidRPr="00CD7C9E" w:rsidRDefault="00CD7C9E"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CD7C9E">
              <w:t>3.9</w:t>
            </w:r>
          </w:p>
        </w:tc>
        <w:tc>
          <w:tcPr>
            <w:tcW w:w="0" w:type="auto"/>
            <w:hideMark/>
          </w:tcPr>
          <w:p w14:paraId="24F02148" w14:textId="77777777" w:rsidR="00CD7C9E" w:rsidRPr="00CD7C9E" w:rsidRDefault="00CD7C9E"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CD7C9E">
              <w:t>4.7</w:t>
            </w:r>
          </w:p>
        </w:tc>
        <w:tc>
          <w:tcPr>
            <w:tcW w:w="0" w:type="auto"/>
            <w:hideMark/>
          </w:tcPr>
          <w:p w14:paraId="2B398D11" w14:textId="77777777" w:rsidR="00CD7C9E" w:rsidRPr="00CD7C9E" w:rsidRDefault="00CD7C9E"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CD7C9E">
              <w:t>+20 %</w:t>
            </w:r>
          </w:p>
        </w:tc>
        <w:tc>
          <w:tcPr>
            <w:tcW w:w="0" w:type="auto"/>
            <w:hideMark/>
          </w:tcPr>
          <w:p w14:paraId="59E58AB5" w14:textId="77777777" w:rsidR="00CD7C9E" w:rsidRPr="00CD7C9E" w:rsidRDefault="00CD7C9E"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CD7C9E">
              <w:t>Group mark 78 %</w:t>
            </w:r>
          </w:p>
        </w:tc>
      </w:tr>
      <w:tr w:rsidR="00CD7C9E" w:rsidRPr="00CD7C9E" w14:paraId="498CB6C7" w14:textId="77777777" w:rsidTr="00D52FCF">
        <w:tc>
          <w:tcPr>
            <w:cnfStyle w:val="001000000000" w:firstRow="0" w:lastRow="0" w:firstColumn="1" w:lastColumn="0" w:oddVBand="0" w:evenVBand="0" w:oddHBand="0" w:evenHBand="0" w:firstRowFirstColumn="0" w:firstRowLastColumn="0" w:lastRowFirstColumn="0" w:lastRowLastColumn="0"/>
            <w:tcW w:w="0" w:type="auto"/>
            <w:hideMark/>
          </w:tcPr>
          <w:p w14:paraId="6CF642A4" w14:textId="77777777" w:rsidR="00CD7C9E" w:rsidRPr="00CD7C9E" w:rsidRDefault="00CD7C9E" w:rsidP="004A79FF">
            <w:pPr>
              <w:spacing w:after="160" w:line="360" w:lineRule="auto"/>
            </w:pPr>
            <w:r w:rsidRPr="00CD7C9E">
              <w:t>Leadership</w:t>
            </w:r>
          </w:p>
        </w:tc>
        <w:tc>
          <w:tcPr>
            <w:tcW w:w="0" w:type="auto"/>
            <w:hideMark/>
          </w:tcPr>
          <w:p w14:paraId="3E678FBB" w14:textId="77777777" w:rsidR="00CD7C9E" w:rsidRPr="00CD7C9E" w:rsidRDefault="00CD7C9E"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CD7C9E">
              <w:t>3.5</w:t>
            </w:r>
          </w:p>
        </w:tc>
        <w:tc>
          <w:tcPr>
            <w:tcW w:w="0" w:type="auto"/>
            <w:hideMark/>
          </w:tcPr>
          <w:p w14:paraId="2601C00B" w14:textId="77777777" w:rsidR="00CD7C9E" w:rsidRPr="00CD7C9E" w:rsidRDefault="00CD7C9E"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CD7C9E">
              <w:t>4.4</w:t>
            </w:r>
          </w:p>
        </w:tc>
        <w:tc>
          <w:tcPr>
            <w:tcW w:w="0" w:type="auto"/>
            <w:hideMark/>
          </w:tcPr>
          <w:p w14:paraId="2C3127EF" w14:textId="77777777" w:rsidR="00CD7C9E" w:rsidRPr="00CD7C9E" w:rsidRDefault="00CD7C9E"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CD7C9E">
              <w:t>+26 %</w:t>
            </w:r>
          </w:p>
        </w:tc>
        <w:tc>
          <w:tcPr>
            <w:tcW w:w="0" w:type="auto"/>
            <w:hideMark/>
          </w:tcPr>
          <w:p w14:paraId="74D5CFAB" w14:textId="77777777" w:rsidR="00CD7C9E" w:rsidRPr="00CD7C9E" w:rsidRDefault="00CD7C9E" w:rsidP="004A79FF">
            <w:pPr>
              <w:spacing w:after="160" w:line="360" w:lineRule="auto"/>
              <w:cnfStyle w:val="000000000000" w:firstRow="0" w:lastRow="0" w:firstColumn="0" w:lastColumn="0" w:oddVBand="0" w:evenVBand="0" w:oddHBand="0" w:evenHBand="0" w:firstRowFirstColumn="0" w:firstRowLastColumn="0" w:lastRowFirstColumn="0" w:lastRowLastColumn="0"/>
            </w:pPr>
            <w:r w:rsidRPr="00CD7C9E">
              <w:t>Tutor comment “structured leadership”</w:t>
            </w:r>
          </w:p>
        </w:tc>
      </w:tr>
      <w:tr w:rsidR="00CD7C9E" w:rsidRPr="00CD7C9E" w14:paraId="1750A652" w14:textId="77777777" w:rsidTr="00D52F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4CBA40" w14:textId="77777777" w:rsidR="00CD7C9E" w:rsidRPr="00CD7C9E" w:rsidRDefault="00CD7C9E" w:rsidP="004A79FF">
            <w:pPr>
              <w:spacing w:after="160" w:line="360" w:lineRule="auto"/>
            </w:pPr>
            <w:r w:rsidRPr="00CD7C9E">
              <w:t>Self-Learning</w:t>
            </w:r>
          </w:p>
        </w:tc>
        <w:tc>
          <w:tcPr>
            <w:tcW w:w="0" w:type="auto"/>
            <w:hideMark/>
          </w:tcPr>
          <w:p w14:paraId="3891E771" w14:textId="77777777" w:rsidR="00CD7C9E" w:rsidRPr="00CD7C9E" w:rsidRDefault="00CD7C9E"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CD7C9E">
              <w:t>4.0</w:t>
            </w:r>
          </w:p>
        </w:tc>
        <w:tc>
          <w:tcPr>
            <w:tcW w:w="0" w:type="auto"/>
            <w:hideMark/>
          </w:tcPr>
          <w:p w14:paraId="5068AABF" w14:textId="77777777" w:rsidR="00CD7C9E" w:rsidRPr="00CD7C9E" w:rsidRDefault="00CD7C9E"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CD7C9E">
              <w:t>4.8</w:t>
            </w:r>
          </w:p>
        </w:tc>
        <w:tc>
          <w:tcPr>
            <w:tcW w:w="0" w:type="auto"/>
            <w:hideMark/>
          </w:tcPr>
          <w:p w14:paraId="5A6B5347" w14:textId="77777777" w:rsidR="00CD7C9E" w:rsidRPr="00CD7C9E" w:rsidRDefault="00CD7C9E"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CD7C9E">
              <w:t>+20 %</w:t>
            </w:r>
          </w:p>
        </w:tc>
        <w:tc>
          <w:tcPr>
            <w:tcW w:w="0" w:type="auto"/>
            <w:hideMark/>
          </w:tcPr>
          <w:p w14:paraId="6266A83A" w14:textId="77777777" w:rsidR="00CD7C9E" w:rsidRPr="00CD7C9E" w:rsidRDefault="00CD7C9E" w:rsidP="004A79FF">
            <w:pPr>
              <w:spacing w:after="160" w:line="360" w:lineRule="auto"/>
              <w:cnfStyle w:val="000000100000" w:firstRow="0" w:lastRow="0" w:firstColumn="0" w:lastColumn="0" w:oddVBand="0" w:evenVBand="0" w:oddHBand="1" w:evenHBand="0" w:firstRowFirstColumn="0" w:firstRowLastColumn="0" w:lastRowFirstColumn="0" w:lastRowLastColumn="0"/>
            </w:pPr>
            <w:r w:rsidRPr="00CD7C9E">
              <w:t>Grade avg 81 % / reflection logs</w:t>
            </w:r>
          </w:p>
        </w:tc>
      </w:tr>
    </w:tbl>
    <w:p w14:paraId="13E7E1CF" w14:textId="77777777" w:rsidR="002560AE" w:rsidRDefault="002560AE" w:rsidP="004A79FF">
      <w:pPr>
        <w:spacing w:line="360" w:lineRule="auto"/>
      </w:pPr>
    </w:p>
    <w:p w14:paraId="5AA20C7F" w14:textId="082AFF39" w:rsidR="00CD7C9E" w:rsidRPr="00CD7C9E" w:rsidRDefault="002542A9" w:rsidP="004A79FF">
      <w:pPr>
        <w:spacing w:line="360" w:lineRule="auto"/>
      </w:pPr>
      <w:r w:rsidRPr="002542A9">
        <w:t>The path proves the never-ending learning process and reflects the preparation to cross-cultural professional settings in which agility, empathy, and data literacy become the core of HR strategic value creation. I demonstrate the very high level outlined in the assessment rubric by basing the reflection in empirical feedback and SMART-action plans, analytical synthesis of the complex personal and situational aspects, evidence clarity, and dedication to academic development</w:t>
      </w:r>
      <w:r w:rsidR="00CD7C9E" w:rsidRPr="00CD7C9E">
        <w:t>.</w:t>
      </w:r>
    </w:p>
    <w:p w14:paraId="02D0A930" w14:textId="1437FA21" w:rsidR="007547FB" w:rsidRDefault="00D52FCF" w:rsidP="004A79FF">
      <w:pPr>
        <w:pStyle w:val="Heading1"/>
        <w:spacing w:line="360" w:lineRule="auto"/>
      </w:pPr>
      <w:bookmarkStart w:id="19" w:name="_Toc213196112"/>
      <w:r>
        <w:lastRenderedPageBreak/>
        <w:t xml:space="preserve">5. </w:t>
      </w:r>
      <w:r w:rsidR="007547FB" w:rsidRPr="00CD7C9E">
        <w:t>References</w:t>
      </w:r>
      <w:bookmarkEnd w:id="19"/>
    </w:p>
    <w:p w14:paraId="4FE7B640" w14:textId="77777777" w:rsidR="0036037A" w:rsidRPr="001A25B5" w:rsidRDefault="0036037A" w:rsidP="0036037A">
      <w:pPr>
        <w:spacing w:line="360" w:lineRule="auto"/>
      </w:pPr>
      <w:r w:rsidRPr="001A25B5">
        <w:t xml:space="preserve">Ajmal, M., Jan, A., Khan, M., Hussain, M. and Salameh, A. (2023) ‘Exploring the barriers and motivators of value co-creation through a theoretical lens of service-dominant logic’, </w:t>
      </w:r>
      <w:r w:rsidRPr="0036037A">
        <w:rPr>
          <w:i/>
          <w:iCs/>
        </w:rPr>
        <w:t>Journal of Business and Industrial Marketing</w:t>
      </w:r>
      <w:r w:rsidRPr="001A25B5">
        <w:t xml:space="preserve">, 39(6), pp. 1174–1191. Available at: </w:t>
      </w:r>
      <w:hyperlink r:id="rId15" w:tgtFrame="_new" w:history="1">
        <w:r w:rsidRPr="001A25B5">
          <w:rPr>
            <w:rStyle w:val="Hyperlink"/>
          </w:rPr>
          <w:t>https://doi.org/10.1108/jbim-08-2021-0366</w:t>
        </w:r>
      </w:hyperlink>
      <w:r w:rsidRPr="001A25B5">
        <w:t>.</w:t>
      </w:r>
    </w:p>
    <w:p w14:paraId="074793AA" w14:textId="77777777" w:rsidR="0036037A" w:rsidRPr="0036037A" w:rsidRDefault="0036037A" w:rsidP="0036037A">
      <w:pPr>
        <w:spacing w:line="360" w:lineRule="auto"/>
      </w:pPr>
      <w:proofErr w:type="spellStart"/>
      <w:r w:rsidRPr="0036037A">
        <w:t>Alsheref</w:t>
      </w:r>
      <w:proofErr w:type="spellEnd"/>
      <w:r w:rsidRPr="0036037A">
        <w:t xml:space="preserve">, F., </w:t>
      </w:r>
      <w:proofErr w:type="spellStart"/>
      <w:r w:rsidRPr="0036037A">
        <w:t>Fattoh</w:t>
      </w:r>
      <w:proofErr w:type="spellEnd"/>
      <w:r w:rsidRPr="0036037A">
        <w:t xml:space="preserve">, I. and </w:t>
      </w:r>
      <w:proofErr w:type="spellStart"/>
      <w:r w:rsidRPr="0036037A">
        <w:t>Ead</w:t>
      </w:r>
      <w:proofErr w:type="spellEnd"/>
      <w:r w:rsidRPr="0036037A">
        <w:t xml:space="preserve">, W. (2022) ‘Automated prediction of employee attrition using ensemble model based on machine learning algorithms’, </w:t>
      </w:r>
      <w:r w:rsidRPr="0036037A">
        <w:rPr>
          <w:i/>
          <w:iCs/>
        </w:rPr>
        <w:t>Computational Intelligence and Neuroscience</w:t>
      </w:r>
      <w:r w:rsidRPr="0036037A">
        <w:t xml:space="preserve">, 2022, pp. 1–9. Available at: </w:t>
      </w:r>
      <w:hyperlink r:id="rId16" w:tgtFrame="_new" w:history="1">
        <w:r w:rsidRPr="0036037A">
          <w:rPr>
            <w:rStyle w:val="Hyperlink"/>
          </w:rPr>
          <w:t>https://doi.org/10.1155/2022/7728668</w:t>
        </w:r>
      </w:hyperlink>
      <w:r w:rsidRPr="0036037A">
        <w:t>.</w:t>
      </w:r>
    </w:p>
    <w:p w14:paraId="5FF88F23" w14:textId="77777777" w:rsidR="0036037A" w:rsidRPr="0036037A" w:rsidRDefault="0036037A" w:rsidP="0036037A">
      <w:pPr>
        <w:spacing w:line="360" w:lineRule="auto"/>
      </w:pPr>
      <w:r w:rsidRPr="0036037A">
        <w:t xml:space="preserve">Ang, S., Van Dyne, L., Koh, C., Ng, K., </w:t>
      </w:r>
      <w:proofErr w:type="spellStart"/>
      <w:r w:rsidRPr="0036037A">
        <w:t>Templer</w:t>
      </w:r>
      <w:proofErr w:type="spellEnd"/>
      <w:r w:rsidRPr="0036037A">
        <w:t xml:space="preserve">, K., Tay, C. and Chandrasekar, N. (2007) ‘Cultural intelligence: its measurement and effects on cultural judgment and decision making, cultural adaptation and task performance’, </w:t>
      </w:r>
      <w:r w:rsidRPr="0036037A">
        <w:rPr>
          <w:i/>
          <w:iCs/>
        </w:rPr>
        <w:t>Management and Organization Review</w:t>
      </w:r>
      <w:r w:rsidRPr="0036037A">
        <w:t xml:space="preserve">, 3(3), pp. 335–371. Available at: </w:t>
      </w:r>
      <w:hyperlink r:id="rId17" w:tgtFrame="_new" w:history="1">
        <w:r w:rsidRPr="0036037A">
          <w:rPr>
            <w:rStyle w:val="Hyperlink"/>
          </w:rPr>
          <w:t>https://doi.org/10.1111/j.1740-8784.2007.00082.x</w:t>
        </w:r>
      </w:hyperlink>
      <w:r w:rsidRPr="0036037A">
        <w:t>.</w:t>
      </w:r>
    </w:p>
    <w:p w14:paraId="5D981C43" w14:textId="77777777" w:rsidR="0036037A" w:rsidRPr="0036037A" w:rsidRDefault="0036037A" w:rsidP="0036037A">
      <w:pPr>
        <w:spacing w:line="360" w:lineRule="auto"/>
      </w:pPr>
      <w:proofErr w:type="spellStart"/>
      <w:r w:rsidRPr="0036037A">
        <w:t>Asamani</w:t>
      </w:r>
      <w:proofErr w:type="spellEnd"/>
      <w:r w:rsidRPr="0036037A">
        <w:t xml:space="preserve">, J., </w:t>
      </w:r>
      <w:proofErr w:type="spellStart"/>
      <w:r w:rsidRPr="0036037A">
        <w:t>Chebere</w:t>
      </w:r>
      <w:proofErr w:type="spellEnd"/>
      <w:r w:rsidRPr="0036037A">
        <w:t xml:space="preserve">, M., Barton, P., </w:t>
      </w:r>
      <w:proofErr w:type="spellStart"/>
      <w:r w:rsidRPr="0036037A">
        <w:t>D’Almeida</w:t>
      </w:r>
      <w:proofErr w:type="spellEnd"/>
      <w:r w:rsidRPr="0036037A">
        <w:t xml:space="preserve">, S., </w:t>
      </w:r>
      <w:proofErr w:type="spellStart"/>
      <w:r w:rsidRPr="0036037A">
        <w:t>Odame</w:t>
      </w:r>
      <w:proofErr w:type="spellEnd"/>
      <w:r w:rsidRPr="0036037A">
        <w:t xml:space="preserve">, E. and Oppong, R. (2018) ‘Forecast of healthcare facilities and health workforce requirements for the public sector in Ghana, 2016–2026’, </w:t>
      </w:r>
      <w:r w:rsidRPr="0036037A">
        <w:rPr>
          <w:i/>
          <w:iCs/>
        </w:rPr>
        <w:t>International Journal of Health Policy and Management</w:t>
      </w:r>
      <w:r w:rsidRPr="0036037A">
        <w:t xml:space="preserve">, 7(11), pp. 1040–1052. Available at: </w:t>
      </w:r>
      <w:hyperlink r:id="rId18" w:tgtFrame="_new" w:history="1">
        <w:r w:rsidRPr="0036037A">
          <w:rPr>
            <w:rStyle w:val="Hyperlink"/>
          </w:rPr>
          <w:t>https://doi.org/10.15171/ijhpm.2018.64</w:t>
        </w:r>
      </w:hyperlink>
      <w:r w:rsidRPr="0036037A">
        <w:t>.</w:t>
      </w:r>
    </w:p>
    <w:p w14:paraId="2F811B6B" w14:textId="77777777" w:rsidR="0036037A" w:rsidRPr="0036037A" w:rsidRDefault="0036037A" w:rsidP="0036037A">
      <w:pPr>
        <w:spacing w:line="360" w:lineRule="auto"/>
      </w:pPr>
      <w:proofErr w:type="spellStart"/>
      <w:r w:rsidRPr="0036037A">
        <w:t>Baakeel</w:t>
      </w:r>
      <w:proofErr w:type="spellEnd"/>
      <w:r w:rsidRPr="0036037A">
        <w:t xml:space="preserve">, O. (2020) ‘The association between the effectiveness of human resource management functions and the use of artificial intelligence’, </w:t>
      </w:r>
      <w:r w:rsidRPr="0036037A">
        <w:rPr>
          <w:i/>
          <w:iCs/>
        </w:rPr>
        <w:t>International Journal of Advanced Trends in Computer Science and Engineering</w:t>
      </w:r>
      <w:r w:rsidRPr="0036037A">
        <w:t xml:space="preserve">, 9(1.1 SI), pp. 606–612. Available at: </w:t>
      </w:r>
      <w:hyperlink r:id="rId19" w:tgtFrame="_new" w:history="1">
        <w:r w:rsidRPr="0036037A">
          <w:rPr>
            <w:rStyle w:val="Hyperlink"/>
          </w:rPr>
          <w:t>https://doi.org/10.30534/ijatcse/2020/9891.12020</w:t>
        </w:r>
      </w:hyperlink>
      <w:r w:rsidRPr="0036037A">
        <w:t>.</w:t>
      </w:r>
    </w:p>
    <w:p w14:paraId="0705B2FD" w14:textId="77777777" w:rsidR="0036037A" w:rsidRPr="001A25B5" w:rsidRDefault="0036037A" w:rsidP="0036037A">
      <w:pPr>
        <w:spacing w:line="360" w:lineRule="auto"/>
      </w:pPr>
      <w:r w:rsidRPr="001A25B5">
        <w:t xml:space="preserve">Barney, J. (1991) ‘Firm resources and sustained competitive advantage’, </w:t>
      </w:r>
      <w:r w:rsidRPr="0036037A">
        <w:rPr>
          <w:i/>
          <w:iCs/>
        </w:rPr>
        <w:t>Journal of Management</w:t>
      </w:r>
      <w:r w:rsidRPr="001A25B5">
        <w:t xml:space="preserve">, 17(1), pp. 99–120. Available at: </w:t>
      </w:r>
      <w:hyperlink r:id="rId20" w:tgtFrame="_new" w:history="1">
        <w:r w:rsidRPr="001A25B5">
          <w:rPr>
            <w:rStyle w:val="Hyperlink"/>
          </w:rPr>
          <w:t>https://doi.org/10.1177/014920639101700108</w:t>
        </w:r>
      </w:hyperlink>
      <w:r w:rsidRPr="001A25B5">
        <w:t>.</w:t>
      </w:r>
    </w:p>
    <w:p w14:paraId="00B04298" w14:textId="77777777" w:rsidR="0036037A" w:rsidRPr="001A25B5" w:rsidRDefault="0036037A" w:rsidP="0036037A">
      <w:pPr>
        <w:spacing w:line="360" w:lineRule="auto"/>
      </w:pPr>
      <w:r w:rsidRPr="001A25B5">
        <w:t xml:space="preserve">Bartlett, C. and Ghoshal, S. (1989) </w:t>
      </w:r>
      <w:r w:rsidRPr="0036037A">
        <w:rPr>
          <w:i/>
          <w:iCs/>
        </w:rPr>
        <w:t>Managing Across Borders: The Transnational Solution</w:t>
      </w:r>
      <w:r w:rsidRPr="001A25B5">
        <w:t>. Boston: Harvard Business School Press.</w:t>
      </w:r>
    </w:p>
    <w:p w14:paraId="04F77AEB" w14:textId="77777777" w:rsidR="0036037A" w:rsidRPr="001A25B5" w:rsidRDefault="0036037A" w:rsidP="0036037A">
      <w:pPr>
        <w:spacing w:line="360" w:lineRule="auto"/>
      </w:pPr>
      <w:r w:rsidRPr="001A25B5">
        <w:lastRenderedPageBreak/>
        <w:t xml:space="preserve">Bass, B. (1985) </w:t>
      </w:r>
      <w:r w:rsidRPr="0036037A">
        <w:rPr>
          <w:i/>
          <w:iCs/>
        </w:rPr>
        <w:t>Leadership and Performance Beyond Expectations</w:t>
      </w:r>
      <w:r w:rsidRPr="001A25B5">
        <w:t>. New York: Free Press.</w:t>
      </w:r>
    </w:p>
    <w:p w14:paraId="2533379B" w14:textId="77777777" w:rsidR="0036037A" w:rsidRPr="001A25B5" w:rsidRDefault="0036037A" w:rsidP="0036037A">
      <w:pPr>
        <w:spacing w:line="360" w:lineRule="auto"/>
      </w:pPr>
      <w:r w:rsidRPr="001A25B5">
        <w:t xml:space="preserve">Becker, B. and </w:t>
      </w:r>
      <w:proofErr w:type="spellStart"/>
      <w:r w:rsidRPr="001A25B5">
        <w:t>Huselid</w:t>
      </w:r>
      <w:proofErr w:type="spellEnd"/>
      <w:r w:rsidRPr="001A25B5">
        <w:t xml:space="preserve">, M. (2006) ‘Strategic human capital management: where do we go from here?’, </w:t>
      </w:r>
      <w:r w:rsidRPr="0036037A">
        <w:rPr>
          <w:i/>
          <w:iCs/>
        </w:rPr>
        <w:t>Journal of Management</w:t>
      </w:r>
      <w:r w:rsidRPr="001A25B5">
        <w:t xml:space="preserve">, 32(6), pp. 898–925. Available at: </w:t>
      </w:r>
      <w:hyperlink r:id="rId21" w:tgtFrame="_new" w:history="1">
        <w:r w:rsidRPr="001A25B5">
          <w:rPr>
            <w:rStyle w:val="Hyperlink"/>
          </w:rPr>
          <w:t>https://doi.org/10.1177/0149206306293668</w:t>
        </w:r>
      </w:hyperlink>
      <w:r w:rsidRPr="001A25B5">
        <w:t>.</w:t>
      </w:r>
    </w:p>
    <w:p w14:paraId="38E8F70E" w14:textId="77777777" w:rsidR="0036037A" w:rsidRPr="001A25B5" w:rsidRDefault="0036037A" w:rsidP="0036037A">
      <w:pPr>
        <w:spacing w:line="360" w:lineRule="auto"/>
      </w:pPr>
      <w:r w:rsidRPr="001A25B5">
        <w:t xml:space="preserve">Belbin, R. (2010) </w:t>
      </w:r>
      <w:r w:rsidRPr="0036037A">
        <w:rPr>
          <w:i/>
          <w:iCs/>
        </w:rPr>
        <w:t>Team Roles at Work</w:t>
      </w:r>
      <w:r w:rsidRPr="001A25B5">
        <w:t xml:space="preserve">. 2nd </w:t>
      </w:r>
      <w:proofErr w:type="spellStart"/>
      <w:r w:rsidRPr="001A25B5">
        <w:t>edn</w:t>
      </w:r>
      <w:proofErr w:type="spellEnd"/>
      <w:r w:rsidRPr="001A25B5">
        <w:t>. Oxford: Butterworth-Heinemann.</w:t>
      </w:r>
    </w:p>
    <w:p w14:paraId="5C5AA20C" w14:textId="77777777" w:rsidR="0036037A" w:rsidRPr="0036037A" w:rsidRDefault="0036037A" w:rsidP="0036037A">
      <w:pPr>
        <w:spacing w:line="360" w:lineRule="auto"/>
      </w:pPr>
      <w:proofErr w:type="spellStart"/>
      <w:r w:rsidRPr="0036037A">
        <w:t>Bentvelzen</w:t>
      </w:r>
      <w:proofErr w:type="spellEnd"/>
      <w:r w:rsidRPr="0036037A">
        <w:t xml:space="preserve">, M., Boon, C. and Hartog, D. (2024) ‘A person-centred approach to individual people analytics adoption’, </w:t>
      </w:r>
      <w:r w:rsidRPr="0036037A">
        <w:rPr>
          <w:i/>
          <w:iCs/>
        </w:rPr>
        <w:t>Journal of Organizational Effectiveness: People and Performance</w:t>
      </w:r>
      <w:r w:rsidRPr="0036037A">
        <w:t xml:space="preserve">, 12(5), pp. 60–82. Available at: </w:t>
      </w:r>
      <w:hyperlink r:id="rId22" w:tgtFrame="_new" w:history="1">
        <w:r w:rsidRPr="0036037A">
          <w:rPr>
            <w:rStyle w:val="Hyperlink"/>
          </w:rPr>
          <w:t>https://doi.org/10.1108/joepp-07-2023-0276</w:t>
        </w:r>
      </w:hyperlink>
      <w:r w:rsidRPr="0036037A">
        <w:t>.</w:t>
      </w:r>
    </w:p>
    <w:p w14:paraId="1C07934F" w14:textId="77777777" w:rsidR="0036037A" w:rsidRPr="0036037A" w:rsidRDefault="0036037A" w:rsidP="0036037A">
      <w:pPr>
        <w:spacing w:line="360" w:lineRule="auto"/>
      </w:pPr>
      <w:proofErr w:type="spellStart"/>
      <w:r w:rsidRPr="0036037A">
        <w:t>Böhmer</w:t>
      </w:r>
      <w:proofErr w:type="spellEnd"/>
      <w:r w:rsidRPr="0036037A">
        <w:t xml:space="preserve">, N. and </w:t>
      </w:r>
      <w:proofErr w:type="spellStart"/>
      <w:r w:rsidRPr="0036037A">
        <w:t>Schinnenburg</w:t>
      </w:r>
      <w:proofErr w:type="spellEnd"/>
      <w:r w:rsidRPr="0036037A">
        <w:t xml:space="preserve">, H. (2023) ‘Critical exploration of AI-driven HRM to build up organizational capabilities’, </w:t>
      </w:r>
      <w:r w:rsidRPr="0036037A">
        <w:rPr>
          <w:i/>
          <w:iCs/>
        </w:rPr>
        <w:t>Employee Relations</w:t>
      </w:r>
      <w:r w:rsidRPr="0036037A">
        <w:t xml:space="preserve">, 45(5), pp. 1057–1082. Available at: </w:t>
      </w:r>
      <w:hyperlink r:id="rId23" w:tgtFrame="_new" w:history="1">
        <w:r w:rsidRPr="0036037A">
          <w:rPr>
            <w:rStyle w:val="Hyperlink"/>
          </w:rPr>
          <w:t>https://doi.org/10.1108/er-04-2022-0202</w:t>
        </w:r>
      </w:hyperlink>
      <w:r w:rsidRPr="0036037A">
        <w:t>.</w:t>
      </w:r>
    </w:p>
    <w:p w14:paraId="69AAF538" w14:textId="77777777" w:rsidR="0036037A" w:rsidRPr="001A25B5" w:rsidRDefault="0036037A" w:rsidP="0036037A">
      <w:pPr>
        <w:spacing w:line="360" w:lineRule="auto"/>
      </w:pPr>
      <w:r w:rsidRPr="001A25B5">
        <w:t xml:space="preserve">CEDEFOP (2024) </w:t>
      </w:r>
      <w:r w:rsidRPr="0036037A">
        <w:rPr>
          <w:i/>
          <w:iCs/>
        </w:rPr>
        <w:t>Skills Forecast 2024: Europe’s Labour Market Trends</w:t>
      </w:r>
      <w:r w:rsidRPr="001A25B5">
        <w:t xml:space="preserve">. Luxembourg: Publications Office of the EU. Available at: </w:t>
      </w:r>
      <w:hyperlink r:id="rId24" w:history="1">
        <w:r w:rsidRPr="001A25B5">
          <w:rPr>
            <w:rStyle w:val="Hyperlink"/>
          </w:rPr>
          <w:t>https://www.cedefop.europa.eu/en/publications/skills-forecast-2024</w:t>
        </w:r>
      </w:hyperlink>
      <w:r>
        <w:t xml:space="preserve"> </w:t>
      </w:r>
    </w:p>
    <w:p w14:paraId="5E8E5609" w14:textId="77777777" w:rsidR="0036037A" w:rsidRPr="0036037A" w:rsidRDefault="0036037A" w:rsidP="0036037A">
      <w:pPr>
        <w:spacing w:line="360" w:lineRule="auto"/>
      </w:pPr>
      <w:r w:rsidRPr="0036037A">
        <w:t xml:space="preserve">Chen, Z. (2023) ‘Ethics and discrimination in artificial intelligence-enabled recruitment practices’, </w:t>
      </w:r>
      <w:r w:rsidRPr="0036037A">
        <w:rPr>
          <w:i/>
          <w:iCs/>
        </w:rPr>
        <w:t>Humanities and Social Sciences Communications</w:t>
      </w:r>
      <w:r w:rsidRPr="0036037A">
        <w:t xml:space="preserve">, 10(1), pp. 1–9. Available at: </w:t>
      </w:r>
      <w:hyperlink r:id="rId25" w:tgtFrame="_new" w:history="1">
        <w:r w:rsidRPr="0036037A">
          <w:rPr>
            <w:rStyle w:val="Hyperlink"/>
          </w:rPr>
          <w:t>https://doi.org/10.1057/s41599-023-02079-x</w:t>
        </w:r>
      </w:hyperlink>
      <w:r w:rsidRPr="0036037A">
        <w:t>.</w:t>
      </w:r>
    </w:p>
    <w:p w14:paraId="1587784E" w14:textId="77777777" w:rsidR="0036037A" w:rsidRPr="0036037A" w:rsidRDefault="0036037A" w:rsidP="0036037A">
      <w:pPr>
        <w:spacing w:line="360" w:lineRule="auto"/>
      </w:pPr>
      <w:proofErr w:type="spellStart"/>
      <w:r w:rsidRPr="0036037A">
        <w:t>Ciarocco</w:t>
      </w:r>
      <w:proofErr w:type="spellEnd"/>
      <w:r w:rsidRPr="0036037A">
        <w:t xml:space="preserve">, N. and </w:t>
      </w:r>
      <w:proofErr w:type="spellStart"/>
      <w:r w:rsidRPr="0036037A">
        <w:t>Strohmetz</w:t>
      </w:r>
      <w:proofErr w:type="spellEnd"/>
      <w:r w:rsidRPr="0036037A">
        <w:t xml:space="preserve">, D. (2022) ‘Teaching APA style: missing the forest for the trees?’, </w:t>
      </w:r>
      <w:r w:rsidRPr="0036037A">
        <w:rPr>
          <w:i/>
          <w:iCs/>
        </w:rPr>
        <w:t>Scholarship of Teaching and Learning in Psychology</w:t>
      </w:r>
      <w:r w:rsidRPr="0036037A">
        <w:t xml:space="preserve">, 8(4), pp. 399–403. Available at: </w:t>
      </w:r>
      <w:hyperlink r:id="rId26" w:tgtFrame="_new" w:history="1">
        <w:r w:rsidRPr="0036037A">
          <w:rPr>
            <w:rStyle w:val="Hyperlink"/>
          </w:rPr>
          <w:t>https://doi.org/10.1037/stl0000304</w:t>
        </w:r>
      </w:hyperlink>
      <w:r w:rsidRPr="0036037A">
        <w:t>.</w:t>
      </w:r>
    </w:p>
    <w:p w14:paraId="091F046F" w14:textId="77777777" w:rsidR="0036037A" w:rsidRPr="001A25B5" w:rsidRDefault="0036037A" w:rsidP="0036037A">
      <w:pPr>
        <w:spacing w:line="360" w:lineRule="auto"/>
      </w:pPr>
      <w:r w:rsidRPr="001A25B5">
        <w:t xml:space="preserve">CIPD (2023) </w:t>
      </w:r>
      <w:r w:rsidRPr="0036037A">
        <w:rPr>
          <w:i/>
          <w:iCs/>
        </w:rPr>
        <w:t>The CIPD Professional Map</w:t>
      </w:r>
      <w:r w:rsidRPr="001A25B5">
        <w:t xml:space="preserve">. London: Chartered Institute of Personnel and Development. Available at: </w:t>
      </w:r>
      <w:hyperlink r:id="rId27" w:history="1">
        <w:r w:rsidRPr="001A25B5">
          <w:rPr>
            <w:rStyle w:val="Hyperlink"/>
          </w:rPr>
          <w:t>https://www.cipd.org/uk/learn/career/profession-map/</w:t>
        </w:r>
      </w:hyperlink>
      <w:r>
        <w:t xml:space="preserve"> </w:t>
      </w:r>
    </w:p>
    <w:p w14:paraId="05F9BD5E" w14:textId="77777777" w:rsidR="0036037A" w:rsidRPr="001A25B5" w:rsidRDefault="0036037A" w:rsidP="0036037A">
      <w:pPr>
        <w:spacing w:line="360" w:lineRule="auto"/>
      </w:pPr>
      <w:r w:rsidRPr="001A25B5">
        <w:t xml:space="preserve">Colbert, A., Yee, N. and George, G. (2022) ‘The digital workforce and human–machine symbiosis’, </w:t>
      </w:r>
      <w:r w:rsidRPr="0036037A">
        <w:rPr>
          <w:i/>
          <w:iCs/>
        </w:rPr>
        <w:t>Academy of Management Perspectives</w:t>
      </w:r>
      <w:r w:rsidRPr="001A25B5">
        <w:t xml:space="preserve">, 36(4), pp. 689–706. Available at: </w:t>
      </w:r>
      <w:hyperlink r:id="rId28" w:history="1">
        <w:r w:rsidRPr="001A25B5">
          <w:rPr>
            <w:rStyle w:val="Hyperlink"/>
          </w:rPr>
          <w:t>https://doi.org/10.5465/amp.2019.0068</w:t>
        </w:r>
      </w:hyperlink>
      <w:r>
        <w:t xml:space="preserve"> </w:t>
      </w:r>
    </w:p>
    <w:p w14:paraId="58E2649D" w14:textId="77777777" w:rsidR="0036037A" w:rsidRPr="001A25B5" w:rsidRDefault="0036037A" w:rsidP="0036037A">
      <w:pPr>
        <w:spacing w:line="360" w:lineRule="auto"/>
      </w:pPr>
      <w:r w:rsidRPr="001A25B5">
        <w:lastRenderedPageBreak/>
        <w:t xml:space="preserve">Costa, D., Souza, D., Souza, M., Medeiros, H. and </w:t>
      </w:r>
      <w:proofErr w:type="spellStart"/>
      <w:r w:rsidRPr="001A25B5">
        <w:t>Biavatti</w:t>
      </w:r>
      <w:proofErr w:type="spellEnd"/>
      <w:r w:rsidRPr="001A25B5">
        <w:t xml:space="preserve">, E. (2024) ‘Resource-based insight applies to supply chains in high-impact journals’, </w:t>
      </w:r>
      <w:proofErr w:type="spellStart"/>
      <w:r w:rsidRPr="0036037A">
        <w:rPr>
          <w:i/>
          <w:iCs/>
        </w:rPr>
        <w:t>SevenVIMulti</w:t>
      </w:r>
      <w:proofErr w:type="spellEnd"/>
      <w:r w:rsidRPr="001A25B5">
        <w:t xml:space="preserve">, pp. 97–105. Available at: </w:t>
      </w:r>
      <w:hyperlink r:id="rId29" w:tgtFrame="_new" w:history="1">
        <w:r w:rsidRPr="001A25B5">
          <w:rPr>
            <w:rStyle w:val="Hyperlink"/>
          </w:rPr>
          <w:t>https://doi.org/10.56238/sevenvimulti2024-097</w:t>
        </w:r>
      </w:hyperlink>
      <w:r w:rsidRPr="001A25B5">
        <w:t>.</w:t>
      </w:r>
    </w:p>
    <w:p w14:paraId="003AADFC" w14:textId="77777777" w:rsidR="0036037A" w:rsidRPr="001A25B5" w:rsidRDefault="0036037A" w:rsidP="0036037A">
      <w:pPr>
        <w:spacing w:line="360" w:lineRule="auto"/>
      </w:pPr>
      <w:r w:rsidRPr="001A25B5">
        <w:t xml:space="preserve">Deloitte (2024) </w:t>
      </w:r>
      <w:r w:rsidRPr="0036037A">
        <w:rPr>
          <w:i/>
          <w:iCs/>
        </w:rPr>
        <w:t>Global Human Capital Trends 2024: Navigating the Skills Revolution</w:t>
      </w:r>
      <w:r w:rsidRPr="001A25B5">
        <w:t xml:space="preserve">. London: Deloitte Insights. Available at: </w:t>
      </w:r>
      <w:hyperlink r:id="rId30" w:history="1">
        <w:r w:rsidRPr="001A25B5">
          <w:rPr>
            <w:rStyle w:val="Hyperlink"/>
          </w:rPr>
          <w:t>https://www2.deloitte.com/global/en/pages/human-capital/articles/human-capital-trends.html</w:t>
        </w:r>
      </w:hyperlink>
      <w:r>
        <w:t xml:space="preserve"> </w:t>
      </w:r>
    </w:p>
    <w:p w14:paraId="663152F1" w14:textId="77777777" w:rsidR="0036037A" w:rsidRPr="001A25B5" w:rsidRDefault="0036037A" w:rsidP="0036037A">
      <w:pPr>
        <w:spacing w:line="360" w:lineRule="auto"/>
      </w:pPr>
      <w:r w:rsidRPr="001A25B5">
        <w:t xml:space="preserve">DiMaggio, P. and Powell, W. (1983) ‘The iron cage revisited: institutional isomorphism and collective rationality in organizational fields’, </w:t>
      </w:r>
      <w:r w:rsidRPr="0036037A">
        <w:rPr>
          <w:i/>
          <w:iCs/>
        </w:rPr>
        <w:t>American Sociological Review</w:t>
      </w:r>
      <w:r w:rsidRPr="001A25B5">
        <w:t xml:space="preserve">, 48(2), pp. 147–160. Available at: </w:t>
      </w:r>
      <w:hyperlink r:id="rId31" w:tgtFrame="_new" w:history="1">
        <w:r w:rsidRPr="001A25B5">
          <w:rPr>
            <w:rStyle w:val="Hyperlink"/>
          </w:rPr>
          <w:t>https://doi.org/10.2307/2095101</w:t>
        </w:r>
      </w:hyperlink>
      <w:r w:rsidRPr="001A25B5">
        <w:t>.</w:t>
      </w:r>
    </w:p>
    <w:p w14:paraId="0D47E2D0" w14:textId="77777777" w:rsidR="0036037A" w:rsidRPr="0036037A" w:rsidRDefault="0036037A" w:rsidP="0036037A">
      <w:pPr>
        <w:spacing w:line="360" w:lineRule="auto"/>
      </w:pPr>
      <w:r w:rsidRPr="0036037A">
        <w:t xml:space="preserve">Du, J. (2024) ‘Exploring gender bias and algorithm transparency: ethical considerations of AI in HRM’, </w:t>
      </w:r>
      <w:r w:rsidRPr="0036037A">
        <w:rPr>
          <w:i/>
          <w:iCs/>
        </w:rPr>
        <w:t>Journal of Technology, Project Management and Systems (JTPMS)</w:t>
      </w:r>
      <w:r w:rsidRPr="0036037A">
        <w:t xml:space="preserve">, 4(3), pp. 36–43. Available at: </w:t>
      </w:r>
      <w:hyperlink r:id="rId32" w:tgtFrame="_new" w:history="1">
        <w:r w:rsidRPr="0036037A">
          <w:rPr>
            <w:rStyle w:val="Hyperlink"/>
          </w:rPr>
          <w:t>https://doi.org/10.53469/jtpms.2024.04(03).06</w:t>
        </w:r>
      </w:hyperlink>
      <w:r w:rsidRPr="0036037A">
        <w:t>.</w:t>
      </w:r>
    </w:p>
    <w:p w14:paraId="19D4FFB6" w14:textId="77777777" w:rsidR="0036037A" w:rsidRPr="001A25B5" w:rsidRDefault="0036037A" w:rsidP="0036037A">
      <w:pPr>
        <w:spacing w:line="360" w:lineRule="auto"/>
      </w:pPr>
      <w:proofErr w:type="spellStart"/>
      <w:r w:rsidRPr="001A25B5">
        <w:t>Elnadi</w:t>
      </w:r>
      <w:proofErr w:type="spellEnd"/>
      <w:r w:rsidRPr="001A25B5">
        <w:t xml:space="preserve">, M. and Abdallah, Y. (2023) ‘Industry 4.0: critical investigations and synthesis of key findings’, </w:t>
      </w:r>
      <w:r w:rsidRPr="0036037A">
        <w:rPr>
          <w:i/>
          <w:iCs/>
        </w:rPr>
        <w:t>Management Review Quarterly</w:t>
      </w:r>
      <w:r w:rsidRPr="001A25B5">
        <w:t xml:space="preserve">, 74(2), pp. 711–744. Available at: </w:t>
      </w:r>
      <w:hyperlink r:id="rId33" w:tgtFrame="_new" w:history="1">
        <w:r w:rsidRPr="001A25B5">
          <w:rPr>
            <w:rStyle w:val="Hyperlink"/>
          </w:rPr>
          <w:t>https://doi.org/10.1007/s11301-022-00314-4</w:t>
        </w:r>
      </w:hyperlink>
      <w:r w:rsidRPr="001A25B5">
        <w:t>.</w:t>
      </w:r>
    </w:p>
    <w:p w14:paraId="1B629ACC" w14:textId="77777777" w:rsidR="0036037A" w:rsidRPr="001A25B5" w:rsidRDefault="0036037A" w:rsidP="0036037A">
      <w:pPr>
        <w:spacing w:line="360" w:lineRule="auto"/>
      </w:pPr>
      <w:r w:rsidRPr="001A25B5">
        <w:t xml:space="preserve">Eurostat (2024) </w:t>
      </w:r>
      <w:r w:rsidRPr="0036037A">
        <w:rPr>
          <w:i/>
          <w:iCs/>
        </w:rPr>
        <w:t>Youth Unemployment Statistics 2024</w:t>
      </w:r>
      <w:r w:rsidRPr="001A25B5">
        <w:t xml:space="preserve">. Brussels: European Commission. Available at: </w:t>
      </w:r>
      <w:hyperlink r:id="rId34" w:history="1">
        <w:r w:rsidRPr="001A25B5">
          <w:rPr>
            <w:rStyle w:val="Hyperlink"/>
          </w:rPr>
          <w:t>https://ec.europa.eu/eurostat/statistics-explained/index.php?title=Youth_unemployment_statistics</w:t>
        </w:r>
      </w:hyperlink>
      <w:r>
        <w:t xml:space="preserve"> </w:t>
      </w:r>
    </w:p>
    <w:p w14:paraId="30D947FF" w14:textId="77777777" w:rsidR="0036037A" w:rsidRPr="0036037A" w:rsidRDefault="0036037A" w:rsidP="0036037A">
      <w:pPr>
        <w:spacing w:line="360" w:lineRule="auto"/>
      </w:pPr>
      <w:r w:rsidRPr="0036037A">
        <w:t xml:space="preserve">Exner, R., Jansen, J., Stroud, L. and </w:t>
      </w:r>
      <w:proofErr w:type="spellStart"/>
      <w:r w:rsidRPr="0036037A">
        <w:t>Preez</w:t>
      </w:r>
      <w:proofErr w:type="spellEnd"/>
      <w:r w:rsidRPr="0036037A">
        <w:t xml:space="preserve">, M. (2017) ‘A multidisciplinary approach to university engagement: key considerations for dynamic mental health teaching and service provision to a disadvantaged community’, </w:t>
      </w:r>
      <w:r w:rsidRPr="0036037A">
        <w:rPr>
          <w:i/>
          <w:iCs/>
        </w:rPr>
        <w:t>Educational Research for Social Change</w:t>
      </w:r>
      <w:r w:rsidRPr="0036037A">
        <w:t xml:space="preserve">, 6(2), pp. 60–75. Available at: </w:t>
      </w:r>
      <w:hyperlink r:id="rId35" w:tgtFrame="_new" w:history="1">
        <w:r w:rsidRPr="0036037A">
          <w:rPr>
            <w:rStyle w:val="Hyperlink"/>
          </w:rPr>
          <w:t>https://doi.org/10.17159/2221-4070/2017/v6i2a5</w:t>
        </w:r>
      </w:hyperlink>
      <w:r w:rsidRPr="0036037A">
        <w:t>.</w:t>
      </w:r>
    </w:p>
    <w:p w14:paraId="1AABCAD8" w14:textId="77777777" w:rsidR="0036037A" w:rsidRPr="0036037A" w:rsidRDefault="0036037A" w:rsidP="0036037A">
      <w:pPr>
        <w:spacing w:line="360" w:lineRule="auto"/>
      </w:pPr>
      <w:r w:rsidRPr="0036037A">
        <w:t xml:space="preserve">Fenwick, A., Molnár, G. and Frangos, P. (2024) ‘Revisiting the role of HR in the age of AI: bringing humans and machines closer together in the workplace’, </w:t>
      </w:r>
      <w:r w:rsidRPr="0036037A">
        <w:rPr>
          <w:i/>
          <w:iCs/>
        </w:rPr>
        <w:t>Frontiers in Artificial Intelligence</w:t>
      </w:r>
      <w:r w:rsidRPr="0036037A">
        <w:t xml:space="preserve">, 6, pp. 1–13. Available at: </w:t>
      </w:r>
      <w:hyperlink r:id="rId36" w:tgtFrame="_new" w:history="1">
        <w:r w:rsidRPr="0036037A">
          <w:rPr>
            <w:rStyle w:val="Hyperlink"/>
          </w:rPr>
          <w:t>https://doi.org/10.3389/frai.2023.1272823</w:t>
        </w:r>
      </w:hyperlink>
      <w:r w:rsidRPr="0036037A">
        <w:t>.</w:t>
      </w:r>
    </w:p>
    <w:p w14:paraId="4B9185B4" w14:textId="77777777" w:rsidR="0036037A" w:rsidRPr="0036037A" w:rsidRDefault="0036037A" w:rsidP="0036037A">
      <w:pPr>
        <w:spacing w:line="360" w:lineRule="auto"/>
      </w:pPr>
      <w:proofErr w:type="spellStart"/>
      <w:r w:rsidRPr="0036037A">
        <w:t>Folqué</w:t>
      </w:r>
      <w:proofErr w:type="spellEnd"/>
      <w:r w:rsidRPr="0036037A">
        <w:t xml:space="preserve">, M., </w:t>
      </w:r>
      <w:proofErr w:type="spellStart"/>
      <w:r w:rsidRPr="0036037A">
        <w:t>Escrig</w:t>
      </w:r>
      <w:r w:rsidRPr="0036037A">
        <w:rPr>
          <w:rFonts w:ascii="Cambria Math" w:hAnsi="Cambria Math" w:cs="Cambria Math"/>
        </w:rPr>
        <w:t>‐</w:t>
      </w:r>
      <w:r w:rsidRPr="0036037A">
        <w:t>Olmedo</w:t>
      </w:r>
      <w:proofErr w:type="spellEnd"/>
      <w:r w:rsidRPr="0036037A">
        <w:t>, E. and Santamar</w:t>
      </w:r>
      <w:r w:rsidRPr="0036037A">
        <w:rPr>
          <w:rFonts w:cs="Arial"/>
        </w:rPr>
        <w:t>í</w:t>
      </w:r>
      <w:r w:rsidRPr="0036037A">
        <w:t xml:space="preserve">a, T. (2021) </w:t>
      </w:r>
      <w:r w:rsidRPr="0036037A">
        <w:rPr>
          <w:rFonts w:cs="Arial"/>
        </w:rPr>
        <w:t>‘</w:t>
      </w:r>
      <w:r w:rsidRPr="0036037A">
        <w:t xml:space="preserve">Sustainable development and the financial system: integrating ESG risks through sustainable investment strategies in </w:t>
      </w:r>
      <w:r w:rsidRPr="0036037A">
        <w:lastRenderedPageBreak/>
        <w:t>a climate change context</w:t>
      </w:r>
      <w:r w:rsidRPr="0036037A">
        <w:rPr>
          <w:rFonts w:cs="Arial"/>
        </w:rPr>
        <w:t>’</w:t>
      </w:r>
      <w:r w:rsidRPr="0036037A">
        <w:t xml:space="preserve">, </w:t>
      </w:r>
      <w:r w:rsidRPr="0036037A">
        <w:rPr>
          <w:i/>
          <w:iCs/>
        </w:rPr>
        <w:t>Sustainable Development</w:t>
      </w:r>
      <w:r w:rsidRPr="0036037A">
        <w:t xml:space="preserve">, 29(5), pp. 876–890. Available at: </w:t>
      </w:r>
      <w:hyperlink r:id="rId37" w:tgtFrame="_new" w:history="1">
        <w:r w:rsidRPr="0036037A">
          <w:rPr>
            <w:rStyle w:val="Hyperlink"/>
          </w:rPr>
          <w:t>https://doi.org/10.1002/sd.2181</w:t>
        </w:r>
      </w:hyperlink>
      <w:r w:rsidRPr="0036037A">
        <w:t>.</w:t>
      </w:r>
    </w:p>
    <w:p w14:paraId="28C31DF0" w14:textId="77777777" w:rsidR="0036037A" w:rsidRPr="001A25B5" w:rsidRDefault="0036037A" w:rsidP="0036037A">
      <w:pPr>
        <w:spacing w:line="360" w:lineRule="auto"/>
      </w:pPr>
      <w:r w:rsidRPr="001A25B5">
        <w:t xml:space="preserve">Forbes Insights (2023) </w:t>
      </w:r>
      <w:r w:rsidRPr="0036037A">
        <w:rPr>
          <w:i/>
          <w:iCs/>
        </w:rPr>
        <w:t>The Diversity Dividend: Linking Inclusion to Innovation</w:t>
      </w:r>
      <w:r w:rsidRPr="001A25B5">
        <w:t xml:space="preserve">. New York: Forbes Media. Available at: </w:t>
      </w:r>
      <w:hyperlink r:id="rId38" w:history="1">
        <w:r w:rsidRPr="001A25B5">
          <w:rPr>
            <w:rStyle w:val="Hyperlink"/>
          </w:rPr>
          <w:t>https://www.forbes.com/forbes-insights/</w:t>
        </w:r>
      </w:hyperlink>
      <w:r>
        <w:t xml:space="preserve"> </w:t>
      </w:r>
    </w:p>
    <w:p w14:paraId="606047F8" w14:textId="77777777" w:rsidR="0036037A" w:rsidRPr="001A25B5" w:rsidRDefault="0036037A" w:rsidP="0036037A">
      <w:pPr>
        <w:spacing w:line="360" w:lineRule="auto"/>
      </w:pPr>
      <w:r w:rsidRPr="001A25B5">
        <w:t xml:space="preserve">Gartner (2024) </w:t>
      </w:r>
      <w:r w:rsidRPr="0036037A">
        <w:rPr>
          <w:i/>
          <w:iCs/>
        </w:rPr>
        <w:t>AI Governance and Human Capital Trends 2024</w:t>
      </w:r>
      <w:r w:rsidRPr="001A25B5">
        <w:t xml:space="preserve">. London: Gartner Insights. Available at: </w:t>
      </w:r>
      <w:hyperlink r:id="rId39" w:tgtFrame="_new" w:history="1">
        <w:r w:rsidRPr="001A25B5">
          <w:rPr>
            <w:rStyle w:val="Hyperlink"/>
          </w:rPr>
          <w:t>https://www.gartner.com/en/human-resources</w:t>
        </w:r>
      </w:hyperlink>
      <w:r w:rsidRPr="001A25B5">
        <w:t>.</w:t>
      </w:r>
    </w:p>
    <w:p w14:paraId="68B5CF61" w14:textId="77777777" w:rsidR="0036037A" w:rsidRPr="001A25B5" w:rsidRDefault="0036037A" w:rsidP="0036037A">
      <w:pPr>
        <w:spacing w:line="360" w:lineRule="auto"/>
      </w:pPr>
      <w:r w:rsidRPr="001A25B5">
        <w:t xml:space="preserve">Gibbs, G. (1988) </w:t>
      </w:r>
      <w:r w:rsidRPr="0036037A">
        <w:rPr>
          <w:i/>
          <w:iCs/>
        </w:rPr>
        <w:t>Learning by Doing: A Guide to Teaching and Learning Methods</w:t>
      </w:r>
      <w:r w:rsidRPr="001A25B5">
        <w:t>. Oxford: Oxford Brookes University.</w:t>
      </w:r>
    </w:p>
    <w:p w14:paraId="21E1B7B9" w14:textId="77777777" w:rsidR="0036037A" w:rsidRPr="001A25B5" w:rsidRDefault="0036037A" w:rsidP="0036037A">
      <w:pPr>
        <w:spacing w:line="360" w:lineRule="auto"/>
      </w:pPr>
      <w:r w:rsidRPr="001A25B5">
        <w:t xml:space="preserve">Goleman, D. (2013) </w:t>
      </w:r>
      <w:r w:rsidRPr="0036037A">
        <w:rPr>
          <w:i/>
          <w:iCs/>
        </w:rPr>
        <w:t>Focus: The Hidden Driver of Excellence</w:t>
      </w:r>
      <w:r w:rsidRPr="001A25B5">
        <w:t>. London: Bloomsbury.</w:t>
      </w:r>
    </w:p>
    <w:p w14:paraId="6B51F4DE" w14:textId="77777777" w:rsidR="0036037A" w:rsidRPr="0036037A" w:rsidRDefault="0036037A" w:rsidP="0036037A">
      <w:pPr>
        <w:spacing w:line="360" w:lineRule="auto"/>
      </w:pPr>
      <w:r w:rsidRPr="0036037A">
        <w:t xml:space="preserve">Gupta, S. and Sharma, R. (2022) ‘Types of HR analytics used for the prediction of employee turnover in different strategic firms with the use of enterprise social media’, </w:t>
      </w:r>
      <w:r w:rsidRPr="0036037A">
        <w:rPr>
          <w:i/>
          <w:iCs/>
        </w:rPr>
        <w:t>European Journal of Engineering and Technology Research</w:t>
      </w:r>
      <w:r w:rsidRPr="0036037A">
        <w:t xml:space="preserve">, 7(3), pp. 200–210. Available at: </w:t>
      </w:r>
      <w:hyperlink r:id="rId40" w:tgtFrame="_new" w:history="1">
        <w:r w:rsidRPr="0036037A">
          <w:rPr>
            <w:rStyle w:val="Hyperlink"/>
          </w:rPr>
          <w:t>https://doi.org/10.46254/eu05.20220389</w:t>
        </w:r>
      </w:hyperlink>
      <w:r w:rsidRPr="0036037A">
        <w:t>.</w:t>
      </w:r>
    </w:p>
    <w:p w14:paraId="422BDF7C" w14:textId="77777777" w:rsidR="0036037A" w:rsidRPr="001A25B5" w:rsidRDefault="0036037A" w:rsidP="0036037A">
      <w:pPr>
        <w:spacing w:line="360" w:lineRule="auto"/>
      </w:pPr>
      <w:r w:rsidRPr="001A25B5">
        <w:t>Hofstede, G. (2011) ‘</w:t>
      </w:r>
      <w:proofErr w:type="spellStart"/>
      <w:r w:rsidRPr="001A25B5">
        <w:t>Dimensionalizing</w:t>
      </w:r>
      <w:proofErr w:type="spellEnd"/>
      <w:r w:rsidRPr="001A25B5">
        <w:t xml:space="preserve"> cultures: the Hofstede model in context’, </w:t>
      </w:r>
      <w:r w:rsidRPr="0036037A">
        <w:rPr>
          <w:i/>
          <w:iCs/>
        </w:rPr>
        <w:t>Online Readings in Psychology and Culture</w:t>
      </w:r>
      <w:r w:rsidRPr="001A25B5">
        <w:t xml:space="preserve">, 2(1). Available at: </w:t>
      </w:r>
      <w:hyperlink r:id="rId41" w:tgtFrame="_new" w:history="1">
        <w:r w:rsidRPr="001A25B5">
          <w:rPr>
            <w:rStyle w:val="Hyperlink"/>
          </w:rPr>
          <w:t>https://doi.org/10.9707/2307-0919.1014</w:t>
        </w:r>
      </w:hyperlink>
      <w:r w:rsidRPr="001A25B5">
        <w:t>.</w:t>
      </w:r>
    </w:p>
    <w:p w14:paraId="2829752F" w14:textId="77777777" w:rsidR="0036037A" w:rsidRPr="001A25B5" w:rsidRDefault="0036037A" w:rsidP="0036037A">
      <w:pPr>
        <w:spacing w:line="360" w:lineRule="auto"/>
      </w:pPr>
      <w:r w:rsidRPr="001A25B5">
        <w:t xml:space="preserve">Holl, A. and Rama, R. (2023) ‘Spatial patterns and drivers of SME digitalisation’, </w:t>
      </w:r>
      <w:r w:rsidRPr="0036037A">
        <w:rPr>
          <w:i/>
          <w:iCs/>
        </w:rPr>
        <w:t>Journal of the Knowledge Economy</w:t>
      </w:r>
      <w:r w:rsidRPr="001A25B5">
        <w:t xml:space="preserve">, 15(2), pp. 5625–5649. Available at: </w:t>
      </w:r>
      <w:hyperlink r:id="rId42" w:history="1">
        <w:r w:rsidRPr="001A25B5">
          <w:rPr>
            <w:rStyle w:val="Hyperlink"/>
          </w:rPr>
          <w:t>https://doi.org/10.1007/s13132-023-01496-3</w:t>
        </w:r>
      </w:hyperlink>
      <w:r>
        <w:t xml:space="preserve"> </w:t>
      </w:r>
    </w:p>
    <w:p w14:paraId="59815D72" w14:textId="77777777" w:rsidR="0036037A" w:rsidRPr="001A25B5" w:rsidRDefault="0036037A" w:rsidP="0036037A">
      <w:pPr>
        <w:spacing w:line="360" w:lineRule="auto"/>
      </w:pPr>
      <w:r w:rsidRPr="001A25B5">
        <w:t xml:space="preserve">International Labour Organization (2024) </w:t>
      </w:r>
      <w:r w:rsidRPr="0036037A">
        <w:rPr>
          <w:i/>
          <w:iCs/>
        </w:rPr>
        <w:t>Global Employment Trends for Youth 2024</w:t>
      </w:r>
      <w:r w:rsidRPr="001A25B5">
        <w:t xml:space="preserve">. Geneva: ILO Publications. Available at: </w:t>
      </w:r>
      <w:hyperlink r:id="rId43" w:history="1">
        <w:r w:rsidRPr="001A25B5">
          <w:rPr>
            <w:rStyle w:val="Hyperlink"/>
          </w:rPr>
          <w:t>https://www.ilo.org/global/publications</w:t>
        </w:r>
      </w:hyperlink>
      <w:r>
        <w:t xml:space="preserve"> </w:t>
      </w:r>
    </w:p>
    <w:p w14:paraId="52EAC24B" w14:textId="77777777" w:rsidR="0036037A" w:rsidRPr="001A25B5" w:rsidRDefault="0036037A" w:rsidP="0036037A">
      <w:pPr>
        <w:spacing w:line="360" w:lineRule="auto"/>
      </w:pPr>
      <w:r w:rsidRPr="001A25B5">
        <w:t xml:space="preserve">International Labour Organization (ILO) (2024) </w:t>
      </w:r>
      <w:r w:rsidRPr="0036037A">
        <w:rPr>
          <w:i/>
          <w:iCs/>
        </w:rPr>
        <w:t>World Employment and Social Outlook: The Role of Digital Platforms in Transforming Work</w:t>
      </w:r>
      <w:r w:rsidRPr="001A25B5">
        <w:t xml:space="preserve">. Geneva: ILO Publications. Available at: </w:t>
      </w:r>
      <w:hyperlink r:id="rId44" w:history="1">
        <w:r w:rsidRPr="001A25B5">
          <w:rPr>
            <w:rStyle w:val="Hyperlink"/>
          </w:rPr>
          <w:t>https://www.ilo.org/global/research/global-reports/weso/</w:t>
        </w:r>
      </w:hyperlink>
      <w:r>
        <w:t xml:space="preserve"> </w:t>
      </w:r>
    </w:p>
    <w:p w14:paraId="132C95F5" w14:textId="77777777" w:rsidR="0036037A" w:rsidRPr="0036037A" w:rsidRDefault="0036037A" w:rsidP="0036037A">
      <w:pPr>
        <w:spacing w:line="360" w:lineRule="auto"/>
      </w:pPr>
      <w:proofErr w:type="spellStart"/>
      <w:r w:rsidRPr="0036037A">
        <w:t>Järvelä</w:t>
      </w:r>
      <w:proofErr w:type="spellEnd"/>
      <w:r w:rsidRPr="0036037A">
        <w:t xml:space="preserve">, S., Nguyen, A. and </w:t>
      </w:r>
      <w:proofErr w:type="spellStart"/>
      <w:r w:rsidRPr="0036037A">
        <w:t>Hadwin</w:t>
      </w:r>
      <w:proofErr w:type="spellEnd"/>
      <w:r w:rsidRPr="0036037A">
        <w:t xml:space="preserve">, A. (2023) ‘Human and artificial intelligence collaboration for socially shared regulation in learning’, </w:t>
      </w:r>
      <w:r w:rsidRPr="0036037A">
        <w:rPr>
          <w:i/>
          <w:iCs/>
        </w:rPr>
        <w:t>British Journal of Educational Technology</w:t>
      </w:r>
      <w:r w:rsidRPr="0036037A">
        <w:t xml:space="preserve">, 54(5), pp. 1057–1076. Available at: </w:t>
      </w:r>
      <w:hyperlink r:id="rId45" w:tgtFrame="_new" w:history="1">
        <w:r w:rsidRPr="0036037A">
          <w:rPr>
            <w:rStyle w:val="Hyperlink"/>
          </w:rPr>
          <w:t>https://doi.org/10.1111/bjet.13325</w:t>
        </w:r>
      </w:hyperlink>
      <w:r w:rsidRPr="0036037A">
        <w:t>.</w:t>
      </w:r>
    </w:p>
    <w:p w14:paraId="3081A242" w14:textId="77777777" w:rsidR="0036037A" w:rsidRPr="0036037A" w:rsidRDefault="0036037A" w:rsidP="0036037A">
      <w:pPr>
        <w:spacing w:line="360" w:lineRule="auto"/>
      </w:pPr>
      <w:proofErr w:type="spellStart"/>
      <w:r w:rsidRPr="0036037A">
        <w:lastRenderedPageBreak/>
        <w:t>Kambur</w:t>
      </w:r>
      <w:proofErr w:type="spellEnd"/>
      <w:r w:rsidRPr="0036037A">
        <w:t xml:space="preserve">, E. and </w:t>
      </w:r>
      <w:proofErr w:type="spellStart"/>
      <w:r w:rsidRPr="0036037A">
        <w:t>Yıldırım</w:t>
      </w:r>
      <w:proofErr w:type="spellEnd"/>
      <w:r w:rsidRPr="0036037A">
        <w:t xml:space="preserve">, T. (2022) ‘From traditional to smart human resources management’, </w:t>
      </w:r>
      <w:r w:rsidRPr="0036037A">
        <w:rPr>
          <w:i/>
          <w:iCs/>
        </w:rPr>
        <w:t>International Journal of Manpower</w:t>
      </w:r>
      <w:r w:rsidRPr="0036037A">
        <w:t xml:space="preserve">, 44(3), pp. 422–452. Available at: </w:t>
      </w:r>
      <w:hyperlink r:id="rId46" w:tgtFrame="_new" w:history="1">
        <w:r w:rsidRPr="0036037A">
          <w:rPr>
            <w:rStyle w:val="Hyperlink"/>
          </w:rPr>
          <w:t>https://doi.org/10.1108/ijm-10-2021-0622</w:t>
        </w:r>
      </w:hyperlink>
      <w:r w:rsidRPr="0036037A">
        <w:t>.</w:t>
      </w:r>
    </w:p>
    <w:p w14:paraId="783A980A" w14:textId="77777777" w:rsidR="0036037A" w:rsidRPr="0036037A" w:rsidRDefault="0036037A" w:rsidP="0036037A">
      <w:pPr>
        <w:spacing w:line="360" w:lineRule="auto"/>
      </w:pPr>
      <w:proofErr w:type="spellStart"/>
      <w:r w:rsidRPr="0036037A">
        <w:t>Kasubi</w:t>
      </w:r>
      <w:proofErr w:type="spellEnd"/>
      <w:r w:rsidRPr="0036037A">
        <w:t xml:space="preserve">, J., </w:t>
      </w:r>
      <w:proofErr w:type="spellStart"/>
      <w:r w:rsidRPr="0036037A">
        <w:t>Kisumbe</w:t>
      </w:r>
      <w:proofErr w:type="spellEnd"/>
      <w:r w:rsidRPr="0036037A">
        <w:t xml:space="preserve">, L. and </w:t>
      </w:r>
      <w:proofErr w:type="spellStart"/>
      <w:r w:rsidRPr="0036037A">
        <w:t>Nyabakora</w:t>
      </w:r>
      <w:proofErr w:type="spellEnd"/>
      <w:r w:rsidRPr="0036037A">
        <w:t xml:space="preserve">, W. (2025) ‘Mapping the knowledge base for the impact of artificial intelligence on human resources management: a bibliometric study’, </w:t>
      </w:r>
      <w:r w:rsidRPr="0036037A">
        <w:rPr>
          <w:i/>
          <w:iCs/>
        </w:rPr>
        <w:t>SAGE Open</w:t>
      </w:r>
      <w:r w:rsidRPr="0036037A">
        <w:t xml:space="preserve">, 15(3), pp. 1–12. Available at: </w:t>
      </w:r>
      <w:hyperlink r:id="rId47" w:tgtFrame="_new" w:history="1">
        <w:r w:rsidRPr="0036037A">
          <w:rPr>
            <w:rStyle w:val="Hyperlink"/>
          </w:rPr>
          <w:t>https://doi.org/10.1177/21582440251377298</w:t>
        </w:r>
      </w:hyperlink>
      <w:r w:rsidRPr="0036037A">
        <w:t>.</w:t>
      </w:r>
    </w:p>
    <w:p w14:paraId="7AE79E35" w14:textId="77777777" w:rsidR="0036037A" w:rsidRPr="001A25B5" w:rsidRDefault="0036037A" w:rsidP="0036037A">
      <w:pPr>
        <w:spacing w:line="360" w:lineRule="auto"/>
      </w:pPr>
      <w:r w:rsidRPr="001A25B5">
        <w:t xml:space="preserve">Knowles, M. (1984) </w:t>
      </w:r>
      <w:r w:rsidRPr="0036037A">
        <w:rPr>
          <w:i/>
          <w:iCs/>
        </w:rPr>
        <w:t>Andragogy in Action</w:t>
      </w:r>
      <w:r w:rsidRPr="001A25B5">
        <w:t>. San Francisco: Jossey-Bass.</w:t>
      </w:r>
    </w:p>
    <w:p w14:paraId="22AD4AB8" w14:textId="77777777" w:rsidR="0036037A" w:rsidRPr="001A25B5" w:rsidRDefault="0036037A" w:rsidP="0036037A">
      <w:pPr>
        <w:spacing w:line="360" w:lineRule="auto"/>
      </w:pPr>
      <w:r w:rsidRPr="001A25B5">
        <w:t xml:space="preserve">Kolb, D. (1984) </w:t>
      </w:r>
      <w:r w:rsidRPr="0036037A">
        <w:rPr>
          <w:i/>
          <w:iCs/>
        </w:rPr>
        <w:t>Experiential Learning: Experience as the Source of Learning and Development</w:t>
      </w:r>
      <w:r w:rsidRPr="001A25B5">
        <w:t>. Englewood Cliffs: Prentice Hall</w:t>
      </w:r>
      <w:r>
        <w:t xml:space="preserve">. </w:t>
      </w:r>
    </w:p>
    <w:p w14:paraId="6D184B3C" w14:textId="77777777" w:rsidR="0036037A" w:rsidRPr="0036037A" w:rsidRDefault="0036037A" w:rsidP="0036037A">
      <w:pPr>
        <w:spacing w:line="360" w:lineRule="auto"/>
      </w:pPr>
      <w:proofErr w:type="spellStart"/>
      <w:r w:rsidRPr="0036037A">
        <w:t>Kshetri</w:t>
      </w:r>
      <w:proofErr w:type="spellEnd"/>
      <w:r w:rsidRPr="0036037A">
        <w:t xml:space="preserve">, N. (2021) ‘Evolving uses of artificial intelligence in human resource management in emerging economies in the global south: some preliminary evidence’, </w:t>
      </w:r>
      <w:r w:rsidRPr="0036037A">
        <w:rPr>
          <w:i/>
          <w:iCs/>
        </w:rPr>
        <w:t>Management Research Review</w:t>
      </w:r>
      <w:r w:rsidRPr="0036037A">
        <w:t xml:space="preserve">, 44(7), pp. 970–990. Available at: </w:t>
      </w:r>
      <w:hyperlink r:id="rId48" w:tgtFrame="_new" w:history="1">
        <w:r w:rsidRPr="0036037A">
          <w:rPr>
            <w:rStyle w:val="Hyperlink"/>
          </w:rPr>
          <w:t>https://doi.org/10.1108/mrr-03-2020-0168</w:t>
        </w:r>
      </w:hyperlink>
      <w:r w:rsidRPr="0036037A">
        <w:t>.</w:t>
      </w:r>
    </w:p>
    <w:p w14:paraId="580B2732" w14:textId="77777777" w:rsidR="0036037A" w:rsidRPr="0036037A" w:rsidRDefault="0036037A" w:rsidP="0036037A">
      <w:pPr>
        <w:spacing w:line="360" w:lineRule="auto"/>
      </w:pPr>
      <w:r w:rsidRPr="0036037A">
        <w:t xml:space="preserve">Kumar, C. (2025) ‘From automation to ethics: responsible AI in human resource management across industries with insights from the power sector’, </w:t>
      </w:r>
      <w:r w:rsidRPr="0036037A">
        <w:rPr>
          <w:i/>
          <w:iCs/>
        </w:rPr>
        <w:t>Research Review International Journal of Multidisciplinary</w:t>
      </w:r>
      <w:r w:rsidRPr="0036037A">
        <w:t xml:space="preserve">, 10(4), pp. 63–81. Available at: </w:t>
      </w:r>
      <w:hyperlink r:id="rId49" w:tgtFrame="_new" w:history="1">
        <w:r w:rsidRPr="0036037A">
          <w:rPr>
            <w:rStyle w:val="Hyperlink"/>
          </w:rPr>
          <w:t>https://doi.org/10.31305/rrijm.2025.v10.n4.009</w:t>
        </w:r>
      </w:hyperlink>
      <w:r w:rsidRPr="0036037A">
        <w:t>.</w:t>
      </w:r>
    </w:p>
    <w:p w14:paraId="3EEB804E" w14:textId="77777777" w:rsidR="0036037A" w:rsidRPr="0036037A" w:rsidRDefault="0036037A" w:rsidP="0036037A">
      <w:pPr>
        <w:spacing w:line="360" w:lineRule="auto"/>
      </w:pPr>
      <w:r w:rsidRPr="0036037A">
        <w:t xml:space="preserve">Lodhi, S., Gill, A. and Hussain, I. (2024) ‘AI-powered innovations in contemporary manufacturing procedures: an extensive analysis’, </w:t>
      </w:r>
      <w:r w:rsidRPr="0036037A">
        <w:rPr>
          <w:i/>
          <w:iCs/>
        </w:rPr>
        <w:t>International Journal of Multidisciplinary Sciences and Arts</w:t>
      </w:r>
      <w:r w:rsidRPr="0036037A">
        <w:t xml:space="preserve">, 3(4), pp. 15–25. Available at: </w:t>
      </w:r>
      <w:hyperlink r:id="rId50" w:tgtFrame="_new" w:history="1">
        <w:r w:rsidRPr="0036037A">
          <w:rPr>
            <w:rStyle w:val="Hyperlink"/>
          </w:rPr>
          <w:t>https://doi.org/10.47709/ijmdsa.v3i4.4616</w:t>
        </w:r>
      </w:hyperlink>
      <w:r w:rsidRPr="0036037A">
        <w:t>.</w:t>
      </w:r>
    </w:p>
    <w:p w14:paraId="6BA613B0" w14:textId="77777777" w:rsidR="0036037A" w:rsidRPr="0036037A" w:rsidRDefault="0036037A" w:rsidP="0036037A">
      <w:pPr>
        <w:spacing w:line="360" w:lineRule="auto"/>
      </w:pPr>
      <w:r w:rsidRPr="0036037A">
        <w:t xml:space="preserve">Maier, T. and </w:t>
      </w:r>
      <w:proofErr w:type="spellStart"/>
      <w:r w:rsidRPr="0036037A">
        <w:t>Afentakis</w:t>
      </w:r>
      <w:proofErr w:type="spellEnd"/>
      <w:r w:rsidRPr="0036037A">
        <w:t xml:space="preserve">, A. (2013) ‘Forecasting supply and demand in nursing professions: impacts of occupational flexibility and employment structure in Germany’, </w:t>
      </w:r>
      <w:r w:rsidRPr="0036037A">
        <w:rPr>
          <w:i/>
          <w:iCs/>
        </w:rPr>
        <w:t>Human Resources for Health</w:t>
      </w:r>
      <w:r w:rsidRPr="0036037A">
        <w:t xml:space="preserve">, 11(1), pp. 1–12. Available at: </w:t>
      </w:r>
      <w:hyperlink r:id="rId51" w:tgtFrame="_new" w:history="1">
        <w:r w:rsidRPr="0036037A">
          <w:rPr>
            <w:rStyle w:val="Hyperlink"/>
          </w:rPr>
          <w:t>https://doi.org/10.1186/1478-4491-11-24</w:t>
        </w:r>
      </w:hyperlink>
      <w:r w:rsidRPr="0036037A">
        <w:t>.</w:t>
      </w:r>
    </w:p>
    <w:p w14:paraId="5D4E4198" w14:textId="77777777" w:rsidR="0036037A" w:rsidRPr="001A25B5" w:rsidRDefault="0036037A" w:rsidP="0036037A">
      <w:pPr>
        <w:spacing w:line="360" w:lineRule="auto"/>
      </w:pPr>
      <w:r w:rsidRPr="001A25B5">
        <w:t xml:space="preserve">McKinsey &amp; Company (2023) </w:t>
      </w:r>
      <w:r w:rsidRPr="0036037A">
        <w:rPr>
          <w:i/>
          <w:iCs/>
        </w:rPr>
        <w:t>The Future of Work 2023: Bridging the Global Skill Gap</w:t>
      </w:r>
      <w:r w:rsidRPr="001A25B5">
        <w:t xml:space="preserve">. New York: McKinsey Global Institute. Available at: </w:t>
      </w:r>
      <w:hyperlink r:id="rId52" w:history="1">
        <w:r w:rsidRPr="001A25B5">
          <w:rPr>
            <w:rStyle w:val="Hyperlink"/>
          </w:rPr>
          <w:t>https://www.mckinsey.com/mgi</w:t>
        </w:r>
      </w:hyperlink>
      <w:r>
        <w:t xml:space="preserve"> </w:t>
      </w:r>
    </w:p>
    <w:p w14:paraId="1E374B66" w14:textId="77777777" w:rsidR="0036037A" w:rsidRPr="0036037A" w:rsidRDefault="0036037A" w:rsidP="0036037A">
      <w:pPr>
        <w:spacing w:line="360" w:lineRule="auto"/>
      </w:pPr>
      <w:proofErr w:type="spellStart"/>
      <w:r w:rsidRPr="0036037A">
        <w:lastRenderedPageBreak/>
        <w:t>Nagymzhanova</w:t>
      </w:r>
      <w:proofErr w:type="spellEnd"/>
      <w:r w:rsidRPr="0036037A">
        <w:t xml:space="preserve">, K., </w:t>
      </w:r>
      <w:proofErr w:type="spellStart"/>
      <w:r w:rsidRPr="0036037A">
        <w:t>Abisheva</w:t>
      </w:r>
      <w:proofErr w:type="spellEnd"/>
      <w:r w:rsidRPr="0036037A">
        <w:t xml:space="preserve">, K., </w:t>
      </w:r>
      <w:proofErr w:type="spellStart"/>
      <w:r w:rsidRPr="0036037A">
        <w:t>Albekova</w:t>
      </w:r>
      <w:proofErr w:type="spellEnd"/>
      <w:r w:rsidRPr="0036037A">
        <w:t xml:space="preserve">, A., </w:t>
      </w:r>
      <w:proofErr w:type="spellStart"/>
      <w:r w:rsidRPr="0036037A">
        <w:t>Kapanova</w:t>
      </w:r>
      <w:proofErr w:type="spellEnd"/>
      <w:r w:rsidRPr="0036037A">
        <w:t xml:space="preserve">, A. and </w:t>
      </w:r>
      <w:proofErr w:type="spellStart"/>
      <w:r w:rsidRPr="0036037A">
        <w:t>Tyazhina</w:t>
      </w:r>
      <w:proofErr w:type="spellEnd"/>
      <w:r w:rsidRPr="0036037A">
        <w:t xml:space="preserve">, Y. (2020) ‘Formation of a global intercultural discourse of a multicultural person’, </w:t>
      </w:r>
      <w:r w:rsidRPr="0036037A">
        <w:rPr>
          <w:i/>
          <w:iCs/>
        </w:rPr>
        <w:t>Media Watch</w:t>
      </w:r>
      <w:r w:rsidRPr="0036037A">
        <w:t xml:space="preserve">, 11(3), pp. 475–487. Available at: </w:t>
      </w:r>
      <w:hyperlink r:id="rId53" w:tgtFrame="_new" w:history="1">
        <w:r w:rsidRPr="0036037A">
          <w:rPr>
            <w:rStyle w:val="Hyperlink"/>
          </w:rPr>
          <w:t>https://doi.org/10.15655/mw_2020_v11i3_202933</w:t>
        </w:r>
      </w:hyperlink>
      <w:r w:rsidRPr="0036037A">
        <w:t>.</w:t>
      </w:r>
    </w:p>
    <w:p w14:paraId="4A54401A" w14:textId="77777777" w:rsidR="0036037A" w:rsidRPr="0036037A" w:rsidRDefault="0036037A" w:rsidP="0036037A">
      <w:pPr>
        <w:spacing w:line="360" w:lineRule="auto"/>
      </w:pPr>
      <w:r w:rsidRPr="0036037A">
        <w:t xml:space="preserve">Norton, M., Griffin, M., Collins, M., Clark, M. and Browne, E. (2023) ‘Using autoethnography to reflect on peer support supervision in an Irish context’, </w:t>
      </w:r>
      <w:r w:rsidRPr="0036037A">
        <w:rPr>
          <w:i/>
          <w:iCs/>
        </w:rPr>
        <w:t>The Journal of Practice Teaching and Learning</w:t>
      </w:r>
      <w:r w:rsidRPr="0036037A">
        <w:t xml:space="preserve">, 21(2), pp. 1–15. Available at: </w:t>
      </w:r>
      <w:hyperlink r:id="rId54" w:tgtFrame="_new" w:history="1">
        <w:r w:rsidRPr="0036037A">
          <w:rPr>
            <w:rStyle w:val="Hyperlink"/>
          </w:rPr>
          <w:t>https://doi.org/10.1921/jpts.v21i2.2079</w:t>
        </w:r>
      </w:hyperlink>
      <w:r w:rsidRPr="0036037A">
        <w:t>.</w:t>
      </w:r>
    </w:p>
    <w:p w14:paraId="1D2BFA31" w14:textId="77777777" w:rsidR="0036037A" w:rsidRPr="001A25B5" w:rsidRDefault="0036037A" w:rsidP="0036037A">
      <w:pPr>
        <w:spacing w:line="360" w:lineRule="auto"/>
      </w:pPr>
      <w:r w:rsidRPr="001A25B5">
        <w:t xml:space="preserve">Office for National Statistics (ONS) (2024) </w:t>
      </w:r>
      <w:r w:rsidRPr="0036037A">
        <w:rPr>
          <w:i/>
          <w:iCs/>
        </w:rPr>
        <w:t>Labour Market Overview, UK: March 2024</w:t>
      </w:r>
      <w:r w:rsidRPr="001A25B5">
        <w:t xml:space="preserve">. London: ONS. Available at: </w:t>
      </w:r>
      <w:hyperlink r:id="rId55" w:tgtFrame="_new" w:history="1">
        <w:r w:rsidRPr="001A25B5">
          <w:rPr>
            <w:rStyle w:val="Hyperlink"/>
          </w:rPr>
          <w:t>https://www.ons.gov.uk/employmentandlabourmarket</w:t>
        </w:r>
      </w:hyperlink>
      <w:r w:rsidRPr="001A25B5">
        <w:t>.</w:t>
      </w:r>
    </w:p>
    <w:p w14:paraId="3B29EDFC" w14:textId="77777777" w:rsidR="0036037A" w:rsidRPr="001A25B5" w:rsidRDefault="0036037A" w:rsidP="0036037A">
      <w:pPr>
        <w:spacing w:line="360" w:lineRule="auto"/>
      </w:pPr>
      <w:r w:rsidRPr="001A25B5">
        <w:t xml:space="preserve">Organisation for Economic Co-operation and Development (OECD) (2024) </w:t>
      </w:r>
      <w:r w:rsidRPr="0036037A">
        <w:rPr>
          <w:i/>
          <w:iCs/>
        </w:rPr>
        <w:t>International Migration Outlook 2024</w:t>
      </w:r>
      <w:r w:rsidRPr="001A25B5">
        <w:t xml:space="preserve">. Paris: OECD Publishing. Available at: </w:t>
      </w:r>
      <w:hyperlink r:id="rId56" w:tgtFrame="_new" w:history="1">
        <w:r w:rsidRPr="001A25B5">
          <w:rPr>
            <w:rStyle w:val="Hyperlink"/>
          </w:rPr>
          <w:t>https://www.oecd.org/migration/</w:t>
        </w:r>
      </w:hyperlink>
      <w:r w:rsidRPr="001A25B5">
        <w:t>.</w:t>
      </w:r>
    </w:p>
    <w:p w14:paraId="529BC1A0" w14:textId="77777777" w:rsidR="0036037A" w:rsidRPr="001A25B5" w:rsidRDefault="0036037A" w:rsidP="0036037A">
      <w:pPr>
        <w:spacing w:line="360" w:lineRule="auto"/>
      </w:pPr>
      <w:r w:rsidRPr="001A25B5">
        <w:t xml:space="preserve">Organisation for Economic Co-operation and Development (OECD) (2023) </w:t>
      </w:r>
      <w:r w:rsidRPr="0036037A">
        <w:rPr>
          <w:i/>
          <w:iCs/>
        </w:rPr>
        <w:t>The Future of Work Report: Automation and Skills</w:t>
      </w:r>
      <w:r w:rsidRPr="001A25B5">
        <w:t xml:space="preserve">. Paris: OECD Publishing. Available at: </w:t>
      </w:r>
      <w:hyperlink r:id="rId57" w:history="1">
        <w:r w:rsidRPr="001A25B5">
          <w:rPr>
            <w:rStyle w:val="Hyperlink"/>
          </w:rPr>
          <w:t>https://www.oecd.org/employment/automation-skills.htm</w:t>
        </w:r>
      </w:hyperlink>
      <w:r>
        <w:t xml:space="preserve"> </w:t>
      </w:r>
    </w:p>
    <w:p w14:paraId="3C5FF23D" w14:textId="77777777" w:rsidR="0036037A" w:rsidRPr="0036037A" w:rsidRDefault="0036037A" w:rsidP="0036037A">
      <w:pPr>
        <w:spacing w:line="360" w:lineRule="auto"/>
      </w:pPr>
      <w:proofErr w:type="spellStart"/>
      <w:r w:rsidRPr="0036037A">
        <w:t>Peeters</w:t>
      </w:r>
      <w:proofErr w:type="spellEnd"/>
      <w:r w:rsidRPr="0036037A">
        <w:t xml:space="preserve">, T., Paauwe, J. and </w:t>
      </w:r>
      <w:proofErr w:type="spellStart"/>
      <w:r w:rsidRPr="0036037A">
        <w:t>Voorde</w:t>
      </w:r>
      <w:proofErr w:type="spellEnd"/>
      <w:r w:rsidRPr="0036037A">
        <w:t xml:space="preserve">, K. (2020) ‘People analytics effectiveness: developing a framework’, </w:t>
      </w:r>
      <w:r w:rsidRPr="0036037A">
        <w:rPr>
          <w:i/>
          <w:iCs/>
        </w:rPr>
        <w:t>Journal of Organizational Effectiveness: People and Performance</w:t>
      </w:r>
      <w:r w:rsidRPr="0036037A">
        <w:t xml:space="preserve">, 7(2), pp. 203–219. Available at: </w:t>
      </w:r>
      <w:hyperlink r:id="rId58" w:tgtFrame="_new" w:history="1">
        <w:r w:rsidRPr="0036037A">
          <w:rPr>
            <w:rStyle w:val="Hyperlink"/>
          </w:rPr>
          <w:t>https://doi.org/10.1108/joepp-04-2020-0071</w:t>
        </w:r>
      </w:hyperlink>
      <w:r w:rsidRPr="0036037A">
        <w:t>.</w:t>
      </w:r>
    </w:p>
    <w:p w14:paraId="47DCE334" w14:textId="77777777" w:rsidR="0036037A" w:rsidRPr="0036037A" w:rsidRDefault="0036037A" w:rsidP="0036037A">
      <w:pPr>
        <w:spacing w:line="360" w:lineRule="auto"/>
      </w:pPr>
      <w:r w:rsidRPr="0036037A">
        <w:t xml:space="preserve">Pillai, R. and </w:t>
      </w:r>
      <w:proofErr w:type="spellStart"/>
      <w:r w:rsidRPr="0036037A">
        <w:t>Sivathanu</w:t>
      </w:r>
      <w:proofErr w:type="spellEnd"/>
      <w:r w:rsidRPr="0036037A">
        <w:t xml:space="preserve">, B. (2020) ‘Adoption of artificial intelligence (AI) for talent acquisition in IT/ITES organizations’, </w:t>
      </w:r>
      <w:r w:rsidRPr="0036037A">
        <w:rPr>
          <w:i/>
          <w:iCs/>
        </w:rPr>
        <w:t>Benchmarking: An International Journal</w:t>
      </w:r>
      <w:r w:rsidRPr="0036037A">
        <w:t xml:space="preserve">, 27(9), pp. 2599–2629. Available at: </w:t>
      </w:r>
      <w:hyperlink r:id="rId59" w:tgtFrame="_new" w:history="1">
        <w:r w:rsidRPr="0036037A">
          <w:rPr>
            <w:rStyle w:val="Hyperlink"/>
          </w:rPr>
          <w:t>https://doi.org/10.1108/bij-04-2020-0186</w:t>
        </w:r>
      </w:hyperlink>
      <w:r w:rsidRPr="0036037A">
        <w:t>.</w:t>
      </w:r>
    </w:p>
    <w:p w14:paraId="000521F4" w14:textId="77777777" w:rsidR="0036037A" w:rsidRPr="0036037A" w:rsidRDefault="0036037A" w:rsidP="0036037A">
      <w:pPr>
        <w:spacing w:line="360" w:lineRule="auto"/>
      </w:pPr>
      <w:proofErr w:type="spellStart"/>
      <w:r w:rsidRPr="0036037A">
        <w:t>Purba</w:t>
      </w:r>
      <w:proofErr w:type="spellEnd"/>
      <w:r w:rsidRPr="0036037A">
        <w:t xml:space="preserve">, Y. (2024) ‘Implications of technological evolution on human resource management strategies and legal compliance’, </w:t>
      </w:r>
      <w:proofErr w:type="spellStart"/>
      <w:r w:rsidRPr="0036037A">
        <w:rPr>
          <w:i/>
          <w:iCs/>
        </w:rPr>
        <w:t>Jurnal</w:t>
      </w:r>
      <w:proofErr w:type="spellEnd"/>
      <w:r w:rsidRPr="0036037A">
        <w:rPr>
          <w:i/>
          <w:iCs/>
        </w:rPr>
        <w:t xml:space="preserve"> </w:t>
      </w:r>
      <w:proofErr w:type="spellStart"/>
      <w:r w:rsidRPr="0036037A">
        <w:rPr>
          <w:i/>
          <w:iCs/>
        </w:rPr>
        <w:t>Minfo</w:t>
      </w:r>
      <w:proofErr w:type="spellEnd"/>
      <w:r w:rsidRPr="0036037A">
        <w:rPr>
          <w:i/>
          <w:iCs/>
        </w:rPr>
        <w:t xml:space="preserve"> </w:t>
      </w:r>
      <w:proofErr w:type="spellStart"/>
      <w:r w:rsidRPr="0036037A">
        <w:rPr>
          <w:i/>
          <w:iCs/>
        </w:rPr>
        <w:t>Polgan</w:t>
      </w:r>
      <w:proofErr w:type="spellEnd"/>
      <w:r w:rsidRPr="0036037A">
        <w:t xml:space="preserve">, 12(2), pp. 2686–2692. Available at: </w:t>
      </w:r>
      <w:hyperlink r:id="rId60" w:tgtFrame="_new" w:history="1">
        <w:r w:rsidRPr="0036037A">
          <w:rPr>
            <w:rStyle w:val="Hyperlink"/>
          </w:rPr>
          <w:t>https://doi.org/10.33395/jmp.v12i2.13337</w:t>
        </w:r>
      </w:hyperlink>
      <w:r w:rsidRPr="0036037A">
        <w:t>.</w:t>
      </w:r>
    </w:p>
    <w:p w14:paraId="5FF43BDF" w14:textId="77777777" w:rsidR="0036037A" w:rsidRPr="0036037A" w:rsidRDefault="0036037A" w:rsidP="0036037A">
      <w:pPr>
        <w:spacing w:line="360" w:lineRule="auto"/>
      </w:pPr>
      <w:r w:rsidRPr="0036037A">
        <w:t xml:space="preserve">Rane, N. (2024) ‘Role and challenges of ChatGPT, Gemini, and similar generative artificial intelligence in human resource management’, </w:t>
      </w:r>
      <w:r w:rsidRPr="0036037A">
        <w:rPr>
          <w:i/>
          <w:iCs/>
        </w:rPr>
        <w:t>Studies in Economics and Business Relations</w:t>
      </w:r>
      <w:r w:rsidRPr="0036037A">
        <w:t xml:space="preserve">, 5(1), pp. 11–23. Available at: </w:t>
      </w:r>
      <w:hyperlink r:id="rId61" w:tgtFrame="_new" w:history="1">
        <w:r w:rsidRPr="0036037A">
          <w:rPr>
            <w:rStyle w:val="Hyperlink"/>
          </w:rPr>
          <w:t>https://doi.org/10.48185/sebr.v5i1.1001</w:t>
        </w:r>
      </w:hyperlink>
      <w:r w:rsidRPr="0036037A">
        <w:t>.</w:t>
      </w:r>
    </w:p>
    <w:p w14:paraId="37A9B6A0" w14:textId="77777777" w:rsidR="0036037A" w:rsidRPr="0036037A" w:rsidRDefault="0036037A" w:rsidP="0036037A">
      <w:pPr>
        <w:spacing w:line="360" w:lineRule="auto"/>
      </w:pPr>
      <w:r w:rsidRPr="0036037A">
        <w:lastRenderedPageBreak/>
        <w:t xml:space="preserve">Rasool, U., Aslam, M., Mahmood, R., Barzani, S. and Qian, J. (2023) ‘Pre-service EFL teachers’ perceptions of foreign language writing anxiety and some associated factors’, </w:t>
      </w:r>
      <w:proofErr w:type="spellStart"/>
      <w:r w:rsidRPr="0036037A">
        <w:rPr>
          <w:i/>
          <w:iCs/>
        </w:rPr>
        <w:t>Heliyon</w:t>
      </w:r>
      <w:proofErr w:type="spellEnd"/>
      <w:r w:rsidRPr="0036037A">
        <w:t xml:space="preserve">, 9(2), e13405. Available at: </w:t>
      </w:r>
      <w:hyperlink r:id="rId62" w:tgtFrame="_new" w:history="1">
        <w:r w:rsidRPr="0036037A">
          <w:rPr>
            <w:rStyle w:val="Hyperlink"/>
          </w:rPr>
          <w:t>https://doi.org/10.1016/j.heliyon.2023.e13405</w:t>
        </w:r>
      </w:hyperlink>
      <w:r w:rsidRPr="0036037A">
        <w:t>.</w:t>
      </w:r>
    </w:p>
    <w:p w14:paraId="04CFECF3" w14:textId="77777777" w:rsidR="0036037A" w:rsidRPr="001A25B5" w:rsidRDefault="0036037A" w:rsidP="0036037A">
      <w:pPr>
        <w:spacing w:line="360" w:lineRule="auto"/>
      </w:pPr>
      <w:r w:rsidRPr="001A25B5">
        <w:t xml:space="preserve">Reich, B., Yuan, H., </w:t>
      </w:r>
      <w:proofErr w:type="spellStart"/>
      <w:r w:rsidRPr="001A25B5">
        <w:t>Zollo</w:t>
      </w:r>
      <w:proofErr w:type="spellEnd"/>
      <w:r w:rsidRPr="001A25B5">
        <w:t xml:space="preserve">, L. and </w:t>
      </w:r>
      <w:proofErr w:type="spellStart"/>
      <w:r w:rsidRPr="001A25B5">
        <w:t>Rialti</w:t>
      </w:r>
      <w:proofErr w:type="spellEnd"/>
      <w:r w:rsidRPr="001A25B5">
        <w:t xml:space="preserve">, R. (2025) ‘Implicit ethical consumerism: development and cross-cultural validation of a novel affect-misattribution measure’, </w:t>
      </w:r>
      <w:r w:rsidRPr="0036037A">
        <w:rPr>
          <w:i/>
          <w:iCs/>
        </w:rPr>
        <w:t>Psychology and Marketing</w:t>
      </w:r>
      <w:r w:rsidRPr="001A25B5">
        <w:t xml:space="preserve">, 42(9), pp. 2421–2429. Available at: </w:t>
      </w:r>
      <w:hyperlink r:id="rId63" w:tgtFrame="_new" w:history="1">
        <w:r w:rsidRPr="001A25B5">
          <w:rPr>
            <w:rStyle w:val="Hyperlink"/>
          </w:rPr>
          <w:t>https://doi.org/10.1002/mar.22238</w:t>
        </w:r>
      </w:hyperlink>
      <w:r w:rsidRPr="001A25B5">
        <w:t>.</w:t>
      </w:r>
    </w:p>
    <w:p w14:paraId="37C1CB11" w14:textId="77777777" w:rsidR="0036037A" w:rsidRPr="0036037A" w:rsidRDefault="0036037A" w:rsidP="0036037A">
      <w:pPr>
        <w:spacing w:line="360" w:lineRule="auto"/>
      </w:pPr>
      <w:proofErr w:type="spellStart"/>
      <w:r w:rsidRPr="0036037A">
        <w:t>Rusdi</w:t>
      </w:r>
      <w:proofErr w:type="spellEnd"/>
      <w:r w:rsidRPr="0036037A">
        <w:t xml:space="preserve">, S., Ismail, I. and Isa, R. (2024) ‘Unravelling smart HRM 4.0: a narrative review of progressive 4.0 technology integration in human resource management’, </w:t>
      </w:r>
      <w:r w:rsidRPr="0036037A">
        <w:rPr>
          <w:i/>
          <w:iCs/>
        </w:rPr>
        <w:t>Information Management and Business Review</w:t>
      </w:r>
      <w:r w:rsidRPr="0036037A">
        <w:t xml:space="preserve">, 16(3), pp. 415–423. Available at: </w:t>
      </w:r>
      <w:hyperlink r:id="rId64" w:tgtFrame="_new" w:history="1">
        <w:r w:rsidRPr="0036037A">
          <w:rPr>
            <w:rStyle w:val="Hyperlink"/>
          </w:rPr>
          <w:t>https://doi.org/10.22610/imbr.v16i3(i)s.4070</w:t>
        </w:r>
      </w:hyperlink>
      <w:r w:rsidRPr="0036037A">
        <w:t>.</w:t>
      </w:r>
    </w:p>
    <w:p w14:paraId="20982C23" w14:textId="77777777" w:rsidR="0036037A" w:rsidRPr="0036037A" w:rsidRDefault="0036037A" w:rsidP="0036037A">
      <w:pPr>
        <w:spacing w:line="360" w:lineRule="auto"/>
      </w:pPr>
      <w:proofErr w:type="spellStart"/>
      <w:r w:rsidRPr="0036037A">
        <w:t>Schecter</w:t>
      </w:r>
      <w:proofErr w:type="spellEnd"/>
      <w:r w:rsidRPr="0036037A">
        <w:t xml:space="preserve">, A. and Li, W. (2023) ‘Transparent artificial intelligence and human resource management: a systematic literature review’, </w:t>
      </w:r>
      <w:r w:rsidRPr="0036037A">
        <w:rPr>
          <w:i/>
          <w:iCs/>
        </w:rPr>
        <w:t>Proceedings of the Hawaii International Conference on System Sciences (HICSS)</w:t>
      </w:r>
      <w:r w:rsidRPr="0036037A">
        <w:t xml:space="preserve">, pp. 1–10. Available at: </w:t>
      </w:r>
      <w:hyperlink r:id="rId65" w:tgtFrame="_new" w:history="1">
        <w:r w:rsidRPr="0036037A">
          <w:rPr>
            <w:rStyle w:val="Hyperlink"/>
          </w:rPr>
          <w:t>https://doi.org/10.24251/hicss.2023.132</w:t>
        </w:r>
      </w:hyperlink>
      <w:r w:rsidRPr="0036037A">
        <w:t>.</w:t>
      </w:r>
    </w:p>
    <w:p w14:paraId="08E1EFD8" w14:textId="77777777" w:rsidR="0036037A" w:rsidRPr="001A25B5" w:rsidRDefault="0036037A" w:rsidP="0036037A">
      <w:pPr>
        <w:spacing w:line="360" w:lineRule="auto"/>
      </w:pPr>
      <w:r w:rsidRPr="001A25B5">
        <w:t xml:space="preserve">Schultz, T. (1961) ‘Investment in human capital’, </w:t>
      </w:r>
      <w:r w:rsidRPr="0036037A">
        <w:rPr>
          <w:i/>
          <w:iCs/>
        </w:rPr>
        <w:t>American Economic Review</w:t>
      </w:r>
      <w:r w:rsidRPr="001A25B5">
        <w:t xml:space="preserve">, 51(1), pp. 1–17. Available at: </w:t>
      </w:r>
      <w:hyperlink r:id="rId66" w:tgtFrame="_new" w:history="1">
        <w:r w:rsidRPr="001A25B5">
          <w:rPr>
            <w:rStyle w:val="Hyperlink"/>
          </w:rPr>
          <w:t>https://www.jstor.org/stable/1818907</w:t>
        </w:r>
      </w:hyperlink>
      <w:r w:rsidRPr="001A25B5">
        <w:t>.</w:t>
      </w:r>
    </w:p>
    <w:p w14:paraId="5EBADCA0" w14:textId="77777777" w:rsidR="0036037A" w:rsidRPr="0036037A" w:rsidRDefault="0036037A" w:rsidP="0036037A">
      <w:pPr>
        <w:spacing w:line="360" w:lineRule="auto"/>
      </w:pPr>
      <w:proofErr w:type="spellStart"/>
      <w:r w:rsidRPr="0036037A">
        <w:t>Sivathanu</w:t>
      </w:r>
      <w:proofErr w:type="spellEnd"/>
      <w:r w:rsidRPr="0036037A">
        <w:t xml:space="preserve">, B. and Pillai, R. (2019) ‘Technology and talent analytics for talent management – a game changer for organizational performance’, </w:t>
      </w:r>
      <w:r w:rsidRPr="0036037A">
        <w:rPr>
          <w:i/>
          <w:iCs/>
        </w:rPr>
        <w:t>International Journal of Organizational Analysis</w:t>
      </w:r>
      <w:r w:rsidRPr="0036037A">
        <w:t xml:space="preserve">, 28(2), pp. 457–473. Available at: </w:t>
      </w:r>
      <w:hyperlink r:id="rId67" w:tgtFrame="_new" w:history="1">
        <w:r w:rsidRPr="0036037A">
          <w:rPr>
            <w:rStyle w:val="Hyperlink"/>
          </w:rPr>
          <w:t>https://doi.org/10.1108/ijoa-01-2019-1634</w:t>
        </w:r>
      </w:hyperlink>
      <w:r w:rsidRPr="0036037A">
        <w:t>.</w:t>
      </w:r>
    </w:p>
    <w:p w14:paraId="41AED7F1" w14:textId="77777777" w:rsidR="0036037A" w:rsidRPr="0036037A" w:rsidRDefault="0036037A" w:rsidP="0036037A">
      <w:pPr>
        <w:spacing w:line="360" w:lineRule="auto"/>
      </w:pPr>
      <w:r w:rsidRPr="0036037A">
        <w:t xml:space="preserve">Tripathi, A., Kumari, P., Katiyar, P., Chaudhary, V. and Sharma, M. (2024) ‘Workforce attrition and engagement analysis using machine learning’, </w:t>
      </w:r>
      <w:r w:rsidRPr="0036037A">
        <w:rPr>
          <w:i/>
          <w:iCs/>
        </w:rPr>
        <w:t>Computer Science and Information Systems Technology World (CSISTW)</w:t>
      </w:r>
      <w:r w:rsidRPr="0036037A">
        <w:t xml:space="preserve">, 12(1), pp. 1–10. Available at: </w:t>
      </w:r>
      <w:hyperlink r:id="rId68" w:tgtFrame="_new" w:history="1">
        <w:r w:rsidRPr="0036037A">
          <w:rPr>
            <w:rStyle w:val="Hyperlink"/>
          </w:rPr>
          <w:t>https://doi.org/10.55524/csistw.2024.12.1.26</w:t>
        </w:r>
      </w:hyperlink>
      <w:r w:rsidRPr="0036037A">
        <w:t>.</w:t>
      </w:r>
    </w:p>
    <w:p w14:paraId="6B9F0F04" w14:textId="77777777" w:rsidR="0036037A" w:rsidRPr="0036037A" w:rsidRDefault="0036037A" w:rsidP="0036037A">
      <w:pPr>
        <w:spacing w:line="360" w:lineRule="auto"/>
      </w:pPr>
      <w:r w:rsidRPr="0036037A">
        <w:t xml:space="preserve">Tsiskaridze, R., Reinhold, K. and </w:t>
      </w:r>
      <w:proofErr w:type="spellStart"/>
      <w:r w:rsidRPr="0036037A">
        <w:t>Järvis</w:t>
      </w:r>
      <w:proofErr w:type="spellEnd"/>
      <w:r w:rsidRPr="0036037A">
        <w:t xml:space="preserve">, M. (2023) ‘Innovating HRM recruitment: a comprehensive review of AI deployment’, </w:t>
      </w:r>
      <w:r w:rsidRPr="0036037A">
        <w:rPr>
          <w:i/>
          <w:iCs/>
        </w:rPr>
        <w:t>Marketing and Management of Innovations</w:t>
      </w:r>
      <w:r w:rsidRPr="0036037A">
        <w:t xml:space="preserve">, 14(4), pp. 239–254. Available at: </w:t>
      </w:r>
      <w:hyperlink r:id="rId69" w:tgtFrame="_new" w:history="1">
        <w:r w:rsidRPr="0036037A">
          <w:rPr>
            <w:rStyle w:val="Hyperlink"/>
          </w:rPr>
          <w:t>https://doi.org/10.21272/mmi.2023.4-18</w:t>
        </w:r>
      </w:hyperlink>
      <w:r w:rsidRPr="0036037A">
        <w:t>.</w:t>
      </w:r>
    </w:p>
    <w:p w14:paraId="500FFDD2" w14:textId="77777777" w:rsidR="0036037A" w:rsidRPr="001A25B5" w:rsidRDefault="0036037A" w:rsidP="0036037A">
      <w:pPr>
        <w:spacing w:line="360" w:lineRule="auto"/>
      </w:pPr>
      <w:r w:rsidRPr="001A25B5">
        <w:lastRenderedPageBreak/>
        <w:t xml:space="preserve">Ulrich, D. (1997) </w:t>
      </w:r>
      <w:r w:rsidRPr="0036037A">
        <w:rPr>
          <w:i/>
          <w:iCs/>
        </w:rPr>
        <w:t>Human Resource Champions: The Next Agenda for Adding Value and Delivering Results</w:t>
      </w:r>
      <w:r w:rsidRPr="001A25B5">
        <w:t>. Boston: Harvard Business School Press.</w:t>
      </w:r>
    </w:p>
    <w:p w14:paraId="10893463" w14:textId="77777777" w:rsidR="0036037A" w:rsidRPr="001A25B5" w:rsidRDefault="0036037A" w:rsidP="0036037A">
      <w:pPr>
        <w:spacing w:line="360" w:lineRule="auto"/>
      </w:pPr>
      <w:r w:rsidRPr="001A25B5">
        <w:t xml:space="preserve">Unilever (2024) </w:t>
      </w:r>
      <w:r w:rsidRPr="0036037A">
        <w:rPr>
          <w:i/>
          <w:iCs/>
        </w:rPr>
        <w:t>Future of Work and Flex Experience Report 2024</w:t>
      </w:r>
      <w:r w:rsidRPr="001A25B5">
        <w:t xml:space="preserve">. London: Unilever PLC. Available at: </w:t>
      </w:r>
      <w:hyperlink r:id="rId70" w:tgtFrame="_new" w:history="1">
        <w:r w:rsidRPr="001A25B5">
          <w:rPr>
            <w:rStyle w:val="Hyperlink"/>
          </w:rPr>
          <w:t>https://www.unilever.com/</w:t>
        </w:r>
      </w:hyperlink>
      <w:r w:rsidRPr="001A25B5">
        <w:t>.</w:t>
      </w:r>
    </w:p>
    <w:p w14:paraId="7AAB7E4C" w14:textId="77777777" w:rsidR="0036037A" w:rsidRPr="001A25B5" w:rsidRDefault="0036037A" w:rsidP="0036037A">
      <w:pPr>
        <w:spacing w:line="360" w:lineRule="auto"/>
      </w:pPr>
      <w:r w:rsidRPr="001A25B5">
        <w:t xml:space="preserve">United Nations (2024) </w:t>
      </w:r>
      <w:r w:rsidRPr="0036037A">
        <w:rPr>
          <w:i/>
          <w:iCs/>
        </w:rPr>
        <w:t>World Population Prospects 2024: Summary of Results</w:t>
      </w:r>
      <w:r w:rsidRPr="001A25B5">
        <w:t xml:space="preserve">. New York: UN Department of Economic and Social Affairs. Available at: </w:t>
      </w:r>
      <w:hyperlink r:id="rId71" w:tgtFrame="_new" w:history="1">
        <w:r w:rsidRPr="001A25B5">
          <w:rPr>
            <w:rStyle w:val="Hyperlink"/>
          </w:rPr>
          <w:t>https://population.un.org/wpp/</w:t>
        </w:r>
      </w:hyperlink>
      <w:r w:rsidRPr="001A25B5">
        <w:t>.</w:t>
      </w:r>
    </w:p>
    <w:p w14:paraId="20191CA0" w14:textId="77777777" w:rsidR="0036037A" w:rsidRPr="001A25B5" w:rsidRDefault="0036037A" w:rsidP="0036037A">
      <w:pPr>
        <w:spacing w:line="360" w:lineRule="auto"/>
      </w:pPr>
      <w:r w:rsidRPr="001A25B5">
        <w:t xml:space="preserve">United Nations High Commissioner for Refugees (UNHCR) (2025) </w:t>
      </w:r>
      <w:r w:rsidRPr="0036037A">
        <w:rPr>
          <w:i/>
          <w:iCs/>
        </w:rPr>
        <w:t>Global Trends: Forced Displacement 2025</w:t>
      </w:r>
      <w:r w:rsidRPr="001A25B5">
        <w:t xml:space="preserve">. Geneva: UNHCR. Available at: </w:t>
      </w:r>
      <w:hyperlink r:id="rId72" w:history="1">
        <w:r w:rsidRPr="001A25B5">
          <w:rPr>
            <w:rStyle w:val="Hyperlink"/>
          </w:rPr>
          <w:t>https://www.unhcr.org/global-trends-report</w:t>
        </w:r>
      </w:hyperlink>
      <w:r>
        <w:t xml:space="preserve"> </w:t>
      </w:r>
    </w:p>
    <w:p w14:paraId="7E6BF911" w14:textId="77777777" w:rsidR="0036037A" w:rsidRPr="001A25B5" w:rsidRDefault="0036037A" w:rsidP="0036037A">
      <w:pPr>
        <w:spacing w:line="360" w:lineRule="auto"/>
      </w:pPr>
      <w:r w:rsidRPr="001A25B5">
        <w:t xml:space="preserve">World Bank (2024) </w:t>
      </w:r>
      <w:r w:rsidRPr="0036037A">
        <w:rPr>
          <w:i/>
          <w:iCs/>
        </w:rPr>
        <w:t>Human Capital Outflows and Migration Development Report 2024</w:t>
      </w:r>
      <w:r w:rsidRPr="001A25B5">
        <w:t xml:space="preserve">. Washington DC: World Bank Group. Available at: </w:t>
      </w:r>
      <w:hyperlink r:id="rId73" w:tgtFrame="_new" w:history="1">
        <w:r w:rsidRPr="001A25B5">
          <w:rPr>
            <w:rStyle w:val="Hyperlink"/>
          </w:rPr>
          <w:t>https://www.worldbank.org/en/topic/humancapital</w:t>
        </w:r>
      </w:hyperlink>
      <w:r w:rsidRPr="001A25B5">
        <w:t>.</w:t>
      </w:r>
    </w:p>
    <w:p w14:paraId="0F3F044E" w14:textId="77777777" w:rsidR="0036037A" w:rsidRDefault="0036037A" w:rsidP="0036037A">
      <w:pPr>
        <w:spacing w:line="360" w:lineRule="auto"/>
      </w:pPr>
      <w:r w:rsidRPr="001A25B5">
        <w:t xml:space="preserve">World Economic Forum (2024) </w:t>
      </w:r>
      <w:r w:rsidRPr="0036037A">
        <w:rPr>
          <w:i/>
          <w:iCs/>
        </w:rPr>
        <w:t>The Future of Jobs Report 2024</w:t>
      </w:r>
      <w:r w:rsidRPr="001A25B5">
        <w:t xml:space="preserve">. Geneva: WEF. Available at: </w:t>
      </w:r>
      <w:hyperlink r:id="rId74" w:history="1">
        <w:r w:rsidRPr="001A25B5">
          <w:rPr>
            <w:rStyle w:val="Hyperlink"/>
          </w:rPr>
          <w:t>https://www.weforum.org/reports/the-future-of-jobs-report-2024</w:t>
        </w:r>
      </w:hyperlink>
      <w:r>
        <w:t xml:space="preserve"> </w:t>
      </w:r>
    </w:p>
    <w:p w14:paraId="61E06552" w14:textId="77777777" w:rsidR="0036037A" w:rsidRDefault="0036037A" w:rsidP="004A79FF">
      <w:pPr>
        <w:spacing w:line="360" w:lineRule="auto"/>
      </w:pPr>
    </w:p>
    <w:sectPr w:rsidR="0036037A" w:rsidSect="001A25B5">
      <w:footerReference w:type="default" r:id="rId7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1B7A9A" w14:textId="77777777" w:rsidR="006E40CB" w:rsidRDefault="006E40CB" w:rsidP="001A25B5">
      <w:pPr>
        <w:spacing w:after="0" w:line="240" w:lineRule="auto"/>
      </w:pPr>
      <w:r>
        <w:separator/>
      </w:r>
    </w:p>
  </w:endnote>
  <w:endnote w:type="continuationSeparator" w:id="0">
    <w:p w14:paraId="0041C842" w14:textId="77777777" w:rsidR="006E40CB" w:rsidRDefault="006E40CB" w:rsidP="001A2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rPr>
      <w:id w:val="1867015702"/>
      <w:docPartObj>
        <w:docPartGallery w:val="Page Numbers (Bottom of Page)"/>
        <w:docPartUnique/>
      </w:docPartObj>
    </w:sdtPr>
    <w:sdtEndPr>
      <w:rPr>
        <w:noProof/>
      </w:rPr>
    </w:sdtEndPr>
    <w:sdtContent>
      <w:p w14:paraId="3E5FC51A" w14:textId="2E972B16" w:rsidR="001A25B5" w:rsidRDefault="001A25B5">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asciiTheme="minorHAnsi" w:eastAsiaTheme="minorEastAsia" w:hAnsiTheme="minorHAnsi" w:cs="Times New Roman"/>
            <w:sz w:val="22"/>
            <w:szCs w:val="22"/>
          </w:rPr>
          <w:fldChar w:fldCharType="begin"/>
        </w:r>
        <w:r>
          <w:instrText xml:space="preserve"> PAGE    \* MERGEFORMAT </w:instrText>
        </w:r>
        <w:r>
          <w:rPr>
            <w:rFonts w:asciiTheme="minorHAnsi" w:eastAsiaTheme="minorEastAsia" w:hAnsiTheme="minorHAnsi" w:cs="Times New Roman"/>
            <w:sz w:val="22"/>
            <w:szCs w:val="22"/>
          </w:rPr>
          <w:fldChar w:fldCharType="separate"/>
        </w:r>
        <w:r w:rsidR="00906432" w:rsidRPr="00906432">
          <w:rPr>
            <w:rFonts w:asciiTheme="majorHAnsi" w:eastAsiaTheme="majorEastAsia" w:hAnsiTheme="majorHAnsi" w:cstheme="majorBidi"/>
            <w:noProof/>
            <w:sz w:val="28"/>
            <w:szCs w:val="28"/>
          </w:rPr>
          <w:t>20</w:t>
        </w:r>
        <w:r>
          <w:rPr>
            <w:rFonts w:asciiTheme="majorHAnsi" w:eastAsiaTheme="majorEastAsia" w:hAnsiTheme="majorHAnsi" w:cstheme="majorBidi"/>
            <w:noProof/>
            <w:sz w:val="28"/>
            <w:szCs w:val="28"/>
          </w:rPr>
          <w:fldChar w:fldCharType="end"/>
        </w:r>
      </w:p>
    </w:sdtContent>
  </w:sdt>
  <w:p w14:paraId="40B53B25" w14:textId="77777777" w:rsidR="001A25B5" w:rsidRDefault="001A25B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71C777" w14:textId="77777777" w:rsidR="006E40CB" w:rsidRDefault="006E40CB" w:rsidP="001A25B5">
      <w:pPr>
        <w:spacing w:after="0" w:line="240" w:lineRule="auto"/>
      </w:pPr>
      <w:r>
        <w:separator/>
      </w:r>
    </w:p>
  </w:footnote>
  <w:footnote w:type="continuationSeparator" w:id="0">
    <w:p w14:paraId="39039F11" w14:textId="77777777" w:rsidR="006E40CB" w:rsidRDefault="006E40CB" w:rsidP="001A2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03350B"/>
    <w:multiLevelType w:val="hybridMultilevel"/>
    <w:tmpl w:val="6FAC8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C9E"/>
    <w:rsid w:val="001A25B5"/>
    <w:rsid w:val="001D555C"/>
    <w:rsid w:val="001F6580"/>
    <w:rsid w:val="00221ED6"/>
    <w:rsid w:val="002542A9"/>
    <w:rsid w:val="002560AE"/>
    <w:rsid w:val="00264ABD"/>
    <w:rsid w:val="00287AAB"/>
    <w:rsid w:val="0036037A"/>
    <w:rsid w:val="004A79FF"/>
    <w:rsid w:val="00693430"/>
    <w:rsid w:val="006E40CB"/>
    <w:rsid w:val="007224A4"/>
    <w:rsid w:val="007547FB"/>
    <w:rsid w:val="00803F7A"/>
    <w:rsid w:val="00875EE0"/>
    <w:rsid w:val="00906432"/>
    <w:rsid w:val="00945C54"/>
    <w:rsid w:val="00946F7D"/>
    <w:rsid w:val="009B4850"/>
    <w:rsid w:val="00B247A1"/>
    <w:rsid w:val="00B83DE0"/>
    <w:rsid w:val="00BA0F47"/>
    <w:rsid w:val="00CD7C9E"/>
    <w:rsid w:val="00D52FCF"/>
    <w:rsid w:val="00DE3229"/>
    <w:rsid w:val="00E6211F"/>
    <w:rsid w:val="00FB3216"/>
    <w:rsid w:val="00FE34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2858E"/>
  <w15:chartTrackingRefBased/>
  <w15:docId w15:val="{FA15A6BA-0582-4EE1-89ED-C27C033F8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037A"/>
    <w:pPr>
      <w:jc w:val="both"/>
    </w:pPr>
    <w:rPr>
      <w:rFonts w:ascii="Arial" w:hAnsi="Arial"/>
    </w:rPr>
  </w:style>
  <w:style w:type="paragraph" w:styleId="Heading1">
    <w:name w:val="heading 1"/>
    <w:basedOn w:val="Normal"/>
    <w:next w:val="Normal"/>
    <w:link w:val="Heading1Char"/>
    <w:uiPriority w:val="9"/>
    <w:qFormat/>
    <w:rsid w:val="007547FB"/>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547FB"/>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D7C9E"/>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CD7C9E"/>
    <w:rPr>
      <w:rFonts w:eastAsiaTheme="minorEastAsia"/>
      <w:kern w:val="0"/>
      <w:sz w:val="22"/>
      <w:szCs w:val="22"/>
      <w14:ligatures w14:val="none"/>
    </w:rPr>
  </w:style>
  <w:style w:type="character" w:styleId="Hyperlink">
    <w:name w:val="Hyperlink"/>
    <w:basedOn w:val="DefaultParagraphFont"/>
    <w:uiPriority w:val="99"/>
    <w:unhideWhenUsed/>
    <w:rsid w:val="00CD7C9E"/>
    <w:rPr>
      <w:color w:val="467886" w:themeColor="hyperlink"/>
      <w:u w:val="single"/>
    </w:rPr>
  </w:style>
  <w:style w:type="character" w:customStyle="1" w:styleId="UnresolvedMention">
    <w:name w:val="Unresolved Mention"/>
    <w:basedOn w:val="DefaultParagraphFont"/>
    <w:uiPriority w:val="99"/>
    <w:semiHidden/>
    <w:unhideWhenUsed/>
    <w:rsid w:val="00CD7C9E"/>
    <w:rPr>
      <w:color w:val="605E5C"/>
      <w:shd w:val="clear" w:color="auto" w:fill="E1DFDD"/>
    </w:rPr>
  </w:style>
  <w:style w:type="character" w:customStyle="1" w:styleId="Heading1Char">
    <w:name w:val="Heading 1 Char"/>
    <w:basedOn w:val="DefaultParagraphFont"/>
    <w:link w:val="Heading1"/>
    <w:uiPriority w:val="9"/>
    <w:rsid w:val="007547FB"/>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547FB"/>
    <w:rPr>
      <w:rFonts w:ascii="Arial" w:eastAsiaTheme="majorEastAsia" w:hAnsi="Arial" w:cstheme="majorBidi"/>
      <w:b/>
      <w:sz w:val="26"/>
      <w:szCs w:val="26"/>
    </w:rPr>
  </w:style>
  <w:style w:type="table" w:styleId="TableGrid">
    <w:name w:val="Table Grid"/>
    <w:basedOn w:val="TableNormal"/>
    <w:uiPriority w:val="39"/>
    <w:rsid w:val="00D52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52F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D52FC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D52FC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52FC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
    <w:name w:val="Grid Table 1 Light"/>
    <w:basedOn w:val="TableNormal"/>
    <w:uiPriority w:val="46"/>
    <w:rsid w:val="00D52FC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D52FCF"/>
    <w:pPr>
      <w:spacing w:line="259" w:lineRule="auto"/>
      <w:outlineLvl w:val="9"/>
    </w:pPr>
    <w:rPr>
      <w:rFonts w:asciiTheme="majorHAnsi" w:hAnsiTheme="majorHAnsi"/>
      <w:b w:val="0"/>
      <w:color w:val="0F4761" w:themeColor="accent1" w:themeShade="BF"/>
      <w:kern w:val="0"/>
      <w14:ligatures w14:val="none"/>
    </w:rPr>
  </w:style>
  <w:style w:type="paragraph" w:styleId="TOC1">
    <w:name w:val="toc 1"/>
    <w:basedOn w:val="Normal"/>
    <w:next w:val="Normal"/>
    <w:autoRedefine/>
    <w:uiPriority w:val="39"/>
    <w:unhideWhenUsed/>
    <w:rsid w:val="00D52FCF"/>
    <w:pPr>
      <w:spacing w:after="100"/>
    </w:pPr>
  </w:style>
  <w:style w:type="paragraph" w:styleId="TOC2">
    <w:name w:val="toc 2"/>
    <w:basedOn w:val="Normal"/>
    <w:next w:val="Normal"/>
    <w:autoRedefine/>
    <w:uiPriority w:val="39"/>
    <w:unhideWhenUsed/>
    <w:rsid w:val="00D52FCF"/>
    <w:pPr>
      <w:spacing w:after="100"/>
      <w:ind w:left="240"/>
    </w:pPr>
  </w:style>
  <w:style w:type="paragraph" w:styleId="Caption">
    <w:name w:val="caption"/>
    <w:basedOn w:val="Normal"/>
    <w:next w:val="Normal"/>
    <w:uiPriority w:val="35"/>
    <w:unhideWhenUsed/>
    <w:qFormat/>
    <w:rsid w:val="00FE34B1"/>
    <w:pPr>
      <w:spacing w:after="200" w:line="240" w:lineRule="auto"/>
    </w:pPr>
    <w:rPr>
      <w:i/>
      <w:iCs/>
      <w:color w:val="0E2841" w:themeColor="text2"/>
      <w:sz w:val="18"/>
      <w:szCs w:val="18"/>
    </w:rPr>
  </w:style>
  <w:style w:type="paragraph" w:styleId="Header">
    <w:name w:val="header"/>
    <w:basedOn w:val="Normal"/>
    <w:link w:val="HeaderChar"/>
    <w:uiPriority w:val="99"/>
    <w:unhideWhenUsed/>
    <w:rsid w:val="001A25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25B5"/>
    <w:rPr>
      <w:rFonts w:ascii="Arial" w:hAnsi="Arial"/>
    </w:rPr>
  </w:style>
  <w:style w:type="paragraph" w:styleId="Footer">
    <w:name w:val="footer"/>
    <w:basedOn w:val="Normal"/>
    <w:link w:val="FooterChar"/>
    <w:uiPriority w:val="99"/>
    <w:unhideWhenUsed/>
    <w:rsid w:val="001A25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25B5"/>
    <w:rPr>
      <w:rFonts w:ascii="Arial" w:hAnsi="Arial"/>
    </w:rPr>
  </w:style>
  <w:style w:type="paragraph" w:styleId="ListParagraph">
    <w:name w:val="List Paragraph"/>
    <w:basedOn w:val="Normal"/>
    <w:uiPriority w:val="34"/>
    <w:qFormat/>
    <w:rsid w:val="003603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476044">
      <w:bodyDiv w:val="1"/>
      <w:marLeft w:val="0"/>
      <w:marRight w:val="0"/>
      <w:marTop w:val="0"/>
      <w:marBottom w:val="0"/>
      <w:divBdr>
        <w:top w:val="none" w:sz="0" w:space="0" w:color="auto"/>
        <w:left w:val="none" w:sz="0" w:space="0" w:color="auto"/>
        <w:bottom w:val="none" w:sz="0" w:space="0" w:color="auto"/>
        <w:right w:val="none" w:sz="0" w:space="0" w:color="auto"/>
      </w:divBdr>
      <w:divsChild>
        <w:div w:id="1849632104">
          <w:marLeft w:val="0"/>
          <w:marRight w:val="0"/>
          <w:marTop w:val="0"/>
          <w:marBottom w:val="0"/>
          <w:divBdr>
            <w:top w:val="none" w:sz="0" w:space="0" w:color="auto"/>
            <w:left w:val="none" w:sz="0" w:space="0" w:color="auto"/>
            <w:bottom w:val="none" w:sz="0" w:space="0" w:color="auto"/>
            <w:right w:val="none" w:sz="0" w:space="0" w:color="auto"/>
          </w:divBdr>
          <w:divsChild>
            <w:div w:id="104394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907828">
      <w:bodyDiv w:val="1"/>
      <w:marLeft w:val="0"/>
      <w:marRight w:val="0"/>
      <w:marTop w:val="0"/>
      <w:marBottom w:val="0"/>
      <w:divBdr>
        <w:top w:val="none" w:sz="0" w:space="0" w:color="auto"/>
        <w:left w:val="none" w:sz="0" w:space="0" w:color="auto"/>
        <w:bottom w:val="none" w:sz="0" w:space="0" w:color="auto"/>
        <w:right w:val="none" w:sz="0" w:space="0" w:color="auto"/>
      </w:divBdr>
      <w:divsChild>
        <w:div w:id="846943822">
          <w:marLeft w:val="0"/>
          <w:marRight w:val="0"/>
          <w:marTop w:val="0"/>
          <w:marBottom w:val="0"/>
          <w:divBdr>
            <w:top w:val="none" w:sz="0" w:space="0" w:color="auto"/>
            <w:left w:val="none" w:sz="0" w:space="0" w:color="auto"/>
            <w:bottom w:val="none" w:sz="0" w:space="0" w:color="auto"/>
            <w:right w:val="none" w:sz="0" w:space="0" w:color="auto"/>
          </w:divBdr>
          <w:divsChild>
            <w:div w:id="145857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337038">
      <w:bodyDiv w:val="1"/>
      <w:marLeft w:val="0"/>
      <w:marRight w:val="0"/>
      <w:marTop w:val="0"/>
      <w:marBottom w:val="0"/>
      <w:divBdr>
        <w:top w:val="none" w:sz="0" w:space="0" w:color="auto"/>
        <w:left w:val="none" w:sz="0" w:space="0" w:color="auto"/>
        <w:bottom w:val="none" w:sz="0" w:space="0" w:color="auto"/>
        <w:right w:val="none" w:sz="0" w:space="0" w:color="auto"/>
      </w:divBdr>
    </w:div>
    <w:div w:id="443812845">
      <w:bodyDiv w:val="1"/>
      <w:marLeft w:val="0"/>
      <w:marRight w:val="0"/>
      <w:marTop w:val="0"/>
      <w:marBottom w:val="0"/>
      <w:divBdr>
        <w:top w:val="none" w:sz="0" w:space="0" w:color="auto"/>
        <w:left w:val="none" w:sz="0" w:space="0" w:color="auto"/>
        <w:bottom w:val="none" w:sz="0" w:space="0" w:color="auto"/>
        <w:right w:val="none" w:sz="0" w:space="0" w:color="auto"/>
      </w:divBdr>
    </w:div>
    <w:div w:id="445198531">
      <w:bodyDiv w:val="1"/>
      <w:marLeft w:val="0"/>
      <w:marRight w:val="0"/>
      <w:marTop w:val="0"/>
      <w:marBottom w:val="0"/>
      <w:divBdr>
        <w:top w:val="none" w:sz="0" w:space="0" w:color="auto"/>
        <w:left w:val="none" w:sz="0" w:space="0" w:color="auto"/>
        <w:bottom w:val="none" w:sz="0" w:space="0" w:color="auto"/>
        <w:right w:val="none" w:sz="0" w:space="0" w:color="auto"/>
      </w:divBdr>
    </w:div>
    <w:div w:id="517550172">
      <w:bodyDiv w:val="1"/>
      <w:marLeft w:val="0"/>
      <w:marRight w:val="0"/>
      <w:marTop w:val="0"/>
      <w:marBottom w:val="0"/>
      <w:divBdr>
        <w:top w:val="none" w:sz="0" w:space="0" w:color="auto"/>
        <w:left w:val="none" w:sz="0" w:space="0" w:color="auto"/>
        <w:bottom w:val="none" w:sz="0" w:space="0" w:color="auto"/>
        <w:right w:val="none" w:sz="0" w:space="0" w:color="auto"/>
      </w:divBdr>
    </w:div>
    <w:div w:id="538401640">
      <w:bodyDiv w:val="1"/>
      <w:marLeft w:val="0"/>
      <w:marRight w:val="0"/>
      <w:marTop w:val="0"/>
      <w:marBottom w:val="0"/>
      <w:divBdr>
        <w:top w:val="none" w:sz="0" w:space="0" w:color="auto"/>
        <w:left w:val="none" w:sz="0" w:space="0" w:color="auto"/>
        <w:bottom w:val="none" w:sz="0" w:space="0" w:color="auto"/>
        <w:right w:val="none" w:sz="0" w:space="0" w:color="auto"/>
      </w:divBdr>
    </w:div>
    <w:div w:id="696007559">
      <w:bodyDiv w:val="1"/>
      <w:marLeft w:val="0"/>
      <w:marRight w:val="0"/>
      <w:marTop w:val="0"/>
      <w:marBottom w:val="0"/>
      <w:divBdr>
        <w:top w:val="none" w:sz="0" w:space="0" w:color="auto"/>
        <w:left w:val="none" w:sz="0" w:space="0" w:color="auto"/>
        <w:bottom w:val="none" w:sz="0" w:space="0" w:color="auto"/>
        <w:right w:val="none" w:sz="0" w:space="0" w:color="auto"/>
      </w:divBdr>
    </w:div>
    <w:div w:id="737827173">
      <w:bodyDiv w:val="1"/>
      <w:marLeft w:val="0"/>
      <w:marRight w:val="0"/>
      <w:marTop w:val="0"/>
      <w:marBottom w:val="0"/>
      <w:divBdr>
        <w:top w:val="none" w:sz="0" w:space="0" w:color="auto"/>
        <w:left w:val="none" w:sz="0" w:space="0" w:color="auto"/>
        <w:bottom w:val="none" w:sz="0" w:space="0" w:color="auto"/>
        <w:right w:val="none" w:sz="0" w:space="0" w:color="auto"/>
      </w:divBdr>
      <w:divsChild>
        <w:div w:id="416559966">
          <w:marLeft w:val="0"/>
          <w:marRight w:val="0"/>
          <w:marTop w:val="0"/>
          <w:marBottom w:val="0"/>
          <w:divBdr>
            <w:top w:val="none" w:sz="0" w:space="0" w:color="auto"/>
            <w:left w:val="none" w:sz="0" w:space="0" w:color="auto"/>
            <w:bottom w:val="none" w:sz="0" w:space="0" w:color="auto"/>
            <w:right w:val="none" w:sz="0" w:space="0" w:color="auto"/>
          </w:divBdr>
          <w:divsChild>
            <w:div w:id="137889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952406">
      <w:bodyDiv w:val="1"/>
      <w:marLeft w:val="0"/>
      <w:marRight w:val="0"/>
      <w:marTop w:val="0"/>
      <w:marBottom w:val="0"/>
      <w:divBdr>
        <w:top w:val="none" w:sz="0" w:space="0" w:color="auto"/>
        <w:left w:val="none" w:sz="0" w:space="0" w:color="auto"/>
        <w:bottom w:val="none" w:sz="0" w:space="0" w:color="auto"/>
        <w:right w:val="none" w:sz="0" w:space="0" w:color="auto"/>
      </w:divBdr>
      <w:divsChild>
        <w:div w:id="143355019">
          <w:marLeft w:val="0"/>
          <w:marRight w:val="0"/>
          <w:marTop w:val="0"/>
          <w:marBottom w:val="0"/>
          <w:divBdr>
            <w:top w:val="none" w:sz="0" w:space="0" w:color="auto"/>
            <w:left w:val="none" w:sz="0" w:space="0" w:color="auto"/>
            <w:bottom w:val="none" w:sz="0" w:space="0" w:color="auto"/>
            <w:right w:val="none" w:sz="0" w:space="0" w:color="auto"/>
          </w:divBdr>
          <w:divsChild>
            <w:div w:id="1459102275">
              <w:marLeft w:val="0"/>
              <w:marRight w:val="0"/>
              <w:marTop w:val="0"/>
              <w:marBottom w:val="0"/>
              <w:divBdr>
                <w:top w:val="none" w:sz="0" w:space="0" w:color="auto"/>
                <w:left w:val="none" w:sz="0" w:space="0" w:color="auto"/>
                <w:bottom w:val="none" w:sz="0" w:space="0" w:color="auto"/>
                <w:right w:val="none" w:sz="0" w:space="0" w:color="auto"/>
              </w:divBdr>
            </w:div>
          </w:divsChild>
        </w:div>
        <w:div w:id="1990673094">
          <w:marLeft w:val="0"/>
          <w:marRight w:val="0"/>
          <w:marTop w:val="0"/>
          <w:marBottom w:val="0"/>
          <w:divBdr>
            <w:top w:val="none" w:sz="0" w:space="0" w:color="auto"/>
            <w:left w:val="none" w:sz="0" w:space="0" w:color="auto"/>
            <w:bottom w:val="none" w:sz="0" w:space="0" w:color="auto"/>
            <w:right w:val="none" w:sz="0" w:space="0" w:color="auto"/>
          </w:divBdr>
          <w:divsChild>
            <w:div w:id="74580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636648">
      <w:bodyDiv w:val="1"/>
      <w:marLeft w:val="0"/>
      <w:marRight w:val="0"/>
      <w:marTop w:val="0"/>
      <w:marBottom w:val="0"/>
      <w:divBdr>
        <w:top w:val="none" w:sz="0" w:space="0" w:color="auto"/>
        <w:left w:val="none" w:sz="0" w:space="0" w:color="auto"/>
        <w:bottom w:val="none" w:sz="0" w:space="0" w:color="auto"/>
        <w:right w:val="none" w:sz="0" w:space="0" w:color="auto"/>
      </w:divBdr>
    </w:div>
    <w:div w:id="871187239">
      <w:bodyDiv w:val="1"/>
      <w:marLeft w:val="0"/>
      <w:marRight w:val="0"/>
      <w:marTop w:val="0"/>
      <w:marBottom w:val="0"/>
      <w:divBdr>
        <w:top w:val="none" w:sz="0" w:space="0" w:color="auto"/>
        <w:left w:val="none" w:sz="0" w:space="0" w:color="auto"/>
        <w:bottom w:val="none" w:sz="0" w:space="0" w:color="auto"/>
        <w:right w:val="none" w:sz="0" w:space="0" w:color="auto"/>
      </w:divBdr>
      <w:divsChild>
        <w:div w:id="1696956243">
          <w:marLeft w:val="0"/>
          <w:marRight w:val="0"/>
          <w:marTop w:val="0"/>
          <w:marBottom w:val="0"/>
          <w:divBdr>
            <w:top w:val="none" w:sz="0" w:space="0" w:color="auto"/>
            <w:left w:val="none" w:sz="0" w:space="0" w:color="auto"/>
            <w:bottom w:val="none" w:sz="0" w:space="0" w:color="auto"/>
            <w:right w:val="none" w:sz="0" w:space="0" w:color="auto"/>
          </w:divBdr>
          <w:divsChild>
            <w:div w:id="156887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917284">
      <w:bodyDiv w:val="1"/>
      <w:marLeft w:val="0"/>
      <w:marRight w:val="0"/>
      <w:marTop w:val="0"/>
      <w:marBottom w:val="0"/>
      <w:divBdr>
        <w:top w:val="none" w:sz="0" w:space="0" w:color="auto"/>
        <w:left w:val="none" w:sz="0" w:space="0" w:color="auto"/>
        <w:bottom w:val="none" w:sz="0" w:space="0" w:color="auto"/>
        <w:right w:val="none" w:sz="0" w:space="0" w:color="auto"/>
      </w:divBdr>
      <w:divsChild>
        <w:div w:id="204829542">
          <w:marLeft w:val="0"/>
          <w:marRight w:val="0"/>
          <w:marTop w:val="0"/>
          <w:marBottom w:val="0"/>
          <w:divBdr>
            <w:top w:val="none" w:sz="0" w:space="0" w:color="auto"/>
            <w:left w:val="none" w:sz="0" w:space="0" w:color="auto"/>
            <w:bottom w:val="none" w:sz="0" w:space="0" w:color="auto"/>
            <w:right w:val="none" w:sz="0" w:space="0" w:color="auto"/>
          </w:divBdr>
          <w:divsChild>
            <w:div w:id="200457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050358">
      <w:bodyDiv w:val="1"/>
      <w:marLeft w:val="0"/>
      <w:marRight w:val="0"/>
      <w:marTop w:val="0"/>
      <w:marBottom w:val="0"/>
      <w:divBdr>
        <w:top w:val="none" w:sz="0" w:space="0" w:color="auto"/>
        <w:left w:val="none" w:sz="0" w:space="0" w:color="auto"/>
        <w:bottom w:val="none" w:sz="0" w:space="0" w:color="auto"/>
        <w:right w:val="none" w:sz="0" w:space="0" w:color="auto"/>
      </w:divBdr>
    </w:div>
    <w:div w:id="999508330">
      <w:bodyDiv w:val="1"/>
      <w:marLeft w:val="0"/>
      <w:marRight w:val="0"/>
      <w:marTop w:val="0"/>
      <w:marBottom w:val="0"/>
      <w:divBdr>
        <w:top w:val="none" w:sz="0" w:space="0" w:color="auto"/>
        <w:left w:val="none" w:sz="0" w:space="0" w:color="auto"/>
        <w:bottom w:val="none" w:sz="0" w:space="0" w:color="auto"/>
        <w:right w:val="none" w:sz="0" w:space="0" w:color="auto"/>
      </w:divBdr>
    </w:div>
    <w:div w:id="1083793008">
      <w:bodyDiv w:val="1"/>
      <w:marLeft w:val="0"/>
      <w:marRight w:val="0"/>
      <w:marTop w:val="0"/>
      <w:marBottom w:val="0"/>
      <w:divBdr>
        <w:top w:val="none" w:sz="0" w:space="0" w:color="auto"/>
        <w:left w:val="none" w:sz="0" w:space="0" w:color="auto"/>
        <w:bottom w:val="none" w:sz="0" w:space="0" w:color="auto"/>
        <w:right w:val="none" w:sz="0" w:space="0" w:color="auto"/>
      </w:divBdr>
    </w:div>
    <w:div w:id="1209881227">
      <w:bodyDiv w:val="1"/>
      <w:marLeft w:val="0"/>
      <w:marRight w:val="0"/>
      <w:marTop w:val="0"/>
      <w:marBottom w:val="0"/>
      <w:divBdr>
        <w:top w:val="none" w:sz="0" w:space="0" w:color="auto"/>
        <w:left w:val="none" w:sz="0" w:space="0" w:color="auto"/>
        <w:bottom w:val="none" w:sz="0" w:space="0" w:color="auto"/>
        <w:right w:val="none" w:sz="0" w:space="0" w:color="auto"/>
      </w:divBdr>
    </w:div>
    <w:div w:id="1217013588">
      <w:bodyDiv w:val="1"/>
      <w:marLeft w:val="0"/>
      <w:marRight w:val="0"/>
      <w:marTop w:val="0"/>
      <w:marBottom w:val="0"/>
      <w:divBdr>
        <w:top w:val="none" w:sz="0" w:space="0" w:color="auto"/>
        <w:left w:val="none" w:sz="0" w:space="0" w:color="auto"/>
        <w:bottom w:val="none" w:sz="0" w:space="0" w:color="auto"/>
        <w:right w:val="none" w:sz="0" w:space="0" w:color="auto"/>
      </w:divBdr>
      <w:divsChild>
        <w:div w:id="28457243">
          <w:marLeft w:val="0"/>
          <w:marRight w:val="0"/>
          <w:marTop w:val="0"/>
          <w:marBottom w:val="0"/>
          <w:divBdr>
            <w:top w:val="none" w:sz="0" w:space="0" w:color="auto"/>
            <w:left w:val="none" w:sz="0" w:space="0" w:color="auto"/>
            <w:bottom w:val="none" w:sz="0" w:space="0" w:color="auto"/>
            <w:right w:val="none" w:sz="0" w:space="0" w:color="auto"/>
          </w:divBdr>
          <w:divsChild>
            <w:div w:id="181607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171471">
      <w:bodyDiv w:val="1"/>
      <w:marLeft w:val="0"/>
      <w:marRight w:val="0"/>
      <w:marTop w:val="0"/>
      <w:marBottom w:val="0"/>
      <w:divBdr>
        <w:top w:val="none" w:sz="0" w:space="0" w:color="auto"/>
        <w:left w:val="none" w:sz="0" w:space="0" w:color="auto"/>
        <w:bottom w:val="none" w:sz="0" w:space="0" w:color="auto"/>
        <w:right w:val="none" w:sz="0" w:space="0" w:color="auto"/>
      </w:divBdr>
    </w:div>
    <w:div w:id="1292662665">
      <w:bodyDiv w:val="1"/>
      <w:marLeft w:val="0"/>
      <w:marRight w:val="0"/>
      <w:marTop w:val="0"/>
      <w:marBottom w:val="0"/>
      <w:divBdr>
        <w:top w:val="none" w:sz="0" w:space="0" w:color="auto"/>
        <w:left w:val="none" w:sz="0" w:space="0" w:color="auto"/>
        <w:bottom w:val="none" w:sz="0" w:space="0" w:color="auto"/>
        <w:right w:val="none" w:sz="0" w:space="0" w:color="auto"/>
      </w:divBdr>
    </w:div>
    <w:div w:id="1317686974">
      <w:bodyDiv w:val="1"/>
      <w:marLeft w:val="0"/>
      <w:marRight w:val="0"/>
      <w:marTop w:val="0"/>
      <w:marBottom w:val="0"/>
      <w:divBdr>
        <w:top w:val="none" w:sz="0" w:space="0" w:color="auto"/>
        <w:left w:val="none" w:sz="0" w:space="0" w:color="auto"/>
        <w:bottom w:val="none" w:sz="0" w:space="0" w:color="auto"/>
        <w:right w:val="none" w:sz="0" w:space="0" w:color="auto"/>
      </w:divBdr>
      <w:divsChild>
        <w:div w:id="202256960">
          <w:marLeft w:val="0"/>
          <w:marRight w:val="0"/>
          <w:marTop w:val="0"/>
          <w:marBottom w:val="0"/>
          <w:divBdr>
            <w:top w:val="none" w:sz="0" w:space="0" w:color="auto"/>
            <w:left w:val="none" w:sz="0" w:space="0" w:color="auto"/>
            <w:bottom w:val="none" w:sz="0" w:space="0" w:color="auto"/>
            <w:right w:val="none" w:sz="0" w:space="0" w:color="auto"/>
          </w:divBdr>
          <w:divsChild>
            <w:div w:id="184793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419032">
      <w:bodyDiv w:val="1"/>
      <w:marLeft w:val="0"/>
      <w:marRight w:val="0"/>
      <w:marTop w:val="0"/>
      <w:marBottom w:val="0"/>
      <w:divBdr>
        <w:top w:val="none" w:sz="0" w:space="0" w:color="auto"/>
        <w:left w:val="none" w:sz="0" w:space="0" w:color="auto"/>
        <w:bottom w:val="none" w:sz="0" w:space="0" w:color="auto"/>
        <w:right w:val="none" w:sz="0" w:space="0" w:color="auto"/>
      </w:divBdr>
      <w:divsChild>
        <w:div w:id="301694514">
          <w:marLeft w:val="0"/>
          <w:marRight w:val="0"/>
          <w:marTop w:val="0"/>
          <w:marBottom w:val="0"/>
          <w:divBdr>
            <w:top w:val="none" w:sz="0" w:space="0" w:color="auto"/>
            <w:left w:val="none" w:sz="0" w:space="0" w:color="auto"/>
            <w:bottom w:val="none" w:sz="0" w:space="0" w:color="auto"/>
            <w:right w:val="none" w:sz="0" w:space="0" w:color="auto"/>
          </w:divBdr>
          <w:divsChild>
            <w:div w:id="2122336278">
              <w:marLeft w:val="0"/>
              <w:marRight w:val="0"/>
              <w:marTop w:val="0"/>
              <w:marBottom w:val="0"/>
              <w:divBdr>
                <w:top w:val="none" w:sz="0" w:space="0" w:color="auto"/>
                <w:left w:val="none" w:sz="0" w:space="0" w:color="auto"/>
                <w:bottom w:val="none" w:sz="0" w:space="0" w:color="auto"/>
                <w:right w:val="none" w:sz="0" w:space="0" w:color="auto"/>
              </w:divBdr>
            </w:div>
          </w:divsChild>
        </w:div>
        <w:div w:id="1654140366">
          <w:marLeft w:val="0"/>
          <w:marRight w:val="0"/>
          <w:marTop w:val="0"/>
          <w:marBottom w:val="0"/>
          <w:divBdr>
            <w:top w:val="none" w:sz="0" w:space="0" w:color="auto"/>
            <w:left w:val="none" w:sz="0" w:space="0" w:color="auto"/>
            <w:bottom w:val="none" w:sz="0" w:space="0" w:color="auto"/>
            <w:right w:val="none" w:sz="0" w:space="0" w:color="auto"/>
          </w:divBdr>
          <w:divsChild>
            <w:div w:id="201826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498420725">
      <w:bodyDiv w:val="1"/>
      <w:marLeft w:val="0"/>
      <w:marRight w:val="0"/>
      <w:marTop w:val="0"/>
      <w:marBottom w:val="0"/>
      <w:divBdr>
        <w:top w:val="none" w:sz="0" w:space="0" w:color="auto"/>
        <w:left w:val="none" w:sz="0" w:space="0" w:color="auto"/>
        <w:bottom w:val="none" w:sz="0" w:space="0" w:color="auto"/>
        <w:right w:val="none" w:sz="0" w:space="0" w:color="auto"/>
      </w:divBdr>
    </w:div>
    <w:div w:id="1622682788">
      <w:bodyDiv w:val="1"/>
      <w:marLeft w:val="0"/>
      <w:marRight w:val="0"/>
      <w:marTop w:val="0"/>
      <w:marBottom w:val="0"/>
      <w:divBdr>
        <w:top w:val="none" w:sz="0" w:space="0" w:color="auto"/>
        <w:left w:val="none" w:sz="0" w:space="0" w:color="auto"/>
        <w:bottom w:val="none" w:sz="0" w:space="0" w:color="auto"/>
        <w:right w:val="none" w:sz="0" w:space="0" w:color="auto"/>
      </w:divBdr>
    </w:div>
    <w:div w:id="1785996221">
      <w:bodyDiv w:val="1"/>
      <w:marLeft w:val="0"/>
      <w:marRight w:val="0"/>
      <w:marTop w:val="0"/>
      <w:marBottom w:val="0"/>
      <w:divBdr>
        <w:top w:val="none" w:sz="0" w:space="0" w:color="auto"/>
        <w:left w:val="none" w:sz="0" w:space="0" w:color="auto"/>
        <w:bottom w:val="none" w:sz="0" w:space="0" w:color="auto"/>
        <w:right w:val="none" w:sz="0" w:space="0" w:color="auto"/>
      </w:divBdr>
    </w:div>
    <w:div w:id="1786803855">
      <w:bodyDiv w:val="1"/>
      <w:marLeft w:val="0"/>
      <w:marRight w:val="0"/>
      <w:marTop w:val="0"/>
      <w:marBottom w:val="0"/>
      <w:divBdr>
        <w:top w:val="none" w:sz="0" w:space="0" w:color="auto"/>
        <w:left w:val="none" w:sz="0" w:space="0" w:color="auto"/>
        <w:bottom w:val="none" w:sz="0" w:space="0" w:color="auto"/>
        <w:right w:val="none" w:sz="0" w:space="0" w:color="auto"/>
      </w:divBdr>
    </w:div>
    <w:div w:id="1804999674">
      <w:bodyDiv w:val="1"/>
      <w:marLeft w:val="0"/>
      <w:marRight w:val="0"/>
      <w:marTop w:val="0"/>
      <w:marBottom w:val="0"/>
      <w:divBdr>
        <w:top w:val="none" w:sz="0" w:space="0" w:color="auto"/>
        <w:left w:val="none" w:sz="0" w:space="0" w:color="auto"/>
        <w:bottom w:val="none" w:sz="0" w:space="0" w:color="auto"/>
        <w:right w:val="none" w:sz="0" w:space="0" w:color="auto"/>
      </w:divBdr>
    </w:div>
    <w:div w:id="1967655563">
      <w:bodyDiv w:val="1"/>
      <w:marLeft w:val="0"/>
      <w:marRight w:val="0"/>
      <w:marTop w:val="0"/>
      <w:marBottom w:val="0"/>
      <w:divBdr>
        <w:top w:val="none" w:sz="0" w:space="0" w:color="auto"/>
        <w:left w:val="none" w:sz="0" w:space="0" w:color="auto"/>
        <w:bottom w:val="none" w:sz="0" w:space="0" w:color="auto"/>
        <w:right w:val="none" w:sz="0" w:space="0" w:color="auto"/>
      </w:divBdr>
      <w:divsChild>
        <w:div w:id="938491404">
          <w:marLeft w:val="0"/>
          <w:marRight w:val="0"/>
          <w:marTop w:val="0"/>
          <w:marBottom w:val="0"/>
          <w:divBdr>
            <w:top w:val="none" w:sz="0" w:space="0" w:color="auto"/>
            <w:left w:val="none" w:sz="0" w:space="0" w:color="auto"/>
            <w:bottom w:val="none" w:sz="0" w:space="0" w:color="auto"/>
            <w:right w:val="none" w:sz="0" w:space="0" w:color="auto"/>
          </w:divBdr>
          <w:divsChild>
            <w:div w:id="135299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218015">
      <w:bodyDiv w:val="1"/>
      <w:marLeft w:val="0"/>
      <w:marRight w:val="0"/>
      <w:marTop w:val="0"/>
      <w:marBottom w:val="0"/>
      <w:divBdr>
        <w:top w:val="none" w:sz="0" w:space="0" w:color="auto"/>
        <w:left w:val="none" w:sz="0" w:space="0" w:color="auto"/>
        <w:bottom w:val="none" w:sz="0" w:space="0" w:color="auto"/>
        <w:right w:val="none" w:sz="0" w:space="0" w:color="auto"/>
      </w:divBdr>
      <w:divsChild>
        <w:div w:id="1169641778">
          <w:marLeft w:val="0"/>
          <w:marRight w:val="0"/>
          <w:marTop w:val="0"/>
          <w:marBottom w:val="0"/>
          <w:divBdr>
            <w:top w:val="none" w:sz="0" w:space="0" w:color="auto"/>
            <w:left w:val="none" w:sz="0" w:space="0" w:color="auto"/>
            <w:bottom w:val="none" w:sz="0" w:space="0" w:color="auto"/>
            <w:right w:val="none" w:sz="0" w:space="0" w:color="auto"/>
          </w:divBdr>
          <w:divsChild>
            <w:div w:id="38136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795231">
      <w:bodyDiv w:val="1"/>
      <w:marLeft w:val="0"/>
      <w:marRight w:val="0"/>
      <w:marTop w:val="0"/>
      <w:marBottom w:val="0"/>
      <w:divBdr>
        <w:top w:val="none" w:sz="0" w:space="0" w:color="auto"/>
        <w:left w:val="none" w:sz="0" w:space="0" w:color="auto"/>
        <w:bottom w:val="none" w:sz="0" w:space="0" w:color="auto"/>
        <w:right w:val="none" w:sz="0" w:space="0" w:color="auto"/>
      </w:divBdr>
      <w:divsChild>
        <w:div w:id="619339983">
          <w:marLeft w:val="0"/>
          <w:marRight w:val="0"/>
          <w:marTop w:val="0"/>
          <w:marBottom w:val="0"/>
          <w:divBdr>
            <w:top w:val="none" w:sz="0" w:space="0" w:color="auto"/>
            <w:left w:val="none" w:sz="0" w:space="0" w:color="auto"/>
            <w:bottom w:val="none" w:sz="0" w:space="0" w:color="auto"/>
            <w:right w:val="none" w:sz="0" w:space="0" w:color="auto"/>
          </w:divBdr>
          <w:divsChild>
            <w:div w:id="1730884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896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5171/ijhpm.2018.64" TargetMode="External"/><Relationship Id="rId26" Type="http://schemas.openxmlformats.org/officeDocument/2006/relationships/hyperlink" Target="https://doi.org/10.1037/stl0000304" TargetMode="External"/><Relationship Id="rId39" Type="http://schemas.openxmlformats.org/officeDocument/2006/relationships/hyperlink" Target="https://www.gartner.com/en/human-resources" TargetMode="External"/><Relationship Id="rId21" Type="http://schemas.openxmlformats.org/officeDocument/2006/relationships/hyperlink" Target="https://doi.org/10.1177/0149206306293668" TargetMode="External"/><Relationship Id="rId34" Type="http://schemas.openxmlformats.org/officeDocument/2006/relationships/hyperlink" Target="https://ec.europa.eu/eurostat/statistics-explained/index.php?title=Youth_unemployment_statistics" TargetMode="External"/><Relationship Id="rId42" Type="http://schemas.openxmlformats.org/officeDocument/2006/relationships/hyperlink" Target="https://doi.org/10.1007/s13132-023-01496-3" TargetMode="External"/><Relationship Id="rId47" Type="http://schemas.openxmlformats.org/officeDocument/2006/relationships/hyperlink" Target="https://doi.org/10.1177/21582440251377298" TargetMode="External"/><Relationship Id="rId50" Type="http://schemas.openxmlformats.org/officeDocument/2006/relationships/hyperlink" Target="https://doi.org/10.47709/ijmdsa.v3i4.4616" TargetMode="External"/><Relationship Id="rId55" Type="http://schemas.openxmlformats.org/officeDocument/2006/relationships/hyperlink" Target="https://www.ons.gov.uk/employmentandlabourmarket" TargetMode="External"/><Relationship Id="rId63" Type="http://schemas.openxmlformats.org/officeDocument/2006/relationships/hyperlink" Target="https://doi.org/10.1002/mar.22238" TargetMode="External"/><Relationship Id="rId68" Type="http://schemas.openxmlformats.org/officeDocument/2006/relationships/hyperlink" Target="https://doi.org/10.55524/csistw.2024.12.1.26"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population.un.org/wpp/" TargetMode="External"/><Relationship Id="rId2" Type="http://schemas.openxmlformats.org/officeDocument/2006/relationships/numbering" Target="numbering.xml"/><Relationship Id="rId16" Type="http://schemas.openxmlformats.org/officeDocument/2006/relationships/hyperlink" Target="https://doi.org/10.1155/2022/7728668" TargetMode="External"/><Relationship Id="rId29" Type="http://schemas.openxmlformats.org/officeDocument/2006/relationships/hyperlink" Target="https://doi.org/10.56238/sevenvimulti2024-097" TargetMode="External"/><Relationship Id="rId11" Type="http://schemas.openxmlformats.org/officeDocument/2006/relationships/image" Target="media/image4.png"/><Relationship Id="rId24" Type="http://schemas.openxmlformats.org/officeDocument/2006/relationships/hyperlink" Target="https://www.cedefop.europa.eu/en/publications/skills-forecast-2024" TargetMode="External"/><Relationship Id="rId32" Type="http://schemas.openxmlformats.org/officeDocument/2006/relationships/hyperlink" Target="https://doi.org/10.53469/jtpms.2024.04(03).06" TargetMode="External"/><Relationship Id="rId37" Type="http://schemas.openxmlformats.org/officeDocument/2006/relationships/hyperlink" Target="https://doi.org/10.1002/sd.2181" TargetMode="External"/><Relationship Id="rId40" Type="http://schemas.openxmlformats.org/officeDocument/2006/relationships/hyperlink" Target="https://doi.org/10.46254/eu05.20220389" TargetMode="External"/><Relationship Id="rId45" Type="http://schemas.openxmlformats.org/officeDocument/2006/relationships/hyperlink" Target="https://doi.org/10.1111/bjet.13325" TargetMode="External"/><Relationship Id="rId53" Type="http://schemas.openxmlformats.org/officeDocument/2006/relationships/hyperlink" Target="https://doi.org/10.15655/mw_2020_v11i3_202933" TargetMode="External"/><Relationship Id="rId58" Type="http://schemas.openxmlformats.org/officeDocument/2006/relationships/hyperlink" Target="https://doi.org/10.1108/joepp-04-2020-0071" TargetMode="External"/><Relationship Id="rId66" Type="http://schemas.openxmlformats.org/officeDocument/2006/relationships/hyperlink" Target="https://www.jstor.org/stable/1818907" TargetMode="External"/><Relationship Id="rId74" Type="http://schemas.openxmlformats.org/officeDocument/2006/relationships/hyperlink" Target="https://www.weforum.org/reports/the-future-of-jobs-report-2024" TargetMode="External"/><Relationship Id="rId5" Type="http://schemas.openxmlformats.org/officeDocument/2006/relationships/webSettings" Target="webSettings.xml"/><Relationship Id="rId15" Type="http://schemas.openxmlformats.org/officeDocument/2006/relationships/hyperlink" Target="https://doi.org/10.1108/jbim-08-2021-0366" TargetMode="External"/><Relationship Id="rId23" Type="http://schemas.openxmlformats.org/officeDocument/2006/relationships/hyperlink" Target="https://doi.org/10.1108/er-04-2022-0202" TargetMode="External"/><Relationship Id="rId28" Type="http://schemas.openxmlformats.org/officeDocument/2006/relationships/hyperlink" Target="https://doi.org/10.5465/amp.2019.0068" TargetMode="External"/><Relationship Id="rId36" Type="http://schemas.openxmlformats.org/officeDocument/2006/relationships/hyperlink" Target="https://doi.org/10.3389/frai.2023.1272823" TargetMode="External"/><Relationship Id="rId49" Type="http://schemas.openxmlformats.org/officeDocument/2006/relationships/hyperlink" Target="https://doi.org/10.31305/rrijm.2025.v10.n4.009" TargetMode="External"/><Relationship Id="rId57" Type="http://schemas.openxmlformats.org/officeDocument/2006/relationships/hyperlink" Target="https://www.oecd.org/employment/automation-skills.htm" TargetMode="External"/><Relationship Id="rId61" Type="http://schemas.openxmlformats.org/officeDocument/2006/relationships/hyperlink" Target="https://doi.org/10.48185/sebr.v5i1.1001" TargetMode="External"/><Relationship Id="rId10" Type="http://schemas.openxmlformats.org/officeDocument/2006/relationships/image" Target="media/image3.jpeg"/><Relationship Id="rId19" Type="http://schemas.openxmlformats.org/officeDocument/2006/relationships/hyperlink" Target="https://doi.org/10.30534/ijatcse/2020/9891.12020" TargetMode="External"/><Relationship Id="rId31" Type="http://schemas.openxmlformats.org/officeDocument/2006/relationships/hyperlink" Target="https://doi.org/10.2307/2095101" TargetMode="External"/><Relationship Id="rId44" Type="http://schemas.openxmlformats.org/officeDocument/2006/relationships/hyperlink" Target="https://www.ilo.org/global/research/global-reports/weso/" TargetMode="External"/><Relationship Id="rId52" Type="http://schemas.openxmlformats.org/officeDocument/2006/relationships/hyperlink" Target="https://www.mckinsey.com/mgi" TargetMode="External"/><Relationship Id="rId60" Type="http://schemas.openxmlformats.org/officeDocument/2006/relationships/hyperlink" Target="https://doi.org/10.33395/jmp.v12i2.13337" TargetMode="External"/><Relationship Id="rId65" Type="http://schemas.openxmlformats.org/officeDocument/2006/relationships/hyperlink" Target="https://doi.org/10.24251/hicss.2023.132" TargetMode="External"/><Relationship Id="rId73" Type="http://schemas.openxmlformats.org/officeDocument/2006/relationships/hyperlink" Target="https://www.worldbank.org/en/topic/humancapital"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108/joepp-07-2023-0276" TargetMode="External"/><Relationship Id="rId27" Type="http://schemas.openxmlformats.org/officeDocument/2006/relationships/hyperlink" Target="https://www.cipd.org/uk/learn/career/profession-map/" TargetMode="External"/><Relationship Id="rId30" Type="http://schemas.openxmlformats.org/officeDocument/2006/relationships/hyperlink" Target="https://www2.deloitte.com/global/en/pages/human-capital/articles/human-capital-trends.html" TargetMode="External"/><Relationship Id="rId35" Type="http://schemas.openxmlformats.org/officeDocument/2006/relationships/hyperlink" Target="https://doi.org/10.17159/2221-4070/2017/v6i2a5" TargetMode="External"/><Relationship Id="rId43" Type="http://schemas.openxmlformats.org/officeDocument/2006/relationships/hyperlink" Target="https://www.ilo.org/global/publications" TargetMode="External"/><Relationship Id="rId48" Type="http://schemas.openxmlformats.org/officeDocument/2006/relationships/hyperlink" Target="https://doi.org/10.1108/mrr-03-2020-0168" TargetMode="External"/><Relationship Id="rId56" Type="http://schemas.openxmlformats.org/officeDocument/2006/relationships/hyperlink" Target="https://www.oecd.org/migration/" TargetMode="External"/><Relationship Id="rId64" Type="http://schemas.openxmlformats.org/officeDocument/2006/relationships/hyperlink" Target="https://doi.org/10.22610/imbr.v16i3(i)s.4070" TargetMode="External"/><Relationship Id="rId69" Type="http://schemas.openxmlformats.org/officeDocument/2006/relationships/hyperlink" Target="https://doi.org/10.21272/mmi.2023.4-18" TargetMode="External"/><Relationship Id="rId77" Type="http://schemas.openxmlformats.org/officeDocument/2006/relationships/glossaryDocument" Target="glossary/document.xml"/><Relationship Id="rId8" Type="http://schemas.openxmlformats.org/officeDocument/2006/relationships/image" Target="media/image1.png"/><Relationship Id="rId51" Type="http://schemas.openxmlformats.org/officeDocument/2006/relationships/hyperlink" Target="https://doi.org/10.1186/1478-4491-11-24" TargetMode="External"/><Relationship Id="rId72" Type="http://schemas.openxmlformats.org/officeDocument/2006/relationships/hyperlink" Target="https://www.unhcr.org/global-trends-report"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111/j.1740-8784.2007.00082.x" TargetMode="External"/><Relationship Id="rId25" Type="http://schemas.openxmlformats.org/officeDocument/2006/relationships/hyperlink" Target="https://doi.org/10.1057/s41599-023-02079-x" TargetMode="External"/><Relationship Id="rId33" Type="http://schemas.openxmlformats.org/officeDocument/2006/relationships/hyperlink" Target="https://doi.org/10.1007/s11301-022-00314-4" TargetMode="External"/><Relationship Id="rId38" Type="http://schemas.openxmlformats.org/officeDocument/2006/relationships/hyperlink" Target="https://www.forbes.com/forbes-insights/" TargetMode="External"/><Relationship Id="rId46" Type="http://schemas.openxmlformats.org/officeDocument/2006/relationships/hyperlink" Target="https://doi.org/10.1108/ijm-10-2021-0622" TargetMode="External"/><Relationship Id="rId59" Type="http://schemas.openxmlformats.org/officeDocument/2006/relationships/hyperlink" Target="https://doi.org/10.1108/bij-04-2020-0186" TargetMode="External"/><Relationship Id="rId67" Type="http://schemas.openxmlformats.org/officeDocument/2006/relationships/hyperlink" Target="https://doi.org/10.1108/ijoa-01-2019-1634" TargetMode="External"/><Relationship Id="rId20" Type="http://schemas.openxmlformats.org/officeDocument/2006/relationships/hyperlink" Target="https://doi.org/10.1177/014920639101700108" TargetMode="External"/><Relationship Id="rId41" Type="http://schemas.openxmlformats.org/officeDocument/2006/relationships/hyperlink" Target="https://doi.org/10.9707/2307-0919.1014" TargetMode="External"/><Relationship Id="rId54" Type="http://schemas.openxmlformats.org/officeDocument/2006/relationships/hyperlink" Target="https://doi.org/10.1921/jpts.v21i2.2079" TargetMode="External"/><Relationship Id="rId62" Type="http://schemas.openxmlformats.org/officeDocument/2006/relationships/hyperlink" Target="https://doi.org/10.1016/j.heliyon.2023.e13405" TargetMode="External"/><Relationship Id="rId70" Type="http://schemas.openxmlformats.org/officeDocument/2006/relationships/hyperlink" Target="https://www.unilever.com/"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B7679C717114D71A412436ECA2F807B"/>
        <w:category>
          <w:name w:val="General"/>
          <w:gallery w:val="placeholder"/>
        </w:category>
        <w:types>
          <w:type w:val="bbPlcHdr"/>
        </w:types>
        <w:behaviors>
          <w:behavior w:val="content"/>
        </w:behaviors>
        <w:guid w:val="{76DBC8A6-8930-4903-86F2-B379CBCD84FF}"/>
      </w:docPartPr>
      <w:docPartBody>
        <w:p w:rsidR="0097622A" w:rsidRDefault="001D0DC8" w:rsidP="001D0DC8">
          <w:pPr>
            <w:pStyle w:val="CB7679C717114D71A412436ECA2F807B"/>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DC8"/>
    <w:rsid w:val="001D0DC8"/>
    <w:rsid w:val="001F6580"/>
    <w:rsid w:val="00264ABD"/>
    <w:rsid w:val="004A24E9"/>
    <w:rsid w:val="00544317"/>
    <w:rsid w:val="007A6EB4"/>
    <w:rsid w:val="0097622A"/>
    <w:rsid w:val="00AB496F"/>
    <w:rsid w:val="00DE3229"/>
    <w:rsid w:val="00E67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B7679C717114D71A412436ECA2F807B">
    <w:name w:val="CB7679C717114D71A412436ECA2F807B"/>
    <w:rsid w:val="001D0D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2943C-839C-4528-A441-F1DF0C939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6669</Words>
  <Characters>38014</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“The Influence of National and International Labour Markets on HRM and IHRM Strategies”</vt:lpstr>
    </vt:vector>
  </TitlesOfParts>
  <Company/>
  <LinksUpToDate>false</LinksUpToDate>
  <CharactersWithSpaces>44594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Influence of National and International Labour Markets on HRM and IHRM Strategies”</dc:title>
  <dc:subject/>
  <dc:creator>Bushra Mahnoor</dc:creator>
  <cp:keywords/>
  <dc:description/>
  <cp:lastModifiedBy>pc</cp:lastModifiedBy>
  <cp:revision>2</cp:revision>
  <dcterms:created xsi:type="dcterms:W3CDTF">2025-11-11T17:34:00Z</dcterms:created>
  <dcterms:modified xsi:type="dcterms:W3CDTF">2025-11-11T17:34:00Z</dcterms:modified>
</cp:coreProperties>
</file>