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A0CFC7C">
      <w:pPr>
        <w:pStyle w:val="10"/>
        <w:spacing w:before="240" w:after="240" w:line="360" w:lineRule="auto"/>
        <w:jc w:val="center"/>
        <w:rPr>
          <w:rFonts w:ascii="Times New Roman" w:hAnsi="Times New Roman" w:cs="Times New Roman"/>
          <w:b/>
          <w:color w:val="000000" w:themeColor="text1"/>
          <w14:textFill>
            <w14:solidFill>
              <w14:schemeClr w14:val="tx1"/>
            </w14:solidFill>
          </w14:textFill>
        </w:rPr>
      </w:pPr>
    </w:p>
    <w:p w14:paraId="518EF960">
      <w:pPr>
        <w:pStyle w:val="10"/>
        <w:spacing w:before="240" w:after="240" w:line="360" w:lineRule="auto"/>
        <w:ind w:firstLine="720" w:firstLineChars="0"/>
        <w:jc w:val="both"/>
        <w:rPr>
          <w:rFonts w:ascii="Times New Roman" w:hAnsi="Times New Roman" w:cs="Times New Roman"/>
          <w:b/>
          <w:color w:val="000000" w:themeColor="text1"/>
          <w14:textFill>
            <w14:solidFill>
              <w14:schemeClr w14:val="tx1"/>
            </w14:solidFill>
          </w14:textFill>
        </w:rPr>
      </w:pPr>
      <w:r>
        <w:rPr>
          <w:rFonts w:ascii="Times New Roman" w:hAnsi="Times New Roman" w:cs="Times New Roman"/>
          <w:b/>
          <w:color w:val="000000" w:themeColor="text1"/>
          <w14:textFill>
            <w14:solidFill>
              <w14:schemeClr w14:val="tx1"/>
            </w14:solidFill>
          </w14:textFill>
        </w:rPr>
        <w:t xml:space="preserve">Component 2: Coursework: Essay </w:t>
      </w:r>
    </w:p>
    <w:p w14:paraId="01571491">
      <w:pPr>
        <w:rPr>
          <w:rFonts w:ascii="Times New Roman" w:hAnsi="Times New Roman" w:cs="Times New Roman"/>
          <w:b/>
          <w:color w:val="000000" w:themeColor="text1"/>
          <w14:textFill>
            <w14:solidFill>
              <w14:schemeClr w14:val="tx1"/>
            </w14:solidFill>
          </w14:textFill>
        </w:rPr>
      </w:pPr>
    </w:p>
    <w:p w14:paraId="0E1A4367">
      <w:pPr>
        <w:rPr>
          <w:rFonts w:ascii="Times New Roman" w:hAnsi="Times New Roman" w:cs="Times New Roman"/>
          <w:b/>
          <w:color w:val="000000" w:themeColor="text1"/>
          <w14:textFill>
            <w14:solidFill>
              <w14:schemeClr w14:val="tx1"/>
            </w14:solidFill>
          </w14:textFill>
        </w:rPr>
      </w:pPr>
    </w:p>
    <w:p w14:paraId="3501F1B9">
      <w:pPr>
        <w:rPr>
          <w:rFonts w:ascii="Times New Roman" w:hAnsi="Times New Roman" w:cs="Times New Roman"/>
          <w:b/>
          <w:color w:val="000000" w:themeColor="text1"/>
          <w14:textFill>
            <w14:solidFill>
              <w14:schemeClr w14:val="tx1"/>
            </w14:solidFill>
          </w14:textFill>
        </w:rPr>
      </w:pPr>
    </w:p>
    <w:p w14:paraId="4DCECF26">
      <w:pPr>
        <w:pStyle w:val="10"/>
        <w:spacing w:before="240" w:after="240" w:line="360" w:lineRule="auto"/>
        <w:jc w:val="left"/>
        <w:rPr>
          <w:rFonts w:hint="default" w:ascii="Times New Roman" w:hAnsi="Times New Roman"/>
          <w:b/>
          <w:color w:val="000000" w:themeColor="text1"/>
          <w:sz w:val="34"/>
          <w:szCs w:val="34"/>
          <w14:textFill>
            <w14:solidFill>
              <w14:schemeClr w14:val="tx1"/>
            </w14:solidFill>
          </w14:textFill>
        </w:rPr>
      </w:pPr>
    </w:p>
    <w:p w14:paraId="1DE5E911">
      <w:pPr>
        <w:pStyle w:val="10"/>
        <w:spacing w:before="240" w:after="240" w:line="360" w:lineRule="auto"/>
        <w:jc w:val="left"/>
        <w:rPr>
          <w:rFonts w:hint="default" w:ascii="Times New Roman" w:hAnsi="Times New Roman"/>
          <w:b/>
          <w:color w:val="000000" w:themeColor="text1"/>
          <w:sz w:val="34"/>
          <w:szCs w:val="34"/>
          <w14:textFill>
            <w14:solidFill>
              <w14:schemeClr w14:val="tx1"/>
            </w14:solidFill>
          </w14:textFill>
        </w:rPr>
      </w:pPr>
    </w:p>
    <w:p w14:paraId="1154893D">
      <w:pPr>
        <w:pStyle w:val="10"/>
        <w:spacing w:before="240" w:after="240" w:line="360" w:lineRule="auto"/>
        <w:jc w:val="left"/>
        <w:rPr>
          <w:rFonts w:hint="default" w:ascii="Times New Roman" w:hAnsi="Times New Roman"/>
          <w:b/>
          <w:color w:val="000000" w:themeColor="text1"/>
          <w:sz w:val="34"/>
          <w:szCs w:val="34"/>
          <w14:textFill>
            <w14:solidFill>
              <w14:schemeClr w14:val="tx1"/>
            </w14:solidFill>
          </w14:textFill>
        </w:rPr>
      </w:pPr>
      <w:r>
        <w:rPr>
          <w:rFonts w:hint="default" w:ascii="Times New Roman" w:hAnsi="Times New Roman"/>
          <w:b/>
          <w:color w:val="000000" w:themeColor="text1"/>
          <w:sz w:val="34"/>
          <w:szCs w:val="34"/>
          <w14:textFill>
            <w14:solidFill>
              <w14:schemeClr w14:val="tx1"/>
            </w14:solidFill>
          </w14:textFill>
        </w:rPr>
        <w:t>Name- Utsav Kakadiya</w:t>
      </w:r>
    </w:p>
    <w:p w14:paraId="1C7CD5DA">
      <w:pPr>
        <w:pStyle w:val="10"/>
        <w:spacing w:before="240" w:after="240" w:line="360" w:lineRule="auto"/>
        <w:jc w:val="left"/>
        <w:rPr>
          <w:rFonts w:hint="default" w:ascii="Times New Roman" w:hAnsi="Times New Roman"/>
          <w:b/>
          <w:color w:val="000000" w:themeColor="text1"/>
          <w:sz w:val="34"/>
          <w:szCs w:val="34"/>
          <w14:textFill>
            <w14:solidFill>
              <w14:schemeClr w14:val="tx1"/>
            </w14:solidFill>
          </w14:textFill>
        </w:rPr>
      </w:pPr>
      <w:r>
        <w:rPr>
          <w:rFonts w:hint="default" w:ascii="Times New Roman" w:hAnsi="Times New Roman"/>
          <w:b/>
          <w:color w:val="000000" w:themeColor="text1"/>
          <w:sz w:val="34"/>
          <w:szCs w:val="34"/>
          <w14:textFill>
            <w14:solidFill>
              <w14:schemeClr w14:val="tx1"/>
            </w14:solidFill>
          </w14:textFill>
        </w:rPr>
        <w:t>Student ID- 2240174</w:t>
      </w:r>
    </w:p>
    <w:p w14:paraId="6EE035FE">
      <w:pPr>
        <w:pStyle w:val="10"/>
        <w:spacing w:before="240" w:after="240" w:line="360" w:lineRule="auto"/>
        <w:jc w:val="left"/>
        <w:rPr>
          <w:rFonts w:hint="default" w:ascii="Times New Roman" w:hAnsi="Times New Roman"/>
          <w:b/>
          <w:color w:val="000000" w:themeColor="text1"/>
          <w:sz w:val="34"/>
          <w:szCs w:val="34"/>
          <w14:textFill>
            <w14:solidFill>
              <w14:schemeClr w14:val="tx1"/>
            </w14:solidFill>
          </w14:textFill>
        </w:rPr>
      </w:pPr>
      <w:r>
        <w:rPr>
          <w:rFonts w:hint="default" w:ascii="Times New Roman" w:hAnsi="Times New Roman"/>
          <w:b/>
          <w:color w:val="000000" w:themeColor="text1"/>
          <w:sz w:val="34"/>
          <w:szCs w:val="34"/>
          <w14:textFill>
            <w14:solidFill>
              <w14:schemeClr w14:val="tx1"/>
            </w14:solidFill>
          </w14:textFill>
        </w:rPr>
        <w:t xml:space="preserve">Module code- LCBB5004 </w:t>
      </w:r>
    </w:p>
    <w:p w14:paraId="4016E120">
      <w:pPr>
        <w:pStyle w:val="10"/>
        <w:spacing w:before="240" w:after="240" w:line="360" w:lineRule="auto"/>
        <w:jc w:val="left"/>
        <w:rPr>
          <w:rFonts w:hint="default" w:ascii="Times New Roman" w:hAnsi="Times New Roman"/>
          <w:b/>
          <w:color w:val="000000" w:themeColor="text1"/>
          <w:sz w:val="34"/>
          <w:szCs w:val="34"/>
          <w14:textFill>
            <w14:solidFill>
              <w14:schemeClr w14:val="tx1"/>
            </w14:solidFill>
          </w14:textFill>
        </w:rPr>
      </w:pPr>
      <w:r>
        <w:rPr>
          <w:rFonts w:hint="default" w:ascii="Times New Roman" w:hAnsi="Times New Roman"/>
          <w:b/>
          <w:color w:val="000000" w:themeColor="text1"/>
          <w:sz w:val="34"/>
          <w:szCs w:val="34"/>
          <w14:textFill>
            <w14:solidFill>
              <w14:schemeClr w14:val="tx1"/>
            </w14:solidFill>
          </w14:textFill>
        </w:rPr>
        <w:t>Module Name- Managing People</w:t>
      </w:r>
    </w:p>
    <w:p w14:paraId="4784D61B">
      <w:pPr>
        <w:pStyle w:val="10"/>
        <w:spacing w:before="240" w:after="240" w:line="360" w:lineRule="auto"/>
        <w:jc w:val="left"/>
        <w:rPr>
          <w:rFonts w:ascii="Times New Roman" w:hAnsi="Times New Roman" w:cs="Times New Roman"/>
          <w:b/>
          <w:color w:val="000000" w:themeColor="text1"/>
          <w:sz w:val="34"/>
          <w:szCs w:val="34"/>
          <w14:textFill>
            <w14:solidFill>
              <w14:schemeClr w14:val="tx1"/>
            </w14:solidFill>
          </w14:textFill>
        </w:rPr>
      </w:pPr>
      <w:r>
        <w:rPr>
          <w:rFonts w:hint="default" w:ascii="Times New Roman" w:hAnsi="Times New Roman"/>
          <w:b/>
          <w:color w:val="000000" w:themeColor="text1"/>
          <w:sz w:val="34"/>
          <w:szCs w:val="34"/>
          <w14:textFill>
            <w14:solidFill>
              <w14:schemeClr w14:val="tx1"/>
            </w14:solidFill>
          </w14:textFill>
        </w:rPr>
        <w:t xml:space="preserve">Lecturer- </w:t>
      </w:r>
      <w:r>
        <w:rPr>
          <w:rFonts w:hint="default" w:ascii="Times New Roman" w:hAnsi="Times New Roman"/>
          <w:b/>
          <w:color w:val="000000" w:themeColor="text1"/>
          <w:sz w:val="34"/>
          <w:szCs w:val="34"/>
          <w:lang w:val="en-US"/>
          <w14:textFill>
            <w14:solidFill>
              <w14:schemeClr w14:val="tx1"/>
            </w14:solidFill>
          </w14:textFill>
        </w:rPr>
        <w:t xml:space="preserve"> Dr. </w:t>
      </w:r>
      <w:r>
        <w:rPr>
          <w:rFonts w:hint="default" w:ascii="Times New Roman" w:hAnsi="Times New Roman"/>
          <w:b/>
          <w:color w:val="000000" w:themeColor="text1"/>
          <w:sz w:val="34"/>
          <w:szCs w:val="34"/>
          <w14:textFill>
            <w14:solidFill>
              <w14:schemeClr w14:val="tx1"/>
            </w14:solidFill>
          </w14:textFill>
        </w:rPr>
        <w:t>Samuel Abah</w:t>
      </w:r>
    </w:p>
    <w:p w14:paraId="2AC78F32">
      <w:pPr>
        <w:pStyle w:val="10"/>
        <w:spacing w:before="240" w:after="240" w:line="360" w:lineRule="auto"/>
        <w:jc w:val="center"/>
        <w:rPr>
          <w:rFonts w:ascii="Times New Roman" w:hAnsi="Times New Roman" w:cs="Times New Roman"/>
          <w:b/>
          <w:color w:val="000000" w:themeColor="text1"/>
          <w14:textFill>
            <w14:solidFill>
              <w14:schemeClr w14:val="tx1"/>
            </w14:solidFill>
          </w14:textFill>
        </w:rPr>
      </w:pPr>
      <w:bookmarkStart w:id="6" w:name="_GoBack"/>
      <w:bookmarkEnd w:id="6"/>
    </w:p>
    <w:p w14:paraId="2B8FFF6A">
      <w:pPr>
        <w:pStyle w:val="10"/>
        <w:spacing w:before="240" w:after="240" w:line="360" w:lineRule="auto"/>
        <w:ind w:firstLine="720" w:firstLineChars="0"/>
        <w:jc w:val="both"/>
        <w:rPr>
          <w:rFonts w:ascii="Times New Roman" w:hAnsi="Times New Roman" w:cs="Times New Roman"/>
          <w:b/>
          <w:color w:val="000000" w:themeColor="text1"/>
          <w:szCs w:val="24"/>
          <w14:textFill>
            <w14:solidFill>
              <w14:schemeClr w14:val="tx1"/>
            </w14:solidFill>
          </w14:textFill>
        </w:rPr>
      </w:pPr>
      <w:r>
        <w:rPr>
          <w:rFonts w:ascii="Times New Roman" w:hAnsi="Times New Roman" w:cs="Times New Roman"/>
          <w:b/>
          <w:color w:val="000000" w:themeColor="text1"/>
          <w:szCs w:val="24"/>
          <w14:textFill>
            <w14:solidFill>
              <w14:schemeClr w14:val="tx1"/>
            </w14:solidFill>
          </w14:textFill>
        </w:rPr>
        <w:br w:type="page"/>
      </w:r>
    </w:p>
    <w:sdt>
      <w:sdtPr>
        <w:id w:val="1870254405"/>
        <w:docPartObj>
          <w:docPartGallery w:val="Table of Contents"/>
          <w:docPartUnique/>
        </w:docPartObj>
      </w:sdtPr>
      <w:sdtEndPr>
        <w:rPr>
          <w:rFonts w:asciiTheme="minorHAnsi" w:hAnsiTheme="minorHAnsi" w:eastAsiaTheme="minorHAnsi" w:cstheme="minorBidi"/>
          <w:b/>
          <w:bCs/>
          <w:color w:val="auto"/>
          <w:sz w:val="22"/>
          <w:szCs w:val="22"/>
        </w:rPr>
      </w:sdtEndPr>
      <w:sdtContent>
        <w:p w14:paraId="4CDEDCFF">
          <w:pPr>
            <w:pStyle w:val="17"/>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Table of Contents</w:t>
          </w:r>
        </w:p>
        <w:p w14:paraId="1F0B9826">
          <w:pPr>
            <w:pStyle w:val="11"/>
            <w:tabs>
              <w:tab w:val="right" w:leader="dot" w:pos="9350"/>
            </w:tabs>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"_Toc175058318"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Introduction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_Toc175058318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AD8A9B9">
          <w:pPr>
            <w:pStyle w:val="11"/>
            <w:tabs>
              <w:tab w:val="right" w:leader="dot" w:pos="9350"/>
            </w:tabs>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"_Toc175058319"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Role of Technology in appraising the performance of Remote Workers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_Toc175058319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4F3CF5D">
          <w:pPr>
            <w:pStyle w:val="11"/>
            <w:tabs>
              <w:tab w:val="right" w:leader="dot" w:pos="9350"/>
            </w:tabs>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"_Toc175058320"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Evaluation of four different performance measurement techniques for remote workers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_Toc175058320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866DC42">
          <w:pPr>
            <w:pStyle w:val="11"/>
            <w:tabs>
              <w:tab w:val="right" w:leader="dot" w:pos="9350"/>
            </w:tabs>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"_Toc175058321"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Evaluation of four different performance appraisal tools for remote workers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_Toc175058321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3D1C8FAB">
          <w:pPr>
            <w:pStyle w:val="11"/>
            <w:tabs>
              <w:tab w:val="right" w:leader="dot" w:pos="9350"/>
            </w:tabs>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"_Toc175058322"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Conclusion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_Toc175058322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BC055BC">
          <w:pPr>
            <w:pStyle w:val="11"/>
            <w:tabs>
              <w:tab w:val="right" w:leader="dot" w:pos="9350"/>
            </w:tabs>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"_Toc175058323"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References: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_Toc175058323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CD10C83">
          <w:r>
            <w:rPr>
              <w:rFonts w:ascii="Times New Roman" w:hAnsi="Times New Roman" w:cs="Times New Roman"/>
              <w:color w:val="000000" w:themeColor="text1"/>
              <w:sz w:val="24"/>
              <w:szCs w:val="24"/>
              <w14:textFill>
                <w14:solidFill>
                  <w14:schemeClr w14:val="tx1"/>
                </w14:solidFill>
              </w14:textFill>
            </w:rPr>
            <w:fldChar w:fldCharType="end"/>
          </w:r>
        </w:p>
      </w:sdtContent>
    </w:sdt>
    <w:p w14:paraId="18F7FCA5">
      <w:pPr>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br w:type="page"/>
      </w:r>
    </w:p>
    <w:p w14:paraId="4E4649C4">
      <w:pPr>
        <w:pStyle w:val="2"/>
        <w:rPr>
          <w:rFonts w:ascii="Times New Roman" w:hAnsi="Times New Roman" w:cs="Times New Roman"/>
          <w:b/>
          <w:bCs/>
          <w:color w:val="000000" w:themeColor="text1"/>
          <w:sz w:val="24"/>
          <w:szCs w:val="24"/>
          <w14:textFill>
            <w14:solidFill>
              <w14:schemeClr w14:val="tx1"/>
            </w14:solidFill>
          </w14:textFill>
        </w:rPr>
      </w:pPr>
      <w:bookmarkStart w:id="0" w:name="_Toc175058318"/>
      <w:r>
        <w:rPr>
          <w:rFonts w:ascii="Times New Roman" w:hAnsi="Times New Roman" w:cs="Times New Roman"/>
          <w:b/>
          <w:bCs/>
          <w:color w:val="000000" w:themeColor="text1"/>
          <w:sz w:val="24"/>
          <w:szCs w:val="24"/>
          <w14:textFill>
            <w14:solidFill>
              <w14:schemeClr w14:val="tx1"/>
            </w14:solidFill>
          </w14:textFill>
        </w:rPr>
        <w:t>Introduction</w:t>
      </w:r>
      <w:bookmarkEnd w:id="0"/>
    </w:p>
    <w:p w14:paraId="7988D03F">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The essay provides insight into how technology has supported and still supports the remote working process for several organizations after the pandemic. Managing remote workers is a huge challenge for each employer to utilize the technology or tools and techniques appropriately. Furthermore, the essay will provide an overview of technology implementation to measure the performance of remote workers, while implementing several techniques and promoting the use of specific tools to measure the performance of the remote workers. The essay defines how effectively technology provides support to organizations to maintain remote working environments and handle the workforce to stay ahead of the competition while being a profitable organization by making the employees an important asset for the organization. </w:t>
      </w:r>
      <w:r>
        <w:rPr>
          <w:rFonts w:ascii="Times New Roman" w:hAnsi="Times New Roman" w:cs="Times New Roman"/>
          <w:color w:val="000000" w:themeColor="text1"/>
          <w:sz w:val="24"/>
          <w:szCs w:val="24"/>
          <w14:textFill>
            <w14:solidFill>
              <w14:schemeClr w14:val="tx1"/>
            </w14:solidFill>
          </w14:textFill>
        </w:rPr>
        <w:br w:type="page"/>
      </w:r>
    </w:p>
    <w:p w14:paraId="10A9FE3F">
      <w:pPr>
        <w:pStyle w:val="2"/>
        <w:rPr>
          <w:rFonts w:ascii="Times New Roman" w:hAnsi="Times New Roman" w:cs="Times New Roman"/>
          <w:b/>
          <w:bCs/>
          <w:color w:val="000000" w:themeColor="text1"/>
          <w:sz w:val="24"/>
          <w:szCs w:val="24"/>
          <w14:textFill>
            <w14:solidFill>
              <w14:schemeClr w14:val="tx1"/>
            </w14:solidFill>
          </w14:textFill>
        </w:rPr>
      </w:pPr>
      <w:bookmarkStart w:id="1" w:name="_Toc175058319"/>
      <w:r>
        <w:rPr>
          <w:rFonts w:ascii="Times New Roman" w:hAnsi="Times New Roman" w:cs="Times New Roman"/>
          <w:b/>
          <w:bCs/>
          <w:color w:val="000000" w:themeColor="text1"/>
          <w:sz w:val="24"/>
          <w:szCs w:val="24"/>
          <w14:textFill>
            <w14:solidFill>
              <w14:schemeClr w14:val="tx1"/>
            </w14:solidFill>
          </w14:textFill>
        </w:rPr>
        <w:t>Role of Technology in appraising the performance of Remote Workers</w:t>
      </w:r>
      <w:bookmarkEnd w:id="1"/>
      <w:r>
        <w:rPr>
          <w:rFonts w:ascii="Times New Roman" w:hAnsi="Times New Roman" w:cs="Times New Roman"/>
          <w:b/>
          <w:bCs/>
          <w:color w:val="000000" w:themeColor="text1"/>
          <w:sz w:val="24"/>
          <w:szCs w:val="24"/>
          <w14:textFill>
            <w14:solidFill>
              <w14:schemeClr w14:val="tx1"/>
            </w14:solidFill>
          </w14:textFill>
        </w:rPr>
        <w:t xml:space="preserve"> </w:t>
      </w:r>
    </w:p>
    <w:p w14:paraId="648B6604">
      <w:pPr>
        <w:tabs>
          <w:tab w:val="left" w:pos="2820"/>
        </w:tabs>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After the pandemic, the remote working process has taken a crucial role in every firm or enterprise including multinational companies to small enterprises in the world. The pandemic played a crucial role in activating work from home process to continue the businesses (</w:t>
      </w:r>
      <w:r>
        <w:rPr>
          <w:rFonts w:ascii="Times New Roman" w:hAnsi="Times New Roman" w:cs="Arial"/>
          <w:color w:val="000000" w:themeColor="text1"/>
          <w:sz w:val="24"/>
          <w:szCs w:val="20"/>
          <w:shd w:val="clear" w:color="auto" w:fill="FFFFFF"/>
          <w14:textFill>
            <w14:solidFill>
              <w14:schemeClr w14:val="tx1"/>
            </w14:solidFill>
          </w14:textFill>
        </w:rPr>
        <w:t>Charalampous, et al., 2019</w:t>
      </w:r>
      <w:r>
        <w:rPr>
          <w:rFonts w:ascii="Times New Roman" w:hAnsi="Times New Roman" w:cs="Times New Roman"/>
          <w:color w:val="000000" w:themeColor="text1"/>
          <w:sz w:val="24"/>
          <w:szCs w:val="24"/>
          <w14:textFill>
            <w14:solidFill>
              <w14:schemeClr w14:val="tx1"/>
            </w14:solidFill>
          </w14:textFill>
        </w:rPr>
        <w:t xml:space="preserve">). After the pandemic, technology played a crucial role in appraising the performance of remote workers. However, with the rapid growth in remote work, several challenges also took place due to global events and fluctuating dynamics of the workplace or work environment. Technology has become the mainstay for organizations and employers as well to monitor evaluate and analyze the performance of the team members as well as the growth of the organization. </w:t>
      </w:r>
    </w:p>
    <w:p w14:paraId="52D58AF5">
      <w:pPr>
        <w:tabs>
          <w:tab w:val="left" w:pos="2820"/>
        </w:tabs>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transformation through the technology utilization has worked very well to maintain the productivity of businesses, even giving new dimensions to the employee's appraisals. Through the use of technology facilitating continuous monitoring of team members while taking and providing feedback, remote working worked very efficiently (</w:t>
      </w:r>
      <w:r>
        <w:rPr>
          <w:rFonts w:ascii="Times New Roman" w:hAnsi="Times New Roman" w:cs="Arial"/>
          <w:color w:val="000000" w:themeColor="text1"/>
          <w:sz w:val="24"/>
          <w:szCs w:val="20"/>
          <w:shd w:val="clear" w:color="auto" w:fill="FFFFFF"/>
          <w14:textFill>
            <w14:solidFill>
              <w14:schemeClr w14:val="tx1"/>
            </w14:solidFill>
          </w14:textFill>
        </w:rPr>
        <w:t>Narayanamurthy &amp; Tortorella, 2021</w:t>
      </w:r>
      <w:r>
        <w:rPr>
          <w:rFonts w:ascii="Times New Roman" w:hAnsi="Times New Roman" w:cs="Times New Roman"/>
          <w:color w:val="000000" w:themeColor="text1"/>
          <w:sz w:val="24"/>
          <w:szCs w:val="24"/>
          <w14:textFill>
            <w14:solidFill>
              <w14:schemeClr w14:val="tx1"/>
            </w14:solidFill>
          </w14:textFill>
        </w:rPr>
        <w:t>). The feedback process helped the employers to provide performance appraisals to the remote working employees to motivate them as well as to keep the employees on track to work efficiently. Technology very innovatively supported the organizations to streamline each task and collaborate with the employees continuously to keep the employee's significant assets to the organization. Furthermore, one more key trait of performance appraisal through technology is to support the employers in collecting, storing, and monitoring the data for evaluating each employee’s performance. Technology helps very effectively to gather and review the data through different sources such as customer feedback, productivity metrics, peer feedback, self-performance reports as well as employee behavior analysis. Several tools also help employers to keep track of task management through tools like time-management applications, project management software, and productivity monitoring tools to ensure the tasks are completed on time with productivity and efficiency (</w:t>
      </w:r>
      <w:r>
        <w:rPr>
          <w:rFonts w:ascii="Times New Roman" w:hAnsi="Times New Roman" w:cs="Arial"/>
          <w:color w:val="000000" w:themeColor="text1"/>
          <w:sz w:val="24"/>
          <w:szCs w:val="20"/>
          <w:shd w:val="clear" w:color="auto" w:fill="FFFFFF"/>
          <w14:textFill>
            <w14:solidFill>
              <w14:schemeClr w14:val="tx1"/>
            </w14:solidFill>
          </w14:textFill>
        </w:rPr>
        <w:t>Cascio &amp; Montealegre, 2016</w:t>
      </w:r>
      <w:r>
        <w:rPr>
          <w:rFonts w:ascii="Times New Roman" w:hAnsi="Times New Roman" w:cs="Times New Roman"/>
          <w:color w:val="000000" w:themeColor="text1"/>
          <w:sz w:val="24"/>
          <w:szCs w:val="24"/>
          <w14:textFill>
            <w14:solidFill>
              <w14:schemeClr w14:val="tx1"/>
            </w14:solidFill>
          </w14:textFill>
        </w:rPr>
        <w:t xml:space="preserve">). </w:t>
      </w:r>
    </w:p>
    <w:p w14:paraId="6540BB3C">
      <w:pPr>
        <w:tabs>
          <w:tab w:val="left" w:pos="2820"/>
        </w:tabs>
        <w:spacing w:before="240" w:after="240" w:line="36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Continuous tracking enables the supervisors, and manager to keep track of the monthly, quarterly, and yearly performance records of each employee. Furthermore, technology has also given several applications or tools of communication to connect with numerous employees or team members at times to conduct meetings and collaborate to discuss important tasks. Communication and collaboration tools played a vital role during the pandemic and still working for the remote working employees, which also plays an important role in employee's performance appraisal process. Several platforms like Slack, Zoom meetings, and Microsoft Teams facilitate daily meetings and discussions with peers. Such a platform shows the team members' activeness, and responsiveness while defining their abilities or capabilities to work through remote working processes more productively. The appropriate utilization of such platforms, tools, or applications makes sure that each remote worker remains engaged and visible during working hours in the absence of physical workplace presence to minimize several misunderstandings about employees' contributions and involvement. Technology makes sure to support the goals of the organization related to performance appraisal and management of employees efficiently. The use of technology also allows the employees to align with the organization's goals and objectives to support the organization with active participation and best work practices (</w:t>
      </w:r>
      <w:r>
        <w:rPr>
          <w:rFonts w:ascii="Times New Roman" w:hAnsi="Times New Roman" w:cs="Arial"/>
          <w:color w:val="000000" w:themeColor="text1"/>
          <w:sz w:val="24"/>
          <w:szCs w:val="20"/>
          <w:shd w:val="clear" w:color="auto" w:fill="FFFFFF"/>
          <w14:textFill>
            <w14:solidFill>
              <w14:schemeClr w14:val="tx1"/>
            </w14:solidFill>
          </w14:textFill>
        </w:rPr>
        <w:t>Stone, et al., 2015</w:t>
      </w:r>
      <w:r>
        <w:rPr>
          <w:rFonts w:ascii="Times New Roman" w:hAnsi="Times New Roman" w:cs="Times New Roman"/>
          <w:color w:val="000000" w:themeColor="text1"/>
          <w:sz w:val="24"/>
          <w:szCs w:val="24"/>
          <w14:textFill>
            <w14:solidFill>
              <w14:schemeClr w14:val="tx1"/>
            </w14:solidFill>
          </w14:textFill>
        </w:rPr>
        <w:t xml:space="preserve">). </w:t>
      </w:r>
    </w:p>
    <w:p w14:paraId="328E30C0">
      <w:pPr>
        <w:tabs>
          <w:tab w:val="left" w:pos="2820"/>
        </w:tabs>
        <w:spacing w:before="240" w:after="240" w:line="360" w:lineRule="auto"/>
        <w:jc w:val="both"/>
        <w:rPr>
          <w:rFonts w:ascii="Times New Roman" w:hAnsi="Times New Roman" w:cs="Times New Roman"/>
          <w:b/>
          <w:bCs/>
          <w:color w:val="000000" w:themeColor="text1"/>
          <w:sz w:val="24"/>
          <w:szCs w:val="24"/>
          <w14:textFill>
            <w14:solidFill>
              <w14:schemeClr w14:val="tx1"/>
            </w14:solidFill>
          </w14:textFill>
        </w:rPr>
      </w:pPr>
      <w:r>
        <w:rPr>
          <w:rStyle w:val="16"/>
          <w:rFonts w:ascii="Times New Roman" w:hAnsi="Times New Roman" w:cs="Times New Roman"/>
          <w:b/>
          <w:bCs/>
          <w:color w:val="000000" w:themeColor="text1"/>
          <w:sz w:val="24"/>
          <w:szCs w:val="24"/>
          <w14:textFill>
            <w14:solidFill>
              <w14:schemeClr w14:val="tx1"/>
            </w14:solidFill>
          </w14:textFill>
        </w:rPr>
        <w:drawing>
          <wp:anchor distT="0" distB="0" distL="114300" distR="114300" simplePos="0" relativeHeight="251660288" behindDoc="1" locked="0" layoutInCell="1" allowOverlap="1">
            <wp:simplePos x="0" y="0"/>
            <wp:positionH relativeFrom="column">
              <wp:posOffset>-635</wp:posOffset>
            </wp:positionH>
            <wp:positionV relativeFrom="paragraph">
              <wp:posOffset>387985</wp:posOffset>
            </wp:positionV>
            <wp:extent cx="3835400" cy="2689860"/>
            <wp:effectExtent l="0" t="0" r="0" b="0"/>
            <wp:wrapTight wrapText="bothSides">
              <wp:wrapPolygon>
                <wp:start x="0" y="0"/>
                <wp:lineTo x="0" y="21416"/>
                <wp:lineTo x="21457" y="21416"/>
                <wp:lineTo x="214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835400" cy="2689860"/>
                    </a:xfrm>
                    <a:prstGeom prst="rect">
                      <a:avLst/>
                    </a:prstGeom>
                  </pic:spPr>
                </pic:pic>
              </a:graphicData>
            </a:graphic>
          </wp:anchor>
        </w:drawing>
      </w:r>
      <w:bookmarkStart w:id="2" w:name="_Toc175058320"/>
      <w:r>
        <w:rPr>
          <w:rStyle w:val="16"/>
          <w:rFonts w:ascii="Times New Roman" w:hAnsi="Times New Roman" w:cs="Times New Roman"/>
          <w:b/>
          <w:bCs/>
          <w:color w:val="000000" w:themeColor="text1"/>
          <w:sz w:val="24"/>
          <w:szCs w:val="24"/>
          <w14:textFill>
            <w14:solidFill>
              <w14:schemeClr w14:val="tx1"/>
            </w14:solidFill>
          </w14:textFill>
        </w:rPr>
        <w:t>Evaluation of four different performance measurement techniques for remote workers</w:t>
      </w:r>
      <w:bookmarkEnd w:id="2"/>
    </w:p>
    <w:p w14:paraId="7FA0C438">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olor w:val="000000" w:themeColor="text1"/>
          <w:sz w:val="24"/>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column">
                  <wp:posOffset>-3923665</wp:posOffset>
                </wp:positionH>
                <wp:positionV relativeFrom="paragraph">
                  <wp:posOffset>2753360</wp:posOffset>
                </wp:positionV>
                <wp:extent cx="3835400" cy="396240"/>
                <wp:effectExtent l="0" t="0" r="0" b="3810"/>
                <wp:wrapTight wrapText="bothSides">
                  <wp:wrapPolygon>
                    <wp:start x="0" y="0"/>
                    <wp:lineTo x="0" y="20769"/>
                    <wp:lineTo x="21457" y="20769"/>
                    <wp:lineTo x="2145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835400" cy="396240"/>
                        </a:xfrm>
                        <a:prstGeom prst="rect">
                          <a:avLst/>
                        </a:prstGeom>
                        <a:solidFill>
                          <a:prstClr val="white"/>
                        </a:solidFill>
                        <a:ln>
                          <a:noFill/>
                        </a:ln>
                        <a:effectLst/>
                      </wps:spPr>
                      <wps:txbx>
                        <w:txbxContent>
                          <w:p w14:paraId="71DA9026">
                            <w:pPr>
                              <w:pStyle w:val="6"/>
                              <w:jc w:val="center"/>
                              <w:rPr>
                                <w:rFonts w:ascii="Times New Roman" w:hAnsi="Times New Roman" w:cs="Times New Roman"/>
                                <w:b w:val="0"/>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Figure 1: </w:t>
                            </w:r>
                            <w:r>
                              <w:rPr>
                                <w:rFonts w:ascii="Times New Roman" w:hAnsi="Times New Roman" w:cs="Times New Roman"/>
                                <w:b w:val="0"/>
                                <w:i/>
                                <w:color w:val="000000" w:themeColor="text1"/>
                                <w:sz w:val="24"/>
                                <w:szCs w:val="24"/>
                                <w14:textFill>
                                  <w14:solidFill>
                                    <w14:schemeClr w14:val="tx1"/>
                                  </w14:solidFill>
                                </w14:textFill>
                              </w:rPr>
                              <w:t>“Role of IT Service in Remote Work”</w:t>
                            </w:r>
                            <w:r>
                              <w:rPr>
                                <w:rFonts w:ascii="Times New Roman" w:hAnsi="Times New Roman" w:cs="Times New Roman"/>
                                <w:b w:val="0"/>
                                <w:color w:val="000000" w:themeColor="text1"/>
                                <w:sz w:val="24"/>
                                <w:szCs w:val="24"/>
                                <w14:textFill>
                                  <w14:solidFill>
                                    <w14:schemeClr w14:val="tx1"/>
                                  </w14:solidFill>
                                </w14:textFill>
                              </w:rPr>
                              <w:t xml:space="preserve"> (House of IT., 2024).</w:t>
                            </w:r>
                          </w:p>
                        </w:txbxContent>
                      </wps:txbx>
                      <wps:bodyPr rot="0" spcFirstLastPara="0" vertOverflow="overflow" horzOverflow="overflow" vert="horz" wrap="square" lIns="0" tIns="0" rIns="0" bIns="0" numCol="1" spcCol="0" rtlCol="0" fromWordArt="0" anchor="t" anchorCtr="0" forceAA="0" compatLnSpc="1"/>
                    </wps:wsp>
                  </a:graphicData>
                </a:graphic>
              </wp:anchor>
            </w:drawing>
          </mc:Choice>
          <mc:Fallback>
            <w:pict>
              <v:shape id="_x0000_s1026" o:spid="_x0000_s1026" o:spt="202" type="#_x0000_t202" style="position:absolute;left:0pt;margin-left:-308.95pt;margin-top:216.8pt;height:31.2pt;width:302pt;mso-wrap-distance-left:9pt;mso-wrap-distance-right:9pt;z-index:251659264;mso-width-relative:page;mso-height-relative:page;" fillcolor="#FFFFFF" filled="t" stroked="f" coordsize="21600,21600" wrapcoords="0 0 0 20769 21457 20769 21457 0 0 0" o:gfxdata="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I0sdstsAAAAMAQAADwAAAAAAAAABACAAAAAiAAAAZHJzL2Rvd25yZXYueG1sUEsBAhQA&#10;FAAAAAgAh07iQCfQ/ygoAgAAaAQAAA4AAAAAAAAAAQAgAAAAKgEAAGRycy9lMm9Eb2MueG1sUEsF&#10;BgAAAAAGAAYAWQEAAMQFAAAAAA==&#10;">
                <v:fill on="t" focussize="0,0"/>
                <v:stroke on="f"/>
                <v:imagedata o:title=""/>
                <o:lock v:ext="edit" aspectratio="f"/>
                <v:textbox inset="0mm,0mm,0mm,0mm">
                  <w:txbxContent>
                    <w:p w14:paraId="71DA9026">
                      <w:pPr>
                        <w:pStyle w:val="6"/>
                        <w:jc w:val="center"/>
                        <w:rPr>
                          <w:rFonts w:ascii="Times New Roman" w:hAnsi="Times New Roman" w:cs="Times New Roman"/>
                          <w:b w:val="0"/>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Figure 1: </w:t>
                      </w:r>
                      <w:r>
                        <w:rPr>
                          <w:rFonts w:ascii="Times New Roman" w:hAnsi="Times New Roman" w:cs="Times New Roman"/>
                          <w:b w:val="0"/>
                          <w:i/>
                          <w:color w:val="000000" w:themeColor="text1"/>
                          <w:sz w:val="24"/>
                          <w:szCs w:val="24"/>
                          <w14:textFill>
                            <w14:solidFill>
                              <w14:schemeClr w14:val="tx1"/>
                            </w14:solidFill>
                          </w14:textFill>
                        </w:rPr>
                        <w:t>“Role of IT Service in Remote Work”</w:t>
                      </w:r>
                      <w:r>
                        <w:rPr>
                          <w:rFonts w:ascii="Times New Roman" w:hAnsi="Times New Roman" w:cs="Times New Roman"/>
                          <w:b w:val="0"/>
                          <w:color w:val="000000" w:themeColor="text1"/>
                          <w:sz w:val="24"/>
                          <w:szCs w:val="24"/>
                          <w14:textFill>
                            <w14:solidFill>
                              <w14:schemeClr w14:val="tx1"/>
                            </w14:solidFill>
                          </w14:textFill>
                        </w:rPr>
                        <w:t xml:space="preserve"> (House of IT., 2024).</w:t>
                      </w:r>
                    </w:p>
                  </w:txbxContent>
                </v:textbox>
                <w10:wrap type="tight"/>
              </v:shape>
            </w:pict>
          </mc:Fallback>
        </mc:AlternateContent>
      </w:r>
      <w:r>
        <w:rPr>
          <w:rFonts w:ascii="Times New Roman" w:hAnsi="Times New Roman" w:cs="Times New Roman"/>
          <w:color w:val="000000" w:themeColor="text1"/>
          <w:sz w:val="24"/>
          <w:szCs w:val="24"/>
          <w14:textFill>
            <w14:solidFill>
              <w14:schemeClr w14:val="tx1"/>
            </w14:solidFill>
          </w14:textFill>
        </w:rPr>
        <w:t xml:space="preserve">The organizations implement various performance measurement techniques to monitor and analyze remote worker's performance and productivity. However, measuring performance requires an approach that is very effective to accommodate the unique barriers and opportunities to handle the workforce effectively.  Several organizations adapted new techniques to merge with traditional ways or methods to handle or measure the performance and productivity of the employees appropriately and fairly without any mistake. However, four main types of performance measurement techniques are described below specifically for remote workers. </w:t>
      </w:r>
    </w:p>
    <w:p w14:paraId="5594909A">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Key Performance Indicators (KPIs):</w:t>
      </w:r>
      <w:r>
        <w:rPr>
          <w:rFonts w:ascii="Times New Roman" w:hAnsi="Times New Roman" w:cs="Times New Roman"/>
          <w:color w:val="000000" w:themeColor="text1"/>
          <w:sz w:val="24"/>
          <w:szCs w:val="24"/>
          <w14:textFill>
            <w14:solidFill>
              <w14:schemeClr w14:val="tx1"/>
            </w14:solidFill>
          </w14:textFill>
        </w:rPr>
        <w:t xml:space="preserve"> Key performance indicators are rapidly and effectively implemented performance measurement techniques used by each organization to reflect how the team members work and achieve the goals and business objectives. As, KPIs enable the organization to tailor to several roles and task functions by measuring various aspects like sales performance by measuring the achievement of targets, customer satisfaction score, and the rate of project completion. Also, Key Performance Indicators are a common method to monitor and review the performance of specific employees or persons in the organization. The metrics enable each role to use their best work practices (</w:t>
      </w:r>
      <w:r>
        <w:rPr>
          <w:rFonts w:ascii="Times New Roman" w:hAnsi="Times New Roman" w:cs="Arial"/>
          <w:color w:val="000000" w:themeColor="text1"/>
          <w:sz w:val="24"/>
          <w:szCs w:val="20"/>
          <w:shd w:val="clear" w:color="auto" w:fill="FFFFFF"/>
          <w14:textFill>
            <w14:solidFill>
              <w14:schemeClr w14:val="tx1"/>
            </w14:solidFill>
          </w14:textFill>
        </w:rPr>
        <w:t>Wang, et al., 2021</w:t>
      </w:r>
      <w:r>
        <w:rPr>
          <w:rFonts w:ascii="Times New Roman" w:hAnsi="Times New Roman" w:cs="Times New Roman"/>
          <w:color w:val="000000" w:themeColor="text1"/>
          <w:sz w:val="24"/>
          <w:szCs w:val="24"/>
          <w14:textFill>
            <w14:solidFill>
              <w14:schemeClr w14:val="tx1"/>
            </w14:solidFill>
          </w14:textFill>
        </w:rPr>
        <w:t>). KPIs offer a clear vision to work on the right path to set personal benchmarks for better performance and motivate to achieve them with success and better outcomes. Specifically, for remote workers, the KPIs are very impactful in staying focused on the tasks processes, such approaches also provide flexibility to the employees to align with goals. However, it is very important to set KPIs with a realistic vision to minimize the chances of frustration and disengagement of the employees. Furthermore, most of the time KPIs encourage the team members for better collaboration and achieve better performance targets with the support of managers and supervisors with regular reporting. KPI also allows each individual to remain achievable and specific with organizational objectives.</w:t>
      </w:r>
    </w:p>
    <w:p w14:paraId="3F7C5251">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Project Management Software:</w:t>
      </w:r>
      <w:r>
        <w:rPr>
          <w:rFonts w:ascii="Times New Roman" w:hAnsi="Times New Roman" w:cs="Times New Roman"/>
          <w:color w:val="000000" w:themeColor="text1"/>
          <w:sz w:val="24"/>
          <w:szCs w:val="24"/>
          <w14:textFill>
            <w14:solidFill>
              <w14:schemeClr w14:val="tx1"/>
            </w14:solidFill>
          </w14:textFill>
        </w:rPr>
        <w:t xml:space="preserve"> Project management software has become a vital part of the remote work process to stay aligned with project goals and objectives with each task. It allows the managers to measure the productivity of team members without telling them to make the process fair for every team member. Project management software also helps to set daily goals and allows the employees to perform effectively in each task to contribute to the success of the project, it also engages the employees efficiently. As, this process replaces the annual review process by making it real-time performance tracking while achieving goals, providing feedback regularly to improve the performance of each team member, and upgrading their skills and engagement with the overall team. Furthermore, project management software also aligns with HR software to help the organization's systems and improves the ability of the whole team to keep up with the company's vision and mission. Mainly project management software promotes the engagement of employees in specific projects to upskill each employee and support remote workers (</w:t>
      </w:r>
      <w:r>
        <w:rPr>
          <w:rFonts w:ascii="Times New Roman" w:hAnsi="Times New Roman" w:cs="Arial"/>
          <w:color w:val="000000" w:themeColor="text1"/>
          <w:sz w:val="24"/>
          <w:szCs w:val="20"/>
          <w:shd w:val="clear" w:color="auto" w:fill="FFFFFF"/>
          <w14:textFill>
            <w14:solidFill>
              <w14:schemeClr w14:val="tx1"/>
            </w14:solidFill>
          </w14:textFill>
        </w:rPr>
        <w:t>Felstead &amp; Henseke, 2017</w:t>
      </w:r>
      <w:r>
        <w:rPr>
          <w:rFonts w:ascii="Times New Roman" w:hAnsi="Times New Roman" w:cs="Times New Roman"/>
          <w:color w:val="000000" w:themeColor="text1"/>
          <w:sz w:val="24"/>
          <w:szCs w:val="24"/>
          <w14:textFill>
            <w14:solidFill>
              <w14:schemeClr w14:val="tx1"/>
            </w14:solidFill>
          </w14:textFill>
        </w:rPr>
        <w:t xml:space="preserve">). </w:t>
      </w:r>
    </w:p>
    <w:p w14:paraId="1F6EB642">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 xml:space="preserve">360-Degree Feedback: </w:t>
      </w:r>
      <w:r>
        <w:rPr>
          <w:rFonts w:ascii="Times New Roman" w:hAnsi="Times New Roman" w:cs="Times New Roman"/>
          <w:color w:val="000000" w:themeColor="text1"/>
          <w:sz w:val="24"/>
          <w:szCs w:val="24"/>
          <w14:textFill>
            <w14:solidFill>
              <w14:schemeClr w14:val="tx1"/>
            </w14:solidFill>
          </w14:textFill>
        </w:rPr>
        <w:t xml:space="preserve">360-degree feedback is a comprehensive method for measuring the subjective behavior of each remote worker and proficiencies. It offers the information directly to the manager based on reports about co-workers. 360-degree feedback process also helps to gather feedback about the employee from a wide range of sources including supervisors, project managers, subordinates, customers, and peers to provide appraisal or support feedback to improve the performance of the team member. This technique is one of the most efficient techniques with a holistic view to provide employee performance with multiple perspectives. As, this feedback process provides insight into valuable employees' working challenges, weaknesses, and even strengths. As it allows the peers to support the employee with appropriate appraisal or training to encourage and motivate the employee in remote work. </w:t>
      </w:r>
    </w:p>
    <w:p w14:paraId="7552CABB">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 xml:space="preserve">Time-Tracking Technique: </w:t>
      </w:r>
      <w:r>
        <w:rPr>
          <w:rFonts w:ascii="Times New Roman" w:hAnsi="Times New Roman" w:cs="Times New Roman"/>
          <w:color w:val="000000" w:themeColor="text1"/>
          <w:sz w:val="24"/>
          <w:szCs w:val="24"/>
          <w14:textFill>
            <w14:solidFill>
              <w14:schemeClr w14:val="tx1"/>
            </w14:solidFill>
          </w14:textFill>
        </w:rPr>
        <w:t>Time-tracking software is a tool and efficient technique to monitor how effectively the employee utilizes their time to stay aligned with specific projects or tasks. As, it shows the strengths and weaknesses of the specific employee, which also provides an overview of their performance and the improvement required. It is an automatic time capture process during tasks and projections, which also provides the reporting to the peers of seniors of the employees to spot the efficiency as well as inefficiencies to provide feedback and better performance appraisal to the team members. Specifically, for remote workers time-tracking is an effective tool to keep the employee on track to maintain focus and accountability. Also, time-tracking tools help the employee to perform well while keeping track of each practice or work in the tasks to prioritize important tasks more quickly, it promotes the employee's performance more effectively (</w:t>
      </w:r>
      <w:r>
        <w:rPr>
          <w:rFonts w:ascii="Times New Roman" w:hAnsi="Times New Roman" w:cs="Arial"/>
          <w:color w:val="000000" w:themeColor="text1"/>
          <w:sz w:val="24"/>
          <w:szCs w:val="20"/>
          <w:shd w:val="clear" w:color="auto" w:fill="FFFFFF"/>
          <w14:textFill>
            <w14:solidFill>
              <w14:schemeClr w14:val="tx1"/>
            </w14:solidFill>
          </w14:textFill>
        </w:rPr>
        <w:t>Sassanelli, et al., 2019</w:t>
      </w:r>
      <w:r>
        <w:rPr>
          <w:rFonts w:ascii="Times New Roman" w:hAnsi="Times New Roman" w:cs="Times New Roman"/>
          <w:color w:val="000000" w:themeColor="text1"/>
          <w:sz w:val="24"/>
          <w:szCs w:val="24"/>
          <w14:textFill>
            <w14:solidFill>
              <w14:schemeClr w14:val="tx1"/>
            </w14:solidFill>
          </w14:textFill>
        </w:rPr>
        <w:t xml:space="preserve">). </w:t>
      </w:r>
    </w:p>
    <w:p w14:paraId="04385017">
      <w:pPr>
        <w:pStyle w:val="2"/>
        <w:rPr>
          <w:rFonts w:ascii="Times New Roman" w:hAnsi="Times New Roman" w:cs="Times New Roman"/>
          <w:b/>
          <w:bCs/>
          <w:color w:val="000000" w:themeColor="text1"/>
          <w:sz w:val="24"/>
          <w:szCs w:val="24"/>
          <w14:textFill>
            <w14:solidFill>
              <w14:schemeClr w14:val="tx1"/>
            </w14:solidFill>
          </w14:textFill>
        </w:rPr>
      </w:pPr>
      <w:bookmarkStart w:id="3" w:name="_Toc175058321"/>
      <w:r>
        <w:rPr>
          <w:rFonts w:ascii="Times New Roman" w:hAnsi="Times New Roman" w:cs="Times New Roman"/>
          <w:b/>
          <w:bCs/>
          <w:color w:val="000000" w:themeColor="text1"/>
          <w:sz w:val="24"/>
          <w:szCs w:val="24"/>
          <w14:textFill>
            <w14:solidFill>
              <w14:schemeClr w14:val="tx1"/>
            </w14:solidFill>
          </w14:textFill>
        </w:rPr>
        <w:t>Evaluation of four different performance appraisal tools for remote workers</w:t>
      </w:r>
      <w:bookmarkEnd w:id="3"/>
      <w:r>
        <w:rPr>
          <w:rFonts w:ascii="Times New Roman" w:hAnsi="Times New Roman" w:cs="Times New Roman"/>
          <w:b/>
          <w:bCs/>
          <w:color w:val="000000" w:themeColor="text1"/>
          <w:sz w:val="24"/>
          <w:szCs w:val="24"/>
          <w14:textFill>
            <w14:solidFill>
              <w14:schemeClr w14:val="tx1"/>
            </w14:solidFill>
          </w14:textFill>
        </w:rPr>
        <w:t xml:space="preserve">  </w:t>
      </w:r>
    </w:p>
    <w:p w14:paraId="7F65220C">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Performance measurement appraisal tools provide the ability to each employee to seek insight into self-performance, as well as to the peer to monitor and measure employee performance. As, effective remote performance appraisal methods include clear goal alignment, communication, and regular feedback about employee performance. Utilizing tools like face-to-face discussions, and video conferences help to provide personal support and sets measurable goals while allowing employees to understand the expectations and performance requirements (</w:t>
      </w:r>
      <w:r>
        <w:rPr>
          <w:rFonts w:ascii="Times New Roman" w:hAnsi="Times New Roman" w:cs="Arial"/>
          <w:color w:val="000000" w:themeColor="text1"/>
          <w:sz w:val="24"/>
          <w:szCs w:val="20"/>
          <w:shd w:val="clear" w:color="auto" w:fill="FFFFFF"/>
          <w14:textFill>
            <w14:solidFill>
              <w14:schemeClr w14:val="tx1"/>
            </w14:solidFill>
          </w14:textFill>
        </w:rPr>
        <w:t>DeNisi &amp; Murphy, 2017</w:t>
      </w:r>
      <w:r>
        <w:rPr>
          <w:rFonts w:ascii="Times New Roman" w:hAnsi="Times New Roman" w:cs="Times New Roman"/>
          <w:color w:val="000000" w:themeColor="text1"/>
          <w:sz w:val="24"/>
          <w:szCs w:val="24"/>
          <w14:textFill>
            <w14:solidFill>
              <w14:schemeClr w14:val="tx1"/>
            </w14:solidFill>
          </w14:textFill>
        </w:rPr>
        <w:t>). However, the main four rapidly utilized performance appraisal tools are described below:</w:t>
      </w:r>
    </w:p>
    <w:p w14:paraId="65D82031">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Self-Assessment Tools:</w:t>
      </w:r>
      <w:r>
        <w:rPr>
          <w:rFonts w:ascii="Times New Roman" w:hAnsi="Times New Roman" w:cs="Times New Roman"/>
          <w:color w:val="000000" w:themeColor="text1"/>
          <w:sz w:val="24"/>
          <w:szCs w:val="24"/>
          <w14:textFill>
            <w14:solidFill>
              <w14:schemeClr w14:val="tx1"/>
            </w14:solidFill>
          </w14:textFill>
        </w:rPr>
        <w:t xml:space="preserve"> This tool involves the employees evaluating their performance on specific criteria set by the peers or goals alignment. The tools typically need workers to seek insight on the achievements, barriers, and improvement areas to improve the performance appraisal period. Self-assessment tools are highly effective for remote workers to encourage employees to make efforts to develop their skills and improve weak areas. Self-assessment promotes self-awareness and accountability to promote strengths and cover the weak areas to overcome specific challenges faced by remote workers to stay productive. Furthermore, another advantage of the self-assessment tool is that it promotes personalized feedback discussions with peers, which promotes employee engagement and provides effective career aspirations to the employees. </w:t>
      </w:r>
    </w:p>
    <w:p w14:paraId="2F57DF21">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 xml:space="preserve">Peer Review Tools: </w:t>
      </w:r>
      <w:r>
        <w:rPr>
          <w:rFonts w:ascii="Times New Roman" w:hAnsi="Times New Roman" w:cs="Times New Roman"/>
          <w:color w:val="000000" w:themeColor="text1"/>
          <w:sz w:val="24"/>
          <w:szCs w:val="24"/>
          <w14:textFill>
            <w14:solidFill>
              <w14:schemeClr w14:val="tx1"/>
            </w14:solidFill>
          </w14:textFill>
        </w:rPr>
        <w:t>Peer review tool is mainly implemented and utilized to collect feedback from the employee's subordinates or coworkers by providing a complex view of each other's performance. It includes collaboration, communication, and a contribution review of the employee with the team goals. Peer reviews can be done through surveys, feedback forms, and 360-degree feedback meetings. Peer review tools are particularly valuable for remote workers to capture their performance aspects by the managers. Furthermore, the main advantage of a peer review tool is to promote a democratic and holistic approach or process to offering employee performance appraisals. It leads to an accurate and fair assessment mainly for the environment where the team works with a cross-functional collaboration process (</w:t>
      </w:r>
      <w:r>
        <w:rPr>
          <w:rFonts w:ascii="Times New Roman" w:hAnsi="Times New Roman" w:cs="Arial"/>
          <w:color w:val="000000" w:themeColor="text1"/>
          <w:sz w:val="24"/>
          <w:szCs w:val="20"/>
          <w:shd w:val="clear" w:color="auto" w:fill="FFFFFF"/>
          <w14:textFill>
            <w14:solidFill>
              <w14:schemeClr w14:val="tx1"/>
            </w14:solidFill>
          </w14:textFill>
        </w:rPr>
        <w:t>Charalampous, et al., 2019</w:t>
      </w:r>
      <w:r>
        <w:rPr>
          <w:rFonts w:ascii="Times New Roman" w:hAnsi="Times New Roman" w:cs="Times New Roman"/>
          <w:color w:val="000000" w:themeColor="text1"/>
          <w:sz w:val="24"/>
          <w:szCs w:val="24"/>
          <w14:textFill>
            <w14:solidFill>
              <w14:schemeClr w14:val="tx1"/>
            </w14:solidFill>
          </w14:textFill>
        </w:rPr>
        <w:t xml:space="preserve">). </w:t>
      </w:r>
    </w:p>
    <w:p w14:paraId="5917BAF8">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Continuous Performance Management System:</w:t>
      </w:r>
      <w:r>
        <w:rPr>
          <w:rFonts w:ascii="Times New Roman" w:hAnsi="Times New Roman" w:cs="Times New Roman"/>
          <w:color w:val="000000" w:themeColor="text1"/>
          <w:sz w:val="24"/>
          <w:szCs w:val="24"/>
          <w14:textFill>
            <w14:solidFill>
              <w14:schemeClr w14:val="tx1"/>
            </w14:solidFill>
          </w14:textFill>
        </w:rPr>
        <w:t xml:space="preserve"> Continuous performance management platforms are specifically developed to facilitate regular and continuous feedback to improve performance discussions. This process also replaces the traditional annual performance reports and processes by making them more specific and accurate. Continuous performance management is very beneficial for remote workers to address their key challenges in remote working environments, reduce the challenges, and improve performance with peer support. The system also supports a responsive approach and remote working dynamic to prioritize the goals and address real-time challenges. The continuous performance management system also promotes connection and engagement among remote worker team members to reduce feelings of isolation and loneliness. </w:t>
      </w:r>
    </w:p>
    <w:p w14:paraId="7E6CAEF5">
      <w:pPr>
        <w:spacing w:before="240" w:after="240" w:line="360" w:lineRule="auto"/>
        <w:jc w:val="center"/>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drawing>
          <wp:inline distT="0" distB="0" distL="0" distR="0">
            <wp:extent cx="4164965" cy="2948940"/>
            <wp:effectExtent l="0" t="0" r="698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4165030" cy="2948940"/>
                    </a:xfrm>
                    <a:prstGeom prst="rect">
                      <a:avLst/>
                    </a:prstGeom>
                  </pic:spPr>
                </pic:pic>
              </a:graphicData>
            </a:graphic>
          </wp:inline>
        </w:drawing>
      </w:r>
    </w:p>
    <w:p w14:paraId="2A80D84E">
      <w:pPr>
        <w:spacing w:before="240" w:after="240" w:line="360" w:lineRule="auto"/>
        <w:jc w:val="center"/>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Figure 2:</w:t>
      </w:r>
      <w:r>
        <w:rPr>
          <w:rFonts w:ascii="Times New Roman" w:hAnsi="Times New Roman" w:cs="Times New Roman"/>
          <w:color w:val="000000" w:themeColor="text1"/>
          <w:sz w:val="24"/>
          <w:szCs w:val="24"/>
          <w14:textFill>
            <w14:solidFill>
              <w14:schemeClr w14:val="tx1"/>
            </w14:solidFill>
          </w14:textFill>
        </w:rPr>
        <w:t xml:space="preserve"> “Performance Review System” (Libraries., 2024).</w:t>
      </w:r>
    </w:p>
    <w:p w14:paraId="2BF6E002">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Tracking Software and Goal-Setting:</w:t>
      </w:r>
      <w:r>
        <w:rPr>
          <w:rFonts w:ascii="Times New Roman" w:hAnsi="Times New Roman" w:cs="Times New Roman"/>
          <w:color w:val="000000" w:themeColor="text1"/>
          <w:sz w:val="24"/>
          <w:szCs w:val="24"/>
          <w14:textFill>
            <w14:solidFill>
              <w14:schemeClr w14:val="tx1"/>
            </w14:solidFill>
          </w14:textFill>
        </w:rPr>
        <w:t xml:space="preserve"> The tracking software and goal-setting allow employees as well as managers to collaboratively set the performance goals, and keep track of progress. Continuous tracking allows for making adjustments and improving performance, which also encourages managers to provide performance appraisals. Using SMART goals allows for promoting better performance measuring techniques and better decision-making ability to peers and managers. The tracking software and goal establishment increase the visibility in remote work settings through daily activities and measurement to fulfill the peer's expectations and organizational objectives. Goal setting provides great ability for the employees to perform while alignment the main requirement for the task or specific project to seek a more efficient performance appraisal. Also, the tracking software offers insight into the employee's achievement to the peer or manager to measure the success or performance of the employee (</w:t>
      </w:r>
      <w:r>
        <w:rPr>
          <w:rFonts w:ascii="Times New Roman" w:hAnsi="Times New Roman" w:cs="Arial"/>
          <w:color w:val="000000" w:themeColor="text1"/>
          <w:sz w:val="24"/>
          <w:szCs w:val="20"/>
          <w:shd w:val="clear" w:color="auto" w:fill="FFFFFF"/>
          <w14:textFill>
            <w14:solidFill>
              <w14:schemeClr w14:val="tx1"/>
            </w14:solidFill>
          </w14:textFill>
        </w:rPr>
        <w:t>Albrecht, et al., 2015</w:t>
      </w:r>
      <w:r>
        <w:rPr>
          <w:rFonts w:ascii="Times New Roman" w:hAnsi="Times New Roman" w:cs="Times New Roman"/>
          <w:color w:val="000000" w:themeColor="text1"/>
          <w:sz w:val="24"/>
          <w:szCs w:val="24"/>
          <w14:textFill>
            <w14:solidFill>
              <w14:schemeClr w14:val="tx1"/>
            </w14:solidFill>
          </w14:textFill>
        </w:rPr>
        <w:t xml:space="preserve">). </w:t>
      </w:r>
    </w:p>
    <w:p w14:paraId="38FC84FE">
      <w:pPr>
        <w:pStyle w:val="2"/>
        <w:rPr>
          <w:rFonts w:ascii="Times New Roman" w:hAnsi="Times New Roman" w:cs="Times New Roman"/>
          <w:b/>
          <w:bCs/>
          <w:color w:val="000000" w:themeColor="text1"/>
          <w:sz w:val="24"/>
          <w:szCs w:val="24"/>
          <w14:textFill>
            <w14:solidFill>
              <w14:schemeClr w14:val="tx1"/>
            </w14:solidFill>
          </w14:textFill>
        </w:rPr>
      </w:pPr>
      <w:r>
        <w:br w:type="page"/>
      </w:r>
      <w:bookmarkStart w:id="4" w:name="_Toc175058322"/>
      <w:r>
        <w:rPr>
          <w:rFonts w:ascii="Times New Roman" w:hAnsi="Times New Roman" w:cs="Times New Roman"/>
          <w:b/>
          <w:bCs/>
          <w:color w:val="000000" w:themeColor="text1"/>
          <w:sz w:val="24"/>
          <w:szCs w:val="24"/>
          <w14:textFill>
            <w14:solidFill>
              <w14:schemeClr w14:val="tx1"/>
            </w14:solidFill>
          </w14:textFill>
        </w:rPr>
        <w:t>Conclusion</w:t>
      </w:r>
      <w:bookmarkEnd w:id="4"/>
    </w:p>
    <w:p w14:paraId="4A86DD10">
      <w:pPr>
        <w:spacing w:before="240" w:after="240" w:line="36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In conclusion, the essay above offers a deep insight into how effectively peers and organizations manage their virtual employees through utilizing technology appropriately. Communicating, managing, and collaborating with remote workers is a tough task. However, organizations keep technology an important part of maintaining the work environment through several techniques like feedback processes, time tracking, and setting goals to encourage employees to give their best work practices. It allows the organization to improve the weaknesses of the employees and appraise their performance with benefits like bonuses, salary increments, and promotions to motivate remote workers. </w:t>
      </w:r>
      <w:r>
        <w:rPr>
          <w:rFonts w:ascii="Times New Roman" w:hAnsi="Times New Roman" w:cs="Times New Roman"/>
          <w:b/>
          <w:color w:val="000000" w:themeColor="text1"/>
          <w:sz w:val="24"/>
          <w:szCs w:val="24"/>
          <w14:textFill>
            <w14:solidFill>
              <w14:schemeClr w14:val="tx1"/>
            </w14:solidFill>
          </w14:textFill>
        </w:rPr>
        <w:t xml:space="preserve"> </w:t>
      </w:r>
    </w:p>
    <w:p w14:paraId="32DB9205">
      <w:pPr>
        <w:spacing w:before="240" w:after="240" w:line="36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br w:type="page"/>
      </w:r>
    </w:p>
    <w:p w14:paraId="2C7D902D">
      <w:pPr>
        <w:pStyle w:val="2"/>
        <w:rPr>
          <w:rFonts w:ascii="Times New Roman" w:hAnsi="Times New Roman" w:cs="Times New Roman"/>
          <w:b/>
          <w:bCs/>
          <w:color w:val="000000" w:themeColor="text1"/>
          <w:sz w:val="24"/>
          <w:szCs w:val="24"/>
          <w14:textFill>
            <w14:solidFill>
              <w14:schemeClr w14:val="tx1"/>
            </w14:solidFill>
          </w14:textFill>
        </w:rPr>
      </w:pPr>
      <w:bookmarkStart w:id="5" w:name="_Toc175058323"/>
      <w:r>
        <w:rPr>
          <w:rFonts w:ascii="Times New Roman" w:hAnsi="Times New Roman" w:cs="Times New Roman"/>
          <w:b/>
          <w:bCs/>
          <w:color w:val="000000" w:themeColor="text1"/>
          <w:sz w:val="24"/>
          <w:szCs w:val="24"/>
          <w14:textFill>
            <w14:solidFill>
              <w14:schemeClr w14:val="tx1"/>
            </w14:solidFill>
          </w14:textFill>
        </w:rPr>
        <w:t>References:</w:t>
      </w:r>
      <w:bookmarkEnd w:id="5"/>
    </w:p>
    <w:p w14:paraId="6810D753">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Albrecht, S.L., Bakker, A.B., Gruman, J.A., Macey, W.H. and Saks, A.M., 2015. Employee engagement, human resource management practices and competitive advantage: An integrated approach. </w:t>
      </w:r>
      <w:r>
        <w:rPr>
          <w:rFonts w:ascii="Times New Roman" w:hAnsi="Times New Roman" w:cs="Arial"/>
          <w:i/>
          <w:iCs/>
          <w:color w:val="000000" w:themeColor="text1"/>
          <w:sz w:val="24"/>
          <w:szCs w:val="20"/>
          <w:shd w:val="clear" w:color="auto" w:fill="FFFFFF"/>
          <w14:textFill>
            <w14:solidFill>
              <w14:schemeClr w14:val="tx1"/>
            </w14:solidFill>
          </w14:textFill>
        </w:rPr>
        <w:t>Journal of organizational effectiveness: People and performance</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2</w:t>
      </w:r>
      <w:r>
        <w:rPr>
          <w:rFonts w:ascii="Times New Roman" w:hAnsi="Times New Roman" w:cs="Arial"/>
          <w:color w:val="000000" w:themeColor="text1"/>
          <w:sz w:val="24"/>
          <w:szCs w:val="20"/>
          <w:shd w:val="clear" w:color="auto" w:fill="FFFFFF"/>
          <w14:textFill>
            <w14:solidFill>
              <w14:schemeClr w14:val="tx1"/>
            </w14:solidFill>
          </w14:textFill>
        </w:rPr>
        <w:t>(1), pp.7-35.</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d1wqtxts1xzle7.cloudfront.net/36924286/Albrecht_Bakker_Gruman_Macey___Saks_JOEPP2015-libre.pdf?1425997634=&amp;response-content-disposition=inline%3B+filename%3DEmployee_engagement_human_resource_manag.pdf&amp;Expires=1723896764&amp;Signature=AhA-UMT-wyet9DvGvLi~ekZodQTfcU3ApdgNz0doU0PITUIpg6JAB-6d3dYu~NS4TC0VQCwwVIQ4ngghEUuUQPg7xla03aR8YbkS5VGt71ev-kH3qH32t9EawoBbQnYj7VCIYLrQu6HM~10nXwV8CxXxpDgQpeaJ-xowET0Eo31p9nX2ZU2ovx-2UM3MnXq~zVqVhNfaJEbvOsSlKBzT71T8Tfck72m59Zj-I68eEHiqAujmzFbo0zXTIgD0ACAYmcVVg~3Y1fu2bcU1awONiWyQziQDKYPufUVfbDG7vH1X-~8cND9XAb2a7KYGtczdKUj7mrSzwjFYw8m9jBjz-w__&amp;Key-Pair-Id=APKAJLOHF5GGSLRBV4ZA"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d1wqtxts1xzle7.cloudfront.net/36924286/Albrecht_Bakker_Gruman_Macey___Saks_JOEPP2015-libre.pdf?1425997634=&amp;response-content-disposition=inline%3B+filename%3DEmployee_engagement_human_resource_manag.pdf&amp;Expires=1723896764&amp;Signature=AhA-UMT-wyet9DvGvLi~ekZodQTfcU3ApdgNz0doU0PITUIpg6JAB-6d3dYu~NS4TC0VQCwwVIQ4ngghEUuUQPg7xla03aR8YbkS5VGt71ev-kH3qH32t9EawoBbQnYj7VCIYLrQu6HM~10nXwV8CxXxpDgQpeaJ-xowET0Eo31p9nX2ZU2ovx-2UM3MnXq~zVqVhNfaJEbvOsSlKBzT71T8Tfck72m59Zj-I68eEHiqAujmzFbo0zXTIgD0ACAYmcVVg~3Y1fu2bcU1awONiWyQziQDKYPufUVfbDG7vH1X-~8cND9XAb2a7KYGtczdKUj7mrSzwjFYw8m9jBjz-w__&amp;Key-Pair-Id=APKAJLOHF5GGSLRBV4ZA</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69218835">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Cascio, W.F. and Montealegre, R., 2016. How technology is changing work and organizations. </w:t>
      </w:r>
      <w:r>
        <w:rPr>
          <w:rFonts w:ascii="Times New Roman" w:hAnsi="Times New Roman" w:cs="Arial"/>
          <w:i/>
          <w:iCs/>
          <w:color w:val="000000" w:themeColor="text1"/>
          <w:sz w:val="24"/>
          <w:szCs w:val="20"/>
          <w:shd w:val="clear" w:color="auto" w:fill="FFFFFF"/>
          <w14:textFill>
            <w14:solidFill>
              <w14:schemeClr w14:val="tx1"/>
            </w14:solidFill>
          </w14:textFill>
        </w:rPr>
        <w:t>Annual review of organizational psychology and organizational behavior</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3</w:t>
      </w:r>
      <w:r>
        <w:rPr>
          <w:rFonts w:ascii="Times New Roman" w:hAnsi="Times New Roman" w:cs="Arial"/>
          <w:color w:val="000000" w:themeColor="text1"/>
          <w:sz w:val="24"/>
          <w:szCs w:val="20"/>
          <w:shd w:val="clear" w:color="auto" w:fill="FFFFFF"/>
          <w14:textFill>
            <w14:solidFill>
              <w14:schemeClr w14:val="tx1"/>
            </w14:solidFill>
          </w14:textFill>
        </w:rPr>
        <w:t>(1), pp.349-375.</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d1wqtxts1xzle7.cloudfront.net/61951394/How_technology_is_Changing_Work_and_Organizations20200131-103496-ji1s92.pdf?1580480032=&amp;response-content-disposition=inline%3B+filename%3DHow_Technology_Is_Changing_Work_and_Orga.pdf&amp;Expires=1723896259&amp;Signature=Twsgxv7ompkS7i7zXtvSAr7FNLZUP4OpuKbX55V2dR7GMiKawRQF87PJEYADmPj89Eo-PXssqDbOnH93sTBQzAQSsUJUQ4AuDA0IEfGnlGTQd1nNapQbrxU5XwgP-STjJKKAPHOGdqtiaRsn9oonKufiA71u26orDZ4o1HS7scRhjdeugFITsqdbiCzm3Lte4vauVN6LO6TOjRQMkpTy0daiUPXUw4uNo0Rz4mJIUl2Zh46f6rp6PmiSimHtxiln84yEBzRdrVFb22APjbXPlZtHW8x2M7dGOnVphBxXb7aGU3an6jMalHWMQBDl9GBilaq2dmju9g0AmyDq8xpt7Q__&amp;Key-Pair-Id=APKAJLOHF5GGSLRBV4ZA"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d1wqtxts1xzle7.cloudfront.net/61951394/How_technology_is_Changing_Work_and_Organizations20200131-103496-ji1s92.pdf?1580480032=&amp;response-content-disposition=inline%3B+filename%3DHow_Technology_Is_Changing_Work_and_Orga.pdf&amp;Expires=1723896259&amp;Signature=Twsgxv7ompkS7i7zXtvSAr7FNLZUP4OpuKbX55V2dR7GMiKawRQF87PJEYADmPj89Eo-PXssqDbOnH93sTBQzAQSsUJUQ4AuDA0IEfGnlGTQd1nNapQbrxU5XwgP-STjJKKAPHOGdqtiaRsn9oonKufiA71u26orDZ4o1HS7scRhjdeugFITsqdbiCzm3Lte4vauVN6LO6TOjRQMkpTy0daiUPXUw4uNo0Rz4mJIUl2Zh46f6rp6PmiSimHtxiln84yEBzRdrVFb22APjbXPlZtHW8x2M7dGOnVphBxXb7aGU3an6jMalHWMQBDl9GBilaq2dmju9g0AmyDq8xpt7Q__&amp;Key-Pair-Id=APKAJLOHF5GGSLRBV4ZA</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46733929">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Charalampous, M., Grant, C.A., Tramontano, C. and Michailidis, E., 2019. Systematically reviewing remote e-workers’ well-being at work: A multidimensional approach. </w:t>
      </w:r>
      <w:r>
        <w:rPr>
          <w:rFonts w:ascii="Times New Roman" w:hAnsi="Times New Roman" w:cs="Arial"/>
          <w:i/>
          <w:iCs/>
          <w:color w:val="000000" w:themeColor="text1"/>
          <w:sz w:val="24"/>
          <w:szCs w:val="20"/>
          <w:shd w:val="clear" w:color="auto" w:fill="FFFFFF"/>
          <w14:textFill>
            <w14:solidFill>
              <w14:schemeClr w14:val="tx1"/>
            </w14:solidFill>
          </w14:textFill>
        </w:rPr>
        <w:t>European journal of work and organizational psychology</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28</w:t>
      </w:r>
      <w:r>
        <w:rPr>
          <w:rFonts w:ascii="Times New Roman" w:hAnsi="Times New Roman" w:cs="Arial"/>
          <w:color w:val="000000" w:themeColor="text1"/>
          <w:sz w:val="24"/>
          <w:szCs w:val="20"/>
          <w:shd w:val="clear" w:color="auto" w:fill="FFFFFF"/>
          <w14:textFill>
            <w14:solidFill>
              <w14:schemeClr w14:val="tx1"/>
            </w14:solidFill>
          </w14:textFill>
        </w:rPr>
        <w:t>(1), pp.51-73.</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"https://pure.coventry.ac.uk/ws/portalfiles/portal/21773783/Binder7.pdf"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https://pure.coventry.ac.uk/ws/portalfiles/portal/21773783/Binder7.pdf</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4D64C6EA">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Charalampous, M., Grant, C.A., Tramontano, C. and Michailidis, E., 2019. Systematically reviewing remote e-workers’ well-being at work: A multidimensional approach. </w:t>
      </w:r>
      <w:r>
        <w:rPr>
          <w:rFonts w:ascii="Times New Roman" w:hAnsi="Times New Roman" w:cs="Arial"/>
          <w:i/>
          <w:iCs/>
          <w:color w:val="000000" w:themeColor="text1"/>
          <w:sz w:val="24"/>
          <w:szCs w:val="20"/>
          <w:shd w:val="clear" w:color="auto" w:fill="FFFFFF"/>
          <w14:textFill>
            <w14:solidFill>
              <w14:schemeClr w14:val="tx1"/>
            </w14:solidFill>
          </w14:textFill>
        </w:rPr>
        <w:t>European journal of work and organizational psychology</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28</w:t>
      </w:r>
      <w:r>
        <w:rPr>
          <w:rFonts w:ascii="Times New Roman" w:hAnsi="Times New Roman" w:cs="Arial"/>
          <w:color w:val="000000" w:themeColor="text1"/>
          <w:sz w:val="24"/>
          <w:szCs w:val="20"/>
          <w:shd w:val="clear" w:color="auto" w:fill="FFFFFF"/>
          <w14:textFill>
            <w14:solidFill>
              <w14:schemeClr w14:val="tx1"/>
            </w14:solidFill>
          </w14:textFill>
        </w:rPr>
        <w:t>(1), pp.51-73.</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"https://pure.coventry.ac.uk/ws/portalfiles/portal/21773783/Binder7.pdf"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https://pure.coventry.ac.uk/ws/portalfiles/portal/21773783/Binder7.pdf</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2E2FE3DD">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DeNisi, A.S. and Murphy, K.R., 2017. Performance appraisal and performance management: 100 years of progress?. </w:t>
      </w:r>
      <w:r>
        <w:rPr>
          <w:rFonts w:ascii="Times New Roman" w:hAnsi="Times New Roman" w:cs="Arial"/>
          <w:i/>
          <w:iCs/>
          <w:color w:val="000000" w:themeColor="text1"/>
          <w:sz w:val="24"/>
          <w:szCs w:val="20"/>
          <w:shd w:val="clear" w:color="auto" w:fill="FFFFFF"/>
          <w14:textFill>
            <w14:solidFill>
              <w14:schemeClr w14:val="tx1"/>
            </w14:solidFill>
          </w14:textFill>
        </w:rPr>
        <w:t>Journal of applied psychology</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102</w:t>
      </w:r>
      <w:r>
        <w:rPr>
          <w:rFonts w:ascii="Times New Roman" w:hAnsi="Times New Roman" w:cs="Arial"/>
          <w:color w:val="000000" w:themeColor="text1"/>
          <w:sz w:val="24"/>
          <w:szCs w:val="20"/>
          <w:shd w:val="clear" w:color="auto" w:fill="FFFFFF"/>
          <w14:textFill>
            <w14:solidFill>
              <w14:schemeClr w14:val="tx1"/>
            </w14:solidFill>
          </w14:textFill>
        </w:rPr>
        <w:t>(3), p.421.</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"https://www.cbs.dk/files/cbs.dk/denisietal_jap2017.pdf"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https://www.cbs.dk/files/cbs.dk/denisietal_jap2017.pdf</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7E455B7D">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Felstead, A. and Henseke, G., 2017. Assessing the growth of remote working and its consequences for effort, well</w:t>
      </w:r>
      <w:r>
        <w:rPr>
          <w:rFonts w:ascii="Times New Roman" w:hAnsi="Times New Roman" w:cs="Cambria Math"/>
          <w:color w:val="000000" w:themeColor="text1"/>
          <w:sz w:val="24"/>
          <w:szCs w:val="20"/>
          <w:shd w:val="clear" w:color="auto" w:fill="FFFFFF"/>
          <w14:textFill>
            <w14:solidFill>
              <w14:schemeClr w14:val="tx1"/>
            </w14:solidFill>
          </w14:textFill>
        </w:rPr>
        <w:t>‐</w:t>
      </w:r>
      <w:r>
        <w:rPr>
          <w:rFonts w:ascii="Times New Roman" w:hAnsi="Times New Roman" w:cs="Arial"/>
          <w:color w:val="000000" w:themeColor="text1"/>
          <w:sz w:val="24"/>
          <w:szCs w:val="20"/>
          <w:shd w:val="clear" w:color="auto" w:fill="FFFFFF"/>
          <w14:textFill>
            <w14:solidFill>
              <w14:schemeClr w14:val="tx1"/>
            </w14:solidFill>
          </w14:textFill>
        </w:rPr>
        <w:t>being and work</w:t>
      </w:r>
      <w:r>
        <w:rPr>
          <w:rFonts w:ascii="Times New Roman" w:hAnsi="Times New Roman" w:cs="Cambria Math"/>
          <w:color w:val="000000" w:themeColor="text1"/>
          <w:sz w:val="24"/>
          <w:szCs w:val="20"/>
          <w:shd w:val="clear" w:color="auto" w:fill="FFFFFF"/>
          <w14:textFill>
            <w14:solidFill>
              <w14:schemeClr w14:val="tx1"/>
            </w14:solidFill>
          </w14:textFill>
        </w:rPr>
        <w:t>‐</w:t>
      </w:r>
      <w:r>
        <w:rPr>
          <w:rFonts w:ascii="Times New Roman" w:hAnsi="Times New Roman" w:cs="Arial"/>
          <w:color w:val="000000" w:themeColor="text1"/>
          <w:sz w:val="24"/>
          <w:szCs w:val="20"/>
          <w:shd w:val="clear" w:color="auto" w:fill="FFFFFF"/>
          <w14:textFill>
            <w14:solidFill>
              <w14:schemeClr w14:val="tx1"/>
            </w14:solidFill>
          </w14:textFill>
        </w:rPr>
        <w:t>life balance. </w:t>
      </w:r>
      <w:r>
        <w:rPr>
          <w:rFonts w:ascii="Times New Roman" w:hAnsi="Times New Roman" w:cs="Arial"/>
          <w:i/>
          <w:iCs/>
          <w:color w:val="000000" w:themeColor="text1"/>
          <w:sz w:val="24"/>
          <w:szCs w:val="20"/>
          <w:shd w:val="clear" w:color="auto" w:fill="FFFFFF"/>
          <w14:textFill>
            <w14:solidFill>
              <w14:schemeClr w14:val="tx1"/>
            </w14:solidFill>
          </w14:textFill>
        </w:rPr>
        <w:t>New Technology, Work and Employment</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32</w:t>
      </w:r>
      <w:r>
        <w:rPr>
          <w:rFonts w:ascii="Times New Roman" w:hAnsi="Times New Roman" w:cs="Arial"/>
          <w:color w:val="000000" w:themeColor="text1"/>
          <w:sz w:val="24"/>
          <w:szCs w:val="20"/>
          <w:shd w:val="clear" w:color="auto" w:fill="FFFFFF"/>
          <w14:textFill>
            <w14:solidFill>
              <w14:schemeClr w14:val="tx1"/>
            </w14:solidFill>
          </w14:textFill>
        </w:rPr>
        <w:t>(3), pp.195-212.</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"https://onlinelibrary.wiley.com/doi/pdf/10.1111/ntwe.12097"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https://onlinelibrary.wiley.com/doi/pdf/10.1111/ntwe.12097</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45D3D22E">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House of IT., 2024. “Role of IT Services in Remote Work”. [ONLINE]. Available at: </w:t>
      </w:r>
      <w:r>
        <w:fldChar w:fldCharType="begin"/>
      </w:r>
      <w:r>
        <w:instrText xml:space="preserve"> HYPERLINK "https://houseofit.ph/blog/whats-the-role-of-it-services-in-remote-work"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https://houseofit.ph/blog/whats-the-role-of-it-services-in-remote-work</w:t>
      </w:r>
      <w:r>
        <w:rPr>
          <w:rStyle w:val="9"/>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[Accessed on: August 17</w:t>
      </w:r>
      <w:r>
        <w:rPr>
          <w:rFonts w:ascii="Times New Roman" w:hAnsi="Times New Roman" w:cs="Times New Roman"/>
          <w:color w:val="000000" w:themeColor="text1"/>
          <w:sz w:val="24"/>
          <w:szCs w:val="24"/>
          <w:vertAlign w:val="superscript"/>
          <w14:textFill>
            <w14:solidFill>
              <w14:schemeClr w14:val="tx1"/>
            </w14:solidFill>
          </w14:textFill>
        </w:rPr>
        <w:t>th</w:t>
      </w:r>
      <w:r>
        <w:rPr>
          <w:rFonts w:ascii="Times New Roman" w:hAnsi="Times New Roman" w:cs="Times New Roman"/>
          <w:color w:val="000000" w:themeColor="text1"/>
          <w:sz w:val="24"/>
          <w:szCs w:val="24"/>
          <w14:textFill>
            <w14:solidFill>
              <w14:schemeClr w14:val="tx1"/>
            </w14:solidFill>
          </w14:textFill>
        </w:rPr>
        <w:t xml:space="preserve">, 2024]. </w:t>
      </w:r>
    </w:p>
    <w:p w14:paraId="6A330DA5">
      <w:pPr>
        <w:spacing w:before="240" w:after="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Libraries., 2024. “Completing and Conducting the Appraisal”. [ONLINE]. Available at:</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"https://open.lib.umn.edu/humanresourcemanagement/chapter/11-3-completing-and-conducting-the-appraisal/" </w:instrText>
      </w:r>
      <w:r>
        <w:fldChar w:fldCharType="separate"/>
      </w:r>
      <w:r>
        <w:rPr>
          <w:rStyle w:val="9"/>
          <w:rFonts w:ascii="Times New Roman" w:hAnsi="Times New Roman" w:cs="Times New Roman"/>
          <w:color w:val="000000" w:themeColor="text1"/>
          <w:sz w:val="24"/>
          <w:szCs w:val="24"/>
          <w14:textFill>
            <w14:solidFill>
              <w14:schemeClr w14:val="tx1"/>
            </w14:solidFill>
          </w14:textFill>
        </w:rPr>
        <w:t>https://open.lib.umn.edu/humanresourcemanagement/chapter/11-3-completing-and-conducting-the-appraisal/</w:t>
      </w:r>
      <w:r>
        <w:rPr>
          <w:rStyle w:val="9"/>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t>. [Accessed on: August 17</w:t>
      </w:r>
      <w:r>
        <w:rPr>
          <w:rFonts w:ascii="Times New Roman" w:hAnsi="Times New Roman" w:cs="Times New Roman"/>
          <w:color w:val="000000" w:themeColor="text1"/>
          <w:sz w:val="24"/>
          <w:szCs w:val="24"/>
          <w:vertAlign w:val="superscript"/>
          <w14:textFill>
            <w14:solidFill>
              <w14:schemeClr w14:val="tx1"/>
            </w14:solidFill>
          </w14:textFill>
        </w:rPr>
        <w:t>th</w:t>
      </w:r>
      <w:r>
        <w:rPr>
          <w:rFonts w:ascii="Times New Roman" w:hAnsi="Times New Roman" w:cs="Times New Roman"/>
          <w:color w:val="000000" w:themeColor="text1"/>
          <w:sz w:val="24"/>
          <w:szCs w:val="24"/>
          <w14:textFill>
            <w14:solidFill>
              <w14:schemeClr w14:val="tx1"/>
            </w14:solidFill>
          </w14:textFill>
        </w:rPr>
        <w:t xml:space="preserve">, 2024]. </w:t>
      </w:r>
    </w:p>
    <w:p w14:paraId="439F521A">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Narayanamurthy, G. and Tortorella, G., 2021. Impact of COVID-19 outbreak on employee performance–moderating role of industry 4.0 base technologies. </w:t>
      </w:r>
      <w:r>
        <w:rPr>
          <w:rFonts w:ascii="Times New Roman" w:hAnsi="Times New Roman" w:cs="Arial"/>
          <w:i/>
          <w:iCs/>
          <w:color w:val="000000" w:themeColor="text1"/>
          <w:sz w:val="24"/>
          <w:szCs w:val="20"/>
          <w:shd w:val="clear" w:color="auto" w:fill="FFFFFF"/>
          <w14:textFill>
            <w14:solidFill>
              <w14:schemeClr w14:val="tx1"/>
            </w14:solidFill>
          </w14:textFill>
        </w:rPr>
        <w:t>International Journal of Production Economics</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234</w:t>
      </w:r>
      <w:r>
        <w:rPr>
          <w:rFonts w:ascii="Times New Roman" w:hAnsi="Times New Roman" w:cs="Arial"/>
          <w:color w:val="000000" w:themeColor="text1"/>
          <w:sz w:val="24"/>
          <w:szCs w:val="20"/>
          <w:shd w:val="clear" w:color="auto" w:fill="FFFFFF"/>
          <w14:textFill>
            <w14:solidFill>
              <w14:schemeClr w14:val="tx1"/>
            </w14:solidFill>
          </w14:textFill>
        </w:rPr>
        <w:t>, p.108075.</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"https://www.ncbi.nlm.nih.gov/pmc/articles/PMC9759299/pdf/main.pdf"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https://www.ncbi.nlm.nih.gov/pmc/articles/PMC9759299/pdf/main.pdf</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521D7D25">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Sassanelli, C., Rosa, P., Rocca, R. and Terzi, S., 2019. Circular economy performance assessment methods: A systematic literature review. </w:t>
      </w:r>
      <w:r>
        <w:rPr>
          <w:rFonts w:ascii="Times New Roman" w:hAnsi="Times New Roman" w:cs="Arial"/>
          <w:i/>
          <w:iCs/>
          <w:color w:val="000000" w:themeColor="text1"/>
          <w:sz w:val="24"/>
          <w:szCs w:val="20"/>
          <w:shd w:val="clear" w:color="auto" w:fill="FFFFFF"/>
          <w14:textFill>
            <w14:solidFill>
              <w14:schemeClr w14:val="tx1"/>
            </w14:solidFill>
          </w14:textFill>
        </w:rPr>
        <w:t>Journal of cleaner production</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229</w:t>
      </w:r>
      <w:r>
        <w:rPr>
          <w:rFonts w:ascii="Times New Roman" w:hAnsi="Times New Roman" w:cs="Arial"/>
          <w:color w:val="000000" w:themeColor="text1"/>
          <w:sz w:val="24"/>
          <w:szCs w:val="20"/>
          <w:shd w:val="clear" w:color="auto" w:fill="FFFFFF"/>
          <w14:textFill>
            <w14:solidFill>
              <w14:schemeClr w14:val="tx1"/>
            </w14:solidFill>
          </w14:textFill>
        </w:rPr>
        <w:t>, pp.440-453.</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"https://re.public.polimi.it/bitstream/11311/1086545/1/1-s2.0-S0959652619315355-main.pdf"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https://re.public.polimi.it/bitstream/11311/1086545/1/1-s2.0-S0959652619315355-main.pdf</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5056DC24">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Stone, D.L., Deadrick, D.L., Lukaszewski, K.M. and Johnson, R., 2015. The influence of technology on the future of human resource management. </w:t>
      </w:r>
      <w:r>
        <w:rPr>
          <w:rFonts w:ascii="Times New Roman" w:hAnsi="Times New Roman" w:cs="Arial"/>
          <w:i/>
          <w:iCs/>
          <w:color w:val="000000" w:themeColor="text1"/>
          <w:sz w:val="24"/>
          <w:szCs w:val="20"/>
          <w:shd w:val="clear" w:color="auto" w:fill="FFFFFF"/>
          <w14:textFill>
            <w14:solidFill>
              <w14:schemeClr w14:val="tx1"/>
            </w14:solidFill>
          </w14:textFill>
        </w:rPr>
        <w:t>Human resource management review</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25</w:t>
      </w:r>
      <w:r>
        <w:rPr>
          <w:rFonts w:ascii="Times New Roman" w:hAnsi="Times New Roman" w:cs="Arial"/>
          <w:color w:val="000000" w:themeColor="text1"/>
          <w:sz w:val="24"/>
          <w:szCs w:val="20"/>
          <w:shd w:val="clear" w:color="auto" w:fill="FFFFFF"/>
          <w14:textFill>
            <w14:solidFill>
              <w14:schemeClr w14:val="tx1"/>
            </w14:solidFill>
          </w14:textFill>
        </w:rPr>
        <w:t>(2), pp.216-231.</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"https://www.westminster.ac.uk/sites/default/public-files/general-documents/Stone_etal.pdf"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https://www.westminster.ac.uk/sites/default/public-files/general-documents/Stone_etal.pdf</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p w14:paraId="2F4839E7">
      <w:pPr>
        <w:spacing w:before="240" w:after="240" w:line="360" w:lineRule="auto"/>
        <w:jc w:val="both"/>
        <w:rPr>
          <w:rFonts w:ascii="Times New Roman" w:hAnsi="Times New Roman" w:cs="Arial"/>
          <w:color w:val="000000" w:themeColor="text1"/>
          <w:sz w:val="24"/>
          <w:szCs w:val="20"/>
          <w:shd w:val="clear" w:color="auto" w:fill="FFFFFF"/>
          <w14:textFill>
            <w14:solidFill>
              <w14:schemeClr w14:val="tx1"/>
            </w14:solidFill>
          </w14:textFill>
        </w:rPr>
      </w:pPr>
      <w:r>
        <w:rPr>
          <w:rFonts w:ascii="Times New Roman" w:hAnsi="Times New Roman" w:cs="Arial"/>
          <w:color w:val="000000" w:themeColor="text1"/>
          <w:sz w:val="24"/>
          <w:szCs w:val="20"/>
          <w:shd w:val="clear" w:color="auto" w:fill="FFFFFF"/>
          <w14:textFill>
            <w14:solidFill>
              <w14:schemeClr w14:val="tx1"/>
            </w14:solidFill>
          </w14:textFill>
        </w:rPr>
        <w:t>Wang, B., Liu, Y., Qian, J. and Parker, S.K., 2021. Achieving effective remote working during the COVID</w:t>
      </w:r>
      <w:r>
        <w:rPr>
          <w:rFonts w:ascii="Times New Roman" w:hAnsi="Times New Roman" w:cs="Cambria Math"/>
          <w:color w:val="000000" w:themeColor="text1"/>
          <w:sz w:val="24"/>
          <w:szCs w:val="20"/>
          <w:shd w:val="clear" w:color="auto" w:fill="FFFFFF"/>
          <w14:textFill>
            <w14:solidFill>
              <w14:schemeClr w14:val="tx1"/>
            </w14:solidFill>
          </w14:textFill>
        </w:rPr>
        <w:t>‐</w:t>
      </w:r>
      <w:r>
        <w:rPr>
          <w:rFonts w:ascii="Times New Roman" w:hAnsi="Times New Roman" w:cs="Arial"/>
          <w:color w:val="000000" w:themeColor="text1"/>
          <w:sz w:val="24"/>
          <w:szCs w:val="20"/>
          <w:shd w:val="clear" w:color="auto" w:fill="FFFFFF"/>
          <w14:textFill>
            <w14:solidFill>
              <w14:schemeClr w14:val="tx1"/>
            </w14:solidFill>
          </w14:textFill>
        </w:rPr>
        <w:t>19 pandemic: A work design perspective. </w:t>
      </w:r>
      <w:r>
        <w:rPr>
          <w:rFonts w:ascii="Times New Roman" w:hAnsi="Times New Roman" w:cs="Arial"/>
          <w:i/>
          <w:iCs/>
          <w:color w:val="000000" w:themeColor="text1"/>
          <w:sz w:val="24"/>
          <w:szCs w:val="20"/>
          <w:shd w:val="clear" w:color="auto" w:fill="FFFFFF"/>
          <w14:textFill>
            <w14:solidFill>
              <w14:schemeClr w14:val="tx1"/>
            </w14:solidFill>
          </w14:textFill>
        </w:rPr>
        <w:t>Applied psychology</w:t>
      </w:r>
      <w:r>
        <w:rPr>
          <w:rFonts w:ascii="Times New Roman" w:hAnsi="Times New Roman" w:cs="Arial"/>
          <w:color w:val="000000" w:themeColor="text1"/>
          <w:sz w:val="24"/>
          <w:szCs w:val="20"/>
          <w:shd w:val="clear" w:color="auto" w:fill="FFFFFF"/>
          <w14:textFill>
            <w14:solidFill>
              <w14:schemeClr w14:val="tx1"/>
            </w14:solidFill>
          </w14:textFill>
        </w:rPr>
        <w:t>, </w:t>
      </w:r>
      <w:r>
        <w:rPr>
          <w:rFonts w:ascii="Times New Roman" w:hAnsi="Times New Roman" w:cs="Arial"/>
          <w:i/>
          <w:iCs/>
          <w:color w:val="000000" w:themeColor="text1"/>
          <w:sz w:val="24"/>
          <w:szCs w:val="20"/>
          <w:shd w:val="clear" w:color="auto" w:fill="FFFFFF"/>
          <w14:textFill>
            <w14:solidFill>
              <w14:schemeClr w14:val="tx1"/>
            </w14:solidFill>
          </w14:textFill>
        </w:rPr>
        <w:t>70</w:t>
      </w:r>
      <w:r>
        <w:rPr>
          <w:rFonts w:ascii="Times New Roman" w:hAnsi="Times New Roman" w:cs="Arial"/>
          <w:color w:val="000000" w:themeColor="text1"/>
          <w:sz w:val="24"/>
          <w:szCs w:val="20"/>
          <w:shd w:val="clear" w:color="auto" w:fill="FFFFFF"/>
          <w14:textFill>
            <w14:solidFill>
              <w14:schemeClr w14:val="tx1"/>
            </w14:solidFill>
          </w14:textFill>
        </w:rPr>
        <w:t>(1), pp.16-59.</w:t>
      </w:r>
      <w:r>
        <w:rPr>
          <w:rFonts w:ascii="Times New Roman" w:hAnsi="Times New Roman"/>
          <w:color w:val="000000" w:themeColor="text1"/>
          <w:sz w:val="24"/>
          <w14:textFill>
            <w14:solidFill>
              <w14:schemeClr w14:val="tx1"/>
            </w14:solidFill>
          </w14:textFill>
        </w:rPr>
        <w:t xml:space="preserve"> </w:t>
      </w:r>
      <w:r>
        <w:fldChar w:fldCharType="begin"/>
      </w:r>
      <w:r>
        <w:instrText xml:space="preserve"> HYPERLINK "https://iaap-journals.onlinelibrary.wiley.com/doi/am-pdf/10.1111/apps.12290" </w:instrText>
      </w:r>
      <w:r>
        <w:fldChar w:fldCharType="separate"/>
      </w:r>
      <w:r>
        <w:rPr>
          <w:rStyle w:val="9"/>
          <w:rFonts w:ascii="Times New Roman" w:hAnsi="Times New Roman" w:cs="Arial"/>
          <w:color w:val="000000" w:themeColor="text1"/>
          <w:sz w:val="24"/>
          <w:szCs w:val="20"/>
          <w:shd w:val="clear" w:color="auto" w:fill="FFFFFF"/>
          <w14:textFill>
            <w14:solidFill>
              <w14:schemeClr w14:val="tx1"/>
            </w14:solidFill>
          </w14:textFill>
        </w:rPr>
        <w:t>https://iaap-journals.onlinelibrary.wiley.com/doi/am-pdf/10.1111/apps.12290</w:t>
      </w:r>
      <w:r>
        <w:rPr>
          <w:rStyle w:val="9"/>
          <w:rFonts w:ascii="Times New Roman" w:hAnsi="Times New Roman" w:cs="Arial"/>
          <w:color w:val="000000" w:themeColor="text1"/>
          <w:sz w:val="24"/>
          <w:szCs w:val="20"/>
          <w:shd w:val="clear" w:color="auto" w:fill="FFFFFF"/>
          <w14:textFill>
            <w14:solidFill>
              <w14:schemeClr w14:val="tx1"/>
            </w14:solidFill>
          </w14:textFill>
        </w:rPr>
        <w:fldChar w:fldCharType="end"/>
      </w:r>
    </w:p>
    <w:sectPr>
      <w:footerReference r:id="rId5" w:type="default"/>
      <w:pgSz w:w="12240" w:h="15840"/>
      <w:pgMar w:top="1440" w:right="1440" w:bottom="1440" w:left="1440" w:header="720" w:footer="720" w:gutter="0"/>
      <w:pgBorders w:offsetFrom="page">
        <w:top w:val="none" w:sz="0" w:space="0"/>
        <w:left w:val="none" w:sz="0" w:space="0"/>
        <w:bottom w:val="none" w:sz="0" w:space="0"/>
        <w:right w:val="none" w:sz="0" w:space="0"/>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Cambria Math">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73322250"/>
      <w:docPartObj>
        <w:docPartGallery w:val="AutoText"/>
      </w:docPartObj>
    </w:sdtPr>
    <w:sdtContent>
      <w:p w14:paraId="7BE3A65C">
        <w:pPr>
          <w:pStyle w:val="7"/>
          <w:jc w:val="right"/>
        </w:pPr>
        <w:r>
          <w:fldChar w:fldCharType="begin"/>
        </w:r>
        <w:r>
          <w:instrText xml:space="preserve"> PAGE   \* MERGEFORMAT </w:instrText>
        </w:r>
        <w:r>
          <w:fldChar w:fldCharType="separate"/>
        </w:r>
        <w:r>
          <w:t>3</w:t>
        </w:r>
        <w:r>
          <w:fldChar w:fldCharType="end"/>
        </w:r>
      </w:p>
    </w:sdtContent>
  </w:sdt>
  <w:p w14:paraId="677222DD">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2343"/>
    <w:rsid w:val="001141AD"/>
    <w:rsid w:val="001335EA"/>
    <w:rsid w:val="00145258"/>
    <w:rsid w:val="00167659"/>
    <w:rsid w:val="00167ED5"/>
    <w:rsid w:val="00254349"/>
    <w:rsid w:val="00262650"/>
    <w:rsid w:val="002B5335"/>
    <w:rsid w:val="002E61D1"/>
    <w:rsid w:val="00334965"/>
    <w:rsid w:val="00340B83"/>
    <w:rsid w:val="0035364F"/>
    <w:rsid w:val="003F5702"/>
    <w:rsid w:val="00402292"/>
    <w:rsid w:val="00482343"/>
    <w:rsid w:val="0051138B"/>
    <w:rsid w:val="00512761"/>
    <w:rsid w:val="0052073D"/>
    <w:rsid w:val="005245DC"/>
    <w:rsid w:val="00565389"/>
    <w:rsid w:val="005D14C7"/>
    <w:rsid w:val="005F6C63"/>
    <w:rsid w:val="006305AD"/>
    <w:rsid w:val="00662CB5"/>
    <w:rsid w:val="006839FA"/>
    <w:rsid w:val="00684EF1"/>
    <w:rsid w:val="00806C89"/>
    <w:rsid w:val="008176D4"/>
    <w:rsid w:val="0086729D"/>
    <w:rsid w:val="00875EC1"/>
    <w:rsid w:val="00993C0A"/>
    <w:rsid w:val="00A11CDB"/>
    <w:rsid w:val="00B1595A"/>
    <w:rsid w:val="00B933F7"/>
    <w:rsid w:val="00BE2350"/>
    <w:rsid w:val="00BE4ECC"/>
    <w:rsid w:val="00C053F9"/>
    <w:rsid w:val="00CA1E96"/>
    <w:rsid w:val="00CA2C63"/>
    <w:rsid w:val="00D05678"/>
    <w:rsid w:val="00D139B0"/>
    <w:rsid w:val="00D676BB"/>
    <w:rsid w:val="00E30CC1"/>
    <w:rsid w:val="00E727CC"/>
    <w:rsid w:val="00E818A0"/>
    <w:rsid w:val="00EC7C3D"/>
    <w:rsid w:val="00F05FB0"/>
    <w:rsid w:val="00F429DF"/>
    <w:rsid w:val="00FE0921"/>
    <w:rsid w:val="00FF5D7D"/>
    <w:rsid w:val="12B21B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376092" w:themeColor="accent1" w:themeShade="BF"/>
      <w:sz w:val="32"/>
      <w:szCs w:val="32"/>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4"/>
    <w:semiHidden/>
    <w:unhideWhenUsed/>
    <w:uiPriority w:val="99"/>
    <w:pPr>
      <w:spacing w:after="0" w:line="240" w:lineRule="auto"/>
    </w:pPr>
    <w:rPr>
      <w:rFonts w:ascii="Tahoma" w:hAnsi="Tahoma" w:cs="Tahoma"/>
      <w:sz w:val="16"/>
      <w:szCs w:val="16"/>
    </w:rPr>
  </w:style>
  <w:style w:type="paragraph" w:styleId="6">
    <w:name w:val="caption"/>
    <w:basedOn w:val="1"/>
    <w:next w:val="1"/>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7">
    <w:name w:val="footer"/>
    <w:basedOn w:val="1"/>
    <w:link w:val="13"/>
    <w:unhideWhenUsed/>
    <w:qFormat/>
    <w:uiPriority w:val="99"/>
    <w:pPr>
      <w:tabs>
        <w:tab w:val="center" w:pos="4680"/>
        <w:tab w:val="right" w:pos="9360"/>
      </w:tabs>
      <w:spacing w:after="0" w:line="240" w:lineRule="auto"/>
    </w:pPr>
  </w:style>
  <w:style w:type="paragraph" w:styleId="8">
    <w:name w:val="header"/>
    <w:basedOn w:val="1"/>
    <w:link w:val="12"/>
    <w:unhideWhenUsed/>
    <w:qFormat/>
    <w:uiPriority w:val="99"/>
    <w:pPr>
      <w:tabs>
        <w:tab w:val="center" w:pos="4680"/>
        <w:tab w:val="right" w:pos="9360"/>
      </w:tabs>
      <w:spacing w:after="0" w:line="240" w:lineRule="auto"/>
    </w:pPr>
  </w:style>
  <w:style w:type="character" w:styleId="9">
    <w:name w:val="Hyperlink"/>
    <w:basedOn w:val="3"/>
    <w:unhideWhenUsed/>
    <w:qFormat/>
    <w:uiPriority w:val="99"/>
    <w:rPr>
      <w:color w:val="0000FF" w:themeColor="hyperlink"/>
      <w:u w:val="single"/>
      <w14:textFill>
        <w14:solidFill>
          <w14:schemeClr w14:val="hlink"/>
        </w14:solidFill>
      </w14:textFill>
    </w:rPr>
  </w:style>
  <w:style w:type="paragraph" w:styleId="10">
    <w:name w:val="Title"/>
    <w:basedOn w:val="1"/>
    <w:next w:val="1"/>
    <w:link w:val="15"/>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paragraph" w:styleId="11">
    <w:name w:val="toc 1"/>
    <w:basedOn w:val="1"/>
    <w:next w:val="1"/>
    <w:autoRedefine/>
    <w:unhideWhenUsed/>
    <w:uiPriority w:val="39"/>
    <w:pPr>
      <w:spacing w:after="100"/>
    </w:pPr>
  </w:style>
  <w:style w:type="character" w:customStyle="1" w:styleId="12">
    <w:name w:val="Header Char"/>
    <w:basedOn w:val="3"/>
    <w:link w:val="8"/>
    <w:qFormat/>
    <w:uiPriority w:val="99"/>
  </w:style>
  <w:style w:type="character" w:customStyle="1" w:styleId="13">
    <w:name w:val="Footer Char"/>
    <w:basedOn w:val="3"/>
    <w:link w:val="7"/>
    <w:qFormat/>
    <w:uiPriority w:val="99"/>
  </w:style>
  <w:style w:type="character" w:customStyle="1" w:styleId="14">
    <w:name w:val="Balloon Text Char"/>
    <w:basedOn w:val="3"/>
    <w:link w:val="5"/>
    <w:semiHidden/>
    <w:qFormat/>
    <w:uiPriority w:val="99"/>
    <w:rPr>
      <w:rFonts w:ascii="Tahoma" w:hAnsi="Tahoma" w:cs="Tahoma"/>
      <w:sz w:val="16"/>
      <w:szCs w:val="16"/>
    </w:rPr>
  </w:style>
  <w:style w:type="character" w:customStyle="1" w:styleId="15">
    <w:name w:val="Title Char"/>
    <w:basedOn w:val="3"/>
    <w:link w:val="10"/>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6">
    <w:name w:val="Heading 1 Char"/>
    <w:basedOn w:val="3"/>
    <w:link w:val="2"/>
    <w:uiPriority w:val="9"/>
    <w:rPr>
      <w:rFonts w:asciiTheme="majorHAnsi" w:hAnsiTheme="majorHAnsi" w:eastAsiaTheme="majorEastAsia" w:cstheme="majorBidi"/>
      <w:color w:val="376092" w:themeColor="accent1" w:themeShade="BF"/>
      <w:sz w:val="32"/>
      <w:szCs w:val="32"/>
    </w:rPr>
  </w:style>
  <w:style w:type="paragraph" w:customStyle="1" w:styleId="17">
    <w:name w:val="TOC Heading"/>
    <w:basedOn w:val="2"/>
    <w:next w:val="1"/>
    <w:unhideWhenUsed/>
    <w:qFormat/>
    <w:uiPriority w:val="39"/>
    <w:pPr>
      <w:spacing w:line="259" w:lineRule="auto"/>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ECB3827-95FB-43B5-A28C-5947DCCB4EDB}">
  <ds:schemaRefs/>
</ds:datastoreItem>
</file>

<file path=docProps/app.xml><?xml version="1.0" encoding="utf-8"?>
<Properties xmlns="http://schemas.openxmlformats.org/officeDocument/2006/extended-properties" xmlns:vt="http://schemas.openxmlformats.org/officeDocument/2006/docPropsVTypes">
  <Template>Normal</Template>
  <Pages>13</Pages>
  <Words>3298</Words>
  <Characters>18805</Characters>
  <Lines>156</Lines>
  <Paragraphs>44</Paragraphs>
  <TotalTime>5</TotalTime>
  <ScaleCrop>false</ScaleCrop>
  <LinksUpToDate>false</LinksUpToDate>
  <CharactersWithSpaces>22059</CharactersWithSpaces>
  <Application>WPS Office_12.2.0.17562_F1E327BC-269C-435d-A152-05C5408002CA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utsav kakadiya</dc:creator>
  <cp:revision>1</cp:revision>
  <dcterms:created xsi:type="dcterms:W3CDTF">2024-08-17T11:31:00Z</dcterms:created>
  <dcterms:modified xsi:type="dcterms:W3CDTF">2024-08-22T09:50:25Z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1033-12.2.0.17562</vt:lpwstr>
  </property>
  <property fmtid="{D5CDD505-2E9C-101B-9397-08002B2CF9AE}" pid="3" name="ICV">
    <vt:lpwstr>E68A0CD0B964435BBE8B5898512C5ABC_12</vt:lpwstr>
  </property>
</Properties>
</file>