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FB62D8" w14:textId="01037C12" w:rsidR="005C3451" w:rsidRDefault="00F07537">
      <w:pPr>
        <w:pStyle w:val="NoSpacing"/>
        <w:spacing w:before="1540" w:after="240"/>
        <w:jc w:val="center"/>
      </w:pPr>
      <w:r>
        <w:rPr>
          <w:noProof/>
        </w:rPr>
        <w:drawing>
          <wp:inline distT="0" distB="0" distL="0" distR="0" wp14:anchorId="1F3690A1" wp14:editId="0B572684">
            <wp:extent cx="5731514" cy="1885319"/>
            <wp:effectExtent l="0" t="0" r="0" b="0"/>
            <wp:docPr id="127593163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1885319"/>
                    </a:xfrm>
                    <a:prstGeom prst="rect">
                      <a:avLst/>
                    </a:prstGeom>
                    <a:noFill/>
                    <a:ln>
                      <a:noFill/>
                      <a:prstDash/>
                    </a:ln>
                  </pic:spPr>
                </pic:pic>
              </a:graphicData>
            </a:graphic>
          </wp:inline>
        </w:drawing>
      </w:r>
      <w:r>
        <w:rPr>
          <w:noProof/>
          <w:color w:val="156082"/>
        </w:rPr>
        <w:drawing>
          <wp:inline distT="0" distB="0" distL="0" distR="0" wp14:anchorId="296D4802" wp14:editId="60703517">
            <wp:extent cx="1417320" cy="750896"/>
            <wp:effectExtent l="0" t="0" r="5080" b="0"/>
            <wp:docPr id="300329618"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417320" cy="750896"/>
                    </a:xfrm>
                    <a:prstGeom prst="rect">
                      <a:avLst/>
                    </a:prstGeom>
                    <a:noFill/>
                    <a:ln>
                      <a:noFill/>
                      <a:prstDash/>
                    </a:ln>
                  </pic:spPr>
                </pic:pic>
              </a:graphicData>
            </a:graphic>
          </wp:inline>
        </w:drawing>
      </w:r>
    </w:p>
    <w:p w14:paraId="2B0BBF5A" w14:textId="77777777" w:rsidR="005C3451" w:rsidRDefault="00000000">
      <w:pPr>
        <w:pStyle w:val="NoSpacing"/>
        <w:pBdr>
          <w:top w:val="single" w:sz="6" w:space="6" w:color="156082"/>
          <w:bottom w:val="single" w:sz="6" w:space="6" w:color="156082"/>
        </w:pBdr>
        <w:spacing w:after="240"/>
        <w:jc w:val="center"/>
      </w:pPr>
      <w:r>
        <w:rPr>
          <w:rFonts w:ascii="Aptos Display" w:hAnsi="Aptos Display"/>
          <w:caps/>
          <w:color w:val="156082"/>
          <w:sz w:val="72"/>
          <w:szCs w:val="72"/>
        </w:rPr>
        <w:t>HEALTH CARE SYSTEM ORGANISATION AND LEADERSHIP</w:t>
      </w:r>
    </w:p>
    <w:p w14:paraId="7CB8B316" w14:textId="77777777" w:rsidR="005C3451" w:rsidRDefault="00000000">
      <w:pPr>
        <w:pStyle w:val="NoSpacing"/>
        <w:jc w:val="center"/>
      </w:pPr>
      <w:r>
        <w:rPr>
          <w:rFonts w:ascii="Arial" w:hAnsi="Arial" w:cs="Arial"/>
          <w:color w:val="156082"/>
          <w:sz w:val="32"/>
          <w:szCs w:val="32"/>
        </w:rPr>
        <w:t>Title: Care Study Analysis Report.</w:t>
      </w:r>
    </w:p>
    <w:p w14:paraId="54BB5990" w14:textId="77777777" w:rsidR="005C3451" w:rsidRDefault="00000000">
      <w:pPr>
        <w:pStyle w:val="NoSpacing"/>
        <w:spacing w:before="480"/>
        <w:jc w:val="center"/>
      </w:pPr>
      <w:r>
        <w:rPr>
          <w:noProof/>
        </w:rPr>
        <mc:AlternateContent>
          <mc:Choice Requires="wps">
            <w:drawing>
              <wp:anchor distT="0" distB="0" distL="114300" distR="114300" simplePos="0" relativeHeight="251659264" behindDoc="0" locked="0" layoutInCell="1" allowOverlap="1" wp14:anchorId="4BB18E51" wp14:editId="75ADA6E5">
                <wp:simplePos x="0" y="0"/>
                <wp:positionH relativeFrom="column">
                  <wp:posOffset>-289563</wp:posOffset>
                </wp:positionH>
                <wp:positionV relativeFrom="paragraph">
                  <wp:posOffset>844548</wp:posOffset>
                </wp:positionV>
                <wp:extent cx="6210303" cy="2194560"/>
                <wp:effectExtent l="0" t="0" r="12697" b="15240"/>
                <wp:wrapNone/>
                <wp:docPr id="717502325" name="Text Box 1"/>
                <wp:cNvGraphicFramePr/>
                <a:graphic xmlns:a="http://schemas.openxmlformats.org/drawingml/2006/main">
                  <a:graphicData uri="http://schemas.microsoft.com/office/word/2010/wordprocessingShape">
                    <wps:wsp>
                      <wps:cNvSpPr txBox="1"/>
                      <wps:spPr>
                        <a:xfrm>
                          <a:off x="0" y="0"/>
                          <a:ext cx="6210303" cy="2194560"/>
                        </a:xfrm>
                        <a:prstGeom prst="rect">
                          <a:avLst/>
                        </a:prstGeom>
                        <a:solidFill>
                          <a:srgbClr val="FFFFFF"/>
                        </a:solidFill>
                        <a:ln w="6345">
                          <a:solidFill>
                            <a:srgbClr val="000000"/>
                          </a:solidFill>
                          <a:prstDash val="solid"/>
                        </a:ln>
                      </wps:spPr>
                      <wps:txbx>
                        <w:txbxContent>
                          <w:p w14:paraId="2729F76D" w14:textId="77777777" w:rsidR="005C3451" w:rsidRDefault="00000000">
                            <w:pPr>
                              <w:jc w:val="center"/>
                              <w:rPr>
                                <w:rFonts w:ascii="Arial" w:hAnsi="Arial" w:cs="Arial"/>
                                <w:b/>
                                <w:bCs/>
                                <w:sz w:val="44"/>
                                <w:szCs w:val="44"/>
                              </w:rPr>
                            </w:pPr>
                            <w:r>
                              <w:rPr>
                                <w:rFonts w:ascii="Arial" w:hAnsi="Arial" w:cs="Arial"/>
                                <w:b/>
                                <w:bCs/>
                                <w:sz w:val="44"/>
                                <w:szCs w:val="44"/>
                              </w:rPr>
                              <w:t>Module Code: LCHS 7002</w:t>
                            </w:r>
                          </w:p>
                          <w:p w14:paraId="1005CF04" w14:textId="77777777" w:rsidR="005C3451" w:rsidRDefault="00000000">
                            <w:pPr>
                              <w:jc w:val="center"/>
                              <w:rPr>
                                <w:rFonts w:ascii="Arial" w:hAnsi="Arial" w:cs="Arial"/>
                                <w:b/>
                                <w:bCs/>
                                <w:sz w:val="44"/>
                                <w:szCs w:val="44"/>
                              </w:rPr>
                            </w:pPr>
                            <w:r>
                              <w:rPr>
                                <w:rFonts w:ascii="Arial" w:hAnsi="Arial" w:cs="Arial"/>
                                <w:b/>
                                <w:bCs/>
                                <w:sz w:val="44"/>
                                <w:szCs w:val="44"/>
                              </w:rPr>
                              <w:t>Student: Sharon Mcdermott</w:t>
                            </w:r>
                          </w:p>
                          <w:p w14:paraId="49E38BB1" w14:textId="77777777" w:rsidR="005C3451" w:rsidRDefault="00000000">
                            <w:pPr>
                              <w:jc w:val="center"/>
                              <w:rPr>
                                <w:rFonts w:ascii="Arial" w:hAnsi="Arial" w:cs="Arial"/>
                                <w:b/>
                                <w:bCs/>
                                <w:sz w:val="44"/>
                                <w:szCs w:val="44"/>
                              </w:rPr>
                            </w:pPr>
                            <w:r>
                              <w:rPr>
                                <w:rFonts w:ascii="Arial" w:hAnsi="Arial" w:cs="Arial"/>
                                <w:b/>
                                <w:bCs/>
                                <w:sz w:val="44"/>
                                <w:szCs w:val="44"/>
                              </w:rPr>
                              <w:t xml:space="preserve">  Student ID: 2243145</w:t>
                            </w:r>
                          </w:p>
                          <w:p w14:paraId="3972EAD4" w14:textId="77777777" w:rsidR="005C3451" w:rsidRDefault="00000000">
                            <w:pPr>
                              <w:jc w:val="center"/>
                              <w:rPr>
                                <w:rFonts w:ascii="Arial" w:hAnsi="Arial" w:cs="Arial"/>
                                <w:b/>
                                <w:bCs/>
                                <w:sz w:val="44"/>
                                <w:szCs w:val="44"/>
                              </w:rPr>
                            </w:pPr>
                            <w:r>
                              <w:rPr>
                                <w:rFonts w:ascii="Arial" w:hAnsi="Arial" w:cs="Arial"/>
                                <w:b/>
                                <w:bCs/>
                                <w:sz w:val="44"/>
                                <w:szCs w:val="44"/>
                              </w:rPr>
                              <w:t>Lecturer: Dr Pascal Navelle</w:t>
                            </w:r>
                          </w:p>
                          <w:p w14:paraId="08A7A594" w14:textId="77777777" w:rsidR="005C3451" w:rsidRDefault="005C3451"/>
                        </w:txbxContent>
                      </wps:txbx>
                      <wps:bodyPr vert="horz" wrap="square" lIns="91440" tIns="45720" rIns="91440" bIns="45720" anchor="t" anchorCtr="0" compatLnSpc="1">
                        <a:noAutofit/>
                      </wps:bodyPr>
                    </wps:wsp>
                  </a:graphicData>
                </a:graphic>
              </wp:anchor>
            </w:drawing>
          </mc:Choice>
          <mc:Fallback>
            <w:pict>
              <v:shapetype w14:anchorId="4BB18E51" id="_x0000_t202" coordsize="21600,21600" o:spt="202" path="m,l,21600r21600,l21600,xe">
                <v:stroke joinstyle="miter"/>
                <v:path gradientshapeok="t" o:connecttype="rect"/>
              </v:shapetype>
              <v:shape id="Text Box 1" o:spid="_x0000_s1026" type="#_x0000_t202" style="position:absolute;left:0;text-align:left;margin-left:-22.8pt;margin-top:66.5pt;width:489pt;height:172.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" strokeweight=".17625mm">
                <v:textbox>
                  <w:txbxContent>
                    <w:p w14:paraId="2729F76D" w14:textId="77777777" w:rsidR="005C3451" w:rsidRDefault="00000000">
                      <w:pPr>
                        <w:jc w:val="center"/>
                        <w:rPr>
                          <w:rFonts w:ascii="Arial" w:hAnsi="Arial" w:cs="Arial"/>
                          <w:b/>
                          <w:bCs/>
                          <w:sz w:val="44"/>
                          <w:szCs w:val="44"/>
                        </w:rPr>
                      </w:pPr>
                      <w:r>
                        <w:rPr>
                          <w:rFonts w:ascii="Arial" w:hAnsi="Arial" w:cs="Arial"/>
                          <w:b/>
                          <w:bCs/>
                          <w:sz w:val="44"/>
                          <w:szCs w:val="44"/>
                        </w:rPr>
                        <w:t>Module Code: LCHS 7002</w:t>
                      </w:r>
                    </w:p>
                    <w:p w14:paraId="1005CF04" w14:textId="77777777" w:rsidR="005C3451" w:rsidRDefault="00000000">
                      <w:pPr>
                        <w:jc w:val="center"/>
                        <w:rPr>
                          <w:rFonts w:ascii="Arial" w:hAnsi="Arial" w:cs="Arial"/>
                          <w:b/>
                          <w:bCs/>
                          <w:sz w:val="44"/>
                          <w:szCs w:val="44"/>
                        </w:rPr>
                      </w:pPr>
                      <w:r>
                        <w:rPr>
                          <w:rFonts w:ascii="Arial" w:hAnsi="Arial" w:cs="Arial"/>
                          <w:b/>
                          <w:bCs/>
                          <w:sz w:val="44"/>
                          <w:szCs w:val="44"/>
                        </w:rPr>
                        <w:t>Student: Sharon Mcdermott</w:t>
                      </w:r>
                    </w:p>
                    <w:p w14:paraId="49E38BB1" w14:textId="77777777" w:rsidR="005C3451" w:rsidRDefault="00000000">
                      <w:pPr>
                        <w:jc w:val="center"/>
                        <w:rPr>
                          <w:rFonts w:ascii="Arial" w:hAnsi="Arial" w:cs="Arial"/>
                          <w:b/>
                          <w:bCs/>
                          <w:sz w:val="44"/>
                          <w:szCs w:val="44"/>
                        </w:rPr>
                      </w:pPr>
                      <w:r>
                        <w:rPr>
                          <w:rFonts w:ascii="Arial" w:hAnsi="Arial" w:cs="Arial"/>
                          <w:b/>
                          <w:bCs/>
                          <w:sz w:val="44"/>
                          <w:szCs w:val="44"/>
                        </w:rPr>
                        <w:t xml:space="preserve">  Student ID: 2243145</w:t>
                      </w:r>
                    </w:p>
                    <w:p w14:paraId="3972EAD4" w14:textId="77777777" w:rsidR="005C3451" w:rsidRDefault="00000000">
                      <w:pPr>
                        <w:jc w:val="center"/>
                        <w:rPr>
                          <w:rFonts w:ascii="Arial" w:hAnsi="Arial" w:cs="Arial"/>
                          <w:b/>
                          <w:bCs/>
                          <w:sz w:val="44"/>
                          <w:szCs w:val="44"/>
                        </w:rPr>
                      </w:pPr>
                      <w:r>
                        <w:rPr>
                          <w:rFonts w:ascii="Arial" w:hAnsi="Arial" w:cs="Arial"/>
                          <w:b/>
                          <w:bCs/>
                          <w:sz w:val="44"/>
                          <w:szCs w:val="44"/>
                        </w:rPr>
                        <w:t>Lecturer: Dr Pascal Navelle</w:t>
                      </w:r>
                    </w:p>
                    <w:p w14:paraId="08A7A594" w14:textId="77777777" w:rsidR="005C3451" w:rsidRDefault="005C3451"/>
                  </w:txbxContent>
                </v:textbox>
              </v:shape>
            </w:pict>
          </mc:Fallback>
        </mc:AlternateContent>
      </w:r>
      <w:r>
        <w:rPr>
          <w:noProof/>
          <w:color w:val="156082"/>
        </w:rPr>
        <w:drawing>
          <wp:inline distT="0" distB="0" distL="0" distR="0" wp14:anchorId="21E8877E" wp14:editId="70A2C09E">
            <wp:extent cx="758952" cy="478935"/>
            <wp:effectExtent l="0" t="0" r="3048" b="3665"/>
            <wp:docPr id="2145336940" name="Picture 14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758952" cy="478935"/>
                    </a:xfrm>
                    <a:prstGeom prst="rect">
                      <a:avLst/>
                    </a:prstGeom>
                    <a:noFill/>
                    <a:ln>
                      <a:noFill/>
                      <a:prstDash/>
                    </a:ln>
                  </pic:spPr>
                </pic:pic>
              </a:graphicData>
            </a:graphic>
          </wp:inline>
        </w:drawing>
      </w:r>
    </w:p>
    <w:p w14:paraId="3267CBD8" w14:textId="77777777" w:rsidR="005C3451" w:rsidRDefault="00000000">
      <w:pPr>
        <w:pStyle w:val="TOCHeading"/>
        <w:outlineLvl w:val="9"/>
      </w:pPr>
      <w:r>
        <w:t>Contents</w:t>
      </w:r>
    </w:p>
    <w:p w14:paraId="5303F1D6" w14:textId="77777777" w:rsidR="005C3451" w:rsidRDefault="00000000">
      <w:pPr>
        <w:tabs>
          <w:tab w:val="right" w:leader="dot" w:pos="9360"/>
        </w:tabs>
      </w:pPr>
      <w:r>
        <w:rPr>
          <w:rFonts w:ascii="Aptos Display" w:eastAsia="Times New Roman" w:hAnsi="Aptos Display"/>
          <w:color w:val="0F4761"/>
          <w:kern w:val="0"/>
          <w:sz w:val="32"/>
          <w:szCs w:val="32"/>
          <w:lang w:val="en-US"/>
        </w:rPr>
        <w:fldChar w:fldCharType="begin"/>
      </w:r>
      <w:r>
        <w:instrText xml:space="preserve"> TOC \o "1-3" \u \h </w:instrText>
      </w:r>
      <w:r>
        <w:rPr>
          <w:rFonts w:ascii="Aptos Display" w:eastAsia="Times New Roman" w:hAnsi="Aptos Display"/>
          <w:color w:val="0F4761"/>
          <w:kern w:val="0"/>
          <w:sz w:val="32"/>
          <w:szCs w:val="32"/>
          <w:lang w:val="en-US"/>
        </w:rPr>
        <w:fldChar w:fldCharType="separate"/>
      </w:r>
      <w:r>
        <w:rPr>
          <w:b/>
          <w:bCs/>
          <w:lang w:val="en-US"/>
        </w:rPr>
        <w:t>No table of contents entries found.</w:t>
      </w:r>
    </w:p>
    <w:p w14:paraId="59618CD0" w14:textId="77777777" w:rsidR="005C3451" w:rsidRDefault="00000000">
      <w:r>
        <w:fldChar w:fldCharType="end"/>
      </w:r>
    </w:p>
    <w:p w14:paraId="0E63DAE3" w14:textId="77777777" w:rsidR="005C3451" w:rsidRDefault="005C3451">
      <w:pPr>
        <w:pStyle w:val="NoSpacing"/>
        <w:spacing w:before="480"/>
        <w:jc w:val="center"/>
        <w:rPr>
          <w:rFonts w:ascii="Arial" w:hAnsi="Arial" w:cs="Arial"/>
          <w:lang w:val="en-GB"/>
        </w:rPr>
      </w:pPr>
    </w:p>
    <w:p w14:paraId="27D0E958" w14:textId="77777777" w:rsidR="005C3451" w:rsidRDefault="00000000">
      <w:r>
        <w:rPr>
          <w:rStyle w:val="Heading1Char"/>
          <w:rFonts w:eastAsia="Aptos"/>
        </w:rPr>
        <w:t>Conclusion (300 words)</w:t>
      </w:r>
      <w:r>
        <w:t xml:space="preserve"> </w:t>
      </w:r>
    </w:p>
    <w:bookmarkStart w:id="0" w:name="_Toc237601787" w:displacedByCustomXml="next"/>
    <w:sdt>
      <w:sdtPr>
        <w:rPr>
          <w:rFonts w:ascii="Aptos" w:eastAsia="Aptos" w:hAnsi="Aptos"/>
          <w:b w:val="0"/>
          <w:color w:val="auto"/>
          <w:kern w:val="3"/>
          <w:sz w:val="24"/>
          <w:szCs w:val="24"/>
          <w:lang w:val="en-GB"/>
        </w:rPr>
        <w:id w:val="989980577"/>
        <w:docPartObj>
          <w:docPartGallery w:val="Table of Contents"/>
          <w:docPartUnique/>
        </w:docPartObj>
      </w:sdtPr>
      <w:sdtEndPr>
        <w:rPr>
          <w:bCs/>
          <w:noProof/>
        </w:rPr>
      </w:sdtEndPr>
      <w:sdtContent>
        <w:p w14:paraId="0187B465" w14:textId="3BB80411" w:rsidR="00A623E5" w:rsidRPr="00A623E5" w:rsidRDefault="00A623E5">
          <w:pPr>
            <w:pStyle w:val="TOCHeading"/>
            <w:rPr>
              <w:rFonts w:cs="Arial"/>
            </w:rPr>
          </w:pPr>
          <w:r w:rsidRPr="00A623E5">
            <w:rPr>
              <w:rFonts w:cs="Arial"/>
            </w:rPr>
            <w:t>Table of Contents</w:t>
          </w:r>
          <w:bookmarkEnd w:id="0"/>
        </w:p>
        <w:p w14:paraId="59734CDB" w14:textId="7D4B5662" w:rsidR="005564BF" w:rsidRDefault="00A623E5">
          <w:pPr>
            <w:pStyle w:val="TOC1"/>
            <w:tabs>
              <w:tab w:val="right" w:leader="dot" w:pos="9016"/>
            </w:tabs>
            <w:rPr>
              <w:rFonts w:eastAsiaTheme="minorEastAsia" w:cstheme="minorBidi"/>
              <w:b w:val="0"/>
              <w:bCs w:val="0"/>
              <w:i w:val="0"/>
              <w:iCs w:val="0"/>
              <w:noProof/>
              <w:kern w:val="2"/>
              <w:lang w:eastAsia="en-GB"/>
              <w14:ligatures w14:val="standardContextual"/>
            </w:rPr>
          </w:pPr>
          <w:r w:rsidRPr="00A623E5">
            <w:rPr>
              <w:rFonts w:ascii="Arial" w:hAnsi="Arial" w:cs="Arial"/>
              <w:b w:val="0"/>
            </w:rPr>
            <w:fldChar w:fldCharType="begin"/>
          </w:r>
          <w:r w:rsidRPr="00A623E5">
            <w:rPr>
              <w:rFonts w:ascii="Arial" w:hAnsi="Arial" w:cs="Arial"/>
              <w:b w:val="0"/>
            </w:rPr>
            <w:instrText xml:space="preserve"> TOC \o "1-3" \h \z \u </w:instrText>
          </w:r>
          <w:r w:rsidRPr="00A623E5">
            <w:rPr>
              <w:rFonts w:ascii="Arial" w:hAnsi="Arial" w:cs="Arial"/>
              <w:b w:val="0"/>
            </w:rPr>
            <w:fldChar w:fldCharType="separate"/>
          </w:r>
          <w:hyperlink w:anchor="_Toc237601787" w:history="1">
            <w:r w:rsidR="005564BF" w:rsidRPr="00011F0C">
              <w:rPr>
                <w:rStyle w:val="Hyperlink"/>
                <w:rFonts w:cs="Arial"/>
                <w:noProof/>
              </w:rPr>
              <w:t>Table of Contents</w:t>
            </w:r>
            <w:r w:rsidR="005564BF">
              <w:rPr>
                <w:noProof/>
                <w:webHidden/>
              </w:rPr>
              <w:tab/>
            </w:r>
            <w:r w:rsidR="005564BF">
              <w:rPr>
                <w:noProof/>
                <w:webHidden/>
              </w:rPr>
              <w:fldChar w:fldCharType="begin"/>
            </w:r>
            <w:r w:rsidR="005564BF">
              <w:rPr>
                <w:noProof/>
                <w:webHidden/>
              </w:rPr>
              <w:instrText xml:space="preserve"> PAGEREF _Toc237601787 \h </w:instrText>
            </w:r>
            <w:r w:rsidR="005564BF">
              <w:rPr>
                <w:noProof/>
                <w:webHidden/>
              </w:rPr>
            </w:r>
            <w:r w:rsidR="005564BF">
              <w:rPr>
                <w:noProof/>
                <w:webHidden/>
              </w:rPr>
              <w:fldChar w:fldCharType="separate"/>
            </w:r>
            <w:r w:rsidR="005564BF">
              <w:rPr>
                <w:noProof/>
                <w:webHidden/>
              </w:rPr>
              <w:t>1</w:t>
            </w:r>
            <w:r w:rsidR="005564BF">
              <w:rPr>
                <w:noProof/>
                <w:webHidden/>
              </w:rPr>
              <w:fldChar w:fldCharType="end"/>
            </w:r>
          </w:hyperlink>
        </w:p>
        <w:p w14:paraId="375843F4" w14:textId="2544A819" w:rsidR="005564BF" w:rsidRDefault="00724BA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788" w:history="1">
            <w:r>
              <w:rPr>
                <w:rStyle w:val="Hyperlink"/>
                <w:noProof/>
              </w:rPr>
              <w:t>1. Introduction:</w:t>
            </w:r>
            <w:r>
              <w:rPr>
                <w:rStyle w:val="Hyperlink"/>
                <w:noProof/>
              </w:rPr>
              <w:tab/>
              <w:t>2</w:t>
            </w:r>
          </w:hyperlink>
        </w:p>
        <w:p w14:paraId="5033ABAD" w14:textId="33D57002" w:rsidR="005564BF" w:rsidRDefault="005564B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789" w:history="1">
            <w:r w:rsidRPr="00011F0C">
              <w:rPr>
                <w:rStyle w:val="Hyperlink"/>
                <w:noProof/>
              </w:rPr>
              <w:t>2. Main Body and Analysis</w:t>
            </w:r>
            <w:r>
              <w:rPr>
                <w:noProof/>
                <w:webHidden/>
              </w:rPr>
              <w:tab/>
            </w:r>
            <w:r>
              <w:rPr>
                <w:noProof/>
                <w:webHidden/>
              </w:rPr>
              <w:fldChar w:fldCharType="begin"/>
            </w:r>
            <w:r>
              <w:rPr>
                <w:noProof/>
                <w:webHidden/>
              </w:rPr>
              <w:instrText xml:space="preserve"> PAGEREF _Toc237601789 \h </w:instrText>
            </w:r>
            <w:r>
              <w:rPr>
                <w:noProof/>
                <w:webHidden/>
              </w:rPr>
            </w:r>
            <w:r>
              <w:rPr>
                <w:noProof/>
                <w:webHidden/>
              </w:rPr>
              <w:fldChar w:fldCharType="separate"/>
            </w:r>
            <w:r>
              <w:rPr>
                <w:noProof/>
                <w:webHidden/>
              </w:rPr>
              <w:t>3</w:t>
            </w:r>
            <w:r>
              <w:rPr>
                <w:noProof/>
                <w:webHidden/>
              </w:rPr>
              <w:fldChar w:fldCharType="end"/>
            </w:r>
          </w:hyperlink>
        </w:p>
        <w:p w14:paraId="694DE2FD" w14:textId="3850F02B" w:rsidR="005564BF" w:rsidRDefault="005564BF">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7601790" w:history="1">
            <w:r w:rsidRPr="00011F0C">
              <w:rPr>
                <w:rStyle w:val="Hyperlink"/>
                <w:noProof/>
              </w:rPr>
              <w:t>2.1 Overview of the Case Study</w:t>
            </w:r>
            <w:r>
              <w:rPr>
                <w:noProof/>
                <w:webHidden/>
              </w:rPr>
              <w:tab/>
            </w:r>
            <w:r>
              <w:rPr>
                <w:noProof/>
                <w:webHidden/>
              </w:rPr>
              <w:fldChar w:fldCharType="begin"/>
            </w:r>
            <w:r>
              <w:rPr>
                <w:noProof/>
                <w:webHidden/>
              </w:rPr>
              <w:instrText xml:space="preserve"> PAGEREF _Toc237601790 \h </w:instrText>
            </w:r>
            <w:r>
              <w:rPr>
                <w:noProof/>
                <w:webHidden/>
              </w:rPr>
            </w:r>
            <w:r>
              <w:rPr>
                <w:noProof/>
                <w:webHidden/>
              </w:rPr>
              <w:fldChar w:fldCharType="separate"/>
            </w:r>
            <w:r>
              <w:rPr>
                <w:noProof/>
                <w:webHidden/>
              </w:rPr>
              <w:t>3</w:t>
            </w:r>
            <w:r>
              <w:rPr>
                <w:noProof/>
                <w:webHidden/>
              </w:rPr>
              <w:fldChar w:fldCharType="end"/>
            </w:r>
          </w:hyperlink>
        </w:p>
        <w:p w14:paraId="6C09E743" w14:textId="2DC65CCD" w:rsidR="005564BF" w:rsidRDefault="00724BA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7601791" w:history="1">
            <w:r>
              <w:rPr>
                <w:rStyle w:val="Hyperlink"/>
                <w:noProof/>
              </w:rPr>
              <w:t>2.2 Clinical background and significance of anticoagulation</w:t>
            </w:r>
            <w:r>
              <w:rPr>
                <w:rStyle w:val="Hyperlink"/>
                <w:noProof/>
              </w:rPr>
              <w:tab/>
              <w:t>4</w:t>
            </w:r>
          </w:hyperlink>
        </w:p>
        <w:p w14:paraId="52F9EFFF" w14:textId="09475275" w:rsidR="005564BF" w:rsidRDefault="005564BF">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7601792" w:history="1">
            <w:r w:rsidRPr="00011F0C">
              <w:rPr>
                <w:rStyle w:val="Hyperlink"/>
                <w:noProof/>
              </w:rPr>
              <w:t>2.3 Clinical Decision-Making and Anticoagulation Management</w:t>
            </w:r>
            <w:r>
              <w:rPr>
                <w:noProof/>
                <w:webHidden/>
              </w:rPr>
              <w:tab/>
            </w:r>
            <w:r>
              <w:rPr>
                <w:noProof/>
                <w:webHidden/>
              </w:rPr>
              <w:fldChar w:fldCharType="begin"/>
            </w:r>
            <w:r>
              <w:rPr>
                <w:noProof/>
                <w:webHidden/>
              </w:rPr>
              <w:instrText xml:space="preserve"> PAGEREF _Toc237601792 \h </w:instrText>
            </w:r>
            <w:r>
              <w:rPr>
                <w:noProof/>
                <w:webHidden/>
              </w:rPr>
            </w:r>
            <w:r>
              <w:rPr>
                <w:noProof/>
                <w:webHidden/>
              </w:rPr>
              <w:fldChar w:fldCharType="separate"/>
            </w:r>
            <w:r>
              <w:rPr>
                <w:noProof/>
                <w:webHidden/>
              </w:rPr>
              <w:t>4</w:t>
            </w:r>
            <w:r>
              <w:rPr>
                <w:noProof/>
                <w:webHidden/>
              </w:rPr>
              <w:fldChar w:fldCharType="end"/>
            </w:r>
          </w:hyperlink>
        </w:p>
        <w:p w14:paraId="5978F0D0" w14:textId="106520C4" w:rsidR="005564BF" w:rsidRDefault="005564BF">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7601793" w:history="1">
            <w:r w:rsidRPr="00011F0C">
              <w:rPr>
                <w:rStyle w:val="Hyperlink"/>
                <w:noProof/>
              </w:rPr>
              <w:t>2.4 Dynamic Risk Assessment and Decision-Making</w:t>
            </w:r>
            <w:r>
              <w:rPr>
                <w:noProof/>
                <w:webHidden/>
              </w:rPr>
              <w:tab/>
            </w:r>
            <w:r>
              <w:rPr>
                <w:noProof/>
                <w:webHidden/>
              </w:rPr>
              <w:fldChar w:fldCharType="begin"/>
            </w:r>
            <w:r>
              <w:rPr>
                <w:noProof/>
                <w:webHidden/>
              </w:rPr>
              <w:instrText xml:space="preserve"> PAGEREF _Toc237601793 \h </w:instrText>
            </w:r>
            <w:r>
              <w:rPr>
                <w:noProof/>
                <w:webHidden/>
              </w:rPr>
            </w:r>
            <w:r>
              <w:rPr>
                <w:noProof/>
                <w:webHidden/>
              </w:rPr>
              <w:fldChar w:fldCharType="separate"/>
            </w:r>
            <w:r>
              <w:rPr>
                <w:noProof/>
                <w:webHidden/>
              </w:rPr>
              <w:t>5</w:t>
            </w:r>
            <w:r>
              <w:rPr>
                <w:noProof/>
                <w:webHidden/>
              </w:rPr>
              <w:fldChar w:fldCharType="end"/>
            </w:r>
          </w:hyperlink>
        </w:p>
        <w:p w14:paraId="0FBB39FA" w14:textId="767FC909" w:rsidR="005564BF" w:rsidRDefault="00724BA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794" w:history="1">
            <w:r>
              <w:rPr>
                <w:rStyle w:val="Hyperlink"/>
                <w:noProof/>
              </w:rPr>
              <w:t>3. Identifying the Problem and Setting the System Context: Applying Systems Thinking and the Rich Picture</w:t>
            </w:r>
            <w:r>
              <w:rPr>
                <w:rStyle w:val="Hyperlink"/>
                <w:noProof/>
              </w:rPr>
              <w:tab/>
              <w:t>5</w:t>
            </w:r>
          </w:hyperlink>
        </w:p>
        <w:p w14:paraId="1CABDA34" w14:textId="25CAFE08" w:rsidR="005564BF" w:rsidRDefault="005564B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795" w:history="1">
            <w:r w:rsidRPr="00011F0C">
              <w:rPr>
                <w:rStyle w:val="Hyperlink"/>
                <w:rFonts w:cs="Arial"/>
                <w:noProof/>
              </w:rPr>
              <w:t>4.</w:t>
            </w:r>
            <w:r w:rsidRPr="00011F0C">
              <w:rPr>
                <w:rStyle w:val="Hyperlink"/>
                <w:noProof/>
              </w:rPr>
              <w:t xml:space="preserve"> Centralisation or Decentralisation within the Case Study</w:t>
            </w:r>
            <w:r>
              <w:rPr>
                <w:noProof/>
                <w:webHidden/>
              </w:rPr>
              <w:tab/>
            </w:r>
            <w:r>
              <w:rPr>
                <w:noProof/>
                <w:webHidden/>
              </w:rPr>
              <w:fldChar w:fldCharType="begin"/>
            </w:r>
            <w:r>
              <w:rPr>
                <w:noProof/>
                <w:webHidden/>
              </w:rPr>
              <w:instrText xml:space="preserve"> PAGEREF _Toc237601795 \h </w:instrText>
            </w:r>
            <w:r>
              <w:rPr>
                <w:noProof/>
                <w:webHidden/>
              </w:rPr>
            </w:r>
            <w:r>
              <w:rPr>
                <w:noProof/>
                <w:webHidden/>
              </w:rPr>
              <w:fldChar w:fldCharType="separate"/>
            </w:r>
            <w:r>
              <w:rPr>
                <w:noProof/>
                <w:webHidden/>
              </w:rPr>
              <w:t>9</w:t>
            </w:r>
            <w:r>
              <w:rPr>
                <w:noProof/>
                <w:webHidden/>
              </w:rPr>
              <w:fldChar w:fldCharType="end"/>
            </w:r>
          </w:hyperlink>
        </w:p>
        <w:p w14:paraId="07DEC114" w14:textId="686D8353" w:rsidR="005564BF" w:rsidRDefault="00724BA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796" w:history="1">
            <w:r>
              <w:rPr>
                <w:rStyle w:val="Hyperlink"/>
                <w:noProof/>
              </w:rPr>
              <w:t>5. Leadership Theories and Application to the Case Study</w:t>
            </w:r>
            <w:r>
              <w:rPr>
                <w:rStyle w:val="Hyperlink"/>
                <w:noProof/>
              </w:rPr>
              <w:tab/>
              <w:t>10</w:t>
            </w:r>
          </w:hyperlink>
        </w:p>
        <w:p w14:paraId="07A1DAFC" w14:textId="0BEDC0DB" w:rsidR="005564BF" w:rsidRDefault="005564BF">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7601797" w:history="1">
            <w:r w:rsidRPr="00011F0C">
              <w:rPr>
                <w:rStyle w:val="Hyperlink"/>
                <w:noProof/>
              </w:rPr>
              <w:t>5.1. Leadership and clinical governance</w:t>
            </w:r>
            <w:r>
              <w:rPr>
                <w:noProof/>
                <w:webHidden/>
              </w:rPr>
              <w:tab/>
            </w:r>
            <w:r>
              <w:rPr>
                <w:noProof/>
                <w:webHidden/>
              </w:rPr>
              <w:fldChar w:fldCharType="begin"/>
            </w:r>
            <w:r>
              <w:rPr>
                <w:noProof/>
                <w:webHidden/>
              </w:rPr>
              <w:instrText xml:space="preserve"> PAGEREF _Toc237601797 \h </w:instrText>
            </w:r>
            <w:r>
              <w:rPr>
                <w:noProof/>
                <w:webHidden/>
              </w:rPr>
            </w:r>
            <w:r>
              <w:rPr>
                <w:noProof/>
                <w:webHidden/>
              </w:rPr>
              <w:fldChar w:fldCharType="separate"/>
            </w:r>
            <w:r>
              <w:rPr>
                <w:noProof/>
                <w:webHidden/>
              </w:rPr>
              <w:t>11</w:t>
            </w:r>
            <w:r>
              <w:rPr>
                <w:noProof/>
                <w:webHidden/>
              </w:rPr>
              <w:fldChar w:fldCharType="end"/>
            </w:r>
          </w:hyperlink>
        </w:p>
        <w:p w14:paraId="675AAA4B" w14:textId="5F628BB8" w:rsidR="005564BF" w:rsidRDefault="005564BF">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7601798" w:history="1">
            <w:r w:rsidRPr="00011F0C">
              <w:rPr>
                <w:rStyle w:val="Hyperlink"/>
                <w:noProof/>
              </w:rPr>
              <w:t>5.2 Human factors, workload and staffing</w:t>
            </w:r>
            <w:r>
              <w:rPr>
                <w:noProof/>
                <w:webHidden/>
              </w:rPr>
              <w:tab/>
            </w:r>
            <w:r>
              <w:rPr>
                <w:noProof/>
                <w:webHidden/>
              </w:rPr>
              <w:fldChar w:fldCharType="begin"/>
            </w:r>
            <w:r>
              <w:rPr>
                <w:noProof/>
                <w:webHidden/>
              </w:rPr>
              <w:instrText xml:space="preserve"> PAGEREF _Toc237601798 \h </w:instrText>
            </w:r>
            <w:r>
              <w:rPr>
                <w:noProof/>
                <w:webHidden/>
              </w:rPr>
            </w:r>
            <w:r>
              <w:rPr>
                <w:noProof/>
                <w:webHidden/>
              </w:rPr>
              <w:fldChar w:fldCharType="separate"/>
            </w:r>
            <w:r>
              <w:rPr>
                <w:noProof/>
                <w:webHidden/>
              </w:rPr>
              <w:t>11</w:t>
            </w:r>
            <w:r>
              <w:rPr>
                <w:noProof/>
                <w:webHidden/>
              </w:rPr>
              <w:fldChar w:fldCharType="end"/>
            </w:r>
          </w:hyperlink>
        </w:p>
        <w:p w14:paraId="1C43FAA8" w14:textId="4EED1CC1" w:rsidR="005564BF" w:rsidRDefault="00724BA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799" w:history="1">
            <w:r>
              <w:rPr>
                <w:rStyle w:val="Hyperlink"/>
                <w:noProof/>
              </w:rPr>
              <w:t>6. Improvement and Lessons Learned</w:t>
            </w:r>
            <w:r>
              <w:rPr>
                <w:rStyle w:val="Hyperlink"/>
                <w:noProof/>
              </w:rPr>
              <w:tab/>
              <w:t>12</w:t>
            </w:r>
          </w:hyperlink>
        </w:p>
        <w:p w14:paraId="76F3B8B9" w14:textId="3ECC97C0" w:rsidR="005564BF" w:rsidRDefault="005564B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800" w:history="1">
            <w:r w:rsidRPr="00011F0C">
              <w:rPr>
                <w:rStyle w:val="Hyperlink"/>
                <w:noProof/>
              </w:rPr>
              <w:t>7. Recommendation for improvement</w:t>
            </w:r>
            <w:r>
              <w:rPr>
                <w:noProof/>
                <w:webHidden/>
              </w:rPr>
              <w:tab/>
            </w:r>
            <w:r>
              <w:rPr>
                <w:noProof/>
                <w:webHidden/>
              </w:rPr>
              <w:fldChar w:fldCharType="begin"/>
            </w:r>
            <w:r>
              <w:rPr>
                <w:noProof/>
                <w:webHidden/>
              </w:rPr>
              <w:instrText xml:space="preserve"> PAGEREF _Toc237601800 \h </w:instrText>
            </w:r>
            <w:r>
              <w:rPr>
                <w:noProof/>
                <w:webHidden/>
              </w:rPr>
            </w:r>
            <w:r>
              <w:rPr>
                <w:noProof/>
                <w:webHidden/>
              </w:rPr>
              <w:fldChar w:fldCharType="separate"/>
            </w:r>
            <w:r>
              <w:rPr>
                <w:noProof/>
                <w:webHidden/>
              </w:rPr>
              <w:t>14</w:t>
            </w:r>
            <w:r>
              <w:rPr>
                <w:noProof/>
                <w:webHidden/>
              </w:rPr>
              <w:fldChar w:fldCharType="end"/>
            </w:r>
          </w:hyperlink>
        </w:p>
        <w:p w14:paraId="7F028C29" w14:textId="2B473587" w:rsidR="005564BF" w:rsidRDefault="005564B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801" w:history="1">
            <w:r w:rsidRPr="00011F0C">
              <w:rPr>
                <w:rStyle w:val="Hyperlink"/>
                <w:noProof/>
              </w:rPr>
              <w:t>8. Conclusion</w:t>
            </w:r>
            <w:r>
              <w:rPr>
                <w:noProof/>
                <w:webHidden/>
              </w:rPr>
              <w:tab/>
            </w:r>
            <w:r>
              <w:rPr>
                <w:noProof/>
                <w:webHidden/>
              </w:rPr>
              <w:fldChar w:fldCharType="begin"/>
            </w:r>
            <w:r>
              <w:rPr>
                <w:noProof/>
                <w:webHidden/>
              </w:rPr>
              <w:instrText xml:space="preserve"> PAGEREF _Toc237601801 \h </w:instrText>
            </w:r>
            <w:r>
              <w:rPr>
                <w:noProof/>
                <w:webHidden/>
              </w:rPr>
            </w:r>
            <w:r>
              <w:rPr>
                <w:noProof/>
                <w:webHidden/>
              </w:rPr>
              <w:fldChar w:fldCharType="separate"/>
            </w:r>
            <w:r>
              <w:rPr>
                <w:noProof/>
                <w:webHidden/>
              </w:rPr>
              <w:t>16</w:t>
            </w:r>
            <w:r>
              <w:rPr>
                <w:noProof/>
                <w:webHidden/>
              </w:rPr>
              <w:fldChar w:fldCharType="end"/>
            </w:r>
          </w:hyperlink>
        </w:p>
        <w:p w14:paraId="1FC803F2" w14:textId="747CF011" w:rsidR="005564BF" w:rsidRDefault="005564B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802" w:history="1">
            <w:r w:rsidRPr="00011F0C">
              <w:rPr>
                <w:rStyle w:val="Hyperlink"/>
                <w:noProof/>
              </w:rPr>
              <w:t>Appendix A</w:t>
            </w:r>
            <w:r>
              <w:rPr>
                <w:noProof/>
                <w:webHidden/>
              </w:rPr>
              <w:tab/>
            </w:r>
            <w:r>
              <w:rPr>
                <w:noProof/>
                <w:webHidden/>
              </w:rPr>
              <w:fldChar w:fldCharType="begin"/>
            </w:r>
            <w:r>
              <w:rPr>
                <w:noProof/>
                <w:webHidden/>
              </w:rPr>
              <w:instrText xml:space="preserve"> PAGEREF _Toc237601802 \h </w:instrText>
            </w:r>
            <w:r>
              <w:rPr>
                <w:noProof/>
                <w:webHidden/>
              </w:rPr>
            </w:r>
            <w:r>
              <w:rPr>
                <w:noProof/>
                <w:webHidden/>
              </w:rPr>
              <w:fldChar w:fldCharType="separate"/>
            </w:r>
            <w:r>
              <w:rPr>
                <w:noProof/>
                <w:webHidden/>
              </w:rPr>
              <w:t>17</w:t>
            </w:r>
            <w:r>
              <w:rPr>
                <w:noProof/>
                <w:webHidden/>
              </w:rPr>
              <w:fldChar w:fldCharType="end"/>
            </w:r>
          </w:hyperlink>
        </w:p>
        <w:p w14:paraId="574C28EA" w14:textId="01BAA806" w:rsidR="005564BF" w:rsidRDefault="005564B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37601803" w:history="1">
            <w:r w:rsidRPr="00011F0C">
              <w:rPr>
                <w:rStyle w:val="Hyperlink"/>
                <w:noProof/>
              </w:rPr>
              <w:t>References</w:t>
            </w:r>
            <w:r>
              <w:rPr>
                <w:noProof/>
                <w:webHidden/>
              </w:rPr>
              <w:tab/>
            </w:r>
            <w:r>
              <w:rPr>
                <w:noProof/>
                <w:webHidden/>
              </w:rPr>
              <w:fldChar w:fldCharType="begin"/>
            </w:r>
            <w:r>
              <w:rPr>
                <w:noProof/>
                <w:webHidden/>
              </w:rPr>
              <w:instrText xml:space="preserve"> PAGEREF _Toc237601803 \h </w:instrText>
            </w:r>
            <w:r>
              <w:rPr>
                <w:noProof/>
                <w:webHidden/>
              </w:rPr>
            </w:r>
            <w:r>
              <w:rPr>
                <w:noProof/>
                <w:webHidden/>
              </w:rPr>
              <w:fldChar w:fldCharType="separate"/>
            </w:r>
            <w:r>
              <w:rPr>
                <w:noProof/>
                <w:webHidden/>
              </w:rPr>
              <w:t>19</w:t>
            </w:r>
            <w:r>
              <w:rPr>
                <w:noProof/>
                <w:webHidden/>
              </w:rPr>
              <w:fldChar w:fldCharType="end"/>
            </w:r>
          </w:hyperlink>
        </w:p>
        <w:p w14:paraId="4E2048DA" w14:textId="1FCA7639" w:rsidR="00A623E5" w:rsidRDefault="00A623E5">
          <w:r w:rsidRPr="00A623E5">
            <w:rPr>
              <w:rFonts w:ascii="Arial" w:hAnsi="Arial" w:cs="Arial"/>
              <w:bCs/>
              <w:noProof/>
            </w:rPr>
            <w:fldChar w:fldCharType="end"/>
          </w:r>
        </w:p>
      </w:sdtContent>
    </w:sdt>
    <w:p w14:paraId="14949543" w14:textId="77777777" w:rsidR="005C3451" w:rsidRDefault="005C3451">
      <w:pPr>
        <w:pStyle w:val="NoSpacing"/>
        <w:spacing w:before="480"/>
        <w:jc w:val="center"/>
        <w:rPr>
          <w:rFonts w:ascii="Arial" w:hAnsi="Arial" w:cs="Arial"/>
          <w:lang w:val="en-GB"/>
        </w:rPr>
      </w:pPr>
    </w:p>
    <w:p w14:paraId="4354DD62" w14:textId="77777777" w:rsidR="00A623E5" w:rsidRDefault="00A623E5" w:rsidP="00A623E5">
      <w:pPr>
        <w:pStyle w:val="Heading1"/>
      </w:pPr>
      <w:bookmarkStart w:id="1" w:name="_Toc237105727"/>
    </w:p>
    <w:p w14:paraId="73CBB8DF" w14:textId="77777777" w:rsidR="00A623E5" w:rsidRDefault="00A623E5" w:rsidP="00A623E5">
      <w:pPr>
        <w:pStyle w:val="Heading1"/>
      </w:pPr>
    </w:p>
    <w:p w14:paraId="7990DBDC" w14:textId="77777777" w:rsidR="00A623E5" w:rsidRDefault="00A623E5" w:rsidP="00A623E5">
      <w:pPr>
        <w:pStyle w:val="Heading1"/>
      </w:pPr>
    </w:p>
    <w:p w14:paraId="17D73E9A" w14:textId="77777777" w:rsidR="00A623E5" w:rsidRDefault="00A623E5" w:rsidP="00A623E5">
      <w:pPr>
        <w:pStyle w:val="Heading1"/>
      </w:pPr>
    </w:p>
    <w:p w14:paraId="1CED279D" w14:textId="77777777" w:rsidR="00A623E5" w:rsidRDefault="00A623E5" w:rsidP="00A623E5"/>
    <w:p w14:paraId="41C0CC44" w14:textId="77777777" w:rsidR="00A623E5" w:rsidRDefault="00A623E5" w:rsidP="00A623E5"/>
    <w:p w14:paraId="05F336F6" w14:textId="77777777" w:rsidR="00A623E5" w:rsidRDefault="00A623E5" w:rsidP="00A623E5"/>
    <w:p w14:paraId="5BB84DC5" w14:textId="77777777" w:rsidR="00A623E5" w:rsidRDefault="00A623E5" w:rsidP="00A623E5"/>
    <w:p w14:paraId="3644438D" w14:textId="67D7926B" w:rsidR="005C3451" w:rsidRPr="00A623E5" w:rsidRDefault="00402D18" w:rsidP="00402D18">
      <w:pPr>
        <w:pStyle w:val="Heading1"/>
      </w:pPr>
      <w:bookmarkStart w:id="2" w:name="_Toc237601788"/>
      <w:r>
        <w:t>1.</w:t>
      </w:r>
      <w:r w:rsidR="003505D4">
        <w:t xml:space="preserve"> </w:t>
      </w:r>
      <w:r w:rsidRPr="00402D18">
        <w:t>Introduction</w:t>
      </w:r>
      <w:r w:rsidRPr="00A623E5">
        <w:t>:</w:t>
      </w:r>
      <w:bookmarkEnd w:id="1"/>
      <w:bookmarkEnd w:id="2"/>
    </w:p>
    <w:p w14:paraId="58901DCA" w14:textId="77777777" w:rsidR="00A623E5" w:rsidRDefault="00A623E5">
      <w:pPr>
        <w:spacing w:line="360" w:lineRule="auto"/>
        <w:jc w:val="both"/>
        <w:rPr>
          <w:rFonts w:ascii="Arial" w:hAnsi="Arial" w:cs="Arial"/>
          <w:sz w:val="22"/>
          <w:szCs w:val="22"/>
        </w:rPr>
      </w:pPr>
      <w:r>
        <w:rPr>
          <w:rFonts w:ascii="Arial" w:hAnsi="Arial" w:cs="Arial"/>
          <w:sz w:val="22"/>
          <w:szCs w:val="22"/>
        </w:rPr>
        <w:t xml:space="preserve">This case report examines a real health and social care investigation carried out in 2025 by the Health Services Safety Investigations Body (HSSIB) into the care of an older patient, an 87-year-old man referred to as Patient X, who died following a stroke caused by the prolonged, unreviewed omission of his regular anticoagulant, apixaban. </w:t>
      </w:r>
    </w:p>
    <w:p w14:paraId="67837EB4" w14:textId="3A2C8251" w:rsidR="00A623E5" w:rsidRDefault="00DA3E2B">
      <w:pPr>
        <w:spacing w:line="360" w:lineRule="auto"/>
        <w:jc w:val="both"/>
        <w:rPr>
          <w:rFonts w:ascii="Arial" w:hAnsi="Arial" w:cs="Arial"/>
          <w:sz w:val="22"/>
          <w:szCs w:val="22"/>
        </w:rPr>
      </w:pPr>
      <w:r w:rsidRPr="00DA3E2B">
        <w:rPr>
          <w:rFonts w:ascii="Arial" w:hAnsi="Arial" w:cs="Arial"/>
          <w:sz w:val="22"/>
          <w:szCs w:val="22"/>
        </w:rPr>
        <w:t>Patient X was admitted with breathlessness and nosebleeds; his apixaban was appropriately paused because of active bleeding, but as his pleural aspiration procedure was repeatedly delayed, no member of staff formally reviewed whether the pause remained clinically justified. The drug was withheld for ten days, and after the procedure it was still not restarted, despite a doctor recording an intention to do so. Two days later</w:t>
      </w:r>
      <w:r>
        <w:rPr>
          <w:rFonts w:ascii="Arial" w:hAnsi="Arial" w:cs="Arial"/>
          <w:sz w:val="22"/>
          <w:szCs w:val="22"/>
        </w:rPr>
        <w:t>,</w:t>
      </w:r>
      <w:r w:rsidRPr="00DA3E2B">
        <w:rPr>
          <w:rFonts w:ascii="Arial" w:hAnsi="Arial" w:cs="Arial"/>
          <w:sz w:val="22"/>
          <w:szCs w:val="22"/>
        </w:rPr>
        <w:t xml:space="preserve"> Patient X suffered an ischaemic stroke and subsequently died</w:t>
      </w:r>
      <w:r w:rsidR="00A623E5">
        <w:rPr>
          <w:rFonts w:ascii="Arial" w:hAnsi="Arial" w:cs="Arial"/>
          <w:sz w:val="22"/>
          <w:szCs w:val="22"/>
        </w:rPr>
        <w:t xml:space="preserve"> </w:t>
      </w:r>
      <w:r w:rsidR="00A623E5" w:rsidRPr="00A623E5">
        <w:rPr>
          <w:rFonts w:ascii="Arial" w:hAnsi="Arial" w:cs="Arial"/>
          <w:sz w:val="22"/>
          <w:szCs w:val="22"/>
        </w:rPr>
        <w:t>(Health Services Safety Investigations Body, 2025). The purpose of this report is to critically analyse the leadership, communication, and organisational factors that influenced the care provided and to identify lessons that can improve patient safety and quality of care.</w:t>
      </w:r>
    </w:p>
    <w:p w14:paraId="7C0FEBA4" w14:textId="05A7ADD9" w:rsidR="005C3451" w:rsidRDefault="00000000">
      <w:pPr>
        <w:spacing w:line="360" w:lineRule="auto"/>
        <w:jc w:val="both"/>
        <w:rPr>
          <w:rFonts w:ascii="Arial" w:hAnsi="Arial" w:cs="Arial"/>
          <w:sz w:val="22"/>
          <w:szCs w:val="22"/>
        </w:rPr>
      </w:pPr>
      <w:r w:rsidRPr="00DA3E2B">
        <w:rPr>
          <w:rFonts w:ascii="Arial" w:hAnsi="Arial" w:cs="Arial"/>
          <w:sz w:val="22"/>
          <w:szCs w:val="22"/>
        </w:rPr>
        <w:t>Leadership is a fundamental component of health and social care</w:t>
      </w:r>
      <w:r w:rsidR="0031786D">
        <w:rPr>
          <w:rFonts w:ascii="Arial" w:hAnsi="Arial" w:cs="Arial"/>
          <w:sz w:val="22"/>
          <w:szCs w:val="22"/>
        </w:rPr>
        <w:t>. It can</w:t>
      </w:r>
      <w:r w:rsidRPr="00DA3E2B">
        <w:rPr>
          <w:rFonts w:ascii="Arial" w:hAnsi="Arial" w:cs="Arial"/>
          <w:sz w:val="22"/>
          <w:szCs w:val="22"/>
        </w:rPr>
        <w:t xml:space="preserve"> be defined as the ability to influence, motivate, and support individuals or teams to achieve shared goals while delivering safe, effective, and person-centred care</w:t>
      </w:r>
      <w:r w:rsidR="00A623E5">
        <w:rPr>
          <w:rFonts w:ascii="Arial" w:hAnsi="Arial" w:cs="Arial"/>
          <w:sz w:val="22"/>
          <w:szCs w:val="22"/>
        </w:rPr>
        <w:t xml:space="preserve"> </w:t>
      </w:r>
      <w:r w:rsidR="00A623E5">
        <w:rPr>
          <w:rFonts w:ascii="Calibri" w:eastAsia="Calibri" w:hAnsi="Calibri" w:cs="Calibri"/>
          <w:sz w:val="22"/>
          <w:szCs w:val="22"/>
        </w:rPr>
        <w:t>(West, 2021)</w:t>
      </w:r>
      <w:r w:rsidRPr="00DA3E2B">
        <w:rPr>
          <w:rFonts w:ascii="Arial" w:hAnsi="Arial" w:cs="Arial"/>
          <w:sz w:val="22"/>
          <w:szCs w:val="22"/>
        </w:rPr>
        <w:t>.</w:t>
      </w:r>
      <w:r w:rsidR="00DA3E2B">
        <w:rPr>
          <w:rFonts w:ascii="Arial" w:hAnsi="Arial" w:cs="Arial"/>
          <w:sz w:val="22"/>
          <w:szCs w:val="22"/>
        </w:rPr>
        <w:t xml:space="preserve"> </w:t>
      </w:r>
      <w:r w:rsidRPr="00DA3E2B">
        <w:rPr>
          <w:rFonts w:ascii="Arial" w:hAnsi="Arial" w:cs="Arial"/>
          <w:sz w:val="22"/>
          <w:szCs w:val="22"/>
        </w:rPr>
        <w:t xml:space="preserve">Effective leadership </w:t>
      </w:r>
      <w:r w:rsidR="005F0D0D">
        <w:rPr>
          <w:rFonts w:ascii="Arial" w:hAnsi="Arial" w:cs="Arial"/>
          <w:sz w:val="22"/>
          <w:szCs w:val="22"/>
        </w:rPr>
        <w:t>foster</w:t>
      </w:r>
      <w:r w:rsidRPr="00DA3E2B">
        <w:rPr>
          <w:rFonts w:ascii="Arial" w:hAnsi="Arial" w:cs="Arial"/>
          <w:sz w:val="22"/>
          <w:szCs w:val="22"/>
        </w:rPr>
        <w:t>s collaboration, accountability, and evidence-based decision-making, enabling healthcare professionals to respond appropriately to complex clinical situations and improve patient outcomes</w:t>
      </w:r>
      <w:r w:rsidR="00DA3E2B" w:rsidRPr="00DA3E2B">
        <w:rPr>
          <w:rFonts w:ascii="Arial" w:hAnsi="Arial" w:cs="Arial"/>
          <w:sz w:val="22"/>
          <w:szCs w:val="22"/>
        </w:rPr>
        <w:t xml:space="preserve"> (</w:t>
      </w:r>
      <w:r w:rsidR="00DA3E2B" w:rsidRPr="00DA3E2B">
        <w:rPr>
          <w:rFonts w:ascii="Arial" w:hAnsi="Arial" w:cs="Arial"/>
        </w:rPr>
        <w:t>Van Diggele et al., 2020)</w:t>
      </w:r>
      <w:r w:rsidRPr="00DA3E2B">
        <w:rPr>
          <w:rFonts w:ascii="Arial" w:hAnsi="Arial" w:cs="Arial"/>
          <w:sz w:val="22"/>
          <w:szCs w:val="22"/>
        </w:rPr>
        <w:t>.</w:t>
      </w:r>
      <w:r w:rsidR="005F0D0D">
        <w:rPr>
          <w:rFonts w:ascii="Arial" w:hAnsi="Arial" w:cs="Arial"/>
          <w:sz w:val="22"/>
          <w:szCs w:val="22"/>
        </w:rPr>
        <w:t xml:space="preserve"> </w:t>
      </w:r>
      <w:r w:rsidR="005F0D0D">
        <w:rPr>
          <w:rFonts w:ascii="Calibri" w:eastAsia="Calibri" w:hAnsi="Calibri" w:cs="Calibri"/>
          <w:sz w:val="22"/>
          <w:szCs w:val="22"/>
        </w:rPr>
        <w:t>In a hospital setting, this influence is exercised at multiple levels simultaneously: by the bedside doctor deciding whether to pause a medication, by the ward sister coordinating handovers, and by the trust board setting the policies and staffing levels within which frontline decisions are made.</w:t>
      </w:r>
    </w:p>
    <w:p w14:paraId="482F9824" w14:textId="77777777" w:rsidR="00A623E5" w:rsidRDefault="00A623E5">
      <w:pPr>
        <w:spacing w:line="360" w:lineRule="auto"/>
        <w:jc w:val="both"/>
        <w:rPr>
          <w:rFonts w:ascii="Arial" w:hAnsi="Arial" w:cs="Arial"/>
          <w:sz w:val="22"/>
          <w:szCs w:val="22"/>
        </w:rPr>
      </w:pPr>
      <w:r w:rsidRPr="00A623E5">
        <w:rPr>
          <w:rFonts w:ascii="Arial" w:hAnsi="Arial" w:cs="Arial"/>
          <w:sz w:val="22"/>
          <w:szCs w:val="22"/>
        </w:rPr>
        <w:t>Healthcare organisations may adopt either centralised or decentralised approaches to leadership and decision-making. In a centralised system, key decisions are made by senior managers or organisational leaders, ensuring consistency and standardisation across services. In contrast, decentralised leadership gives greater authority to frontline healthcare professionals, allowing decisions to be made closer to the patient and enabling more responsive, flexible care. Both approaches have advantages and limitations, and successful healthcare organisations often combine elements of each to support effective clinical decision-making (Zamboni et al., 2020).</w:t>
      </w:r>
    </w:p>
    <w:p w14:paraId="49006ECA"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lastRenderedPageBreak/>
        <w:t>Several leadership theories provide frameworks for understanding how leaders can influence healthcare practice. Transformational leadership focuses on inspiring, motivating, and empowering staff to achieve continuous improvement and deliver high-quality care (West, 2021). Transactional leadership emphasises clear expectations, policies, accountability, and performance management to ensure safe and efficient practice. Situational leadership recognises that no single leadership style is appropriate in every circumstance and encourages leaders to adapt their approach according to the needs of the team, the patient, and the clinical environment (Alsaqqa, 2020). A recent systematic review protocol examining hospital leadership styles and patient safety indicators similarly concludes that relational styles such as transformational and distributed leadership, alongside more task-focused transactional approaches, each have a role depending on the level of hierarchy and the nature of the safety challenge involved (Buttigieg et al., 2023). Selecting the most appropriate leadership style is particularly important during periods of organisational change or clinical crisis, where effective communication, timely decision-making, and coordinated teamwork are essential to maintaining patient safety and preventing avoidable harm.</w:t>
      </w:r>
    </w:p>
    <w:p w14:paraId="7338E435" w14:textId="24D1139B" w:rsidR="005C3451" w:rsidRDefault="00A623E5" w:rsidP="00A623E5">
      <w:pPr>
        <w:spacing w:line="360" w:lineRule="auto"/>
        <w:jc w:val="both"/>
        <w:rPr>
          <w:rFonts w:ascii="Arial" w:hAnsi="Arial" w:cs="Arial"/>
          <w:sz w:val="22"/>
          <w:szCs w:val="22"/>
        </w:rPr>
      </w:pPr>
      <w:r w:rsidRPr="00A623E5">
        <w:rPr>
          <w:rFonts w:ascii="Arial" w:hAnsi="Arial" w:cs="Arial"/>
          <w:sz w:val="22"/>
          <w:szCs w:val="22"/>
        </w:rPr>
        <w:t>This report examines the leadership challenges evident in Patient X's care by analysing relevant leadership theories and styles, communication and multidisciplinary teamwork, decision-making processes, and organisational factors that contributed to the adverse outcome. It then applies systems thinking, considers the case through the lens of centralised and decentralised governance, and concludes with evidence-based recommendations to strengthen leadership practices, improve medication management, and enhance patient safety within healthcare settings.</w:t>
      </w:r>
      <w:r>
        <w:rPr>
          <w:rFonts w:ascii="Arial" w:hAnsi="Arial" w:cs="Arial"/>
          <w:sz w:val="22"/>
          <w:szCs w:val="22"/>
        </w:rPr>
        <w:t xml:space="preserve"> </w:t>
      </w:r>
    </w:p>
    <w:p w14:paraId="425218C5" w14:textId="77777777" w:rsidR="00A623E5" w:rsidRPr="00A623E5" w:rsidRDefault="00A623E5" w:rsidP="00A623E5">
      <w:pPr>
        <w:pStyle w:val="Heading1"/>
      </w:pPr>
      <w:bookmarkStart w:id="3" w:name="_Toc237105728"/>
      <w:bookmarkStart w:id="4" w:name="_Toc237601789"/>
      <w:r w:rsidRPr="00A623E5">
        <w:t>2. Main Body and Analysis</w:t>
      </w:r>
      <w:bookmarkEnd w:id="3"/>
      <w:bookmarkEnd w:id="4"/>
    </w:p>
    <w:p w14:paraId="628D0FFC" w14:textId="295BCB5F" w:rsidR="00A623E5" w:rsidRPr="00A623E5" w:rsidRDefault="00A623E5" w:rsidP="00A623E5">
      <w:pPr>
        <w:pStyle w:val="Heading2"/>
      </w:pPr>
      <w:bookmarkStart w:id="5" w:name="_Toc237105729"/>
      <w:bookmarkStart w:id="6" w:name="_Toc237601790"/>
      <w:r>
        <w:t xml:space="preserve">2.1 </w:t>
      </w:r>
      <w:r w:rsidRPr="00A623E5">
        <w:t>Overview of the Case Study</w:t>
      </w:r>
      <w:bookmarkEnd w:id="5"/>
      <w:bookmarkEnd w:id="6"/>
    </w:p>
    <w:p w14:paraId="58AB2F41" w14:textId="28AF9FEB"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Patient X was admitted to </w:t>
      </w:r>
      <w:r>
        <w:rPr>
          <w:rFonts w:ascii="Arial" w:hAnsi="Arial" w:cs="Arial"/>
          <w:sz w:val="22"/>
          <w:szCs w:val="22"/>
        </w:rPr>
        <w:t xml:space="preserve">the </w:t>
      </w:r>
      <w:r w:rsidRPr="00A623E5">
        <w:rPr>
          <w:rFonts w:ascii="Arial" w:hAnsi="Arial" w:cs="Arial"/>
          <w:sz w:val="22"/>
          <w:szCs w:val="22"/>
        </w:rPr>
        <w:t>hospital through the emergency department with symptoms of shortness of breath and recurrent nosebleeds while receiving apixaban, an oral anticoagulant prescribed to reduce the risk of thromboembolic events such as stroke. Due to the active bleeding, the medical team made the clinical decision to discontinue apixaban while further investigations were undertaken temporarily, and the patient awaited a planned medical procedure. This initial decision reflected the need to balance the immediate risk of continued bleeding against the benefits of anticoagulation therapy (Keeling, Tait and Watson, 2016).</w:t>
      </w:r>
    </w:p>
    <w:p w14:paraId="3A40C25B"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During the patient's admission, the planned procedure was repeatedly delayed, resulting in apixaban being withheld for a total of ten days. Although the medication was intended to be restarted after the procedure, it was not. Two days after the procedure, Patient X experienced </w:t>
      </w:r>
      <w:r w:rsidRPr="00A623E5">
        <w:rPr>
          <w:rFonts w:ascii="Arial" w:hAnsi="Arial" w:cs="Arial"/>
          <w:sz w:val="22"/>
          <w:szCs w:val="22"/>
        </w:rPr>
        <w:lastRenderedPageBreak/>
        <w:t>an acute stroke and subsequently died. The investigation concluded that the prolonged interruption of anticoagulation therapy, together with the failure to restart the medication, significantly increased the patient's risk of thromboembolic complications and contributed to the adverse outcome (Health Services Safety Investigations Body, 2025).</w:t>
      </w:r>
    </w:p>
    <w:p w14:paraId="616CEC8E" w14:textId="74D7C528"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This case illustrates the complexity of managing anticoagulant therapy in hospital settings, where healthcare professionals </w:t>
      </w:r>
      <w:r w:rsidR="006D1B61">
        <w:rPr>
          <w:rFonts w:ascii="Arial" w:hAnsi="Arial" w:cs="Arial"/>
          <w:sz w:val="22"/>
          <w:szCs w:val="22"/>
        </w:rPr>
        <w:t>must</w:t>
      </w:r>
      <w:r w:rsidRPr="00A623E5">
        <w:rPr>
          <w:rFonts w:ascii="Arial" w:hAnsi="Arial" w:cs="Arial"/>
          <w:sz w:val="22"/>
          <w:szCs w:val="22"/>
        </w:rPr>
        <w:t xml:space="preserve"> make dynamic clinical decisions while balancing competing risks. It also highlights the importance of effective communication, multidisciplinary collaboration, accurate documentation, and ongoing medication review throughout a patient's hospital stay. Rather than resulting from a single error, the incident demonstrates how multiple clinical and organisational factors interacted over time, ultimately leading to a preventable patient safety event. The following sections critically analyse these factors through the application of leadership theories, clinical governance, systems thinking, and evidence-based practice.</w:t>
      </w:r>
    </w:p>
    <w:p w14:paraId="2ABBF913" w14:textId="0FF58C30" w:rsidR="00A623E5" w:rsidRPr="00A623E5" w:rsidRDefault="00A623E5" w:rsidP="00A623E5">
      <w:pPr>
        <w:pStyle w:val="Heading2"/>
      </w:pPr>
      <w:bookmarkStart w:id="7" w:name="_Toc237105730"/>
      <w:bookmarkStart w:id="8" w:name="_Toc237601791"/>
      <w:r>
        <w:t>2.2.</w:t>
      </w:r>
      <w:r w:rsidRPr="00A623E5">
        <w:t>Clinical background and significance of anticoagulation</w:t>
      </w:r>
      <w:bookmarkEnd w:id="7"/>
      <w:bookmarkEnd w:id="8"/>
    </w:p>
    <w:p w14:paraId="084F208D" w14:textId="7DDA0504"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Patient X received apixaban for atrial fibrillation (AF), a condition associated with an increased risk of thrombus formation, systemic embolism and ischaemic stroke (National Institute for Health and Care Excellence, 2021; NHS, 2021b). Apixaban is a direct oral anticoagulant that inhibits factor Xa. Although it does not require routine INR monitoring, the risk of bleeding remains clinically important, particularly in older adults and those with renal impairment, low body weight or concurrent medicines that affect haemostasis (Bristol-Myers Squibb-Pfizer, 2024). During </w:t>
      </w:r>
      <w:r w:rsidR="0031786D">
        <w:rPr>
          <w:rFonts w:ascii="Arial" w:hAnsi="Arial" w:cs="Arial"/>
          <w:sz w:val="22"/>
          <w:szCs w:val="22"/>
        </w:rPr>
        <w:t>admission, Patient X's epistaxis resolved; however, apixaban was withheld due to</w:t>
      </w:r>
      <w:r w:rsidRPr="00A623E5">
        <w:rPr>
          <w:rFonts w:ascii="Arial" w:hAnsi="Arial" w:cs="Arial"/>
          <w:sz w:val="22"/>
          <w:szCs w:val="22"/>
        </w:rPr>
        <w:t xml:space="preserve"> a possible pleural procedure. There was no clear documentation of a revised risk assessment, the required interruption period, responsibility for restarting treatment or whether bridging anticoagulation was necessary (Keeling, Tait and Watson, 2016; Saja, 2022).</w:t>
      </w:r>
    </w:p>
    <w:p w14:paraId="5EA0821C" w14:textId="1254F3C9" w:rsidR="00A623E5" w:rsidRPr="00A623E5" w:rsidRDefault="00A623E5" w:rsidP="00A623E5">
      <w:pPr>
        <w:pStyle w:val="Heading2"/>
      </w:pPr>
      <w:bookmarkStart w:id="9" w:name="_Toc237105731"/>
      <w:bookmarkStart w:id="10" w:name="_Toc237601792"/>
      <w:r>
        <w:t xml:space="preserve">2.3 </w:t>
      </w:r>
      <w:r w:rsidRPr="00A623E5">
        <w:t>Clinical Decision-Making and Anticoagulation Management</w:t>
      </w:r>
      <w:bookmarkEnd w:id="9"/>
      <w:bookmarkEnd w:id="10"/>
    </w:p>
    <w:p w14:paraId="4EAC518D"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Patient X's nasal bleeding did not continue throughout the admission, but the original instruction to pause apixaban persisted. The medication therefore appears to have moved from being withheld because of active bleeding to being withheld for a possible procedure, without a clearly recorded transition or revised risk assessment (Health Services Safety Investigations Body, 2025).</w:t>
      </w:r>
    </w:p>
    <w:p w14:paraId="43C15ED8"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Risk-assessment tools can inform, but should not replace, clinical judgement. Patient X's AF, heart failure, hypertension and advanced age indicated a substantial thromboembolic risk. His childhood history of rheumatic fever also raised the possibility of rheumatic valvular disease, although this had not been confirmed. This was clinically relevant because valvular AF may carry an increased thromboembolic risk and require specialist assessment. Consequently, any </w:t>
      </w:r>
      <w:r w:rsidRPr="00A623E5">
        <w:rPr>
          <w:rFonts w:ascii="Arial" w:hAnsi="Arial" w:cs="Arial"/>
          <w:sz w:val="22"/>
          <w:szCs w:val="22"/>
        </w:rPr>
        <w:lastRenderedPageBreak/>
        <w:t>decision to interrupt anticoagulation should have balanced the immediate bleeding and procedural risks against the potential consequences of prolonged treatment interruption (Keeling, Tait and Watson, 2016).</w:t>
      </w:r>
    </w:p>
    <w:p w14:paraId="6C606F64" w14:textId="7C30A55D" w:rsidR="00A623E5" w:rsidRPr="00A623E5" w:rsidRDefault="00A623E5" w:rsidP="00A623E5">
      <w:pPr>
        <w:pStyle w:val="Heading2"/>
      </w:pPr>
      <w:bookmarkStart w:id="11" w:name="_Toc237105732"/>
      <w:bookmarkStart w:id="12" w:name="_Toc237601793"/>
      <w:r>
        <w:t xml:space="preserve">2.4 </w:t>
      </w:r>
      <w:r w:rsidRPr="00A623E5">
        <w:t>Dynamic Risk Assessment and Decision-Making</w:t>
      </w:r>
      <w:bookmarkEnd w:id="11"/>
      <w:bookmarkEnd w:id="12"/>
    </w:p>
    <w:p w14:paraId="4A9E30E2"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An essential learning point is that medication decisions are time-dependent and must be reviewed as the clinical situation changes. On admission, the balance of risk favoured temporarily withholding apixaban because Patient X was actively bleeding. Once the nasal packing had been removed and the bleeding had stopped, that balance changed. It changed again when the proposed pleural procedure was delayed. Each development should have prompted and been supported by a documented reassessment of whether anticoagulation should remain paused, as a decision that is safe at one stage of an admission may become unsafe when the patient's condition, timescale or treatment plan changes.</w:t>
      </w:r>
    </w:p>
    <w:p w14:paraId="31C63AF9"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Dynamic risk assessment requires clinicians to reconsider whether the patient is still bleeding, whether and when the procedure will take place, how long the anticoagulant must be withheld, the patient's individual risk of stroke, whether bridging treatment is indicated and who is responsible for restarting anticoagulation (Lester et al., 2024). Although Patient X's nasal bleeding did not continue throughout the admission, the original instruction to withhold apixaban remained in place. The rationale therefore appears to have shifted from active bleeding to preparation for a possible procedure without a clearly documented transition, revised risk assessment or restart plan. This illustrates the importance of regular multidisciplinary review, clear allocation of responsibility and explicit documentation whenever anticoagulant therapy is interrupted (Asciak et al., 2023; Roberts et al., 2023).</w:t>
      </w:r>
    </w:p>
    <w:p w14:paraId="1CD13960" w14:textId="04941612" w:rsidR="00A623E5" w:rsidRPr="00A623E5" w:rsidRDefault="00FB431C" w:rsidP="00FB431C">
      <w:pPr>
        <w:pStyle w:val="Heading1"/>
      </w:pPr>
      <w:bookmarkStart w:id="13" w:name="_Toc237105733"/>
      <w:bookmarkStart w:id="14" w:name="_Toc237601794"/>
      <w:r>
        <w:t>3.</w:t>
      </w:r>
      <w:r w:rsidR="00A57920">
        <w:t xml:space="preserve"> </w:t>
      </w:r>
      <w:r w:rsidR="00A623E5" w:rsidRPr="00A623E5">
        <w:t>Identifying the Problem and Setting the System Context: Applying Systems Thinking and the Rich Picture</w:t>
      </w:r>
      <w:bookmarkEnd w:id="13"/>
      <w:bookmarkEnd w:id="14"/>
    </w:p>
    <w:p w14:paraId="2192E654" w14:textId="43B2BE41"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The central issue in Patient X's case was the prolonged omission of essential anticoagulation and the failure to </w:t>
      </w:r>
      <w:r w:rsidR="006D1B61">
        <w:rPr>
          <w:rFonts w:ascii="Arial" w:hAnsi="Arial" w:cs="Arial"/>
          <w:sz w:val="22"/>
          <w:szCs w:val="22"/>
        </w:rPr>
        <w:t>promptly restart it</w:t>
      </w:r>
      <w:r w:rsidRPr="00A623E5">
        <w:rPr>
          <w:rFonts w:ascii="Arial" w:hAnsi="Arial" w:cs="Arial"/>
          <w:sz w:val="22"/>
          <w:szCs w:val="22"/>
        </w:rPr>
        <w:t>. Patient X had atrial fibrillation (AF) and was taking apixaban to reduce his risk of thromboembolic stroke. During admission to a UK hospital, apixaban was withheld in preparation for a pleural procedure because continuing anticoagulation could have increased the risk of bleeding. However, repeated postponements meant that Patient X remained without anticoagulation for approximately ten days (Health Services Safety Investigations Body, 2025).</w:t>
      </w:r>
    </w:p>
    <w:p w14:paraId="1B9ADED0"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Following the procedure, a doctor documented that apixaban should be restarted if blood tests showed that Patient X's haemoglobin was stable. Although the results supported restarting treatment, no prescription was issued. Apixaban remained omitted for a further two days, after </w:t>
      </w:r>
      <w:r w:rsidRPr="00A623E5">
        <w:rPr>
          <w:rFonts w:ascii="Arial" w:hAnsi="Arial" w:cs="Arial"/>
          <w:sz w:val="22"/>
          <w:szCs w:val="22"/>
        </w:rPr>
        <w:lastRenderedPageBreak/>
        <w:t>which Patient X experienced an acute ischaemic stroke and subsequently died. The incident should therefore be classified as a prolonged medication omission and failure to restart treatment, rather than as an incorrect dose or a delay in administering an existing prescription.</w:t>
      </w:r>
    </w:p>
    <w:p w14:paraId="1F62912E"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event cannot be explained adequately as an individual doctor's oversight. It resulted from several interacting system weaknesses, including procedural delays, fragmented communication, unclear responsibility, insufficient medication review and the lack of an effective process for detecting the prolonged omission of a high-risk medicine.</w:t>
      </w:r>
    </w:p>
    <w:p w14:paraId="23684D5B"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clinical importance of this omission relates to the thromboembolic risk associated with AF. The abnormal rhythm can cause blood to pool within the atria, promoting clot formation. If a clot enters the circulation and blocks an artery supplying the brain, an ischaemic stroke may occur. NHS sources report that people with AF are approximately five times more likely to experience a stroke than the general population (NHS, 2021b), and national analyses estimate that, if AF were consistently identified and adequately treated with anticoagulation, around 7,000 strokes and more than 2,000 deaths could be prevented annually in England (Stroke Association, 2023). NHS England has separately reported that an accelerated rollout of anticoagulant prescribing since 2022 is estimated to have already prevented around 17,000 strokes and 4,000 deaths nationally, underlining both the scale of the benefit these medicines provide and the scale of harm that follows when their use is interrupted without adequate review (NHS England, 2023). Patient X's death therefore illustrates a wider and nationally significant patient-safety concern.</w:t>
      </w:r>
    </w:p>
    <w:p w14:paraId="736C6603"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Apixaban is a direct oral anticoagulant that inhibits factor Xa, thereby reducing the likelihood of stroke and systemic embolism in eligible patients with AF. NICE recommends direct oral anticoagulants for people whose assessed thromboembolic risk indicates that anticoagulation is required (National Institute for Health and Care Excellence, 2021). Although apixaban does not usually require routine international normalised ratio monitoring, its anticoagulant effect reduces relatively quickly when treatment is interrupted. Patients may consequently lose protection against thromboembolism within a short period.</w:t>
      </w:r>
    </w:p>
    <w:p w14:paraId="209265A5"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Anticoagulation decisions must nevertheless balance the danger of stroke against the possibility of bleeding. Bleeding risk may be increased by factors such as advanced age, renal impairment, low body weight, anaemia and medicines that interfere with haemostasis (Bristol-Myers Squibb-Pfizer, 2024; Lester et al., 2024). Temporarily withholding apixaban for Patient X's procedure may therefore have been appropriate. The principal safety failure was the absence of a clearly documented interruption plan that was reviewed whenever the procedure was postponed and implemented as soon as anticoagulation could safely resume.</w:t>
      </w:r>
    </w:p>
    <w:p w14:paraId="2B523BA4"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lastRenderedPageBreak/>
        <w:t>Medication omissions are a recognised source of preventable harm internationally. At the global level, WHO's Medication Without Harm programme estimates that medication errors cost health systems around US$42 billion a year and affect roughly 5% of hospital admissions worldwide, with error rates even higher in low- and middle-income countries (World Health Organization, 2017). This shows that the failure to restart Patient X's anticoagulant reflects a well-known, global weakness in how medicines are managed, not a one-off mistake.</w:t>
      </w:r>
    </w:p>
    <w:p w14:paraId="0CC6CE1C" w14:textId="0F891EF3"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At the national level, NHS data </w:t>
      </w:r>
      <w:r>
        <w:rPr>
          <w:rFonts w:ascii="Arial" w:hAnsi="Arial" w:cs="Arial"/>
          <w:sz w:val="22"/>
          <w:szCs w:val="22"/>
        </w:rPr>
        <w:t>confirm this trend</w:t>
      </w:r>
      <w:r w:rsidRPr="00A623E5">
        <w:rPr>
          <w:rFonts w:ascii="Arial" w:hAnsi="Arial" w:cs="Arial"/>
          <w:sz w:val="22"/>
          <w:szCs w:val="22"/>
        </w:rPr>
        <w:t>. An estimated 237 million medication errors occur in England every year, of which 66 million are potentially harmful, and around 1,708 deaths a year are linked to avoidable adverse drug events (Elliott et al., 2021). Anticoagulants, alongside insulin and opioids, are consistently flagged as one of the highest-risk medicine groups in current UK safety guidance (Institute for Safe Medication Practices, 2024). Together, these global and national figures show that Patient X's case is not an isolated failure but a clear example of a widely recognised patient safety problem.</w:t>
      </w:r>
    </w:p>
    <w:p w14:paraId="41DDBF3F"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Systems thinking helps explain how conditions at several levels combined to produce the outcome. At the patient level, clinicians had to manage competing bleeding and stroke risks. At the task level, safe care depended on documenting why apixaban was withheld, specifying a review or restart date, communicating procedural changes, reviewing haemoglobin results and completing a new prescription. At the team level, responsibility was shared between ward doctors, nurses, pharmacists, the pleural team and senior clinical decision-makers. Organisational influences may have included staffing pressures, workload, handover arrangements, electronic-prescribing design and limited access to current procedural information (Health Services Safety Investigations Body, 2025). Although each weakness might have appeared manageable in isolation, their interaction removed multiple layers of protection. This kind of multi-level analysis reflects the wider evidence base on applying soft systems methodology (SSM) in healthcare, which shows that complex, unstructured problem situations of this kind are best understood by mapping the interacting perspectives of patients, staff and organisational structures rather than searching for a single root cause (Augustsson, Churruca and Braithwaite, 2019).</w:t>
      </w:r>
    </w:p>
    <w:p w14:paraId="04902210" w14:textId="1A411AD7" w:rsidR="00A623E5" w:rsidRDefault="00A623E5" w:rsidP="00A623E5">
      <w:pPr>
        <w:spacing w:line="360" w:lineRule="auto"/>
        <w:jc w:val="both"/>
        <w:rPr>
          <w:rFonts w:ascii="Arial" w:hAnsi="Arial" w:cs="Arial"/>
          <w:sz w:val="22"/>
          <w:szCs w:val="22"/>
        </w:rPr>
      </w:pPr>
      <w:r w:rsidRPr="00A623E5">
        <w:rPr>
          <w:rFonts w:ascii="Arial" w:hAnsi="Arial" w:cs="Arial"/>
          <w:sz w:val="22"/>
          <w:szCs w:val="22"/>
        </w:rPr>
        <w:t>A Rich Picture, illustrated in Figure 1, places Patient X at the centre of the system, surrounded by the emergency department, the AMU ward round, the acute general medicine ward, bed and capacity management, the respiratory procedure team, the ePMA and pharmacy systems, and his family</w:t>
      </w:r>
      <w:r>
        <w:rPr>
          <w:rFonts w:ascii="Arial" w:hAnsi="Arial" w:cs="Arial"/>
          <w:sz w:val="22"/>
          <w:szCs w:val="22"/>
        </w:rPr>
        <w:t xml:space="preserve"> </w:t>
      </w:r>
      <w:r w:rsidRPr="00A623E5">
        <w:rPr>
          <w:rFonts w:ascii="Arial" w:hAnsi="Arial" w:cs="Arial"/>
          <w:sz w:val="22"/>
          <w:szCs w:val="22"/>
        </w:rPr>
        <w:t xml:space="preserve">(Health Services Safety Investigations Body, 2025). </w:t>
      </w:r>
    </w:p>
    <w:p w14:paraId="2C844AF7" w14:textId="53A53932" w:rsidR="00A623E5" w:rsidRDefault="00A623E5" w:rsidP="00A623E5">
      <w:pPr>
        <w:spacing w:line="360" w:lineRule="auto"/>
        <w:jc w:val="center"/>
        <w:rPr>
          <w:rFonts w:ascii="Arial" w:hAnsi="Arial" w:cs="Arial"/>
          <w:sz w:val="22"/>
          <w:szCs w:val="22"/>
        </w:rPr>
      </w:pPr>
      <w:r>
        <w:rPr>
          <w:noProof/>
        </w:rPr>
        <w:lastRenderedPageBreak/>
        <w:drawing>
          <wp:inline distT="0" distB="0" distL="0" distR="0" wp14:anchorId="388C74F9" wp14:editId="55EEE101">
            <wp:extent cx="4383156" cy="80391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439989" cy="8143386"/>
                    </a:xfrm>
                    <a:prstGeom prst="rect">
                      <a:avLst/>
                    </a:prstGeom>
                  </pic:spPr>
                </pic:pic>
              </a:graphicData>
            </a:graphic>
          </wp:inline>
        </w:drawing>
      </w:r>
    </w:p>
    <w:p w14:paraId="165D0D3D" w14:textId="77B52407" w:rsidR="00A623E5" w:rsidRDefault="00A623E5" w:rsidP="00A623E5">
      <w:pPr>
        <w:spacing w:line="360" w:lineRule="auto"/>
        <w:jc w:val="both"/>
        <w:rPr>
          <w:rFonts w:ascii="Arial" w:hAnsi="Arial" w:cs="Arial"/>
          <w:sz w:val="18"/>
          <w:szCs w:val="18"/>
        </w:rPr>
      </w:pPr>
      <w:r w:rsidRPr="00A623E5">
        <w:rPr>
          <w:rFonts w:ascii="Arial" w:hAnsi="Arial" w:cs="Arial"/>
          <w:sz w:val="18"/>
          <w:szCs w:val="18"/>
        </w:rPr>
        <w:t>Figure 1: Rich picture of the actors, processes, conflicts and communication gaps surrounding Patient X's care, days 1 to 14</w:t>
      </w:r>
      <w:r>
        <w:rPr>
          <w:rFonts w:ascii="Arial" w:hAnsi="Arial" w:cs="Arial"/>
          <w:sz w:val="18"/>
          <w:szCs w:val="18"/>
        </w:rPr>
        <w:t xml:space="preserve"> </w:t>
      </w:r>
      <w:r w:rsidRPr="00A623E5">
        <w:rPr>
          <w:rFonts w:ascii="Arial" w:hAnsi="Arial" w:cs="Arial"/>
          <w:sz w:val="18"/>
          <w:szCs w:val="18"/>
        </w:rPr>
        <w:t>(Augustsson, Churruca and Braithwaite, 2019).</w:t>
      </w:r>
    </w:p>
    <w:p w14:paraId="1604DD29" w14:textId="77777777" w:rsidR="00A623E5" w:rsidRPr="00A623E5" w:rsidRDefault="00A623E5" w:rsidP="00A623E5">
      <w:pPr>
        <w:spacing w:line="360" w:lineRule="auto"/>
        <w:jc w:val="both"/>
        <w:rPr>
          <w:rFonts w:ascii="Arial" w:hAnsi="Arial" w:cs="Arial"/>
          <w:sz w:val="18"/>
          <w:szCs w:val="18"/>
        </w:rPr>
      </w:pPr>
    </w:p>
    <w:p w14:paraId="32C58CCE" w14:textId="5B235CB2"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lastRenderedPageBreak/>
        <w:t xml:space="preserve">Clinical governance requires healthcare organisations to support evidence-based practice, risk management, incident reporting, audit and continuous improvement (Care Quality Commission, 2025; General Medical Council, 2024). Relevant safeguards could include mandatory recording of the reason for withholding a direct oral anticoagulant, a planned review or restart date, and a named responsible clinician. Omitted high-risk medicines should be reviewed during daily multidisciplinary meetings, supported by electronic alerts when an omission continues beyond an agreed period (Institute for Safe Medication Practices, 2024). </w:t>
      </w:r>
      <w:r w:rsidR="006A187D">
        <w:rPr>
          <w:rFonts w:ascii="Arial" w:hAnsi="Arial" w:cs="Arial"/>
          <w:sz w:val="22"/>
          <w:szCs w:val="22"/>
        </w:rPr>
        <w:t>Pharmacists</w:t>
      </w:r>
      <w:r w:rsidRPr="00A623E5">
        <w:rPr>
          <w:rFonts w:ascii="Arial" w:hAnsi="Arial" w:cs="Arial"/>
          <w:sz w:val="22"/>
          <w:szCs w:val="22"/>
        </w:rPr>
        <w:t xml:space="preserve"> should have a formal escalation pathway, while every procedural postponement should trigger reassessment of whether anticoagulation must remain withheld. Nurses should also be supported to question prolonged omissions and escalate concerns.</w:t>
      </w:r>
    </w:p>
    <w:p w14:paraId="07FA705D" w14:textId="77777777" w:rsidR="00FB431C" w:rsidRDefault="00A623E5" w:rsidP="00FB431C">
      <w:pPr>
        <w:spacing w:line="360" w:lineRule="auto"/>
        <w:jc w:val="both"/>
        <w:rPr>
          <w:rFonts w:ascii="Arial" w:hAnsi="Arial" w:cs="Arial"/>
          <w:sz w:val="22"/>
          <w:szCs w:val="22"/>
        </w:rPr>
      </w:pPr>
      <w:r w:rsidRPr="00A623E5">
        <w:rPr>
          <w:rFonts w:ascii="Arial" w:hAnsi="Arial" w:cs="Arial"/>
          <w:sz w:val="22"/>
          <w:szCs w:val="22"/>
        </w:rPr>
        <w:t>Leadership is required at both clinical and organisational levels. Senior clinicians must allocate responsibility, support reliable handovers and ensure that decisions reflect the patient's individual bleeding and thromboembolic risks. A just-culture investigation should examine the working conditions and system barriers that prevented apixaban from being restarted, rather than attributing the outcome solely to individual negligence, an approach consistent with the resilient-systems (CARe-QI) model that HSSIB itself used to analyse this case (Anderson and Ross, 2020; Health Services Safety Investigations Body, 2025). Patient X's case demonstrates that anticoagulation safety depends on effective coordination between professionals, technology, policies and clinical workflows. Prevention therefore requires a system in which prolonged omissions are visible, reviewed and escalated before they result in catastrophic harm.</w:t>
      </w:r>
      <w:bookmarkStart w:id="15" w:name="_Toc237105734"/>
    </w:p>
    <w:p w14:paraId="1F5F9313" w14:textId="1F36EF4D" w:rsidR="00A623E5" w:rsidRPr="00FB431C" w:rsidRDefault="00FB431C" w:rsidP="00FB431C">
      <w:pPr>
        <w:pStyle w:val="Heading1"/>
        <w:rPr>
          <w:rFonts w:cs="Arial"/>
          <w:sz w:val="22"/>
          <w:szCs w:val="22"/>
        </w:rPr>
      </w:pPr>
      <w:bookmarkStart w:id="16" w:name="_Toc237601795"/>
      <w:r w:rsidRPr="00FB431C">
        <w:rPr>
          <w:rFonts w:cs="Arial"/>
          <w:szCs w:val="32"/>
        </w:rPr>
        <w:t>4</w:t>
      </w:r>
      <w:r>
        <w:rPr>
          <w:rFonts w:cs="Arial"/>
          <w:sz w:val="22"/>
          <w:szCs w:val="22"/>
        </w:rPr>
        <w:t>.</w:t>
      </w:r>
      <w:r w:rsidR="00A623E5">
        <w:t xml:space="preserve"> </w:t>
      </w:r>
      <w:r w:rsidR="00A623E5" w:rsidRPr="00A623E5">
        <w:t>Centralisation or Decentralisation within the Case Study</w:t>
      </w:r>
      <w:bookmarkEnd w:id="15"/>
      <w:bookmarkEnd w:id="16"/>
    </w:p>
    <w:p w14:paraId="309A0FB4"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case study organisation operates through a hybrid system in which strategic authority is centralised, while day-to-day clinical decision-making is decentralised. Senior management, medicines-governance committees and hospital policies establish standard procedures for anticoagulation, bleeding and invasive procedures, providing consistency, accountability and reduced medication error; however, excessive centralisation can delay decisions and may not respond adequately to rapidly changing patient needs (NHS England Digital, 2024). At ward level, authority is distributed among doctors, pharmacists, nurses, specialists and procedural teams, allowing those closest to Patient X to use current clinical information and professional judgement, although decentralisation can result in fragmented communication, unclear responsibility and inconsistent documentation (Zamboni et al., 2020).</w:t>
      </w:r>
    </w:p>
    <w:p w14:paraId="21593107"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Patient X's treatment demonstrates why dynamic risk assessment is essential because medication decisions are time dependent. On admission, the immediate risk of active bleeding </w:t>
      </w:r>
      <w:r w:rsidRPr="00A623E5">
        <w:rPr>
          <w:rFonts w:ascii="Arial" w:hAnsi="Arial" w:cs="Arial"/>
          <w:sz w:val="22"/>
          <w:szCs w:val="22"/>
        </w:rPr>
        <w:lastRenderedPageBreak/>
        <w:t>outweighed the protective benefit of apixaban, so temporarily withholding it was appropriate. Once the nasal packing had been removed and the bleeding had stopped, the balance of risk changed, and anticoagulation should have been reassessed. When the pleural procedure was subsequently delayed, the risk-benefit balance changed again because the patient remained without anticoagulant protection for longer than initially intended. Each change should therefore have triggered a documented multidisciplinary review of whether apixaban should remain paused, supported by information such as bleeding status, haemoglobin levels, renal function, thromboembolic risk, the timing of the last dose and the revised procedure date (Lester et al., 2024).</w:t>
      </w:r>
    </w:p>
    <w:p w14:paraId="75BA9BB4"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advantage of distributed clinical authority is that decisions can be adapted quickly to these changing data, but its disadvantage is that reassessment may be missed when responsibility passes between teams, a tension well documented in the wider literature on distributed leadership in complex, cross-professional healthcare settings, where aligned distributed leadership improves shared ownership of a problem but depends on hierarchical support and clear coordination to be effective (Zamboni et al., 2020). Consequently, safe care requires centrally defined escalation and documentation procedures alongside clearly allocated local responsibility, demonstrating that a decision considered safe at one stage of admission may become unsafe when the patient's condition, timescale or treatment plan changes.</w:t>
      </w:r>
    </w:p>
    <w:p w14:paraId="12F43125" w14:textId="6F3AFBA7" w:rsidR="00A623E5" w:rsidRPr="00A623E5" w:rsidRDefault="00FB431C" w:rsidP="00FB431C">
      <w:pPr>
        <w:pStyle w:val="Heading1"/>
      </w:pPr>
      <w:bookmarkStart w:id="17" w:name="_Toc237105735"/>
      <w:bookmarkStart w:id="18" w:name="_Toc237601796"/>
      <w:r>
        <w:t>5.</w:t>
      </w:r>
      <w:r w:rsidR="00A623E5" w:rsidRPr="00A623E5">
        <w:t>Leadership Theories and Application to the Case Study</w:t>
      </w:r>
      <w:bookmarkEnd w:id="17"/>
      <w:bookmarkEnd w:id="18"/>
    </w:p>
    <w:p w14:paraId="3D0E095F"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Patient X's omitted anticoagulant treatment, subsequent stroke and death should be viewed as a system-wide failure rather than the fault of one clinician. Transformational leadership could establish a shared safety culture in which unexplained interruptions of high-risk medicines are questioned and promptly escalated (West, 2021). Distributed leadership would enable nurses, pharmacists, doctors and governance teams to identify prolonged omissions, challenge incomplete documentation and introduce effective electronic alerts (Zamboni et al., 2020). Situational leadership would support collaborative working during routine care but require decisive action when repeated omissions create an immediate risk, adapting the leader's approach to the readiness of the team and the urgency of the moment (Alsaqqa, 2020).</w:t>
      </w:r>
    </w:p>
    <w:p w14:paraId="5E8A4C70"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Leadership effectiveness should be evaluated through evidence, including rates of unexplained anticoagulant omissions, response times to alerts, pharmacist interventions, staff confidence in speaking up and medication-related harm. A recent systematic review of hospital leadership styles found that relational, transformational and distributed approaches were most consistently associated with improved patient safety indicators, while purely transactional, </w:t>
      </w:r>
      <w:r w:rsidRPr="00A623E5">
        <w:rPr>
          <w:rFonts w:ascii="Arial" w:hAnsi="Arial" w:cs="Arial"/>
          <w:sz w:val="22"/>
          <w:szCs w:val="22"/>
        </w:rPr>
        <w:lastRenderedPageBreak/>
        <w:t>compliance-driven approaches performed less well in detecting slowly developing risks of exactly this kind (Buttigieg et al., 2023). Leaders must also communicate openly and compassionately with the patient's family, fulfil relevant duty-of-candour requirements and include the family in the investigation (Care Quality Commission, 2025).</w:t>
      </w:r>
    </w:p>
    <w:p w14:paraId="7AA3571A" w14:textId="57FAEB56"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A just-culture approach should examine contributory factors such as staffing, framework, handovers, professional hierarchy, electronic systems and governance processes. Combining transformational, distributed and situational leadership provides a balanced response by establishing a safety vision, sharing responsibility and ensuring urgent action when patient safety is threatened.</w:t>
      </w:r>
    </w:p>
    <w:p w14:paraId="6751684B" w14:textId="0D281B0D" w:rsidR="00A623E5" w:rsidRPr="00A623E5" w:rsidRDefault="005564BF" w:rsidP="005564BF">
      <w:pPr>
        <w:pStyle w:val="Heading2"/>
      </w:pPr>
      <w:bookmarkStart w:id="19" w:name="_Toc237105736"/>
      <w:bookmarkStart w:id="20" w:name="_Toc237601797"/>
      <w:r>
        <w:t>5.1.</w:t>
      </w:r>
      <w:r w:rsidRPr="00A623E5">
        <w:t xml:space="preserve"> Leadership</w:t>
      </w:r>
      <w:r w:rsidR="00A623E5" w:rsidRPr="00A623E5">
        <w:t xml:space="preserve"> and clinical governance</w:t>
      </w:r>
      <w:bookmarkEnd w:id="19"/>
      <w:bookmarkEnd w:id="20"/>
    </w:p>
    <w:p w14:paraId="391AFC02" w14:textId="3B399762"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Transformational leadership promotes a shared vision and a culture in which patient safety is a collective responsibility (West, 2021). In Patient X's case, leaders should have made clear that repeated omission of a high-risk medicine was a serious clinical concern rather than an administrative matter. Staff should have been empowered to question unclear decisions, challenge delays</w:t>
      </w:r>
      <w:r w:rsidR="006D1B61">
        <w:rPr>
          <w:rFonts w:ascii="Arial" w:hAnsi="Arial" w:cs="Arial"/>
          <w:sz w:val="22"/>
          <w:szCs w:val="22"/>
        </w:rPr>
        <w:t>,</w:t>
      </w:r>
      <w:r w:rsidRPr="00A623E5">
        <w:rPr>
          <w:rFonts w:ascii="Arial" w:hAnsi="Arial" w:cs="Arial"/>
          <w:sz w:val="22"/>
          <w:szCs w:val="22"/>
        </w:rPr>
        <w:t xml:space="preserve"> and escalate risks across professional boundaries. Interrupting anticoagulation can increase the likelihood of thromboembolism and stroke; therefore, recording a medicine as "paused" was insufficient without documenting the reason and intended review or restart date.</w:t>
      </w:r>
    </w:p>
    <w:p w14:paraId="5B42AEBE" w14:textId="4B7B1061" w:rsidR="00A623E5" w:rsidRPr="00A623E5" w:rsidRDefault="005564BF" w:rsidP="00A623E5">
      <w:pPr>
        <w:pStyle w:val="Heading2"/>
      </w:pPr>
      <w:bookmarkStart w:id="21" w:name="_Toc237105737"/>
      <w:bookmarkStart w:id="22" w:name="_Toc237601798"/>
      <w:r>
        <w:t>5.2</w:t>
      </w:r>
      <w:r w:rsidR="00A623E5">
        <w:t xml:space="preserve"> </w:t>
      </w:r>
      <w:r w:rsidR="00A623E5" w:rsidRPr="00A623E5">
        <w:t>Human factors, workload and staffing</w:t>
      </w:r>
      <w:bookmarkEnd w:id="21"/>
      <w:bookmarkEnd w:id="22"/>
    </w:p>
    <w:p w14:paraId="28369CF2"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Situational leadership offers a complementary perspective because the leadership approach should reflect the urgency of the circumstances and staff capability (Alsaqqa, 2020). Collaborative decision-making may be suitable during routine care, but repeated omissions require decisive action, including urgent medical review, clarification of the rationale and an agreed treatment plan. Workforce pressure is a documented contributory factor in cases of this kind: national workforce data show that, even as overall staff numbers have grown, specific specialty and coordination roles remain under sustained pressure across the NHS (Nuffield Trust, 2026), a pattern consistent with the loss of the specialist pleural nursing and administrative support that HSSIB identified as contributing to the delay in Patient X's care (Health Services Safety Investigations Body, 2025), and with the wider case made by the Royal College of Physicians for adequate medical staffing to support safe decision-making (Royal College of Physicians, 2018).</w:t>
      </w:r>
    </w:p>
    <w:p w14:paraId="522FB54C"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Following serious harm, leadership should remain compassionate while ensuring a structured and impartial investigation. Communication with Patient X's family should have been honest, sensitive and transparent. Where applicable, the organisation's duty of candour required timely acknowledgement of the incident, a clear explanation of known facts and uncertainties, </w:t>
      </w:r>
      <w:r w:rsidRPr="00A623E5">
        <w:rPr>
          <w:rFonts w:ascii="Arial" w:hAnsi="Arial" w:cs="Arial"/>
          <w:sz w:val="22"/>
          <w:szCs w:val="22"/>
        </w:rPr>
        <w:lastRenderedPageBreak/>
        <w:t>and meaningful involvement of the family, whose insights into the patient's history or concerns raised during admission may also have informed the review (Care Quality Commission, 2025; General Medical Council, 2024). Although situational leadership can support flexible decision-making, it may result in inconsistent responses if it depends too heavily on an individual manager's judgement. Therefore, a systems-based review should examine how electronic records, staffing levels, workload, handovers, hierarchy, documentation and governance influenced Patient X's care. A just culture should balance individual accountability with organisational learning, while compassionate candour ensures that the family remains appropriately informed and supported. Ultimately, effective leadership should result in measurable improvements in escalation procedures, anticoagulant management, staff confidence and patient safety.</w:t>
      </w:r>
    </w:p>
    <w:p w14:paraId="0B4B0618" w14:textId="39EDD670" w:rsidR="00A623E5" w:rsidRPr="00A623E5" w:rsidRDefault="005564BF" w:rsidP="005564BF">
      <w:pPr>
        <w:pStyle w:val="Heading1"/>
      </w:pPr>
      <w:bookmarkStart w:id="23" w:name="_Toc237105738"/>
      <w:bookmarkStart w:id="24" w:name="_Toc237601799"/>
      <w:r>
        <w:t>6.</w:t>
      </w:r>
      <w:r w:rsidR="00A623E5" w:rsidRPr="00A623E5">
        <w:t>Improvement and Lessons Learned</w:t>
      </w:r>
      <w:bookmarkEnd w:id="23"/>
      <w:bookmarkEnd w:id="24"/>
    </w:p>
    <w:p w14:paraId="58358642"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Patient X case demonstrates that leadership and clinical governance are interdependent: leadership shapes the culture and priorities of an organisation, while governance provides the systems through which those priorities are implemented, monitored and evaluated (NHS England and NHS Improvement, 2019). In this case, the temporary interruption of a high-risk medicine was not followed by an effective review and restart process. Although individual staff members were involved at different stages of Patient X's care, the outcome cannot be attributed solely to one person's error. It reflected wider weaknesses in prescribing processes, communication, handover, accountability and organisational oversight.</w:t>
      </w:r>
    </w:p>
    <w:p w14:paraId="186C6D04"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A central problem was the absence of clear ownership after the medicine was withheld. Temporary interruption may have been clinically justified for a procedure or change in Patient X's condition; however, withholding the medicine created a new safety responsibility. The prescriber or clinical team should have documented the reason for interruption, the conditions for restarting treatment and the person responsible for review. Without this information, responsibility could be passed between procedural, medical, nursing and pharmacy teams. This illustrates how a hierarchical or fragmented leadership structure can weaken accountability: senior leaders may approve policies, yet frontline staff may remain uncertain about who must act.</w:t>
      </w:r>
    </w:p>
    <w:p w14:paraId="129F0088"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An evidence-based improvement would be to introduce a standardised electronic "hold and restart" process. When a high-risk medicine is suspended, the electronic prescribing system should require staff to record the indication, date and time of review, restart criteria and responsible clinician, addressing precisely the gap that HSSIB identified: that the ePMA system showed apixaban as paused but never prompted staff to re-review it (Health Services </w:t>
      </w:r>
      <w:r w:rsidRPr="00A623E5">
        <w:rPr>
          <w:rFonts w:ascii="Arial" w:hAnsi="Arial" w:cs="Arial"/>
          <w:sz w:val="22"/>
          <w:szCs w:val="22"/>
        </w:rPr>
        <w:lastRenderedPageBreak/>
        <w:t>Safety Investigations Body, 2025). Automated alerts should be escalated if the review is overdue, while pharmacists should receive a daily list of patients whose high-risk medicines remain withheld, an approach consistent with ISMP's guidance on strengthening safeguards around high-alert medicines (Institute for Safe Medication Practices, 2024). Digital alerts alone, however, are not sufficient because excessive notifications can create alert fatigue. They should be targeted according to clinical risk and supported by daily multidisciplinary review, building on lessons from HSSIB's parallel investigations into ePMA systems and safe discharge, and into weight-based medication errors in children, both of which found that electronic systems require active design for safety rather than passive record-keeping (Healthcare Safety Investigation Branch, 2019; Healthcare Safety Investigation Branch, 2022).</w:t>
      </w:r>
    </w:p>
    <w:p w14:paraId="78E41F38"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Communication and handover represented another missed opportunity. If Patient X moved between clinical settings or teams, information about the withheld medicine should have been included explicitly in verbal and written handovers. A medicine that is merely marked "withheld" may not communicate why it was stopped or when it should be reconsidered. Leadership should therefore require medication status to form part of structured handover, ward rounds and discharge reconciliation, consistent with HSSIB's separate findings on continuity of care and the risks that arise when information does not travel reliably with a patient across transitions of care (Health Services Safety Investigations Body, 2023). Pharmacy involvement is particularly important because pharmacists can identify unexplained omissions, challenge unclear prescriptions and support safe restarting.</w:t>
      </w:r>
    </w:p>
    <w:p w14:paraId="628EA1ED"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case further supports a transformational approach to improvement (West, 2021). Leaders should communicate a clear expectation that every temporary interruption of a high-risk medicine creates an active obligation to review and restart it when clinically appropriate. Staff should be involved in designing solutions because they understand how prescribing, handover and procedural workflows operate in practice, an approach reflected in the use of soft systems methodology to engage multiple stakeholder perspectives in redesigning care processes (Augustsson, Churruca and Braithwaite, 2019). Improvement is more likely to be sustained when teams share a clear safety goal, receive feedback from audit data and can see that reported hazards lead to meaningful organisational action, consistent with the principles of the national NHS Patient Safety Strategy (NHS England and NHS Improvement, 2019).</w:t>
      </w:r>
    </w:p>
    <w:p w14:paraId="14E6E13C"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 xml:space="preserve">A further problem may be a reactive reporting culture in which action occurs only after harm. If staff view delayed or omitted doses as minor events, near misses may not be reported and leaders will receive an incomplete picture of risk. A just culture is therefore required: staff must remain accountable for deliberate or reckless behaviour but should be able to report system vulnerabilities without fear of unfair blame (General Medical Council, 2024). Patient X and, </w:t>
      </w:r>
      <w:r w:rsidRPr="00A623E5">
        <w:rPr>
          <w:rFonts w:ascii="Arial" w:hAnsi="Arial" w:cs="Arial"/>
          <w:sz w:val="22"/>
          <w:szCs w:val="22"/>
        </w:rPr>
        <w:lastRenderedPageBreak/>
        <w:t>where appropriate, their family should also be involved in the investigation, in line with the statutory duty of candour (Care Quality Commission, 2025).</w:t>
      </w:r>
    </w:p>
    <w:p w14:paraId="785B6FFE"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Evidence and data should be used continuously rather than collected only after an adverse event. The organisation should establish a baseline audit and use run charts or statistical process-control charts to assess performance over time. Data should be reviewed at ward, medication-safety committee and board levels, with responsibility for corrective action clearly recorded. Published targets or percentages should not be invented; the final analysis should use verified figures from the Patient X investigation, local audits or organisational reports.</w:t>
      </w:r>
    </w:p>
    <w:p w14:paraId="66E46220" w14:textId="0AEED7D0"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principal lesson for other healthcare organisations is that policies do not create safety unless responsibilities are visible, workflows support the required behaviour, and leaders examine whether practice matches expectations. High-risk medication management requires several coordinated safeguards: clear ownership, structured handover, electronic decision support, pharmacy surveillance, patient involvement and executive oversight. Sustainable improvement requires leadership that promotes learning and empowers frontline teams, combined with governance that establishes standards, evaluates data and ensures accountability.</w:t>
      </w:r>
      <w:r>
        <w:rPr>
          <w:rFonts w:ascii="Arial" w:hAnsi="Arial" w:cs="Arial"/>
          <w:sz w:val="22"/>
          <w:szCs w:val="22"/>
        </w:rPr>
        <w:t xml:space="preserve"> </w:t>
      </w:r>
      <w:r w:rsidR="000A62DD">
        <w:rPr>
          <w:rFonts w:ascii="Arial" w:hAnsi="Arial" w:cs="Arial"/>
          <w:sz w:val="22"/>
          <w:szCs w:val="22"/>
        </w:rPr>
        <w:t xml:space="preserve">A summary is provided in Appendix A. </w:t>
      </w:r>
    </w:p>
    <w:p w14:paraId="62955365" w14:textId="7A91457D" w:rsidR="00A623E5" w:rsidRPr="00A623E5" w:rsidRDefault="005564BF" w:rsidP="00A623E5">
      <w:pPr>
        <w:pStyle w:val="Heading1"/>
      </w:pPr>
      <w:bookmarkStart w:id="25" w:name="_Toc237105739"/>
      <w:bookmarkStart w:id="26" w:name="_Toc237601800"/>
      <w:r>
        <w:t xml:space="preserve">7. </w:t>
      </w:r>
      <w:r w:rsidR="00A623E5" w:rsidRPr="00A623E5">
        <w:t>Recommendation for improvement</w:t>
      </w:r>
      <w:bookmarkEnd w:id="25"/>
      <w:bookmarkEnd w:id="26"/>
    </w:p>
    <w:p w14:paraId="15AD2781"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organisation should implement a coordinated peri-procedural anticoagulation safety programme that addresses the documentation, communication and system failures identified in the analysis. The immediate priority should be a standardised anticoagulation interruption plan used whenever anticoagulant treatment is paused. Clinicians should record the indication for anticoagulation, the last dose, reason for interruption, bleeding and thromboembolic risk assessments, anticipated procedure date, intended interruption period, review date and responsible clinician, consistent with national guidance on peri-operative anticoagulation management (Keeling, Tait and Watson, 2016; Saja, 2022). This information should be visible in both the clinical record and electronic prescribing system.</w:t>
      </w:r>
    </w:p>
    <w:p w14:paraId="2ED1433A"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Electronic prescribing systems should distinguish clearly between temporary interruption and permanent discontinuation. Pausing a high-risk medicine should require clinicians to enter a reason, review date and responsible prescriber. Targeted alerts or pharmacy-generated reports should identify anticoagulants that remain paused beyond the planned period, with escalation before weekends and other times when routine clinical review is reduced, drawing on the functionality that HSSIB found the Trust's own ePMA pharmacist had already begun to develop in this case (Health Services Safety Investigations Body, 2025).</w:t>
      </w:r>
    </w:p>
    <w:p w14:paraId="2D0CC6DD"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lastRenderedPageBreak/>
        <w:t>Procedure documentation should also include mandatory anticoagulation fields, consistent with British Thoracic Society guidance on pleural procedures (Asciak et al., 2023; Roberts et al., 2023). Specialist referrals should similarly operate through a closed-loop system, with accepted referrals remaining visible until the required assessment or procedure occurs, addressing the gap in respiratory capacity and referral tracking identified in the national pleural services audit (Stanton and Evison, 2022) and the GIRFT respiratory medicine report (Allen, 2021).</w:t>
      </w:r>
    </w:p>
    <w:p w14:paraId="5E35C800" w14:textId="2CC68E71"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A collective and distributed leadership approach is most appropriate for sustaining these changes (Zamboni et al., 2020). Senior clinical leaders should establish clear expectations and accountability, while engaging frontline doctors, nurses, pharmacists, haematologists, procedural teams, digital specialists and patients in designing workable processes. Elements of transformational leadership can create a shared safety vision (West, 2021), whereas situational leadership will allow teams to respond appropriately to differences between special</w:t>
      </w:r>
      <w:r w:rsidR="00034037">
        <w:rPr>
          <w:rFonts w:ascii="Arial" w:hAnsi="Arial" w:cs="Arial"/>
          <w:sz w:val="22"/>
          <w:szCs w:val="22"/>
        </w:rPr>
        <w:t>i</w:t>
      </w:r>
      <w:r w:rsidRPr="00A623E5">
        <w:rPr>
          <w:rFonts w:ascii="Arial" w:hAnsi="Arial" w:cs="Arial"/>
          <w:sz w:val="22"/>
          <w:szCs w:val="22"/>
        </w:rPr>
        <w:t xml:space="preserve">ties and clinical circumstances (Alsaqqa, 2020). Named clinical and pharmacy leads should oversee implementation, supported by executive sponsorship and regular reporting to the </w:t>
      </w:r>
      <w:r w:rsidR="006D1B61" w:rsidRPr="00A623E5">
        <w:rPr>
          <w:rFonts w:ascii="Arial" w:hAnsi="Arial" w:cs="Arial"/>
          <w:sz w:val="22"/>
          <w:szCs w:val="22"/>
        </w:rPr>
        <w:t>medicine’s</w:t>
      </w:r>
      <w:r w:rsidRPr="00A623E5">
        <w:rPr>
          <w:rFonts w:ascii="Arial" w:hAnsi="Arial" w:cs="Arial"/>
          <w:sz w:val="22"/>
          <w:szCs w:val="22"/>
        </w:rPr>
        <w:t xml:space="preserve"> safety or clinical governance committee, in line with the framework set out in the national NHS Patient Safety Strategy (NHS England and NHS Improvement, 2019).</w:t>
      </w:r>
    </w:p>
    <w:p w14:paraId="50469F49"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Technical efficiency can be improved by integrating prescribing, procedure, referral and task-management systems so information is entered once and shared across workflows, in line with national guidance on building safer healthcare software (NHS England Digital, 2024). Allocative efficiency requires concentrating senior medical review, pharmacy input and ward coordination on patients at greatest risk rather than applying resource-intensive interventions indiscriminately, particularly given the persistent workforce pressures documented across NHS nursing and specialist roles (Nuffield Trust, 2026; Royal College of Physicians, 2018).</w:t>
      </w:r>
    </w:p>
    <w:p w14:paraId="405993F4" w14:textId="77777777" w:rsidR="00A623E5" w:rsidRDefault="00A623E5" w:rsidP="00A623E5">
      <w:pPr>
        <w:spacing w:line="360" w:lineRule="auto"/>
        <w:jc w:val="both"/>
        <w:rPr>
          <w:rFonts w:ascii="Arial" w:hAnsi="Arial" w:cs="Arial"/>
          <w:sz w:val="22"/>
          <w:szCs w:val="22"/>
        </w:rPr>
      </w:pPr>
      <w:r w:rsidRPr="00A623E5">
        <w:rPr>
          <w:rFonts w:ascii="Arial" w:hAnsi="Arial" w:cs="Arial"/>
          <w:sz w:val="22"/>
          <w:szCs w:val="22"/>
        </w:rPr>
        <w:t>Continuous learning should be supported through monthly audits and feedback, reviewed through multidisciplinary learning meetings using a psychologically safe, systems-focused approach, applying the same resilient-systems thinking that underpinned the original HSSIB investigation (Anderson and Ross, 2020). Patients and carers should be involved in co-producing information materials and discharge prompts, while frontline staff should test proposed changes through small improvement cycles.</w:t>
      </w:r>
    </w:p>
    <w:p w14:paraId="1B5199E6" w14:textId="77777777" w:rsidR="005564BF" w:rsidRDefault="005564BF" w:rsidP="00A623E5">
      <w:pPr>
        <w:spacing w:line="360" w:lineRule="auto"/>
        <w:jc w:val="both"/>
        <w:rPr>
          <w:rFonts w:ascii="Arial" w:hAnsi="Arial" w:cs="Arial"/>
          <w:sz w:val="22"/>
          <w:szCs w:val="22"/>
        </w:rPr>
      </w:pPr>
    </w:p>
    <w:p w14:paraId="52B5AECB" w14:textId="77777777" w:rsidR="005564BF" w:rsidRPr="00A623E5" w:rsidRDefault="005564BF" w:rsidP="00A623E5">
      <w:pPr>
        <w:spacing w:line="360" w:lineRule="auto"/>
        <w:jc w:val="both"/>
        <w:rPr>
          <w:rFonts w:ascii="Arial" w:hAnsi="Arial" w:cs="Arial"/>
          <w:sz w:val="22"/>
          <w:szCs w:val="22"/>
        </w:rPr>
      </w:pPr>
    </w:p>
    <w:p w14:paraId="478DC8B7" w14:textId="7001D187" w:rsidR="00A623E5" w:rsidRPr="00A623E5" w:rsidRDefault="005564BF" w:rsidP="00A623E5">
      <w:pPr>
        <w:pStyle w:val="Heading1"/>
      </w:pPr>
      <w:bookmarkStart w:id="27" w:name="_Toc237105740"/>
      <w:bookmarkStart w:id="28" w:name="_Toc237601801"/>
      <w:r>
        <w:lastRenderedPageBreak/>
        <w:t>8.</w:t>
      </w:r>
      <w:r w:rsidR="00A623E5" w:rsidRPr="00A623E5">
        <w:t xml:space="preserve"> Conclusion</w:t>
      </w:r>
      <w:bookmarkEnd w:id="27"/>
      <w:bookmarkEnd w:id="28"/>
    </w:p>
    <w:p w14:paraId="2559DC7D" w14:textId="77777777" w:rsidR="00A623E5" w:rsidRPr="00A623E5" w:rsidRDefault="00A623E5" w:rsidP="00A623E5">
      <w:pPr>
        <w:spacing w:line="360" w:lineRule="auto"/>
        <w:jc w:val="both"/>
        <w:rPr>
          <w:rFonts w:ascii="Arial" w:hAnsi="Arial" w:cs="Arial"/>
          <w:sz w:val="22"/>
          <w:szCs w:val="22"/>
        </w:rPr>
      </w:pPr>
      <w:r w:rsidRPr="00A623E5">
        <w:rPr>
          <w:rFonts w:ascii="Arial" w:hAnsi="Arial" w:cs="Arial"/>
          <w:sz w:val="22"/>
          <w:szCs w:val="22"/>
        </w:rPr>
        <w:t>The death of Patient X followed a sequence in which an initially appropriate decision to pause apixaban became a prolonged interruption and the intended post-procedure restart was not completed. The case demonstrates the difficulty of balancing bleeding and thromboembolic risks, particularly when a patient is waiting for an invasive procedure. It also demonstrates that medication safety is created by the whole system. Clinical information was difficult to access, guidance was inconsistent, procedural timing was uncertain, specialist transfer was delayed, responsibility was distributed between teams, workload was high, task-management arrangements were weak, and electronic systems did not prompt review of the paused anticoagulant (Health Services Safety Investigations Body, 2025).</w:t>
      </w:r>
    </w:p>
    <w:p w14:paraId="398459AF" w14:textId="036C703F" w:rsidR="00A623E5" w:rsidRDefault="00A623E5" w:rsidP="00A623E5">
      <w:pPr>
        <w:spacing w:line="360" w:lineRule="auto"/>
        <w:jc w:val="both"/>
        <w:rPr>
          <w:rFonts w:ascii="Arial" w:hAnsi="Arial" w:cs="Arial"/>
          <w:sz w:val="22"/>
          <w:szCs w:val="22"/>
        </w:rPr>
      </w:pPr>
      <w:r w:rsidRPr="00A623E5">
        <w:rPr>
          <w:rFonts w:ascii="Arial" w:hAnsi="Arial" w:cs="Arial"/>
          <w:sz w:val="22"/>
          <w:szCs w:val="22"/>
        </w:rPr>
        <w:t>The most important lesson is that a decision to pause anticoagulation is not a completed action. It creates an ongoing responsibility to reassess the patient and establish a reliable restart plan. Safer care requires clearly documented risk assessments, named ownership, accessible multidisciplinary guidance, closed-loop referrals, targeted electronic support, robust handover and adequate staffing. Clinical governance and effective leadership, whether transformational, distributed or situational depending on the circumstances (West, 2021; Zamboni et al., 2020; Alsaqqa, 2020), are necessary to translate these requirements into consistent practice, measure whether improvements are working and ensure that responsibility remains clear across professional boundaries. A systems-based response honours Patient X and his family, and offers a transferable model for preventing similar, largely foreseeable, harm in other healthcare organisations.</w:t>
      </w:r>
    </w:p>
    <w:p w14:paraId="3D8389F5" w14:textId="77777777" w:rsidR="00A623E5" w:rsidRDefault="00A623E5" w:rsidP="00A623E5">
      <w:pPr>
        <w:spacing w:line="360" w:lineRule="auto"/>
        <w:jc w:val="both"/>
        <w:rPr>
          <w:rFonts w:ascii="Arial" w:hAnsi="Arial" w:cs="Arial"/>
          <w:sz w:val="22"/>
          <w:szCs w:val="22"/>
        </w:rPr>
      </w:pPr>
    </w:p>
    <w:p w14:paraId="77646C5A" w14:textId="77777777" w:rsidR="00A623E5" w:rsidRDefault="00A623E5" w:rsidP="00A623E5">
      <w:pPr>
        <w:spacing w:line="360" w:lineRule="auto"/>
        <w:jc w:val="both"/>
        <w:rPr>
          <w:rFonts w:ascii="Arial" w:hAnsi="Arial" w:cs="Arial"/>
          <w:sz w:val="22"/>
          <w:szCs w:val="22"/>
        </w:rPr>
      </w:pPr>
    </w:p>
    <w:p w14:paraId="18FDB3AE" w14:textId="77777777" w:rsidR="00A623E5" w:rsidRDefault="00A623E5" w:rsidP="00A623E5">
      <w:pPr>
        <w:spacing w:line="360" w:lineRule="auto"/>
        <w:jc w:val="both"/>
        <w:rPr>
          <w:rFonts w:ascii="Arial" w:hAnsi="Arial" w:cs="Arial"/>
          <w:sz w:val="22"/>
          <w:szCs w:val="22"/>
        </w:rPr>
      </w:pPr>
    </w:p>
    <w:p w14:paraId="35C84A47" w14:textId="77777777" w:rsidR="00A623E5" w:rsidRDefault="00A623E5" w:rsidP="00A623E5">
      <w:pPr>
        <w:spacing w:line="360" w:lineRule="auto"/>
        <w:jc w:val="both"/>
        <w:rPr>
          <w:rFonts w:ascii="Arial" w:hAnsi="Arial" w:cs="Arial"/>
          <w:sz w:val="22"/>
          <w:szCs w:val="22"/>
        </w:rPr>
      </w:pPr>
    </w:p>
    <w:p w14:paraId="3EE312BB" w14:textId="77777777" w:rsidR="00A623E5" w:rsidRDefault="00A623E5" w:rsidP="00A623E5">
      <w:pPr>
        <w:spacing w:line="360" w:lineRule="auto"/>
        <w:jc w:val="both"/>
        <w:rPr>
          <w:rFonts w:ascii="Arial" w:hAnsi="Arial" w:cs="Arial"/>
          <w:sz w:val="22"/>
          <w:szCs w:val="22"/>
        </w:rPr>
      </w:pPr>
    </w:p>
    <w:p w14:paraId="7ADEF78D" w14:textId="77777777" w:rsidR="00A623E5" w:rsidRDefault="00A623E5" w:rsidP="00A623E5">
      <w:pPr>
        <w:spacing w:line="360" w:lineRule="auto"/>
        <w:jc w:val="both"/>
        <w:rPr>
          <w:rFonts w:ascii="Arial" w:hAnsi="Arial" w:cs="Arial"/>
          <w:sz w:val="22"/>
          <w:szCs w:val="22"/>
        </w:rPr>
      </w:pPr>
    </w:p>
    <w:p w14:paraId="62533BB1" w14:textId="77777777" w:rsidR="00A623E5" w:rsidRDefault="00A623E5" w:rsidP="00A623E5">
      <w:pPr>
        <w:spacing w:line="360" w:lineRule="auto"/>
        <w:jc w:val="both"/>
        <w:rPr>
          <w:rFonts w:ascii="Arial" w:hAnsi="Arial" w:cs="Arial"/>
          <w:sz w:val="22"/>
          <w:szCs w:val="22"/>
        </w:rPr>
      </w:pPr>
    </w:p>
    <w:p w14:paraId="54E30DEB" w14:textId="77777777" w:rsidR="005564BF" w:rsidRDefault="005564BF" w:rsidP="00A623E5">
      <w:pPr>
        <w:pStyle w:val="Heading1"/>
      </w:pPr>
    </w:p>
    <w:p w14:paraId="4F076D37" w14:textId="77777777" w:rsidR="005564BF" w:rsidRPr="005564BF" w:rsidRDefault="005564BF" w:rsidP="005564BF"/>
    <w:p w14:paraId="36B44BA3" w14:textId="2F4DC09D" w:rsidR="00A623E5" w:rsidRPr="00A623E5" w:rsidRDefault="00A623E5" w:rsidP="00A623E5">
      <w:pPr>
        <w:pStyle w:val="Heading1"/>
      </w:pPr>
      <w:bookmarkStart w:id="29" w:name="_Toc237601802"/>
      <w:r w:rsidRPr="00A623E5">
        <w:lastRenderedPageBreak/>
        <w:t>Appendix A</w:t>
      </w:r>
      <w:bookmarkEnd w:id="29"/>
    </w:p>
    <w:p w14:paraId="004F9EAD" w14:textId="77777777" w:rsidR="00A623E5" w:rsidRPr="00A623E5" w:rsidRDefault="00A623E5" w:rsidP="00A623E5">
      <w:pPr>
        <w:jc w:val="both"/>
        <w:rPr>
          <w:rFonts w:ascii="Arial" w:hAnsi="Arial" w:cs="Arial"/>
          <w:sz w:val="22"/>
          <w:szCs w:val="22"/>
        </w:rPr>
      </w:pPr>
    </w:p>
    <w:tbl>
      <w:tblPr>
        <w:tblW w:w="9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300"/>
        <w:gridCol w:w="3300"/>
        <w:gridCol w:w="3300"/>
      </w:tblGrid>
      <w:tr w:rsidR="00A623E5" w:rsidRPr="00A623E5" w14:paraId="065AE547" w14:textId="77777777" w:rsidTr="00FD69CB">
        <w:trPr>
          <w:tblHeader/>
        </w:trPr>
        <w:tc>
          <w:tcPr>
            <w:tcW w:w="3300" w:type="dxa"/>
            <w:shd w:val="clear" w:color="auto" w:fill="D9E2F3"/>
            <w:tcMar>
              <w:top w:w="80" w:type="dxa"/>
              <w:left w:w="100" w:type="dxa"/>
              <w:bottom w:w="80" w:type="dxa"/>
              <w:right w:w="100" w:type="dxa"/>
            </w:tcMar>
          </w:tcPr>
          <w:p w14:paraId="0986FD09" w14:textId="77777777" w:rsidR="00A623E5" w:rsidRPr="00A623E5" w:rsidRDefault="00A623E5" w:rsidP="00FD69CB">
            <w:pPr>
              <w:rPr>
                <w:rFonts w:ascii="Arial" w:hAnsi="Arial" w:cs="Arial"/>
                <w:sz w:val="22"/>
                <w:szCs w:val="22"/>
              </w:rPr>
            </w:pPr>
            <w:r w:rsidRPr="00A623E5">
              <w:rPr>
                <w:rFonts w:ascii="Arial" w:hAnsi="Arial" w:cs="Arial"/>
                <w:b/>
                <w:bCs/>
                <w:sz w:val="22"/>
                <w:szCs w:val="22"/>
              </w:rPr>
              <w:t>Problem identified</w:t>
            </w:r>
          </w:p>
        </w:tc>
        <w:tc>
          <w:tcPr>
            <w:tcW w:w="3300" w:type="dxa"/>
            <w:shd w:val="clear" w:color="auto" w:fill="D9E2F3"/>
            <w:tcMar>
              <w:top w:w="80" w:type="dxa"/>
              <w:left w:w="100" w:type="dxa"/>
              <w:bottom w:w="80" w:type="dxa"/>
              <w:right w:w="100" w:type="dxa"/>
            </w:tcMar>
          </w:tcPr>
          <w:p w14:paraId="1AA5FFDD" w14:textId="77777777" w:rsidR="00A623E5" w:rsidRPr="00A623E5" w:rsidRDefault="00A623E5" w:rsidP="00FD69CB">
            <w:pPr>
              <w:rPr>
                <w:rFonts w:ascii="Arial" w:hAnsi="Arial" w:cs="Arial"/>
                <w:sz w:val="22"/>
                <w:szCs w:val="22"/>
              </w:rPr>
            </w:pPr>
            <w:r w:rsidRPr="00A623E5">
              <w:rPr>
                <w:rFonts w:ascii="Arial" w:hAnsi="Arial" w:cs="Arial"/>
                <w:b/>
                <w:bCs/>
                <w:sz w:val="22"/>
                <w:szCs w:val="22"/>
              </w:rPr>
              <w:t>Supporting data</w:t>
            </w:r>
          </w:p>
        </w:tc>
        <w:tc>
          <w:tcPr>
            <w:tcW w:w="3300" w:type="dxa"/>
            <w:shd w:val="clear" w:color="auto" w:fill="D9E2F3"/>
            <w:tcMar>
              <w:top w:w="80" w:type="dxa"/>
              <w:left w:w="100" w:type="dxa"/>
              <w:bottom w:w="80" w:type="dxa"/>
              <w:right w:w="100" w:type="dxa"/>
            </w:tcMar>
          </w:tcPr>
          <w:p w14:paraId="6D558EF9" w14:textId="77777777" w:rsidR="00A623E5" w:rsidRPr="00A623E5" w:rsidRDefault="00A623E5" w:rsidP="00FD69CB">
            <w:pPr>
              <w:rPr>
                <w:rFonts w:ascii="Arial" w:hAnsi="Arial" w:cs="Arial"/>
                <w:sz w:val="22"/>
                <w:szCs w:val="22"/>
              </w:rPr>
            </w:pPr>
            <w:r w:rsidRPr="00A623E5">
              <w:rPr>
                <w:rFonts w:ascii="Arial" w:hAnsi="Arial" w:cs="Arial"/>
                <w:b/>
                <w:bCs/>
                <w:sz w:val="22"/>
                <w:szCs w:val="22"/>
              </w:rPr>
              <w:t>Improvement</w:t>
            </w:r>
          </w:p>
        </w:tc>
      </w:tr>
      <w:tr w:rsidR="00A623E5" w:rsidRPr="00A623E5" w14:paraId="28B2E53F" w14:textId="77777777" w:rsidTr="00FD69CB">
        <w:tc>
          <w:tcPr>
            <w:tcW w:w="3300" w:type="dxa"/>
            <w:tcMar>
              <w:top w:w="80" w:type="dxa"/>
              <w:left w:w="100" w:type="dxa"/>
              <w:bottom w:w="80" w:type="dxa"/>
              <w:right w:w="100" w:type="dxa"/>
            </w:tcMar>
          </w:tcPr>
          <w:p w14:paraId="681A856B" w14:textId="77777777" w:rsidR="00A623E5" w:rsidRPr="00A623E5" w:rsidRDefault="00A623E5" w:rsidP="00FD69CB">
            <w:pPr>
              <w:rPr>
                <w:rFonts w:ascii="Arial" w:hAnsi="Arial" w:cs="Arial"/>
                <w:sz w:val="22"/>
                <w:szCs w:val="22"/>
              </w:rPr>
            </w:pPr>
            <w:r w:rsidRPr="00A623E5">
              <w:rPr>
                <w:rFonts w:ascii="Arial" w:hAnsi="Arial" w:cs="Arial"/>
                <w:sz w:val="22"/>
                <w:szCs w:val="22"/>
              </w:rPr>
              <w:t>No automatic prompt to review a paused high-alert medication when a planned procedure is delayed.</w:t>
            </w:r>
          </w:p>
        </w:tc>
        <w:tc>
          <w:tcPr>
            <w:tcW w:w="3300" w:type="dxa"/>
            <w:tcMar>
              <w:top w:w="80" w:type="dxa"/>
              <w:left w:w="100" w:type="dxa"/>
              <w:bottom w:w="80" w:type="dxa"/>
              <w:right w:w="100" w:type="dxa"/>
            </w:tcMar>
          </w:tcPr>
          <w:p w14:paraId="5C7D55A7" w14:textId="77777777" w:rsidR="00A623E5" w:rsidRPr="00A623E5" w:rsidRDefault="00A623E5" w:rsidP="00FD69CB">
            <w:pPr>
              <w:rPr>
                <w:rFonts w:ascii="Arial" w:hAnsi="Arial" w:cs="Arial"/>
                <w:sz w:val="22"/>
                <w:szCs w:val="22"/>
              </w:rPr>
            </w:pPr>
            <w:r w:rsidRPr="00A623E5">
              <w:rPr>
                <w:rFonts w:ascii="Arial" w:hAnsi="Arial" w:cs="Arial"/>
                <w:sz w:val="22"/>
                <w:szCs w:val="22"/>
              </w:rPr>
              <w:t>NRLS review of DOAC incidents (2017–2019) found omitted doses and failure to restart medication after a procedure were recurring incident themes; anticoagulants are one of the top three highest-risk drug categories in NHS reporting.</w:t>
            </w:r>
          </w:p>
        </w:tc>
        <w:tc>
          <w:tcPr>
            <w:tcW w:w="3300" w:type="dxa"/>
            <w:tcMar>
              <w:top w:w="80" w:type="dxa"/>
              <w:left w:w="100" w:type="dxa"/>
              <w:bottom w:w="80" w:type="dxa"/>
              <w:right w:w="100" w:type="dxa"/>
            </w:tcMar>
          </w:tcPr>
          <w:p w14:paraId="4F4BC434" w14:textId="77777777" w:rsidR="00A623E5" w:rsidRPr="00A623E5" w:rsidRDefault="00A623E5" w:rsidP="00FD69CB">
            <w:pPr>
              <w:rPr>
                <w:rFonts w:ascii="Arial" w:hAnsi="Arial" w:cs="Arial"/>
                <w:sz w:val="22"/>
                <w:szCs w:val="22"/>
              </w:rPr>
            </w:pPr>
            <w:r w:rsidRPr="00A623E5">
              <w:rPr>
                <w:rFonts w:ascii="Arial" w:hAnsi="Arial" w:cs="Arial"/>
                <w:sz w:val="22"/>
                <w:szCs w:val="22"/>
              </w:rPr>
              <w:t>Build a mandatory ePMA review trigger, set to fire automatically at 48–72 hours, for any high-alert medication paused pending a delayed procedure, escalating to a named senior clinician if unactioned.</w:t>
            </w:r>
          </w:p>
        </w:tc>
      </w:tr>
      <w:tr w:rsidR="00A623E5" w:rsidRPr="00A623E5" w14:paraId="1F56FAFE" w14:textId="77777777" w:rsidTr="00FD69CB">
        <w:tc>
          <w:tcPr>
            <w:tcW w:w="3300" w:type="dxa"/>
            <w:tcMar>
              <w:top w:w="80" w:type="dxa"/>
              <w:left w:w="100" w:type="dxa"/>
              <w:bottom w:w="80" w:type="dxa"/>
              <w:right w:w="100" w:type="dxa"/>
            </w:tcMar>
          </w:tcPr>
          <w:p w14:paraId="72115A01" w14:textId="77777777" w:rsidR="00A623E5" w:rsidRPr="00A623E5" w:rsidRDefault="00A623E5" w:rsidP="00FD69CB">
            <w:pPr>
              <w:rPr>
                <w:rFonts w:ascii="Arial" w:hAnsi="Arial" w:cs="Arial"/>
                <w:sz w:val="22"/>
                <w:szCs w:val="22"/>
              </w:rPr>
            </w:pPr>
            <w:r w:rsidRPr="00A623E5">
              <w:rPr>
                <w:rFonts w:ascii="Arial" w:hAnsi="Arial" w:cs="Arial"/>
                <w:sz w:val="22"/>
                <w:szCs w:val="22"/>
              </w:rPr>
              <w:t>Loss of specialist nursing/administrative roles that previously chased referrals and coordinated follow-up.</w:t>
            </w:r>
          </w:p>
        </w:tc>
        <w:tc>
          <w:tcPr>
            <w:tcW w:w="3300" w:type="dxa"/>
            <w:tcMar>
              <w:top w:w="80" w:type="dxa"/>
              <w:left w:w="100" w:type="dxa"/>
              <w:bottom w:w="80" w:type="dxa"/>
              <w:right w:w="100" w:type="dxa"/>
            </w:tcMar>
          </w:tcPr>
          <w:p w14:paraId="1EB6DA71" w14:textId="77777777" w:rsidR="00A623E5" w:rsidRPr="00A623E5" w:rsidRDefault="00A623E5" w:rsidP="00FD69CB">
            <w:pPr>
              <w:rPr>
                <w:rFonts w:ascii="Arial" w:hAnsi="Arial" w:cs="Arial"/>
                <w:sz w:val="22"/>
                <w:szCs w:val="22"/>
              </w:rPr>
            </w:pPr>
            <w:r w:rsidRPr="00A623E5">
              <w:rPr>
                <w:rFonts w:ascii="Arial" w:hAnsi="Arial" w:cs="Arial"/>
                <w:sz w:val="22"/>
                <w:szCs w:val="22"/>
              </w:rPr>
              <w:t>HSSIB found this loss directly contributed to the delay; national vacancy data shows NHS vacancy rates of 6.7–8.4% in recent years, with specialist and coordination posts especially exposed to cuts.</w:t>
            </w:r>
          </w:p>
        </w:tc>
        <w:tc>
          <w:tcPr>
            <w:tcW w:w="3300" w:type="dxa"/>
            <w:tcMar>
              <w:top w:w="80" w:type="dxa"/>
              <w:left w:w="100" w:type="dxa"/>
              <w:bottom w:w="80" w:type="dxa"/>
              <w:right w:w="100" w:type="dxa"/>
            </w:tcMar>
          </w:tcPr>
          <w:p w14:paraId="67E6E11D" w14:textId="77777777" w:rsidR="00A623E5" w:rsidRPr="00A623E5" w:rsidRDefault="00A623E5" w:rsidP="00FD69CB">
            <w:pPr>
              <w:rPr>
                <w:rFonts w:ascii="Arial" w:hAnsi="Arial" w:cs="Arial"/>
                <w:sz w:val="22"/>
                <w:szCs w:val="22"/>
              </w:rPr>
            </w:pPr>
            <w:r w:rsidRPr="00A623E5">
              <w:rPr>
                <w:rFonts w:ascii="Arial" w:hAnsi="Arial" w:cs="Arial"/>
                <w:sz w:val="22"/>
                <w:szCs w:val="22"/>
              </w:rPr>
              <w:t>Reinstate or ring-fence dedicated anticoagulation/safety-coordination roles (e.g., anticoagulation pharmacist or nurse specialist) with explicit cross-ward authority to track high-risk medication decisions.</w:t>
            </w:r>
          </w:p>
        </w:tc>
      </w:tr>
      <w:tr w:rsidR="00A623E5" w:rsidRPr="00A623E5" w14:paraId="4FFFC244" w14:textId="77777777" w:rsidTr="00FD69CB">
        <w:tc>
          <w:tcPr>
            <w:tcW w:w="3300" w:type="dxa"/>
            <w:tcMar>
              <w:top w:w="80" w:type="dxa"/>
              <w:left w:w="100" w:type="dxa"/>
              <w:bottom w:w="80" w:type="dxa"/>
              <w:right w:w="100" w:type="dxa"/>
            </w:tcMar>
          </w:tcPr>
          <w:p w14:paraId="66E79380" w14:textId="77777777" w:rsidR="00A623E5" w:rsidRPr="00A623E5" w:rsidRDefault="00A623E5" w:rsidP="00FD69CB">
            <w:pPr>
              <w:rPr>
                <w:rFonts w:ascii="Arial" w:hAnsi="Arial" w:cs="Arial"/>
                <w:sz w:val="22"/>
                <w:szCs w:val="22"/>
              </w:rPr>
            </w:pPr>
            <w:r w:rsidRPr="00A623E5">
              <w:rPr>
                <w:rFonts w:ascii="Arial" w:hAnsi="Arial" w:cs="Arial"/>
                <w:sz w:val="22"/>
                <w:szCs w:val="22"/>
              </w:rPr>
              <w:t>Local anticoagulation guidance was hard to find and not aligned with current national guidance.</w:t>
            </w:r>
          </w:p>
        </w:tc>
        <w:tc>
          <w:tcPr>
            <w:tcW w:w="3300" w:type="dxa"/>
            <w:tcMar>
              <w:top w:w="80" w:type="dxa"/>
              <w:left w:w="100" w:type="dxa"/>
              <w:bottom w:w="80" w:type="dxa"/>
              <w:right w:w="100" w:type="dxa"/>
            </w:tcMar>
          </w:tcPr>
          <w:p w14:paraId="5D127C4D" w14:textId="77777777" w:rsidR="00A623E5" w:rsidRPr="00A623E5" w:rsidRDefault="00A623E5" w:rsidP="00FD69CB">
            <w:pPr>
              <w:rPr>
                <w:rFonts w:ascii="Arial" w:hAnsi="Arial" w:cs="Arial"/>
                <w:sz w:val="22"/>
                <w:szCs w:val="22"/>
              </w:rPr>
            </w:pPr>
            <w:r w:rsidRPr="00A623E5">
              <w:rPr>
                <w:rFonts w:ascii="Arial" w:hAnsi="Arial" w:cs="Arial"/>
                <w:sz w:val="22"/>
                <w:szCs w:val="22"/>
              </w:rPr>
              <w:t>NICE issued national atrial fibrillation/anticoagulation guidance; NRLS and DOAC incident studies consistently cite inaccessible or outdated local guidance as a contributory factor.</w:t>
            </w:r>
          </w:p>
        </w:tc>
        <w:tc>
          <w:tcPr>
            <w:tcW w:w="3300" w:type="dxa"/>
            <w:tcMar>
              <w:top w:w="80" w:type="dxa"/>
              <w:left w:w="100" w:type="dxa"/>
              <w:bottom w:w="80" w:type="dxa"/>
              <w:right w:w="100" w:type="dxa"/>
            </w:tcMar>
          </w:tcPr>
          <w:p w14:paraId="293777E8" w14:textId="77777777" w:rsidR="00A623E5" w:rsidRPr="00A623E5" w:rsidRDefault="00A623E5" w:rsidP="00FD69CB">
            <w:pPr>
              <w:rPr>
                <w:rFonts w:ascii="Arial" w:hAnsi="Arial" w:cs="Arial"/>
                <w:sz w:val="22"/>
                <w:szCs w:val="22"/>
              </w:rPr>
            </w:pPr>
            <w:r w:rsidRPr="00A623E5">
              <w:rPr>
                <w:rFonts w:ascii="Arial" w:hAnsi="Arial" w:cs="Arial"/>
                <w:sz w:val="22"/>
                <w:szCs w:val="22"/>
              </w:rPr>
              <w:t>Centralise a single, version-controlled, easily searchable local guidance repository directly linked from the ePMA system at the point of prescribing.</w:t>
            </w:r>
          </w:p>
        </w:tc>
      </w:tr>
      <w:tr w:rsidR="00A623E5" w:rsidRPr="00A623E5" w14:paraId="164F7277" w14:textId="77777777" w:rsidTr="00FD69CB">
        <w:tc>
          <w:tcPr>
            <w:tcW w:w="3300" w:type="dxa"/>
            <w:tcMar>
              <w:top w:w="80" w:type="dxa"/>
              <w:left w:w="100" w:type="dxa"/>
              <w:bottom w:w="80" w:type="dxa"/>
              <w:right w:w="100" w:type="dxa"/>
            </w:tcMar>
          </w:tcPr>
          <w:p w14:paraId="21CC9361" w14:textId="77777777" w:rsidR="00A623E5" w:rsidRPr="00A623E5" w:rsidRDefault="00A623E5" w:rsidP="00FD69CB">
            <w:pPr>
              <w:rPr>
                <w:rFonts w:ascii="Arial" w:hAnsi="Arial" w:cs="Arial"/>
                <w:sz w:val="22"/>
                <w:szCs w:val="22"/>
              </w:rPr>
            </w:pPr>
            <w:r w:rsidRPr="00A623E5">
              <w:rPr>
                <w:rFonts w:ascii="Arial" w:hAnsi="Arial" w:cs="Arial"/>
                <w:sz w:val="22"/>
                <w:szCs w:val="22"/>
              </w:rPr>
              <w:t>Diffusion of accountability across ED, medical ward and respiratory teams with no named owner of the anticoagulation decision.</w:t>
            </w:r>
          </w:p>
        </w:tc>
        <w:tc>
          <w:tcPr>
            <w:tcW w:w="3300" w:type="dxa"/>
            <w:tcMar>
              <w:top w:w="80" w:type="dxa"/>
              <w:left w:w="100" w:type="dxa"/>
              <w:bottom w:w="80" w:type="dxa"/>
              <w:right w:w="100" w:type="dxa"/>
            </w:tcMar>
          </w:tcPr>
          <w:p w14:paraId="403EC090" w14:textId="77777777" w:rsidR="00A623E5" w:rsidRPr="00A623E5" w:rsidRDefault="00A623E5" w:rsidP="00FD69CB">
            <w:pPr>
              <w:rPr>
                <w:rFonts w:ascii="Arial" w:hAnsi="Arial" w:cs="Arial"/>
                <w:sz w:val="22"/>
                <w:szCs w:val="22"/>
              </w:rPr>
            </w:pPr>
            <w:r w:rsidRPr="00A623E5">
              <w:rPr>
                <w:rFonts w:ascii="Arial" w:hAnsi="Arial" w:cs="Arial"/>
                <w:sz w:val="22"/>
                <w:szCs w:val="22"/>
              </w:rPr>
              <w:t>IHI's high-alert medication programme reports substantial (over 50%) reductions in adverse drug events per 1,000 doses where dedicated anticoagulation oversight and medication reconciliation were introduced.</w:t>
            </w:r>
          </w:p>
        </w:tc>
        <w:tc>
          <w:tcPr>
            <w:tcW w:w="3300" w:type="dxa"/>
            <w:tcMar>
              <w:top w:w="80" w:type="dxa"/>
              <w:left w:w="100" w:type="dxa"/>
              <w:bottom w:w="80" w:type="dxa"/>
              <w:right w:w="100" w:type="dxa"/>
            </w:tcMar>
          </w:tcPr>
          <w:p w14:paraId="426E235D" w14:textId="77777777" w:rsidR="00A623E5" w:rsidRPr="00A623E5" w:rsidRDefault="00A623E5" w:rsidP="00FD69CB">
            <w:pPr>
              <w:rPr>
                <w:rFonts w:ascii="Arial" w:hAnsi="Arial" w:cs="Arial"/>
                <w:sz w:val="22"/>
                <w:szCs w:val="22"/>
              </w:rPr>
            </w:pPr>
            <w:r w:rsidRPr="00A623E5">
              <w:rPr>
                <w:rFonts w:ascii="Arial" w:hAnsi="Arial" w:cs="Arial"/>
                <w:sz w:val="22"/>
                <w:szCs w:val="22"/>
              </w:rPr>
              <w:t>Introduce a formal ‘medication ownership' handover step at every ward transfer, requiring explicit written confirmation of anticoagulation status and plan, modelled on IHI medication reconciliation practice.</w:t>
            </w:r>
          </w:p>
        </w:tc>
      </w:tr>
      <w:tr w:rsidR="00A623E5" w:rsidRPr="00A623E5" w14:paraId="533DBC0C" w14:textId="77777777" w:rsidTr="00FD69CB">
        <w:tc>
          <w:tcPr>
            <w:tcW w:w="3300" w:type="dxa"/>
            <w:tcMar>
              <w:top w:w="80" w:type="dxa"/>
              <w:left w:w="100" w:type="dxa"/>
              <w:bottom w:w="80" w:type="dxa"/>
              <w:right w:w="100" w:type="dxa"/>
            </w:tcMar>
          </w:tcPr>
          <w:p w14:paraId="00E7043E" w14:textId="77777777" w:rsidR="00A623E5" w:rsidRPr="00A623E5" w:rsidRDefault="00A623E5" w:rsidP="00FD69CB">
            <w:pPr>
              <w:rPr>
                <w:rFonts w:ascii="Arial" w:hAnsi="Arial" w:cs="Arial"/>
                <w:sz w:val="22"/>
                <w:szCs w:val="22"/>
              </w:rPr>
            </w:pPr>
            <w:r w:rsidRPr="00A623E5">
              <w:rPr>
                <w:rFonts w:ascii="Arial" w:hAnsi="Arial" w:cs="Arial"/>
                <w:sz w:val="22"/>
                <w:szCs w:val="22"/>
              </w:rPr>
              <w:t>Bed capacity mismatch preventing timely respiratory review despite a documented need.</w:t>
            </w:r>
          </w:p>
        </w:tc>
        <w:tc>
          <w:tcPr>
            <w:tcW w:w="3300" w:type="dxa"/>
            <w:tcMar>
              <w:top w:w="80" w:type="dxa"/>
              <w:left w:w="100" w:type="dxa"/>
              <w:bottom w:w="80" w:type="dxa"/>
              <w:right w:w="100" w:type="dxa"/>
            </w:tcMar>
          </w:tcPr>
          <w:p w14:paraId="399A7D2A" w14:textId="77777777" w:rsidR="00A623E5" w:rsidRPr="00A623E5" w:rsidRDefault="00A623E5" w:rsidP="00FD69CB">
            <w:pPr>
              <w:rPr>
                <w:rFonts w:ascii="Arial" w:hAnsi="Arial" w:cs="Arial"/>
                <w:sz w:val="22"/>
                <w:szCs w:val="22"/>
              </w:rPr>
            </w:pPr>
            <w:r w:rsidRPr="00A623E5">
              <w:rPr>
                <w:rFonts w:ascii="Arial" w:hAnsi="Arial" w:cs="Arial"/>
                <w:sz w:val="22"/>
                <w:szCs w:val="22"/>
              </w:rPr>
              <w:t xml:space="preserve">NHS workforce/capacity data shows persistent vacancy and capacity pressure nationally (around 100,000 FTE vacancies, 2024–2025); </w:t>
            </w:r>
            <w:r w:rsidRPr="00A623E5">
              <w:rPr>
                <w:rFonts w:ascii="Arial" w:hAnsi="Arial" w:cs="Arial"/>
                <w:sz w:val="22"/>
                <w:szCs w:val="22"/>
              </w:rPr>
              <w:lastRenderedPageBreak/>
              <w:t>respiratory services nationally report demand exceeding bed capacity in many trusts.</w:t>
            </w:r>
          </w:p>
        </w:tc>
        <w:tc>
          <w:tcPr>
            <w:tcW w:w="3300" w:type="dxa"/>
            <w:tcMar>
              <w:top w:w="80" w:type="dxa"/>
              <w:left w:w="100" w:type="dxa"/>
              <w:bottom w:w="80" w:type="dxa"/>
              <w:right w:w="100" w:type="dxa"/>
            </w:tcMar>
          </w:tcPr>
          <w:p w14:paraId="76C08867" w14:textId="77777777" w:rsidR="00A623E5" w:rsidRPr="00A623E5" w:rsidRDefault="00A623E5" w:rsidP="00FD69CB">
            <w:pPr>
              <w:rPr>
                <w:rFonts w:ascii="Arial" w:hAnsi="Arial" w:cs="Arial"/>
                <w:sz w:val="22"/>
                <w:szCs w:val="22"/>
              </w:rPr>
            </w:pPr>
            <w:r w:rsidRPr="00A623E5">
              <w:rPr>
                <w:rFonts w:ascii="Arial" w:hAnsi="Arial" w:cs="Arial"/>
                <w:sz w:val="22"/>
                <w:szCs w:val="22"/>
              </w:rPr>
              <w:lastRenderedPageBreak/>
              <w:t xml:space="preserve">Introduce a clinical-risk-weighted bed prioritisation protocol so that patients on paused high-alert medication are flagged for expedited </w:t>
            </w:r>
            <w:r w:rsidRPr="00A623E5">
              <w:rPr>
                <w:rFonts w:ascii="Arial" w:hAnsi="Arial" w:cs="Arial"/>
                <w:sz w:val="22"/>
                <w:szCs w:val="22"/>
              </w:rPr>
              <w:lastRenderedPageBreak/>
              <w:t>specialist review, rather than queued on a first-come basis.</w:t>
            </w:r>
          </w:p>
        </w:tc>
      </w:tr>
    </w:tbl>
    <w:p w14:paraId="0263F01B" w14:textId="77777777" w:rsidR="00A623E5" w:rsidRPr="00A623E5" w:rsidRDefault="00A623E5" w:rsidP="00A623E5">
      <w:pPr>
        <w:spacing w:before="160" w:after="200"/>
        <w:rPr>
          <w:rFonts w:ascii="Arial" w:hAnsi="Arial" w:cs="Arial"/>
          <w:sz w:val="22"/>
          <w:szCs w:val="22"/>
        </w:rPr>
      </w:pPr>
    </w:p>
    <w:p w14:paraId="26F1FCD6" w14:textId="77777777" w:rsidR="00A623E5" w:rsidRDefault="00A623E5" w:rsidP="00A623E5"/>
    <w:p w14:paraId="2C2858C8" w14:textId="77777777" w:rsidR="00A623E5" w:rsidRDefault="00A623E5" w:rsidP="00A623E5"/>
    <w:p w14:paraId="6CCDB1DD" w14:textId="77777777" w:rsidR="00A623E5" w:rsidRDefault="00A623E5" w:rsidP="00A623E5"/>
    <w:p w14:paraId="4BE58E5D" w14:textId="77777777" w:rsidR="00A623E5" w:rsidRDefault="00A623E5" w:rsidP="00A623E5"/>
    <w:p w14:paraId="57EB76CB" w14:textId="77777777" w:rsidR="00A623E5" w:rsidRDefault="00A623E5" w:rsidP="00A623E5"/>
    <w:p w14:paraId="4CBAF2BC" w14:textId="77777777" w:rsidR="00A623E5" w:rsidRDefault="00A623E5" w:rsidP="00A623E5"/>
    <w:p w14:paraId="65AB1747" w14:textId="77777777" w:rsidR="00A623E5" w:rsidRDefault="00A623E5" w:rsidP="00A623E5"/>
    <w:p w14:paraId="7F5EA2BB" w14:textId="77777777" w:rsidR="00A623E5" w:rsidRDefault="00A623E5" w:rsidP="00A623E5"/>
    <w:p w14:paraId="6E041AAF" w14:textId="77777777" w:rsidR="00A623E5" w:rsidRDefault="00A623E5" w:rsidP="00A623E5"/>
    <w:p w14:paraId="4B21D375" w14:textId="77777777" w:rsidR="00A623E5" w:rsidRDefault="00A623E5" w:rsidP="00A623E5"/>
    <w:p w14:paraId="4640C13B" w14:textId="77777777" w:rsidR="00A623E5" w:rsidRDefault="00A623E5" w:rsidP="00A623E5"/>
    <w:p w14:paraId="24DF2167" w14:textId="77777777" w:rsidR="00A623E5" w:rsidRDefault="00A623E5" w:rsidP="00A623E5"/>
    <w:p w14:paraId="3C1CB12D" w14:textId="77777777" w:rsidR="00A623E5" w:rsidRDefault="00A623E5" w:rsidP="00A623E5"/>
    <w:p w14:paraId="1635A6B2" w14:textId="77777777" w:rsidR="00A623E5" w:rsidRDefault="00A623E5" w:rsidP="00A623E5"/>
    <w:p w14:paraId="5E5D4C53" w14:textId="77777777" w:rsidR="00A623E5" w:rsidRDefault="00A623E5" w:rsidP="00A623E5"/>
    <w:p w14:paraId="7F1E6500" w14:textId="77777777" w:rsidR="00A623E5" w:rsidRDefault="00A623E5" w:rsidP="00A623E5"/>
    <w:p w14:paraId="6FE26CC0" w14:textId="77777777" w:rsidR="00A623E5" w:rsidRDefault="00A623E5" w:rsidP="00A623E5"/>
    <w:p w14:paraId="63371498" w14:textId="77777777" w:rsidR="00A623E5" w:rsidRDefault="00A623E5" w:rsidP="00A623E5"/>
    <w:p w14:paraId="4A7C877E" w14:textId="77777777" w:rsidR="00A623E5" w:rsidRDefault="00A623E5" w:rsidP="00A623E5"/>
    <w:p w14:paraId="519BD2A9" w14:textId="77777777" w:rsidR="00A623E5" w:rsidRDefault="00A623E5" w:rsidP="00A623E5"/>
    <w:p w14:paraId="133AE0C8" w14:textId="77777777" w:rsidR="00A623E5" w:rsidRDefault="00A623E5" w:rsidP="00A623E5"/>
    <w:p w14:paraId="2ED3C395" w14:textId="77777777" w:rsidR="00A623E5" w:rsidRPr="00A623E5" w:rsidRDefault="00A623E5" w:rsidP="00A623E5"/>
    <w:p w14:paraId="18A8111E" w14:textId="2FB9A993" w:rsidR="005C3451" w:rsidRPr="00A623E5" w:rsidRDefault="00000000" w:rsidP="00A623E5">
      <w:pPr>
        <w:pStyle w:val="Heading1"/>
      </w:pPr>
      <w:bookmarkStart w:id="30" w:name="_Toc237105741"/>
      <w:bookmarkStart w:id="31" w:name="_Toc237601803"/>
      <w:r w:rsidRPr="00A623E5">
        <w:lastRenderedPageBreak/>
        <w:t>References</w:t>
      </w:r>
      <w:bookmarkEnd w:id="30"/>
      <w:bookmarkEnd w:id="31"/>
    </w:p>
    <w:p w14:paraId="2224A3ED" w14:textId="77777777" w:rsidR="00A623E5" w:rsidRDefault="00A623E5" w:rsidP="00A623E5"/>
    <w:p w14:paraId="5E648D0F"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Allen, M. (2021) </w:t>
      </w:r>
      <w:r w:rsidRPr="00A623E5">
        <w:rPr>
          <w:rFonts w:ascii="Arial" w:eastAsia="Calibri" w:hAnsi="Arial" w:cs="Arial"/>
          <w:i/>
          <w:iCs/>
          <w:sz w:val="22"/>
          <w:szCs w:val="22"/>
        </w:rPr>
        <w:t>Respiratory medicine: GIRFT programme national specialty report. London: NHS England/Getting It Right First Time</w:t>
      </w:r>
      <w:r w:rsidRPr="00A623E5">
        <w:rPr>
          <w:rFonts w:ascii="Arial" w:eastAsia="Calibri" w:hAnsi="Arial" w:cs="Arial"/>
          <w:sz w:val="22"/>
          <w:szCs w:val="22"/>
        </w:rPr>
        <w:t xml:space="preserve">. Available at: </w:t>
      </w:r>
      <w:hyperlink r:id="rId12" w:history="1">
        <w:r w:rsidRPr="00A623E5">
          <w:rPr>
            <w:rStyle w:val="Hyperlink"/>
            <w:rFonts w:ascii="Arial" w:eastAsia="Calibri" w:hAnsi="Arial" w:cs="Arial"/>
            <w:sz w:val="22"/>
            <w:szCs w:val="22"/>
          </w:rPr>
          <w:t>https://gettingitrightfirsttime.co.uk/wp-content/uploads/2021/11/Respiratory-Medicine-Oct21L.pdf</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5 </w:t>
      </w:r>
      <w:r w:rsidRPr="00A623E5">
        <w:rPr>
          <w:rFonts w:ascii="Arial" w:eastAsia="Calibri" w:hAnsi="Arial" w:cs="Arial"/>
          <w:sz w:val="22"/>
          <w:szCs w:val="22"/>
        </w:rPr>
        <w:t>August 2026).</w:t>
      </w:r>
    </w:p>
    <w:p w14:paraId="52846E9C"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Alsaqqa, H.H. (2020) 'The situational leadership for the three realities of healthcare organizations (a perspective view)', </w:t>
      </w:r>
      <w:r w:rsidRPr="00A623E5">
        <w:rPr>
          <w:rFonts w:ascii="Arial" w:eastAsia="Calibri" w:hAnsi="Arial" w:cs="Arial"/>
          <w:i/>
          <w:iCs/>
          <w:sz w:val="22"/>
          <w:szCs w:val="22"/>
        </w:rPr>
        <w:t>Journal of Health Systems and Policies,</w:t>
      </w:r>
      <w:r w:rsidRPr="00A623E5">
        <w:rPr>
          <w:rFonts w:ascii="Arial" w:eastAsia="Calibri" w:hAnsi="Arial" w:cs="Arial"/>
          <w:sz w:val="22"/>
          <w:szCs w:val="22"/>
        </w:rPr>
        <w:t xml:space="preserve"> 2(2), pp. 230-247.</w:t>
      </w:r>
      <w:r w:rsidRPr="00A623E5">
        <w:rPr>
          <w:rFonts w:ascii="Arial" w:hAnsi="Arial" w:cs="Arial"/>
          <w:sz w:val="22"/>
          <w:szCs w:val="22"/>
        </w:rPr>
        <w:t xml:space="preserve"> Available at: </w:t>
      </w:r>
      <w:hyperlink r:id="rId13" w:history="1">
        <w:r w:rsidRPr="00A623E5">
          <w:rPr>
            <w:rStyle w:val="Hyperlink"/>
            <w:rFonts w:ascii="Arial" w:hAnsi="Arial" w:cs="Arial"/>
            <w:sz w:val="22"/>
            <w:szCs w:val="22"/>
          </w:rPr>
          <w:t>https://dergipark.org.tr/en/download/article-file/1248916</w:t>
        </w:r>
      </w:hyperlink>
      <w:r w:rsidRPr="00A623E5">
        <w:rPr>
          <w:rFonts w:ascii="Arial" w:hAnsi="Arial" w:cs="Arial"/>
          <w:sz w:val="22"/>
          <w:szCs w:val="22"/>
        </w:rPr>
        <w:t xml:space="preserve"> (Accessed: 8 August 2026). </w:t>
      </w:r>
    </w:p>
    <w:p w14:paraId="3D9441AC"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Anderson, J. and Ross, A. (2020) </w:t>
      </w:r>
      <w:r w:rsidRPr="00A623E5">
        <w:rPr>
          <w:rFonts w:ascii="Arial" w:eastAsia="Calibri" w:hAnsi="Arial" w:cs="Arial"/>
          <w:i/>
          <w:iCs/>
          <w:sz w:val="22"/>
          <w:szCs w:val="22"/>
        </w:rPr>
        <w:t>CARe-QI: a handbook for improving quality through resilient systems. Melbourne: Monash University.</w:t>
      </w:r>
      <w:r w:rsidRPr="00A623E5">
        <w:rPr>
          <w:rFonts w:ascii="Arial" w:hAnsi="Arial" w:cs="Arial"/>
          <w:sz w:val="22"/>
          <w:szCs w:val="22"/>
        </w:rPr>
        <w:t xml:space="preserve"> Available at: </w:t>
      </w:r>
      <w:hyperlink r:id="rId14" w:history="1">
        <w:r w:rsidRPr="00A623E5">
          <w:rPr>
            <w:rStyle w:val="Hyperlink"/>
            <w:rFonts w:ascii="Arial" w:hAnsi="Arial" w:cs="Arial"/>
            <w:sz w:val="22"/>
            <w:szCs w:val="22"/>
          </w:rPr>
          <w:t>https://research.monash.edu/en/publications/care-qi-a-handbook-for-improving-quality-through-resilient-system/</w:t>
        </w:r>
      </w:hyperlink>
      <w:r w:rsidRPr="00A623E5">
        <w:rPr>
          <w:rFonts w:ascii="Arial" w:hAnsi="Arial" w:cs="Arial"/>
          <w:sz w:val="22"/>
          <w:szCs w:val="22"/>
        </w:rPr>
        <w:t xml:space="preserve"> (Accessed: 8 August 2026).</w:t>
      </w:r>
    </w:p>
    <w:p w14:paraId="7BA825A5" w14:textId="77777777" w:rsidR="00A623E5" w:rsidRPr="00A623E5" w:rsidRDefault="00A623E5" w:rsidP="00A623E5">
      <w:pPr>
        <w:spacing w:after="140" w:line="264" w:lineRule="auto"/>
        <w:ind w:left="400" w:hanging="400"/>
        <w:rPr>
          <w:rFonts w:ascii="Arial" w:hAnsi="Arial" w:cs="Arial"/>
          <w:sz w:val="22"/>
          <w:szCs w:val="22"/>
        </w:rPr>
      </w:pPr>
      <w:r w:rsidRPr="006D1B61">
        <w:rPr>
          <w:rFonts w:ascii="Arial" w:eastAsia="Calibri" w:hAnsi="Arial" w:cs="Arial"/>
          <w:sz w:val="22"/>
          <w:szCs w:val="22"/>
          <w:lang w:val="nl-NL"/>
        </w:rPr>
        <w:t xml:space="preserve">Asciak, R., Bedawi, E.O., Mercer, R.M. et al. </w:t>
      </w:r>
      <w:r w:rsidRPr="00A623E5">
        <w:rPr>
          <w:rFonts w:ascii="Arial" w:eastAsia="Calibri" w:hAnsi="Arial" w:cs="Arial"/>
          <w:sz w:val="22"/>
          <w:szCs w:val="22"/>
        </w:rPr>
        <w:t xml:space="preserve">(2023) 'British Thoracic Society clinical statement on pleural procedures', </w:t>
      </w:r>
      <w:r w:rsidRPr="00A623E5">
        <w:rPr>
          <w:rFonts w:ascii="Arial" w:eastAsia="Calibri" w:hAnsi="Arial" w:cs="Arial"/>
          <w:i/>
          <w:iCs/>
          <w:sz w:val="22"/>
          <w:szCs w:val="22"/>
        </w:rPr>
        <w:t>Thorax</w:t>
      </w:r>
      <w:r w:rsidRPr="00A623E5">
        <w:rPr>
          <w:rFonts w:ascii="Arial" w:eastAsia="Calibri" w:hAnsi="Arial" w:cs="Arial"/>
          <w:sz w:val="22"/>
          <w:szCs w:val="22"/>
        </w:rPr>
        <w:t>, 78(Suppl 3), pp. s43-s68.</w:t>
      </w:r>
      <w:r w:rsidRPr="00A623E5">
        <w:rPr>
          <w:rFonts w:ascii="Arial" w:hAnsi="Arial" w:cs="Arial"/>
          <w:sz w:val="22"/>
          <w:szCs w:val="22"/>
        </w:rPr>
        <w:t xml:space="preserve"> Available at: </w:t>
      </w:r>
      <w:r w:rsidRPr="00A623E5">
        <w:rPr>
          <w:rFonts w:ascii="Arial" w:eastAsia="Calibri" w:hAnsi="Arial" w:cs="Arial"/>
          <w:sz w:val="22"/>
          <w:szCs w:val="22"/>
        </w:rPr>
        <w:t xml:space="preserve"> </w:t>
      </w:r>
      <w:hyperlink r:id="rId15" w:history="1">
        <w:r w:rsidRPr="00A623E5">
          <w:rPr>
            <w:rStyle w:val="Hyperlink"/>
            <w:rFonts w:ascii="Arial" w:hAnsi="Arial" w:cs="Arial"/>
            <w:sz w:val="22"/>
            <w:szCs w:val="22"/>
          </w:rPr>
          <w:t>https://pubmed.ncbi.nlm.nih.gov/37433579/</w:t>
        </w:r>
      </w:hyperlink>
      <w:r w:rsidRPr="00A623E5">
        <w:rPr>
          <w:rFonts w:ascii="Arial" w:hAnsi="Arial" w:cs="Arial"/>
          <w:sz w:val="22"/>
          <w:szCs w:val="22"/>
        </w:rPr>
        <w:t xml:space="preserve"> (Accessed: 8 August 2026).</w:t>
      </w:r>
    </w:p>
    <w:p w14:paraId="7CB913B0"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Augustsson, H., Churruca, K. and Braithwaite, J. (2019) </w:t>
      </w:r>
      <w:proofErr w:type="spellStart"/>
      <w:r w:rsidRPr="00A623E5">
        <w:rPr>
          <w:rFonts w:ascii="Arial" w:eastAsia="Calibri" w:hAnsi="Arial" w:cs="Arial"/>
          <w:sz w:val="22"/>
          <w:szCs w:val="22"/>
        </w:rPr>
        <w:t>'Re</w:t>
      </w:r>
      <w:proofErr w:type="spellEnd"/>
      <w:r w:rsidRPr="00A623E5">
        <w:rPr>
          <w:rFonts w:ascii="Arial" w:eastAsia="Calibri" w:hAnsi="Arial" w:cs="Arial"/>
          <w:sz w:val="22"/>
          <w:szCs w:val="22"/>
        </w:rPr>
        <w:t xml:space="preserve">-energising the way we manage change in healthcare: the case for soft systems methodology and its application to evidence-based practice', </w:t>
      </w:r>
      <w:r w:rsidRPr="00A623E5">
        <w:rPr>
          <w:rFonts w:ascii="Arial" w:eastAsia="Calibri" w:hAnsi="Arial" w:cs="Arial"/>
          <w:i/>
          <w:iCs/>
          <w:sz w:val="22"/>
          <w:szCs w:val="22"/>
        </w:rPr>
        <w:t>BMC Health Services Research</w:t>
      </w:r>
      <w:r w:rsidRPr="00A623E5">
        <w:rPr>
          <w:rFonts w:ascii="Arial" w:eastAsia="Calibri" w:hAnsi="Arial" w:cs="Arial"/>
          <w:sz w:val="22"/>
          <w:szCs w:val="22"/>
        </w:rPr>
        <w:t>, 19, 666.</w:t>
      </w:r>
      <w:r w:rsidRPr="00A623E5">
        <w:rPr>
          <w:rFonts w:ascii="Arial" w:hAnsi="Arial" w:cs="Arial"/>
          <w:sz w:val="22"/>
          <w:szCs w:val="22"/>
        </w:rPr>
        <w:t xml:space="preserve"> Available at:</w:t>
      </w:r>
      <w:r w:rsidRPr="00A623E5">
        <w:rPr>
          <w:rFonts w:ascii="Arial" w:eastAsia="Calibri" w:hAnsi="Arial" w:cs="Arial"/>
          <w:sz w:val="22"/>
          <w:szCs w:val="22"/>
        </w:rPr>
        <w:t xml:space="preserve"> </w:t>
      </w:r>
      <w:hyperlink r:id="rId16" w:history="1">
        <w:r w:rsidRPr="00A623E5">
          <w:rPr>
            <w:rStyle w:val="Hyperlink"/>
            <w:rFonts w:ascii="Arial" w:hAnsi="Arial" w:cs="Arial"/>
            <w:sz w:val="22"/>
            <w:szCs w:val="22"/>
          </w:rPr>
          <w:t>https://pubmed.ncbi.nlm.nih.gov/31521156/</w:t>
        </w:r>
      </w:hyperlink>
      <w:r w:rsidRPr="00A623E5">
        <w:rPr>
          <w:rFonts w:ascii="Arial" w:hAnsi="Arial" w:cs="Arial"/>
          <w:sz w:val="22"/>
          <w:szCs w:val="22"/>
        </w:rPr>
        <w:t xml:space="preserve"> (Accessed: 3 August 2026).</w:t>
      </w:r>
    </w:p>
    <w:p w14:paraId="63354497"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Bristol-Myers Squibb-Pfizer (2024) Eliquis 5 mg film-coated tablets: Summary of Product Characteristics. Available at: </w:t>
      </w:r>
      <w:hyperlink r:id="rId17" w:history="1">
        <w:r w:rsidRPr="00A623E5">
          <w:rPr>
            <w:rStyle w:val="Hyperlink"/>
            <w:rFonts w:ascii="Arial" w:eastAsia="Calibri" w:hAnsi="Arial" w:cs="Arial"/>
            <w:sz w:val="22"/>
            <w:szCs w:val="22"/>
          </w:rPr>
          <w:t>https://www.medicines.org.uk/emc/product/2878/smpc</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3 </w:t>
      </w:r>
      <w:r w:rsidRPr="00A623E5">
        <w:rPr>
          <w:rFonts w:ascii="Arial" w:eastAsia="Calibri" w:hAnsi="Arial" w:cs="Arial"/>
          <w:sz w:val="22"/>
          <w:szCs w:val="22"/>
        </w:rPr>
        <w:t>August 2026).</w:t>
      </w:r>
    </w:p>
    <w:p w14:paraId="0D95463A"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Buttigieg, S.C., Riva, N., Tomaselli, G., Said, E., Grech, E. and Cassar, V. (2023) 'PROTOCOL: Do hospital leadership styles predict patient safety indicators? A systematic review', </w:t>
      </w:r>
      <w:r w:rsidRPr="00A623E5">
        <w:rPr>
          <w:rFonts w:ascii="Arial" w:eastAsia="Calibri" w:hAnsi="Arial" w:cs="Arial"/>
          <w:i/>
          <w:iCs/>
          <w:sz w:val="22"/>
          <w:szCs w:val="22"/>
        </w:rPr>
        <w:t>Campbell Systematic Reviews</w:t>
      </w:r>
      <w:r w:rsidRPr="00A623E5">
        <w:rPr>
          <w:rFonts w:ascii="Arial" w:eastAsia="Calibri" w:hAnsi="Arial" w:cs="Arial"/>
          <w:sz w:val="22"/>
          <w:szCs w:val="22"/>
        </w:rPr>
        <w:t xml:space="preserve">, 19(2), e1338. </w:t>
      </w:r>
      <w:r w:rsidRPr="00A623E5">
        <w:rPr>
          <w:rFonts w:ascii="Arial" w:hAnsi="Arial" w:cs="Arial"/>
          <w:sz w:val="22"/>
          <w:szCs w:val="22"/>
        </w:rPr>
        <w:t>Available at:</w:t>
      </w:r>
      <w:r w:rsidRPr="00A623E5">
        <w:rPr>
          <w:rFonts w:ascii="Arial" w:eastAsia="Calibri" w:hAnsi="Arial" w:cs="Arial"/>
          <w:sz w:val="22"/>
          <w:szCs w:val="22"/>
        </w:rPr>
        <w:t xml:space="preserve"> </w:t>
      </w:r>
      <w:hyperlink r:id="rId18" w:history="1">
        <w:r w:rsidRPr="00A623E5">
          <w:rPr>
            <w:rStyle w:val="Hyperlink"/>
            <w:rFonts w:ascii="Arial" w:hAnsi="Arial" w:cs="Arial"/>
            <w:sz w:val="22"/>
            <w:szCs w:val="22"/>
          </w:rPr>
          <w:t>https://pubmed.ncbi.nlm.nih.gov/37425619/</w:t>
        </w:r>
      </w:hyperlink>
      <w:r w:rsidRPr="00A623E5">
        <w:rPr>
          <w:rFonts w:ascii="Arial" w:hAnsi="Arial" w:cs="Arial"/>
          <w:sz w:val="22"/>
          <w:szCs w:val="22"/>
        </w:rPr>
        <w:t xml:space="preserve"> </w:t>
      </w:r>
      <w:r w:rsidRPr="00A623E5">
        <w:rPr>
          <w:rFonts w:ascii="Arial" w:eastAsia="Calibri" w:hAnsi="Arial" w:cs="Arial"/>
          <w:sz w:val="22"/>
          <w:szCs w:val="22"/>
        </w:rPr>
        <w:t xml:space="preserve">(Accessed: </w:t>
      </w:r>
      <w:r w:rsidRPr="00A623E5">
        <w:rPr>
          <w:rFonts w:ascii="Arial" w:hAnsi="Arial" w:cs="Arial"/>
          <w:sz w:val="22"/>
          <w:szCs w:val="22"/>
        </w:rPr>
        <w:t>5 August</w:t>
      </w:r>
      <w:r w:rsidRPr="00A623E5">
        <w:rPr>
          <w:rFonts w:ascii="Arial" w:eastAsia="Calibri" w:hAnsi="Arial" w:cs="Arial"/>
          <w:sz w:val="22"/>
          <w:szCs w:val="22"/>
        </w:rPr>
        <w:t xml:space="preserve"> 2026).</w:t>
      </w:r>
    </w:p>
    <w:p w14:paraId="32B3CBBB" w14:textId="77777777" w:rsid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Care Quality Commission (202</w:t>
      </w:r>
      <w:r w:rsidRPr="00A623E5">
        <w:rPr>
          <w:rFonts w:ascii="Arial" w:hAnsi="Arial" w:cs="Arial"/>
          <w:sz w:val="22"/>
          <w:szCs w:val="22"/>
        </w:rPr>
        <w:t>5</w:t>
      </w:r>
      <w:r w:rsidRPr="00A623E5">
        <w:rPr>
          <w:rFonts w:ascii="Arial" w:eastAsia="Calibri" w:hAnsi="Arial" w:cs="Arial"/>
          <w:sz w:val="22"/>
          <w:szCs w:val="22"/>
        </w:rPr>
        <w:t xml:space="preserve">) </w:t>
      </w:r>
      <w:r w:rsidRPr="00A623E5">
        <w:rPr>
          <w:rFonts w:ascii="Arial" w:eastAsia="Calibri" w:hAnsi="Arial" w:cs="Arial"/>
          <w:i/>
          <w:iCs/>
          <w:sz w:val="22"/>
          <w:szCs w:val="22"/>
        </w:rPr>
        <w:t>Regulation 20: Duty of candour</w:t>
      </w:r>
      <w:r w:rsidRPr="00A623E5">
        <w:rPr>
          <w:rFonts w:ascii="Arial" w:eastAsia="Calibri" w:hAnsi="Arial" w:cs="Arial"/>
          <w:sz w:val="22"/>
          <w:szCs w:val="22"/>
        </w:rPr>
        <w:t xml:space="preserve">. Available at: </w:t>
      </w:r>
      <w:hyperlink r:id="rId19" w:history="1">
        <w:r w:rsidRPr="00A623E5">
          <w:rPr>
            <w:rStyle w:val="Hyperlink"/>
            <w:rFonts w:ascii="Arial" w:eastAsia="Calibri" w:hAnsi="Arial" w:cs="Arial"/>
            <w:sz w:val="22"/>
            <w:szCs w:val="22"/>
          </w:rPr>
          <w:t>https://www.cqc.org.uk/guidance-regulation/providers/regulations-service-providers-and-managers/health-social-care-act/regulation-20</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8 </w:t>
      </w:r>
      <w:r w:rsidRPr="00A623E5">
        <w:rPr>
          <w:rFonts w:ascii="Arial" w:eastAsia="Calibri" w:hAnsi="Arial" w:cs="Arial"/>
          <w:sz w:val="22"/>
          <w:szCs w:val="22"/>
        </w:rPr>
        <w:t>August 2026).</w:t>
      </w:r>
      <w:r w:rsidRPr="00A623E5">
        <w:rPr>
          <w:rFonts w:ascii="Arial" w:hAnsi="Arial" w:cs="Arial"/>
          <w:sz w:val="22"/>
          <w:szCs w:val="22"/>
        </w:rPr>
        <w:t xml:space="preserve"> </w:t>
      </w:r>
    </w:p>
    <w:p w14:paraId="30002853" w14:textId="0C9E4C2F" w:rsidR="00A623E5" w:rsidRPr="00A623E5" w:rsidRDefault="00A623E5" w:rsidP="00A623E5">
      <w:pPr>
        <w:spacing w:after="140" w:line="264" w:lineRule="auto"/>
        <w:ind w:left="400" w:hanging="400"/>
        <w:rPr>
          <w:rFonts w:ascii="Arial" w:hAnsi="Arial" w:cs="Arial"/>
          <w:sz w:val="22"/>
          <w:szCs w:val="22"/>
        </w:rPr>
      </w:pPr>
      <w:r w:rsidRPr="00A623E5">
        <w:rPr>
          <w:rFonts w:ascii="Arial" w:hAnsi="Arial" w:cs="Arial"/>
          <w:sz w:val="22"/>
          <w:szCs w:val="22"/>
        </w:rPr>
        <w:t xml:space="preserve">Elliott, R.A., Camacho, E., Jankovic, D., Sculpher, M.J. and Faria, R. (2021) 'Economic analysis of the prevalence and clinical and economic burden of medication error in England', </w:t>
      </w:r>
      <w:r w:rsidRPr="00A623E5">
        <w:rPr>
          <w:rFonts w:ascii="Arial" w:hAnsi="Arial" w:cs="Arial"/>
          <w:i/>
          <w:iCs/>
          <w:sz w:val="22"/>
          <w:szCs w:val="22"/>
        </w:rPr>
        <w:t>BMJ Quality &amp; Safety</w:t>
      </w:r>
      <w:r w:rsidRPr="00A623E5">
        <w:rPr>
          <w:rFonts w:ascii="Arial" w:hAnsi="Arial" w:cs="Arial"/>
          <w:sz w:val="22"/>
          <w:szCs w:val="22"/>
        </w:rPr>
        <w:t xml:space="preserve">, 30(2), pp. 96–105. Available at: </w:t>
      </w:r>
      <w:hyperlink r:id="rId20" w:history="1">
        <w:r w:rsidRPr="00AD26F6">
          <w:rPr>
            <w:rStyle w:val="Hyperlink"/>
            <w:rFonts w:ascii="Arial" w:hAnsi="Arial" w:cs="Arial"/>
            <w:sz w:val="22"/>
            <w:szCs w:val="22"/>
          </w:rPr>
          <w:t>https://qualitysafety.bmj.com/content/30/2/96</w:t>
        </w:r>
      </w:hyperlink>
      <w:r>
        <w:rPr>
          <w:rFonts w:ascii="Arial" w:hAnsi="Arial" w:cs="Arial"/>
          <w:sz w:val="22"/>
          <w:szCs w:val="22"/>
        </w:rPr>
        <w:t xml:space="preserve"> </w:t>
      </w:r>
      <w:r w:rsidRPr="00A623E5">
        <w:rPr>
          <w:rFonts w:ascii="Arial" w:hAnsi="Arial" w:cs="Arial"/>
          <w:sz w:val="22"/>
          <w:szCs w:val="22"/>
        </w:rPr>
        <w:t xml:space="preserve"> (Accessed: 8 August 2026).</w:t>
      </w:r>
      <w:r>
        <w:rPr>
          <w:rFonts w:ascii="Arial" w:hAnsi="Arial" w:cs="Arial"/>
          <w:sz w:val="22"/>
          <w:szCs w:val="22"/>
        </w:rPr>
        <w:t xml:space="preserve"> </w:t>
      </w:r>
    </w:p>
    <w:p w14:paraId="369B824D"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General Medical Council (2024) </w:t>
      </w:r>
      <w:r w:rsidRPr="00A623E5">
        <w:rPr>
          <w:rFonts w:ascii="Arial" w:eastAsia="Calibri" w:hAnsi="Arial" w:cs="Arial"/>
          <w:i/>
          <w:iCs/>
          <w:sz w:val="22"/>
          <w:szCs w:val="22"/>
        </w:rPr>
        <w:t>Good medical practice.</w:t>
      </w:r>
      <w:r w:rsidRPr="00A623E5">
        <w:rPr>
          <w:rFonts w:ascii="Arial" w:eastAsia="Calibri" w:hAnsi="Arial" w:cs="Arial"/>
          <w:sz w:val="22"/>
          <w:szCs w:val="22"/>
        </w:rPr>
        <w:t xml:space="preserve"> Available at: </w:t>
      </w:r>
      <w:hyperlink r:id="rId21" w:history="1">
        <w:r w:rsidRPr="00A623E5">
          <w:rPr>
            <w:rStyle w:val="Hyperlink"/>
            <w:rFonts w:ascii="Arial" w:eastAsia="Calibri" w:hAnsi="Arial" w:cs="Arial"/>
            <w:sz w:val="22"/>
            <w:szCs w:val="22"/>
          </w:rPr>
          <w:t>https://www.gmc-uk.org/professional-standards/the-professional-standards/good-medical-practice</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1 </w:t>
      </w:r>
      <w:r w:rsidRPr="00A623E5">
        <w:rPr>
          <w:rFonts w:ascii="Arial" w:eastAsia="Calibri" w:hAnsi="Arial" w:cs="Arial"/>
          <w:sz w:val="22"/>
          <w:szCs w:val="22"/>
        </w:rPr>
        <w:t>August 2026).</w:t>
      </w:r>
    </w:p>
    <w:p w14:paraId="06E294C0"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Health Services Safety Investigations Body (2023) </w:t>
      </w:r>
      <w:r w:rsidRPr="00A623E5">
        <w:rPr>
          <w:rFonts w:ascii="Arial" w:eastAsia="Calibri" w:hAnsi="Arial" w:cs="Arial"/>
          <w:i/>
          <w:iCs/>
          <w:sz w:val="22"/>
          <w:szCs w:val="22"/>
        </w:rPr>
        <w:t>Continuity of care: delayed diagnosis in GP practices.</w:t>
      </w:r>
      <w:r w:rsidRPr="00A623E5">
        <w:rPr>
          <w:rFonts w:ascii="Arial" w:eastAsia="Calibri" w:hAnsi="Arial" w:cs="Arial"/>
          <w:sz w:val="22"/>
          <w:szCs w:val="22"/>
        </w:rPr>
        <w:t xml:space="preserve"> Available at: </w:t>
      </w:r>
      <w:hyperlink r:id="rId22" w:history="1">
        <w:r w:rsidRPr="00A623E5">
          <w:rPr>
            <w:rStyle w:val="Hyperlink"/>
            <w:rFonts w:ascii="Arial" w:eastAsia="Calibri" w:hAnsi="Arial" w:cs="Arial"/>
            <w:sz w:val="22"/>
            <w:szCs w:val="22"/>
          </w:rPr>
          <w:t>https://www.hssib.org.uk/patient-safety-investigations/continuity-of-care-delayed-diagnosis-in-gp-practices/</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1 </w:t>
      </w:r>
      <w:r w:rsidRPr="00A623E5">
        <w:rPr>
          <w:rFonts w:ascii="Arial" w:eastAsia="Calibri" w:hAnsi="Arial" w:cs="Arial"/>
          <w:sz w:val="22"/>
          <w:szCs w:val="22"/>
        </w:rPr>
        <w:t>August 2026).</w:t>
      </w:r>
    </w:p>
    <w:p w14:paraId="3D7135E2"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lastRenderedPageBreak/>
        <w:t xml:space="preserve">Health Services Safety Investigations Body (2025) Medication not given: anticoagulation before and after a procedure. Available at: </w:t>
      </w:r>
      <w:hyperlink r:id="rId23" w:history="1">
        <w:r w:rsidRPr="00A623E5">
          <w:rPr>
            <w:rStyle w:val="Hyperlink"/>
            <w:rFonts w:ascii="Arial" w:hAnsi="Arial" w:cs="Arial"/>
            <w:sz w:val="22"/>
            <w:szCs w:val="22"/>
          </w:rPr>
          <w:t>https://www.hssib.org.uk/patient-safety-investigations/medication-related-harm/second-investigation-report/</w:t>
        </w:r>
      </w:hyperlink>
      <w:r w:rsidRPr="00A623E5">
        <w:rPr>
          <w:rFonts w:ascii="Arial" w:hAnsi="Arial" w:cs="Arial"/>
          <w:sz w:val="22"/>
          <w:szCs w:val="22"/>
        </w:rPr>
        <w:t xml:space="preserve"> </w:t>
      </w:r>
      <w:r w:rsidRPr="00A623E5">
        <w:rPr>
          <w:rFonts w:ascii="Arial" w:eastAsia="Calibri" w:hAnsi="Arial" w:cs="Arial"/>
          <w:sz w:val="22"/>
          <w:szCs w:val="22"/>
        </w:rPr>
        <w:t xml:space="preserve">(Accessed: </w:t>
      </w:r>
      <w:r w:rsidRPr="00A623E5">
        <w:rPr>
          <w:rFonts w:ascii="Arial" w:hAnsi="Arial" w:cs="Arial"/>
          <w:sz w:val="22"/>
          <w:szCs w:val="22"/>
        </w:rPr>
        <w:t xml:space="preserve">3 </w:t>
      </w:r>
      <w:r w:rsidRPr="00A623E5">
        <w:rPr>
          <w:rFonts w:ascii="Arial" w:eastAsia="Calibri" w:hAnsi="Arial" w:cs="Arial"/>
          <w:sz w:val="22"/>
          <w:szCs w:val="22"/>
        </w:rPr>
        <w:t>August 2026).</w:t>
      </w:r>
    </w:p>
    <w:p w14:paraId="3B2CF86B"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Healthcare Safety Investigation Branch (2019) Electronic prescribing and medicines administration systems and safe discharge. Available at: </w:t>
      </w:r>
      <w:hyperlink r:id="rId24" w:history="1">
        <w:r w:rsidRPr="00A623E5">
          <w:rPr>
            <w:rStyle w:val="Hyperlink"/>
            <w:rFonts w:ascii="Arial" w:eastAsia="Calibri" w:hAnsi="Arial" w:cs="Arial"/>
            <w:sz w:val="22"/>
            <w:szCs w:val="22"/>
          </w:rPr>
          <w:t>https://www.hssib.org.uk/patient-safety-investigations/electronic-prescribing-and-medicines-administration-systems-and-safe-discharge/</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3 </w:t>
      </w:r>
      <w:r w:rsidRPr="00A623E5">
        <w:rPr>
          <w:rFonts w:ascii="Arial" w:eastAsia="Calibri" w:hAnsi="Arial" w:cs="Arial"/>
          <w:sz w:val="22"/>
          <w:szCs w:val="22"/>
        </w:rPr>
        <w:t>August 2026).</w:t>
      </w:r>
    </w:p>
    <w:p w14:paraId="4742E821"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Healthcare Safety Investigation Branch (2022) Weight-based medication errors in children. Available at: </w:t>
      </w:r>
      <w:hyperlink r:id="rId25" w:history="1">
        <w:r w:rsidRPr="00A623E5">
          <w:rPr>
            <w:rStyle w:val="Hyperlink"/>
            <w:rFonts w:ascii="Arial" w:eastAsia="Calibri" w:hAnsi="Arial" w:cs="Arial"/>
            <w:sz w:val="22"/>
            <w:szCs w:val="22"/>
          </w:rPr>
          <w:t>https://www.hssib.org.uk/patient-safety-investigations/weight-based-medication-errors-in-children/</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4 </w:t>
      </w:r>
      <w:r w:rsidRPr="00A623E5">
        <w:rPr>
          <w:rFonts w:ascii="Arial" w:eastAsia="Calibri" w:hAnsi="Arial" w:cs="Arial"/>
          <w:sz w:val="22"/>
          <w:szCs w:val="22"/>
        </w:rPr>
        <w:t>August 2026).</w:t>
      </w:r>
    </w:p>
    <w:p w14:paraId="7B2967DC" w14:textId="0356BC6F" w:rsidR="00A623E5" w:rsidRDefault="00A623E5" w:rsidP="00A623E5">
      <w:pPr>
        <w:spacing w:after="140" w:line="264" w:lineRule="auto"/>
        <w:ind w:left="400" w:hanging="400"/>
        <w:rPr>
          <w:rFonts w:ascii="Arial" w:eastAsia="Calibri" w:hAnsi="Arial" w:cs="Arial"/>
          <w:sz w:val="22"/>
          <w:szCs w:val="22"/>
        </w:rPr>
      </w:pPr>
      <w:r w:rsidRPr="00A623E5">
        <w:rPr>
          <w:rFonts w:ascii="Arial" w:eastAsia="Calibri" w:hAnsi="Arial" w:cs="Arial"/>
          <w:sz w:val="22"/>
          <w:szCs w:val="22"/>
        </w:rPr>
        <w:t xml:space="preserve">Institute for Safe Medication Practices (2024) </w:t>
      </w:r>
      <w:r w:rsidRPr="00A623E5">
        <w:rPr>
          <w:rFonts w:ascii="Arial" w:eastAsia="Calibri" w:hAnsi="Arial" w:cs="Arial"/>
          <w:i/>
          <w:iCs/>
          <w:sz w:val="22"/>
          <w:szCs w:val="22"/>
        </w:rPr>
        <w:t xml:space="preserve">A Safer World by Preventing Medication Errors. </w:t>
      </w:r>
      <w:r w:rsidRPr="00A623E5">
        <w:rPr>
          <w:rFonts w:ascii="Arial" w:eastAsia="Calibri" w:hAnsi="Arial" w:cs="Arial"/>
          <w:sz w:val="22"/>
          <w:szCs w:val="22"/>
        </w:rPr>
        <w:t xml:space="preserve">Available at: </w:t>
      </w:r>
      <w:hyperlink r:id="rId26" w:history="1">
        <w:r w:rsidRPr="00AD26F6">
          <w:rPr>
            <w:rStyle w:val="Hyperlink"/>
            <w:rFonts w:ascii="Arial" w:eastAsia="Calibri" w:hAnsi="Arial" w:cs="Arial"/>
            <w:sz w:val="22"/>
            <w:szCs w:val="22"/>
          </w:rPr>
          <w:t>https://www.ismp.org</w:t>
        </w:r>
      </w:hyperlink>
      <w:r>
        <w:rPr>
          <w:rFonts w:ascii="Arial" w:eastAsia="Calibri" w:hAnsi="Arial" w:cs="Arial"/>
          <w:sz w:val="22"/>
          <w:szCs w:val="22"/>
        </w:rPr>
        <w:t xml:space="preserve"> </w:t>
      </w:r>
      <w:r w:rsidRPr="00A623E5">
        <w:rPr>
          <w:rFonts w:ascii="Arial" w:eastAsia="Calibri" w:hAnsi="Arial" w:cs="Arial"/>
          <w:sz w:val="22"/>
          <w:szCs w:val="22"/>
        </w:rPr>
        <w:t>(Accessed: August 2026).</w:t>
      </w:r>
    </w:p>
    <w:p w14:paraId="04172EE4" w14:textId="68D62A80"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Keeling, D., Tait, R.C. and Watson, H. (2016) 'Peri-operative management of anticoagulation and antiplatelet therapy', </w:t>
      </w:r>
      <w:r w:rsidRPr="00A623E5">
        <w:rPr>
          <w:rFonts w:ascii="Arial" w:eastAsia="Calibri" w:hAnsi="Arial" w:cs="Arial"/>
          <w:i/>
          <w:iCs/>
          <w:sz w:val="22"/>
          <w:szCs w:val="22"/>
        </w:rPr>
        <w:t>British Journal of Haematology</w:t>
      </w:r>
      <w:r w:rsidRPr="00A623E5">
        <w:rPr>
          <w:rFonts w:ascii="Arial" w:eastAsia="Calibri" w:hAnsi="Arial" w:cs="Arial"/>
          <w:sz w:val="22"/>
          <w:szCs w:val="22"/>
        </w:rPr>
        <w:t xml:space="preserve">, 175(4), pp. 602-613. </w:t>
      </w:r>
      <w:proofErr w:type="spellStart"/>
      <w:r w:rsidRPr="00A623E5">
        <w:rPr>
          <w:rFonts w:ascii="Arial" w:eastAsia="Calibri" w:hAnsi="Arial" w:cs="Arial"/>
          <w:sz w:val="22"/>
          <w:szCs w:val="22"/>
        </w:rPr>
        <w:t>doi</w:t>
      </w:r>
      <w:proofErr w:type="spellEnd"/>
      <w:r w:rsidRPr="00A623E5">
        <w:rPr>
          <w:rFonts w:ascii="Arial" w:eastAsia="Calibri" w:hAnsi="Arial" w:cs="Arial"/>
          <w:sz w:val="22"/>
          <w:szCs w:val="22"/>
        </w:rPr>
        <w:t>: 10.1111/bjh.14344.</w:t>
      </w:r>
    </w:p>
    <w:p w14:paraId="086E9EF3" w14:textId="77777777" w:rsidR="00A623E5" w:rsidRPr="00A623E5" w:rsidRDefault="00A623E5" w:rsidP="00A623E5">
      <w:pPr>
        <w:spacing w:after="140" w:line="264" w:lineRule="auto"/>
        <w:ind w:left="400" w:hanging="400"/>
        <w:rPr>
          <w:rFonts w:ascii="Arial" w:hAnsi="Arial" w:cs="Arial"/>
          <w:sz w:val="22"/>
          <w:szCs w:val="22"/>
        </w:rPr>
      </w:pPr>
      <w:r w:rsidRPr="006D1B61">
        <w:rPr>
          <w:rFonts w:ascii="Arial" w:eastAsia="Calibri" w:hAnsi="Arial" w:cs="Arial"/>
          <w:sz w:val="22"/>
          <w:szCs w:val="22"/>
          <w:lang w:val="nl-NL"/>
        </w:rPr>
        <w:t xml:space="preserve">Lester, W., Bent, C., Nokes, T. et al. </w:t>
      </w:r>
      <w:r w:rsidRPr="00A623E5">
        <w:rPr>
          <w:rFonts w:ascii="Arial" w:eastAsia="Calibri" w:hAnsi="Arial" w:cs="Arial"/>
          <w:sz w:val="22"/>
          <w:szCs w:val="22"/>
        </w:rPr>
        <w:t xml:space="preserve">(2024) 'A British Society for Haematology guideline on the assessment and management of bleeding risk prior to invasive procedures', </w:t>
      </w:r>
      <w:r w:rsidRPr="00A623E5">
        <w:rPr>
          <w:rFonts w:ascii="Arial" w:eastAsia="Calibri" w:hAnsi="Arial" w:cs="Arial"/>
          <w:i/>
          <w:iCs/>
          <w:sz w:val="22"/>
          <w:szCs w:val="22"/>
        </w:rPr>
        <w:t>British Journal of Haematology</w:t>
      </w:r>
      <w:r w:rsidRPr="00A623E5">
        <w:rPr>
          <w:rFonts w:ascii="Arial" w:eastAsia="Calibri" w:hAnsi="Arial" w:cs="Arial"/>
          <w:sz w:val="22"/>
          <w:szCs w:val="22"/>
        </w:rPr>
        <w:t xml:space="preserve">, 204(5), pp. 1697-1713. </w:t>
      </w:r>
      <w:proofErr w:type="spellStart"/>
      <w:r w:rsidRPr="00A623E5">
        <w:rPr>
          <w:rFonts w:ascii="Arial" w:eastAsia="Calibri" w:hAnsi="Arial" w:cs="Arial"/>
          <w:sz w:val="22"/>
          <w:szCs w:val="22"/>
        </w:rPr>
        <w:t>doi</w:t>
      </w:r>
      <w:proofErr w:type="spellEnd"/>
      <w:r w:rsidRPr="00A623E5">
        <w:rPr>
          <w:rFonts w:ascii="Arial" w:eastAsia="Calibri" w:hAnsi="Arial" w:cs="Arial"/>
          <w:sz w:val="22"/>
          <w:szCs w:val="22"/>
        </w:rPr>
        <w:t>: 10.1111/bjh.19230.</w:t>
      </w:r>
    </w:p>
    <w:p w14:paraId="16D473A5"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National Institute for Health and Care Excellence (2021) </w:t>
      </w:r>
      <w:r w:rsidRPr="00A623E5">
        <w:rPr>
          <w:rFonts w:ascii="Arial" w:eastAsia="Calibri" w:hAnsi="Arial" w:cs="Arial"/>
          <w:i/>
          <w:iCs/>
          <w:sz w:val="22"/>
          <w:szCs w:val="22"/>
        </w:rPr>
        <w:t>Atrial fibrillation: diagnosis and management</w:t>
      </w:r>
      <w:r w:rsidRPr="00A623E5">
        <w:rPr>
          <w:rFonts w:ascii="Arial" w:eastAsia="Calibri" w:hAnsi="Arial" w:cs="Arial"/>
          <w:sz w:val="22"/>
          <w:szCs w:val="22"/>
        </w:rPr>
        <w:t xml:space="preserve">. NICE guideline NG196. Available at: </w:t>
      </w:r>
      <w:hyperlink r:id="rId27" w:history="1">
        <w:r w:rsidRPr="00A623E5">
          <w:rPr>
            <w:rStyle w:val="Hyperlink"/>
            <w:rFonts w:ascii="Arial" w:eastAsia="Calibri" w:hAnsi="Arial" w:cs="Arial"/>
            <w:sz w:val="22"/>
            <w:szCs w:val="22"/>
          </w:rPr>
          <w:t>https://www.nice.org.uk/guidance/ng196</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8 </w:t>
      </w:r>
      <w:r w:rsidRPr="00A623E5">
        <w:rPr>
          <w:rFonts w:ascii="Arial" w:eastAsia="Calibri" w:hAnsi="Arial" w:cs="Arial"/>
          <w:sz w:val="22"/>
          <w:szCs w:val="22"/>
        </w:rPr>
        <w:t>August 2026).</w:t>
      </w:r>
    </w:p>
    <w:p w14:paraId="6F655096"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NHS (2021a) </w:t>
      </w:r>
      <w:r w:rsidRPr="00A623E5">
        <w:rPr>
          <w:rFonts w:ascii="Arial" w:hAnsi="Arial" w:cs="Arial"/>
          <w:i/>
          <w:iCs/>
          <w:sz w:val="22"/>
          <w:szCs w:val="22"/>
        </w:rPr>
        <w:t xml:space="preserve">DVT (deep vein thrombosis). </w:t>
      </w:r>
      <w:r w:rsidRPr="00A623E5">
        <w:rPr>
          <w:rFonts w:ascii="Arial" w:eastAsia="Calibri" w:hAnsi="Arial" w:cs="Arial"/>
          <w:sz w:val="22"/>
          <w:szCs w:val="22"/>
        </w:rPr>
        <w:t xml:space="preserve">Available at: </w:t>
      </w:r>
      <w:hyperlink r:id="rId28" w:history="1">
        <w:r w:rsidRPr="00A623E5">
          <w:rPr>
            <w:rStyle w:val="Hyperlink"/>
            <w:rFonts w:ascii="Arial" w:eastAsia="Calibri" w:hAnsi="Arial" w:cs="Arial"/>
            <w:sz w:val="22"/>
            <w:szCs w:val="22"/>
          </w:rPr>
          <w:t>https://www.nhs.uk/conditions/blood-clots/</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5 </w:t>
      </w:r>
      <w:r w:rsidRPr="00A623E5">
        <w:rPr>
          <w:rFonts w:ascii="Arial" w:eastAsia="Calibri" w:hAnsi="Arial" w:cs="Arial"/>
          <w:sz w:val="22"/>
          <w:szCs w:val="22"/>
        </w:rPr>
        <w:t>August 2026).</w:t>
      </w:r>
    </w:p>
    <w:p w14:paraId="1CD18DEB"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NHS (2021b) </w:t>
      </w:r>
      <w:r w:rsidRPr="00A623E5">
        <w:rPr>
          <w:rFonts w:ascii="Arial" w:eastAsia="Calibri" w:hAnsi="Arial" w:cs="Arial"/>
          <w:i/>
          <w:iCs/>
          <w:sz w:val="22"/>
          <w:szCs w:val="22"/>
        </w:rPr>
        <w:t>Atrial fibrillation</w:t>
      </w:r>
      <w:r w:rsidRPr="00A623E5">
        <w:rPr>
          <w:rFonts w:ascii="Arial" w:eastAsia="Calibri" w:hAnsi="Arial" w:cs="Arial"/>
          <w:sz w:val="22"/>
          <w:szCs w:val="22"/>
        </w:rPr>
        <w:t xml:space="preserve">. Available at: </w:t>
      </w:r>
      <w:hyperlink r:id="rId29" w:history="1">
        <w:r w:rsidRPr="00A623E5">
          <w:rPr>
            <w:rStyle w:val="Hyperlink"/>
            <w:rFonts w:ascii="Arial" w:eastAsia="Calibri" w:hAnsi="Arial" w:cs="Arial"/>
            <w:sz w:val="22"/>
            <w:szCs w:val="22"/>
          </w:rPr>
          <w:t>https://www.nhs.uk/conditions/atrial-fibrillation/</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5 </w:t>
      </w:r>
      <w:r w:rsidRPr="00A623E5">
        <w:rPr>
          <w:rFonts w:ascii="Arial" w:eastAsia="Calibri" w:hAnsi="Arial" w:cs="Arial"/>
          <w:sz w:val="22"/>
          <w:szCs w:val="22"/>
        </w:rPr>
        <w:t>August 2026).</w:t>
      </w:r>
    </w:p>
    <w:p w14:paraId="2E3E3AC7"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NHS England (2023) </w:t>
      </w:r>
      <w:r w:rsidRPr="00A623E5">
        <w:rPr>
          <w:rFonts w:ascii="Arial" w:eastAsia="Calibri" w:hAnsi="Arial" w:cs="Arial"/>
          <w:i/>
          <w:iCs/>
          <w:sz w:val="22"/>
          <w:szCs w:val="22"/>
        </w:rPr>
        <w:t>Thousands of lives saved by the NHS thanks to rapid rollout of blood thinners.</w:t>
      </w:r>
      <w:r w:rsidRPr="00A623E5">
        <w:rPr>
          <w:rFonts w:ascii="Arial" w:eastAsia="Calibri" w:hAnsi="Arial" w:cs="Arial"/>
          <w:sz w:val="22"/>
          <w:szCs w:val="22"/>
        </w:rPr>
        <w:t xml:space="preserve"> Available at: </w:t>
      </w:r>
      <w:hyperlink r:id="rId30" w:history="1">
        <w:r w:rsidRPr="00A623E5">
          <w:rPr>
            <w:rStyle w:val="Hyperlink"/>
            <w:rFonts w:ascii="Arial" w:eastAsia="Calibri" w:hAnsi="Arial" w:cs="Arial"/>
            <w:sz w:val="22"/>
            <w:szCs w:val="22"/>
          </w:rPr>
          <w:t>https://www.england.nhs.uk/2023/11/thousands-of-lives-saved-by-the-nhs-thanks-to-rapid-rollout-of-blood-thinners/</w:t>
        </w:r>
      </w:hyperlink>
      <w:r w:rsidRPr="00A623E5">
        <w:rPr>
          <w:rFonts w:ascii="Arial" w:hAnsi="Arial" w:cs="Arial"/>
          <w:sz w:val="22"/>
          <w:szCs w:val="22"/>
        </w:rPr>
        <w:t xml:space="preserve"> </w:t>
      </w:r>
      <w:r w:rsidRPr="00A623E5">
        <w:rPr>
          <w:rFonts w:ascii="Arial" w:eastAsia="Calibri" w:hAnsi="Arial" w:cs="Arial"/>
          <w:sz w:val="22"/>
          <w:szCs w:val="22"/>
        </w:rPr>
        <w:t xml:space="preserve"> (Accessed: August 2026).</w:t>
      </w:r>
    </w:p>
    <w:p w14:paraId="2461A5EF"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NHS England Digital (2024) </w:t>
      </w:r>
      <w:r w:rsidRPr="00A623E5">
        <w:rPr>
          <w:rFonts w:ascii="Arial" w:eastAsia="Calibri" w:hAnsi="Arial" w:cs="Arial"/>
          <w:i/>
          <w:iCs/>
          <w:sz w:val="22"/>
          <w:szCs w:val="22"/>
        </w:rPr>
        <w:t>Building healthcare software: acute, community and mental health care.</w:t>
      </w:r>
      <w:r w:rsidRPr="00A623E5">
        <w:rPr>
          <w:rFonts w:ascii="Arial" w:eastAsia="Calibri" w:hAnsi="Arial" w:cs="Arial"/>
          <w:sz w:val="22"/>
          <w:szCs w:val="22"/>
        </w:rPr>
        <w:t xml:space="preserve"> Available at: </w:t>
      </w:r>
      <w:hyperlink r:id="rId31" w:history="1">
        <w:r w:rsidRPr="00A623E5">
          <w:rPr>
            <w:rStyle w:val="Hyperlink"/>
            <w:rFonts w:ascii="Arial" w:eastAsia="Calibri" w:hAnsi="Arial" w:cs="Arial"/>
            <w:sz w:val="22"/>
            <w:szCs w:val="22"/>
          </w:rPr>
          <w:t>https://digital.nhs.uk/developer/guides-and-documentation/building-healthcare-software</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5 </w:t>
      </w:r>
      <w:r w:rsidRPr="00A623E5">
        <w:rPr>
          <w:rFonts w:ascii="Arial" w:eastAsia="Calibri" w:hAnsi="Arial" w:cs="Arial"/>
          <w:sz w:val="22"/>
          <w:szCs w:val="22"/>
        </w:rPr>
        <w:t>August 2026).</w:t>
      </w:r>
    </w:p>
    <w:p w14:paraId="512779CC"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NHS England and NHS Improvement (2019) </w:t>
      </w:r>
      <w:r w:rsidRPr="00A623E5">
        <w:rPr>
          <w:rFonts w:ascii="Arial" w:eastAsia="Calibri" w:hAnsi="Arial" w:cs="Arial"/>
          <w:i/>
          <w:iCs/>
          <w:sz w:val="22"/>
          <w:szCs w:val="22"/>
        </w:rPr>
        <w:t>The NHS patient safety strategy: safer culture, safer systems, safer patients</w:t>
      </w:r>
      <w:r w:rsidRPr="00A623E5">
        <w:rPr>
          <w:rFonts w:ascii="Arial" w:eastAsia="Calibri" w:hAnsi="Arial" w:cs="Arial"/>
          <w:sz w:val="22"/>
          <w:szCs w:val="22"/>
        </w:rPr>
        <w:t xml:space="preserve">. London: NHS England. Available at: </w:t>
      </w:r>
      <w:hyperlink r:id="rId32" w:history="1">
        <w:r w:rsidRPr="00A623E5">
          <w:rPr>
            <w:rStyle w:val="Hyperlink"/>
            <w:rFonts w:ascii="Arial" w:eastAsia="Calibri" w:hAnsi="Arial" w:cs="Arial"/>
            <w:sz w:val="22"/>
            <w:szCs w:val="22"/>
          </w:rPr>
          <w:t>https://www.england.nhs.uk/patient-safety/the-nhs-patient-safety-strategy/</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5 </w:t>
      </w:r>
      <w:r w:rsidRPr="00A623E5">
        <w:rPr>
          <w:rFonts w:ascii="Arial" w:eastAsia="Calibri" w:hAnsi="Arial" w:cs="Arial"/>
          <w:sz w:val="22"/>
          <w:szCs w:val="22"/>
        </w:rPr>
        <w:t>August 2026).</w:t>
      </w:r>
    </w:p>
    <w:p w14:paraId="727854E2"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Nuffield Trust (2026) </w:t>
      </w:r>
      <w:r w:rsidRPr="00A623E5">
        <w:rPr>
          <w:rFonts w:ascii="Arial" w:eastAsia="Calibri" w:hAnsi="Arial" w:cs="Arial"/>
          <w:i/>
          <w:iCs/>
          <w:sz w:val="22"/>
          <w:szCs w:val="22"/>
        </w:rPr>
        <w:t>The NHS workforce in numbers.</w:t>
      </w:r>
      <w:r w:rsidRPr="00A623E5">
        <w:rPr>
          <w:rFonts w:ascii="Arial" w:eastAsia="Calibri" w:hAnsi="Arial" w:cs="Arial"/>
          <w:sz w:val="22"/>
          <w:szCs w:val="22"/>
        </w:rPr>
        <w:t xml:space="preserve"> Available at: </w:t>
      </w:r>
      <w:hyperlink r:id="rId33" w:history="1">
        <w:r w:rsidRPr="00A623E5">
          <w:rPr>
            <w:rStyle w:val="Hyperlink"/>
            <w:rFonts w:ascii="Arial" w:eastAsia="Calibri" w:hAnsi="Arial" w:cs="Arial"/>
            <w:sz w:val="22"/>
            <w:szCs w:val="22"/>
          </w:rPr>
          <w:t>https://www.nuffieldtrust.org.uk/resource/the-nhs-workforce-in-numbers</w:t>
        </w:r>
      </w:hyperlink>
      <w:r w:rsidRPr="00A623E5">
        <w:rPr>
          <w:rFonts w:ascii="Arial" w:hAnsi="Arial" w:cs="Arial"/>
          <w:sz w:val="22"/>
          <w:szCs w:val="22"/>
        </w:rPr>
        <w:t xml:space="preserve"> </w:t>
      </w:r>
      <w:r w:rsidRPr="00A623E5">
        <w:rPr>
          <w:rFonts w:ascii="Arial" w:eastAsia="Calibri" w:hAnsi="Arial" w:cs="Arial"/>
          <w:sz w:val="22"/>
          <w:szCs w:val="22"/>
        </w:rPr>
        <w:t xml:space="preserve"> (Accessed: August 2026).</w:t>
      </w:r>
    </w:p>
    <w:p w14:paraId="0D5D50C6"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Roberts, M.E., Rahman, N.M., Maskell, N.A. et al. (2023) 'British Thoracic Society guideline for pleural disease', </w:t>
      </w:r>
      <w:r w:rsidRPr="00A623E5">
        <w:rPr>
          <w:rFonts w:ascii="Arial" w:eastAsia="Calibri" w:hAnsi="Arial" w:cs="Arial"/>
          <w:i/>
          <w:iCs/>
          <w:sz w:val="22"/>
          <w:szCs w:val="22"/>
        </w:rPr>
        <w:t>Thorax</w:t>
      </w:r>
      <w:r w:rsidRPr="00A623E5">
        <w:rPr>
          <w:rFonts w:ascii="Arial" w:eastAsia="Calibri" w:hAnsi="Arial" w:cs="Arial"/>
          <w:sz w:val="22"/>
          <w:szCs w:val="22"/>
        </w:rPr>
        <w:t xml:space="preserve">, 78(Suppl 3), pp. s1-s42. </w:t>
      </w:r>
      <w:proofErr w:type="spellStart"/>
      <w:r w:rsidRPr="00A623E5">
        <w:rPr>
          <w:rFonts w:ascii="Arial" w:eastAsia="Calibri" w:hAnsi="Arial" w:cs="Arial"/>
          <w:sz w:val="22"/>
          <w:szCs w:val="22"/>
        </w:rPr>
        <w:t>doi</w:t>
      </w:r>
      <w:proofErr w:type="spellEnd"/>
      <w:r w:rsidRPr="00A623E5">
        <w:rPr>
          <w:rFonts w:ascii="Arial" w:eastAsia="Calibri" w:hAnsi="Arial" w:cs="Arial"/>
          <w:sz w:val="22"/>
          <w:szCs w:val="22"/>
        </w:rPr>
        <w:t>: 10.1136/thorax-2022-219784.</w:t>
      </w:r>
    </w:p>
    <w:p w14:paraId="4FF07A58"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lastRenderedPageBreak/>
        <w:t xml:space="preserve">Royal College of Physicians (2018) Guidance on safe medical staffing: report of a working party. London: RCP. Available at: </w:t>
      </w:r>
      <w:hyperlink r:id="rId34" w:history="1">
        <w:r w:rsidRPr="00A623E5">
          <w:rPr>
            <w:rStyle w:val="Hyperlink"/>
            <w:rFonts w:ascii="Arial" w:eastAsia="Calibri" w:hAnsi="Arial" w:cs="Arial"/>
            <w:sz w:val="22"/>
            <w:szCs w:val="22"/>
          </w:rPr>
          <w:t>https://www.rcp.ac.uk/media/r2hmkfdb/safe-medical-staffing_report_web-1.pdf</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1 </w:t>
      </w:r>
      <w:r w:rsidRPr="00A623E5">
        <w:rPr>
          <w:rFonts w:ascii="Arial" w:eastAsia="Calibri" w:hAnsi="Arial" w:cs="Arial"/>
          <w:sz w:val="22"/>
          <w:szCs w:val="22"/>
        </w:rPr>
        <w:t>August 2026).</w:t>
      </w:r>
    </w:p>
    <w:p w14:paraId="57926792"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Saja, K. (2022) 'Addendum to the guideline on the peri-operative management of anti-coagulation and anti-platelet therapy', </w:t>
      </w:r>
      <w:r w:rsidRPr="00A623E5">
        <w:rPr>
          <w:rFonts w:ascii="Arial" w:eastAsia="Calibri" w:hAnsi="Arial" w:cs="Arial"/>
          <w:i/>
          <w:iCs/>
          <w:sz w:val="22"/>
          <w:szCs w:val="22"/>
        </w:rPr>
        <w:t>British Journal of Haematology</w:t>
      </w:r>
      <w:r w:rsidRPr="00A623E5">
        <w:rPr>
          <w:rFonts w:ascii="Arial" w:eastAsia="Calibri" w:hAnsi="Arial" w:cs="Arial"/>
          <w:sz w:val="22"/>
          <w:szCs w:val="22"/>
        </w:rPr>
        <w:t xml:space="preserve">, 197(2), pp. 188-189. </w:t>
      </w:r>
      <w:proofErr w:type="spellStart"/>
      <w:r w:rsidRPr="00A623E5">
        <w:rPr>
          <w:rFonts w:ascii="Arial" w:eastAsia="Calibri" w:hAnsi="Arial" w:cs="Arial"/>
          <w:sz w:val="22"/>
          <w:szCs w:val="22"/>
        </w:rPr>
        <w:t>doi</w:t>
      </w:r>
      <w:proofErr w:type="spellEnd"/>
      <w:r w:rsidRPr="00A623E5">
        <w:rPr>
          <w:rFonts w:ascii="Arial" w:eastAsia="Calibri" w:hAnsi="Arial" w:cs="Arial"/>
          <w:sz w:val="22"/>
          <w:szCs w:val="22"/>
        </w:rPr>
        <w:t>: 10.1111/bjh.18114.</w:t>
      </w:r>
    </w:p>
    <w:p w14:paraId="269C3192"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Stanton, A. and Evison, M. (2022) British Thoracic Society national audit report: pleural services 2021. Available at: https://www.brit-thoracic.org.uk/media/455963/bts-pleural-service-organisational-audit-national-report-final-v2.pdf (Accessed: </w:t>
      </w:r>
      <w:r w:rsidRPr="00A623E5">
        <w:rPr>
          <w:rFonts w:ascii="Arial" w:hAnsi="Arial" w:cs="Arial"/>
          <w:sz w:val="22"/>
          <w:szCs w:val="22"/>
        </w:rPr>
        <w:t xml:space="preserve">1 </w:t>
      </w:r>
      <w:r w:rsidRPr="00A623E5">
        <w:rPr>
          <w:rFonts w:ascii="Arial" w:eastAsia="Calibri" w:hAnsi="Arial" w:cs="Arial"/>
          <w:sz w:val="22"/>
          <w:szCs w:val="22"/>
        </w:rPr>
        <w:t>August 2026).</w:t>
      </w:r>
    </w:p>
    <w:p w14:paraId="1FCE1E33" w14:textId="296B1034" w:rsidR="00A623E5" w:rsidRPr="00A623E5" w:rsidRDefault="00A623E5" w:rsidP="00A623E5">
      <w:pPr>
        <w:spacing w:after="140" w:line="264" w:lineRule="auto"/>
        <w:ind w:left="400" w:hanging="400"/>
        <w:rPr>
          <w:rFonts w:ascii="Arial" w:eastAsia="Calibri" w:hAnsi="Arial" w:cs="Arial"/>
          <w:sz w:val="22"/>
          <w:szCs w:val="22"/>
        </w:rPr>
      </w:pPr>
      <w:r w:rsidRPr="00A623E5">
        <w:rPr>
          <w:rFonts w:ascii="Arial" w:eastAsia="Calibri" w:hAnsi="Arial" w:cs="Arial"/>
          <w:sz w:val="22"/>
          <w:szCs w:val="22"/>
        </w:rPr>
        <w:t xml:space="preserve">Stroke Association (2023) </w:t>
      </w:r>
      <w:r w:rsidRPr="00A623E5">
        <w:rPr>
          <w:rFonts w:ascii="Arial" w:eastAsia="Calibri" w:hAnsi="Arial" w:cs="Arial"/>
          <w:i/>
          <w:iCs/>
          <w:sz w:val="22"/>
          <w:szCs w:val="22"/>
        </w:rPr>
        <w:t>Atrial fibrillation: information and resources for professionals.</w:t>
      </w:r>
      <w:r w:rsidRPr="00A623E5">
        <w:rPr>
          <w:rFonts w:ascii="Arial" w:eastAsia="Calibri" w:hAnsi="Arial" w:cs="Arial"/>
          <w:sz w:val="22"/>
          <w:szCs w:val="22"/>
        </w:rPr>
        <w:t xml:space="preserve"> Available at: </w:t>
      </w:r>
      <w:hyperlink r:id="rId35" w:history="1">
        <w:r w:rsidRPr="00A623E5">
          <w:rPr>
            <w:rStyle w:val="Hyperlink"/>
            <w:rFonts w:ascii="Arial" w:eastAsia="Calibri" w:hAnsi="Arial" w:cs="Arial"/>
            <w:sz w:val="22"/>
            <w:szCs w:val="22"/>
          </w:rPr>
          <w:t>https://www.stroke.org.uk/professionals/atrial-fibrillation-information-and-resources</w:t>
        </w:r>
      </w:hyperlink>
      <w:r w:rsidRPr="00A623E5">
        <w:rPr>
          <w:rFonts w:ascii="Arial" w:hAnsi="Arial" w:cs="Arial"/>
          <w:sz w:val="22"/>
          <w:szCs w:val="22"/>
        </w:rPr>
        <w:t xml:space="preserve"> </w:t>
      </w:r>
      <w:r w:rsidRPr="00A623E5">
        <w:rPr>
          <w:rFonts w:ascii="Arial" w:eastAsia="Calibri" w:hAnsi="Arial" w:cs="Arial"/>
          <w:sz w:val="22"/>
          <w:szCs w:val="22"/>
        </w:rPr>
        <w:t xml:space="preserve"> (Accessed: </w:t>
      </w:r>
      <w:r w:rsidRPr="00A623E5">
        <w:rPr>
          <w:rFonts w:ascii="Arial" w:hAnsi="Arial" w:cs="Arial"/>
          <w:sz w:val="22"/>
          <w:szCs w:val="22"/>
        </w:rPr>
        <w:t xml:space="preserve">2 </w:t>
      </w:r>
      <w:r w:rsidRPr="00A623E5">
        <w:rPr>
          <w:rFonts w:ascii="Arial" w:eastAsia="Calibri" w:hAnsi="Arial" w:cs="Arial"/>
          <w:sz w:val="22"/>
          <w:szCs w:val="22"/>
        </w:rPr>
        <w:t>August 2026).</w:t>
      </w:r>
    </w:p>
    <w:p w14:paraId="6A4BECC4" w14:textId="41695E13" w:rsidR="00A623E5" w:rsidRPr="00A623E5" w:rsidRDefault="00A623E5" w:rsidP="00A623E5">
      <w:pPr>
        <w:spacing w:after="140" w:line="264" w:lineRule="auto"/>
        <w:ind w:left="400" w:hanging="400"/>
        <w:rPr>
          <w:rFonts w:ascii="Arial" w:eastAsia="Calibri" w:hAnsi="Arial" w:cs="Arial"/>
          <w:sz w:val="22"/>
          <w:szCs w:val="22"/>
        </w:rPr>
      </w:pPr>
      <w:r w:rsidRPr="00A623E5">
        <w:rPr>
          <w:rFonts w:ascii="Arial" w:eastAsia="Calibri" w:hAnsi="Arial" w:cs="Arial"/>
          <w:sz w:val="22"/>
          <w:szCs w:val="22"/>
        </w:rPr>
        <w:t xml:space="preserve">Van Diggele, C., Burgess, A. W., Roberts, C. and Mellis, C. (2020) ‘Leadership in healthcare education’, </w:t>
      </w:r>
      <w:r w:rsidRPr="00A623E5">
        <w:rPr>
          <w:rFonts w:ascii="Arial" w:eastAsia="Calibri" w:hAnsi="Arial" w:cs="Arial"/>
          <w:i/>
          <w:iCs/>
          <w:sz w:val="22"/>
          <w:szCs w:val="22"/>
        </w:rPr>
        <w:t>BMC Medical Education</w:t>
      </w:r>
      <w:r w:rsidRPr="00A623E5">
        <w:rPr>
          <w:rFonts w:ascii="Arial" w:eastAsia="Calibri" w:hAnsi="Arial" w:cs="Arial"/>
          <w:sz w:val="22"/>
          <w:szCs w:val="22"/>
        </w:rPr>
        <w:t>, 20. Available at: https://link.springer.com/content/pdf/10.1186/s12909-020-02288-x.pdf (Accessed: 7 August 2026).</w:t>
      </w:r>
    </w:p>
    <w:p w14:paraId="492CEE7A" w14:textId="77777777" w:rsidR="00A623E5" w:rsidRPr="00A623E5" w:rsidRDefault="00A623E5" w:rsidP="00A623E5">
      <w:pPr>
        <w:spacing w:after="140" w:line="264" w:lineRule="auto"/>
        <w:rPr>
          <w:rFonts w:ascii="Arial" w:hAnsi="Arial" w:cs="Arial"/>
          <w:sz w:val="22"/>
          <w:szCs w:val="22"/>
        </w:rPr>
      </w:pPr>
      <w:r w:rsidRPr="00A623E5">
        <w:rPr>
          <w:rFonts w:ascii="Arial" w:eastAsia="Calibri" w:hAnsi="Arial" w:cs="Arial"/>
          <w:sz w:val="22"/>
          <w:szCs w:val="22"/>
        </w:rPr>
        <w:t xml:space="preserve">West, M. (2021) </w:t>
      </w:r>
      <w:r w:rsidRPr="00A623E5">
        <w:rPr>
          <w:rFonts w:ascii="Arial" w:eastAsia="Calibri" w:hAnsi="Arial" w:cs="Arial"/>
          <w:i/>
          <w:iCs/>
          <w:sz w:val="22"/>
          <w:szCs w:val="22"/>
        </w:rPr>
        <w:t>Compassionate leadership: sustaining wisdom, humanity and presence in health and social care.</w:t>
      </w:r>
      <w:r w:rsidRPr="00A623E5">
        <w:rPr>
          <w:rFonts w:ascii="Arial" w:eastAsia="Calibri" w:hAnsi="Arial" w:cs="Arial"/>
          <w:sz w:val="22"/>
          <w:szCs w:val="22"/>
        </w:rPr>
        <w:t xml:space="preserve"> London: Swirl Group.</w:t>
      </w:r>
    </w:p>
    <w:p w14:paraId="5BC5A0A0" w14:textId="31DFBCB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World Health Organization (2017) </w:t>
      </w:r>
      <w:r w:rsidRPr="00A623E5">
        <w:rPr>
          <w:rFonts w:ascii="Arial" w:eastAsia="Calibri" w:hAnsi="Arial" w:cs="Arial"/>
          <w:i/>
          <w:iCs/>
          <w:sz w:val="22"/>
          <w:szCs w:val="22"/>
        </w:rPr>
        <w:t xml:space="preserve">Medication without harm: WHO's third global patient safety challenge. </w:t>
      </w:r>
      <w:r w:rsidRPr="00A623E5">
        <w:rPr>
          <w:rFonts w:ascii="Arial" w:eastAsia="Calibri" w:hAnsi="Arial" w:cs="Arial"/>
          <w:sz w:val="22"/>
          <w:szCs w:val="22"/>
        </w:rPr>
        <w:t xml:space="preserve">Geneva: WHO. Available at: </w:t>
      </w:r>
      <w:hyperlink r:id="rId36" w:history="1">
        <w:r w:rsidRPr="00AD26F6">
          <w:rPr>
            <w:rStyle w:val="Hyperlink"/>
            <w:rFonts w:ascii="Arial" w:eastAsia="Calibri" w:hAnsi="Arial" w:cs="Arial"/>
            <w:sz w:val="22"/>
            <w:szCs w:val="22"/>
          </w:rPr>
          <w:t>https://iris.who.int/bitstream/handle/10665/255263/WHO-HIS-SDS-2017.6-eng.pdf</w:t>
        </w:r>
      </w:hyperlink>
      <w:r>
        <w:rPr>
          <w:rFonts w:ascii="Arial" w:eastAsia="Calibri" w:hAnsi="Arial" w:cs="Arial"/>
          <w:sz w:val="22"/>
          <w:szCs w:val="22"/>
        </w:rPr>
        <w:t xml:space="preserve"> </w:t>
      </w:r>
      <w:r w:rsidRPr="00A623E5">
        <w:rPr>
          <w:rFonts w:ascii="Arial" w:eastAsia="Calibri" w:hAnsi="Arial" w:cs="Arial"/>
          <w:sz w:val="22"/>
          <w:szCs w:val="22"/>
        </w:rPr>
        <w:t xml:space="preserve"> (Accessed: August 2026).</w:t>
      </w:r>
    </w:p>
    <w:p w14:paraId="47AFFFF4" w14:textId="77777777" w:rsidR="00A623E5" w:rsidRPr="00A623E5" w:rsidRDefault="00A623E5" w:rsidP="00A623E5">
      <w:pPr>
        <w:spacing w:after="140" w:line="264" w:lineRule="auto"/>
        <w:ind w:left="400" w:hanging="400"/>
        <w:rPr>
          <w:rFonts w:ascii="Arial" w:hAnsi="Arial" w:cs="Arial"/>
          <w:sz w:val="22"/>
          <w:szCs w:val="22"/>
        </w:rPr>
      </w:pPr>
      <w:r w:rsidRPr="00A623E5">
        <w:rPr>
          <w:rFonts w:ascii="Arial" w:eastAsia="Calibri" w:hAnsi="Arial" w:cs="Arial"/>
          <w:sz w:val="22"/>
          <w:szCs w:val="22"/>
        </w:rPr>
        <w:t xml:space="preserve">Zamboni, K., Baker, U., Tyagi, M., Schellenberg, J., Hill, Z. and Hanson, C. (2020) 'How and under what circumstances do quality improvement collaboratives lead to better outcomes? A systematic review', </w:t>
      </w:r>
      <w:r w:rsidRPr="00A623E5">
        <w:rPr>
          <w:rFonts w:ascii="Arial" w:eastAsia="Calibri" w:hAnsi="Arial" w:cs="Arial"/>
          <w:i/>
          <w:iCs/>
          <w:sz w:val="22"/>
          <w:szCs w:val="22"/>
        </w:rPr>
        <w:t>Implementation Science</w:t>
      </w:r>
      <w:r w:rsidRPr="00A623E5">
        <w:rPr>
          <w:rFonts w:ascii="Arial" w:eastAsia="Calibri" w:hAnsi="Arial" w:cs="Arial"/>
          <w:sz w:val="22"/>
          <w:szCs w:val="22"/>
        </w:rPr>
        <w:t xml:space="preserve">, 15, 27. </w:t>
      </w:r>
      <w:proofErr w:type="spellStart"/>
      <w:r w:rsidRPr="00A623E5">
        <w:rPr>
          <w:rFonts w:ascii="Arial" w:eastAsia="Calibri" w:hAnsi="Arial" w:cs="Arial"/>
          <w:sz w:val="22"/>
          <w:szCs w:val="22"/>
        </w:rPr>
        <w:t>doi</w:t>
      </w:r>
      <w:proofErr w:type="spellEnd"/>
      <w:r w:rsidRPr="00A623E5">
        <w:rPr>
          <w:rFonts w:ascii="Arial" w:eastAsia="Calibri" w:hAnsi="Arial" w:cs="Arial"/>
          <w:sz w:val="22"/>
          <w:szCs w:val="22"/>
        </w:rPr>
        <w:t>: 10.1186/s13012-020-0978-z.</w:t>
      </w:r>
    </w:p>
    <w:p w14:paraId="2146F163" w14:textId="77777777" w:rsidR="00A623E5" w:rsidRPr="00A623E5" w:rsidRDefault="00A623E5" w:rsidP="00A623E5"/>
    <w:sectPr w:rsidR="00A623E5" w:rsidRPr="00A623E5">
      <w:footerReference w:type="default" r:id="rId37"/>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761B88" w14:textId="77777777" w:rsidR="001E14A2" w:rsidRDefault="001E14A2">
      <w:pPr>
        <w:spacing w:after="0" w:line="240" w:lineRule="auto"/>
      </w:pPr>
      <w:r>
        <w:separator/>
      </w:r>
    </w:p>
  </w:endnote>
  <w:endnote w:type="continuationSeparator" w:id="0">
    <w:p w14:paraId="59CC5BA6" w14:textId="77777777" w:rsidR="001E14A2" w:rsidRDefault="001E1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9F7BD" w14:textId="77777777" w:rsidR="005E36C5" w:rsidRDefault="00000000">
    <w:pPr>
      <w:pStyle w:val="Footer"/>
      <w:jc w:val="center"/>
    </w:pPr>
    <w:r>
      <w:fldChar w:fldCharType="begin"/>
    </w:r>
    <w:r>
      <w:instrText xml:space="preserve"> PAGE </w:instrText>
    </w:r>
    <w:r>
      <w:fldChar w:fldCharType="separate"/>
    </w:r>
    <w:r>
      <w:t>2</w:t>
    </w:r>
    <w:r>
      <w:fldChar w:fldCharType="end"/>
    </w:r>
  </w:p>
  <w:p w14:paraId="5141F5A9" w14:textId="77777777" w:rsidR="005E36C5" w:rsidRDefault="005E36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68FC97" w14:textId="77777777" w:rsidR="001E14A2" w:rsidRDefault="001E14A2">
      <w:pPr>
        <w:spacing w:after="0" w:line="240" w:lineRule="auto"/>
      </w:pPr>
      <w:r>
        <w:rPr>
          <w:color w:val="000000"/>
        </w:rPr>
        <w:separator/>
      </w:r>
    </w:p>
  </w:footnote>
  <w:footnote w:type="continuationSeparator" w:id="0">
    <w:p w14:paraId="3F8C8D3E" w14:textId="77777777" w:rsidR="001E14A2" w:rsidRDefault="001E14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2A74A1"/>
    <w:multiLevelType w:val="hybridMultilevel"/>
    <w:tmpl w:val="B1E4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BE2132"/>
    <w:multiLevelType w:val="multilevel"/>
    <w:tmpl w:val="7A9AFF04"/>
    <w:lvl w:ilvl="0">
      <w:start w:val="1"/>
      <w:numFmt w:val="upperLetter"/>
      <w:lvlText w:val="%1."/>
      <w:lvlJc w:val="left"/>
      <w:pPr>
        <w:ind w:left="1389" w:hanging="396"/>
      </w:pPr>
      <w:rPr>
        <w:rFonts w:eastAsia="Aptos"/>
      </w:r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1975982288">
    <w:abstractNumId w:val="1"/>
  </w:num>
  <w:num w:numId="2" w16cid:durableId="20758557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3451"/>
    <w:rsid w:val="00030D46"/>
    <w:rsid w:val="00034037"/>
    <w:rsid w:val="000A62DD"/>
    <w:rsid w:val="000B10A7"/>
    <w:rsid w:val="001955E7"/>
    <w:rsid w:val="001E14A2"/>
    <w:rsid w:val="00240D5F"/>
    <w:rsid w:val="0029527C"/>
    <w:rsid w:val="0031786D"/>
    <w:rsid w:val="003306FC"/>
    <w:rsid w:val="003505D4"/>
    <w:rsid w:val="003A5094"/>
    <w:rsid w:val="00402D18"/>
    <w:rsid w:val="004320F7"/>
    <w:rsid w:val="004A20DD"/>
    <w:rsid w:val="004D317D"/>
    <w:rsid w:val="005564BF"/>
    <w:rsid w:val="005C3451"/>
    <w:rsid w:val="005C62B7"/>
    <w:rsid w:val="005E36C5"/>
    <w:rsid w:val="005F0D0D"/>
    <w:rsid w:val="006A0DDD"/>
    <w:rsid w:val="006A187D"/>
    <w:rsid w:val="006D1B61"/>
    <w:rsid w:val="00714EB6"/>
    <w:rsid w:val="00724BA6"/>
    <w:rsid w:val="008668BD"/>
    <w:rsid w:val="00A57920"/>
    <w:rsid w:val="00A623E5"/>
    <w:rsid w:val="00AC42C1"/>
    <w:rsid w:val="00C144C4"/>
    <w:rsid w:val="00D7649D"/>
    <w:rsid w:val="00DA3E2B"/>
    <w:rsid w:val="00E26E2D"/>
    <w:rsid w:val="00F07537"/>
    <w:rsid w:val="00F64580"/>
    <w:rsid w:val="00FB4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BBEBD"/>
  <w15:docId w15:val="{FA601B0B-0D85-3546-A79B-8A81A3CBE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rsid w:val="00A623E5"/>
    <w:pPr>
      <w:keepNext/>
      <w:keepLines/>
      <w:spacing w:before="360" w:after="80"/>
      <w:outlineLvl w:val="0"/>
    </w:pPr>
    <w:rPr>
      <w:rFonts w:ascii="Arial" w:eastAsia="Times New Roman" w:hAnsi="Arial"/>
      <w:b/>
      <w:color w:val="000000" w:themeColor="text1"/>
      <w:sz w:val="32"/>
      <w:szCs w:val="40"/>
    </w:rPr>
  </w:style>
  <w:style w:type="paragraph" w:styleId="Heading2">
    <w:name w:val="heading 2"/>
    <w:basedOn w:val="Normal"/>
    <w:next w:val="Normal"/>
    <w:uiPriority w:val="9"/>
    <w:unhideWhenUsed/>
    <w:qFormat/>
    <w:rsid w:val="00A623E5"/>
    <w:pPr>
      <w:keepNext/>
      <w:keepLines/>
      <w:spacing w:before="160" w:after="80"/>
      <w:outlineLvl w:val="1"/>
    </w:pPr>
    <w:rPr>
      <w:rFonts w:ascii="Arial" w:eastAsia="Times New Roman" w:hAnsi="Arial"/>
      <w:b/>
      <w:color w:val="000000" w:themeColor="text1"/>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rPr>
      <w:rFonts w:eastAsia="Times New Roman"/>
      <w:kern w:val="0"/>
      <w:sz w:val="22"/>
      <w:szCs w:val="22"/>
      <w:lang w:val="en-US"/>
    </w:rPr>
  </w:style>
  <w:style w:type="character" w:customStyle="1" w:styleId="NoSpacingChar">
    <w:name w:val="No Spacing Char"/>
    <w:basedOn w:val="DefaultParagraphFont"/>
    <w:rPr>
      <w:rFonts w:eastAsia="Times New Roman"/>
      <w:kern w:val="0"/>
      <w:sz w:val="22"/>
      <w:szCs w:val="22"/>
      <w:lang w:val="en-US"/>
    </w:rPr>
  </w:style>
  <w:style w:type="paragraph" w:styleId="TOCHeading">
    <w:name w:val="TOC Heading"/>
    <w:basedOn w:val="Heading1"/>
    <w:next w:val="Normal"/>
    <w:uiPriority w:val="39"/>
    <w:qFormat/>
    <w:pPr>
      <w:suppressAutoHyphens w:val="0"/>
      <w:spacing w:before="240" w:after="0" w:line="240" w:lineRule="auto"/>
    </w:pPr>
    <w:rPr>
      <w:kern w:val="0"/>
      <w:szCs w:val="32"/>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1">
    <w:name w:val="toc 1"/>
    <w:basedOn w:val="Normal"/>
    <w:next w:val="Normal"/>
    <w:autoRedefine/>
    <w:uiPriority w:val="39"/>
    <w:rsid w:val="00A623E5"/>
    <w:pPr>
      <w:spacing w:before="120" w:after="0"/>
    </w:pPr>
    <w:rPr>
      <w:rFonts w:asciiTheme="minorHAnsi" w:hAnsiTheme="minorHAnsi"/>
      <w:b/>
      <w:bCs/>
      <w:i/>
      <w:iCs/>
    </w:rPr>
  </w:style>
  <w:style w:type="paragraph" w:styleId="TOC2">
    <w:name w:val="toc 2"/>
    <w:basedOn w:val="Normal"/>
    <w:next w:val="Normal"/>
    <w:autoRedefine/>
    <w:uiPriority w:val="39"/>
    <w:pPr>
      <w:spacing w:before="120" w:after="0"/>
      <w:ind w:left="240"/>
    </w:pPr>
    <w:rPr>
      <w:rFonts w:asciiTheme="minorHAnsi" w:hAnsiTheme="minorHAnsi"/>
      <w:b/>
      <w:bCs/>
      <w:sz w:val="22"/>
      <w:szCs w:val="22"/>
    </w:rPr>
  </w:style>
  <w:style w:type="character" w:styleId="Hyperlink">
    <w:name w:val="Hyperlink"/>
    <w:basedOn w:val="DefaultParagraphFont"/>
    <w:uiPriority w:val="99"/>
    <w:rPr>
      <w:color w:val="467886"/>
      <w:u w:val="single"/>
    </w:rPr>
  </w:style>
  <w:style w:type="character" w:styleId="Emphasis">
    <w:name w:val="Emphasis"/>
    <w:basedOn w:val="DefaultParagraphFont"/>
    <w:uiPriority w:val="20"/>
    <w:qFormat/>
    <w:rsid w:val="00DA3E2B"/>
    <w:rPr>
      <w:i/>
      <w:iCs/>
    </w:rPr>
  </w:style>
  <w:style w:type="character" w:styleId="UnresolvedMention">
    <w:name w:val="Unresolved Mention"/>
    <w:basedOn w:val="DefaultParagraphFont"/>
    <w:uiPriority w:val="99"/>
    <w:semiHidden/>
    <w:unhideWhenUsed/>
    <w:rsid w:val="00DA3E2B"/>
    <w:rPr>
      <w:color w:val="605E5C"/>
      <w:shd w:val="clear" w:color="auto" w:fill="E1DFDD"/>
    </w:rPr>
  </w:style>
  <w:style w:type="character" w:styleId="FollowedHyperlink">
    <w:name w:val="FollowedHyperlink"/>
    <w:basedOn w:val="DefaultParagraphFont"/>
    <w:uiPriority w:val="99"/>
    <w:semiHidden/>
    <w:unhideWhenUsed/>
    <w:rsid w:val="00A623E5"/>
    <w:rPr>
      <w:color w:val="96607D" w:themeColor="followedHyperlink"/>
      <w:u w:val="single"/>
    </w:rPr>
  </w:style>
  <w:style w:type="paragraph" w:customStyle="1" w:styleId="font-claude-response-body">
    <w:name w:val="font-claude-response-body"/>
    <w:basedOn w:val="Normal"/>
    <w:rsid w:val="00A623E5"/>
    <w:pPr>
      <w:suppressAutoHyphens w:val="0"/>
      <w:autoSpaceDN/>
      <w:spacing w:before="100" w:beforeAutospacing="1" w:after="100" w:afterAutospacing="1" w:line="240" w:lineRule="auto"/>
    </w:pPr>
    <w:rPr>
      <w:rFonts w:ascii="Times New Roman" w:eastAsia="Times New Roman" w:hAnsi="Times New Roman"/>
      <w:kern w:val="0"/>
      <w:lang w:eastAsia="en-GB"/>
    </w:rPr>
  </w:style>
  <w:style w:type="paragraph" w:styleId="TOC3">
    <w:name w:val="toc 3"/>
    <w:basedOn w:val="Normal"/>
    <w:next w:val="Normal"/>
    <w:autoRedefine/>
    <w:uiPriority w:val="39"/>
    <w:semiHidden/>
    <w:unhideWhenUsed/>
    <w:rsid w:val="00A623E5"/>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A623E5"/>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A623E5"/>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A623E5"/>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A623E5"/>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A623E5"/>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A623E5"/>
    <w:pPr>
      <w:spacing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40904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rgipark.org.tr/en/download/article-file/1248916" TargetMode="External"/><Relationship Id="rId18" Type="http://schemas.openxmlformats.org/officeDocument/2006/relationships/hyperlink" Target="https://pubmed.ncbi.nlm.nih.gov/37425619/" TargetMode="External"/><Relationship Id="rId26" Type="http://schemas.openxmlformats.org/officeDocument/2006/relationships/hyperlink" Target="https://www.ismp.org" TargetMode="External"/><Relationship Id="rId39" Type="http://schemas.openxmlformats.org/officeDocument/2006/relationships/theme" Target="theme/theme1.xml"/><Relationship Id="rId21" Type="http://schemas.openxmlformats.org/officeDocument/2006/relationships/hyperlink" Target="https://www.gmc-uk.org/professional-standards/the-professional-standards/good-medical-practice" TargetMode="External"/><Relationship Id="rId34" Type="http://schemas.openxmlformats.org/officeDocument/2006/relationships/hyperlink" Target="https://www.rcp.ac.uk/media/r2hmkfdb/safe-medical-staffing_report_web-1.pdf" TargetMode="External"/><Relationship Id="rId7" Type="http://schemas.openxmlformats.org/officeDocument/2006/relationships/endnotes" Target="endnotes.xml"/><Relationship Id="rId12" Type="http://schemas.openxmlformats.org/officeDocument/2006/relationships/hyperlink" Target="https://gettingitrightfirsttime.co.uk/wp-content/uploads/2021/11/Respiratory-Medicine-Oct21L.pdf" TargetMode="External"/><Relationship Id="rId17" Type="http://schemas.openxmlformats.org/officeDocument/2006/relationships/hyperlink" Target="https://www.medicines.org.uk/emc/product/2878/smpc" TargetMode="External"/><Relationship Id="rId25" Type="http://schemas.openxmlformats.org/officeDocument/2006/relationships/hyperlink" Target="https://www.hssib.org.uk/patient-safety-investigations/weight-based-medication-errors-in-children/" TargetMode="External"/><Relationship Id="rId33" Type="http://schemas.openxmlformats.org/officeDocument/2006/relationships/hyperlink" Target="https://www.nuffieldtrust.org.uk/resource/the-nhs-workforce-in-number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ubmed.ncbi.nlm.nih.gov/31521156/" TargetMode="External"/><Relationship Id="rId20" Type="http://schemas.openxmlformats.org/officeDocument/2006/relationships/hyperlink" Target="https://qualitysafety.bmj.com/content/30/2/96" TargetMode="External"/><Relationship Id="rId29" Type="http://schemas.openxmlformats.org/officeDocument/2006/relationships/hyperlink" Target="https://www.nhs.uk/conditions/atrial-fibrill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hssib.org.uk/patient-safety-investigations/electronic-prescribing-and-medicines-administration-systems-and-safe-discharge/" TargetMode="External"/><Relationship Id="rId32" Type="http://schemas.openxmlformats.org/officeDocument/2006/relationships/hyperlink" Target="https://www.england.nhs.uk/patient-safety/the-nhs-patient-safety-strategy/"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pubmed.ncbi.nlm.nih.gov/37433579/" TargetMode="External"/><Relationship Id="rId23" Type="http://schemas.openxmlformats.org/officeDocument/2006/relationships/hyperlink" Target="https://www.hssib.org.uk/patient-safety-investigations/medication-related-harm/second-investigation-report/" TargetMode="External"/><Relationship Id="rId28" Type="http://schemas.openxmlformats.org/officeDocument/2006/relationships/hyperlink" Target="https://www.nhs.uk/conditions/blood-clots/" TargetMode="External"/><Relationship Id="rId36" Type="http://schemas.openxmlformats.org/officeDocument/2006/relationships/hyperlink" Target="https://iris.who.int/bitstream/handle/10665/255263/WHO-HIS-SDS-2017.6-eng.pdf" TargetMode="External"/><Relationship Id="rId10" Type="http://schemas.openxmlformats.org/officeDocument/2006/relationships/image" Target="media/image3.png"/><Relationship Id="rId19" Type="http://schemas.openxmlformats.org/officeDocument/2006/relationships/hyperlink" Target="https://www.cqc.org.uk/guidance-regulation/providers/regulations-service-providers-and-managers/health-social-care-act/regulation-20" TargetMode="External"/><Relationship Id="rId31" Type="http://schemas.openxmlformats.org/officeDocument/2006/relationships/hyperlink" Target="https://digital.nhs.uk/developer/guides-and-documentation/building-healthcare-softwa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search.monash.edu/en/publications/care-qi-a-handbook-for-improving-quality-through-resilient-system/" TargetMode="External"/><Relationship Id="rId22" Type="http://schemas.openxmlformats.org/officeDocument/2006/relationships/hyperlink" Target="https://www.hssib.org.uk/patient-safety-investigations/continuity-of-care-delayed-diagnosis-in-gp-practices/" TargetMode="External"/><Relationship Id="rId27" Type="http://schemas.openxmlformats.org/officeDocument/2006/relationships/hyperlink" Target="https://www.nice.org.uk/guidance/ng196" TargetMode="External"/><Relationship Id="rId30" Type="http://schemas.openxmlformats.org/officeDocument/2006/relationships/hyperlink" Target="https://www.england.nhs.uk/2023/11/thousands-of-lives-saved-by-the-nhs-thanks-to-rapid-rollout-of-blood-thinners/" TargetMode="External"/><Relationship Id="rId35" Type="http://schemas.openxmlformats.org/officeDocument/2006/relationships/hyperlink" Target="https://www.stroke.org.uk/professionals/atrial-fibrillation-information-and-resource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F4ACD-2DE8-0D41-8928-B8D62A389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22</Pages>
  <Words>7978</Words>
  <Characters>45481</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HEALTH CARE SYSTEM ORGANISATION AND LEADERSHIP</vt:lpstr>
    </vt:vector>
  </TitlesOfParts>
  <Company/>
  <LinksUpToDate>false</LinksUpToDate>
  <CharactersWithSpaces>53353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CARE SYSTEM ORGANISATION AND LEADERSHIP</dc:title>
  <dc:subject>Title: Care Study Analysis Report.</dc:subject>
  <dc:creator>Solange Marques Bastos Raposo (2240659)</dc:creator>
  <cp:keywords/>
  <dc:description/>
  <cp:lastModifiedBy>Sharon Maureen McDermott (2243145)</cp:lastModifiedBy>
  <cp:revision>14</cp:revision>
  <dcterms:created xsi:type="dcterms:W3CDTF">2026-08-14T10:48:00Z</dcterms:created>
  <dcterms:modified xsi:type="dcterms:W3CDTF">2026-08-15T15:51:00Z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9c8735bb-3bf5-49fd-aae1-1c49e20c2881</vt:lpwstr>
  </property>
</Properties>
</file>