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5B21B" w14:textId="469C6FED" w:rsidR="00EE2DC0" w:rsidRDefault="006E4630" w:rsidP="006E4630">
      <w:pPr>
        <w:jc w:val="center"/>
      </w:pPr>
      <w:r>
        <w:rPr>
          <w:noProof/>
        </w:rPr>
        <w:drawing>
          <wp:inline distT="0" distB="0" distL="0" distR="0" wp14:anchorId="4FDBE04F" wp14:editId="413919B8">
            <wp:extent cx="215265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2650" cy="990600"/>
                    </a:xfrm>
                    <a:prstGeom prst="rect">
                      <a:avLst/>
                    </a:prstGeom>
                    <a:noFill/>
                    <a:ln>
                      <a:noFill/>
                    </a:ln>
                  </pic:spPr>
                </pic:pic>
              </a:graphicData>
            </a:graphic>
          </wp:inline>
        </w:drawing>
      </w:r>
    </w:p>
    <w:p w14:paraId="7A7EA6E5" w14:textId="67D58A30" w:rsidR="006E4630" w:rsidRPr="006E4630" w:rsidRDefault="006E4630" w:rsidP="006E4630">
      <w:pPr>
        <w:jc w:val="center"/>
        <w:rPr>
          <w:rFonts w:ascii="Arial" w:hAnsi="Arial" w:cs="Arial"/>
          <w:b/>
          <w:bCs/>
        </w:rPr>
      </w:pPr>
    </w:p>
    <w:p w14:paraId="62988E04" w14:textId="1DB71FF4" w:rsidR="006E4630" w:rsidRPr="006E4630" w:rsidRDefault="006E4630" w:rsidP="006E4630">
      <w:pPr>
        <w:pStyle w:val="paragraph"/>
        <w:spacing w:before="0" w:beforeAutospacing="0" w:after="0" w:afterAutospacing="0"/>
        <w:jc w:val="center"/>
        <w:textAlignment w:val="baseline"/>
        <w:rPr>
          <w:rStyle w:val="normaltextrun"/>
          <w:rFonts w:ascii="Arial" w:hAnsi="Arial" w:cs="Arial"/>
          <w:color w:val="242424"/>
          <w:sz w:val="36"/>
          <w:szCs w:val="36"/>
          <w:shd w:val="clear" w:color="auto" w:fill="FFFFFF"/>
        </w:rPr>
      </w:pPr>
      <w:r w:rsidRPr="006E4630">
        <w:rPr>
          <w:rFonts w:ascii="Arial" w:hAnsi="Arial" w:cs="Arial"/>
          <w:sz w:val="36"/>
          <w:szCs w:val="36"/>
        </w:rPr>
        <w:t>Leading and Developing People</w:t>
      </w:r>
    </w:p>
    <w:p w14:paraId="702514CE" w14:textId="77777777" w:rsidR="006E4630" w:rsidRDefault="006E4630" w:rsidP="006E4630">
      <w:pPr>
        <w:pStyle w:val="paragraph"/>
        <w:spacing w:before="0" w:beforeAutospacing="0" w:after="0" w:afterAutospacing="0"/>
        <w:jc w:val="center"/>
        <w:textAlignment w:val="baseline"/>
        <w:rPr>
          <w:rStyle w:val="normaltextrun"/>
          <w:rFonts w:ascii="Arial" w:hAnsi="Arial" w:cs="Arial"/>
          <w:color w:val="242424"/>
          <w:sz w:val="36"/>
          <w:szCs w:val="36"/>
          <w:shd w:val="clear" w:color="auto" w:fill="FFFFFF"/>
        </w:rPr>
      </w:pPr>
    </w:p>
    <w:p w14:paraId="3D9F08E0" w14:textId="77777777" w:rsidR="006E4630" w:rsidRDefault="006E4630" w:rsidP="006E4630">
      <w:pPr>
        <w:pStyle w:val="paragraph"/>
        <w:spacing w:before="0" w:beforeAutospacing="0" w:after="0" w:afterAutospacing="0"/>
        <w:jc w:val="center"/>
        <w:textAlignment w:val="baseline"/>
        <w:rPr>
          <w:rFonts w:ascii="Arial" w:hAnsi="Arial" w:cs="Arial"/>
          <w:sz w:val="36"/>
          <w:szCs w:val="36"/>
        </w:rPr>
      </w:pPr>
    </w:p>
    <w:p w14:paraId="20B620DF" w14:textId="77777777" w:rsidR="006E4630" w:rsidRDefault="006E4630" w:rsidP="006E4630">
      <w:pPr>
        <w:pStyle w:val="paragraph"/>
        <w:spacing w:before="0" w:beforeAutospacing="0" w:after="0" w:afterAutospacing="0"/>
        <w:jc w:val="center"/>
        <w:textAlignment w:val="baseline"/>
        <w:rPr>
          <w:rFonts w:ascii="Arial" w:hAnsi="Arial" w:cs="Arial"/>
          <w:sz w:val="36"/>
          <w:szCs w:val="36"/>
        </w:rPr>
      </w:pPr>
    </w:p>
    <w:p w14:paraId="537AE517" w14:textId="19244D4C" w:rsidR="006E4630" w:rsidRPr="006E4630" w:rsidRDefault="006E4630" w:rsidP="006E4630">
      <w:pPr>
        <w:pStyle w:val="paragraph"/>
        <w:spacing w:before="0" w:beforeAutospacing="0" w:after="0" w:afterAutospacing="0"/>
        <w:jc w:val="center"/>
        <w:textAlignment w:val="baseline"/>
        <w:rPr>
          <w:rStyle w:val="normaltextrun"/>
          <w:rFonts w:ascii="Arial" w:hAnsi="Arial" w:cs="Arial"/>
          <w:color w:val="242424"/>
          <w:sz w:val="36"/>
          <w:szCs w:val="36"/>
          <w:shd w:val="clear" w:color="auto" w:fill="FFFFFF"/>
        </w:rPr>
      </w:pPr>
      <w:r w:rsidRPr="006E4630">
        <w:rPr>
          <w:rFonts w:ascii="Arial" w:hAnsi="Arial" w:cs="Arial"/>
          <w:sz w:val="36"/>
          <w:szCs w:val="36"/>
        </w:rPr>
        <w:t>BMBM6023</w:t>
      </w:r>
    </w:p>
    <w:p w14:paraId="15628F8E" w14:textId="77777777" w:rsidR="006E4630" w:rsidRDefault="006E4630" w:rsidP="006E4630">
      <w:pPr>
        <w:pStyle w:val="paragraph"/>
        <w:spacing w:before="0" w:beforeAutospacing="0" w:after="0" w:afterAutospacing="0"/>
        <w:jc w:val="center"/>
        <w:textAlignment w:val="baseline"/>
        <w:rPr>
          <w:rStyle w:val="normaltextrun"/>
          <w:rFonts w:ascii="Arial" w:hAnsi="Arial" w:cs="Arial"/>
          <w:color w:val="242424"/>
          <w:sz w:val="36"/>
          <w:szCs w:val="36"/>
          <w:shd w:val="clear" w:color="auto" w:fill="FFFFFF"/>
        </w:rPr>
      </w:pPr>
    </w:p>
    <w:p w14:paraId="1066015C" w14:textId="34F77C26" w:rsidR="006E4630" w:rsidRDefault="006E4630" w:rsidP="006E463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242424"/>
          <w:sz w:val="36"/>
          <w:szCs w:val="36"/>
          <w:shd w:val="clear" w:color="auto" w:fill="FFFFFF"/>
        </w:rPr>
        <w:t>Anna Marie Smith</w:t>
      </w:r>
      <w:r>
        <w:rPr>
          <w:rStyle w:val="eop"/>
          <w:rFonts w:ascii="Arial" w:hAnsi="Arial" w:cs="Arial"/>
          <w:color w:val="242424"/>
          <w:sz w:val="36"/>
          <w:szCs w:val="36"/>
        </w:rPr>
        <w:t> </w:t>
      </w:r>
    </w:p>
    <w:p w14:paraId="344ED434" w14:textId="77777777" w:rsidR="006E4630" w:rsidRDefault="006E4630" w:rsidP="006E463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36"/>
          <w:szCs w:val="36"/>
        </w:rPr>
        <w:t>Strategic Management and Sustainability </w:t>
      </w:r>
      <w:r>
        <w:rPr>
          <w:rStyle w:val="eop"/>
          <w:rFonts w:ascii="Arial" w:hAnsi="Arial" w:cs="Arial"/>
          <w:sz w:val="36"/>
          <w:szCs w:val="36"/>
        </w:rPr>
        <w:t> </w:t>
      </w:r>
    </w:p>
    <w:p w14:paraId="4F2FA80E" w14:textId="77777777" w:rsidR="006E4630" w:rsidRDefault="006E4630" w:rsidP="006E463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36"/>
          <w:szCs w:val="36"/>
        </w:rPr>
        <w:t>University of Wales Trinity Saint David</w:t>
      </w:r>
      <w:r>
        <w:rPr>
          <w:rStyle w:val="eop"/>
          <w:rFonts w:ascii="Arial" w:hAnsi="Arial" w:cs="Arial"/>
          <w:sz w:val="36"/>
          <w:szCs w:val="36"/>
        </w:rPr>
        <w:t> </w:t>
      </w:r>
    </w:p>
    <w:p w14:paraId="724F00C4" w14:textId="1C69F2C4" w:rsidR="006E4630" w:rsidRDefault="006E4630" w:rsidP="006E463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36"/>
          <w:szCs w:val="36"/>
        </w:rPr>
        <w:t>22</w:t>
      </w:r>
      <w:r w:rsidRPr="006E4630">
        <w:rPr>
          <w:rStyle w:val="normaltextrun"/>
          <w:rFonts w:ascii="Arial" w:hAnsi="Arial" w:cs="Arial"/>
          <w:sz w:val="36"/>
          <w:szCs w:val="36"/>
          <w:vertAlign w:val="superscript"/>
        </w:rPr>
        <w:t>nd</w:t>
      </w:r>
      <w:r>
        <w:rPr>
          <w:rStyle w:val="normaltextrun"/>
          <w:rFonts w:ascii="Arial" w:hAnsi="Arial" w:cs="Arial"/>
          <w:sz w:val="36"/>
          <w:szCs w:val="36"/>
        </w:rPr>
        <w:t xml:space="preserve"> April 2026</w:t>
      </w:r>
      <w:r>
        <w:rPr>
          <w:rStyle w:val="eop"/>
          <w:rFonts w:ascii="Arial" w:hAnsi="Arial" w:cs="Arial"/>
          <w:sz w:val="36"/>
          <w:szCs w:val="36"/>
        </w:rPr>
        <w:t> </w:t>
      </w:r>
    </w:p>
    <w:p w14:paraId="06233BF7" w14:textId="27930DEA" w:rsidR="006E4630" w:rsidRDefault="006E4630" w:rsidP="006E4630">
      <w:pPr>
        <w:jc w:val="center"/>
      </w:pPr>
    </w:p>
    <w:p w14:paraId="4F899323" w14:textId="6BDE8A57" w:rsidR="006E4630" w:rsidRDefault="006E4630" w:rsidP="006E4630">
      <w:pPr>
        <w:jc w:val="center"/>
      </w:pPr>
    </w:p>
    <w:p w14:paraId="536E29A2" w14:textId="444019C5" w:rsidR="006E4630" w:rsidRDefault="006E4630" w:rsidP="006E4630">
      <w:pPr>
        <w:jc w:val="center"/>
      </w:pPr>
    </w:p>
    <w:p w14:paraId="6A298650" w14:textId="56128C8B" w:rsidR="006E4630" w:rsidRDefault="006E4630" w:rsidP="006E4630">
      <w:pPr>
        <w:jc w:val="center"/>
      </w:pPr>
    </w:p>
    <w:p w14:paraId="20A69667" w14:textId="7424ECCE" w:rsidR="006E4630" w:rsidRDefault="006E4630" w:rsidP="006E4630">
      <w:pPr>
        <w:jc w:val="center"/>
      </w:pPr>
    </w:p>
    <w:p w14:paraId="479D9664" w14:textId="039F6867" w:rsidR="00AE4FDD" w:rsidRDefault="00AE4FDD" w:rsidP="006E4630">
      <w:pPr>
        <w:jc w:val="center"/>
      </w:pPr>
    </w:p>
    <w:p w14:paraId="1574E461" w14:textId="406A101D" w:rsidR="00AE4FDD" w:rsidRDefault="00AE4FDD" w:rsidP="006E4630">
      <w:pPr>
        <w:jc w:val="center"/>
      </w:pPr>
    </w:p>
    <w:p w14:paraId="3FF90F30" w14:textId="50C8786E" w:rsidR="00AE4FDD" w:rsidRDefault="00AE4FDD" w:rsidP="006E4630">
      <w:pPr>
        <w:jc w:val="center"/>
      </w:pPr>
    </w:p>
    <w:p w14:paraId="35C1058E" w14:textId="48FEDA26" w:rsidR="00AE4FDD" w:rsidRDefault="00AE4FDD" w:rsidP="006E4630">
      <w:pPr>
        <w:jc w:val="center"/>
      </w:pPr>
    </w:p>
    <w:p w14:paraId="7403BB2B" w14:textId="4E3058E1" w:rsidR="00AE4FDD" w:rsidRDefault="00AE4FDD" w:rsidP="006E4630">
      <w:pPr>
        <w:jc w:val="center"/>
      </w:pPr>
    </w:p>
    <w:p w14:paraId="2FCE9E1C" w14:textId="24946101" w:rsidR="00AE4FDD" w:rsidRDefault="00AE4FDD" w:rsidP="006E4630">
      <w:pPr>
        <w:jc w:val="center"/>
      </w:pPr>
    </w:p>
    <w:p w14:paraId="6B5A2C1E" w14:textId="7D5B630C" w:rsidR="00AE4FDD" w:rsidRDefault="00AE4FDD" w:rsidP="006E4630">
      <w:pPr>
        <w:jc w:val="center"/>
      </w:pPr>
    </w:p>
    <w:p w14:paraId="35F3AFC8" w14:textId="60AB5F33" w:rsidR="00AE4FDD" w:rsidRDefault="00AE4FDD" w:rsidP="006E4630">
      <w:pPr>
        <w:jc w:val="center"/>
      </w:pPr>
    </w:p>
    <w:p w14:paraId="297015AC" w14:textId="4BFC41C6" w:rsidR="00AE4FDD" w:rsidRDefault="00AE4FDD" w:rsidP="006E4630">
      <w:pPr>
        <w:jc w:val="center"/>
      </w:pPr>
    </w:p>
    <w:p w14:paraId="27741E0D" w14:textId="2CB19963" w:rsidR="00AE4FDD" w:rsidRDefault="00AE4FDD" w:rsidP="006E4630">
      <w:pPr>
        <w:jc w:val="center"/>
      </w:pPr>
    </w:p>
    <w:p w14:paraId="34563B70" w14:textId="77777777" w:rsidR="00AE4FDD" w:rsidRDefault="00AE4FDD" w:rsidP="006E4630">
      <w:pPr>
        <w:jc w:val="center"/>
      </w:pPr>
    </w:p>
    <w:p w14:paraId="2B2B40CC" w14:textId="35618FED" w:rsidR="006E4630" w:rsidRDefault="006E4630" w:rsidP="006E4630">
      <w:pPr>
        <w:jc w:val="center"/>
      </w:pPr>
    </w:p>
    <w:p w14:paraId="18044318" w14:textId="15157B39" w:rsidR="006E4630" w:rsidRDefault="006E4630" w:rsidP="00EB731E">
      <w:pPr>
        <w:spacing w:line="600" w:lineRule="auto"/>
        <w:rPr>
          <w:rFonts w:ascii="Arial" w:hAnsi="Arial" w:cs="Arial"/>
          <w:b/>
          <w:bCs/>
          <w:sz w:val="24"/>
          <w:szCs w:val="24"/>
        </w:rPr>
      </w:pPr>
      <w:r w:rsidRPr="006E4630">
        <w:rPr>
          <w:rFonts w:ascii="Arial" w:hAnsi="Arial" w:cs="Arial"/>
          <w:b/>
          <w:bCs/>
          <w:sz w:val="24"/>
          <w:szCs w:val="24"/>
        </w:rPr>
        <w:lastRenderedPageBreak/>
        <w:t xml:space="preserve">Introduction </w:t>
      </w:r>
    </w:p>
    <w:p w14:paraId="1E5E0A4B" w14:textId="77777777" w:rsidR="006E4630" w:rsidRPr="006E4630" w:rsidRDefault="006E4630" w:rsidP="00EB731E">
      <w:pPr>
        <w:pStyle w:val="NormalWeb"/>
        <w:spacing w:line="600" w:lineRule="auto"/>
        <w:rPr>
          <w:rFonts w:ascii="Arial" w:hAnsi="Arial" w:cs="Arial"/>
        </w:rPr>
      </w:pPr>
      <w:r w:rsidRPr="006E4630">
        <w:rPr>
          <w:rFonts w:ascii="Arial" w:hAnsi="Arial" w:cs="Arial"/>
        </w:rPr>
        <w:t>Employee wellbeing has become a central concern for contemporary organisations, particularly within high</w:t>
      </w:r>
      <w:r w:rsidRPr="006E4630">
        <w:rPr>
          <w:rFonts w:ascii="Arial" w:hAnsi="Arial" w:cs="Arial"/>
        </w:rPr>
        <w:noBreakHyphen/>
        <w:t>pressure service environments such as call centres. Research consistently demonstrates that organisations which prioritise employee wellbeing experience improved performance, higher engagement and reduced absence and turnover (CIPD, 2023). This essay examines how the development and implementation of a comprehensive wellbeing strategy could help address key people management challenges at the Cardiff call centre of Havencares Insurance. These challenges include high staff turnover, elevated absence due to mental health and minor illnesses, and poor performance and long</w:t>
      </w:r>
      <w:r w:rsidRPr="006E4630">
        <w:rPr>
          <w:rFonts w:ascii="Arial" w:hAnsi="Arial" w:cs="Arial"/>
        </w:rPr>
        <w:noBreakHyphen/>
        <w:t>term sickness among longer</w:t>
      </w:r>
      <w:r w:rsidRPr="006E4630">
        <w:rPr>
          <w:rFonts w:ascii="Arial" w:hAnsi="Arial" w:cs="Arial"/>
        </w:rPr>
        <w:noBreakHyphen/>
        <w:t>serving employees.</w:t>
      </w:r>
    </w:p>
    <w:p w14:paraId="18BD8FF4" w14:textId="7E1450B0" w:rsidR="006E4630" w:rsidRDefault="006E4630" w:rsidP="00EB731E">
      <w:pPr>
        <w:pStyle w:val="NormalWeb"/>
        <w:spacing w:line="600" w:lineRule="auto"/>
        <w:rPr>
          <w:rFonts w:ascii="Arial" w:hAnsi="Arial" w:cs="Arial"/>
        </w:rPr>
      </w:pPr>
      <w:r w:rsidRPr="006E4630">
        <w:rPr>
          <w:rFonts w:ascii="Arial" w:hAnsi="Arial" w:cs="Arial"/>
        </w:rPr>
        <w:t>As a Human Resources Officer recently relocated from the Swansea call centre, this essay will draw upon relevant organisational characteristics, including the call</w:t>
      </w:r>
      <w:r w:rsidRPr="006E4630">
        <w:rPr>
          <w:rFonts w:ascii="Arial" w:hAnsi="Arial" w:cs="Arial"/>
        </w:rPr>
        <w:noBreakHyphen/>
        <w:t>centre working environment, the size of the workforce, and the socio</w:t>
      </w:r>
      <w:r w:rsidRPr="006E4630">
        <w:rPr>
          <w:rFonts w:ascii="Arial" w:hAnsi="Arial" w:cs="Arial"/>
        </w:rPr>
        <w:noBreakHyphen/>
        <w:t>economic context of South Wales. It will critically evaluate the link between employee wellbeing and organisational performance, with particular emphasis on how employee development initiatives can positively influence wellbeing outcomes. The essay argues that a strategically aligned wellbeing approach, underpinned by effective leadership and people development, is essential to improving both employee experience and business performance at Havencares Insurance.</w:t>
      </w:r>
    </w:p>
    <w:p w14:paraId="52D8905B" w14:textId="77777777" w:rsidR="0074187B" w:rsidRPr="0074187B" w:rsidRDefault="0074187B" w:rsidP="00EB731E">
      <w:pPr>
        <w:spacing w:after="0" w:line="600" w:lineRule="auto"/>
        <w:rPr>
          <w:rFonts w:ascii="Arial" w:eastAsia="Times New Roman" w:hAnsi="Arial" w:cs="Arial"/>
          <w:sz w:val="24"/>
          <w:szCs w:val="24"/>
          <w:lang w:eastAsia="en-GB"/>
        </w:rPr>
      </w:pPr>
      <w:r w:rsidRPr="0074187B">
        <w:rPr>
          <w:rFonts w:ascii="Arial" w:eastAsia="Times New Roman" w:hAnsi="Arial" w:cs="Arial"/>
          <w:sz w:val="24"/>
          <w:szCs w:val="24"/>
          <w:lang w:eastAsia="en-GB"/>
        </w:rPr>
        <w:lastRenderedPageBreak/>
        <w:t>This analysis is grounded in the specific operational and regional context of the Cardiff call centre, including the demands of call</w:t>
      </w:r>
      <w:r w:rsidRPr="0074187B">
        <w:rPr>
          <w:rFonts w:ascii="Arial" w:eastAsia="Times New Roman" w:hAnsi="Arial" w:cs="Arial"/>
          <w:sz w:val="24"/>
          <w:szCs w:val="24"/>
          <w:lang w:eastAsia="en-GB"/>
        </w:rPr>
        <w:noBreakHyphen/>
        <w:t>centre work and the socio</w:t>
      </w:r>
      <w:r w:rsidRPr="0074187B">
        <w:rPr>
          <w:rFonts w:ascii="Arial" w:eastAsia="Times New Roman" w:hAnsi="Arial" w:cs="Arial"/>
          <w:sz w:val="24"/>
          <w:szCs w:val="24"/>
          <w:lang w:eastAsia="en-GB"/>
        </w:rPr>
        <w:noBreakHyphen/>
        <w:t>economic characteristics of South Wales.</w:t>
      </w:r>
    </w:p>
    <w:p w14:paraId="6C685BFB" w14:textId="77777777" w:rsidR="0074187B" w:rsidRDefault="0074187B" w:rsidP="00EB731E">
      <w:pPr>
        <w:pStyle w:val="NormalWeb"/>
        <w:spacing w:line="600" w:lineRule="auto"/>
        <w:rPr>
          <w:rFonts w:ascii="Arial" w:hAnsi="Arial" w:cs="Arial"/>
        </w:rPr>
      </w:pPr>
    </w:p>
    <w:p w14:paraId="475AD9E0" w14:textId="77777777"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Organisational Context and People Management Challenges</w:t>
      </w:r>
    </w:p>
    <w:p w14:paraId="03654636"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Havencares Insurance operates two call centres in South Wales, employing a total of 300 employees at its Cardiff site, predominantly claims handlers supported by team leaders and senior managers. Call centres are widely recognised as demanding work environments, characterised by repetitive tasks, high call volumes, performance monitoring, emotional labour and limited autonomy (Deery &amp; Kinnie, 2004). These factors contribute significantly to stress, burnout and disengagement, particularly when employees feel unsupported or lack opportunities for development.</w:t>
      </w:r>
    </w:p>
    <w:p w14:paraId="5F43454E" w14:textId="41408908"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The Cardiff call centre is experiencing several interconnected people management issues. High turnover suggests dissatisfaction, low engagement or limited career progression opportunities. Absence levels linked to mental health and minor illnesses such as colds and flu may indicate stress</w:t>
      </w:r>
      <w:r w:rsidRPr="00711763">
        <w:rPr>
          <w:rFonts w:ascii="Arial" w:hAnsi="Arial" w:cs="Arial"/>
          <w:sz w:val="24"/>
          <w:szCs w:val="24"/>
          <w:lang w:eastAsia="en-GB"/>
        </w:rPr>
        <w:noBreakHyphen/>
        <w:t xml:space="preserve">related immune suppression, </w:t>
      </w:r>
      <w:r w:rsidR="00D52E0B">
        <w:rPr>
          <w:rFonts w:ascii="Arial" w:hAnsi="Arial" w:cs="Arial"/>
          <w:sz w:val="24"/>
          <w:szCs w:val="24"/>
          <w:lang w:eastAsia="en-GB"/>
        </w:rPr>
        <w:t>working whilst sick</w:t>
      </w:r>
      <w:r w:rsidRPr="00711763">
        <w:rPr>
          <w:rFonts w:ascii="Arial" w:hAnsi="Arial" w:cs="Arial"/>
          <w:sz w:val="24"/>
          <w:szCs w:val="24"/>
          <w:lang w:eastAsia="en-GB"/>
        </w:rPr>
        <w:t xml:space="preserve"> or poor psychological wellbeing. Additionally, poor performance and long</w:t>
      </w:r>
      <w:r w:rsidRPr="00711763">
        <w:rPr>
          <w:rFonts w:ascii="Arial" w:hAnsi="Arial" w:cs="Arial"/>
          <w:sz w:val="24"/>
          <w:szCs w:val="24"/>
          <w:lang w:eastAsia="en-GB"/>
        </w:rPr>
        <w:noBreakHyphen/>
        <w:t>term illness among longer</w:t>
      </w:r>
      <w:r w:rsidRPr="00711763">
        <w:rPr>
          <w:rFonts w:ascii="Arial" w:hAnsi="Arial" w:cs="Arial"/>
          <w:sz w:val="24"/>
          <w:szCs w:val="24"/>
          <w:lang w:eastAsia="en-GB"/>
        </w:rPr>
        <w:noBreakHyphen/>
        <w:t>serving employees may reflect c</w:t>
      </w:r>
      <w:r w:rsidR="005978B4">
        <w:rPr>
          <w:rFonts w:ascii="Arial" w:hAnsi="Arial" w:cs="Arial"/>
          <w:sz w:val="24"/>
          <w:szCs w:val="24"/>
          <w:lang w:eastAsia="en-GB"/>
        </w:rPr>
        <w:t>ombined</w:t>
      </w:r>
      <w:r w:rsidRPr="00711763">
        <w:rPr>
          <w:rFonts w:ascii="Arial" w:hAnsi="Arial" w:cs="Arial"/>
          <w:sz w:val="24"/>
          <w:szCs w:val="24"/>
          <w:lang w:eastAsia="en-GB"/>
        </w:rPr>
        <w:t xml:space="preserve"> work strain, </w:t>
      </w:r>
      <w:r w:rsidR="005978B4">
        <w:rPr>
          <w:rFonts w:ascii="Arial" w:hAnsi="Arial" w:cs="Arial"/>
          <w:sz w:val="24"/>
          <w:szCs w:val="24"/>
          <w:lang w:eastAsia="en-GB"/>
        </w:rPr>
        <w:t>lack of progress</w:t>
      </w:r>
      <w:r w:rsidRPr="00711763">
        <w:rPr>
          <w:rFonts w:ascii="Arial" w:hAnsi="Arial" w:cs="Arial"/>
          <w:sz w:val="24"/>
          <w:szCs w:val="24"/>
          <w:lang w:eastAsia="en-GB"/>
        </w:rPr>
        <w:t>, or a perceived lack of organisational investment in their development.</w:t>
      </w:r>
    </w:p>
    <w:p w14:paraId="0A8084E6" w14:textId="63D5C77A"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The South Wales context is also relevant. While the region benefits from a strong sense of community, it also faces pockets of economic deprivation and historically limited employment opportunities, which can influence employee expectations, resilience and mental health (Welsh Government, 2022). In this environment, employers such as Havencares Insurance have an important role to play in promoting good work, fair treatment and sustainable employment.</w:t>
      </w:r>
    </w:p>
    <w:p w14:paraId="7F772A1E" w14:textId="77777777"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Understanding Workplace Wellbeing</w:t>
      </w:r>
    </w:p>
    <w:p w14:paraId="1997B471" w14:textId="0C893919"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Workplace wellbeing can be defined as “the creation of an environment to promote a state of contentment which allows employees to flourish and achieve their full potential for the benefit of themselves and their organisation” (CIPD, 2022). Wellbeing is commonly conceptualised as multi</w:t>
      </w:r>
      <w:r w:rsidRPr="00711763">
        <w:rPr>
          <w:rFonts w:ascii="Arial" w:hAnsi="Arial" w:cs="Arial"/>
          <w:sz w:val="24"/>
          <w:szCs w:val="24"/>
          <w:lang w:eastAsia="en-GB"/>
        </w:rPr>
        <w:noBreakHyphen/>
        <w:t xml:space="preserve">dimensional, </w:t>
      </w:r>
      <w:r w:rsidR="006F743E">
        <w:rPr>
          <w:rFonts w:ascii="Arial" w:hAnsi="Arial" w:cs="Arial"/>
          <w:sz w:val="24"/>
          <w:szCs w:val="24"/>
          <w:lang w:eastAsia="en-GB"/>
        </w:rPr>
        <w:t xml:space="preserve">holistic </w:t>
      </w:r>
      <w:r w:rsidRPr="00711763">
        <w:rPr>
          <w:rFonts w:ascii="Arial" w:hAnsi="Arial" w:cs="Arial"/>
          <w:sz w:val="24"/>
          <w:szCs w:val="24"/>
          <w:lang w:eastAsia="en-GB"/>
        </w:rPr>
        <w:t>physical, psychological, social and financial wellbeing.</w:t>
      </w:r>
    </w:p>
    <w:p w14:paraId="0252B541" w14:textId="77777777" w:rsidR="006F743E"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In a call</w:t>
      </w:r>
      <w:r w:rsidRPr="00711763">
        <w:rPr>
          <w:rFonts w:ascii="Arial" w:hAnsi="Arial" w:cs="Arial"/>
          <w:sz w:val="24"/>
          <w:szCs w:val="24"/>
          <w:lang w:eastAsia="en-GB"/>
        </w:rPr>
        <w:noBreakHyphen/>
        <w:t>centre setting, psychological wellbeing is particularly significant due to constant customer interaction, emotional regulation and performance scrutiny</w:t>
      </w:r>
      <w:r w:rsidR="006F743E" w:rsidRPr="006F743E">
        <w:rPr>
          <w:rFonts w:ascii="Segoe UI" w:eastAsia="Times New Roman" w:hAnsi="Segoe UI" w:cs="Segoe UI"/>
          <w:sz w:val="21"/>
          <w:szCs w:val="21"/>
          <w:lang w:eastAsia="en-GB"/>
        </w:rPr>
        <w:t xml:space="preserve"> </w:t>
      </w:r>
      <w:r w:rsidR="006F743E" w:rsidRPr="006F743E">
        <w:rPr>
          <w:rFonts w:ascii="Arial" w:eastAsia="Times New Roman" w:hAnsi="Arial" w:cs="Arial"/>
          <w:sz w:val="24"/>
          <w:szCs w:val="24"/>
          <w:lang w:eastAsia="en-GB"/>
        </w:rPr>
        <w:t>(Holman, Chissick &amp; Totterdell, 2002)</w:t>
      </w:r>
      <w:r w:rsidRPr="006F743E">
        <w:rPr>
          <w:rFonts w:ascii="Arial" w:hAnsi="Arial" w:cs="Arial"/>
          <w:sz w:val="24"/>
          <w:szCs w:val="24"/>
          <w:lang w:eastAsia="en-GB"/>
        </w:rPr>
        <w:t>.</w:t>
      </w:r>
      <w:r w:rsidRPr="00711763">
        <w:rPr>
          <w:rFonts w:ascii="Arial" w:hAnsi="Arial" w:cs="Arial"/>
          <w:sz w:val="24"/>
          <w:szCs w:val="24"/>
          <w:lang w:eastAsia="en-GB"/>
        </w:rPr>
        <w:t xml:space="preserve"> </w:t>
      </w:r>
    </w:p>
    <w:p w14:paraId="6BF20A1F" w14:textId="247BDF31" w:rsidR="00711763" w:rsidRPr="006F743E" w:rsidRDefault="00711763" w:rsidP="00EB731E">
      <w:pPr>
        <w:spacing w:line="600" w:lineRule="auto"/>
        <w:rPr>
          <w:rFonts w:ascii="Segoe UI" w:eastAsia="Times New Roman" w:hAnsi="Segoe UI" w:cs="Segoe UI"/>
          <w:sz w:val="21"/>
          <w:szCs w:val="21"/>
          <w:lang w:eastAsia="en-GB"/>
        </w:rPr>
      </w:pPr>
      <w:r w:rsidRPr="00711763">
        <w:rPr>
          <w:rFonts w:ascii="Arial" w:hAnsi="Arial" w:cs="Arial"/>
          <w:sz w:val="24"/>
          <w:szCs w:val="24"/>
          <w:lang w:eastAsia="en-GB"/>
        </w:rPr>
        <w:t>Physical wellbeing is also impacted by prolonged sedentary work, screen usage and vocal strain</w:t>
      </w:r>
      <w:r w:rsidR="006F743E" w:rsidRPr="006F743E">
        <w:rPr>
          <w:rFonts w:ascii="Segoe UI" w:eastAsia="Times New Roman" w:hAnsi="Segoe UI" w:cs="Segoe UI"/>
          <w:sz w:val="21"/>
          <w:szCs w:val="21"/>
          <w:lang w:eastAsia="en-GB"/>
        </w:rPr>
        <w:t xml:space="preserve"> </w:t>
      </w:r>
      <w:r w:rsidR="006F743E" w:rsidRPr="006F743E">
        <w:rPr>
          <w:rFonts w:ascii="Arial" w:eastAsia="Times New Roman" w:hAnsi="Arial" w:cs="Arial"/>
          <w:sz w:val="24"/>
          <w:szCs w:val="24"/>
          <w:lang w:eastAsia="en-GB"/>
        </w:rPr>
        <w:t>(Miller and Hendrickse, 2015)</w:t>
      </w:r>
      <w:r w:rsidRPr="006F743E">
        <w:rPr>
          <w:rFonts w:ascii="Arial" w:hAnsi="Arial" w:cs="Arial"/>
          <w:sz w:val="24"/>
          <w:szCs w:val="24"/>
          <w:lang w:eastAsia="en-GB"/>
        </w:rPr>
        <w:t xml:space="preserve">. </w:t>
      </w:r>
      <w:r w:rsidRPr="00711763">
        <w:rPr>
          <w:rFonts w:ascii="Arial" w:hAnsi="Arial" w:cs="Arial"/>
          <w:sz w:val="24"/>
          <w:szCs w:val="24"/>
          <w:lang w:eastAsia="en-GB"/>
        </w:rPr>
        <w:t>Without strategic intervention, these factors can combine to negatively affect employee health, motivation and performance.</w:t>
      </w:r>
    </w:p>
    <w:p w14:paraId="3F7B3482" w14:textId="7A451878" w:rsidR="00711763" w:rsidRPr="00110A08" w:rsidRDefault="00711763" w:rsidP="00EB731E">
      <w:pPr>
        <w:spacing w:line="600" w:lineRule="auto"/>
        <w:rPr>
          <w:rFonts w:ascii="Segoe UI" w:eastAsia="Times New Roman" w:hAnsi="Segoe UI" w:cs="Segoe UI"/>
          <w:sz w:val="21"/>
          <w:szCs w:val="21"/>
          <w:lang w:eastAsia="en-GB"/>
        </w:rPr>
      </w:pPr>
      <w:r w:rsidRPr="00711763">
        <w:rPr>
          <w:rFonts w:ascii="Arial" w:hAnsi="Arial" w:cs="Arial"/>
          <w:sz w:val="24"/>
          <w:szCs w:val="24"/>
          <w:lang w:eastAsia="en-GB"/>
        </w:rPr>
        <w:t>A wellbeing strategy provides a structured and proactive approach to addressing these risks. Rather than relying solely on reactive measures such as sickness management, an effective strategy integrates wellbeing into leadership practices, job design, development opportunities and organisational culture. As an HR Officer, leading the development of such a strategy requires aligning organisational goals with employee needs and ensuring management buy</w:t>
      </w:r>
      <w:r w:rsidRPr="00711763">
        <w:rPr>
          <w:rFonts w:ascii="Arial" w:hAnsi="Arial" w:cs="Arial"/>
          <w:sz w:val="24"/>
          <w:szCs w:val="24"/>
          <w:lang w:eastAsia="en-GB"/>
        </w:rPr>
        <w:noBreakHyphen/>
        <w:t>in at all levels</w:t>
      </w:r>
      <w:r w:rsidR="00110A08" w:rsidRPr="00110A08">
        <w:rPr>
          <w:rFonts w:ascii="Segoe UI" w:eastAsia="Times New Roman" w:hAnsi="Segoe UI" w:cs="Segoe UI"/>
          <w:sz w:val="21"/>
          <w:szCs w:val="21"/>
          <w:lang w:eastAsia="en-GB"/>
        </w:rPr>
        <w:t xml:space="preserve"> </w:t>
      </w:r>
      <w:r w:rsidR="00110A08" w:rsidRPr="00110A08">
        <w:rPr>
          <w:rFonts w:ascii="Arial" w:eastAsia="Times New Roman" w:hAnsi="Arial" w:cs="Arial"/>
          <w:sz w:val="24"/>
          <w:szCs w:val="24"/>
          <w:lang w:eastAsia="en-GB"/>
        </w:rPr>
        <w:t>(CIPD, 2025)</w:t>
      </w:r>
      <w:r w:rsidRPr="00110A08">
        <w:rPr>
          <w:rFonts w:ascii="Arial" w:hAnsi="Arial" w:cs="Arial"/>
          <w:sz w:val="24"/>
          <w:szCs w:val="24"/>
          <w:lang w:eastAsia="en-GB"/>
        </w:rPr>
        <w:t>.</w:t>
      </w:r>
    </w:p>
    <w:p w14:paraId="749A32C5" w14:textId="7B412552" w:rsidR="00711763" w:rsidRPr="00711763" w:rsidRDefault="00711763" w:rsidP="00EB731E">
      <w:pPr>
        <w:spacing w:line="600" w:lineRule="auto"/>
        <w:rPr>
          <w:rFonts w:ascii="Arial" w:hAnsi="Arial" w:cs="Arial"/>
          <w:b/>
          <w:bCs/>
          <w:sz w:val="24"/>
          <w:szCs w:val="24"/>
          <w:lang w:eastAsia="en-GB"/>
        </w:rPr>
      </w:pPr>
    </w:p>
    <w:p w14:paraId="5A9A9DB6" w14:textId="77777777"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The Link Between Wellbeing and Performance</w:t>
      </w:r>
    </w:p>
    <w:p w14:paraId="7F9F80F4" w14:textId="7AF68EE9" w:rsidR="00110A08" w:rsidRPr="00110A08" w:rsidRDefault="00110A08" w:rsidP="00EB731E">
      <w:pPr>
        <w:spacing w:after="0" w:line="600" w:lineRule="auto"/>
        <w:rPr>
          <w:rFonts w:ascii="Arial" w:eastAsia="Times New Roman" w:hAnsi="Arial" w:cs="Arial"/>
          <w:sz w:val="24"/>
          <w:szCs w:val="24"/>
          <w:lang w:eastAsia="en-GB"/>
        </w:rPr>
      </w:pPr>
      <w:r w:rsidRPr="00110A08">
        <w:rPr>
          <w:rFonts w:ascii="Arial" w:eastAsia="Times New Roman" w:hAnsi="Arial" w:cs="Arial"/>
          <w:sz w:val="24"/>
          <w:szCs w:val="24"/>
          <w:lang w:eastAsia="en-GB"/>
        </w:rPr>
        <w:t>The relationship between employee wellbeing and organisational performance is well established in both contemporary academic research and professional practice. The Job Demands–Resources (JD</w:t>
      </w:r>
      <w:r w:rsidRPr="00110A08">
        <w:rPr>
          <w:rFonts w:ascii="Arial" w:eastAsia="Times New Roman" w:hAnsi="Arial" w:cs="Arial"/>
          <w:sz w:val="24"/>
          <w:szCs w:val="24"/>
          <w:lang w:eastAsia="en-GB"/>
        </w:rPr>
        <w:noBreakHyphen/>
        <w:t>R) model continues to provide a robust framework for explaining this relationship, with recent research reaffirming that excessive job demands such as high workload and emotional pressure contribute to strain and burnout, while job resources including managerial support, autonomy and development opportunities promote work engagement and improved performance (Demerouti and Bakker, 2023; Lee and Jo, 2023</w:t>
      </w:r>
      <w:r w:rsidR="00331C2C">
        <w:rPr>
          <w:rFonts w:ascii="Arial" w:eastAsia="Times New Roman" w:hAnsi="Arial" w:cs="Arial"/>
          <w:sz w:val="24"/>
          <w:szCs w:val="24"/>
          <w:lang w:eastAsia="en-GB"/>
        </w:rPr>
        <w:t>; CIPD, 2024</w:t>
      </w:r>
      <w:r w:rsidRPr="00110A08">
        <w:rPr>
          <w:rFonts w:ascii="Arial" w:eastAsia="Times New Roman" w:hAnsi="Arial" w:cs="Arial"/>
          <w:sz w:val="24"/>
          <w:szCs w:val="24"/>
          <w:lang w:eastAsia="en-GB"/>
        </w:rPr>
        <w:t>).</w:t>
      </w:r>
    </w:p>
    <w:p w14:paraId="4CDFA513" w14:textId="77777777" w:rsidR="00110A08" w:rsidRPr="00110A08" w:rsidRDefault="00110A08" w:rsidP="00EB731E">
      <w:pPr>
        <w:spacing w:after="0" w:line="600" w:lineRule="auto"/>
        <w:rPr>
          <w:rFonts w:ascii="Segoe UI" w:eastAsia="Times New Roman" w:hAnsi="Segoe UI" w:cs="Segoe UI"/>
          <w:sz w:val="21"/>
          <w:szCs w:val="21"/>
          <w:lang w:eastAsia="en-GB"/>
        </w:rPr>
      </w:pPr>
    </w:p>
    <w:p w14:paraId="59C40FA4" w14:textId="5A867726"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At Havencares Insurance, high absence and turnover indicate that job demands may be outweighing available resources at the Cardiff site. Poor wellbeing can result in reduced concentration, lower productivity, increased error rates in claims processing, and diminished customer service quality. </w:t>
      </w:r>
      <w:r w:rsidR="0021267D">
        <w:rPr>
          <w:rFonts w:ascii="Arial" w:hAnsi="Arial" w:cs="Arial"/>
          <w:sz w:val="24"/>
          <w:szCs w:val="24"/>
          <w:lang w:eastAsia="en-GB"/>
        </w:rPr>
        <w:t>On the other hand</w:t>
      </w:r>
      <w:r w:rsidRPr="00711763">
        <w:rPr>
          <w:rFonts w:ascii="Arial" w:hAnsi="Arial" w:cs="Arial"/>
          <w:sz w:val="24"/>
          <w:szCs w:val="24"/>
          <w:lang w:eastAsia="en-GB"/>
        </w:rPr>
        <w:t>, employees who experience good wellbeing are more likely to demonstrate discretionary effort, resilience and commitment to organisational goals.</w:t>
      </w:r>
    </w:p>
    <w:p w14:paraId="71A9B1BF" w14:textId="3DAE6F54" w:rsid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From a performance perspective, wellbeing should be viewed not as a cost but as an investment. Studies suggest that organisations with strong wellbeing practices experience improved financial performance, reduced recruitment costs, and higher service quality (Deloitte, 2020</w:t>
      </w:r>
      <w:r w:rsidR="00331C2C">
        <w:rPr>
          <w:rFonts w:ascii="Arial" w:hAnsi="Arial" w:cs="Arial"/>
          <w:sz w:val="24"/>
          <w:szCs w:val="24"/>
          <w:lang w:eastAsia="en-GB"/>
        </w:rPr>
        <w:t>; OECD, 2023</w:t>
      </w:r>
      <w:r w:rsidRPr="00711763">
        <w:rPr>
          <w:rFonts w:ascii="Arial" w:hAnsi="Arial" w:cs="Arial"/>
          <w:sz w:val="24"/>
          <w:szCs w:val="24"/>
          <w:lang w:eastAsia="en-GB"/>
        </w:rPr>
        <w:t>). In the competitive insurance sector, where customer experience is closely linked to employee behaviour, this connection is particularly significant.</w:t>
      </w:r>
    </w:p>
    <w:p w14:paraId="7D3C8F7D" w14:textId="6CCB4105" w:rsidR="00C22825" w:rsidRPr="00C22825" w:rsidRDefault="00C22825" w:rsidP="00EB731E">
      <w:pPr>
        <w:spacing w:line="600" w:lineRule="auto"/>
        <w:rPr>
          <w:rFonts w:ascii="Segoe UI" w:eastAsia="Times New Roman" w:hAnsi="Segoe UI" w:cs="Segoe UI"/>
          <w:sz w:val="21"/>
          <w:szCs w:val="21"/>
          <w:lang w:eastAsia="en-GB"/>
        </w:rPr>
      </w:pPr>
      <w:r w:rsidRPr="00C22825">
        <w:rPr>
          <w:rFonts w:ascii="Arial" w:eastAsia="Times New Roman" w:hAnsi="Arial" w:cs="Arial"/>
          <w:sz w:val="24"/>
          <w:szCs w:val="24"/>
          <w:lang w:eastAsia="en-GB"/>
        </w:rPr>
        <w:t>However, while the relationship between wellbeing and performance is well established, the effectiveness of wellbeing interventions depends on their integration with job design and development opportunities rather than isolated initiatives</w:t>
      </w:r>
      <w:r w:rsidRPr="00C22825">
        <w:rPr>
          <w:rFonts w:ascii="Segoe UI" w:eastAsia="Times New Roman" w:hAnsi="Segoe UI" w:cs="Segoe UI"/>
          <w:sz w:val="21"/>
          <w:szCs w:val="21"/>
          <w:lang w:eastAsia="en-GB"/>
        </w:rPr>
        <w:t xml:space="preserve"> </w:t>
      </w:r>
      <w:r w:rsidRPr="0074187B">
        <w:rPr>
          <w:rFonts w:ascii="Arial" w:eastAsia="Times New Roman" w:hAnsi="Arial" w:cs="Arial"/>
          <w:sz w:val="24"/>
          <w:szCs w:val="24"/>
          <w:lang w:eastAsia="en-GB"/>
        </w:rPr>
        <w:t>(Demerouti and Bakker, 2023; Lee and Jo, 2023)</w:t>
      </w:r>
      <w:r w:rsidRPr="00C22825">
        <w:rPr>
          <w:rFonts w:ascii="Arial" w:eastAsia="Times New Roman" w:hAnsi="Arial" w:cs="Arial"/>
          <w:sz w:val="24"/>
          <w:szCs w:val="24"/>
          <w:lang w:eastAsia="en-GB"/>
        </w:rPr>
        <w:t>.</w:t>
      </w:r>
    </w:p>
    <w:p w14:paraId="78090D98" w14:textId="77777777" w:rsidR="00C22825" w:rsidRPr="00711763" w:rsidRDefault="00C22825" w:rsidP="00EB731E">
      <w:pPr>
        <w:spacing w:line="600" w:lineRule="auto"/>
        <w:rPr>
          <w:rFonts w:ascii="Arial" w:hAnsi="Arial" w:cs="Arial"/>
          <w:sz w:val="24"/>
          <w:szCs w:val="24"/>
          <w:lang w:eastAsia="en-GB"/>
        </w:rPr>
      </w:pPr>
    </w:p>
    <w:p w14:paraId="1614E074" w14:textId="77777777"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The Role of Leadership in Promoting Wellbeing</w:t>
      </w:r>
    </w:p>
    <w:p w14:paraId="121F0A61" w14:textId="52A48B66" w:rsidR="002F67E8" w:rsidRPr="002F67E8" w:rsidRDefault="002F67E8" w:rsidP="00EB731E">
      <w:pPr>
        <w:spacing w:line="600" w:lineRule="auto"/>
        <w:rPr>
          <w:rFonts w:ascii="Segoe UI" w:eastAsia="Times New Roman" w:hAnsi="Segoe UI" w:cs="Segoe UI"/>
          <w:sz w:val="21"/>
          <w:szCs w:val="21"/>
          <w:lang w:eastAsia="en-GB"/>
        </w:rPr>
      </w:pPr>
      <w:r w:rsidRPr="002F67E8">
        <w:rPr>
          <w:rFonts w:ascii="Arial" w:eastAsia="Times New Roman" w:hAnsi="Arial" w:cs="Arial"/>
          <w:sz w:val="24"/>
          <w:szCs w:val="24"/>
          <w:lang w:eastAsia="en-GB"/>
        </w:rPr>
        <w:t>Leadership behaviour plays a critical role in shaping employee wellbeing and the psychosocial work environment. In call centres, team leaders act as the primary link between senior management and frontline staff, meaning their behaviours significantly influence how organisational demands are experienced. Evidence suggests that poor leadership practices, such as excessive performance monitoring and limited empathy, can intensify stress, emotional exhaustion and disengagement among employees. In contrast, supportive and inclusive leadership behaviours can buffer the impact of high job demands by promoting psychological safety, trust and perceived organisational support, all of which are associated with improved wellbeing and performance</w:t>
      </w:r>
      <w:r w:rsidRPr="002F67E8">
        <w:rPr>
          <w:rFonts w:ascii="Segoe UI" w:eastAsia="Times New Roman" w:hAnsi="Segoe UI" w:cs="Segoe UI"/>
          <w:sz w:val="21"/>
          <w:szCs w:val="21"/>
          <w:lang w:eastAsia="en-GB"/>
        </w:rPr>
        <w:t xml:space="preserve"> </w:t>
      </w:r>
      <w:r w:rsidRPr="002F67E8">
        <w:rPr>
          <w:rFonts w:ascii="Arial" w:eastAsia="Times New Roman" w:hAnsi="Arial" w:cs="Arial"/>
          <w:sz w:val="24"/>
          <w:szCs w:val="24"/>
          <w:lang w:eastAsia="en-GB"/>
        </w:rPr>
        <w:t>(Azila</w:t>
      </w:r>
      <w:r w:rsidRPr="002F67E8">
        <w:rPr>
          <w:rFonts w:ascii="Arial" w:eastAsia="Times New Roman" w:hAnsi="Arial" w:cs="Arial"/>
          <w:sz w:val="24"/>
          <w:szCs w:val="24"/>
          <w:lang w:eastAsia="en-GB"/>
        </w:rPr>
        <w:noBreakHyphen/>
        <w:t>Gbettor et al., 2024).</w:t>
      </w:r>
    </w:p>
    <w:p w14:paraId="1A7F1B1A" w14:textId="77777777" w:rsidR="002F67E8" w:rsidRPr="002F67E8" w:rsidRDefault="002F67E8" w:rsidP="00EB731E">
      <w:pPr>
        <w:spacing w:after="0" w:line="600" w:lineRule="auto"/>
        <w:rPr>
          <w:rFonts w:ascii="Segoe UI" w:eastAsia="Times New Roman" w:hAnsi="Segoe UI" w:cs="Segoe UI"/>
          <w:sz w:val="21"/>
          <w:szCs w:val="21"/>
          <w:lang w:eastAsia="en-GB"/>
        </w:rPr>
      </w:pPr>
    </w:p>
    <w:p w14:paraId="2DB004E4" w14:textId="75FB7121" w:rsidR="00BB0037" w:rsidRPr="00BB0037" w:rsidRDefault="00BB0037" w:rsidP="00EB731E">
      <w:pPr>
        <w:spacing w:after="0" w:line="600" w:lineRule="auto"/>
        <w:rPr>
          <w:rFonts w:ascii="Arial" w:eastAsia="Times New Roman" w:hAnsi="Arial" w:cs="Arial"/>
          <w:sz w:val="24"/>
          <w:szCs w:val="24"/>
          <w:lang w:eastAsia="en-GB"/>
        </w:rPr>
      </w:pPr>
      <w:r w:rsidRPr="00BB0037">
        <w:rPr>
          <w:rFonts w:ascii="Arial" w:eastAsia="Times New Roman" w:hAnsi="Arial" w:cs="Arial"/>
          <w:sz w:val="24"/>
          <w:szCs w:val="24"/>
          <w:lang w:eastAsia="en-GB"/>
        </w:rPr>
        <w:t>Transformational leadership theory remains highly relevant in contemporary organisational contexts, particularly within high</w:t>
      </w:r>
      <w:r w:rsidRPr="00BB0037">
        <w:rPr>
          <w:rFonts w:ascii="Arial" w:eastAsia="Times New Roman" w:hAnsi="Arial" w:cs="Arial"/>
          <w:sz w:val="24"/>
          <w:szCs w:val="24"/>
          <w:lang w:eastAsia="en-GB"/>
        </w:rPr>
        <w:noBreakHyphen/>
        <w:t>pressure environments such as call centres. Recent research indicates that leadership behaviours associated with transformational and coaching</w:t>
      </w:r>
      <w:r w:rsidRPr="00BB0037">
        <w:rPr>
          <w:rFonts w:ascii="Arial" w:eastAsia="Times New Roman" w:hAnsi="Arial" w:cs="Arial"/>
          <w:sz w:val="24"/>
          <w:szCs w:val="24"/>
          <w:lang w:eastAsia="en-GB"/>
        </w:rPr>
        <w:noBreakHyphen/>
        <w:t>oriented approaches</w:t>
      </w:r>
      <w:r>
        <w:rPr>
          <w:rFonts w:ascii="Arial" w:eastAsia="Times New Roman" w:hAnsi="Arial" w:cs="Arial"/>
          <w:sz w:val="24"/>
          <w:szCs w:val="24"/>
          <w:lang w:eastAsia="en-GB"/>
        </w:rPr>
        <w:t xml:space="preserve"> </w:t>
      </w:r>
      <w:r w:rsidRPr="00BB0037">
        <w:rPr>
          <w:rFonts w:ascii="Arial" w:eastAsia="Times New Roman" w:hAnsi="Arial" w:cs="Arial"/>
          <w:sz w:val="24"/>
          <w:szCs w:val="24"/>
          <w:lang w:eastAsia="en-GB"/>
        </w:rPr>
        <w:t>such as individualised consideration, emotional support and a focus on employee development</w:t>
      </w:r>
      <w:r>
        <w:rPr>
          <w:rFonts w:ascii="Arial" w:eastAsia="Times New Roman" w:hAnsi="Arial" w:cs="Arial"/>
          <w:sz w:val="24"/>
          <w:szCs w:val="24"/>
          <w:lang w:eastAsia="en-GB"/>
        </w:rPr>
        <w:t xml:space="preserve"> </w:t>
      </w:r>
      <w:r w:rsidRPr="00BB0037">
        <w:rPr>
          <w:rFonts w:ascii="Arial" w:eastAsia="Times New Roman" w:hAnsi="Arial" w:cs="Arial"/>
          <w:sz w:val="24"/>
          <w:szCs w:val="24"/>
          <w:lang w:eastAsia="en-GB"/>
        </w:rPr>
        <w:t>are positively associated with improved employee wellbeing, engagement and performance (Azila</w:t>
      </w:r>
      <w:r w:rsidRPr="00BB0037">
        <w:rPr>
          <w:rFonts w:ascii="Arial" w:eastAsia="Times New Roman" w:hAnsi="Arial" w:cs="Arial"/>
          <w:sz w:val="24"/>
          <w:szCs w:val="24"/>
          <w:lang w:eastAsia="en-GB"/>
        </w:rPr>
        <w:noBreakHyphen/>
        <w:t>Gbettor et al., 2024). Coaching</w:t>
      </w:r>
      <w:r w:rsidRPr="00BB0037">
        <w:rPr>
          <w:rFonts w:ascii="Arial" w:eastAsia="Times New Roman" w:hAnsi="Arial" w:cs="Arial"/>
          <w:sz w:val="24"/>
          <w:szCs w:val="24"/>
          <w:lang w:eastAsia="en-GB"/>
        </w:rPr>
        <w:noBreakHyphen/>
        <w:t>oriented leadership has been shown to enhance leaders’ capacity to support employees through empathy and developmental feedback, thereby fostering psychological safety and reducing work</w:t>
      </w:r>
      <w:r w:rsidRPr="00BB0037">
        <w:rPr>
          <w:rFonts w:ascii="Arial" w:eastAsia="Times New Roman" w:hAnsi="Arial" w:cs="Arial"/>
          <w:sz w:val="24"/>
          <w:szCs w:val="24"/>
          <w:lang w:eastAsia="en-GB"/>
        </w:rPr>
        <w:noBreakHyphen/>
        <w:t>related stress (Halliwell, Mitchell and Boyle, 2023). By training team leaders at Havencares Insurance to adopt a more coaching</w:t>
      </w:r>
      <w:r w:rsidRPr="00BB0037">
        <w:rPr>
          <w:rFonts w:ascii="Arial" w:eastAsia="Times New Roman" w:hAnsi="Arial" w:cs="Arial"/>
          <w:sz w:val="24"/>
          <w:szCs w:val="24"/>
          <w:lang w:eastAsia="en-GB"/>
        </w:rPr>
        <w:noBreakHyphen/>
        <w:t>oriented and empathetic leadership style, the organisation can directly influence employee wellbeing while also supporting sustained performance outcomes (Jarosz, 2021).</w:t>
      </w:r>
    </w:p>
    <w:p w14:paraId="4159680E" w14:textId="77777777" w:rsidR="00BB0037" w:rsidRDefault="00BB0037" w:rsidP="00EB731E">
      <w:pPr>
        <w:spacing w:line="600" w:lineRule="auto"/>
        <w:rPr>
          <w:rFonts w:ascii="Arial" w:hAnsi="Arial" w:cs="Arial"/>
          <w:sz w:val="24"/>
          <w:szCs w:val="24"/>
          <w:lang w:eastAsia="en-GB"/>
        </w:rPr>
      </w:pPr>
    </w:p>
    <w:p w14:paraId="09DC7B98" w14:textId="54B86722"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Leadership capability development should therefore form a core component of the wellbeing strategy. This includes training managers to recognise mental health issues, manage absence constructively, and support employees returning from long</w:t>
      </w:r>
      <w:r w:rsidRPr="00711763">
        <w:rPr>
          <w:rFonts w:ascii="Arial" w:hAnsi="Arial" w:cs="Arial"/>
          <w:sz w:val="24"/>
          <w:szCs w:val="24"/>
          <w:lang w:eastAsia="en-GB"/>
        </w:rPr>
        <w:noBreakHyphen/>
        <w:t>term illness. In South Wales, where stigma around mental health may still exist in some communities, visible leadership commitment is especially important.</w:t>
      </w:r>
    </w:p>
    <w:p w14:paraId="6A7E3D66" w14:textId="2A70B979" w:rsidR="00711763" w:rsidRPr="00711763" w:rsidRDefault="00711763" w:rsidP="00EB731E">
      <w:pPr>
        <w:spacing w:line="600" w:lineRule="auto"/>
        <w:rPr>
          <w:rFonts w:ascii="Arial" w:hAnsi="Arial" w:cs="Arial"/>
          <w:sz w:val="24"/>
          <w:szCs w:val="24"/>
          <w:lang w:eastAsia="en-GB"/>
        </w:rPr>
      </w:pPr>
    </w:p>
    <w:p w14:paraId="08066154" w14:textId="77777777"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Employee Development as a Driver of Wellbeing</w:t>
      </w:r>
    </w:p>
    <w:p w14:paraId="77D07CDF" w14:textId="39D8A4F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Employee development has a significant and positive impact on overall wellbeing and engagement. Lack of development opportunities is a common contributor to turnover and disengagement in call centres, where roles may be perceived as low</w:t>
      </w:r>
      <w:r w:rsidRPr="00711763">
        <w:rPr>
          <w:rFonts w:ascii="Arial" w:hAnsi="Arial" w:cs="Arial"/>
          <w:sz w:val="24"/>
          <w:szCs w:val="24"/>
          <w:lang w:eastAsia="en-GB"/>
        </w:rPr>
        <w:noBreakHyphen/>
        <w:t>skill or dead</w:t>
      </w:r>
      <w:r w:rsidRPr="00711763">
        <w:rPr>
          <w:rFonts w:ascii="Arial" w:hAnsi="Arial" w:cs="Arial"/>
          <w:sz w:val="24"/>
          <w:szCs w:val="24"/>
          <w:lang w:eastAsia="en-GB"/>
        </w:rPr>
        <w:noBreakHyphen/>
        <w:t>end positions (Taylor &amp; Bain, 2006). At Havencares Insurance, poor performance among longer</w:t>
      </w:r>
      <w:r w:rsidRPr="00711763">
        <w:rPr>
          <w:rFonts w:ascii="Arial" w:hAnsi="Arial" w:cs="Arial"/>
          <w:sz w:val="24"/>
          <w:szCs w:val="24"/>
          <w:lang w:eastAsia="en-GB"/>
        </w:rPr>
        <w:noBreakHyphen/>
        <w:t>serving employees may indicate career sta</w:t>
      </w:r>
      <w:r w:rsidR="00BB0037">
        <w:rPr>
          <w:rFonts w:ascii="Arial" w:hAnsi="Arial" w:cs="Arial"/>
          <w:sz w:val="24"/>
          <w:szCs w:val="24"/>
          <w:lang w:eastAsia="en-GB"/>
        </w:rPr>
        <w:t>ndstill</w:t>
      </w:r>
      <w:r w:rsidRPr="00711763">
        <w:rPr>
          <w:rFonts w:ascii="Arial" w:hAnsi="Arial" w:cs="Arial"/>
          <w:sz w:val="24"/>
          <w:szCs w:val="24"/>
          <w:lang w:eastAsia="en-GB"/>
        </w:rPr>
        <w:t xml:space="preserve"> or </w:t>
      </w:r>
      <w:r w:rsidR="00BB0037">
        <w:rPr>
          <w:rFonts w:ascii="Arial" w:hAnsi="Arial" w:cs="Arial"/>
          <w:sz w:val="24"/>
          <w:szCs w:val="24"/>
          <w:lang w:eastAsia="en-GB"/>
        </w:rPr>
        <w:t xml:space="preserve">loss of relevant </w:t>
      </w:r>
      <w:r w:rsidRPr="00711763">
        <w:rPr>
          <w:rFonts w:ascii="Arial" w:hAnsi="Arial" w:cs="Arial"/>
          <w:sz w:val="24"/>
          <w:szCs w:val="24"/>
          <w:lang w:eastAsia="en-GB"/>
        </w:rPr>
        <w:t>skills</w:t>
      </w:r>
      <w:r w:rsidR="00BB0037">
        <w:rPr>
          <w:rFonts w:ascii="Arial" w:hAnsi="Arial" w:cs="Arial"/>
          <w:sz w:val="24"/>
          <w:szCs w:val="24"/>
          <w:lang w:eastAsia="en-GB"/>
        </w:rPr>
        <w:t>.</w:t>
      </w:r>
      <w:r w:rsidRPr="00711763">
        <w:rPr>
          <w:rFonts w:ascii="Arial" w:hAnsi="Arial" w:cs="Arial"/>
          <w:sz w:val="24"/>
          <w:szCs w:val="24"/>
          <w:lang w:eastAsia="en-GB"/>
        </w:rPr>
        <w:t xml:space="preserve"> </w:t>
      </w:r>
    </w:p>
    <w:p w14:paraId="14538168" w14:textId="1EFFA8D5"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From a wellbeing perspective, development enhances employees’ sense of competence, purpose and control</w:t>
      </w:r>
      <w:r>
        <w:rPr>
          <w:rFonts w:ascii="Arial" w:hAnsi="Arial" w:cs="Arial"/>
          <w:sz w:val="24"/>
          <w:szCs w:val="24"/>
          <w:lang w:eastAsia="en-GB"/>
        </w:rPr>
        <w:t xml:space="preserve">, </w:t>
      </w:r>
      <w:r w:rsidRPr="00711763">
        <w:rPr>
          <w:rFonts w:ascii="Arial" w:hAnsi="Arial" w:cs="Arial"/>
          <w:sz w:val="24"/>
          <w:szCs w:val="24"/>
          <w:lang w:eastAsia="en-GB"/>
        </w:rPr>
        <w:t>key psychological needs identified in Self</w:t>
      </w:r>
      <w:r w:rsidRPr="00711763">
        <w:rPr>
          <w:rFonts w:ascii="Arial" w:hAnsi="Arial" w:cs="Arial"/>
          <w:sz w:val="24"/>
          <w:szCs w:val="24"/>
          <w:lang w:eastAsia="en-GB"/>
        </w:rPr>
        <w:noBreakHyphen/>
        <w:t>Determination Theory (Deci &amp; Ryan, 2000). Providing meaningful learning opportunities signals organisational support, which in turn strengthens employee commitment and morale.</w:t>
      </w:r>
    </w:p>
    <w:p w14:paraId="62983923" w14:textId="77777777" w:rsidR="00711763" w:rsidRPr="00711763" w:rsidRDefault="00711763" w:rsidP="00EB731E">
      <w:pPr>
        <w:pStyle w:val="ListParagraph"/>
        <w:numPr>
          <w:ilvl w:val="0"/>
          <w:numId w:val="3"/>
        </w:numPr>
        <w:spacing w:line="600" w:lineRule="auto"/>
        <w:rPr>
          <w:rFonts w:ascii="Arial" w:hAnsi="Arial" w:cs="Arial"/>
          <w:sz w:val="24"/>
          <w:szCs w:val="24"/>
          <w:lang w:eastAsia="en-GB"/>
        </w:rPr>
      </w:pPr>
      <w:r w:rsidRPr="00711763">
        <w:rPr>
          <w:rFonts w:ascii="Arial" w:hAnsi="Arial" w:cs="Arial"/>
          <w:sz w:val="24"/>
          <w:szCs w:val="24"/>
          <w:lang w:eastAsia="en-GB"/>
        </w:rPr>
        <w:t>A wellbeing</w:t>
      </w:r>
      <w:r w:rsidRPr="00711763">
        <w:rPr>
          <w:rFonts w:ascii="Arial" w:hAnsi="Arial" w:cs="Arial"/>
          <w:sz w:val="24"/>
          <w:szCs w:val="24"/>
          <w:lang w:eastAsia="en-GB"/>
        </w:rPr>
        <w:noBreakHyphen/>
        <w:t>focused development strategy at the Cardiff call centre could include:</w:t>
      </w:r>
    </w:p>
    <w:p w14:paraId="04D4E310" w14:textId="77777777" w:rsidR="00711763" w:rsidRPr="00711763" w:rsidRDefault="00711763" w:rsidP="00EB731E">
      <w:pPr>
        <w:pStyle w:val="ListParagraph"/>
        <w:numPr>
          <w:ilvl w:val="0"/>
          <w:numId w:val="3"/>
        </w:numPr>
        <w:spacing w:line="600" w:lineRule="auto"/>
        <w:rPr>
          <w:rFonts w:ascii="Arial" w:hAnsi="Arial" w:cs="Arial"/>
          <w:sz w:val="24"/>
          <w:szCs w:val="24"/>
          <w:lang w:eastAsia="en-GB"/>
        </w:rPr>
      </w:pPr>
      <w:r w:rsidRPr="00711763">
        <w:rPr>
          <w:rFonts w:ascii="Arial" w:hAnsi="Arial" w:cs="Arial"/>
          <w:sz w:val="24"/>
          <w:szCs w:val="24"/>
          <w:lang w:eastAsia="en-GB"/>
        </w:rPr>
        <w:t>Clear career pathways from claims handler roles into specialist, leadership or training positions</w:t>
      </w:r>
    </w:p>
    <w:p w14:paraId="76178D23" w14:textId="77777777" w:rsidR="00711763" w:rsidRPr="00711763" w:rsidRDefault="00711763" w:rsidP="00EB731E">
      <w:pPr>
        <w:pStyle w:val="ListParagraph"/>
        <w:numPr>
          <w:ilvl w:val="0"/>
          <w:numId w:val="3"/>
        </w:numPr>
        <w:spacing w:line="600" w:lineRule="auto"/>
        <w:rPr>
          <w:rFonts w:ascii="Arial" w:hAnsi="Arial" w:cs="Arial"/>
          <w:sz w:val="24"/>
          <w:szCs w:val="24"/>
          <w:lang w:eastAsia="en-GB"/>
        </w:rPr>
      </w:pPr>
      <w:r w:rsidRPr="00711763">
        <w:rPr>
          <w:rFonts w:ascii="Arial" w:hAnsi="Arial" w:cs="Arial"/>
          <w:sz w:val="24"/>
          <w:szCs w:val="24"/>
          <w:lang w:eastAsia="en-GB"/>
        </w:rPr>
        <w:t>Upskilling programmes to build confidence and reduce performance anxiety</w:t>
      </w:r>
    </w:p>
    <w:p w14:paraId="008E7DFE" w14:textId="77777777" w:rsidR="00711763" w:rsidRPr="00711763" w:rsidRDefault="00711763" w:rsidP="00EB731E">
      <w:pPr>
        <w:pStyle w:val="ListParagraph"/>
        <w:numPr>
          <w:ilvl w:val="0"/>
          <w:numId w:val="3"/>
        </w:numPr>
        <w:spacing w:line="600" w:lineRule="auto"/>
        <w:rPr>
          <w:rFonts w:ascii="Arial" w:hAnsi="Arial" w:cs="Arial"/>
          <w:sz w:val="24"/>
          <w:szCs w:val="24"/>
          <w:lang w:eastAsia="en-GB"/>
        </w:rPr>
      </w:pPr>
      <w:r w:rsidRPr="00711763">
        <w:rPr>
          <w:rFonts w:ascii="Arial" w:hAnsi="Arial" w:cs="Arial"/>
          <w:sz w:val="24"/>
          <w:szCs w:val="24"/>
          <w:lang w:eastAsia="en-GB"/>
        </w:rPr>
        <w:t>Job rotation or enrichment to reduce monotony and cognitive strain</w:t>
      </w:r>
    </w:p>
    <w:p w14:paraId="75841991" w14:textId="77777777" w:rsidR="00711763" w:rsidRPr="00711763" w:rsidRDefault="00711763" w:rsidP="00EB731E">
      <w:pPr>
        <w:pStyle w:val="ListParagraph"/>
        <w:numPr>
          <w:ilvl w:val="0"/>
          <w:numId w:val="3"/>
        </w:numPr>
        <w:spacing w:line="600" w:lineRule="auto"/>
        <w:rPr>
          <w:rFonts w:ascii="Arial" w:hAnsi="Arial" w:cs="Arial"/>
          <w:sz w:val="24"/>
          <w:szCs w:val="24"/>
          <w:lang w:eastAsia="en-GB"/>
        </w:rPr>
      </w:pPr>
      <w:r w:rsidRPr="00711763">
        <w:rPr>
          <w:rFonts w:ascii="Arial" w:hAnsi="Arial" w:cs="Arial"/>
          <w:sz w:val="24"/>
          <w:szCs w:val="24"/>
          <w:lang w:eastAsia="en-GB"/>
        </w:rPr>
        <w:t>Coaching and mentoring for longer</w:t>
      </w:r>
      <w:r w:rsidRPr="00711763">
        <w:rPr>
          <w:rFonts w:ascii="Arial" w:hAnsi="Arial" w:cs="Arial"/>
          <w:sz w:val="24"/>
          <w:szCs w:val="24"/>
          <w:lang w:eastAsia="en-GB"/>
        </w:rPr>
        <w:noBreakHyphen/>
        <w:t>serving employees to re</w:t>
      </w:r>
      <w:r w:rsidRPr="00711763">
        <w:rPr>
          <w:rFonts w:ascii="Arial" w:hAnsi="Arial" w:cs="Arial"/>
          <w:sz w:val="24"/>
          <w:szCs w:val="24"/>
          <w:lang w:eastAsia="en-GB"/>
        </w:rPr>
        <w:noBreakHyphen/>
        <w:t>engage them with their roles</w:t>
      </w:r>
    </w:p>
    <w:p w14:paraId="67D5B487"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Such initiatives are particularly important in the South Wales labour market, where internal progression opportunities can enhance employee retention and local economic resilience.</w:t>
      </w:r>
    </w:p>
    <w:p w14:paraId="0C7B9728" w14:textId="6957A097" w:rsidR="00711763" w:rsidRPr="00711763" w:rsidRDefault="00711763" w:rsidP="00EB731E">
      <w:pPr>
        <w:spacing w:line="600" w:lineRule="auto"/>
        <w:rPr>
          <w:rFonts w:ascii="Arial" w:hAnsi="Arial" w:cs="Arial"/>
          <w:sz w:val="24"/>
          <w:szCs w:val="24"/>
          <w:lang w:eastAsia="en-GB"/>
        </w:rPr>
      </w:pPr>
    </w:p>
    <w:p w14:paraId="7C629386" w14:textId="77777777"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Addressing Absence and Long</w:t>
      </w:r>
      <w:r w:rsidRPr="00711763">
        <w:rPr>
          <w:rFonts w:ascii="Arial" w:hAnsi="Arial" w:cs="Arial"/>
          <w:b/>
          <w:bCs/>
          <w:sz w:val="24"/>
          <w:szCs w:val="24"/>
          <w:lang w:eastAsia="en-GB"/>
        </w:rPr>
        <w:noBreakHyphen/>
        <w:t>Term Illness Through Wellbeing and Development</w:t>
      </w:r>
    </w:p>
    <w:p w14:paraId="55844E6E" w14:textId="46ED3662" w:rsidR="00C22825" w:rsidRPr="00331C2C" w:rsidRDefault="00C22825" w:rsidP="00EB731E">
      <w:pPr>
        <w:spacing w:line="600" w:lineRule="auto"/>
        <w:rPr>
          <w:rFonts w:ascii="Segoe UI" w:eastAsia="Times New Roman" w:hAnsi="Segoe UI" w:cs="Segoe UI"/>
          <w:sz w:val="21"/>
          <w:szCs w:val="21"/>
          <w:lang w:eastAsia="en-GB"/>
        </w:rPr>
      </w:pPr>
      <w:r w:rsidRPr="00C22825">
        <w:rPr>
          <w:rFonts w:ascii="Arial" w:eastAsia="Times New Roman" w:hAnsi="Arial" w:cs="Arial"/>
          <w:sz w:val="24"/>
          <w:szCs w:val="24"/>
          <w:lang w:eastAsia="en-GB"/>
        </w:rPr>
        <w:t>High absence levels linked to mental health concerns and minor illnesses are often indicative of systemic organisational issues related to prolonged stress, reduced resilience and demanding work environments. Evidence suggests that work</w:t>
      </w:r>
      <w:r w:rsidRPr="00C22825">
        <w:rPr>
          <w:rFonts w:ascii="Arial" w:eastAsia="Times New Roman" w:hAnsi="Arial" w:cs="Arial"/>
          <w:sz w:val="24"/>
          <w:szCs w:val="24"/>
          <w:lang w:eastAsia="en-GB"/>
        </w:rPr>
        <w:noBreakHyphen/>
        <w:t>related stress can weaken psychological resilience and increase susceptibility to short</w:t>
      </w:r>
      <w:r w:rsidRPr="00C22825">
        <w:rPr>
          <w:rFonts w:ascii="Arial" w:eastAsia="Times New Roman" w:hAnsi="Arial" w:cs="Arial"/>
          <w:sz w:val="24"/>
          <w:szCs w:val="24"/>
          <w:lang w:eastAsia="en-GB"/>
        </w:rPr>
        <w:noBreakHyphen/>
        <w:t>term physical illness, particularly in high</w:t>
      </w:r>
      <w:r w:rsidRPr="00C22825">
        <w:rPr>
          <w:rFonts w:ascii="Arial" w:eastAsia="Times New Roman" w:hAnsi="Arial" w:cs="Arial"/>
          <w:sz w:val="24"/>
          <w:szCs w:val="24"/>
          <w:lang w:eastAsia="en-GB"/>
        </w:rPr>
        <w:noBreakHyphen/>
        <w:t>pressure, tightly monitored roles such as call</w:t>
      </w:r>
      <w:r w:rsidRPr="00C22825">
        <w:rPr>
          <w:rFonts w:ascii="Arial" w:eastAsia="Times New Roman" w:hAnsi="Arial" w:cs="Arial"/>
          <w:sz w:val="24"/>
          <w:szCs w:val="24"/>
          <w:lang w:eastAsia="en-GB"/>
        </w:rPr>
        <w:noBreakHyphen/>
        <w:t xml:space="preserve">centre work </w:t>
      </w:r>
      <w:r w:rsidR="00331C2C" w:rsidRPr="00331C2C">
        <w:rPr>
          <w:rFonts w:ascii="Arial" w:eastAsia="Times New Roman" w:hAnsi="Arial" w:cs="Arial"/>
          <w:sz w:val="24"/>
          <w:szCs w:val="24"/>
          <w:lang w:eastAsia="en-GB"/>
        </w:rPr>
        <w:t>(CIPD, 2023; HSE, 2023)</w:t>
      </w:r>
      <w:r w:rsidRPr="00C22825">
        <w:rPr>
          <w:rFonts w:ascii="Arial" w:eastAsia="Times New Roman" w:hAnsi="Arial" w:cs="Arial"/>
          <w:sz w:val="24"/>
          <w:szCs w:val="24"/>
          <w:lang w:eastAsia="en-GB"/>
        </w:rPr>
        <w:t>. Consequently, an effective wellbeing strategy should adopt a preventative rather than reactive approach, placing emphasis on workload management, flexible working arrangements and early intervention. Access to structured mental health support, including Employee Assistance Programmes (EAPs), has been shown to play an important role in reducing stress</w:t>
      </w:r>
      <w:r w:rsidRPr="00C22825">
        <w:rPr>
          <w:rFonts w:ascii="Arial" w:eastAsia="Times New Roman" w:hAnsi="Arial" w:cs="Arial"/>
          <w:sz w:val="24"/>
          <w:szCs w:val="24"/>
          <w:lang w:eastAsia="en-GB"/>
        </w:rPr>
        <w:noBreakHyphen/>
        <w:t>related absence and supporting employees before issues escalate into longer</w:t>
      </w:r>
      <w:r w:rsidRPr="00C22825">
        <w:rPr>
          <w:rFonts w:ascii="Arial" w:eastAsia="Times New Roman" w:hAnsi="Arial" w:cs="Arial"/>
          <w:sz w:val="24"/>
          <w:szCs w:val="24"/>
          <w:lang w:eastAsia="en-GB"/>
        </w:rPr>
        <w:noBreakHyphen/>
        <w:t>term health problems (Deloitte, 2022;</w:t>
      </w:r>
      <w:r w:rsidR="00331C2C">
        <w:rPr>
          <w:rFonts w:ascii="Arial" w:eastAsia="Times New Roman" w:hAnsi="Arial" w:cs="Arial"/>
          <w:sz w:val="24"/>
          <w:szCs w:val="24"/>
          <w:lang w:eastAsia="en-GB"/>
        </w:rPr>
        <w:t xml:space="preserve"> WHO, 2022;</w:t>
      </w:r>
      <w:r w:rsidRPr="00C22825">
        <w:rPr>
          <w:rFonts w:ascii="Arial" w:eastAsia="Times New Roman" w:hAnsi="Arial" w:cs="Arial"/>
          <w:sz w:val="24"/>
          <w:szCs w:val="24"/>
          <w:lang w:eastAsia="en-GB"/>
        </w:rPr>
        <w:t xml:space="preserve"> NICE, 2022).</w:t>
      </w:r>
    </w:p>
    <w:p w14:paraId="2A28BF86" w14:textId="77777777" w:rsidR="00C22825" w:rsidRPr="00C22825" w:rsidRDefault="00C22825" w:rsidP="00EB731E">
      <w:pPr>
        <w:spacing w:after="0" w:line="600" w:lineRule="auto"/>
        <w:rPr>
          <w:rFonts w:ascii="Arial" w:eastAsia="Times New Roman" w:hAnsi="Arial" w:cs="Arial"/>
          <w:sz w:val="24"/>
          <w:szCs w:val="24"/>
          <w:lang w:eastAsia="en-GB"/>
        </w:rPr>
      </w:pPr>
    </w:p>
    <w:p w14:paraId="79BBBA01" w14:textId="423A66BE"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For employees experiencing long</w:t>
      </w:r>
      <w:r w:rsidRPr="00711763">
        <w:rPr>
          <w:rFonts w:ascii="Arial" w:hAnsi="Arial" w:cs="Arial"/>
          <w:sz w:val="24"/>
          <w:szCs w:val="24"/>
          <w:lang w:eastAsia="en-GB"/>
        </w:rPr>
        <w:noBreakHyphen/>
        <w:t>term illness, integrating development into return</w:t>
      </w:r>
      <w:r w:rsidRPr="00711763">
        <w:rPr>
          <w:rFonts w:ascii="Arial" w:hAnsi="Arial" w:cs="Arial"/>
          <w:sz w:val="24"/>
          <w:szCs w:val="24"/>
          <w:lang w:eastAsia="en-GB"/>
        </w:rPr>
        <w:noBreakHyphen/>
        <w:t>to</w:t>
      </w:r>
      <w:r w:rsidRPr="00711763">
        <w:rPr>
          <w:rFonts w:ascii="Arial" w:hAnsi="Arial" w:cs="Arial"/>
          <w:sz w:val="24"/>
          <w:szCs w:val="24"/>
          <w:lang w:eastAsia="en-GB"/>
        </w:rPr>
        <w:noBreakHyphen/>
        <w:t>work processes can be highly effective. Phased returns combined with skills development or role adjustments can help employees rebuild confidence and competence, reducing the likelihood of relapse. Line managers should be supported by HR to conduct regular wellbeing conversations rather than relying solely on formal absence procedures.</w:t>
      </w:r>
    </w:p>
    <w:p w14:paraId="31DBAE3A"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By linking wellbeing initiatives with development opportunities, Havencares Insurance can move away from a punitive absence culture towards a more supportive and sustainable approach.</w:t>
      </w:r>
    </w:p>
    <w:p w14:paraId="53B7B645" w14:textId="61B8A57C" w:rsidR="00711763" w:rsidRPr="00711763" w:rsidRDefault="00711763" w:rsidP="00EB731E">
      <w:pPr>
        <w:spacing w:line="600" w:lineRule="auto"/>
        <w:rPr>
          <w:rFonts w:ascii="Arial" w:hAnsi="Arial" w:cs="Arial"/>
          <w:b/>
          <w:bCs/>
          <w:sz w:val="24"/>
          <w:szCs w:val="24"/>
          <w:lang w:eastAsia="en-GB"/>
        </w:rPr>
      </w:pPr>
    </w:p>
    <w:p w14:paraId="07ABC12B" w14:textId="77777777" w:rsidR="00C22825" w:rsidRDefault="00C22825" w:rsidP="00EB731E">
      <w:pPr>
        <w:spacing w:line="600" w:lineRule="auto"/>
        <w:rPr>
          <w:rFonts w:ascii="Arial" w:hAnsi="Arial" w:cs="Arial"/>
          <w:b/>
          <w:bCs/>
          <w:sz w:val="24"/>
          <w:szCs w:val="24"/>
          <w:lang w:eastAsia="en-GB"/>
        </w:rPr>
      </w:pPr>
    </w:p>
    <w:p w14:paraId="196A9B4F" w14:textId="77777777" w:rsidR="00C22825" w:rsidRDefault="00C22825" w:rsidP="00EB731E">
      <w:pPr>
        <w:spacing w:line="600" w:lineRule="auto"/>
        <w:rPr>
          <w:rFonts w:ascii="Arial" w:hAnsi="Arial" w:cs="Arial"/>
          <w:b/>
          <w:bCs/>
          <w:sz w:val="24"/>
          <w:szCs w:val="24"/>
          <w:lang w:eastAsia="en-GB"/>
        </w:rPr>
      </w:pPr>
    </w:p>
    <w:p w14:paraId="49D84EAE" w14:textId="631E3881"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Implementing a Wellbeing Strategy at Havencares Insurance</w:t>
      </w:r>
    </w:p>
    <w:p w14:paraId="0A4F4C58"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An effective wellbeing strategy for the Cardiff call centre should be evidence</w:t>
      </w:r>
      <w:r w:rsidRPr="00711763">
        <w:rPr>
          <w:rFonts w:ascii="Arial" w:hAnsi="Arial" w:cs="Arial"/>
          <w:sz w:val="24"/>
          <w:szCs w:val="24"/>
          <w:lang w:eastAsia="en-GB"/>
        </w:rPr>
        <w:noBreakHyphen/>
        <w:t>based, inclusive and aligned with organisational objectives. Key elements may include:</w:t>
      </w:r>
    </w:p>
    <w:p w14:paraId="1F308B5C" w14:textId="77777777" w:rsidR="00711763" w:rsidRPr="00711763" w:rsidRDefault="00711763" w:rsidP="00EB731E">
      <w:pPr>
        <w:pStyle w:val="ListParagraph"/>
        <w:numPr>
          <w:ilvl w:val="0"/>
          <w:numId w:val="4"/>
        </w:numPr>
        <w:spacing w:line="600" w:lineRule="auto"/>
        <w:rPr>
          <w:rFonts w:ascii="Arial" w:hAnsi="Arial" w:cs="Arial"/>
          <w:sz w:val="24"/>
          <w:szCs w:val="24"/>
          <w:lang w:eastAsia="en-GB"/>
        </w:rPr>
      </w:pPr>
      <w:r w:rsidRPr="00711763">
        <w:rPr>
          <w:rFonts w:ascii="Arial" w:hAnsi="Arial" w:cs="Arial"/>
          <w:sz w:val="24"/>
          <w:szCs w:val="24"/>
          <w:lang w:eastAsia="en-GB"/>
        </w:rPr>
        <w:t>A wellbeing needs assessment specific to the call centre environment</w:t>
      </w:r>
    </w:p>
    <w:p w14:paraId="245F1586" w14:textId="77777777" w:rsidR="00711763" w:rsidRPr="00711763" w:rsidRDefault="00711763" w:rsidP="00EB731E">
      <w:pPr>
        <w:pStyle w:val="ListParagraph"/>
        <w:numPr>
          <w:ilvl w:val="0"/>
          <w:numId w:val="4"/>
        </w:numPr>
        <w:spacing w:line="600" w:lineRule="auto"/>
        <w:rPr>
          <w:rFonts w:ascii="Arial" w:hAnsi="Arial" w:cs="Arial"/>
          <w:sz w:val="24"/>
          <w:szCs w:val="24"/>
          <w:lang w:eastAsia="en-GB"/>
        </w:rPr>
      </w:pPr>
      <w:r w:rsidRPr="00711763">
        <w:rPr>
          <w:rFonts w:ascii="Arial" w:hAnsi="Arial" w:cs="Arial"/>
          <w:sz w:val="24"/>
          <w:szCs w:val="24"/>
          <w:lang w:eastAsia="en-GB"/>
        </w:rPr>
        <w:t>Manager training in wellbeing leadership and mental health awareness</w:t>
      </w:r>
    </w:p>
    <w:p w14:paraId="6EC98BFF" w14:textId="77777777" w:rsidR="00711763" w:rsidRPr="00711763" w:rsidRDefault="00711763" w:rsidP="00EB731E">
      <w:pPr>
        <w:pStyle w:val="ListParagraph"/>
        <w:numPr>
          <w:ilvl w:val="0"/>
          <w:numId w:val="4"/>
        </w:numPr>
        <w:spacing w:line="600" w:lineRule="auto"/>
        <w:rPr>
          <w:rFonts w:ascii="Arial" w:hAnsi="Arial" w:cs="Arial"/>
          <w:sz w:val="24"/>
          <w:szCs w:val="24"/>
          <w:lang w:eastAsia="en-GB"/>
        </w:rPr>
      </w:pPr>
      <w:r w:rsidRPr="00711763">
        <w:rPr>
          <w:rFonts w:ascii="Arial" w:hAnsi="Arial" w:cs="Arial"/>
          <w:sz w:val="24"/>
          <w:szCs w:val="24"/>
          <w:lang w:eastAsia="en-GB"/>
        </w:rPr>
        <w:t>Integration of wellbeing measures into performance management</w:t>
      </w:r>
    </w:p>
    <w:p w14:paraId="450C9911" w14:textId="77777777" w:rsidR="00711763" w:rsidRPr="00711763" w:rsidRDefault="00711763" w:rsidP="00EB731E">
      <w:pPr>
        <w:pStyle w:val="ListParagraph"/>
        <w:numPr>
          <w:ilvl w:val="0"/>
          <w:numId w:val="4"/>
        </w:numPr>
        <w:spacing w:line="600" w:lineRule="auto"/>
        <w:rPr>
          <w:rFonts w:ascii="Arial" w:hAnsi="Arial" w:cs="Arial"/>
          <w:sz w:val="24"/>
          <w:szCs w:val="24"/>
          <w:lang w:eastAsia="en-GB"/>
        </w:rPr>
      </w:pPr>
      <w:r w:rsidRPr="00711763">
        <w:rPr>
          <w:rFonts w:ascii="Arial" w:hAnsi="Arial" w:cs="Arial"/>
          <w:sz w:val="24"/>
          <w:szCs w:val="24"/>
          <w:lang w:eastAsia="en-GB"/>
        </w:rPr>
        <w:t>Investment in employee development and career progression</w:t>
      </w:r>
    </w:p>
    <w:p w14:paraId="0F58FC84" w14:textId="77777777" w:rsidR="00711763" w:rsidRPr="00711763" w:rsidRDefault="00711763" w:rsidP="00EB731E">
      <w:pPr>
        <w:pStyle w:val="ListParagraph"/>
        <w:numPr>
          <w:ilvl w:val="0"/>
          <w:numId w:val="4"/>
        </w:numPr>
        <w:spacing w:line="600" w:lineRule="auto"/>
        <w:rPr>
          <w:rFonts w:ascii="Arial" w:hAnsi="Arial" w:cs="Arial"/>
          <w:sz w:val="24"/>
          <w:szCs w:val="24"/>
          <w:lang w:eastAsia="en-GB"/>
        </w:rPr>
      </w:pPr>
      <w:r w:rsidRPr="00711763">
        <w:rPr>
          <w:rFonts w:ascii="Arial" w:hAnsi="Arial" w:cs="Arial"/>
          <w:sz w:val="24"/>
          <w:szCs w:val="24"/>
          <w:lang w:eastAsia="en-GB"/>
        </w:rPr>
        <w:t>Ongoing evaluation using absence, turnover and engagement metrics</w:t>
      </w:r>
    </w:p>
    <w:p w14:paraId="63DC1789"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Importantly, employee voice should be central to strategy design. Engaging with staff through surveys, focus groups or wellbeing champions can ensure that interventions are relevant and culturally appropriate to the South Wales context.</w:t>
      </w:r>
    </w:p>
    <w:p w14:paraId="0D7FDCD5" w14:textId="316A43EE" w:rsidR="00711763" w:rsidRPr="00711763" w:rsidRDefault="00711763" w:rsidP="00EB731E">
      <w:pPr>
        <w:spacing w:line="600" w:lineRule="auto"/>
        <w:rPr>
          <w:rFonts w:ascii="Arial" w:hAnsi="Arial" w:cs="Arial"/>
          <w:sz w:val="24"/>
          <w:szCs w:val="24"/>
          <w:lang w:eastAsia="en-GB"/>
        </w:rPr>
      </w:pPr>
    </w:p>
    <w:p w14:paraId="7D4786BB" w14:textId="77777777" w:rsidR="00711763" w:rsidRP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Conclusion</w:t>
      </w:r>
    </w:p>
    <w:p w14:paraId="3C08AC58"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This essay has demonstrated that a comprehensive wellbeing strategy has the potential to address the key people management challenges facing the Cardiff call centre at Havencares Insurance. By critically examining the link between wellbeing and performance, it is clear that employee wellbeing is both a moral responsibility and a strategic imperative.</w:t>
      </w:r>
    </w:p>
    <w:p w14:paraId="33C881EA"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Employee development emerges as a particularly powerful lever for improving wellbeing, engagement and performance, especially in a high</w:t>
      </w:r>
      <w:r w:rsidRPr="00711763">
        <w:rPr>
          <w:rFonts w:ascii="Arial" w:hAnsi="Arial" w:cs="Arial"/>
          <w:sz w:val="24"/>
          <w:szCs w:val="24"/>
          <w:lang w:eastAsia="en-GB"/>
        </w:rPr>
        <w:noBreakHyphen/>
        <w:t>pressure call</w:t>
      </w:r>
      <w:r w:rsidRPr="00711763">
        <w:rPr>
          <w:rFonts w:ascii="Arial" w:hAnsi="Arial" w:cs="Arial"/>
          <w:sz w:val="24"/>
          <w:szCs w:val="24"/>
          <w:lang w:eastAsia="en-GB"/>
        </w:rPr>
        <w:noBreakHyphen/>
        <w:t>centre environment. Through supportive leadership, meaningful development opportunities and a proactive approach to health and wellbeing, Havencares Insurance can reduce turnover and absence while enhancing service quality and organisational resilience.</w:t>
      </w:r>
    </w:p>
    <w:p w14:paraId="2E2CAE99" w14:textId="154C3275" w:rsid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As HR Officer, leading the design and implementation of this strategy will require collaboration, evidence</w:t>
      </w:r>
      <w:r w:rsidRPr="00711763">
        <w:rPr>
          <w:rFonts w:ascii="Arial" w:hAnsi="Arial" w:cs="Arial"/>
          <w:sz w:val="24"/>
          <w:szCs w:val="24"/>
          <w:lang w:eastAsia="en-GB"/>
        </w:rPr>
        <w:noBreakHyphen/>
        <w:t>based practice and a deep understanding of both the organisational context and the wider South Wales labour market. When wellbeing and development are embedded into everyday people management practices, both employees and the organisation are more likely to thrive.</w:t>
      </w:r>
    </w:p>
    <w:p w14:paraId="0E4EB99B" w14:textId="77777777" w:rsidR="00EB731E" w:rsidRPr="00EB731E" w:rsidRDefault="00EB731E" w:rsidP="00EB731E">
      <w:pPr>
        <w:spacing w:after="0" w:line="600" w:lineRule="auto"/>
        <w:rPr>
          <w:rFonts w:ascii="Arial" w:eastAsia="Times New Roman" w:hAnsi="Arial" w:cs="Arial"/>
          <w:sz w:val="24"/>
          <w:szCs w:val="24"/>
          <w:lang w:eastAsia="en-GB"/>
        </w:rPr>
      </w:pPr>
      <w:r w:rsidRPr="00EB731E">
        <w:rPr>
          <w:rFonts w:ascii="Arial" w:eastAsia="Times New Roman" w:hAnsi="Arial" w:cs="Arial"/>
          <w:sz w:val="24"/>
          <w:szCs w:val="24"/>
          <w:lang w:eastAsia="en-GB"/>
        </w:rPr>
        <w:t>However, the effectiveness of wellbeing strategies remains contingent on consistent leadership capability and sustained evaluation, highlighting the need for ongoing adaptation rather than a one</w:t>
      </w:r>
      <w:r w:rsidRPr="00EB731E">
        <w:rPr>
          <w:rFonts w:ascii="Arial" w:eastAsia="Times New Roman" w:hAnsi="Arial" w:cs="Arial"/>
          <w:sz w:val="24"/>
          <w:szCs w:val="24"/>
          <w:lang w:eastAsia="en-GB"/>
        </w:rPr>
        <w:noBreakHyphen/>
        <w:t>off organisational response.</w:t>
      </w:r>
    </w:p>
    <w:p w14:paraId="273878B7" w14:textId="77777777" w:rsidR="00331C2C" w:rsidRPr="00711763" w:rsidRDefault="00331C2C" w:rsidP="00EB731E">
      <w:pPr>
        <w:spacing w:line="600" w:lineRule="auto"/>
        <w:rPr>
          <w:rFonts w:ascii="Arial" w:hAnsi="Arial" w:cs="Arial"/>
          <w:sz w:val="24"/>
          <w:szCs w:val="24"/>
          <w:lang w:eastAsia="en-GB"/>
        </w:rPr>
      </w:pPr>
    </w:p>
    <w:p w14:paraId="0332ED17" w14:textId="698129CF" w:rsidR="00711763" w:rsidRDefault="00711763" w:rsidP="00EB731E">
      <w:pPr>
        <w:spacing w:line="600" w:lineRule="auto"/>
        <w:rPr>
          <w:rFonts w:ascii="Arial" w:hAnsi="Arial" w:cs="Arial"/>
          <w:sz w:val="24"/>
          <w:szCs w:val="24"/>
          <w:lang w:eastAsia="en-GB"/>
        </w:rPr>
      </w:pPr>
    </w:p>
    <w:p w14:paraId="1B2DE5AF" w14:textId="4AD12B3D" w:rsidR="00711763" w:rsidRDefault="00711763" w:rsidP="00EB731E">
      <w:pPr>
        <w:spacing w:line="600" w:lineRule="auto"/>
        <w:rPr>
          <w:rFonts w:ascii="Arial" w:hAnsi="Arial" w:cs="Arial"/>
          <w:sz w:val="24"/>
          <w:szCs w:val="24"/>
          <w:lang w:eastAsia="en-GB"/>
        </w:rPr>
      </w:pPr>
    </w:p>
    <w:p w14:paraId="557493A2" w14:textId="74508AD6" w:rsidR="00711763" w:rsidRDefault="00711763" w:rsidP="00EB731E">
      <w:pPr>
        <w:spacing w:line="600" w:lineRule="auto"/>
        <w:rPr>
          <w:rFonts w:ascii="Arial" w:hAnsi="Arial" w:cs="Arial"/>
          <w:sz w:val="24"/>
          <w:szCs w:val="24"/>
          <w:lang w:eastAsia="en-GB"/>
        </w:rPr>
      </w:pPr>
    </w:p>
    <w:p w14:paraId="332A5293" w14:textId="77777777" w:rsidR="00711763" w:rsidRPr="00711763" w:rsidRDefault="00711763" w:rsidP="00EB731E">
      <w:pPr>
        <w:spacing w:line="600" w:lineRule="auto"/>
        <w:rPr>
          <w:rFonts w:ascii="Arial" w:hAnsi="Arial" w:cs="Arial"/>
          <w:sz w:val="24"/>
          <w:szCs w:val="24"/>
          <w:lang w:eastAsia="en-GB"/>
        </w:rPr>
      </w:pPr>
    </w:p>
    <w:p w14:paraId="53BE4619" w14:textId="65DBCF85" w:rsidR="00711763" w:rsidRDefault="00711763" w:rsidP="00EB731E">
      <w:pPr>
        <w:spacing w:line="600" w:lineRule="auto"/>
        <w:rPr>
          <w:rFonts w:ascii="Arial" w:hAnsi="Arial" w:cs="Arial"/>
          <w:b/>
          <w:bCs/>
          <w:sz w:val="24"/>
          <w:szCs w:val="24"/>
          <w:lang w:eastAsia="en-GB"/>
        </w:rPr>
      </w:pPr>
      <w:r w:rsidRPr="00711763">
        <w:rPr>
          <w:rFonts w:ascii="Arial" w:hAnsi="Arial" w:cs="Arial"/>
          <w:b/>
          <w:bCs/>
          <w:sz w:val="24"/>
          <w:szCs w:val="24"/>
          <w:lang w:eastAsia="en-GB"/>
        </w:rPr>
        <w:t xml:space="preserve">Reference List </w:t>
      </w:r>
    </w:p>
    <w:p w14:paraId="0DED70D4" w14:textId="0FDDCA54" w:rsidR="00BB0037" w:rsidRDefault="002F67E8" w:rsidP="00EB731E">
      <w:pPr>
        <w:spacing w:after="0" w:line="600" w:lineRule="auto"/>
        <w:rPr>
          <w:rFonts w:ascii="Arial" w:eastAsia="Times New Roman" w:hAnsi="Arial" w:cs="Arial"/>
          <w:sz w:val="24"/>
          <w:szCs w:val="24"/>
          <w:lang w:eastAsia="en-GB"/>
        </w:rPr>
      </w:pPr>
      <w:r w:rsidRPr="002F67E8">
        <w:rPr>
          <w:rFonts w:ascii="Arial" w:eastAsia="Times New Roman" w:hAnsi="Arial" w:cs="Arial"/>
          <w:sz w:val="24"/>
          <w:szCs w:val="24"/>
          <w:lang w:eastAsia="en-GB"/>
        </w:rPr>
        <w:t>Azila</w:t>
      </w:r>
      <w:r w:rsidRPr="002F67E8">
        <w:rPr>
          <w:rFonts w:ascii="Arial" w:eastAsia="Times New Roman" w:hAnsi="Arial" w:cs="Arial"/>
          <w:sz w:val="24"/>
          <w:szCs w:val="24"/>
          <w:lang w:eastAsia="en-GB"/>
        </w:rPr>
        <w:noBreakHyphen/>
        <w:t>Gbettor, E.M. et al. (2024) ‘Reviewing the influence of positive leadership on worker well</w:t>
      </w:r>
      <w:r w:rsidRPr="002F67E8">
        <w:rPr>
          <w:rFonts w:ascii="Arial" w:eastAsia="Times New Roman" w:hAnsi="Arial" w:cs="Arial"/>
          <w:sz w:val="24"/>
          <w:szCs w:val="24"/>
          <w:lang w:eastAsia="en-GB"/>
        </w:rPr>
        <w:noBreakHyphen/>
        <w:t xml:space="preserve">being: A comprehensive analysis’, </w:t>
      </w:r>
      <w:r w:rsidRPr="002F67E8">
        <w:rPr>
          <w:rFonts w:ascii="Arial" w:eastAsia="Times New Roman" w:hAnsi="Arial" w:cs="Arial"/>
          <w:i/>
          <w:iCs/>
          <w:sz w:val="24"/>
          <w:szCs w:val="24"/>
          <w:lang w:eastAsia="en-GB"/>
        </w:rPr>
        <w:t>Heliyon</w:t>
      </w:r>
      <w:r w:rsidRPr="002F67E8">
        <w:rPr>
          <w:rFonts w:ascii="Arial" w:eastAsia="Times New Roman" w:hAnsi="Arial" w:cs="Arial"/>
          <w:sz w:val="24"/>
          <w:szCs w:val="24"/>
          <w:lang w:eastAsia="en-GB"/>
        </w:rPr>
        <w:t>, 10(2), e24134.</w:t>
      </w:r>
    </w:p>
    <w:p w14:paraId="5E3156E1" w14:textId="77777777" w:rsidR="002F67E8" w:rsidRPr="002F67E8" w:rsidRDefault="002F67E8" w:rsidP="00EB731E">
      <w:pPr>
        <w:spacing w:after="0" w:line="600" w:lineRule="auto"/>
        <w:rPr>
          <w:rFonts w:ascii="Arial" w:eastAsia="Times New Roman" w:hAnsi="Arial" w:cs="Arial"/>
          <w:sz w:val="24"/>
          <w:szCs w:val="24"/>
          <w:lang w:eastAsia="en-GB"/>
        </w:rPr>
      </w:pPr>
    </w:p>
    <w:p w14:paraId="5D305982"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Bass, B. M. (1999). </w:t>
      </w:r>
      <w:r w:rsidRPr="00711763">
        <w:rPr>
          <w:rFonts w:ascii="Arial" w:hAnsi="Arial" w:cs="Arial"/>
          <w:i/>
          <w:iCs/>
          <w:sz w:val="24"/>
          <w:szCs w:val="24"/>
          <w:lang w:eastAsia="en-GB"/>
        </w:rPr>
        <w:t>Two decades of research and development in transformational leadership</w:t>
      </w:r>
      <w:r w:rsidRPr="00711763">
        <w:rPr>
          <w:rFonts w:ascii="Arial" w:hAnsi="Arial" w:cs="Arial"/>
          <w:sz w:val="24"/>
          <w:szCs w:val="24"/>
          <w:lang w:eastAsia="en-GB"/>
        </w:rPr>
        <w:t>. European Journal of Work and Organizational Psychology, 8(1), 9–32.</w:t>
      </w:r>
    </w:p>
    <w:p w14:paraId="22E6B9BA" w14:textId="386AA1A5" w:rsid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CIPD (2022). </w:t>
      </w:r>
      <w:r w:rsidRPr="00711763">
        <w:rPr>
          <w:rFonts w:ascii="Arial" w:hAnsi="Arial" w:cs="Arial"/>
          <w:i/>
          <w:iCs/>
          <w:sz w:val="24"/>
          <w:szCs w:val="24"/>
          <w:lang w:eastAsia="en-GB"/>
        </w:rPr>
        <w:t>Health and wellbeing at work</w:t>
      </w:r>
      <w:r w:rsidRPr="00711763">
        <w:rPr>
          <w:rFonts w:ascii="Arial" w:hAnsi="Arial" w:cs="Arial"/>
          <w:sz w:val="24"/>
          <w:szCs w:val="24"/>
          <w:lang w:eastAsia="en-GB"/>
        </w:rPr>
        <w:t>. London: CIPD.</w:t>
      </w:r>
    </w:p>
    <w:p w14:paraId="6DC805D7" w14:textId="4EFC0DB1" w:rsidR="00C22825" w:rsidRDefault="00C22825" w:rsidP="00EB731E">
      <w:pPr>
        <w:spacing w:after="0" w:line="600" w:lineRule="auto"/>
        <w:rPr>
          <w:rFonts w:ascii="Arial" w:eastAsia="Times New Roman" w:hAnsi="Arial" w:cs="Arial"/>
          <w:sz w:val="24"/>
          <w:szCs w:val="24"/>
          <w:lang w:eastAsia="en-GB"/>
        </w:rPr>
      </w:pPr>
      <w:r w:rsidRPr="00C22825">
        <w:rPr>
          <w:rFonts w:ascii="Arial" w:eastAsia="Times New Roman" w:hAnsi="Arial" w:cs="Arial"/>
          <w:sz w:val="24"/>
          <w:szCs w:val="24"/>
          <w:lang w:eastAsia="en-GB"/>
        </w:rPr>
        <w:t xml:space="preserve">CIPD (2023) </w:t>
      </w:r>
      <w:r w:rsidRPr="00C22825">
        <w:rPr>
          <w:rFonts w:ascii="Arial" w:eastAsia="Times New Roman" w:hAnsi="Arial" w:cs="Arial"/>
          <w:i/>
          <w:iCs/>
          <w:sz w:val="24"/>
          <w:szCs w:val="24"/>
          <w:lang w:eastAsia="en-GB"/>
        </w:rPr>
        <w:t>Health and wellbeing at work</w:t>
      </w:r>
      <w:r w:rsidRPr="00C22825">
        <w:rPr>
          <w:rFonts w:ascii="Arial" w:eastAsia="Times New Roman" w:hAnsi="Arial" w:cs="Arial"/>
          <w:sz w:val="24"/>
          <w:szCs w:val="24"/>
          <w:lang w:eastAsia="en-GB"/>
        </w:rPr>
        <w:t>. London: Chartered Institute of Personnel and Development.</w:t>
      </w:r>
    </w:p>
    <w:p w14:paraId="36A6243B" w14:textId="77777777" w:rsidR="00331C2C" w:rsidRPr="00331C2C" w:rsidRDefault="00331C2C" w:rsidP="00EB731E">
      <w:pPr>
        <w:spacing w:after="0" w:line="600" w:lineRule="auto"/>
        <w:rPr>
          <w:rFonts w:ascii="Arial" w:eastAsia="Times New Roman" w:hAnsi="Arial" w:cs="Arial"/>
          <w:sz w:val="24"/>
          <w:szCs w:val="24"/>
          <w:lang w:eastAsia="en-GB"/>
        </w:rPr>
      </w:pPr>
    </w:p>
    <w:p w14:paraId="086FE4D2" w14:textId="1EC8B89D" w:rsid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CIPD (2023). </w:t>
      </w:r>
      <w:r w:rsidRPr="00711763">
        <w:rPr>
          <w:rFonts w:ascii="Arial" w:hAnsi="Arial" w:cs="Arial"/>
          <w:i/>
          <w:iCs/>
          <w:sz w:val="24"/>
          <w:szCs w:val="24"/>
          <w:lang w:eastAsia="en-GB"/>
        </w:rPr>
        <w:t>Good work index</w:t>
      </w:r>
      <w:r w:rsidRPr="00711763">
        <w:rPr>
          <w:rFonts w:ascii="Arial" w:hAnsi="Arial" w:cs="Arial"/>
          <w:sz w:val="24"/>
          <w:szCs w:val="24"/>
          <w:lang w:eastAsia="en-GB"/>
        </w:rPr>
        <w:t>. London: CIPD.</w:t>
      </w:r>
    </w:p>
    <w:p w14:paraId="12B755CA" w14:textId="77777777" w:rsidR="00331C2C" w:rsidRPr="00331C2C" w:rsidRDefault="00331C2C" w:rsidP="00EB731E">
      <w:pPr>
        <w:spacing w:after="0" w:line="600" w:lineRule="auto"/>
        <w:rPr>
          <w:rFonts w:ascii="Arial" w:eastAsia="Times New Roman" w:hAnsi="Arial" w:cs="Arial"/>
          <w:sz w:val="24"/>
          <w:szCs w:val="24"/>
          <w:lang w:eastAsia="en-GB"/>
        </w:rPr>
      </w:pPr>
      <w:r w:rsidRPr="00331C2C">
        <w:rPr>
          <w:rFonts w:ascii="Arial" w:eastAsia="Times New Roman" w:hAnsi="Arial" w:cs="Arial"/>
          <w:sz w:val="24"/>
          <w:szCs w:val="24"/>
          <w:lang w:eastAsia="en-GB"/>
        </w:rPr>
        <w:t xml:space="preserve">CIPD (2024) </w:t>
      </w:r>
      <w:r w:rsidRPr="00331C2C">
        <w:rPr>
          <w:rFonts w:ascii="Arial" w:eastAsia="Times New Roman" w:hAnsi="Arial" w:cs="Arial"/>
          <w:i/>
          <w:iCs/>
          <w:sz w:val="24"/>
          <w:szCs w:val="24"/>
          <w:lang w:eastAsia="en-GB"/>
        </w:rPr>
        <w:t>Good work as a driver of wellbeing and performance</w:t>
      </w:r>
      <w:r w:rsidRPr="00331C2C">
        <w:rPr>
          <w:rFonts w:ascii="Arial" w:eastAsia="Times New Roman" w:hAnsi="Arial" w:cs="Arial"/>
          <w:sz w:val="24"/>
          <w:szCs w:val="24"/>
          <w:lang w:eastAsia="en-GB"/>
        </w:rPr>
        <w:t>. London: Chartered Institute of Personnel and Development.</w:t>
      </w:r>
    </w:p>
    <w:p w14:paraId="155F15F6" w14:textId="77777777" w:rsidR="00331C2C" w:rsidRPr="00711763" w:rsidRDefault="00331C2C" w:rsidP="00EB731E">
      <w:pPr>
        <w:spacing w:line="600" w:lineRule="auto"/>
        <w:rPr>
          <w:rFonts w:ascii="Arial" w:hAnsi="Arial" w:cs="Arial"/>
          <w:sz w:val="24"/>
          <w:szCs w:val="24"/>
          <w:lang w:eastAsia="en-GB"/>
        </w:rPr>
      </w:pPr>
    </w:p>
    <w:p w14:paraId="47AA145F"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Deci, E. L., &amp; Ryan, R. M. (2000). </w:t>
      </w:r>
      <w:r w:rsidRPr="00711763">
        <w:rPr>
          <w:rFonts w:ascii="Arial" w:hAnsi="Arial" w:cs="Arial"/>
          <w:i/>
          <w:iCs/>
          <w:sz w:val="24"/>
          <w:szCs w:val="24"/>
          <w:lang w:eastAsia="en-GB"/>
        </w:rPr>
        <w:t>The “what” and “why” of goal pursuits</w:t>
      </w:r>
      <w:r w:rsidRPr="00711763">
        <w:rPr>
          <w:rFonts w:ascii="Arial" w:hAnsi="Arial" w:cs="Arial"/>
          <w:sz w:val="24"/>
          <w:szCs w:val="24"/>
          <w:lang w:eastAsia="en-GB"/>
        </w:rPr>
        <w:t>. Psychological Inquiry, 11(4), 227–268.</w:t>
      </w:r>
    </w:p>
    <w:p w14:paraId="62DC504F" w14:textId="551782A9" w:rsid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Deery, S., &amp; Kinnie, N. (2004). </w:t>
      </w:r>
      <w:r w:rsidRPr="00711763">
        <w:rPr>
          <w:rFonts w:ascii="Arial" w:hAnsi="Arial" w:cs="Arial"/>
          <w:i/>
          <w:iCs/>
          <w:sz w:val="24"/>
          <w:szCs w:val="24"/>
          <w:lang w:eastAsia="en-GB"/>
        </w:rPr>
        <w:t>Introduction: The nature and management of call centre work</w:t>
      </w:r>
      <w:r w:rsidRPr="00711763">
        <w:rPr>
          <w:rFonts w:ascii="Arial" w:hAnsi="Arial" w:cs="Arial"/>
          <w:sz w:val="24"/>
          <w:szCs w:val="24"/>
          <w:lang w:eastAsia="en-GB"/>
        </w:rPr>
        <w:t>. Human Resource Management Journal, 14(2), 3–13.</w:t>
      </w:r>
    </w:p>
    <w:p w14:paraId="01FC78C5" w14:textId="2891A4AF" w:rsidR="00C22825" w:rsidRDefault="00C22825" w:rsidP="00EB731E">
      <w:pPr>
        <w:spacing w:after="0" w:line="600" w:lineRule="auto"/>
        <w:rPr>
          <w:rFonts w:ascii="Arial" w:eastAsia="Times New Roman" w:hAnsi="Arial" w:cs="Arial"/>
          <w:sz w:val="24"/>
          <w:szCs w:val="24"/>
          <w:lang w:eastAsia="en-GB"/>
        </w:rPr>
      </w:pPr>
      <w:r w:rsidRPr="00C22825">
        <w:rPr>
          <w:rFonts w:ascii="Arial" w:eastAsia="Times New Roman" w:hAnsi="Arial" w:cs="Arial"/>
          <w:sz w:val="24"/>
          <w:szCs w:val="24"/>
          <w:lang w:eastAsia="en-GB"/>
        </w:rPr>
        <w:t xml:space="preserve">Deloitte (2022) </w:t>
      </w:r>
      <w:r w:rsidRPr="00C22825">
        <w:rPr>
          <w:rFonts w:ascii="Arial" w:eastAsia="Times New Roman" w:hAnsi="Arial" w:cs="Arial"/>
          <w:i/>
          <w:iCs/>
          <w:sz w:val="24"/>
          <w:szCs w:val="24"/>
          <w:lang w:eastAsia="en-GB"/>
        </w:rPr>
        <w:t>Mental health and employers: The case for investment</w:t>
      </w:r>
      <w:r w:rsidRPr="00C22825">
        <w:rPr>
          <w:rFonts w:ascii="Arial" w:eastAsia="Times New Roman" w:hAnsi="Arial" w:cs="Arial"/>
          <w:sz w:val="24"/>
          <w:szCs w:val="24"/>
          <w:lang w:eastAsia="en-GB"/>
        </w:rPr>
        <w:t>. London: Deloitte.</w:t>
      </w:r>
    </w:p>
    <w:p w14:paraId="76679C79" w14:textId="77777777" w:rsidR="00C22825" w:rsidRPr="00C22825" w:rsidRDefault="00C22825" w:rsidP="00EB731E">
      <w:pPr>
        <w:spacing w:after="0" w:line="600" w:lineRule="auto"/>
        <w:rPr>
          <w:rFonts w:ascii="Arial" w:eastAsia="Times New Roman" w:hAnsi="Arial" w:cs="Arial"/>
          <w:sz w:val="24"/>
          <w:szCs w:val="24"/>
          <w:lang w:eastAsia="en-GB"/>
        </w:rPr>
      </w:pPr>
    </w:p>
    <w:p w14:paraId="3901D1B3" w14:textId="5DEFB529" w:rsid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Deloitte (2020). </w:t>
      </w:r>
      <w:r w:rsidRPr="00711763">
        <w:rPr>
          <w:rFonts w:ascii="Arial" w:hAnsi="Arial" w:cs="Arial"/>
          <w:i/>
          <w:iCs/>
          <w:sz w:val="24"/>
          <w:szCs w:val="24"/>
          <w:lang w:eastAsia="en-GB"/>
        </w:rPr>
        <w:t>The ROI of wellbeing</w:t>
      </w:r>
      <w:r w:rsidRPr="00711763">
        <w:rPr>
          <w:rFonts w:ascii="Arial" w:hAnsi="Arial" w:cs="Arial"/>
          <w:sz w:val="24"/>
          <w:szCs w:val="24"/>
          <w:lang w:eastAsia="en-GB"/>
        </w:rPr>
        <w:t>. London: Deloitte.</w:t>
      </w:r>
    </w:p>
    <w:p w14:paraId="5005C6C7" w14:textId="4AA7A193" w:rsidR="00110A08" w:rsidRDefault="00110A08" w:rsidP="00EB731E">
      <w:pPr>
        <w:spacing w:after="0" w:line="600" w:lineRule="auto"/>
        <w:rPr>
          <w:rFonts w:ascii="Arial" w:eastAsia="Times New Roman" w:hAnsi="Arial" w:cs="Arial"/>
          <w:sz w:val="24"/>
          <w:szCs w:val="24"/>
          <w:lang w:eastAsia="en-GB"/>
        </w:rPr>
      </w:pPr>
      <w:r w:rsidRPr="00110A08">
        <w:rPr>
          <w:rFonts w:ascii="Arial" w:eastAsia="Times New Roman" w:hAnsi="Arial" w:cs="Arial"/>
          <w:sz w:val="24"/>
          <w:szCs w:val="24"/>
          <w:lang w:eastAsia="en-GB"/>
        </w:rPr>
        <w:t xml:space="preserve">Demerouti, E. and Bakker, A.B. (2023) ‘Job demands–resources theory in times of crises: New propositions’, </w:t>
      </w:r>
      <w:r w:rsidRPr="00110A08">
        <w:rPr>
          <w:rFonts w:ascii="Arial" w:eastAsia="Times New Roman" w:hAnsi="Arial" w:cs="Arial"/>
          <w:i/>
          <w:iCs/>
          <w:sz w:val="24"/>
          <w:szCs w:val="24"/>
          <w:lang w:eastAsia="en-GB"/>
        </w:rPr>
        <w:t>Organizational Psychology Review</w:t>
      </w:r>
      <w:r w:rsidRPr="00110A08">
        <w:rPr>
          <w:rFonts w:ascii="Arial" w:eastAsia="Times New Roman" w:hAnsi="Arial" w:cs="Arial"/>
          <w:sz w:val="24"/>
          <w:szCs w:val="24"/>
          <w:lang w:eastAsia="en-GB"/>
        </w:rPr>
        <w:t>, 13(3), pp. 209–236.</w:t>
      </w:r>
    </w:p>
    <w:p w14:paraId="1BEE72ED" w14:textId="77777777" w:rsidR="00BB0037" w:rsidRDefault="00BB0037" w:rsidP="00EB731E">
      <w:pPr>
        <w:spacing w:after="0" w:line="600" w:lineRule="auto"/>
        <w:rPr>
          <w:rFonts w:ascii="Arial" w:eastAsia="Times New Roman" w:hAnsi="Arial" w:cs="Arial"/>
          <w:sz w:val="24"/>
          <w:szCs w:val="24"/>
          <w:lang w:eastAsia="en-GB"/>
        </w:rPr>
      </w:pPr>
    </w:p>
    <w:p w14:paraId="282E199E" w14:textId="6A4356F0" w:rsidR="00BB0037" w:rsidRDefault="00BB0037" w:rsidP="00EB731E">
      <w:pPr>
        <w:spacing w:after="0" w:line="600" w:lineRule="auto"/>
        <w:rPr>
          <w:rFonts w:ascii="Arial" w:eastAsia="Times New Roman" w:hAnsi="Arial" w:cs="Arial"/>
          <w:sz w:val="24"/>
          <w:szCs w:val="24"/>
          <w:lang w:eastAsia="en-GB"/>
        </w:rPr>
      </w:pPr>
      <w:r w:rsidRPr="00BB0037">
        <w:rPr>
          <w:rFonts w:ascii="Arial" w:eastAsia="Times New Roman" w:hAnsi="Arial" w:cs="Arial"/>
          <w:sz w:val="24"/>
          <w:szCs w:val="24"/>
          <w:lang w:eastAsia="en-GB"/>
        </w:rPr>
        <w:t>Halliwell, P.R., Mitchell, R.J. and Boyle, B. (2023) ‘Leadership effectiveness through coaching: Authentic and change</w:t>
      </w:r>
      <w:r w:rsidRPr="00BB0037">
        <w:rPr>
          <w:rFonts w:ascii="Arial" w:eastAsia="Times New Roman" w:hAnsi="Arial" w:cs="Arial"/>
          <w:sz w:val="24"/>
          <w:szCs w:val="24"/>
          <w:lang w:eastAsia="en-GB"/>
        </w:rPr>
        <w:noBreakHyphen/>
        <w:t xml:space="preserve">oriented leadership’, </w:t>
      </w:r>
      <w:r w:rsidRPr="00BB0037">
        <w:rPr>
          <w:rFonts w:ascii="Arial" w:eastAsia="Times New Roman" w:hAnsi="Arial" w:cs="Arial"/>
          <w:i/>
          <w:iCs/>
          <w:sz w:val="24"/>
          <w:szCs w:val="24"/>
          <w:lang w:eastAsia="en-GB"/>
        </w:rPr>
        <w:t>PLoS ONE</w:t>
      </w:r>
      <w:r w:rsidRPr="00BB0037">
        <w:rPr>
          <w:rFonts w:ascii="Arial" w:eastAsia="Times New Roman" w:hAnsi="Arial" w:cs="Arial"/>
          <w:sz w:val="24"/>
          <w:szCs w:val="24"/>
          <w:lang w:eastAsia="en-GB"/>
        </w:rPr>
        <w:t>, 18(12), e0294953.</w:t>
      </w:r>
    </w:p>
    <w:p w14:paraId="346B2428" w14:textId="77777777" w:rsidR="00331C2C" w:rsidRDefault="00331C2C" w:rsidP="00EB731E">
      <w:pPr>
        <w:spacing w:after="0" w:line="600" w:lineRule="auto"/>
        <w:rPr>
          <w:rFonts w:ascii="Arial" w:eastAsia="Times New Roman" w:hAnsi="Arial" w:cs="Arial"/>
          <w:sz w:val="24"/>
          <w:szCs w:val="24"/>
          <w:lang w:eastAsia="en-GB"/>
        </w:rPr>
      </w:pPr>
    </w:p>
    <w:p w14:paraId="42DEB03D" w14:textId="77777777" w:rsidR="0074187B" w:rsidRPr="0074187B" w:rsidRDefault="0074187B" w:rsidP="00EB731E">
      <w:pPr>
        <w:spacing w:after="0" w:line="600" w:lineRule="auto"/>
        <w:rPr>
          <w:rFonts w:ascii="Arial" w:eastAsia="Times New Roman" w:hAnsi="Arial" w:cs="Arial"/>
          <w:sz w:val="24"/>
          <w:szCs w:val="24"/>
          <w:lang w:eastAsia="en-GB"/>
        </w:rPr>
      </w:pPr>
      <w:r w:rsidRPr="0074187B">
        <w:rPr>
          <w:rFonts w:ascii="Arial" w:eastAsia="Times New Roman" w:hAnsi="Arial" w:cs="Arial"/>
          <w:sz w:val="24"/>
          <w:szCs w:val="24"/>
          <w:lang w:eastAsia="en-GB"/>
        </w:rPr>
        <w:t xml:space="preserve">Health and Safety Executive (HSE) (2023) </w:t>
      </w:r>
      <w:r w:rsidRPr="0074187B">
        <w:rPr>
          <w:rFonts w:ascii="Arial" w:eastAsia="Times New Roman" w:hAnsi="Arial" w:cs="Arial"/>
          <w:i/>
          <w:iCs/>
          <w:sz w:val="24"/>
          <w:szCs w:val="24"/>
          <w:lang w:eastAsia="en-GB"/>
        </w:rPr>
        <w:t>Work-related stress, anxiety or depression statistics in Great Britain</w:t>
      </w:r>
      <w:r w:rsidRPr="0074187B">
        <w:rPr>
          <w:rFonts w:ascii="Arial" w:eastAsia="Times New Roman" w:hAnsi="Arial" w:cs="Arial"/>
          <w:sz w:val="24"/>
          <w:szCs w:val="24"/>
          <w:lang w:eastAsia="en-GB"/>
        </w:rPr>
        <w:t>. London: HSE.</w:t>
      </w:r>
    </w:p>
    <w:p w14:paraId="5F67030A" w14:textId="77777777" w:rsidR="00110A08" w:rsidRPr="00110A08" w:rsidRDefault="00110A08" w:rsidP="00EB731E">
      <w:pPr>
        <w:spacing w:after="0" w:line="600" w:lineRule="auto"/>
        <w:rPr>
          <w:rFonts w:ascii="Arial" w:eastAsia="Times New Roman" w:hAnsi="Arial" w:cs="Arial"/>
          <w:sz w:val="24"/>
          <w:szCs w:val="24"/>
          <w:lang w:eastAsia="en-GB"/>
        </w:rPr>
      </w:pPr>
    </w:p>
    <w:p w14:paraId="0551F5F9" w14:textId="0C75A964" w:rsidR="006F743E" w:rsidRDefault="006F743E" w:rsidP="00EB731E">
      <w:pPr>
        <w:spacing w:after="0" w:line="600" w:lineRule="auto"/>
        <w:rPr>
          <w:rFonts w:ascii="Arial" w:eastAsia="Times New Roman" w:hAnsi="Arial" w:cs="Arial"/>
          <w:sz w:val="24"/>
          <w:szCs w:val="24"/>
          <w:lang w:eastAsia="en-GB"/>
        </w:rPr>
      </w:pPr>
      <w:r w:rsidRPr="006F743E">
        <w:rPr>
          <w:rFonts w:ascii="Arial" w:eastAsia="Times New Roman" w:hAnsi="Arial" w:cs="Arial"/>
          <w:sz w:val="24"/>
          <w:szCs w:val="24"/>
          <w:lang w:eastAsia="en-GB"/>
        </w:rPr>
        <w:t>Holman, D., Chissick, C. and Totterdell, P. (2002) ‘The effects of performance monitoring on emotional labor and well</w:t>
      </w:r>
      <w:r w:rsidRPr="006F743E">
        <w:rPr>
          <w:rFonts w:ascii="Arial" w:eastAsia="Times New Roman" w:hAnsi="Arial" w:cs="Arial"/>
          <w:sz w:val="24"/>
          <w:szCs w:val="24"/>
          <w:lang w:eastAsia="en-GB"/>
        </w:rPr>
        <w:noBreakHyphen/>
        <w:t xml:space="preserve">being in call centers’, </w:t>
      </w:r>
      <w:r w:rsidRPr="006F743E">
        <w:rPr>
          <w:rFonts w:ascii="Arial" w:eastAsia="Times New Roman" w:hAnsi="Arial" w:cs="Arial"/>
          <w:i/>
          <w:iCs/>
          <w:sz w:val="24"/>
          <w:szCs w:val="24"/>
          <w:lang w:eastAsia="en-GB"/>
        </w:rPr>
        <w:t>Motivation and Emotion</w:t>
      </w:r>
      <w:r w:rsidRPr="006F743E">
        <w:rPr>
          <w:rFonts w:ascii="Arial" w:eastAsia="Times New Roman" w:hAnsi="Arial" w:cs="Arial"/>
          <w:sz w:val="24"/>
          <w:szCs w:val="24"/>
          <w:lang w:eastAsia="en-GB"/>
        </w:rPr>
        <w:t>, 26(1), pp. 57–81.</w:t>
      </w:r>
    </w:p>
    <w:p w14:paraId="18F01F99" w14:textId="77777777" w:rsidR="00BB0037" w:rsidRDefault="00BB0037" w:rsidP="00EB731E">
      <w:pPr>
        <w:spacing w:after="0" w:line="600" w:lineRule="auto"/>
        <w:rPr>
          <w:rFonts w:ascii="Arial" w:eastAsia="Times New Roman" w:hAnsi="Arial" w:cs="Arial"/>
          <w:sz w:val="24"/>
          <w:szCs w:val="24"/>
          <w:lang w:eastAsia="en-GB"/>
        </w:rPr>
      </w:pPr>
    </w:p>
    <w:p w14:paraId="6FCFA83A" w14:textId="77777777" w:rsidR="00BB0037" w:rsidRPr="00BB0037" w:rsidRDefault="00BB0037" w:rsidP="00EB731E">
      <w:pPr>
        <w:spacing w:after="0" w:line="600" w:lineRule="auto"/>
        <w:rPr>
          <w:rFonts w:ascii="Arial" w:eastAsia="Times New Roman" w:hAnsi="Arial" w:cs="Arial"/>
          <w:sz w:val="24"/>
          <w:szCs w:val="24"/>
          <w:lang w:eastAsia="en-GB"/>
        </w:rPr>
      </w:pPr>
      <w:r w:rsidRPr="00BB0037">
        <w:rPr>
          <w:rFonts w:ascii="Arial" w:eastAsia="Times New Roman" w:hAnsi="Arial" w:cs="Arial"/>
          <w:sz w:val="24"/>
          <w:szCs w:val="24"/>
          <w:lang w:eastAsia="en-GB"/>
        </w:rPr>
        <w:t>Jarosz, J. (2021) ‘The impact of coaching on well</w:t>
      </w:r>
      <w:r w:rsidRPr="00BB0037">
        <w:rPr>
          <w:rFonts w:ascii="Arial" w:eastAsia="Times New Roman" w:hAnsi="Arial" w:cs="Arial"/>
          <w:sz w:val="24"/>
          <w:szCs w:val="24"/>
          <w:lang w:eastAsia="en-GB"/>
        </w:rPr>
        <w:noBreakHyphen/>
        <w:t xml:space="preserve">being and performance of managers and their teams’, </w:t>
      </w:r>
      <w:r w:rsidRPr="00BB0037">
        <w:rPr>
          <w:rFonts w:ascii="Arial" w:eastAsia="Times New Roman" w:hAnsi="Arial" w:cs="Arial"/>
          <w:i/>
          <w:iCs/>
          <w:sz w:val="24"/>
          <w:szCs w:val="24"/>
          <w:lang w:eastAsia="en-GB"/>
        </w:rPr>
        <w:t>International Journal of Evidence</w:t>
      </w:r>
      <w:r w:rsidRPr="00BB0037">
        <w:rPr>
          <w:rFonts w:ascii="Arial" w:eastAsia="Times New Roman" w:hAnsi="Arial" w:cs="Arial"/>
          <w:i/>
          <w:iCs/>
          <w:sz w:val="24"/>
          <w:szCs w:val="24"/>
          <w:lang w:eastAsia="en-GB"/>
        </w:rPr>
        <w:noBreakHyphen/>
        <w:t>Based Coaching and Mentoring</w:t>
      </w:r>
      <w:r w:rsidRPr="00BB0037">
        <w:rPr>
          <w:rFonts w:ascii="Arial" w:eastAsia="Times New Roman" w:hAnsi="Arial" w:cs="Arial"/>
          <w:sz w:val="24"/>
          <w:szCs w:val="24"/>
          <w:lang w:eastAsia="en-GB"/>
        </w:rPr>
        <w:t>, 19(1), pp. 4–27.</w:t>
      </w:r>
    </w:p>
    <w:p w14:paraId="0D126DB9" w14:textId="77777777" w:rsidR="00BB0037" w:rsidRDefault="00BB0037" w:rsidP="00EB731E">
      <w:pPr>
        <w:spacing w:after="0" w:line="600" w:lineRule="auto"/>
        <w:rPr>
          <w:rFonts w:ascii="Arial" w:eastAsia="Times New Roman" w:hAnsi="Arial" w:cs="Arial"/>
          <w:sz w:val="24"/>
          <w:szCs w:val="24"/>
          <w:lang w:eastAsia="en-GB"/>
        </w:rPr>
      </w:pPr>
    </w:p>
    <w:p w14:paraId="5CA9F55B" w14:textId="77777777" w:rsidR="00110A08" w:rsidRDefault="00110A08" w:rsidP="00EB731E">
      <w:pPr>
        <w:spacing w:after="0" w:line="600" w:lineRule="auto"/>
        <w:rPr>
          <w:rFonts w:ascii="Arial" w:eastAsia="Times New Roman" w:hAnsi="Arial" w:cs="Arial"/>
          <w:sz w:val="24"/>
          <w:szCs w:val="24"/>
          <w:lang w:eastAsia="en-GB"/>
        </w:rPr>
      </w:pPr>
    </w:p>
    <w:p w14:paraId="59D6B88D" w14:textId="75AD1D13" w:rsidR="00110A08" w:rsidRDefault="00110A08" w:rsidP="00EB731E">
      <w:pPr>
        <w:spacing w:after="0" w:line="600" w:lineRule="auto"/>
        <w:rPr>
          <w:rFonts w:ascii="Segoe UI" w:eastAsia="Times New Roman" w:hAnsi="Segoe UI" w:cs="Segoe UI"/>
          <w:sz w:val="21"/>
          <w:szCs w:val="21"/>
          <w:lang w:eastAsia="en-GB"/>
        </w:rPr>
      </w:pPr>
      <w:r w:rsidRPr="00110A08">
        <w:rPr>
          <w:rFonts w:ascii="Arial" w:eastAsia="Times New Roman" w:hAnsi="Arial" w:cs="Arial"/>
          <w:sz w:val="24"/>
          <w:szCs w:val="24"/>
          <w:lang w:eastAsia="en-GB"/>
        </w:rPr>
        <w:t>Miller, N. and Hendrickse, R. (2015) ‘An empirical study of factors that contribute to the emotional and physical well</w:t>
      </w:r>
      <w:r w:rsidRPr="00110A08">
        <w:rPr>
          <w:rFonts w:ascii="Arial" w:eastAsia="Times New Roman" w:hAnsi="Arial" w:cs="Arial"/>
          <w:sz w:val="24"/>
          <w:szCs w:val="24"/>
          <w:lang w:eastAsia="en-GB"/>
        </w:rPr>
        <w:noBreakHyphen/>
        <w:t xml:space="preserve">being of call centre agents’, </w:t>
      </w:r>
      <w:r w:rsidRPr="00110A08">
        <w:rPr>
          <w:rFonts w:ascii="Arial" w:eastAsia="Times New Roman" w:hAnsi="Arial" w:cs="Arial"/>
          <w:i/>
          <w:iCs/>
          <w:sz w:val="24"/>
          <w:szCs w:val="24"/>
          <w:lang w:eastAsia="en-GB"/>
        </w:rPr>
        <w:t>Journal of Business and Management Dynamics</w:t>
      </w:r>
      <w:r w:rsidRPr="00110A08">
        <w:rPr>
          <w:rFonts w:ascii="Arial" w:eastAsia="Times New Roman" w:hAnsi="Arial" w:cs="Arial"/>
          <w:sz w:val="24"/>
          <w:szCs w:val="24"/>
          <w:lang w:eastAsia="en-GB"/>
        </w:rPr>
        <w:t>, 5(1), pp. 1–5</w:t>
      </w:r>
      <w:r w:rsidRPr="00110A08">
        <w:rPr>
          <w:rFonts w:ascii="Segoe UI" w:eastAsia="Times New Roman" w:hAnsi="Segoe UI" w:cs="Segoe UI"/>
          <w:sz w:val="21"/>
          <w:szCs w:val="21"/>
          <w:lang w:eastAsia="en-GB"/>
        </w:rPr>
        <w:t>.</w:t>
      </w:r>
    </w:p>
    <w:p w14:paraId="0D416900" w14:textId="77777777" w:rsidR="00C22825" w:rsidRDefault="00C22825" w:rsidP="00EB731E">
      <w:pPr>
        <w:spacing w:after="0" w:line="600" w:lineRule="auto"/>
        <w:rPr>
          <w:rFonts w:ascii="Segoe UI" w:eastAsia="Times New Roman" w:hAnsi="Segoe UI" w:cs="Segoe UI"/>
          <w:sz w:val="21"/>
          <w:szCs w:val="21"/>
          <w:lang w:eastAsia="en-GB"/>
        </w:rPr>
      </w:pPr>
    </w:p>
    <w:p w14:paraId="6DCD3D14" w14:textId="5FD5705C" w:rsidR="00C22825" w:rsidRDefault="00C22825" w:rsidP="00EB731E">
      <w:pPr>
        <w:spacing w:after="0" w:line="600" w:lineRule="auto"/>
        <w:rPr>
          <w:rFonts w:ascii="Arial" w:eastAsia="Times New Roman" w:hAnsi="Arial" w:cs="Arial"/>
          <w:sz w:val="24"/>
          <w:szCs w:val="24"/>
          <w:lang w:eastAsia="en-GB"/>
        </w:rPr>
      </w:pPr>
      <w:r w:rsidRPr="00C22825">
        <w:rPr>
          <w:rFonts w:ascii="Arial" w:eastAsia="Times New Roman" w:hAnsi="Arial" w:cs="Arial"/>
          <w:sz w:val="24"/>
          <w:szCs w:val="24"/>
          <w:lang w:eastAsia="en-GB"/>
        </w:rPr>
        <w:t xml:space="preserve">NICE (2022) </w:t>
      </w:r>
      <w:r w:rsidRPr="00C22825">
        <w:rPr>
          <w:rFonts w:ascii="Arial" w:eastAsia="Times New Roman" w:hAnsi="Arial" w:cs="Arial"/>
          <w:i/>
          <w:iCs/>
          <w:sz w:val="24"/>
          <w:szCs w:val="24"/>
          <w:lang w:eastAsia="en-GB"/>
        </w:rPr>
        <w:t>Mental wellbeing at work (NG212)</w:t>
      </w:r>
      <w:r w:rsidRPr="00C22825">
        <w:rPr>
          <w:rFonts w:ascii="Arial" w:eastAsia="Times New Roman" w:hAnsi="Arial" w:cs="Arial"/>
          <w:sz w:val="24"/>
          <w:szCs w:val="24"/>
          <w:lang w:eastAsia="en-GB"/>
        </w:rPr>
        <w:t>. London: National Institute for Health and Care Excellence.</w:t>
      </w:r>
    </w:p>
    <w:p w14:paraId="4ADDAF4D" w14:textId="41496852" w:rsidR="006F743E" w:rsidRPr="006F743E" w:rsidRDefault="00331C2C" w:rsidP="00EB731E">
      <w:pPr>
        <w:pStyle w:val="NormalWeb"/>
        <w:spacing w:line="600" w:lineRule="auto"/>
        <w:rPr>
          <w:rFonts w:ascii="Arial" w:hAnsi="Arial" w:cs="Arial"/>
        </w:rPr>
      </w:pPr>
      <w:r w:rsidRPr="00331C2C">
        <w:rPr>
          <w:rFonts w:ascii="Arial" w:hAnsi="Arial" w:cs="Arial"/>
        </w:rPr>
        <w:t xml:space="preserve">OECD (2023) </w:t>
      </w:r>
      <w:r w:rsidRPr="00331C2C">
        <w:rPr>
          <w:rStyle w:val="Emphasis"/>
          <w:rFonts w:ascii="Arial" w:hAnsi="Arial" w:cs="Arial"/>
        </w:rPr>
        <w:t>Mental health and work: Promoting productivity and inclusion</w:t>
      </w:r>
      <w:r w:rsidRPr="00331C2C">
        <w:rPr>
          <w:rFonts w:ascii="Arial" w:hAnsi="Arial" w:cs="Arial"/>
        </w:rPr>
        <w:t>. Paris: OECD Publishing.</w:t>
      </w:r>
    </w:p>
    <w:p w14:paraId="15D68231" w14:textId="77777777" w:rsidR="00711763" w:rsidRP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Taylor, P., &amp; Bain, P. (2006). </w:t>
      </w:r>
      <w:r w:rsidRPr="00711763">
        <w:rPr>
          <w:rFonts w:ascii="Arial" w:hAnsi="Arial" w:cs="Arial"/>
          <w:i/>
          <w:iCs/>
          <w:sz w:val="24"/>
          <w:szCs w:val="24"/>
          <w:lang w:eastAsia="en-GB"/>
        </w:rPr>
        <w:t>An assembly line in the head</w:t>
      </w:r>
      <w:r w:rsidRPr="00711763">
        <w:rPr>
          <w:rFonts w:ascii="Arial" w:hAnsi="Arial" w:cs="Arial"/>
          <w:sz w:val="24"/>
          <w:szCs w:val="24"/>
          <w:lang w:eastAsia="en-GB"/>
        </w:rPr>
        <w:t>. Industrial Relations Journal, 37(2), 101–117.</w:t>
      </w:r>
    </w:p>
    <w:p w14:paraId="614D542F" w14:textId="67F1B39E" w:rsidR="00711763" w:rsidRDefault="00711763" w:rsidP="00EB731E">
      <w:pPr>
        <w:spacing w:line="600" w:lineRule="auto"/>
        <w:rPr>
          <w:rFonts w:ascii="Arial" w:hAnsi="Arial" w:cs="Arial"/>
          <w:sz w:val="24"/>
          <w:szCs w:val="24"/>
          <w:lang w:eastAsia="en-GB"/>
        </w:rPr>
      </w:pPr>
      <w:r w:rsidRPr="00711763">
        <w:rPr>
          <w:rFonts w:ascii="Arial" w:hAnsi="Arial" w:cs="Arial"/>
          <w:sz w:val="24"/>
          <w:szCs w:val="24"/>
          <w:lang w:eastAsia="en-GB"/>
        </w:rPr>
        <w:t xml:space="preserve">Welsh Government (2022). </w:t>
      </w:r>
      <w:r w:rsidRPr="00711763">
        <w:rPr>
          <w:rFonts w:ascii="Arial" w:hAnsi="Arial" w:cs="Arial"/>
          <w:i/>
          <w:iCs/>
          <w:sz w:val="24"/>
          <w:szCs w:val="24"/>
          <w:lang w:eastAsia="en-GB"/>
        </w:rPr>
        <w:t>Wellbeing of Wales report</w:t>
      </w:r>
      <w:r w:rsidRPr="00711763">
        <w:rPr>
          <w:rFonts w:ascii="Arial" w:hAnsi="Arial" w:cs="Arial"/>
          <w:sz w:val="24"/>
          <w:szCs w:val="24"/>
          <w:lang w:eastAsia="en-GB"/>
        </w:rPr>
        <w:t>. Cardiff: Welsh Government.</w:t>
      </w:r>
    </w:p>
    <w:p w14:paraId="33329AC2" w14:textId="77777777" w:rsidR="00331C2C" w:rsidRPr="00331C2C" w:rsidRDefault="00331C2C" w:rsidP="00EB731E">
      <w:pPr>
        <w:spacing w:after="0" w:line="600" w:lineRule="auto"/>
        <w:rPr>
          <w:rFonts w:ascii="Arial" w:eastAsia="Times New Roman" w:hAnsi="Arial" w:cs="Arial"/>
          <w:sz w:val="24"/>
          <w:szCs w:val="24"/>
          <w:lang w:eastAsia="en-GB"/>
        </w:rPr>
      </w:pPr>
      <w:r w:rsidRPr="00331C2C">
        <w:rPr>
          <w:rFonts w:ascii="Arial" w:eastAsia="Times New Roman" w:hAnsi="Arial" w:cs="Arial"/>
          <w:sz w:val="24"/>
          <w:szCs w:val="24"/>
          <w:lang w:eastAsia="en-GB"/>
        </w:rPr>
        <w:t xml:space="preserve">World Health Organization (WHO) (2022) </w:t>
      </w:r>
      <w:r w:rsidRPr="00331C2C">
        <w:rPr>
          <w:rFonts w:ascii="Arial" w:eastAsia="Times New Roman" w:hAnsi="Arial" w:cs="Arial"/>
          <w:i/>
          <w:iCs/>
          <w:sz w:val="24"/>
          <w:szCs w:val="24"/>
          <w:lang w:eastAsia="en-GB"/>
        </w:rPr>
        <w:t>Guidelines on mental health at work</w:t>
      </w:r>
      <w:r w:rsidRPr="00331C2C">
        <w:rPr>
          <w:rFonts w:ascii="Arial" w:eastAsia="Times New Roman" w:hAnsi="Arial" w:cs="Arial"/>
          <w:sz w:val="24"/>
          <w:szCs w:val="24"/>
          <w:lang w:eastAsia="en-GB"/>
        </w:rPr>
        <w:t>. Geneva: WHO.</w:t>
      </w:r>
    </w:p>
    <w:p w14:paraId="3E84A6E4" w14:textId="77777777" w:rsidR="00331C2C" w:rsidRPr="00711763" w:rsidRDefault="00331C2C" w:rsidP="00EB731E">
      <w:pPr>
        <w:spacing w:line="600" w:lineRule="auto"/>
        <w:rPr>
          <w:rFonts w:ascii="Arial" w:hAnsi="Arial" w:cs="Arial"/>
          <w:sz w:val="24"/>
          <w:szCs w:val="24"/>
          <w:lang w:eastAsia="en-GB"/>
        </w:rPr>
      </w:pPr>
    </w:p>
    <w:p w14:paraId="5F3693CB" w14:textId="77777777" w:rsidR="006E4630" w:rsidRPr="006E4630" w:rsidRDefault="006E4630" w:rsidP="00EB731E">
      <w:pPr>
        <w:pStyle w:val="NormalWeb"/>
        <w:spacing w:line="600" w:lineRule="auto"/>
        <w:rPr>
          <w:rFonts w:ascii="Arial" w:hAnsi="Arial" w:cs="Arial"/>
        </w:rPr>
      </w:pPr>
    </w:p>
    <w:p w14:paraId="5BB268D5" w14:textId="77777777" w:rsidR="006E4630" w:rsidRPr="006E4630" w:rsidRDefault="006E4630" w:rsidP="00EB731E">
      <w:pPr>
        <w:spacing w:line="600" w:lineRule="auto"/>
        <w:rPr>
          <w:rFonts w:ascii="Arial" w:hAnsi="Arial" w:cs="Arial"/>
          <w:b/>
          <w:bCs/>
          <w:sz w:val="24"/>
          <w:szCs w:val="24"/>
        </w:rPr>
      </w:pPr>
    </w:p>
    <w:sectPr w:rsidR="006E4630" w:rsidRPr="006E463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C016B" w14:textId="77777777" w:rsidR="0095646B" w:rsidRDefault="0095646B" w:rsidP="00EB731E">
      <w:pPr>
        <w:spacing w:after="0" w:line="240" w:lineRule="auto"/>
      </w:pPr>
      <w:r>
        <w:separator/>
      </w:r>
    </w:p>
  </w:endnote>
  <w:endnote w:type="continuationSeparator" w:id="0">
    <w:p w14:paraId="0248792F" w14:textId="77777777" w:rsidR="0095646B" w:rsidRDefault="0095646B" w:rsidP="00EB7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793739"/>
      <w:docPartObj>
        <w:docPartGallery w:val="Page Numbers (Bottom of Page)"/>
        <w:docPartUnique/>
      </w:docPartObj>
    </w:sdtPr>
    <w:sdtEndPr/>
    <w:sdtContent>
      <w:p w14:paraId="592B7866" w14:textId="4731F213" w:rsidR="00EB731E" w:rsidRDefault="00EB731E">
        <w:pPr>
          <w:pStyle w:val="Footer"/>
          <w:jc w:val="right"/>
        </w:pPr>
        <w:r>
          <w:fldChar w:fldCharType="begin"/>
        </w:r>
        <w:r>
          <w:instrText>PAGE   \* MERGEFORMAT</w:instrText>
        </w:r>
        <w:r>
          <w:fldChar w:fldCharType="separate"/>
        </w:r>
        <w:r>
          <w:t>2</w:t>
        </w:r>
        <w:r>
          <w:fldChar w:fldCharType="end"/>
        </w:r>
      </w:p>
    </w:sdtContent>
  </w:sdt>
  <w:p w14:paraId="0B9C9728" w14:textId="77777777" w:rsidR="00EB731E" w:rsidRDefault="00EB7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41A4A" w14:textId="77777777" w:rsidR="0095646B" w:rsidRDefault="0095646B" w:rsidP="00EB731E">
      <w:pPr>
        <w:spacing w:after="0" w:line="240" w:lineRule="auto"/>
      </w:pPr>
      <w:r>
        <w:separator/>
      </w:r>
    </w:p>
  </w:footnote>
  <w:footnote w:type="continuationSeparator" w:id="0">
    <w:p w14:paraId="543804C0" w14:textId="77777777" w:rsidR="0095646B" w:rsidRDefault="0095646B" w:rsidP="00EB73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14664"/>
    <w:multiLevelType w:val="hybridMultilevel"/>
    <w:tmpl w:val="568C9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FC0B82"/>
    <w:multiLevelType w:val="hybridMultilevel"/>
    <w:tmpl w:val="3EFE2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E01FD0"/>
    <w:multiLevelType w:val="multilevel"/>
    <w:tmpl w:val="2654F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851B40"/>
    <w:multiLevelType w:val="multilevel"/>
    <w:tmpl w:val="4320A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630"/>
    <w:rsid w:val="000F76B6"/>
    <w:rsid w:val="00110A08"/>
    <w:rsid w:val="0013542D"/>
    <w:rsid w:val="001F5EB7"/>
    <w:rsid w:val="0021267D"/>
    <w:rsid w:val="002F67E8"/>
    <w:rsid w:val="00331C2C"/>
    <w:rsid w:val="004368BB"/>
    <w:rsid w:val="005978B4"/>
    <w:rsid w:val="006E4630"/>
    <w:rsid w:val="006F743E"/>
    <w:rsid w:val="00711763"/>
    <w:rsid w:val="0074187B"/>
    <w:rsid w:val="0095646B"/>
    <w:rsid w:val="00AE4FDD"/>
    <w:rsid w:val="00BB0037"/>
    <w:rsid w:val="00C22825"/>
    <w:rsid w:val="00C273F0"/>
    <w:rsid w:val="00D21CA4"/>
    <w:rsid w:val="00D52E0B"/>
    <w:rsid w:val="00EB731E"/>
    <w:rsid w:val="00EE2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8AC39"/>
  <w15:chartTrackingRefBased/>
  <w15:docId w15:val="{E8626639-B4CD-4763-9345-55D535744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E46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E4630"/>
  </w:style>
  <w:style w:type="character" w:customStyle="1" w:styleId="eop">
    <w:name w:val="eop"/>
    <w:basedOn w:val="DefaultParagraphFont"/>
    <w:rsid w:val="006E4630"/>
  </w:style>
  <w:style w:type="paragraph" w:styleId="NormalWeb">
    <w:name w:val="Normal (Web)"/>
    <w:basedOn w:val="Normal"/>
    <w:uiPriority w:val="99"/>
    <w:unhideWhenUsed/>
    <w:rsid w:val="006E46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11763"/>
    <w:pPr>
      <w:ind w:left="720"/>
      <w:contextualSpacing/>
    </w:pPr>
  </w:style>
  <w:style w:type="character" w:styleId="Emphasis">
    <w:name w:val="Emphasis"/>
    <w:basedOn w:val="DefaultParagraphFont"/>
    <w:uiPriority w:val="20"/>
    <w:qFormat/>
    <w:rsid w:val="00331C2C"/>
    <w:rPr>
      <w:i/>
      <w:iCs/>
    </w:rPr>
  </w:style>
  <w:style w:type="paragraph" w:styleId="Header">
    <w:name w:val="header"/>
    <w:basedOn w:val="Normal"/>
    <w:link w:val="HeaderChar"/>
    <w:uiPriority w:val="99"/>
    <w:unhideWhenUsed/>
    <w:rsid w:val="00EB7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31E"/>
  </w:style>
  <w:style w:type="paragraph" w:styleId="Footer">
    <w:name w:val="footer"/>
    <w:basedOn w:val="Normal"/>
    <w:link w:val="FooterChar"/>
    <w:uiPriority w:val="99"/>
    <w:unhideWhenUsed/>
    <w:rsid w:val="00EB7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8226">
      <w:bodyDiv w:val="1"/>
      <w:marLeft w:val="0"/>
      <w:marRight w:val="0"/>
      <w:marTop w:val="0"/>
      <w:marBottom w:val="0"/>
      <w:divBdr>
        <w:top w:val="none" w:sz="0" w:space="0" w:color="auto"/>
        <w:left w:val="none" w:sz="0" w:space="0" w:color="auto"/>
        <w:bottom w:val="none" w:sz="0" w:space="0" w:color="auto"/>
        <w:right w:val="none" w:sz="0" w:space="0" w:color="auto"/>
      </w:divBdr>
      <w:divsChild>
        <w:div w:id="642582715">
          <w:marLeft w:val="0"/>
          <w:marRight w:val="0"/>
          <w:marTop w:val="0"/>
          <w:marBottom w:val="0"/>
          <w:divBdr>
            <w:top w:val="none" w:sz="0" w:space="0" w:color="auto"/>
            <w:left w:val="none" w:sz="0" w:space="0" w:color="auto"/>
            <w:bottom w:val="none" w:sz="0" w:space="0" w:color="auto"/>
            <w:right w:val="none" w:sz="0" w:space="0" w:color="auto"/>
          </w:divBdr>
        </w:div>
      </w:divsChild>
    </w:div>
    <w:div w:id="80370427">
      <w:bodyDiv w:val="1"/>
      <w:marLeft w:val="0"/>
      <w:marRight w:val="0"/>
      <w:marTop w:val="0"/>
      <w:marBottom w:val="0"/>
      <w:divBdr>
        <w:top w:val="none" w:sz="0" w:space="0" w:color="auto"/>
        <w:left w:val="none" w:sz="0" w:space="0" w:color="auto"/>
        <w:bottom w:val="none" w:sz="0" w:space="0" w:color="auto"/>
        <w:right w:val="none" w:sz="0" w:space="0" w:color="auto"/>
      </w:divBdr>
      <w:divsChild>
        <w:div w:id="916087034">
          <w:marLeft w:val="0"/>
          <w:marRight w:val="0"/>
          <w:marTop w:val="0"/>
          <w:marBottom w:val="0"/>
          <w:divBdr>
            <w:top w:val="none" w:sz="0" w:space="0" w:color="auto"/>
            <w:left w:val="none" w:sz="0" w:space="0" w:color="auto"/>
            <w:bottom w:val="none" w:sz="0" w:space="0" w:color="auto"/>
            <w:right w:val="none" w:sz="0" w:space="0" w:color="auto"/>
          </w:divBdr>
        </w:div>
      </w:divsChild>
    </w:div>
    <w:div w:id="196936246">
      <w:bodyDiv w:val="1"/>
      <w:marLeft w:val="0"/>
      <w:marRight w:val="0"/>
      <w:marTop w:val="0"/>
      <w:marBottom w:val="0"/>
      <w:divBdr>
        <w:top w:val="none" w:sz="0" w:space="0" w:color="auto"/>
        <w:left w:val="none" w:sz="0" w:space="0" w:color="auto"/>
        <w:bottom w:val="none" w:sz="0" w:space="0" w:color="auto"/>
        <w:right w:val="none" w:sz="0" w:space="0" w:color="auto"/>
      </w:divBdr>
      <w:divsChild>
        <w:div w:id="488207505">
          <w:marLeft w:val="0"/>
          <w:marRight w:val="0"/>
          <w:marTop w:val="0"/>
          <w:marBottom w:val="0"/>
          <w:divBdr>
            <w:top w:val="none" w:sz="0" w:space="0" w:color="auto"/>
            <w:left w:val="none" w:sz="0" w:space="0" w:color="auto"/>
            <w:bottom w:val="none" w:sz="0" w:space="0" w:color="auto"/>
            <w:right w:val="none" w:sz="0" w:space="0" w:color="auto"/>
          </w:divBdr>
        </w:div>
      </w:divsChild>
    </w:div>
    <w:div w:id="547496770">
      <w:bodyDiv w:val="1"/>
      <w:marLeft w:val="0"/>
      <w:marRight w:val="0"/>
      <w:marTop w:val="0"/>
      <w:marBottom w:val="0"/>
      <w:divBdr>
        <w:top w:val="none" w:sz="0" w:space="0" w:color="auto"/>
        <w:left w:val="none" w:sz="0" w:space="0" w:color="auto"/>
        <w:bottom w:val="none" w:sz="0" w:space="0" w:color="auto"/>
        <w:right w:val="none" w:sz="0" w:space="0" w:color="auto"/>
      </w:divBdr>
      <w:divsChild>
        <w:div w:id="1054159362">
          <w:marLeft w:val="0"/>
          <w:marRight w:val="0"/>
          <w:marTop w:val="0"/>
          <w:marBottom w:val="0"/>
          <w:divBdr>
            <w:top w:val="none" w:sz="0" w:space="0" w:color="auto"/>
            <w:left w:val="none" w:sz="0" w:space="0" w:color="auto"/>
            <w:bottom w:val="none" w:sz="0" w:space="0" w:color="auto"/>
            <w:right w:val="none" w:sz="0" w:space="0" w:color="auto"/>
          </w:divBdr>
        </w:div>
      </w:divsChild>
    </w:div>
    <w:div w:id="704721911">
      <w:bodyDiv w:val="1"/>
      <w:marLeft w:val="0"/>
      <w:marRight w:val="0"/>
      <w:marTop w:val="0"/>
      <w:marBottom w:val="0"/>
      <w:divBdr>
        <w:top w:val="none" w:sz="0" w:space="0" w:color="auto"/>
        <w:left w:val="none" w:sz="0" w:space="0" w:color="auto"/>
        <w:bottom w:val="none" w:sz="0" w:space="0" w:color="auto"/>
        <w:right w:val="none" w:sz="0" w:space="0" w:color="auto"/>
      </w:divBdr>
      <w:divsChild>
        <w:div w:id="872235420">
          <w:marLeft w:val="0"/>
          <w:marRight w:val="0"/>
          <w:marTop w:val="0"/>
          <w:marBottom w:val="0"/>
          <w:divBdr>
            <w:top w:val="none" w:sz="0" w:space="0" w:color="auto"/>
            <w:left w:val="none" w:sz="0" w:space="0" w:color="auto"/>
            <w:bottom w:val="none" w:sz="0" w:space="0" w:color="auto"/>
            <w:right w:val="none" w:sz="0" w:space="0" w:color="auto"/>
          </w:divBdr>
        </w:div>
      </w:divsChild>
    </w:div>
    <w:div w:id="723412821">
      <w:bodyDiv w:val="1"/>
      <w:marLeft w:val="0"/>
      <w:marRight w:val="0"/>
      <w:marTop w:val="0"/>
      <w:marBottom w:val="0"/>
      <w:divBdr>
        <w:top w:val="none" w:sz="0" w:space="0" w:color="auto"/>
        <w:left w:val="none" w:sz="0" w:space="0" w:color="auto"/>
        <w:bottom w:val="none" w:sz="0" w:space="0" w:color="auto"/>
        <w:right w:val="none" w:sz="0" w:space="0" w:color="auto"/>
      </w:divBdr>
      <w:divsChild>
        <w:div w:id="472797641">
          <w:marLeft w:val="0"/>
          <w:marRight w:val="0"/>
          <w:marTop w:val="0"/>
          <w:marBottom w:val="0"/>
          <w:divBdr>
            <w:top w:val="none" w:sz="0" w:space="0" w:color="auto"/>
            <w:left w:val="none" w:sz="0" w:space="0" w:color="auto"/>
            <w:bottom w:val="none" w:sz="0" w:space="0" w:color="auto"/>
            <w:right w:val="none" w:sz="0" w:space="0" w:color="auto"/>
          </w:divBdr>
        </w:div>
        <w:div w:id="481963986">
          <w:marLeft w:val="0"/>
          <w:marRight w:val="0"/>
          <w:marTop w:val="0"/>
          <w:marBottom w:val="0"/>
          <w:divBdr>
            <w:top w:val="none" w:sz="0" w:space="0" w:color="auto"/>
            <w:left w:val="none" w:sz="0" w:space="0" w:color="auto"/>
            <w:bottom w:val="none" w:sz="0" w:space="0" w:color="auto"/>
            <w:right w:val="none" w:sz="0" w:space="0" w:color="auto"/>
          </w:divBdr>
        </w:div>
        <w:div w:id="810251821">
          <w:marLeft w:val="0"/>
          <w:marRight w:val="0"/>
          <w:marTop w:val="0"/>
          <w:marBottom w:val="0"/>
          <w:divBdr>
            <w:top w:val="none" w:sz="0" w:space="0" w:color="auto"/>
            <w:left w:val="none" w:sz="0" w:space="0" w:color="auto"/>
            <w:bottom w:val="none" w:sz="0" w:space="0" w:color="auto"/>
            <w:right w:val="none" w:sz="0" w:space="0" w:color="auto"/>
          </w:divBdr>
        </w:div>
        <w:div w:id="985820035">
          <w:marLeft w:val="0"/>
          <w:marRight w:val="0"/>
          <w:marTop w:val="0"/>
          <w:marBottom w:val="0"/>
          <w:divBdr>
            <w:top w:val="none" w:sz="0" w:space="0" w:color="auto"/>
            <w:left w:val="none" w:sz="0" w:space="0" w:color="auto"/>
            <w:bottom w:val="none" w:sz="0" w:space="0" w:color="auto"/>
            <w:right w:val="none" w:sz="0" w:space="0" w:color="auto"/>
          </w:divBdr>
        </w:div>
      </w:divsChild>
    </w:div>
    <w:div w:id="871957944">
      <w:bodyDiv w:val="1"/>
      <w:marLeft w:val="0"/>
      <w:marRight w:val="0"/>
      <w:marTop w:val="0"/>
      <w:marBottom w:val="0"/>
      <w:divBdr>
        <w:top w:val="none" w:sz="0" w:space="0" w:color="auto"/>
        <w:left w:val="none" w:sz="0" w:space="0" w:color="auto"/>
        <w:bottom w:val="none" w:sz="0" w:space="0" w:color="auto"/>
        <w:right w:val="none" w:sz="0" w:space="0" w:color="auto"/>
      </w:divBdr>
      <w:divsChild>
        <w:div w:id="1604993110">
          <w:marLeft w:val="0"/>
          <w:marRight w:val="0"/>
          <w:marTop w:val="0"/>
          <w:marBottom w:val="0"/>
          <w:divBdr>
            <w:top w:val="none" w:sz="0" w:space="0" w:color="auto"/>
            <w:left w:val="none" w:sz="0" w:space="0" w:color="auto"/>
            <w:bottom w:val="none" w:sz="0" w:space="0" w:color="auto"/>
            <w:right w:val="none" w:sz="0" w:space="0" w:color="auto"/>
          </w:divBdr>
          <w:divsChild>
            <w:div w:id="19658413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876434883">
      <w:bodyDiv w:val="1"/>
      <w:marLeft w:val="0"/>
      <w:marRight w:val="0"/>
      <w:marTop w:val="0"/>
      <w:marBottom w:val="0"/>
      <w:divBdr>
        <w:top w:val="none" w:sz="0" w:space="0" w:color="auto"/>
        <w:left w:val="none" w:sz="0" w:space="0" w:color="auto"/>
        <w:bottom w:val="none" w:sz="0" w:space="0" w:color="auto"/>
        <w:right w:val="none" w:sz="0" w:space="0" w:color="auto"/>
      </w:divBdr>
      <w:divsChild>
        <w:div w:id="249436950">
          <w:marLeft w:val="0"/>
          <w:marRight w:val="0"/>
          <w:marTop w:val="0"/>
          <w:marBottom w:val="0"/>
          <w:divBdr>
            <w:top w:val="none" w:sz="0" w:space="0" w:color="auto"/>
            <w:left w:val="none" w:sz="0" w:space="0" w:color="auto"/>
            <w:bottom w:val="none" w:sz="0" w:space="0" w:color="auto"/>
            <w:right w:val="none" w:sz="0" w:space="0" w:color="auto"/>
          </w:divBdr>
        </w:div>
      </w:divsChild>
    </w:div>
    <w:div w:id="1084953219">
      <w:bodyDiv w:val="1"/>
      <w:marLeft w:val="0"/>
      <w:marRight w:val="0"/>
      <w:marTop w:val="0"/>
      <w:marBottom w:val="0"/>
      <w:divBdr>
        <w:top w:val="none" w:sz="0" w:space="0" w:color="auto"/>
        <w:left w:val="none" w:sz="0" w:space="0" w:color="auto"/>
        <w:bottom w:val="none" w:sz="0" w:space="0" w:color="auto"/>
        <w:right w:val="none" w:sz="0" w:space="0" w:color="auto"/>
      </w:divBdr>
      <w:divsChild>
        <w:div w:id="86924846">
          <w:marLeft w:val="0"/>
          <w:marRight w:val="0"/>
          <w:marTop w:val="0"/>
          <w:marBottom w:val="0"/>
          <w:divBdr>
            <w:top w:val="none" w:sz="0" w:space="0" w:color="auto"/>
            <w:left w:val="none" w:sz="0" w:space="0" w:color="auto"/>
            <w:bottom w:val="none" w:sz="0" w:space="0" w:color="auto"/>
            <w:right w:val="none" w:sz="0" w:space="0" w:color="auto"/>
          </w:divBdr>
        </w:div>
      </w:divsChild>
    </w:div>
    <w:div w:id="1160459510">
      <w:bodyDiv w:val="1"/>
      <w:marLeft w:val="0"/>
      <w:marRight w:val="0"/>
      <w:marTop w:val="0"/>
      <w:marBottom w:val="0"/>
      <w:divBdr>
        <w:top w:val="none" w:sz="0" w:space="0" w:color="auto"/>
        <w:left w:val="none" w:sz="0" w:space="0" w:color="auto"/>
        <w:bottom w:val="none" w:sz="0" w:space="0" w:color="auto"/>
        <w:right w:val="none" w:sz="0" w:space="0" w:color="auto"/>
      </w:divBdr>
      <w:divsChild>
        <w:div w:id="123238450">
          <w:marLeft w:val="0"/>
          <w:marRight w:val="0"/>
          <w:marTop w:val="0"/>
          <w:marBottom w:val="0"/>
          <w:divBdr>
            <w:top w:val="none" w:sz="0" w:space="0" w:color="auto"/>
            <w:left w:val="none" w:sz="0" w:space="0" w:color="auto"/>
            <w:bottom w:val="none" w:sz="0" w:space="0" w:color="auto"/>
            <w:right w:val="none" w:sz="0" w:space="0" w:color="auto"/>
          </w:divBdr>
        </w:div>
      </w:divsChild>
    </w:div>
    <w:div w:id="1232236208">
      <w:bodyDiv w:val="1"/>
      <w:marLeft w:val="0"/>
      <w:marRight w:val="0"/>
      <w:marTop w:val="0"/>
      <w:marBottom w:val="0"/>
      <w:divBdr>
        <w:top w:val="none" w:sz="0" w:space="0" w:color="auto"/>
        <w:left w:val="none" w:sz="0" w:space="0" w:color="auto"/>
        <w:bottom w:val="none" w:sz="0" w:space="0" w:color="auto"/>
        <w:right w:val="none" w:sz="0" w:space="0" w:color="auto"/>
      </w:divBdr>
      <w:divsChild>
        <w:div w:id="1679497973">
          <w:marLeft w:val="0"/>
          <w:marRight w:val="0"/>
          <w:marTop w:val="0"/>
          <w:marBottom w:val="0"/>
          <w:divBdr>
            <w:top w:val="none" w:sz="0" w:space="0" w:color="auto"/>
            <w:left w:val="none" w:sz="0" w:space="0" w:color="auto"/>
            <w:bottom w:val="none" w:sz="0" w:space="0" w:color="auto"/>
            <w:right w:val="none" w:sz="0" w:space="0" w:color="auto"/>
          </w:divBdr>
        </w:div>
      </w:divsChild>
    </w:div>
    <w:div w:id="1256204439">
      <w:bodyDiv w:val="1"/>
      <w:marLeft w:val="0"/>
      <w:marRight w:val="0"/>
      <w:marTop w:val="0"/>
      <w:marBottom w:val="0"/>
      <w:divBdr>
        <w:top w:val="none" w:sz="0" w:space="0" w:color="auto"/>
        <w:left w:val="none" w:sz="0" w:space="0" w:color="auto"/>
        <w:bottom w:val="none" w:sz="0" w:space="0" w:color="auto"/>
        <w:right w:val="none" w:sz="0" w:space="0" w:color="auto"/>
      </w:divBdr>
      <w:divsChild>
        <w:div w:id="69692315">
          <w:marLeft w:val="0"/>
          <w:marRight w:val="0"/>
          <w:marTop w:val="0"/>
          <w:marBottom w:val="0"/>
          <w:divBdr>
            <w:top w:val="none" w:sz="0" w:space="0" w:color="auto"/>
            <w:left w:val="none" w:sz="0" w:space="0" w:color="auto"/>
            <w:bottom w:val="none" w:sz="0" w:space="0" w:color="auto"/>
            <w:right w:val="none" w:sz="0" w:space="0" w:color="auto"/>
          </w:divBdr>
        </w:div>
      </w:divsChild>
    </w:div>
    <w:div w:id="1256785580">
      <w:bodyDiv w:val="1"/>
      <w:marLeft w:val="0"/>
      <w:marRight w:val="0"/>
      <w:marTop w:val="0"/>
      <w:marBottom w:val="0"/>
      <w:divBdr>
        <w:top w:val="none" w:sz="0" w:space="0" w:color="auto"/>
        <w:left w:val="none" w:sz="0" w:space="0" w:color="auto"/>
        <w:bottom w:val="none" w:sz="0" w:space="0" w:color="auto"/>
        <w:right w:val="none" w:sz="0" w:space="0" w:color="auto"/>
      </w:divBdr>
      <w:divsChild>
        <w:div w:id="590966617">
          <w:marLeft w:val="0"/>
          <w:marRight w:val="0"/>
          <w:marTop w:val="0"/>
          <w:marBottom w:val="0"/>
          <w:divBdr>
            <w:top w:val="none" w:sz="0" w:space="0" w:color="auto"/>
            <w:left w:val="none" w:sz="0" w:space="0" w:color="auto"/>
            <w:bottom w:val="none" w:sz="0" w:space="0" w:color="auto"/>
            <w:right w:val="none" w:sz="0" w:space="0" w:color="auto"/>
          </w:divBdr>
        </w:div>
      </w:divsChild>
    </w:div>
    <w:div w:id="1321275947">
      <w:bodyDiv w:val="1"/>
      <w:marLeft w:val="0"/>
      <w:marRight w:val="0"/>
      <w:marTop w:val="0"/>
      <w:marBottom w:val="0"/>
      <w:divBdr>
        <w:top w:val="none" w:sz="0" w:space="0" w:color="auto"/>
        <w:left w:val="none" w:sz="0" w:space="0" w:color="auto"/>
        <w:bottom w:val="none" w:sz="0" w:space="0" w:color="auto"/>
        <w:right w:val="none" w:sz="0" w:space="0" w:color="auto"/>
      </w:divBdr>
      <w:divsChild>
        <w:div w:id="155540305">
          <w:marLeft w:val="0"/>
          <w:marRight w:val="0"/>
          <w:marTop w:val="0"/>
          <w:marBottom w:val="0"/>
          <w:divBdr>
            <w:top w:val="none" w:sz="0" w:space="0" w:color="auto"/>
            <w:left w:val="none" w:sz="0" w:space="0" w:color="auto"/>
            <w:bottom w:val="none" w:sz="0" w:space="0" w:color="auto"/>
            <w:right w:val="none" w:sz="0" w:space="0" w:color="auto"/>
          </w:divBdr>
        </w:div>
      </w:divsChild>
    </w:div>
    <w:div w:id="1322272377">
      <w:bodyDiv w:val="1"/>
      <w:marLeft w:val="0"/>
      <w:marRight w:val="0"/>
      <w:marTop w:val="0"/>
      <w:marBottom w:val="0"/>
      <w:divBdr>
        <w:top w:val="none" w:sz="0" w:space="0" w:color="auto"/>
        <w:left w:val="none" w:sz="0" w:space="0" w:color="auto"/>
        <w:bottom w:val="none" w:sz="0" w:space="0" w:color="auto"/>
        <w:right w:val="none" w:sz="0" w:space="0" w:color="auto"/>
      </w:divBdr>
      <w:divsChild>
        <w:div w:id="1913465274">
          <w:marLeft w:val="0"/>
          <w:marRight w:val="0"/>
          <w:marTop w:val="0"/>
          <w:marBottom w:val="0"/>
          <w:divBdr>
            <w:top w:val="none" w:sz="0" w:space="0" w:color="auto"/>
            <w:left w:val="none" w:sz="0" w:space="0" w:color="auto"/>
            <w:bottom w:val="none" w:sz="0" w:space="0" w:color="auto"/>
            <w:right w:val="none" w:sz="0" w:space="0" w:color="auto"/>
          </w:divBdr>
        </w:div>
      </w:divsChild>
    </w:div>
    <w:div w:id="1339844646">
      <w:bodyDiv w:val="1"/>
      <w:marLeft w:val="0"/>
      <w:marRight w:val="0"/>
      <w:marTop w:val="0"/>
      <w:marBottom w:val="0"/>
      <w:divBdr>
        <w:top w:val="none" w:sz="0" w:space="0" w:color="auto"/>
        <w:left w:val="none" w:sz="0" w:space="0" w:color="auto"/>
        <w:bottom w:val="none" w:sz="0" w:space="0" w:color="auto"/>
        <w:right w:val="none" w:sz="0" w:space="0" w:color="auto"/>
      </w:divBdr>
      <w:divsChild>
        <w:div w:id="1933320860">
          <w:marLeft w:val="0"/>
          <w:marRight w:val="0"/>
          <w:marTop w:val="0"/>
          <w:marBottom w:val="0"/>
          <w:divBdr>
            <w:top w:val="none" w:sz="0" w:space="0" w:color="auto"/>
            <w:left w:val="none" w:sz="0" w:space="0" w:color="auto"/>
            <w:bottom w:val="none" w:sz="0" w:space="0" w:color="auto"/>
            <w:right w:val="none" w:sz="0" w:space="0" w:color="auto"/>
          </w:divBdr>
        </w:div>
      </w:divsChild>
    </w:div>
    <w:div w:id="1367562257">
      <w:bodyDiv w:val="1"/>
      <w:marLeft w:val="0"/>
      <w:marRight w:val="0"/>
      <w:marTop w:val="0"/>
      <w:marBottom w:val="0"/>
      <w:divBdr>
        <w:top w:val="none" w:sz="0" w:space="0" w:color="auto"/>
        <w:left w:val="none" w:sz="0" w:space="0" w:color="auto"/>
        <w:bottom w:val="none" w:sz="0" w:space="0" w:color="auto"/>
        <w:right w:val="none" w:sz="0" w:space="0" w:color="auto"/>
      </w:divBdr>
      <w:divsChild>
        <w:div w:id="461583536">
          <w:marLeft w:val="0"/>
          <w:marRight w:val="0"/>
          <w:marTop w:val="0"/>
          <w:marBottom w:val="0"/>
          <w:divBdr>
            <w:top w:val="none" w:sz="0" w:space="0" w:color="auto"/>
            <w:left w:val="none" w:sz="0" w:space="0" w:color="auto"/>
            <w:bottom w:val="none" w:sz="0" w:space="0" w:color="auto"/>
            <w:right w:val="none" w:sz="0" w:space="0" w:color="auto"/>
          </w:divBdr>
        </w:div>
      </w:divsChild>
    </w:div>
    <w:div w:id="1408527907">
      <w:bodyDiv w:val="1"/>
      <w:marLeft w:val="0"/>
      <w:marRight w:val="0"/>
      <w:marTop w:val="0"/>
      <w:marBottom w:val="0"/>
      <w:divBdr>
        <w:top w:val="none" w:sz="0" w:space="0" w:color="auto"/>
        <w:left w:val="none" w:sz="0" w:space="0" w:color="auto"/>
        <w:bottom w:val="none" w:sz="0" w:space="0" w:color="auto"/>
        <w:right w:val="none" w:sz="0" w:space="0" w:color="auto"/>
      </w:divBdr>
      <w:divsChild>
        <w:div w:id="2043741944">
          <w:marLeft w:val="0"/>
          <w:marRight w:val="0"/>
          <w:marTop w:val="0"/>
          <w:marBottom w:val="0"/>
          <w:divBdr>
            <w:top w:val="none" w:sz="0" w:space="0" w:color="auto"/>
            <w:left w:val="none" w:sz="0" w:space="0" w:color="auto"/>
            <w:bottom w:val="none" w:sz="0" w:space="0" w:color="auto"/>
            <w:right w:val="none" w:sz="0" w:space="0" w:color="auto"/>
          </w:divBdr>
        </w:div>
      </w:divsChild>
    </w:div>
    <w:div w:id="1566914632">
      <w:bodyDiv w:val="1"/>
      <w:marLeft w:val="0"/>
      <w:marRight w:val="0"/>
      <w:marTop w:val="0"/>
      <w:marBottom w:val="0"/>
      <w:divBdr>
        <w:top w:val="none" w:sz="0" w:space="0" w:color="auto"/>
        <w:left w:val="none" w:sz="0" w:space="0" w:color="auto"/>
        <w:bottom w:val="none" w:sz="0" w:space="0" w:color="auto"/>
        <w:right w:val="none" w:sz="0" w:space="0" w:color="auto"/>
      </w:divBdr>
      <w:divsChild>
        <w:div w:id="1543446659">
          <w:marLeft w:val="0"/>
          <w:marRight w:val="0"/>
          <w:marTop w:val="0"/>
          <w:marBottom w:val="0"/>
          <w:divBdr>
            <w:top w:val="none" w:sz="0" w:space="0" w:color="auto"/>
            <w:left w:val="none" w:sz="0" w:space="0" w:color="auto"/>
            <w:bottom w:val="none" w:sz="0" w:space="0" w:color="auto"/>
            <w:right w:val="none" w:sz="0" w:space="0" w:color="auto"/>
          </w:divBdr>
        </w:div>
      </w:divsChild>
    </w:div>
    <w:div w:id="1633169092">
      <w:bodyDiv w:val="1"/>
      <w:marLeft w:val="0"/>
      <w:marRight w:val="0"/>
      <w:marTop w:val="0"/>
      <w:marBottom w:val="0"/>
      <w:divBdr>
        <w:top w:val="none" w:sz="0" w:space="0" w:color="auto"/>
        <w:left w:val="none" w:sz="0" w:space="0" w:color="auto"/>
        <w:bottom w:val="none" w:sz="0" w:space="0" w:color="auto"/>
        <w:right w:val="none" w:sz="0" w:space="0" w:color="auto"/>
      </w:divBdr>
      <w:divsChild>
        <w:div w:id="1999839901">
          <w:marLeft w:val="0"/>
          <w:marRight w:val="0"/>
          <w:marTop w:val="0"/>
          <w:marBottom w:val="0"/>
          <w:divBdr>
            <w:top w:val="none" w:sz="0" w:space="0" w:color="auto"/>
            <w:left w:val="none" w:sz="0" w:space="0" w:color="auto"/>
            <w:bottom w:val="none" w:sz="0" w:space="0" w:color="auto"/>
            <w:right w:val="none" w:sz="0" w:space="0" w:color="auto"/>
          </w:divBdr>
        </w:div>
      </w:divsChild>
    </w:div>
    <w:div w:id="1653102849">
      <w:bodyDiv w:val="1"/>
      <w:marLeft w:val="0"/>
      <w:marRight w:val="0"/>
      <w:marTop w:val="0"/>
      <w:marBottom w:val="0"/>
      <w:divBdr>
        <w:top w:val="none" w:sz="0" w:space="0" w:color="auto"/>
        <w:left w:val="none" w:sz="0" w:space="0" w:color="auto"/>
        <w:bottom w:val="none" w:sz="0" w:space="0" w:color="auto"/>
        <w:right w:val="none" w:sz="0" w:space="0" w:color="auto"/>
      </w:divBdr>
      <w:divsChild>
        <w:div w:id="2062943462">
          <w:marLeft w:val="0"/>
          <w:marRight w:val="0"/>
          <w:marTop w:val="0"/>
          <w:marBottom w:val="0"/>
          <w:divBdr>
            <w:top w:val="none" w:sz="0" w:space="0" w:color="auto"/>
            <w:left w:val="none" w:sz="0" w:space="0" w:color="auto"/>
            <w:bottom w:val="none" w:sz="0" w:space="0" w:color="auto"/>
            <w:right w:val="none" w:sz="0" w:space="0" w:color="auto"/>
          </w:divBdr>
        </w:div>
      </w:divsChild>
    </w:div>
    <w:div w:id="1710959420">
      <w:bodyDiv w:val="1"/>
      <w:marLeft w:val="0"/>
      <w:marRight w:val="0"/>
      <w:marTop w:val="0"/>
      <w:marBottom w:val="0"/>
      <w:divBdr>
        <w:top w:val="none" w:sz="0" w:space="0" w:color="auto"/>
        <w:left w:val="none" w:sz="0" w:space="0" w:color="auto"/>
        <w:bottom w:val="none" w:sz="0" w:space="0" w:color="auto"/>
        <w:right w:val="none" w:sz="0" w:space="0" w:color="auto"/>
      </w:divBdr>
      <w:divsChild>
        <w:div w:id="1192065495">
          <w:marLeft w:val="0"/>
          <w:marRight w:val="0"/>
          <w:marTop w:val="0"/>
          <w:marBottom w:val="0"/>
          <w:divBdr>
            <w:top w:val="none" w:sz="0" w:space="0" w:color="auto"/>
            <w:left w:val="none" w:sz="0" w:space="0" w:color="auto"/>
            <w:bottom w:val="none" w:sz="0" w:space="0" w:color="auto"/>
            <w:right w:val="none" w:sz="0" w:space="0" w:color="auto"/>
          </w:divBdr>
        </w:div>
      </w:divsChild>
    </w:div>
    <w:div w:id="1749646553">
      <w:bodyDiv w:val="1"/>
      <w:marLeft w:val="0"/>
      <w:marRight w:val="0"/>
      <w:marTop w:val="0"/>
      <w:marBottom w:val="0"/>
      <w:divBdr>
        <w:top w:val="none" w:sz="0" w:space="0" w:color="auto"/>
        <w:left w:val="none" w:sz="0" w:space="0" w:color="auto"/>
        <w:bottom w:val="none" w:sz="0" w:space="0" w:color="auto"/>
        <w:right w:val="none" w:sz="0" w:space="0" w:color="auto"/>
      </w:divBdr>
      <w:divsChild>
        <w:div w:id="74980994">
          <w:marLeft w:val="0"/>
          <w:marRight w:val="0"/>
          <w:marTop w:val="0"/>
          <w:marBottom w:val="0"/>
          <w:divBdr>
            <w:top w:val="none" w:sz="0" w:space="0" w:color="auto"/>
            <w:left w:val="none" w:sz="0" w:space="0" w:color="auto"/>
            <w:bottom w:val="none" w:sz="0" w:space="0" w:color="auto"/>
            <w:right w:val="none" w:sz="0" w:space="0" w:color="auto"/>
          </w:divBdr>
        </w:div>
      </w:divsChild>
    </w:div>
    <w:div w:id="1801728821">
      <w:bodyDiv w:val="1"/>
      <w:marLeft w:val="0"/>
      <w:marRight w:val="0"/>
      <w:marTop w:val="0"/>
      <w:marBottom w:val="0"/>
      <w:divBdr>
        <w:top w:val="none" w:sz="0" w:space="0" w:color="auto"/>
        <w:left w:val="none" w:sz="0" w:space="0" w:color="auto"/>
        <w:bottom w:val="none" w:sz="0" w:space="0" w:color="auto"/>
        <w:right w:val="none" w:sz="0" w:space="0" w:color="auto"/>
      </w:divBdr>
      <w:divsChild>
        <w:div w:id="1610552477">
          <w:marLeft w:val="0"/>
          <w:marRight w:val="0"/>
          <w:marTop w:val="0"/>
          <w:marBottom w:val="0"/>
          <w:divBdr>
            <w:top w:val="none" w:sz="0" w:space="0" w:color="auto"/>
            <w:left w:val="none" w:sz="0" w:space="0" w:color="auto"/>
            <w:bottom w:val="none" w:sz="0" w:space="0" w:color="auto"/>
            <w:right w:val="none" w:sz="0" w:space="0" w:color="auto"/>
          </w:divBdr>
        </w:div>
      </w:divsChild>
    </w:div>
    <w:div w:id="1809932236">
      <w:bodyDiv w:val="1"/>
      <w:marLeft w:val="0"/>
      <w:marRight w:val="0"/>
      <w:marTop w:val="0"/>
      <w:marBottom w:val="0"/>
      <w:divBdr>
        <w:top w:val="none" w:sz="0" w:space="0" w:color="auto"/>
        <w:left w:val="none" w:sz="0" w:space="0" w:color="auto"/>
        <w:bottom w:val="none" w:sz="0" w:space="0" w:color="auto"/>
        <w:right w:val="none" w:sz="0" w:space="0" w:color="auto"/>
      </w:divBdr>
      <w:divsChild>
        <w:div w:id="386073069">
          <w:marLeft w:val="0"/>
          <w:marRight w:val="0"/>
          <w:marTop w:val="0"/>
          <w:marBottom w:val="0"/>
          <w:divBdr>
            <w:top w:val="none" w:sz="0" w:space="0" w:color="auto"/>
            <w:left w:val="none" w:sz="0" w:space="0" w:color="auto"/>
            <w:bottom w:val="none" w:sz="0" w:space="0" w:color="auto"/>
            <w:right w:val="none" w:sz="0" w:space="0" w:color="auto"/>
          </w:divBdr>
        </w:div>
      </w:divsChild>
    </w:div>
    <w:div w:id="1860196710">
      <w:bodyDiv w:val="1"/>
      <w:marLeft w:val="0"/>
      <w:marRight w:val="0"/>
      <w:marTop w:val="0"/>
      <w:marBottom w:val="0"/>
      <w:divBdr>
        <w:top w:val="none" w:sz="0" w:space="0" w:color="auto"/>
        <w:left w:val="none" w:sz="0" w:space="0" w:color="auto"/>
        <w:bottom w:val="none" w:sz="0" w:space="0" w:color="auto"/>
        <w:right w:val="none" w:sz="0" w:space="0" w:color="auto"/>
      </w:divBdr>
      <w:divsChild>
        <w:div w:id="1849438321">
          <w:marLeft w:val="0"/>
          <w:marRight w:val="0"/>
          <w:marTop w:val="0"/>
          <w:marBottom w:val="0"/>
          <w:divBdr>
            <w:top w:val="none" w:sz="0" w:space="0" w:color="auto"/>
            <w:left w:val="none" w:sz="0" w:space="0" w:color="auto"/>
            <w:bottom w:val="none" w:sz="0" w:space="0" w:color="auto"/>
            <w:right w:val="none" w:sz="0" w:space="0" w:color="auto"/>
          </w:divBdr>
        </w:div>
      </w:divsChild>
    </w:div>
    <w:div w:id="1915964967">
      <w:bodyDiv w:val="1"/>
      <w:marLeft w:val="0"/>
      <w:marRight w:val="0"/>
      <w:marTop w:val="0"/>
      <w:marBottom w:val="0"/>
      <w:divBdr>
        <w:top w:val="none" w:sz="0" w:space="0" w:color="auto"/>
        <w:left w:val="none" w:sz="0" w:space="0" w:color="auto"/>
        <w:bottom w:val="none" w:sz="0" w:space="0" w:color="auto"/>
        <w:right w:val="none" w:sz="0" w:space="0" w:color="auto"/>
      </w:divBdr>
      <w:divsChild>
        <w:div w:id="1935429417">
          <w:marLeft w:val="0"/>
          <w:marRight w:val="0"/>
          <w:marTop w:val="0"/>
          <w:marBottom w:val="0"/>
          <w:divBdr>
            <w:top w:val="none" w:sz="0" w:space="0" w:color="auto"/>
            <w:left w:val="none" w:sz="0" w:space="0" w:color="auto"/>
            <w:bottom w:val="none" w:sz="0" w:space="0" w:color="auto"/>
            <w:right w:val="none" w:sz="0" w:space="0" w:color="auto"/>
          </w:divBdr>
        </w:div>
      </w:divsChild>
    </w:div>
    <w:div w:id="1942570946">
      <w:bodyDiv w:val="1"/>
      <w:marLeft w:val="0"/>
      <w:marRight w:val="0"/>
      <w:marTop w:val="0"/>
      <w:marBottom w:val="0"/>
      <w:divBdr>
        <w:top w:val="none" w:sz="0" w:space="0" w:color="auto"/>
        <w:left w:val="none" w:sz="0" w:space="0" w:color="auto"/>
        <w:bottom w:val="none" w:sz="0" w:space="0" w:color="auto"/>
        <w:right w:val="none" w:sz="0" w:space="0" w:color="auto"/>
      </w:divBdr>
      <w:divsChild>
        <w:div w:id="1917007745">
          <w:marLeft w:val="0"/>
          <w:marRight w:val="0"/>
          <w:marTop w:val="0"/>
          <w:marBottom w:val="0"/>
          <w:divBdr>
            <w:top w:val="none" w:sz="0" w:space="0" w:color="auto"/>
            <w:left w:val="none" w:sz="0" w:space="0" w:color="auto"/>
            <w:bottom w:val="none" w:sz="0" w:space="0" w:color="auto"/>
            <w:right w:val="none" w:sz="0" w:space="0" w:color="auto"/>
          </w:divBdr>
        </w:div>
      </w:divsChild>
    </w:div>
    <w:div w:id="2082747061">
      <w:bodyDiv w:val="1"/>
      <w:marLeft w:val="0"/>
      <w:marRight w:val="0"/>
      <w:marTop w:val="0"/>
      <w:marBottom w:val="0"/>
      <w:divBdr>
        <w:top w:val="none" w:sz="0" w:space="0" w:color="auto"/>
        <w:left w:val="none" w:sz="0" w:space="0" w:color="auto"/>
        <w:bottom w:val="none" w:sz="0" w:space="0" w:color="auto"/>
        <w:right w:val="none" w:sz="0" w:space="0" w:color="auto"/>
      </w:divBdr>
      <w:divsChild>
        <w:div w:id="157425813">
          <w:marLeft w:val="0"/>
          <w:marRight w:val="0"/>
          <w:marTop w:val="0"/>
          <w:marBottom w:val="0"/>
          <w:divBdr>
            <w:top w:val="none" w:sz="0" w:space="0" w:color="auto"/>
            <w:left w:val="none" w:sz="0" w:space="0" w:color="auto"/>
            <w:bottom w:val="none" w:sz="0" w:space="0" w:color="auto"/>
            <w:right w:val="none" w:sz="0" w:space="0" w:color="auto"/>
          </w:divBdr>
        </w:div>
      </w:divsChild>
    </w:div>
    <w:div w:id="2104451020">
      <w:bodyDiv w:val="1"/>
      <w:marLeft w:val="0"/>
      <w:marRight w:val="0"/>
      <w:marTop w:val="0"/>
      <w:marBottom w:val="0"/>
      <w:divBdr>
        <w:top w:val="none" w:sz="0" w:space="0" w:color="auto"/>
        <w:left w:val="none" w:sz="0" w:space="0" w:color="auto"/>
        <w:bottom w:val="none" w:sz="0" w:space="0" w:color="auto"/>
        <w:right w:val="none" w:sz="0" w:space="0" w:color="auto"/>
      </w:divBdr>
      <w:divsChild>
        <w:div w:id="1458790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2478</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Smith (Swansea Bay UHB - Veteran Mental Health )</dc:creator>
  <cp:keywords/>
  <dc:description/>
  <cp:lastModifiedBy>Anna Smith (Swansea Bay UHB - Veteran Mental Health )</cp:lastModifiedBy>
  <cp:revision>2</cp:revision>
  <dcterms:created xsi:type="dcterms:W3CDTF">2026-05-01T02:48:00Z</dcterms:created>
  <dcterms:modified xsi:type="dcterms:W3CDTF">2026-05-01T02:48:00Z</dcterms:modified>
</cp:coreProperties>
</file>