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CEDF1" w14:textId="77777777" w:rsidR="00DB0446" w:rsidRDefault="008A6B3D" w:rsidP="008A6B3D">
      <w:pPr>
        <w:pStyle w:val="Title"/>
        <w:rPr>
          <w:rFonts w:eastAsia="Times New Roman"/>
        </w:rPr>
      </w:pPr>
      <w:r w:rsidRPr="008A6B3D">
        <w:rPr>
          <w:rFonts w:eastAsia="Times New Roman"/>
        </w:rPr>
        <w:t>Children, Young People and Families</w:t>
      </w:r>
    </w:p>
    <w:p w14:paraId="52F0EB56" w14:textId="77777777" w:rsidR="00227C18" w:rsidRDefault="00DB0446" w:rsidP="00DB0446">
      <w:pPr>
        <w:jc w:val="center"/>
        <w:rPr>
          <w:b/>
          <w:bCs/>
        </w:rPr>
      </w:pPr>
      <w:r w:rsidRPr="00DB0446">
        <w:rPr>
          <w:b/>
          <w:bCs/>
        </w:rPr>
        <w:t>Assessment Component 2 – Essay</w:t>
      </w:r>
    </w:p>
    <w:p w14:paraId="5BFBD624" w14:textId="6CEE90B5" w:rsidR="00227C18" w:rsidRPr="00227C18" w:rsidRDefault="00227C18" w:rsidP="00227C18">
      <w:pPr>
        <w:jc w:val="center"/>
        <w:rPr>
          <w:b/>
          <w:bCs/>
        </w:rPr>
      </w:pPr>
      <w:r w:rsidRPr="00227C18">
        <w:rPr>
          <w:b/>
          <w:bCs/>
        </w:rPr>
        <w:t xml:space="preserve">Name of the Lecturer: </w:t>
      </w:r>
      <w:r w:rsidR="00100867" w:rsidRPr="00100867">
        <w:rPr>
          <w:b/>
          <w:bCs/>
        </w:rPr>
        <w:t xml:space="preserve">Diya </w:t>
      </w:r>
      <w:proofErr w:type="spellStart"/>
      <w:r w:rsidR="00100867" w:rsidRPr="00100867">
        <w:rPr>
          <w:b/>
          <w:bCs/>
        </w:rPr>
        <w:t>Ganguly</w:t>
      </w:r>
      <w:proofErr w:type="spellEnd"/>
    </w:p>
    <w:p w14:paraId="6752FA38" w14:textId="77777777" w:rsidR="00227C18" w:rsidRPr="00227C18" w:rsidRDefault="00227C18" w:rsidP="00227C18">
      <w:pPr>
        <w:jc w:val="center"/>
        <w:rPr>
          <w:b/>
          <w:bCs/>
        </w:rPr>
      </w:pPr>
      <w:r w:rsidRPr="00227C18">
        <w:rPr>
          <w:b/>
          <w:bCs/>
        </w:rPr>
        <w:t xml:space="preserve">Name of student: Maria Dandu  </w:t>
      </w:r>
    </w:p>
    <w:p w14:paraId="171CE459" w14:textId="755619B2" w:rsidR="008A6B3D" w:rsidRPr="00DB0446" w:rsidRDefault="00227C18" w:rsidP="00227C18">
      <w:pPr>
        <w:jc w:val="center"/>
        <w:rPr>
          <w:b/>
          <w:bCs/>
        </w:rPr>
      </w:pPr>
      <w:r w:rsidRPr="00227C18">
        <w:rPr>
          <w:b/>
          <w:bCs/>
        </w:rPr>
        <w:t>Student ID: 1810151</w:t>
      </w:r>
      <w:r w:rsidR="008A6B3D" w:rsidRPr="00DB0446">
        <w:rPr>
          <w:b/>
          <w:bCs/>
        </w:rPr>
        <w:br w:type="page"/>
      </w:r>
    </w:p>
    <w:p w14:paraId="0902E2B6" w14:textId="337AFB75" w:rsidR="0080725B" w:rsidRDefault="0080725B" w:rsidP="0080725B">
      <w:pPr>
        <w:jc w:val="center"/>
        <w:rPr>
          <w:rFonts w:eastAsia="Times New Roman" w:cstheme="majorBidi"/>
          <w:b/>
          <w:color w:val="2F5496" w:themeColor="accent1" w:themeShade="BF"/>
          <w:sz w:val="30"/>
          <w:szCs w:val="32"/>
        </w:rPr>
      </w:pPr>
      <w:r>
        <w:rPr>
          <w:rFonts w:eastAsia="Times New Roman" w:cstheme="majorBidi"/>
          <w:b/>
          <w:color w:val="2F5496" w:themeColor="accent1" w:themeShade="BF"/>
          <w:sz w:val="30"/>
          <w:szCs w:val="32"/>
        </w:rPr>
        <w:lastRenderedPageBreak/>
        <w:t>F</w:t>
      </w:r>
      <w:r w:rsidRPr="0080725B">
        <w:rPr>
          <w:rFonts w:eastAsia="Times New Roman" w:cstheme="majorBidi"/>
          <w:b/>
          <w:color w:val="2F5496" w:themeColor="accent1" w:themeShade="BF"/>
          <w:sz w:val="30"/>
          <w:szCs w:val="32"/>
        </w:rPr>
        <w:t>actors that affect the social construction of the child and family Development</w:t>
      </w:r>
    </w:p>
    <w:p w14:paraId="3C3D84E6" w14:textId="1584216C" w:rsidR="7972DF8D" w:rsidRDefault="7972DF8D" w:rsidP="00571F4E">
      <w:r w:rsidRPr="7972DF8D">
        <w:t xml:space="preserve">Childhood development is one of the most important stages of human development which forms the foundation to every development process. Everyone who gets a good foundation during their childhood lays down a foundation for good overall development over their lives. However, anyone who face a problem or defect during their childhood development may incur problems which might affect the whole lifeline as well as the health and wellbeing of the individual (Kay and Samantha, 2012). This essay aims at exploring the various definitions of childhood, the historical context of childhood and family development, a discussion of the various factors that affect the social construction of the child and family </w:t>
      </w:r>
      <w:r w:rsidR="0080725B" w:rsidRPr="7972DF8D">
        <w:t>Development</w:t>
      </w:r>
      <w:r w:rsidRPr="7972DF8D">
        <w:t xml:space="preserve"> such as policies and legislations, an analysis of the interventions which are aimed towards supporting vulnerable children as families over the recent times.</w:t>
      </w:r>
    </w:p>
    <w:p w14:paraId="3C81EAE5" w14:textId="6FFA1579" w:rsidR="7972DF8D" w:rsidRDefault="7972DF8D" w:rsidP="7972DF8D">
      <w:pPr>
        <w:rPr>
          <w:rFonts w:eastAsia="Times New Roman" w:cs="Times New Roman"/>
          <w:szCs w:val="24"/>
        </w:rPr>
      </w:pPr>
      <w:r w:rsidRPr="7972DF8D">
        <w:rPr>
          <w:rFonts w:eastAsia="Times New Roman" w:cs="Times New Roman"/>
          <w:szCs w:val="24"/>
        </w:rPr>
        <w:t xml:space="preserve">A child has been defined in </w:t>
      </w:r>
      <w:r w:rsidR="00571F4E" w:rsidRPr="7972DF8D">
        <w:rPr>
          <w:rFonts w:eastAsia="Times New Roman" w:cs="Times New Roman"/>
          <w:szCs w:val="24"/>
        </w:rPr>
        <w:t>many ways</w:t>
      </w:r>
      <w:r w:rsidRPr="7972DF8D">
        <w:rPr>
          <w:rFonts w:eastAsia="Times New Roman" w:cs="Times New Roman"/>
          <w:szCs w:val="24"/>
        </w:rPr>
        <w:t xml:space="preserve"> basing on different backgrounds, varying understanding and understanding. The first definition describes as someone who is in a vulnerable stage of social, mental, physical and cognitive development, a child is also described as someone who is not fully grown. Other people define a child as someone who is still learning while others define it as a small being has not grown fully yet (</w:t>
      </w:r>
      <w:proofErr w:type="spellStart"/>
      <w:r w:rsidRPr="7972DF8D">
        <w:rPr>
          <w:rFonts w:eastAsia="Times New Roman" w:cs="Times New Roman"/>
          <w:szCs w:val="24"/>
        </w:rPr>
        <w:t>Rathus</w:t>
      </w:r>
      <w:proofErr w:type="spellEnd"/>
      <w:r w:rsidRPr="7972DF8D">
        <w:rPr>
          <w:rFonts w:eastAsia="Times New Roman" w:cs="Times New Roman"/>
          <w:szCs w:val="24"/>
        </w:rPr>
        <w:t xml:space="preserve">, 2013). On the other hand, a child has been defined as someone who is under the puberty age or below the legal maturity stage. Biologically, a child is defined as someone who is in between the stage of birth and puberty. Dictionaries define a child as an infant or a baby, someone who is immature or a boy or a girl who has not yet reached the stage of puberty (Your Dictionary, 2020). A child is legally defined by the UN as someone under the age of 18 also referred to as a minor. Childhood is among the major aspects of human life. From all the perspectives and definitions, the concepts of development, vulnerability, incompleteness the need for care as well as nurturing are evident (Oliver and Pitt, 2010). </w:t>
      </w:r>
    </w:p>
    <w:p w14:paraId="3387D94C" w14:textId="0D274866" w:rsidR="7972DF8D" w:rsidRDefault="7972DF8D" w:rsidP="7972DF8D">
      <w:pPr>
        <w:rPr>
          <w:rFonts w:eastAsia="Times New Roman" w:cs="Times New Roman"/>
          <w:szCs w:val="24"/>
        </w:rPr>
      </w:pPr>
      <w:r w:rsidRPr="7972DF8D">
        <w:rPr>
          <w:rFonts w:eastAsia="Times New Roman" w:cs="Times New Roman"/>
          <w:szCs w:val="24"/>
        </w:rPr>
        <w:t xml:space="preserve">There are many definitions and perspectives when it comes to the concept of a child this makes it </w:t>
      </w:r>
      <w:r w:rsidR="00571F4E" w:rsidRPr="7972DF8D">
        <w:rPr>
          <w:rFonts w:eastAsia="Times New Roman" w:cs="Times New Roman"/>
          <w:szCs w:val="24"/>
        </w:rPr>
        <w:t>exceedingly difficult</w:t>
      </w:r>
      <w:r w:rsidRPr="7972DF8D">
        <w:rPr>
          <w:rFonts w:eastAsia="Times New Roman" w:cs="Times New Roman"/>
          <w:szCs w:val="24"/>
        </w:rPr>
        <w:t xml:space="preserve"> to provide the mutual meaning to a child, this is made more complex by the addition of the concept of childhood. This makes the concept of childhood and the concept of child a social construction since it is socially understood in varying ways; everyone understands the concept of childhood basing on their social backgrounds. There is therefore no mutual definition or understanding of the concept of childhood since childhood is understood differently in different cultures and societies depending on the norms and the expectations of </w:t>
      </w:r>
      <w:r w:rsidRPr="7972DF8D">
        <w:rPr>
          <w:rFonts w:eastAsia="Times New Roman" w:cs="Times New Roman"/>
          <w:szCs w:val="24"/>
        </w:rPr>
        <w:lastRenderedPageBreak/>
        <w:t>the people in the society or the different environments. The social constructive nature of a child also comes from the understanding of a child basing on the varying experiences as well as circumstances in which the child is defined under (</w:t>
      </w:r>
      <w:proofErr w:type="spellStart"/>
      <w:r w:rsidRPr="7972DF8D">
        <w:rPr>
          <w:rFonts w:eastAsia="Times New Roman" w:cs="Times New Roman"/>
          <w:szCs w:val="24"/>
        </w:rPr>
        <w:t>Kjørholt</w:t>
      </w:r>
      <w:proofErr w:type="spellEnd"/>
      <w:r w:rsidRPr="7972DF8D">
        <w:rPr>
          <w:rFonts w:eastAsia="Times New Roman" w:cs="Times New Roman"/>
          <w:szCs w:val="24"/>
        </w:rPr>
        <w:t xml:space="preserve">, 2005). </w:t>
      </w:r>
    </w:p>
    <w:p w14:paraId="22DBD251" w14:textId="38DC30AC" w:rsidR="7972DF8D" w:rsidRDefault="7972DF8D" w:rsidP="7972DF8D">
      <w:pPr>
        <w:rPr>
          <w:rFonts w:eastAsia="Times New Roman" w:cs="Times New Roman"/>
          <w:szCs w:val="24"/>
        </w:rPr>
      </w:pPr>
      <w:r w:rsidRPr="7972DF8D">
        <w:rPr>
          <w:rFonts w:eastAsia="Times New Roman" w:cs="Times New Roman"/>
          <w:szCs w:val="24"/>
        </w:rPr>
        <w:t>Over time, the concept of a child and childhood has developed over a long time. It is provided that the concept of childhood came into existent in the mid of the 18</w:t>
      </w:r>
      <w:r w:rsidRPr="7972DF8D">
        <w:rPr>
          <w:rFonts w:eastAsia="Times New Roman" w:cs="Times New Roman"/>
          <w:szCs w:val="24"/>
          <w:vertAlign w:val="superscript"/>
        </w:rPr>
        <w:t>th</w:t>
      </w:r>
      <w:r w:rsidRPr="7972DF8D">
        <w:rPr>
          <w:rFonts w:eastAsia="Times New Roman" w:cs="Times New Roman"/>
          <w:szCs w:val="24"/>
        </w:rPr>
        <w:t xml:space="preserve"> century and did not exist before then. Children used to be provided with biological needs during infancy and left to live on their own as soon as they </w:t>
      </w:r>
      <w:r w:rsidR="00571F4E" w:rsidRPr="7972DF8D">
        <w:rPr>
          <w:rFonts w:eastAsia="Times New Roman" w:cs="Times New Roman"/>
          <w:szCs w:val="24"/>
        </w:rPr>
        <w:t>can</w:t>
      </w:r>
      <w:r w:rsidRPr="7972DF8D">
        <w:rPr>
          <w:rFonts w:eastAsia="Times New Roman" w:cs="Times New Roman"/>
          <w:szCs w:val="24"/>
        </w:rPr>
        <w:t xml:space="preserve"> look after themselves. However, the view of Aries is contrasting the above view and provides that the earlier societies had little understanding of the concept of childhood. This clearly shows that the concepts of child and childhood have a long history of development. The concept of childhood has been changing over a long time with an influence of so many factors. Aries provides that besides the concept of puberty being non-existent during earlier times, the concept of a child used to refer to anyone of any age. Aries argues that childhood was a period when one </w:t>
      </w:r>
      <w:r w:rsidR="00571F4E" w:rsidRPr="7972DF8D">
        <w:rPr>
          <w:rFonts w:eastAsia="Times New Roman" w:cs="Times New Roman"/>
          <w:szCs w:val="24"/>
        </w:rPr>
        <w:t>was</w:t>
      </w:r>
      <w:r w:rsidRPr="7972DF8D">
        <w:rPr>
          <w:rFonts w:eastAsia="Times New Roman" w:cs="Times New Roman"/>
          <w:szCs w:val="24"/>
        </w:rPr>
        <w:t xml:space="preserve"> innocent. De </w:t>
      </w:r>
      <w:proofErr w:type="spellStart"/>
      <w:r w:rsidRPr="7972DF8D">
        <w:rPr>
          <w:rFonts w:eastAsia="Times New Roman" w:cs="Times New Roman"/>
          <w:szCs w:val="24"/>
        </w:rPr>
        <w:t>Mause</w:t>
      </w:r>
      <w:proofErr w:type="spellEnd"/>
      <w:r w:rsidRPr="7972DF8D">
        <w:rPr>
          <w:rFonts w:eastAsia="Times New Roman" w:cs="Times New Roman"/>
          <w:szCs w:val="24"/>
        </w:rPr>
        <w:t xml:space="preserve"> on the other hand provides that childcare was worse during the past especially in early 18</w:t>
      </w:r>
      <w:r w:rsidRPr="7972DF8D">
        <w:rPr>
          <w:rFonts w:eastAsia="Times New Roman" w:cs="Times New Roman"/>
          <w:szCs w:val="24"/>
          <w:vertAlign w:val="superscript"/>
        </w:rPr>
        <w:t>th</w:t>
      </w:r>
      <w:r w:rsidRPr="7972DF8D">
        <w:rPr>
          <w:rFonts w:eastAsia="Times New Roman" w:cs="Times New Roman"/>
          <w:szCs w:val="24"/>
        </w:rPr>
        <w:t xml:space="preserve"> century where he describes his concept using the stages of infanticide, which is the first stage, this is then followed by abandonment as the second stage and the last stage of De </w:t>
      </w:r>
      <w:proofErr w:type="spellStart"/>
      <w:r w:rsidRPr="7972DF8D">
        <w:rPr>
          <w:rFonts w:eastAsia="Times New Roman" w:cs="Times New Roman"/>
          <w:szCs w:val="24"/>
        </w:rPr>
        <w:t>Mause</w:t>
      </w:r>
      <w:proofErr w:type="spellEnd"/>
      <w:r w:rsidRPr="7972DF8D">
        <w:rPr>
          <w:rFonts w:eastAsia="Times New Roman" w:cs="Times New Roman"/>
          <w:szCs w:val="24"/>
        </w:rPr>
        <w:t xml:space="preserve"> is the stage of ambivalence (Oliver and Pitt, 2010).</w:t>
      </w:r>
    </w:p>
    <w:p w14:paraId="44563812" w14:textId="785C23C7" w:rsidR="7972DF8D" w:rsidRDefault="7972DF8D" w:rsidP="7972DF8D">
      <w:pPr>
        <w:rPr>
          <w:rFonts w:eastAsia="Times New Roman" w:cs="Times New Roman"/>
          <w:szCs w:val="24"/>
        </w:rPr>
      </w:pPr>
      <w:r w:rsidRPr="7972DF8D">
        <w:rPr>
          <w:rFonts w:eastAsia="Times New Roman" w:cs="Times New Roman"/>
          <w:szCs w:val="24"/>
        </w:rPr>
        <w:t xml:space="preserve">The mortality rate among the children was very high, therefore, the parents were forced to be emotionally neutral due to the emotional problems and damages which is usually caused by the death of an infant or a child. Among the ancient Greeks and the Roman Times, the infant mortality rate was </w:t>
      </w:r>
      <w:r w:rsidR="00571F4E" w:rsidRPr="7972DF8D">
        <w:rPr>
          <w:rFonts w:eastAsia="Times New Roman" w:cs="Times New Roman"/>
          <w:szCs w:val="24"/>
        </w:rPr>
        <w:t>extremely high</w:t>
      </w:r>
      <w:r w:rsidRPr="7972DF8D">
        <w:rPr>
          <w:rFonts w:eastAsia="Times New Roman" w:cs="Times New Roman"/>
          <w:szCs w:val="24"/>
        </w:rPr>
        <w:t xml:space="preserve">. Besides that, the children were not named immediately. The physical perception of the children was also </w:t>
      </w:r>
      <w:r w:rsidR="00571F4E" w:rsidRPr="7972DF8D">
        <w:rPr>
          <w:rFonts w:eastAsia="Times New Roman" w:cs="Times New Roman"/>
          <w:szCs w:val="24"/>
        </w:rPr>
        <w:t>important</w:t>
      </w:r>
      <w:r w:rsidRPr="7972DF8D">
        <w:rPr>
          <w:rFonts w:eastAsia="Times New Roman" w:cs="Times New Roman"/>
          <w:szCs w:val="24"/>
        </w:rPr>
        <w:t xml:space="preserve"> in the Roman Times and the ancient Greeks and the physically challenged children were regarded to be unwanted and were exposed to die (James, 2009). The wealthy people and families employed nurses to take care of the children. Every child under the age of 7 years stayed home with the mother playing while being encouraged by the parents. Some of the children during the ancient Greek and Roman times also contributed to some household chores especially for girls. Most of the girls stayed at home until the age of 15 years where they got married. </w:t>
      </w:r>
    </w:p>
    <w:p w14:paraId="22F8D4FE" w14:textId="2F6438BF" w:rsidR="7972DF8D" w:rsidRDefault="7972DF8D" w:rsidP="7972DF8D">
      <w:pPr>
        <w:rPr>
          <w:rFonts w:eastAsia="Times New Roman" w:cs="Times New Roman"/>
          <w:szCs w:val="24"/>
        </w:rPr>
      </w:pPr>
      <w:r w:rsidRPr="7972DF8D">
        <w:rPr>
          <w:rFonts w:eastAsia="Times New Roman" w:cs="Times New Roman"/>
          <w:szCs w:val="24"/>
        </w:rPr>
        <w:t xml:space="preserve">As boys grew, they socialized with elder men and learnt various duties such as trade, farming and other duties while they got married between the age 20-30 years. Wealthier boys from wealthier families got education. According to Postman and Aries, the understanding of the child during the older times and the recent times were </w:t>
      </w:r>
      <w:r w:rsidR="00571F4E" w:rsidRPr="7972DF8D">
        <w:rPr>
          <w:rFonts w:eastAsia="Times New Roman" w:cs="Times New Roman"/>
          <w:szCs w:val="24"/>
        </w:rPr>
        <w:t>quite different</w:t>
      </w:r>
      <w:r w:rsidRPr="7972DF8D">
        <w:rPr>
          <w:rFonts w:eastAsia="Times New Roman" w:cs="Times New Roman"/>
          <w:szCs w:val="24"/>
        </w:rPr>
        <w:t xml:space="preserve"> (</w:t>
      </w:r>
      <w:proofErr w:type="spellStart"/>
      <w:r w:rsidRPr="7972DF8D">
        <w:rPr>
          <w:rFonts w:eastAsia="Times New Roman" w:cs="Times New Roman"/>
          <w:szCs w:val="24"/>
        </w:rPr>
        <w:t>Torill</w:t>
      </w:r>
      <w:proofErr w:type="spellEnd"/>
      <w:r w:rsidRPr="7972DF8D">
        <w:rPr>
          <w:rFonts w:eastAsia="Times New Roman" w:cs="Times New Roman"/>
          <w:szCs w:val="24"/>
        </w:rPr>
        <w:t xml:space="preserve">, 2014). The idea </w:t>
      </w:r>
      <w:r w:rsidRPr="7972DF8D">
        <w:rPr>
          <w:rFonts w:eastAsia="Times New Roman" w:cs="Times New Roman"/>
          <w:szCs w:val="24"/>
        </w:rPr>
        <w:lastRenderedPageBreak/>
        <w:t>of childhood never existed in the medieval society, the adults and the children worked together undertaking similar activities while wearing similar clothes. Children were breastfed and swaddled while the children aged 7 years old and above were sent to other households to learn new skills. Girls learnt domestic duties while boys learnt on how to handle weapons, some basic education and other skills. In 17</w:t>
      </w:r>
      <w:r w:rsidRPr="7972DF8D">
        <w:rPr>
          <w:rFonts w:eastAsia="Times New Roman" w:cs="Times New Roman"/>
          <w:szCs w:val="24"/>
          <w:vertAlign w:val="superscript"/>
        </w:rPr>
        <w:t>th</w:t>
      </w:r>
      <w:r w:rsidRPr="7972DF8D">
        <w:rPr>
          <w:rFonts w:eastAsia="Times New Roman" w:cs="Times New Roman"/>
          <w:szCs w:val="24"/>
        </w:rPr>
        <w:t xml:space="preserve"> century, children were majorly recognized to be born with various bad things which should be corrected for a child to develop well (Wright, 2015). </w:t>
      </w:r>
    </w:p>
    <w:p w14:paraId="30A6D0E9" w14:textId="546D04D2" w:rsidR="7972DF8D" w:rsidRDefault="7972DF8D" w:rsidP="7972DF8D">
      <w:pPr>
        <w:rPr>
          <w:rFonts w:eastAsia="Times New Roman" w:cs="Times New Roman"/>
          <w:szCs w:val="24"/>
        </w:rPr>
      </w:pPr>
      <w:r w:rsidRPr="7972DF8D">
        <w:rPr>
          <w:rFonts w:eastAsia="Times New Roman" w:cs="Times New Roman"/>
          <w:szCs w:val="24"/>
        </w:rPr>
        <w:t xml:space="preserve">During industrial revolution, factories employed children since they wanted workers, besides children being nimble and flexible, they provided </w:t>
      </w:r>
      <w:r w:rsidR="00571F4E" w:rsidRPr="7972DF8D">
        <w:rPr>
          <w:rFonts w:eastAsia="Times New Roman" w:cs="Times New Roman"/>
          <w:szCs w:val="24"/>
        </w:rPr>
        <w:t>unbelievably cheap</w:t>
      </w:r>
      <w:r w:rsidRPr="7972DF8D">
        <w:rPr>
          <w:rFonts w:eastAsia="Times New Roman" w:cs="Times New Roman"/>
          <w:szCs w:val="24"/>
        </w:rPr>
        <w:t xml:space="preserve"> labour. There were many working children than adults and would get severe punishments and little pay.  between 1830 and 1901, the Britain’s population grew so much. The society began to give more attention to the needs and the importance of children in the society. The development of classes led to protection of children from upper classes where else the children from lower classes got exploited. By the end of Victorian era, compulsory education was introduced, policies and legislations governing issues such as working hours and payment were introduced (Pound, 2014). </w:t>
      </w:r>
    </w:p>
    <w:p w14:paraId="13C84D79" w14:textId="47AEB92A" w:rsidR="7972DF8D" w:rsidRDefault="7972DF8D" w:rsidP="7972DF8D">
      <w:pPr>
        <w:rPr>
          <w:rFonts w:eastAsia="Times New Roman" w:cs="Times New Roman"/>
          <w:szCs w:val="24"/>
        </w:rPr>
      </w:pPr>
      <w:r w:rsidRPr="7972DF8D">
        <w:rPr>
          <w:rFonts w:eastAsia="Times New Roman" w:cs="Times New Roman"/>
          <w:szCs w:val="24"/>
        </w:rPr>
        <w:t>Major changes continued to be introduced into the population thereby changing the view of the children completely. Major changed occurred between 1970 and 1980 which changed the perspective of the child completely such as the launch of the international year of the child, the emergence of the concept of the safety of the child, innocent or protected childhood and other major changes. Policies which made compulsory for children to stay in school were introduced. Many researchers such as Piaget and others brough about major views on child development basing on their research which are still important up to today. The modern perception of the child recognizes the role of many interactions of varying factors from the environment such as the family members, the teachers, friends and other social constructs on the development of the child which is also underpinned in Bronfenbrenner's Bio-ecological theory of human development (</w:t>
      </w:r>
      <w:proofErr w:type="spellStart"/>
      <w:r w:rsidRPr="7972DF8D">
        <w:rPr>
          <w:rFonts w:eastAsia="Times New Roman" w:cs="Times New Roman"/>
          <w:szCs w:val="24"/>
        </w:rPr>
        <w:t>Dowall</w:t>
      </w:r>
      <w:proofErr w:type="spellEnd"/>
      <w:r w:rsidRPr="7972DF8D">
        <w:rPr>
          <w:rFonts w:eastAsia="Times New Roman" w:cs="Times New Roman"/>
          <w:szCs w:val="24"/>
        </w:rPr>
        <w:t xml:space="preserve">, 2013). </w:t>
      </w:r>
    </w:p>
    <w:p w14:paraId="578E7C61" w14:textId="26D3A5F5" w:rsidR="7972DF8D" w:rsidRDefault="7972DF8D" w:rsidP="7972DF8D">
      <w:pPr>
        <w:rPr>
          <w:rFonts w:eastAsia="Times New Roman" w:cs="Times New Roman"/>
          <w:szCs w:val="24"/>
        </w:rPr>
      </w:pPr>
      <w:r w:rsidRPr="7972DF8D">
        <w:rPr>
          <w:rFonts w:eastAsia="Times New Roman" w:cs="Times New Roman"/>
          <w:szCs w:val="24"/>
        </w:rPr>
        <w:t xml:space="preserve">These factors and new development have major impacts on child development. The modern recognition on the role of social constructs on the growth and development of the child has brough about a better framework towards supporting the children to live to their maximum potential since supporting a child in the modern world takes every aspect of the mental, social, physical, cognitive and emotional aspect into account thereby promoting their health and </w:t>
      </w:r>
      <w:r w:rsidRPr="7972DF8D">
        <w:rPr>
          <w:rFonts w:eastAsia="Times New Roman" w:cs="Times New Roman"/>
          <w:szCs w:val="24"/>
        </w:rPr>
        <w:lastRenderedPageBreak/>
        <w:t>wellbeing and promoting their general quality of life. These factors have generally improved the quality of life of children which spans through the whole of their lives (Cunningham, 2006).</w:t>
      </w:r>
    </w:p>
    <w:p w14:paraId="287DA2F6" w14:textId="09E6782D" w:rsidR="7972DF8D" w:rsidRDefault="7972DF8D" w:rsidP="7972DF8D">
      <w:pPr>
        <w:rPr>
          <w:rFonts w:eastAsia="Times New Roman" w:cs="Times New Roman"/>
          <w:szCs w:val="24"/>
        </w:rPr>
      </w:pPr>
      <w:r w:rsidRPr="7972DF8D">
        <w:rPr>
          <w:rFonts w:eastAsia="Times New Roman" w:cs="Times New Roman"/>
          <w:szCs w:val="24"/>
        </w:rPr>
        <w:t>There are various interventions and approaches which support the vulnerable children as well as families and the young people, one of them is through legislations. There are various legislations which have been introduced to support the vulnerable persons and families in our nation, these include the Safeguarding Vulnerable groups Act of 2006 which provides a framework for the employers to assess if their employees or the volunteers are suitable to work with the vulnerable adults and children (</w:t>
      </w:r>
      <w:proofErr w:type="spellStart"/>
      <w:r w:rsidRPr="7972DF8D">
        <w:rPr>
          <w:rFonts w:eastAsia="Times New Roman" w:cs="Times New Roman"/>
          <w:szCs w:val="24"/>
        </w:rPr>
        <w:t>LawWales</w:t>
      </w:r>
      <w:proofErr w:type="spellEnd"/>
      <w:r w:rsidRPr="7972DF8D">
        <w:rPr>
          <w:rFonts w:eastAsia="Times New Roman" w:cs="Times New Roman"/>
          <w:szCs w:val="24"/>
        </w:rPr>
        <w:t xml:space="preserve">, 2016). The children act of 1989 which covers on cases concerning children and prevent delays, the Children and Social Work Act 2017, Keeping Children safe in education of 2019, the mental capacity acts, Equality act of 2010 which protects the vulnerable children and adults from any form of discrimination in the society and in the places of work, the vulnerable groups are listed under the protected characteristics of this act which includes age, sex, gender, disability, race, religion and others. The Human Rights Act 1998 on the other hand sets out the rights of every person including the vulnerable individuals which must be respected, the care act of 2014 which provides on guidelines for protection of vulnerable groups in the provision of care services and other legislations (Eve, 2019). </w:t>
      </w:r>
    </w:p>
    <w:p w14:paraId="07825B06" w14:textId="4128B886" w:rsidR="7972DF8D" w:rsidRDefault="7972DF8D" w:rsidP="7972DF8D">
      <w:pPr>
        <w:rPr>
          <w:rFonts w:eastAsia="Times New Roman" w:cs="Times New Roman"/>
          <w:szCs w:val="24"/>
        </w:rPr>
      </w:pPr>
      <w:r w:rsidRPr="7972DF8D">
        <w:rPr>
          <w:rFonts w:eastAsia="Times New Roman" w:cs="Times New Roman"/>
          <w:szCs w:val="24"/>
        </w:rPr>
        <w:t xml:space="preserve">Various institutions have been developed to ensure that vulnerable children, young people, families and adults are protected and does not suffer from any form of inequality. One of these institutions includes the Charity Commission which works on ensuring that all the charity trustees in UK comply with moral and legal responsibilities accorded to them to safeguard the vulnerable groups towards protecting the integrity of the charity groups in UK (Gov.UK, 2019). NHS on the other hand have major responsibilities to ensure that the vulnerable groups such as children, young people and adults are treated equally. Every health and social care practitioner in UK are trained on how to safeguard and promote equality among the vulnerable groups. The multidisciplinary and the multi-agency working has been majorly adopted in UK to improve in the process of protecting the vulnerable children, young people and families in UK which has been enhanced by the person-centred approach to care in the healthcare sector (Ellie, 2019). </w:t>
      </w:r>
    </w:p>
    <w:p w14:paraId="299724AB" w14:textId="790FB7EA" w:rsidR="7972DF8D" w:rsidRDefault="7972DF8D" w:rsidP="7972DF8D">
      <w:pPr>
        <w:rPr>
          <w:rFonts w:eastAsia="Times New Roman" w:cs="Times New Roman"/>
          <w:szCs w:val="24"/>
        </w:rPr>
      </w:pPr>
      <w:r w:rsidRPr="7972DF8D">
        <w:rPr>
          <w:rFonts w:eastAsia="Times New Roman" w:cs="Times New Roman"/>
          <w:szCs w:val="24"/>
        </w:rPr>
        <w:t xml:space="preserve">The interventions and strategies which have been put in place to support the vulnerable children, adults, young people and families have so effective which has witnessed a drop in the rates of general inequalities in UK over the recent years. However, the rates of financial inequalities have risen over the recent years which requires action to deal with this issue. The </w:t>
      </w:r>
      <w:r w:rsidRPr="7972DF8D">
        <w:rPr>
          <w:rFonts w:eastAsia="Times New Roman" w:cs="Times New Roman"/>
          <w:szCs w:val="24"/>
        </w:rPr>
        <w:lastRenderedPageBreak/>
        <w:t xml:space="preserve">interventions and strategies have brought about many benefits to the vulnerable children, young people and the families which includes better access to education, improved financial status, improved health and wellbeing of the individuals and improved general quality of life of the vulnerable individuals (Robert,). </w:t>
      </w:r>
    </w:p>
    <w:p w14:paraId="756B0E27" w14:textId="755ECA3F" w:rsidR="7972DF8D" w:rsidRDefault="7972DF8D" w:rsidP="7972DF8D">
      <w:pPr>
        <w:rPr>
          <w:rFonts w:eastAsia="Times New Roman" w:cs="Times New Roman"/>
          <w:szCs w:val="24"/>
        </w:rPr>
      </w:pPr>
      <w:r w:rsidRPr="7972DF8D">
        <w:rPr>
          <w:rFonts w:eastAsia="Times New Roman" w:cs="Times New Roman"/>
          <w:szCs w:val="24"/>
        </w:rPr>
        <w:t>Many things have been done to ensure better development of children in UK and in promoting the quality of lives of other vulnerable groups from young people to adults which has born fruits, but there is still a long way to go towards curbing the problem of inequality. Some of the recommendations towards the goal of eradicating inequalities in UK include improving on the preventive measures instead of just coming up with ways of dealing with the problem can eb a great way to achieving this goal. Besides that, joint working should be improved towards achieving this goal while putting in place a framework to monitor and measure on performance.</w:t>
      </w:r>
    </w:p>
    <w:p w14:paraId="47A0316C" w14:textId="30FD0C16" w:rsidR="7972DF8D" w:rsidRDefault="7972DF8D" w:rsidP="7972DF8D">
      <w:pPr>
        <w:rPr>
          <w:rFonts w:eastAsia="Times New Roman" w:cs="Times New Roman"/>
          <w:szCs w:val="24"/>
        </w:rPr>
      </w:pPr>
    </w:p>
    <w:p w14:paraId="1F4AA72D" w14:textId="70E1ADBC" w:rsidR="7972DF8D" w:rsidRDefault="7972DF8D" w:rsidP="00571F4E">
      <w:pPr>
        <w:pStyle w:val="Heading1"/>
        <w:rPr>
          <w:rFonts w:eastAsia="Times New Roman"/>
        </w:rPr>
      </w:pPr>
      <w:r w:rsidRPr="7972DF8D">
        <w:rPr>
          <w:rFonts w:eastAsia="Times New Roman"/>
        </w:rPr>
        <w:t>References</w:t>
      </w:r>
    </w:p>
    <w:p w14:paraId="5F843AF9" w14:textId="1C53A580"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Cunningham, H. (2006) </w:t>
      </w:r>
      <w:r w:rsidRPr="7972DF8D">
        <w:rPr>
          <w:rFonts w:eastAsia="Times New Roman" w:cs="Times New Roman"/>
          <w:i/>
          <w:iCs/>
          <w:szCs w:val="24"/>
        </w:rPr>
        <w:t>The Invention of Childhood</w:t>
      </w:r>
      <w:r w:rsidRPr="7972DF8D">
        <w:rPr>
          <w:rFonts w:eastAsia="Times New Roman" w:cs="Times New Roman"/>
          <w:szCs w:val="24"/>
        </w:rPr>
        <w:t>, London: BBC Books</w:t>
      </w:r>
    </w:p>
    <w:p w14:paraId="5C2FE7BD" w14:textId="55915304"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E. Kay M. </w:t>
      </w:r>
      <w:proofErr w:type="spellStart"/>
      <w:r w:rsidRPr="7972DF8D">
        <w:rPr>
          <w:rFonts w:eastAsia="Times New Roman" w:cs="Times New Roman"/>
          <w:szCs w:val="24"/>
        </w:rPr>
        <w:t>Tisdall</w:t>
      </w:r>
      <w:proofErr w:type="spellEnd"/>
      <w:r w:rsidRPr="7972DF8D">
        <w:rPr>
          <w:rFonts w:eastAsia="Times New Roman" w:cs="Times New Roman"/>
          <w:szCs w:val="24"/>
        </w:rPr>
        <w:t xml:space="preserve"> &amp; Samantha Punch (2012) Not so ‘new’? Looking critically at childhood studies, Children's Geographies, 10:3, 249-264</w:t>
      </w:r>
    </w:p>
    <w:p w14:paraId="1CA0A759" w14:textId="5326B7F5"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Ellie Johnson (2019) A guide to safeguarding vulnerable groups [Online] Available at: &lt; </w:t>
      </w:r>
      <w:hyperlink r:id="rId5">
        <w:r w:rsidRPr="7972DF8D">
          <w:rPr>
            <w:rStyle w:val="Hyperlink"/>
            <w:rFonts w:eastAsia="Times New Roman" w:cs="Times New Roman"/>
            <w:color w:val="auto"/>
            <w:szCs w:val="24"/>
          </w:rPr>
          <w:t>https://www.ihasco.co.uk/blog/entry/2250/what-is-safeguarding</w:t>
        </w:r>
      </w:hyperlink>
      <w:r w:rsidRPr="7972DF8D">
        <w:rPr>
          <w:rFonts w:eastAsia="Times New Roman" w:cs="Times New Roman"/>
          <w:szCs w:val="24"/>
        </w:rPr>
        <w:t>&gt; [Accessed 5</w:t>
      </w:r>
      <w:r w:rsidRPr="7972DF8D">
        <w:rPr>
          <w:rFonts w:eastAsia="Times New Roman" w:cs="Times New Roman"/>
          <w:szCs w:val="24"/>
          <w:vertAlign w:val="superscript"/>
        </w:rPr>
        <w:t>th</w:t>
      </w:r>
      <w:r w:rsidRPr="7972DF8D">
        <w:rPr>
          <w:rFonts w:eastAsia="Times New Roman" w:cs="Times New Roman"/>
          <w:szCs w:val="24"/>
        </w:rPr>
        <w:t xml:space="preserve"> December 2020]</w:t>
      </w:r>
    </w:p>
    <w:p w14:paraId="5B3DF212" w14:textId="23B36188"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Eve Johnson (2019) Legislation and policies that surround safeguarding children [Online] Available at: &lt; </w:t>
      </w:r>
      <w:hyperlink r:id="rId6">
        <w:r w:rsidRPr="7972DF8D">
          <w:rPr>
            <w:rStyle w:val="Hyperlink"/>
            <w:rFonts w:eastAsia="Times New Roman" w:cs="Times New Roman"/>
            <w:color w:val="auto"/>
            <w:szCs w:val="24"/>
          </w:rPr>
          <w:t>https://cpdonline.co.uk/knowledge-base/safeguarding/legislation-safeguarding-children/</w:t>
        </w:r>
      </w:hyperlink>
      <w:r w:rsidRPr="7972DF8D">
        <w:rPr>
          <w:rFonts w:eastAsia="Times New Roman" w:cs="Times New Roman"/>
          <w:szCs w:val="24"/>
        </w:rPr>
        <w:t>&gt; [Accessed 3</w:t>
      </w:r>
      <w:r w:rsidRPr="7972DF8D">
        <w:rPr>
          <w:rFonts w:eastAsia="Times New Roman" w:cs="Times New Roman"/>
          <w:szCs w:val="24"/>
          <w:vertAlign w:val="superscript"/>
        </w:rPr>
        <w:t>rd</w:t>
      </w:r>
      <w:r w:rsidRPr="7972DF8D">
        <w:rPr>
          <w:rFonts w:eastAsia="Times New Roman" w:cs="Times New Roman"/>
          <w:szCs w:val="24"/>
        </w:rPr>
        <w:t xml:space="preserve"> December 2020]</w:t>
      </w:r>
    </w:p>
    <w:p w14:paraId="69C4E194" w14:textId="2F7636FA"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Gov.UK (2019) Strategy for dealing with safeguarding vulnerable groups including children issues in charities [Online] Available at: &lt; </w:t>
      </w:r>
      <w:hyperlink r:id="rId7">
        <w:r w:rsidRPr="7972DF8D">
          <w:rPr>
            <w:rStyle w:val="Hyperlink"/>
            <w:rFonts w:eastAsia="Times New Roman" w:cs="Times New Roman"/>
            <w:color w:val="auto"/>
            <w:szCs w:val="24"/>
          </w:rPr>
          <w:t>https://assets.publishing.service.gov.uk/government/uploads/system/uploads/attachment_data/file/406885/Safeguarding_strategy.pdf</w:t>
        </w:r>
      </w:hyperlink>
      <w:r w:rsidRPr="7972DF8D">
        <w:rPr>
          <w:rFonts w:eastAsia="Times New Roman" w:cs="Times New Roman"/>
          <w:szCs w:val="24"/>
        </w:rPr>
        <w:t>&gt; [Accessed 5</w:t>
      </w:r>
      <w:r w:rsidRPr="7972DF8D">
        <w:rPr>
          <w:rFonts w:eastAsia="Times New Roman" w:cs="Times New Roman"/>
          <w:szCs w:val="24"/>
          <w:vertAlign w:val="superscript"/>
        </w:rPr>
        <w:t>th</w:t>
      </w:r>
      <w:r w:rsidRPr="7972DF8D">
        <w:rPr>
          <w:rFonts w:eastAsia="Times New Roman" w:cs="Times New Roman"/>
          <w:szCs w:val="24"/>
        </w:rPr>
        <w:t xml:space="preserve"> December 2020]</w:t>
      </w:r>
    </w:p>
    <w:p w14:paraId="513619E7" w14:textId="53276235"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James, A. (2009). Agency. In J. </w:t>
      </w:r>
      <w:proofErr w:type="spellStart"/>
      <w:r w:rsidRPr="7972DF8D">
        <w:rPr>
          <w:rFonts w:eastAsia="Times New Roman" w:cs="Times New Roman"/>
          <w:szCs w:val="24"/>
        </w:rPr>
        <w:t>Qvortrup</w:t>
      </w:r>
      <w:proofErr w:type="spellEnd"/>
      <w:r w:rsidRPr="7972DF8D">
        <w:rPr>
          <w:rFonts w:eastAsia="Times New Roman" w:cs="Times New Roman"/>
          <w:szCs w:val="24"/>
        </w:rPr>
        <w:t xml:space="preserve">, W. A. Corsaro &amp; M. S. Honig (Eds.), The </w:t>
      </w:r>
      <w:proofErr w:type="spellStart"/>
      <w:r w:rsidRPr="7972DF8D">
        <w:rPr>
          <w:rFonts w:eastAsia="Times New Roman" w:cs="Times New Roman"/>
          <w:szCs w:val="24"/>
        </w:rPr>
        <w:t>palgrave</w:t>
      </w:r>
      <w:proofErr w:type="spellEnd"/>
      <w:r w:rsidRPr="7972DF8D">
        <w:rPr>
          <w:rFonts w:eastAsia="Times New Roman" w:cs="Times New Roman"/>
          <w:szCs w:val="24"/>
        </w:rPr>
        <w:t xml:space="preserve"> handbook of childhood studies (pp. 34-45). London: Palgrave.</w:t>
      </w:r>
    </w:p>
    <w:p w14:paraId="43810A73" w14:textId="61F92E7E"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James, A. (2009). Agency. In J. </w:t>
      </w:r>
      <w:proofErr w:type="spellStart"/>
      <w:r w:rsidRPr="7972DF8D">
        <w:rPr>
          <w:rFonts w:eastAsia="Times New Roman" w:cs="Times New Roman"/>
          <w:szCs w:val="24"/>
        </w:rPr>
        <w:t>Qvortrup</w:t>
      </w:r>
      <w:proofErr w:type="spellEnd"/>
      <w:r w:rsidRPr="7972DF8D">
        <w:rPr>
          <w:rFonts w:eastAsia="Times New Roman" w:cs="Times New Roman"/>
          <w:szCs w:val="24"/>
        </w:rPr>
        <w:t xml:space="preserve">, W. A. Corsaro &amp; M. S. Honig (Eds.), The </w:t>
      </w:r>
      <w:proofErr w:type="spellStart"/>
      <w:r w:rsidRPr="7972DF8D">
        <w:rPr>
          <w:rFonts w:eastAsia="Times New Roman" w:cs="Times New Roman"/>
          <w:szCs w:val="24"/>
        </w:rPr>
        <w:t>palgrave</w:t>
      </w:r>
      <w:proofErr w:type="spellEnd"/>
      <w:r w:rsidRPr="7972DF8D">
        <w:rPr>
          <w:rFonts w:eastAsia="Times New Roman" w:cs="Times New Roman"/>
          <w:szCs w:val="24"/>
        </w:rPr>
        <w:t xml:space="preserve"> handbook of childhood studies (pp. 34-45). London. Palgrave.</w:t>
      </w:r>
    </w:p>
    <w:p w14:paraId="498E4C71" w14:textId="721E3A09" w:rsidR="7972DF8D" w:rsidRDefault="7972DF8D" w:rsidP="7972DF8D">
      <w:pPr>
        <w:pStyle w:val="ListParagraph"/>
        <w:numPr>
          <w:ilvl w:val="0"/>
          <w:numId w:val="1"/>
        </w:numPr>
        <w:rPr>
          <w:rFonts w:eastAsia="Times New Roman" w:cs="Times New Roman"/>
          <w:color w:val="000000" w:themeColor="text1"/>
          <w:szCs w:val="24"/>
        </w:rPr>
      </w:pPr>
      <w:proofErr w:type="spellStart"/>
      <w:r w:rsidRPr="7972DF8D">
        <w:rPr>
          <w:rFonts w:eastAsia="Times New Roman" w:cs="Times New Roman"/>
          <w:szCs w:val="24"/>
        </w:rPr>
        <w:t>Kjørholt</w:t>
      </w:r>
      <w:proofErr w:type="spellEnd"/>
      <w:r w:rsidRPr="7972DF8D">
        <w:rPr>
          <w:rFonts w:eastAsia="Times New Roman" w:cs="Times New Roman"/>
          <w:szCs w:val="24"/>
        </w:rPr>
        <w:t>, A.T. (2005) The competent child and the right to be oneself; reflection on children as fellow citizens in an early childhood centre. Bristol. The Policy Press</w:t>
      </w:r>
    </w:p>
    <w:p w14:paraId="58401D7B" w14:textId="29446F41" w:rsidR="7972DF8D" w:rsidRDefault="7972DF8D" w:rsidP="7972DF8D">
      <w:pPr>
        <w:pStyle w:val="ListParagraph"/>
        <w:numPr>
          <w:ilvl w:val="0"/>
          <w:numId w:val="1"/>
        </w:numPr>
        <w:rPr>
          <w:rFonts w:eastAsia="Times New Roman" w:cs="Times New Roman"/>
          <w:color w:val="000000" w:themeColor="text1"/>
          <w:szCs w:val="24"/>
        </w:rPr>
      </w:pPr>
      <w:proofErr w:type="spellStart"/>
      <w:r w:rsidRPr="7972DF8D">
        <w:rPr>
          <w:rFonts w:eastAsia="Times New Roman" w:cs="Times New Roman"/>
          <w:szCs w:val="24"/>
        </w:rPr>
        <w:lastRenderedPageBreak/>
        <w:t>LawWales</w:t>
      </w:r>
      <w:proofErr w:type="spellEnd"/>
      <w:r w:rsidRPr="7972DF8D">
        <w:rPr>
          <w:rFonts w:eastAsia="Times New Roman" w:cs="Times New Roman"/>
          <w:szCs w:val="24"/>
        </w:rPr>
        <w:t xml:space="preserve"> (2016) Safeguarding vulnerable groups act 2006 [Online] Available at: &lt; </w:t>
      </w:r>
      <w:hyperlink r:id="rId8" w:anchor="/publicservices/social-care/safeguarding-vulnerable-groups-act-2006/?tab=overview&amp;lang=en">
        <w:r w:rsidRPr="7972DF8D">
          <w:rPr>
            <w:rStyle w:val="Hyperlink"/>
            <w:rFonts w:eastAsia="Times New Roman" w:cs="Times New Roman"/>
            <w:color w:val="auto"/>
            <w:szCs w:val="24"/>
          </w:rPr>
          <w:t>https://law.gov.wales/publicservices/social-care/safeguarding-vulnerable-groups-act-2006/?lang=en#/publicservices/social-care/safeguarding-vulnerable-groups-act-2006/?tab=overview&amp;lang=en</w:t>
        </w:r>
      </w:hyperlink>
      <w:r w:rsidRPr="7972DF8D">
        <w:rPr>
          <w:rFonts w:eastAsia="Times New Roman" w:cs="Times New Roman"/>
          <w:szCs w:val="24"/>
        </w:rPr>
        <w:t>&gt; [Accessed 4</w:t>
      </w:r>
      <w:r w:rsidRPr="7972DF8D">
        <w:rPr>
          <w:rFonts w:eastAsia="Times New Roman" w:cs="Times New Roman"/>
          <w:szCs w:val="24"/>
          <w:vertAlign w:val="superscript"/>
        </w:rPr>
        <w:t>th</w:t>
      </w:r>
      <w:r w:rsidRPr="7972DF8D">
        <w:rPr>
          <w:rFonts w:eastAsia="Times New Roman" w:cs="Times New Roman"/>
          <w:szCs w:val="24"/>
        </w:rPr>
        <w:t xml:space="preserve"> December 2020]</w:t>
      </w:r>
    </w:p>
    <w:p w14:paraId="1EA1F34C" w14:textId="2ECB551A"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Mc </w:t>
      </w:r>
      <w:proofErr w:type="spellStart"/>
      <w:r w:rsidRPr="7972DF8D">
        <w:rPr>
          <w:rFonts w:eastAsia="Times New Roman" w:cs="Times New Roman"/>
          <w:szCs w:val="24"/>
        </w:rPr>
        <w:t>Dowall</w:t>
      </w:r>
      <w:proofErr w:type="spellEnd"/>
      <w:r w:rsidRPr="7972DF8D">
        <w:rPr>
          <w:rFonts w:eastAsia="Times New Roman" w:cs="Times New Roman"/>
          <w:szCs w:val="24"/>
        </w:rPr>
        <w:t xml:space="preserve"> Clark, R (2013) </w:t>
      </w:r>
      <w:r w:rsidRPr="7972DF8D">
        <w:rPr>
          <w:rFonts w:eastAsia="Times New Roman" w:cs="Times New Roman"/>
          <w:i/>
          <w:iCs/>
          <w:szCs w:val="24"/>
        </w:rPr>
        <w:t>Children in Society for the Early Years.</w:t>
      </w:r>
      <w:r w:rsidRPr="7972DF8D">
        <w:rPr>
          <w:rFonts w:eastAsia="Times New Roman" w:cs="Times New Roman"/>
          <w:szCs w:val="24"/>
        </w:rPr>
        <w:t xml:space="preserve"> 2</w:t>
      </w:r>
      <w:r w:rsidRPr="7972DF8D">
        <w:rPr>
          <w:rFonts w:eastAsia="Times New Roman" w:cs="Times New Roman"/>
          <w:szCs w:val="24"/>
          <w:vertAlign w:val="superscript"/>
        </w:rPr>
        <w:t>nd</w:t>
      </w:r>
      <w:r w:rsidRPr="7972DF8D">
        <w:rPr>
          <w:rFonts w:eastAsia="Times New Roman" w:cs="Times New Roman"/>
          <w:szCs w:val="24"/>
        </w:rPr>
        <w:t xml:space="preserve"> Edition. London. Sage</w:t>
      </w:r>
    </w:p>
    <w:p w14:paraId="0838DBF1" w14:textId="6479170F"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Oliver, B. and Pitt, B. (2010) </w:t>
      </w:r>
      <w:r w:rsidRPr="7972DF8D">
        <w:rPr>
          <w:rFonts w:eastAsia="Times New Roman" w:cs="Times New Roman"/>
          <w:i/>
          <w:iCs/>
          <w:szCs w:val="24"/>
        </w:rPr>
        <w:t xml:space="preserve">Working with Children, Young People and Families, </w:t>
      </w:r>
      <w:r w:rsidRPr="7972DF8D">
        <w:rPr>
          <w:rFonts w:eastAsia="Times New Roman" w:cs="Times New Roman"/>
          <w:szCs w:val="24"/>
        </w:rPr>
        <w:t>Exeter; Learning Matters</w:t>
      </w:r>
    </w:p>
    <w:p w14:paraId="2D9A1690" w14:textId="02A40107"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Pound, L. (2014</w:t>
      </w:r>
      <w:r w:rsidR="00D10619" w:rsidRPr="7972DF8D">
        <w:rPr>
          <w:rFonts w:eastAsia="Times New Roman" w:cs="Times New Roman"/>
          <w:szCs w:val="24"/>
        </w:rPr>
        <w:t>) The</w:t>
      </w:r>
      <w:r w:rsidRPr="7972DF8D">
        <w:rPr>
          <w:rFonts w:eastAsia="Times New Roman" w:cs="Times New Roman"/>
          <w:szCs w:val="24"/>
        </w:rPr>
        <w:t xml:space="preserve"> Historical Background of Early Childhood Care and Education: Influencing Factors. In Mukherji, P. and Dryden, L. (Eds) </w:t>
      </w:r>
      <w:r w:rsidRPr="7972DF8D">
        <w:rPr>
          <w:rFonts w:eastAsia="Times New Roman" w:cs="Times New Roman"/>
          <w:i/>
          <w:iCs/>
          <w:szCs w:val="24"/>
        </w:rPr>
        <w:t xml:space="preserve">Foundations of Early Childhood: Principles and Practice. </w:t>
      </w:r>
      <w:r w:rsidRPr="7972DF8D">
        <w:rPr>
          <w:rFonts w:eastAsia="Times New Roman" w:cs="Times New Roman"/>
          <w:szCs w:val="24"/>
        </w:rPr>
        <w:t>London: Sage</w:t>
      </w:r>
    </w:p>
    <w:p w14:paraId="7E8E901B" w14:textId="2F559851" w:rsidR="7972DF8D" w:rsidRDefault="7972DF8D" w:rsidP="7972DF8D">
      <w:pPr>
        <w:pStyle w:val="ListParagraph"/>
        <w:numPr>
          <w:ilvl w:val="0"/>
          <w:numId w:val="1"/>
        </w:numPr>
        <w:rPr>
          <w:rFonts w:eastAsia="Times New Roman" w:cs="Times New Roman"/>
          <w:color w:val="000000" w:themeColor="text1"/>
          <w:szCs w:val="24"/>
        </w:rPr>
      </w:pPr>
      <w:proofErr w:type="spellStart"/>
      <w:r w:rsidRPr="7972DF8D">
        <w:rPr>
          <w:rFonts w:eastAsia="Times New Roman" w:cs="Times New Roman"/>
          <w:szCs w:val="24"/>
        </w:rPr>
        <w:t>Rathus</w:t>
      </w:r>
      <w:proofErr w:type="spellEnd"/>
      <w:r w:rsidRPr="7972DF8D">
        <w:rPr>
          <w:rFonts w:eastAsia="Times New Roman" w:cs="Times New Roman"/>
          <w:szCs w:val="24"/>
        </w:rPr>
        <w:t xml:space="preserve"> SA (2013). </w:t>
      </w:r>
      <w:r w:rsidRPr="7972DF8D">
        <w:rPr>
          <w:rFonts w:eastAsia="Times New Roman" w:cs="Times New Roman"/>
          <w:i/>
          <w:iCs/>
          <w:szCs w:val="24"/>
        </w:rPr>
        <w:t>Childhood and Adolescence: Voyages in Development</w:t>
      </w:r>
      <w:r w:rsidRPr="7972DF8D">
        <w:rPr>
          <w:rFonts w:eastAsia="Times New Roman" w:cs="Times New Roman"/>
          <w:szCs w:val="24"/>
        </w:rPr>
        <w:t xml:space="preserve">. Cengage Learning. p. 48. </w:t>
      </w:r>
      <w:hyperlink r:id="rId9">
        <w:r w:rsidRPr="7972DF8D">
          <w:rPr>
            <w:rStyle w:val="Hyperlink"/>
            <w:rFonts w:eastAsia="Times New Roman" w:cs="Times New Roman"/>
            <w:color w:val="auto"/>
            <w:szCs w:val="24"/>
          </w:rPr>
          <w:t>ISBN</w:t>
        </w:r>
      </w:hyperlink>
      <w:r w:rsidRPr="7972DF8D">
        <w:rPr>
          <w:rFonts w:eastAsia="Times New Roman" w:cs="Times New Roman"/>
          <w:szCs w:val="24"/>
        </w:rPr>
        <w:t xml:space="preserve"> </w:t>
      </w:r>
      <w:hyperlink r:id="rId10">
        <w:r w:rsidRPr="7972DF8D">
          <w:rPr>
            <w:rStyle w:val="Hyperlink"/>
            <w:rFonts w:eastAsia="Times New Roman" w:cs="Times New Roman"/>
            <w:color w:val="auto"/>
            <w:szCs w:val="24"/>
          </w:rPr>
          <w:t>978-1285677590</w:t>
        </w:r>
      </w:hyperlink>
      <w:r w:rsidRPr="7972DF8D">
        <w:rPr>
          <w:rFonts w:eastAsia="Times New Roman" w:cs="Times New Roman"/>
          <w:szCs w:val="24"/>
        </w:rPr>
        <w:t>.</w:t>
      </w:r>
    </w:p>
    <w:p w14:paraId="53312686" w14:textId="27E27FBA"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Robert Joyce (2020) Living standards, poverty and inequality in the UK: 2020 [Online] Available at: &lt; </w:t>
      </w:r>
      <w:hyperlink r:id="rId11">
        <w:r w:rsidRPr="7972DF8D">
          <w:rPr>
            <w:rStyle w:val="Hyperlink"/>
            <w:rFonts w:eastAsia="Times New Roman" w:cs="Times New Roman"/>
            <w:color w:val="auto"/>
            <w:szCs w:val="24"/>
          </w:rPr>
          <w:t>https://www.ifs.org.uk/publications/14901</w:t>
        </w:r>
      </w:hyperlink>
      <w:r w:rsidRPr="7972DF8D">
        <w:rPr>
          <w:rFonts w:eastAsia="Times New Roman" w:cs="Times New Roman"/>
          <w:szCs w:val="24"/>
        </w:rPr>
        <w:t>&gt; [Accessed 6</w:t>
      </w:r>
      <w:r w:rsidRPr="7972DF8D">
        <w:rPr>
          <w:rFonts w:eastAsia="Times New Roman" w:cs="Times New Roman"/>
          <w:szCs w:val="24"/>
          <w:vertAlign w:val="superscript"/>
        </w:rPr>
        <w:t>th</w:t>
      </w:r>
      <w:r w:rsidRPr="7972DF8D">
        <w:rPr>
          <w:rFonts w:eastAsia="Times New Roman" w:cs="Times New Roman"/>
          <w:szCs w:val="24"/>
        </w:rPr>
        <w:t xml:space="preserve"> December 2020]</w:t>
      </w:r>
    </w:p>
    <w:p w14:paraId="43545AD8" w14:textId="6956A7F4" w:rsidR="7972DF8D" w:rsidRDefault="7972DF8D" w:rsidP="7972DF8D">
      <w:pPr>
        <w:pStyle w:val="ListParagraph"/>
        <w:numPr>
          <w:ilvl w:val="0"/>
          <w:numId w:val="1"/>
        </w:numPr>
        <w:rPr>
          <w:rFonts w:eastAsia="Times New Roman" w:cs="Times New Roman"/>
          <w:color w:val="000000" w:themeColor="text1"/>
          <w:szCs w:val="24"/>
        </w:rPr>
      </w:pPr>
      <w:proofErr w:type="spellStart"/>
      <w:r w:rsidRPr="7972DF8D">
        <w:rPr>
          <w:rFonts w:eastAsia="Times New Roman" w:cs="Times New Roman"/>
          <w:szCs w:val="24"/>
        </w:rPr>
        <w:t>Torill</w:t>
      </w:r>
      <w:proofErr w:type="spellEnd"/>
      <w:r w:rsidRPr="7972DF8D">
        <w:rPr>
          <w:rFonts w:eastAsia="Times New Roman" w:cs="Times New Roman"/>
          <w:szCs w:val="24"/>
        </w:rPr>
        <w:t xml:space="preserve"> Moen (2014) Childhood as social construction [Online] Available at: &lt; </w:t>
      </w:r>
      <w:hyperlink r:id="rId12">
        <w:r w:rsidRPr="7972DF8D">
          <w:rPr>
            <w:rStyle w:val="Hyperlink"/>
            <w:rFonts w:eastAsia="Times New Roman" w:cs="Times New Roman"/>
            <w:color w:val="auto"/>
            <w:szCs w:val="24"/>
          </w:rPr>
          <w:t>https://www.mcser.org/journal/index.php/jesr/article/viewFile/9151/8837</w:t>
        </w:r>
      </w:hyperlink>
      <w:r w:rsidRPr="7972DF8D">
        <w:rPr>
          <w:rFonts w:eastAsia="Times New Roman" w:cs="Times New Roman"/>
          <w:szCs w:val="24"/>
        </w:rPr>
        <w:t>&gt; [Accessed 4</w:t>
      </w:r>
      <w:r w:rsidRPr="7972DF8D">
        <w:rPr>
          <w:rFonts w:eastAsia="Times New Roman" w:cs="Times New Roman"/>
          <w:szCs w:val="24"/>
          <w:vertAlign w:val="superscript"/>
        </w:rPr>
        <w:t>th</w:t>
      </w:r>
      <w:r w:rsidRPr="7972DF8D">
        <w:rPr>
          <w:rFonts w:eastAsia="Times New Roman" w:cs="Times New Roman"/>
          <w:szCs w:val="24"/>
        </w:rPr>
        <w:t xml:space="preserve"> December 2020]</w:t>
      </w:r>
    </w:p>
    <w:p w14:paraId="561DCB54" w14:textId="312E5DF4"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Wright, H. R. (2015) </w:t>
      </w:r>
      <w:r w:rsidRPr="7972DF8D">
        <w:rPr>
          <w:rFonts w:eastAsia="Times New Roman" w:cs="Times New Roman"/>
          <w:i/>
          <w:iCs/>
          <w:szCs w:val="24"/>
        </w:rPr>
        <w:t xml:space="preserve">The Child in Society. </w:t>
      </w:r>
      <w:r w:rsidRPr="7972DF8D">
        <w:rPr>
          <w:rFonts w:eastAsia="Times New Roman" w:cs="Times New Roman"/>
          <w:szCs w:val="24"/>
        </w:rPr>
        <w:t>London: Sage</w:t>
      </w:r>
    </w:p>
    <w:p w14:paraId="07B658E0" w14:textId="1B8B606B" w:rsidR="7972DF8D" w:rsidRDefault="7972DF8D" w:rsidP="7972DF8D">
      <w:pPr>
        <w:pStyle w:val="ListParagraph"/>
        <w:numPr>
          <w:ilvl w:val="0"/>
          <w:numId w:val="1"/>
        </w:numPr>
        <w:rPr>
          <w:rFonts w:eastAsia="Times New Roman" w:cs="Times New Roman"/>
          <w:color w:val="000000" w:themeColor="text1"/>
          <w:szCs w:val="24"/>
        </w:rPr>
      </w:pPr>
      <w:r w:rsidRPr="7972DF8D">
        <w:rPr>
          <w:rFonts w:eastAsia="Times New Roman" w:cs="Times New Roman"/>
          <w:szCs w:val="24"/>
        </w:rPr>
        <w:t xml:space="preserve">Your Dictionary (2020) Definitions of a child [Online] Available at: &lt; </w:t>
      </w:r>
      <w:hyperlink r:id="rId13">
        <w:r w:rsidRPr="7972DF8D">
          <w:rPr>
            <w:rStyle w:val="Hyperlink"/>
            <w:rFonts w:eastAsia="Times New Roman" w:cs="Times New Roman"/>
            <w:color w:val="auto"/>
            <w:szCs w:val="24"/>
          </w:rPr>
          <w:t>https://www.yourdictionary.com/child</w:t>
        </w:r>
      </w:hyperlink>
      <w:r w:rsidRPr="7972DF8D">
        <w:rPr>
          <w:rFonts w:eastAsia="Times New Roman" w:cs="Times New Roman"/>
          <w:szCs w:val="24"/>
        </w:rPr>
        <w:t>&gt; [Accessed 7</w:t>
      </w:r>
      <w:r w:rsidRPr="7972DF8D">
        <w:rPr>
          <w:rFonts w:eastAsia="Times New Roman" w:cs="Times New Roman"/>
          <w:szCs w:val="24"/>
          <w:vertAlign w:val="superscript"/>
        </w:rPr>
        <w:t>th</w:t>
      </w:r>
      <w:r w:rsidRPr="7972DF8D">
        <w:rPr>
          <w:rFonts w:eastAsia="Times New Roman" w:cs="Times New Roman"/>
          <w:szCs w:val="24"/>
        </w:rPr>
        <w:t xml:space="preserve"> December 2020]</w:t>
      </w:r>
    </w:p>
    <w:sectPr w:rsidR="7972DF8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C97469"/>
    <w:multiLevelType w:val="hybridMultilevel"/>
    <w:tmpl w:val="4B6619F6"/>
    <w:lvl w:ilvl="0" w:tplc="61764168">
      <w:start w:val="1"/>
      <w:numFmt w:val="bullet"/>
      <w:lvlText w:val=""/>
      <w:lvlJc w:val="left"/>
      <w:pPr>
        <w:ind w:left="720" w:hanging="360"/>
      </w:pPr>
      <w:rPr>
        <w:rFonts w:ascii="Symbol" w:hAnsi="Symbol" w:hint="default"/>
      </w:rPr>
    </w:lvl>
    <w:lvl w:ilvl="1" w:tplc="9A58AC12">
      <w:start w:val="1"/>
      <w:numFmt w:val="bullet"/>
      <w:lvlText w:val="o"/>
      <w:lvlJc w:val="left"/>
      <w:pPr>
        <w:ind w:left="1440" w:hanging="360"/>
      </w:pPr>
      <w:rPr>
        <w:rFonts w:ascii="Courier New" w:hAnsi="Courier New" w:hint="default"/>
      </w:rPr>
    </w:lvl>
    <w:lvl w:ilvl="2" w:tplc="B6DCC7A8">
      <w:start w:val="1"/>
      <w:numFmt w:val="bullet"/>
      <w:lvlText w:val=""/>
      <w:lvlJc w:val="left"/>
      <w:pPr>
        <w:ind w:left="2160" w:hanging="360"/>
      </w:pPr>
      <w:rPr>
        <w:rFonts w:ascii="Wingdings" w:hAnsi="Wingdings" w:hint="default"/>
      </w:rPr>
    </w:lvl>
    <w:lvl w:ilvl="3" w:tplc="EDF21D36">
      <w:start w:val="1"/>
      <w:numFmt w:val="bullet"/>
      <w:lvlText w:val=""/>
      <w:lvlJc w:val="left"/>
      <w:pPr>
        <w:ind w:left="2880" w:hanging="360"/>
      </w:pPr>
      <w:rPr>
        <w:rFonts w:ascii="Symbol" w:hAnsi="Symbol" w:hint="default"/>
      </w:rPr>
    </w:lvl>
    <w:lvl w:ilvl="4" w:tplc="0C5ED088">
      <w:start w:val="1"/>
      <w:numFmt w:val="bullet"/>
      <w:lvlText w:val="o"/>
      <w:lvlJc w:val="left"/>
      <w:pPr>
        <w:ind w:left="3600" w:hanging="360"/>
      </w:pPr>
      <w:rPr>
        <w:rFonts w:ascii="Courier New" w:hAnsi="Courier New" w:hint="default"/>
      </w:rPr>
    </w:lvl>
    <w:lvl w:ilvl="5" w:tplc="77D0E580">
      <w:start w:val="1"/>
      <w:numFmt w:val="bullet"/>
      <w:lvlText w:val=""/>
      <w:lvlJc w:val="left"/>
      <w:pPr>
        <w:ind w:left="4320" w:hanging="360"/>
      </w:pPr>
      <w:rPr>
        <w:rFonts w:ascii="Wingdings" w:hAnsi="Wingdings" w:hint="default"/>
      </w:rPr>
    </w:lvl>
    <w:lvl w:ilvl="6" w:tplc="DFE4DF9C">
      <w:start w:val="1"/>
      <w:numFmt w:val="bullet"/>
      <w:lvlText w:val=""/>
      <w:lvlJc w:val="left"/>
      <w:pPr>
        <w:ind w:left="5040" w:hanging="360"/>
      </w:pPr>
      <w:rPr>
        <w:rFonts w:ascii="Symbol" w:hAnsi="Symbol" w:hint="default"/>
      </w:rPr>
    </w:lvl>
    <w:lvl w:ilvl="7" w:tplc="13DC328C">
      <w:start w:val="1"/>
      <w:numFmt w:val="bullet"/>
      <w:lvlText w:val="o"/>
      <w:lvlJc w:val="left"/>
      <w:pPr>
        <w:ind w:left="5760" w:hanging="360"/>
      </w:pPr>
      <w:rPr>
        <w:rFonts w:ascii="Courier New" w:hAnsi="Courier New" w:hint="default"/>
      </w:rPr>
    </w:lvl>
    <w:lvl w:ilvl="8" w:tplc="AD0E735A">
      <w:start w:val="1"/>
      <w:numFmt w:val="bullet"/>
      <w:lvlText w:val=""/>
      <w:lvlJc w:val="left"/>
      <w:pPr>
        <w:ind w:left="6480" w:hanging="360"/>
      </w:pPr>
      <w:rPr>
        <w:rFonts w:ascii="Wingdings" w:hAnsi="Wingdings" w:hint="default"/>
      </w:rPr>
    </w:lvl>
  </w:abstractNum>
  <w:abstractNum w:abstractNumId="1" w15:restartNumberingAfterBreak="0">
    <w:nsid w:val="50244D8C"/>
    <w:multiLevelType w:val="hybridMultilevel"/>
    <w:tmpl w:val="7AD022A2"/>
    <w:lvl w:ilvl="0" w:tplc="21504F0C">
      <w:start w:val="1"/>
      <w:numFmt w:val="decimal"/>
      <w:lvlText w:val="%1."/>
      <w:lvlJc w:val="left"/>
      <w:pPr>
        <w:ind w:left="360" w:hanging="360"/>
      </w:pPr>
    </w:lvl>
    <w:lvl w:ilvl="1" w:tplc="03B0BFB8">
      <w:start w:val="1"/>
      <w:numFmt w:val="lowerLetter"/>
      <w:lvlText w:val="%2."/>
      <w:lvlJc w:val="left"/>
      <w:pPr>
        <w:ind w:left="1080" w:hanging="360"/>
      </w:pPr>
    </w:lvl>
    <w:lvl w:ilvl="2" w:tplc="AC8E3C0A">
      <w:start w:val="1"/>
      <w:numFmt w:val="lowerRoman"/>
      <w:lvlText w:val="%3."/>
      <w:lvlJc w:val="right"/>
      <w:pPr>
        <w:ind w:left="1800" w:hanging="180"/>
      </w:pPr>
    </w:lvl>
    <w:lvl w:ilvl="3" w:tplc="A81A832C">
      <w:start w:val="1"/>
      <w:numFmt w:val="decimal"/>
      <w:lvlText w:val="%4."/>
      <w:lvlJc w:val="left"/>
      <w:pPr>
        <w:ind w:left="2520" w:hanging="360"/>
      </w:pPr>
    </w:lvl>
    <w:lvl w:ilvl="4" w:tplc="93025E98">
      <w:start w:val="1"/>
      <w:numFmt w:val="lowerLetter"/>
      <w:lvlText w:val="%5."/>
      <w:lvlJc w:val="left"/>
      <w:pPr>
        <w:ind w:left="3240" w:hanging="360"/>
      </w:pPr>
    </w:lvl>
    <w:lvl w:ilvl="5" w:tplc="636CC194">
      <w:start w:val="1"/>
      <w:numFmt w:val="lowerRoman"/>
      <w:lvlText w:val="%6."/>
      <w:lvlJc w:val="right"/>
      <w:pPr>
        <w:ind w:left="3960" w:hanging="180"/>
      </w:pPr>
    </w:lvl>
    <w:lvl w:ilvl="6" w:tplc="F74A736C">
      <w:start w:val="1"/>
      <w:numFmt w:val="decimal"/>
      <w:lvlText w:val="%7."/>
      <w:lvlJc w:val="left"/>
      <w:pPr>
        <w:ind w:left="4680" w:hanging="360"/>
      </w:pPr>
    </w:lvl>
    <w:lvl w:ilvl="7" w:tplc="90C08C64">
      <w:start w:val="1"/>
      <w:numFmt w:val="lowerLetter"/>
      <w:lvlText w:val="%8."/>
      <w:lvlJc w:val="left"/>
      <w:pPr>
        <w:ind w:left="5400" w:hanging="360"/>
      </w:pPr>
    </w:lvl>
    <w:lvl w:ilvl="8" w:tplc="7D24418E">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C24D67"/>
    <w:rsid w:val="00100867"/>
    <w:rsid w:val="00227C18"/>
    <w:rsid w:val="003562FF"/>
    <w:rsid w:val="00571F4E"/>
    <w:rsid w:val="0080725B"/>
    <w:rsid w:val="008A6B3D"/>
    <w:rsid w:val="00D10619"/>
    <w:rsid w:val="00D82475"/>
    <w:rsid w:val="00DB0446"/>
    <w:rsid w:val="7972DF8D"/>
    <w:rsid w:val="7EC24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4D67"/>
  <w15:chartTrackingRefBased/>
  <w15:docId w15:val="{ED1A85BE-E3DD-4BD8-96A7-6594C7E7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B3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A6B3D"/>
    <w:pPr>
      <w:keepNext/>
      <w:keepLines/>
      <w:spacing w:before="240" w:after="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semiHidden/>
    <w:unhideWhenUsed/>
    <w:qFormat/>
    <w:rsid w:val="008A6B3D"/>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8A6B3D"/>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semiHidden/>
    <w:rsid w:val="008A6B3D"/>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8A6B3D"/>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8A6B3D"/>
    <w:rPr>
      <w:rFonts w:ascii="Times New Roman" w:eastAsiaTheme="majorEastAsia" w:hAnsi="Times New Roman" w:cstheme="majorBidi"/>
      <w:b/>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gov.wales/publicservices/social-care/safeguarding-vulnerable-groups-act-2006/?lang=en" TargetMode="External"/><Relationship Id="rId13" Type="http://schemas.openxmlformats.org/officeDocument/2006/relationships/hyperlink" Target="https://www.yourdictionary.com/child"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406885/Safeguarding_strategy.pdf" TargetMode="External"/><Relationship Id="rId12" Type="http://schemas.openxmlformats.org/officeDocument/2006/relationships/hyperlink" Target="https://www.mcser.org/journal/index.php/jesr/article/viewFile/9151/88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pdonline.co.uk/knowledge-base/safeguarding/legislation-safeguarding-children/" TargetMode="External"/><Relationship Id="rId11" Type="http://schemas.openxmlformats.org/officeDocument/2006/relationships/hyperlink" Target="https://www.ifs.org.uk/publications/14901" TargetMode="External"/><Relationship Id="rId5" Type="http://schemas.openxmlformats.org/officeDocument/2006/relationships/hyperlink" Target="https://www.ihasco.co.uk/blog/entry/2250/what-is-safeguarding" TargetMode="External"/><Relationship Id="rId15" Type="http://schemas.openxmlformats.org/officeDocument/2006/relationships/theme" Target="theme/theme1.xml"/><Relationship Id="rId10" Type="http://schemas.openxmlformats.org/officeDocument/2006/relationships/hyperlink" Target="https://en.wikipedia.org/wiki/Special:BookSources/978-1285677590" TargetMode="External"/><Relationship Id="rId4" Type="http://schemas.openxmlformats.org/officeDocument/2006/relationships/webSettings" Target="webSettings.xml"/><Relationship Id="rId9" Type="http://schemas.openxmlformats.org/officeDocument/2006/relationships/hyperlink" Target="https://en.wikipedia.org/wiki/ISBN_(identifi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2386</Words>
  <Characters>13601</Characters>
  <Application>Microsoft Office Word</Application>
  <DocSecurity>0</DocSecurity>
  <Lines>113</Lines>
  <Paragraphs>31</Paragraphs>
  <ScaleCrop>false</ScaleCrop>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cp:keywords/>
  <dc:description/>
  <cp:lastModifiedBy>Maria Dandu (1810151)</cp:lastModifiedBy>
  <cp:revision>3</cp:revision>
  <dcterms:created xsi:type="dcterms:W3CDTF">2020-12-09T14:49:00Z</dcterms:created>
  <dcterms:modified xsi:type="dcterms:W3CDTF">2020-12-09T15:58:00Z</dcterms:modified>
</cp:coreProperties>
</file>